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DF8E2" w14:textId="1A4C0FEA" w:rsidR="009A312E" w:rsidRDefault="009A312E" w:rsidP="00714546">
      <w:pPr>
        <w:spacing w:after="0" w:line="240" w:lineRule="auto"/>
        <w:ind w:right="-1"/>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 xml:space="preserve">Ministru kabineta noteikumu projekta </w:t>
      </w:r>
      <w:bookmarkStart w:id="0" w:name="OLE_LINK7"/>
      <w:bookmarkStart w:id="1" w:name="OLE_LINK10"/>
      <w:bookmarkStart w:id="2" w:name="OLE_LINK2"/>
      <w:bookmarkStart w:id="3" w:name="OLE_LINK1"/>
      <w:r w:rsidR="004E560E">
        <w:rPr>
          <w:rFonts w:ascii="Times New Roman" w:eastAsia="Times New Roman" w:hAnsi="Times New Roman"/>
          <w:b/>
          <w:sz w:val="24"/>
          <w:szCs w:val="24"/>
          <w:lang w:eastAsia="lv-LV"/>
        </w:rPr>
        <w:t>“</w:t>
      </w:r>
      <w:bookmarkStart w:id="4" w:name="_Hlk523303797"/>
      <w:bookmarkEnd w:id="0"/>
      <w:bookmarkEnd w:id="1"/>
      <w:bookmarkEnd w:id="2"/>
      <w:bookmarkEnd w:id="3"/>
      <w:r w:rsidR="00714546" w:rsidRPr="00744D2D">
        <w:rPr>
          <w:rFonts w:ascii="Times New Roman" w:eastAsia="Times New Roman" w:hAnsi="Times New Roman"/>
          <w:b/>
          <w:sz w:val="24"/>
          <w:szCs w:val="24"/>
          <w:lang w:eastAsia="lv-LV"/>
        </w:rPr>
        <w:t>Grozījum</w:t>
      </w:r>
      <w:r w:rsidR="00714546">
        <w:rPr>
          <w:rFonts w:ascii="Times New Roman" w:eastAsia="Times New Roman" w:hAnsi="Times New Roman"/>
          <w:b/>
          <w:sz w:val="24"/>
          <w:szCs w:val="24"/>
          <w:lang w:eastAsia="lv-LV"/>
        </w:rPr>
        <w:t>i</w:t>
      </w:r>
      <w:r w:rsidR="00714546" w:rsidRPr="00744D2D">
        <w:rPr>
          <w:rFonts w:ascii="Times New Roman" w:eastAsia="Times New Roman" w:hAnsi="Times New Roman"/>
          <w:b/>
          <w:sz w:val="24"/>
          <w:szCs w:val="24"/>
          <w:lang w:eastAsia="lv-LV"/>
        </w:rPr>
        <w:t xml:space="preserve"> Ministru kabineta </w:t>
      </w:r>
      <w:r w:rsidR="00714546">
        <w:rPr>
          <w:rFonts w:ascii="Times New Roman" w:eastAsia="Times New Roman" w:hAnsi="Times New Roman"/>
          <w:b/>
          <w:sz w:val="24"/>
          <w:szCs w:val="24"/>
          <w:lang w:eastAsia="lv-LV"/>
        </w:rPr>
        <w:t>2017.gada 25.aprīļa</w:t>
      </w:r>
      <w:r w:rsidR="00714546" w:rsidRPr="00744D2D">
        <w:rPr>
          <w:rFonts w:ascii="Times New Roman" w:eastAsia="Times New Roman" w:hAnsi="Times New Roman"/>
          <w:b/>
          <w:sz w:val="24"/>
          <w:szCs w:val="24"/>
          <w:lang w:eastAsia="lv-LV"/>
        </w:rPr>
        <w:t xml:space="preserve"> noteikumos Nr. </w:t>
      </w:r>
      <w:r w:rsidR="00714546">
        <w:rPr>
          <w:rFonts w:ascii="Times New Roman" w:eastAsia="Times New Roman" w:hAnsi="Times New Roman"/>
          <w:b/>
          <w:sz w:val="24"/>
          <w:szCs w:val="24"/>
          <w:lang w:eastAsia="lv-LV"/>
        </w:rPr>
        <w:t>221</w:t>
      </w:r>
      <w:r w:rsidR="00714546" w:rsidRPr="00744D2D">
        <w:rPr>
          <w:rFonts w:ascii="Times New Roman" w:eastAsia="Times New Roman" w:hAnsi="Times New Roman"/>
          <w:b/>
          <w:sz w:val="24"/>
          <w:szCs w:val="24"/>
          <w:lang w:eastAsia="lv-LV"/>
        </w:rPr>
        <w:t xml:space="preserve"> </w:t>
      </w:r>
      <w:r w:rsidR="00714546">
        <w:rPr>
          <w:rFonts w:ascii="Times New Roman" w:eastAsia="Times New Roman" w:hAnsi="Times New Roman"/>
          <w:b/>
          <w:sz w:val="24"/>
          <w:szCs w:val="24"/>
          <w:lang w:eastAsia="lv-LV"/>
        </w:rPr>
        <w:t>“</w:t>
      </w:r>
      <w:r w:rsidR="00714546" w:rsidRPr="00D72ADC">
        <w:rPr>
          <w:rFonts w:ascii="Times New Roman" w:eastAsia="Times New Roman" w:hAnsi="Times New Roman"/>
          <w:b/>
          <w:sz w:val="24"/>
          <w:szCs w:val="24"/>
          <w:lang w:eastAsia="lv-LV"/>
        </w:rPr>
        <w:t>Noteikumi par kārtību, kādā tiek veiktas iemaksas energoefektivitātes fondos, un to apmēru, kā arī energoefektivitātes fonda līdzekļu izmantošanu</w:t>
      </w:r>
      <w:r w:rsidR="00714546">
        <w:rPr>
          <w:rFonts w:ascii="Times New Roman" w:eastAsia="Times New Roman" w:hAnsi="Times New Roman"/>
          <w:b/>
          <w:sz w:val="24"/>
          <w:szCs w:val="24"/>
          <w:lang w:eastAsia="lv-LV"/>
        </w:rPr>
        <w:t>”</w:t>
      </w:r>
      <w:bookmarkEnd w:id="4"/>
      <w:r w:rsidR="002F542C">
        <w:rPr>
          <w:rFonts w:ascii="Times New Roman" w:eastAsia="Times New Roman" w:hAnsi="Times New Roman"/>
          <w:b/>
          <w:sz w:val="24"/>
          <w:szCs w:val="24"/>
          <w:lang w:eastAsia="lv-LV"/>
        </w:rPr>
        <w:t>”</w:t>
      </w:r>
      <w:r>
        <w:rPr>
          <w:rFonts w:ascii="Times New Roman" w:eastAsia="Times New Roman" w:hAnsi="Times New Roman"/>
          <w:b/>
          <w:sz w:val="24"/>
          <w:szCs w:val="24"/>
          <w:lang w:eastAsia="lv-LV"/>
        </w:rPr>
        <w:t xml:space="preserve"> </w:t>
      </w:r>
      <w:r w:rsidRPr="008B78B2">
        <w:rPr>
          <w:rFonts w:ascii="Times New Roman" w:eastAsia="Times New Roman" w:hAnsi="Times New Roman"/>
          <w:b/>
          <w:sz w:val="24"/>
          <w:szCs w:val="24"/>
          <w:lang w:eastAsia="lv-LV"/>
        </w:rPr>
        <w:t>sākotnējās ietekmes novērtējuma ziņojums (anotācija)</w:t>
      </w:r>
    </w:p>
    <w:p w14:paraId="3981DC74" w14:textId="3346D93F" w:rsidR="009A312E" w:rsidRDefault="009A312E" w:rsidP="009A312E">
      <w:pPr>
        <w:spacing w:after="0" w:line="240" w:lineRule="auto"/>
        <w:jc w:val="center"/>
        <w:rPr>
          <w:rFonts w:ascii="Times New Roman" w:eastAsia="Times New Roman" w:hAnsi="Times New Roman"/>
          <w:b/>
          <w:sz w:val="18"/>
          <w:szCs w:val="18"/>
          <w:lang w:eastAsia="lv-LV"/>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703"/>
        <w:gridCol w:w="6653"/>
      </w:tblGrid>
      <w:tr w:rsidR="00B6430E" w:rsidRPr="008B78B2" w14:paraId="05BD48CA" w14:textId="77777777" w:rsidTr="0056559A">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7977D898" w14:textId="4CCD9420" w:rsidR="00B6430E" w:rsidRPr="008B78B2" w:rsidRDefault="00B6430E" w:rsidP="0056559A">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Tiesību </w:t>
            </w:r>
            <w:r w:rsidRPr="008B78B2">
              <w:rPr>
                <w:rFonts w:ascii="Times New Roman" w:eastAsia="Times New Roman" w:hAnsi="Times New Roman"/>
                <w:b/>
                <w:sz w:val="24"/>
                <w:szCs w:val="24"/>
                <w:lang w:eastAsia="lv-LV"/>
              </w:rPr>
              <w:t>a</w:t>
            </w:r>
            <w:r>
              <w:rPr>
                <w:rFonts w:ascii="Times New Roman" w:eastAsia="Times New Roman" w:hAnsi="Times New Roman"/>
                <w:b/>
                <w:sz w:val="24"/>
                <w:szCs w:val="24"/>
                <w:lang w:eastAsia="lv-LV"/>
              </w:rPr>
              <w:t>kta projekta anotācijas kopsavilkums</w:t>
            </w:r>
          </w:p>
        </w:tc>
      </w:tr>
      <w:tr w:rsidR="00B6430E" w:rsidRPr="00C770D6" w14:paraId="3EB3020E" w14:textId="77777777" w:rsidTr="0056559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9E33BD" w14:textId="72A937C9" w:rsidR="00B6430E" w:rsidRPr="00C770D6" w:rsidRDefault="00B6430E" w:rsidP="00B719FC">
            <w:pPr>
              <w:spacing w:after="0" w:line="240" w:lineRule="auto"/>
              <w:ind w:left="142" w:right="128"/>
              <w:jc w:val="both"/>
              <w:rPr>
                <w:rFonts w:ascii="Times New Roman" w:eastAsia="Times New Roman" w:hAnsi="Times New Roman"/>
                <w:sz w:val="24"/>
                <w:szCs w:val="24"/>
                <w:lang w:eastAsia="lv-LV"/>
              </w:rPr>
            </w:pPr>
            <w:r w:rsidRPr="00C770D6">
              <w:rPr>
                <w:rFonts w:ascii="Times New Roman" w:eastAsia="Times New Roman" w:hAnsi="Times New Roman"/>
                <w:sz w:val="24"/>
                <w:szCs w:val="24"/>
                <w:lang w:eastAsia="lv-LV"/>
              </w:rPr>
              <w:t xml:space="preserve">Mērķis, risinājums un projekta </w:t>
            </w:r>
            <w:r w:rsidRPr="00C770D6">
              <w:rPr>
                <w:rFonts w:ascii="Times New Roman" w:hAnsi="Times New Roman"/>
                <w:sz w:val="24"/>
                <w:szCs w:val="24"/>
              </w:rPr>
              <w:t>spēkā</w:t>
            </w:r>
            <w:r w:rsidRPr="00C770D6">
              <w:rPr>
                <w:rFonts w:ascii="Times New Roman" w:eastAsia="Times New Roman" w:hAnsi="Times New Roman"/>
                <w:sz w:val="24"/>
                <w:szCs w:val="24"/>
                <w:lang w:eastAsia="lv-LV"/>
              </w:rPr>
              <w:t xml:space="preserve"> stāšanās laiks (500 zīmes bez atstarpēm)</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8CB2281" w14:textId="715E1769" w:rsidR="00483A21" w:rsidRPr="00C770D6" w:rsidRDefault="004D5E36" w:rsidP="00AC3A06">
            <w:pPr>
              <w:ind w:firstLine="720"/>
              <w:jc w:val="both"/>
              <w:rPr>
                <w:rFonts w:ascii="Times New Roman" w:hAnsi="Times New Roman"/>
                <w:sz w:val="24"/>
                <w:szCs w:val="24"/>
              </w:rPr>
            </w:pPr>
            <w:r w:rsidRPr="00C770D6">
              <w:rPr>
                <w:rFonts w:ascii="Times New Roman" w:hAnsi="Times New Roman"/>
                <w:sz w:val="24"/>
                <w:szCs w:val="24"/>
              </w:rPr>
              <w:t>Noteikumu p</w:t>
            </w:r>
            <w:r w:rsidR="00B6430E" w:rsidRPr="00C770D6">
              <w:rPr>
                <w:rFonts w:ascii="Times New Roman" w:hAnsi="Times New Roman"/>
                <w:sz w:val="24"/>
                <w:szCs w:val="24"/>
              </w:rPr>
              <w:t>rojekta mērķis ir veikt g</w:t>
            </w:r>
            <w:r w:rsidR="00483A21" w:rsidRPr="00C770D6">
              <w:rPr>
                <w:rFonts w:ascii="Times New Roman" w:hAnsi="Times New Roman"/>
                <w:sz w:val="24"/>
                <w:szCs w:val="24"/>
              </w:rPr>
              <w:t>rozījum</w:t>
            </w:r>
            <w:r w:rsidR="00453E63" w:rsidRPr="00C770D6">
              <w:rPr>
                <w:rFonts w:ascii="Times New Roman" w:hAnsi="Times New Roman"/>
                <w:sz w:val="24"/>
                <w:szCs w:val="24"/>
              </w:rPr>
              <w:t>u</w:t>
            </w:r>
            <w:r w:rsidR="00BE068D">
              <w:rPr>
                <w:rFonts w:ascii="Times New Roman" w:hAnsi="Times New Roman"/>
                <w:sz w:val="24"/>
                <w:szCs w:val="24"/>
              </w:rPr>
              <w:t>s</w:t>
            </w:r>
            <w:r w:rsidR="00453E63" w:rsidRPr="00C770D6">
              <w:rPr>
                <w:rFonts w:ascii="Times New Roman" w:hAnsi="Times New Roman"/>
                <w:sz w:val="24"/>
                <w:szCs w:val="24"/>
              </w:rPr>
              <w:t xml:space="preserve"> Ministru kabineta </w:t>
            </w:r>
            <w:r w:rsidR="00714546" w:rsidRPr="00714546">
              <w:rPr>
                <w:rFonts w:ascii="Times New Roman" w:hAnsi="Times New Roman"/>
                <w:sz w:val="24"/>
                <w:szCs w:val="24"/>
              </w:rPr>
              <w:t>2017.gada 25.aprīļa noteikumos Nr. 221 “Noteikumi par kārtību, kādā tiek veiktas iemaksas energoefektivitātes fondos, un to apmēru, kā arī energoefektivitātes fonda līdzekļu izmantošanu”</w:t>
            </w:r>
            <w:r w:rsidR="00545F6C">
              <w:rPr>
                <w:rFonts w:ascii="Times New Roman" w:hAnsi="Times New Roman"/>
                <w:sz w:val="24"/>
                <w:szCs w:val="24"/>
              </w:rPr>
              <w:t>, lai</w:t>
            </w:r>
            <w:r w:rsidR="002C6FC1" w:rsidRPr="002C6FC1">
              <w:rPr>
                <w:rFonts w:ascii="Times New Roman" w:hAnsi="Times New Roman"/>
                <w:sz w:val="24"/>
                <w:szCs w:val="24"/>
              </w:rPr>
              <w:t xml:space="preserve"> precizētu</w:t>
            </w:r>
            <w:r w:rsidR="002635BA">
              <w:rPr>
                <w:rFonts w:ascii="Times New Roman" w:hAnsi="Times New Roman"/>
                <w:sz w:val="24"/>
                <w:szCs w:val="24"/>
              </w:rPr>
              <w:t xml:space="preserve"> kārtību kādā tiek veiktas iemaksas Valsts energoefektivitātes fondā un</w:t>
            </w:r>
            <w:r w:rsidR="002C6FC1" w:rsidRPr="002C6FC1">
              <w:rPr>
                <w:rFonts w:ascii="Times New Roman" w:hAnsi="Times New Roman"/>
                <w:sz w:val="24"/>
                <w:szCs w:val="24"/>
              </w:rPr>
              <w:t xml:space="preserve"> Valsts energoefektivitātes fonda līdzekļu izmantošanas</w:t>
            </w:r>
            <w:r w:rsidR="002C6FC1">
              <w:rPr>
                <w:rFonts w:ascii="Times New Roman" w:hAnsi="Times New Roman"/>
                <w:sz w:val="24"/>
                <w:szCs w:val="24"/>
              </w:rPr>
              <w:t xml:space="preserve"> nosacījumus</w:t>
            </w:r>
            <w:r w:rsidR="002635BA">
              <w:rPr>
                <w:rFonts w:ascii="Times New Roman" w:hAnsi="Times New Roman"/>
                <w:sz w:val="24"/>
                <w:szCs w:val="24"/>
              </w:rPr>
              <w:t>,</w:t>
            </w:r>
            <w:r w:rsidR="002C6FC1" w:rsidRPr="002C6FC1">
              <w:rPr>
                <w:rFonts w:ascii="Times New Roman" w:hAnsi="Times New Roman"/>
                <w:sz w:val="24"/>
                <w:szCs w:val="24"/>
              </w:rPr>
              <w:t xml:space="preserve"> un pārskatu sniegšanas kārtību</w:t>
            </w:r>
            <w:r w:rsidR="002635BA">
              <w:rPr>
                <w:rFonts w:ascii="Times New Roman" w:hAnsi="Times New Roman"/>
                <w:sz w:val="24"/>
                <w:szCs w:val="24"/>
              </w:rPr>
              <w:t>.</w:t>
            </w:r>
          </w:p>
          <w:p w14:paraId="5533C901" w14:textId="790D3EAB" w:rsidR="00FE3A9B" w:rsidRPr="00C770D6" w:rsidRDefault="00FE3A9B" w:rsidP="00CE7A28">
            <w:pPr>
              <w:spacing w:after="0" w:line="240" w:lineRule="auto"/>
              <w:ind w:left="142" w:right="128"/>
              <w:jc w:val="both"/>
              <w:rPr>
                <w:rFonts w:ascii="Times New Roman" w:hAnsi="Times New Roman"/>
                <w:sz w:val="24"/>
                <w:szCs w:val="24"/>
              </w:rPr>
            </w:pPr>
            <w:r w:rsidRPr="00C770D6">
              <w:rPr>
                <w:rFonts w:ascii="Times New Roman" w:hAnsi="Times New Roman"/>
                <w:sz w:val="24"/>
                <w:szCs w:val="24"/>
              </w:rPr>
              <w:t>Tiesību akts stāsies spēkā līdz ar tā pieņemšanas brīdi.</w:t>
            </w:r>
          </w:p>
        </w:tc>
      </w:tr>
    </w:tbl>
    <w:p w14:paraId="11E7A3E5" w14:textId="3F571C02" w:rsidR="00B6430E" w:rsidRPr="00C770D6" w:rsidRDefault="00B6430E" w:rsidP="00D85523">
      <w:pPr>
        <w:spacing w:after="0" w:line="240" w:lineRule="auto"/>
        <w:rPr>
          <w:rFonts w:ascii="Times New Roman" w:eastAsia="Times New Roman" w:hAnsi="Times New Roman"/>
          <w:b/>
          <w:sz w:val="18"/>
          <w:szCs w:val="18"/>
          <w:lang w:eastAsia="lv-LV"/>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703"/>
        <w:gridCol w:w="6653"/>
      </w:tblGrid>
      <w:tr w:rsidR="009A312E" w:rsidRPr="00C770D6" w14:paraId="1D03D1D7" w14:textId="77777777" w:rsidTr="0056559A">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45F32CA0" w14:textId="69769722" w:rsidR="009A312E" w:rsidRPr="00C770D6" w:rsidRDefault="009A312E" w:rsidP="0056559A">
            <w:pPr>
              <w:spacing w:after="0" w:line="240" w:lineRule="auto"/>
              <w:jc w:val="center"/>
              <w:rPr>
                <w:rFonts w:ascii="Times New Roman" w:eastAsia="Times New Roman" w:hAnsi="Times New Roman"/>
                <w:b/>
                <w:sz w:val="24"/>
                <w:szCs w:val="24"/>
                <w:lang w:eastAsia="lv-LV"/>
              </w:rPr>
            </w:pPr>
            <w:r w:rsidRPr="00C770D6">
              <w:rPr>
                <w:rFonts w:ascii="Times New Roman" w:eastAsia="Times New Roman" w:hAnsi="Times New Roman"/>
                <w:b/>
                <w:sz w:val="24"/>
                <w:szCs w:val="24"/>
                <w:lang w:eastAsia="lv-LV"/>
              </w:rPr>
              <w:t>I.</w:t>
            </w:r>
            <w:r w:rsidR="005630E5" w:rsidRPr="00C770D6">
              <w:rPr>
                <w:rFonts w:ascii="Times New Roman" w:eastAsia="Times New Roman" w:hAnsi="Times New Roman"/>
                <w:b/>
                <w:sz w:val="24"/>
                <w:szCs w:val="24"/>
                <w:lang w:eastAsia="lv-LV"/>
              </w:rPr>
              <w:t xml:space="preserve"> </w:t>
            </w:r>
            <w:r w:rsidRPr="00C770D6">
              <w:rPr>
                <w:rFonts w:ascii="Times New Roman" w:eastAsia="Times New Roman" w:hAnsi="Times New Roman"/>
                <w:b/>
                <w:sz w:val="24"/>
                <w:szCs w:val="24"/>
                <w:lang w:eastAsia="lv-LV"/>
              </w:rPr>
              <w:t>Tiesību akta projekta izstrādes nepieciešamība</w:t>
            </w:r>
          </w:p>
        </w:tc>
      </w:tr>
      <w:tr w:rsidR="009A312E" w:rsidRPr="00C770D6" w14:paraId="30C2187F" w14:textId="77777777" w:rsidTr="0056559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695E52C" w14:textId="77777777" w:rsidR="009A312E" w:rsidRPr="00C770D6" w:rsidRDefault="009A312E" w:rsidP="00B719FC">
            <w:pPr>
              <w:spacing w:after="0" w:line="240" w:lineRule="auto"/>
              <w:ind w:left="142" w:right="128"/>
              <w:jc w:val="both"/>
              <w:rPr>
                <w:rFonts w:ascii="Times New Roman" w:eastAsia="Times New Roman" w:hAnsi="Times New Roman"/>
                <w:sz w:val="24"/>
                <w:szCs w:val="24"/>
                <w:lang w:eastAsia="lv-LV"/>
              </w:rPr>
            </w:pPr>
            <w:r w:rsidRPr="00C770D6">
              <w:rPr>
                <w:rFonts w:ascii="Times New Roman" w:eastAsia="Times New Roman" w:hAnsi="Times New Roman"/>
                <w:sz w:val="24"/>
                <w:szCs w:val="24"/>
                <w:lang w:eastAsia="lv-LV"/>
              </w:rPr>
              <w:t xml:space="preserve">1. </w:t>
            </w:r>
            <w:r w:rsidRPr="00C770D6">
              <w:rPr>
                <w:rFonts w:ascii="Times New Roman" w:hAnsi="Times New Roman"/>
                <w:sz w:val="24"/>
                <w:szCs w:val="24"/>
              </w:rPr>
              <w:t>Pamatojums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F858813" w14:textId="4BAA9800" w:rsidR="009A312E" w:rsidRPr="00C770D6" w:rsidRDefault="00714546" w:rsidP="00BE7B48">
            <w:pPr>
              <w:spacing w:after="0"/>
              <w:ind w:firstLine="720"/>
              <w:jc w:val="both"/>
              <w:rPr>
                <w:rFonts w:ascii="Times New Roman" w:eastAsia="Times New Roman" w:hAnsi="Times New Roman"/>
                <w:sz w:val="24"/>
                <w:szCs w:val="24"/>
                <w:lang w:eastAsia="lv-LV"/>
              </w:rPr>
            </w:pPr>
            <w:r w:rsidRPr="00714546">
              <w:rPr>
                <w:rFonts w:ascii="Times New Roman" w:hAnsi="Times New Roman"/>
                <w:sz w:val="24"/>
                <w:szCs w:val="24"/>
              </w:rPr>
              <w:t>Energoefektivitātes likuma 6. panta astotā daļa un 7. panta sestā daļa</w:t>
            </w:r>
            <w:r>
              <w:rPr>
                <w:rFonts w:ascii="Times New Roman" w:hAnsi="Times New Roman"/>
                <w:sz w:val="24"/>
                <w:szCs w:val="24"/>
              </w:rPr>
              <w:t>.</w:t>
            </w:r>
          </w:p>
        </w:tc>
      </w:tr>
      <w:tr w:rsidR="000617F8" w:rsidRPr="008B78B2" w14:paraId="4870D352" w14:textId="77777777" w:rsidTr="002F542C">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1328094" w14:textId="77777777" w:rsidR="000617F8" w:rsidRPr="00C770D6" w:rsidRDefault="000617F8" w:rsidP="00B719FC">
            <w:pPr>
              <w:spacing w:after="0" w:line="240" w:lineRule="auto"/>
              <w:ind w:left="142" w:right="128"/>
              <w:jc w:val="both"/>
              <w:rPr>
                <w:rFonts w:ascii="Times New Roman" w:eastAsia="Times New Roman" w:hAnsi="Times New Roman"/>
                <w:sz w:val="24"/>
                <w:szCs w:val="24"/>
                <w:lang w:eastAsia="lv-LV"/>
              </w:rPr>
            </w:pPr>
            <w:r w:rsidRPr="00C770D6">
              <w:rPr>
                <w:rFonts w:ascii="Times New Roman" w:eastAsia="Times New Roman" w:hAnsi="Times New Roman"/>
                <w:sz w:val="24"/>
                <w:szCs w:val="24"/>
                <w:lang w:eastAsia="lv-LV"/>
              </w:rPr>
              <w:t xml:space="preserve">2. Pašreizējā situācija un problēmas, kuru risināšanai tiesību akta projekts </w:t>
            </w:r>
            <w:r w:rsidRPr="00C770D6">
              <w:rPr>
                <w:rFonts w:ascii="Times New Roman" w:hAnsi="Times New Roman"/>
                <w:sz w:val="24"/>
                <w:szCs w:val="24"/>
              </w:rPr>
              <w:t>izstrādāts</w:t>
            </w:r>
            <w:r w:rsidRPr="00C770D6">
              <w:rPr>
                <w:rFonts w:ascii="Times New Roman" w:eastAsia="Times New Roman" w:hAnsi="Times New Roman"/>
                <w:sz w:val="24"/>
                <w:szCs w:val="24"/>
                <w:lang w:eastAsia="lv-LV"/>
              </w:rPr>
              <w:t>, tiesiskā regulējuma mērķis un būtība</w:t>
            </w:r>
          </w:p>
          <w:p w14:paraId="297B6956" w14:textId="77777777" w:rsidR="000617F8" w:rsidRPr="00C770D6" w:rsidRDefault="000617F8" w:rsidP="000617F8">
            <w:pPr>
              <w:rPr>
                <w:rFonts w:ascii="Times New Roman" w:eastAsia="Times New Roman" w:hAnsi="Times New Roman"/>
                <w:sz w:val="24"/>
                <w:szCs w:val="24"/>
                <w:lang w:eastAsia="lv-LV"/>
              </w:rPr>
            </w:pPr>
          </w:p>
          <w:p w14:paraId="7E84CB39" w14:textId="77777777" w:rsidR="000617F8" w:rsidRPr="00C770D6" w:rsidRDefault="000617F8" w:rsidP="000617F8">
            <w:pPr>
              <w:rPr>
                <w:rFonts w:ascii="Times New Roman" w:eastAsia="Times New Roman" w:hAnsi="Times New Roman"/>
                <w:sz w:val="24"/>
                <w:szCs w:val="24"/>
                <w:lang w:eastAsia="lv-LV"/>
              </w:rPr>
            </w:pPr>
          </w:p>
          <w:p w14:paraId="477558BF" w14:textId="77777777" w:rsidR="000617F8" w:rsidRPr="00C770D6" w:rsidRDefault="000617F8" w:rsidP="000617F8">
            <w:pPr>
              <w:rPr>
                <w:rFonts w:ascii="Times New Roman" w:eastAsia="Times New Roman" w:hAnsi="Times New Roman"/>
                <w:sz w:val="24"/>
                <w:szCs w:val="24"/>
                <w:lang w:eastAsia="lv-LV"/>
              </w:rPr>
            </w:pPr>
          </w:p>
          <w:p w14:paraId="7BDA67C8" w14:textId="77777777" w:rsidR="000617F8" w:rsidRPr="00C770D6" w:rsidRDefault="000617F8" w:rsidP="000617F8">
            <w:pPr>
              <w:rPr>
                <w:rFonts w:ascii="Times New Roman" w:eastAsia="Times New Roman" w:hAnsi="Times New Roman"/>
                <w:sz w:val="24"/>
                <w:szCs w:val="24"/>
                <w:lang w:eastAsia="lv-LV"/>
              </w:rPr>
            </w:pPr>
          </w:p>
          <w:p w14:paraId="04CC600B" w14:textId="77777777" w:rsidR="000617F8" w:rsidRPr="00C770D6" w:rsidRDefault="000617F8" w:rsidP="000617F8">
            <w:pPr>
              <w:rPr>
                <w:rFonts w:ascii="Times New Roman" w:eastAsia="Times New Roman" w:hAnsi="Times New Roman"/>
                <w:sz w:val="24"/>
                <w:szCs w:val="24"/>
                <w:lang w:eastAsia="lv-LV"/>
              </w:rPr>
            </w:pPr>
          </w:p>
          <w:p w14:paraId="2F8D2731" w14:textId="77777777" w:rsidR="000617F8" w:rsidRPr="00C770D6" w:rsidRDefault="000617F8" w:rsidP="000617F8">
            <w:pPr>
              <w:rPr>
                <w:rFonts w:ascii="Times New Roman" w:eastAsia="Times New Roman" w:hAnsi="Times New Roman"/>
                <w:sz w:val="24"/>
                <w:szCs w:val="24"/>
                <w:lang w:eastAsia="lv-LV"/>
              </w:rPr>
            </w:pPr>
          </w:p>
          <w:p w14:paraId="5525482F" w14:textId="77777777" w:rsidR="000617F8" w:rsidRPr="00C770D6" w:rsidRDefault="000617F8" w:rsidP="000617F8">
            <w:pPr>
              <w:rPr>
                <w:rFonts w:ascii="Times New Roman" w:eastAsia="Times New Roman" w:hAnsi="Times New Roman"/>
                <w:sz w:val="24"/>
                <w:szCs w:val="24"/>
                <w:lang w:eastAsia="lv-LV"/>
              </w:rPr>
            </w:pPr>
          </w:p>
          <w:p w14:paraId="124F148F" w14:textId="77777777" w:rsidR="000617F8" w:rsidRPr="00C770D6" w:rsidRDefault="000617F8" w:rsidP="000617F8">
            <w:pPr>
              <w:rPr>
                <w:rFonts w:ascii="Times New Roman" w:eastAsia="Times New Roman" w:hAnsi="Times New Roman"/>
                <w:sz w:val="24"/>
                <w:szCs w:val="24"/>
                <w:lang w:eastAsia="lv-LV"/>
              </w:rPr>
            </w:pPr>
          </w:p>
          <w:p w14:paraId="7ED4717C" w14:textId="77777777" w:rsidR="000617F8" w:rsidRPr="00C770D6" w:rsidRDefault="000617F8" w:rsidP="000617F8">
            <w:pPr>
              <w:rPr>
                <w:rFonts w:ascii="Times New Roman" w:eastAsia="Times New Roman" w:hAnsi="Times New Roman"/>
                <w:sz w:val="24"/>
                <w:szCs w:val="24"/>
                <w:lang w:eastAsia="lv-LV"/>
              </w:rPr>
            </w:pPr>
          </w:p>
          <w:p w14:paraId="3712A373" w14:textId="77777777" w:rsidR="000617F8" w:rsidRPr="00C770D6" w:rsidRDefault="000617F8" w:rsidP="000617F8">
            <w:pPr>
              <w:rPr>
                <w:rFonts w:ascii="Times New Roman" w:eastAsia="Times New Roman" w:hAnsi="Times New Roman"/>
                <w:sz w:val="24"/>
                <w:szCs w:val="24"/>
                <w:lang w:eastAsia="lv-LV"/>
              </w:rPr>
            </w:pPr>
          </w:p>
          <w:p w14:paraId="611540ED" w14:textId="77777777" w:rsidR="000617F8" w:rsidRPr="00C770D6" w:rsidRDefault="000617F8" w:rsidP="000617F8">
            <w:pPr>
              <w:rPr>
                <w:rFonts w:ascii="Times New Roman" w:eastAsia="Times New Roman" w:hAnsi="Times New Roman"/>
                <w:sz w:val="24"/>
                <w:szCs w:val="24"/>
                <w:lang w:eastAsia="lv-LV"/>
              </w:rPr>
            </w:pPr>
          </w:p>
          <w:p w14:paraId="0768AF40" w14:textId="77777777" w:rsidR="000617F8" w:rsidRPr="00C770D6" w:rsidRDefault="000617F8" w:rsidP="000617F8">
            <w:pPr>
              <w:rPr>
                <w:rFonts w:ascii="Times New Roman" w:eastAsia="Times New Roman" w:hAnsi="Times New Roman"/>
                <w:sz w:val="24"/>
                <w:szCs w:val="24"/>
                <w:lang w:eastAsia="lv-LV"/>
              </w:rPr>
            </w:pPr>
          </w:p>
          <w:p w14:paraId="5617D3FC" w14:textId="77777777" w:rsidR="000617F8" w:rsidRPr="00C770D6" w:rsidRDefault="000617F8" w:rsidP="000617F8">
            <w:pPr>
              <w:rPr>
                <w:rFonts w:ascii="Times New Roman" w:eastAsia="Times New Roman" w:hAnsi="Times New Roman"/>
                <w:sz w:val="24"/>
                <w:szCs w:val="24"/>
                <w:lang w:eastAsia="lv-LV"/>
              </w:rPr>
            </w:pPr>
          </w:p>
          <w:p w14:paraId="6B2C4B0D" w14:textId="77777777" w:rsidR="000617F8" w:rsidRPr="00C770D6" w:rsidRDefault="000617F8" w:rsidP="000617F8">
            <w:pPr>
              <w:ind w:firstLine="720"/>
              <w:rPr>
                <w:rFonts w:ascii="Times New Roman" w:eastAsia="Times New Roman" w:hAnsi="Times New Roman"/>
                <w:sz w:val="24"/>
                <w:szCs w:val="24"/>
                <w:lang w:eastAsia="lv-LV"/>
              </w:rPr>
            </w:pP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tcPr>
          <w:p w14:paraId="55F80E54" w14:textId="66944662" w:rsidR="008E5906" w:rsidRPr="00802730" w:rsidRDefault="00545F6C" w:rsidP="00BE7B48">
            <w:pPr>
              <w:spacing w:after="0"/>
              <w:ind w:firstLine="720"/>
              <w:jc w:val="both"/>
              <w:rPr>
                <w:rFonts w:ascii="Times New Roman" w:hAnsi="Times New Roman"/>
                <w:color w:val="000000" w:themeColor="text1"/>
                <w:sz w:val="24"/>
                <w:szCs w:val="24"/>
                <w:shd w:val="clear" w:color="auto" w:fill="FFFFFF"/>
              </w:rPr>
            </w:pPr>
            <w:r w:rsidRPr="00802730">
              <w:rPr>
                <w:rFonts w:ascii="Times New Roman" w:hAnsi="Times New Roman"/>
                <w:sz w:val="24"/>
                <w:szCs w:val="24"/>
              </w:rPr>
              <w:lastRenderedPageBreak/>
              <w:t>Energoefektivitātes likums nosaka energoefektivitātes plānošanas un uzraudzības prasības, tajā skaitā paredz v</w:t>
            </w:r>
            <w:r w:rsidR="004C47F2" w:rsidRPr="00802730">
              <w:rPr>
                <w:rFonts w:ascii="Times New Roman" w:hAnsi="Times New Roman"/>
                <w:sz w:val="24"/>
                <w:szCs w:val="24"/>
              </w:rPr>
              <w:t>a</w:t>
            </w:r>
            <w:r w:rsidRPr="00802730">
              <w:rPr>
                <w:rFonts w:ascii="Times New Roman" w:hAnsi="Times New Roman"/>
                <w:sz w:val="24"/>
                <w:szCs w:val="24"/>
              </w:rPr>
              <w:t>irākus energoefektivitātes uzlabošanas politikas pasākumus. Tostarp</w:t>
            </w:r>
            <w:r w:rsidR="004C47F2" w:rsidRPr="00802730">
              <w:rPr>
                <w:rFonts w:ascii="Times New Roman" w:hAnsi="Times New Roman"/>
                <w:sz w:val="24"/>
                <w:szCs w:val="24"/>
              </w:rPr>
              <w:t xml:space="preserve"> likums paredz valsts un pašvaldības energoefektivitātes fondu izveidi</w:t>
            </w:r>
            <w:r w:rsidR="006F0A3F">
              <w:rPr>
                <w:rFonts w:ascii="Times New Roman" w:hAnsi="Times New Roman"/>
                <w:sz w:val="24"/>
                <w:szCs w:val="24"/>
              </w:rPr>
              <w:t>, kuru finansējumu veido</w:t>
            </w:r>
            <w:r w:rsidR="004C47F2" w:rsidRPr="00802730">
              <w:rPr>
                <w:rFonts w:ascii="Times New Roman" w:hAnsi="Times New Roman"/>
                <w:sz w:val="24"/>
                <w:szCs w:val="24"/>
              </w:rPr>
              <w:t xml:space="preserve"> </w:t>
            </w:r>
            <w:r w:rsidR="006F0A3F">
              <w:rPr>
                <w:rFonts w:ascii="Times New Roman" w:hAnsi="Times New Roman"/>
                <w:sz w:val="24"/>
                <w:szCs w:val="24"/>
              </w:rPr>
              <w:t xml:space="preserve">energoefektivitātes pienākumu shēmas (turpmāk – EPS) atbildīgo pušu iemaksas un </w:t>
            </w:r>
            <w:r w:rsidR="00BE7B48" w:rsidRPr="00802730">
              <w:rPr>
                <w:rFonts w:ascii="Times New Roman" w:hAnsi="Times New Roman"/>
                <w:sz w:val="24"/>
                <w:szCs w:val="24"/>
              </w:rPr>
              <w:t>energoefektivitātes nodevu maksājum</w:t>
            </w:r>
            <w:r w:rsidR="006F0A3F">
              <w:rPr>
                <w:rFonts w:ascii="Times New Roman" w:hAnsi="Times New Roman"/>
                <w:sz w:val="24"/>
                <w:szCs w:val="24"/>
              </w:rPr>
              <w:t>i</w:t>
            </w:r>
            <w:r w:rsidR="004C47F2" w:rsidRPr="00802730">
              <w:rPr>
                <w:rFonts w:ascii="Times New Roman" w:hAnsi="Times New Roman"/>
                <w:sz w:val="24"/>
                <w:szCs w:val="24"/>
              </w:rPr>
              <w:t xml:space="preserve">. </w:t>
            </w:r>
            <w:r w:rsidR="00BE7B48" w:rsidRPr="00802730">
              <w:rPr>
                <w:rFonts w:ascii="Times New Roman" w:hAnsi="Times New Roman"/>
                <w:sz w:val="24"/>
                <w:szCs w:val="24"/>
              </w:rPr>
              <w:t xml:space="preserve">Ministru kabineta 2017.gada 25.aprīļa noteikumi Nr. 221 “Noteikumi par kārtību, kādā tiek veiktas iemaksas energoefektivitātes fondos, un to apmēru, kā arī energoefektivitātes fonda līdzekļu izmantošanu” (turpmāk - </w:t>
            </w:r>
            <w:r w:rsidR="008E5906" w:rsidRPr="00802730">
              <w:rPr>
                <w:rFonts w:ascii="Times New Roman" w:hAnsi="Times New Roman"/>
                <w:sz w:val="24"/>
                <w:szCs w:val="24"/>
              </w:rPr>
              <w:t>MK noteikumi Nr.221</w:t>
            </w:r>
            <w:r w:rsidR="00BE7B48" w:rsidRPr="00802730">
              <w:rPr>
                <w:rFonts w:ascii="Times New Roman" w:hAnsi="Times New Roman"/>
                <w:sz w:val="24"/>
                <w:szCs w:val="24"/>
              </w:rPr>
              <w:t>)</w:t>
            </w:r>
            <w:r w:rsidR="008E5906" w:rsidRPr="00802730">
              <w:rPr>
                <w:rFonts w:ascii="Times New Roman" w:hAnsi="Times New Roman"/>
                <w:sz w:val="24"/>
                <w:szCs w:val="24"/>
              </w:rPr>
              <w:t xml:space="preserve"> paredz, ka </w:t>
            </w:r>
            <w:r w:rsidR="00BE068D" w:rsidRPr="00802730">
              <w:rPr>
                <w:rFonts w:ascii="Times New Roman" w:hAnsi="Times New Roman"/>
                <w:sz w:val="24"/>
                <w:szCs w:val="24"/>
              </w:rPr>
              <w:t>V</w:t>
            </w:r>
            <w:r w:rsidR="008E5906" w:rsidRPr="00802730">
              <w:rPr>
                <w:rFonts w:ascii="Times New Roman" w:hAnsi="Times New Roman"/>
                <w:sz w:val="24"/>
                <w:szCs w:val="24"/>
              </w:rPr>
              <w:t xml:space="preserve">alsts energoefektivitātes fonda </w:t>
            </w:r>
            <w:r w:rsidR="00BE068D" w:rsidRPr="00802730">
              <w:rPr>
                <w:rFonts w:ascii="Times New Roman" w:hAnsi="Times New Roman"/>
                <w:sz w:val="24"/>
                <w:szCs w:val="24"/>
              </w:rPr>
              <w:t xml:space="preserve">(turpmāk – fonds) </w:t>
            </w:r>
            <w:r w:rsidR="008E5906" w:rsidRPr="00802730">
              <w:rPr>
                <w:rFonts w:ascii="Times New Roman" w:hAnsi="Times New Roman"/>
                <w:sz w:val="24"/>
                <w:szCs w:val="24"/>
              </w:rPr>
              <w:t>pārvaldītājs ir akciju sabiedrība</w:t>
            </w:r>
            <w:r w:rsidR="008E5906" w:rsidRPr="00802730">
              <w:rPr>
                <w:rFonts w:ascii="Times New Roman" w:hAnsi="Times New Roman"/>
                <w:color w:val="000000" w:themeColor="text1"/>
                <w:sz w:val="24"/>
                <w:szCs w:val="24"/>
                <w:shd w:val="clear" w:color="auto" w:fill="FFFFFF"/>
              </w:rPr>
              <w:t xml:space="preserve"> “Attīstības finanšu institūcija </w:t>
            </w:r>
            <w:proofErr w:type="spellStart"/>
            <w:r w:rsidR="008E5906" w:rsidRPr="00802730">
              <w:rPr>
                <w:rFonts w:ascii="Times New Roman" w:hAnsi="Times New Roman"/>
                <w:color w:val="000000" w:themeColor="text1"/>
                <w:sz w:val="24"/>
                <w:szCs w:val="24"/>
                <w:shd w:val="clear" w:color="auto" w:fill="FFFFFF"/>
              </w:rPr>
              <w:t>Altum</w:t>
            </w:r>
            <w:proofErr w:type="spellEnd"/>
            <w:r w:rsidR="008E5906" w:rsidRPr="00802730">
              <w:rPr>
                <w:rFonts w:ascii="Times New Roman" w:hAnsi="Times New Roman"/>
                <w:color w:val="000000" w:themeColor="text1"/>
                <w:sz w:val="24"/>
                <w:szCs w:val="24"/>
                <w:shd w:val="clear" w:color="auto" w:fill="FFFFFF"/>
              </w:rPr>
              <w:t>” (</w:t>
            </w:r>
            <w:r w:rsidR="008E5906" w:rsidRPr="00802730">
              <w:rPr>
                <w:rFonts w:ascii="Times New Roman" w:hAnsi="Times New Roman"/>
                <w:sz w:val="24"/>
                <w:szCs w:val="24"/>
              </w:rPr>
              <w:t>turpmāk</w:t>
            </w:r>
            <w:r w:rsidR="008E5906" w:rsidRPr="00802730">
              <w:rPr>
                <w:rFonts w:ascii="Times New Roman" w:hAnsi="Times New Roman"/>
                <w:color w:val="000000" w:themeColor="text1"/>
                <w:sz w:val="24"/>
                <w:szCs w:val="24"/>
                <w:shd w:val="clear" w:color="auto" w:fill="FFFFFF"/>
              </w:rPr>
              <w:t xml:space="preserve"> – sabiedrība “</w:t>
            </w:r>
            <w:proofErr w:type="spellStart"/>
            <w:r w:rsidR="008E5906" w:rsidRPr="00802730">
              <w:rPr>
                <w:rFonts w:ascii="Times New Roman" w:hAnsi="Times New Roman"/>
                <w:color w:val="000000" w:themeColor="text1"/>
                <w:sz w:val="24"/>
                <w:szCs w:val="24"/>
                <w:shd w:val="clear" w:color="auto" w:fill="FFFFFF"/>
              </w:rPr>
              <w:t>Altum</w:t>
            </w:r>
            <w:proofErr w:type="spellEnd"/>
            <w:r w:rsidR="008E5906" w:rsidRPr="00802730">
              <w:rPr>
                <w:rFonts w:ascii="Times New Roman" w:hAnsi="Times New Roman"/>
                <w:color w:val="000000" w:themeColor="text1"/>
                <w:sz w:val="24"/>
                <w:szCs w:val="24"/>
                <w:shd w:val="clear" w:color="auto" w:fill="FFFFFF"/>
              </w:rPr>
              <w:t>”)</w:t>
            </w:r>
            <w:r w:rsidR="004D0101">
              <w:rPr>
                <w:rFonts w:ascii="Times New Roman" w:hAnsi="Times New Roman"/>
                <w:color w:val="000000" w:themeColor="text1"/>
                <w:sz w:val="24"/>
                <w:szCs w:val="24"/>
                <w:shd w:val="clear" w:color="auto" w:fill="FFFFFF"/>
              </w:rPr>
              <w:t xml:space="preserve">, kā arī </w:t>
            </w:r>
            <w:r w:rsidR="008E5906" w:rsidRPr="00802730">
              <w:rPr>
                <w:rFonts w:ascii="Times New Roman" w:hAnsi="Times New Roman"/>
                <w:color w:val="000000" w:themeColor="text1"/>
                <w:sz w:val="24"/>
                <w:szCs w:val="24"/>
                <w:shd w:val="clear" w:color="auto" w:fill="FFFFFF"/>
              </w:rPr>
              <w:t>nosaka kārtību, kādā sabiedrība “</w:t>
            </w:r>
            <w:proofErr w:type="spellStart"/>
            <w:r w:rsidR="008E5906" w:rsidRPr="00802730">
              <w:rPr>
                <w:rFonts w:ascii="Times New Roman" w:hAnsi="Times New Roman"/>
                <w:color w:val="000000" w:themeColor="text1"/>
                <w:sz w:val="24"/>
                <w:szCs w:val="24"/>
                <w:shd w:val="clear" w:color="auto" w:fill="FFFFFF"/>
              </w:rPr>
              <w:t>Altum</w:t>
            </w:r>
            <w:proofErr w:type="spellEnd"/>
            <w:r w:rsidR="008E5906" w:rsidRPr="00802730">
              <w:rPr>
                <w:rFonts w:ascii="Times New Roman" w:hAnsi="Times New Roman"/>
                <w:color w:val="000000" w:themeColor="text1"/>
                <w:sz w:val="24"/>
                <w:szCs w:val="24"/>
                <w:shd w:val="clear" w:color="auto" w:fill="FFFFFF"/>
              </w:rPr>
              <w:t xml:space="preserve">” uztur un izmanto fonda līdzekļus, </w:t>
            </w:r>
            <w:r w:rsidR="004D0101">
              <w:rPr>
                <w:rFonts w:ascii="Times New Roman" w:hAnsi="Times New Roman"/>
                <w:color w:val="000000" w:themeColor="text1"/>
                <w:sz w:val="24"/>
                <w:szCs w:val="24"/>
                <w:shd w:val="clear" w:color="auto" w:fill="FFFFFF"/>
              </w:rPr>
              <w:t>un</w:t>
            </w:r>
            <w:r w:rsidR="008E5906" w:rsidRPr="00802730">
              <w:rPr>
                <w:rFonts w:ascii="Times New Roman" w:hAnsi="Times New Roman"/>
                <w:color w:val="000000" w:themeColor="text1"/>
                <w:sz w:val="24"/>
                <w:szCs w:val="24"/>
                <w:shd w:val="clear" w:color="auto" w:fill="FFFFFF"/>
              </w:rPr>
              <w:t xml:space="preserve"> sniedz pārskatu par to izmantošanu. </w:t>
            </w:r>
            <w:r w:rsidR="00E359A2">
              <w:rPr>
                <w:rFonts w:ascii="Times New Roman" w:hAnsi="Times New Roman"/>
                <w:color w:val="000000" w:themeColor="text1"/>
                <w:sz w:val="24"/>
                <w:szCs w:val="24"/>
                <w:shd w:val="clear" w:color="auto" w:fill="FFFFFF"/>
              </w:rPr>
              <w:t>Ņemot vērā, ka noteikumos ir noteikta kārtībā, kādā sabiedrība “</w:t>
            </w:r>
            <w:proofErr w:type="spellStart"/>
            <w:r w:rsidR="00E359A2">
              <w:rPr>
                <w:rFonts w:ascii="Times New Roman" w:hAnsi="Times New Roman"/>
                <w:color w:val="000000" w:themeColor="text1"/>
                <w:sz w:val="24"/>
                <w:szCs w:val="24"/>
                <w:shd w:val="clear" w:color="auto" w:fill="FFFFFF"/>
              </w:rPr>
              <w:t>Altum</w:t>
            </w:r>
            <w:proofErr w:type="spellEnd"/>
            <w:r w:rsidR="00E359A2">
              <w:rPr>
                <w:rFonts w:ascii="Times New Roman" w:hAnsi="Times New Roman"/>
                <w:color w:val="000000" w:themeColor="text1"/>
                <w:sz w:val="24"/>
                <w:szCs w:val="24"/>
                <w:shd w:val="clear" w:color="auto" w:fill="FFFFFF"/>
              </w:rPr>
              <w:t>” izmanto valsts energoefektivitātes fonda līdzekļus</w:t>
            </w:r>
            <w:r w:rsidR="004D0101">
              <w:rPr>
                <w:rFonts w:ascii="Times New Roman" w:hAnsi="Times New Roman"/>
                <w:color w:val="000000" w:themeColor="text1"/>
                <w:sz w:val="24"/>
                <w:szCs w:val="24"/>
                <w:shd w:val="clear" w:color="auto" w:fill="FFFFFF"/>
              </w:rPr>
              <w:t>, un</w:t>
            </w:r>
            <w:r w:rsidR="00E359A2">
              <w:rPr>
                <w:rFonts w:ascii="Times New Roman" w:hAnsi="Times New Roman"/>
                <w:color w:val="000000" w:themeColor="text1"/>
                <w:sz w:val="24"/>
                <w:szCs w:val="24"/>
                <w:shd w:val="clear" w:color="auto" w:fill="FFFFFF"/>
              </w:rPr>
              <w:t>, ka MK noteikumi Nr.221 nenosaka kā izmantojami pašvaldību energoefektivitātes fonda līdzekļi, bet tikai valsts energoefektivitātes fonda līdzekļi, tiek precizēts MK noteikumu Nr.221</w:t>
            </w:r>
            <w:r w:rsidR="004D0101">
              <w:rPr>
                <w:rFonts w:ascii="Times New Roman" w:hAnsi="Times New Roman"/>
                <w:color w:val="000000" w:themeColor="text1"/>
                <w:sz w:val="24"/>
                <w:szCs w:val="24"/>
                <w:shd w:val="clear" w:color="auto" w:fill="FFFFFF"/>
              </w:rPr>
              <w:t xml:space="preserve"> nosaukums</w:t>
            </w:r>
            <w:r w:rsidR="00E359A2">
              <w:rPr>
                <w:rFonts w:ascii="Times New Roman" w:hAnsi="Times New Roman"/>
                <w:color w:val="000000" w:themeColor="text1"/>
                <w:sz w:val="24"/>
                <w:szCs w:val="24"/>
                <w:shd w:val="clear" w:color="auto" w:fill="FFFFFF"/>
              </w:rPr>
              <w:t xml:space="preserve">, </w:t>
            </w:r>
            <w:r w:rsidR="004D0101">
              <w:rPr>
                <w:rFonts w:ascii="Times New Roman" w:hAnsi="Times New Roman"/>
                <w:color w:val="000000" w:themeColor="text1"/>
                <w:sz w:val="24"/>
                <w:szCs w:val="24"/>
                <w:shd w:val="clear" w:color="auto" w:fill="FFFFFF"/>
              </w:rPr>
              <w:t xml:space="preserve">iekļaujot norādi, </w:t>
            </w:r>
            <w:r w:rsidR="00E359A2">
              <w:rPr>
                <w:rFonts w:ascii="Times New Roman" w:hAnsi="Times New Roman"/>
                <w:color w:val="000000" w:themeColor="text1"/>
                <w:sz w:val="24"/>
                <w:szCs w:val="24"/>
                <w:shd w:val="clear" w:color="auto" w:fill="FFFFFF"/>
              </w:rPr>
              <w:t xml:space="preserve"> ka noteikumi nosaka</w:t>
            </w:r>
            <w:r w:rsidR="00D904FD">
              <w:rPr>
                <w:rFonts w:ascii="Times New Roman" w:hAnsi="Times New Roman"/>
                <w:color w:val="000000" w:themeColor="text1"/>
                <w:sz w:val="24"/>
                <w:szCs w:val="24"/>
                <w:shd w:val="clear" w:color="auto" w:fill="FFFFFF"/>
              </w:rPr>
              <w:t xml:space="preserve"> tieši</w:t>
            </w:r>
            <w:r w:rsidR="00E359A2">
              <w:rPr>
                <w:rFonts w:ascii="Times New Roman" w:hAnsi="Times New Roman"/>
                <w:color w:val="000000" w:themeColor="text1"/>
                <w:sz w:val="24"/>
                <w:szCs w:val="24"/>
                <w:shd w:val="clear" w:color="auto" w:fill="FFFFFF"/>
              </w:rPr>
              <w:t xml:space="preserve"> valsts energoefektivitātes fonda līdzekļu izmantošanu. </w:t>
            </w:r>
          </w:p>
          <w:p w14:paraId="76BD73B3" w14:textId="438B4E15" w:rsidR="00597D13" w:rsidRDefault="00597D13" w:rsidP="00597D13">
            <w:pPr>
              <w:spacing w:after="0"/>
              <w:ind w:firstLine="720"/>
              <w:jc w:val="both"/>
              <w:rPr>
                <w:rFonts w:ascii="Times New Roman" w:hAnsi="Times New Roman"/>
                <w:sz w:val="24"/>
                <w:szCs w:val="24"/>
              </w:rPr>
            </w:pPr>
            <w:r>
              <w:rPr>
                <w:rFonts w:ascii="Times New Roman" w:hAnsi="Times New Roman"/>
                <w:sz w:val="24"/>
                <w:szCs w:val="24"/>
              </w:rPr>
              <w:t xml:space="preserve">Energoefektivitātes </w:t>
            </w:r>
            <w:r w:rsidRPr="00E359A2">
              <w:rPr>
                <w:rFonts w:ascii="Times New Roman" w:hAnsi="Times New Roman"/>
                <w:sz w:val="24"/>
                <w:szCs w:val="24"/>
              </w:rPr>
              <w:t>likuma 7.panta 5.daļā un MK</w:t>
            </w:r>
            <w:r>
              <w:rPr>
                <w:rFonts w:ascii="Times New Roman" w:hAnsi="Times New Roman"/>
                <w:sz w:val="24"/>
                <w:szCs w:val="24"/>
              </w:rPr>
              <w:t xml:space="preserve"> noteikumu Nr.221 18.punktā noteikts, ka fonda līdzekļi izmantojami, </w:t>
            </w:r>
            <w:r w:rsidRPr="00976644">
              <w:rPr>
                <w:rFonts w:ascii="Times New Roman" w:hAnsi="Times New Roman"/>
                <w:sz w:val="24"/>
                <w:szCs w:val="24"/>
              </w:rPr>
              <w:t xml:space="preserve">lai īstenotu valsts atbalsta programmu obligātā enerģijas </w:t>
            </w:r>
            <w:proofErr w:type="spellStart"/>
            <w:r w:rsidRPr="00976644">
              <w:rPr>
                <w:rFonts w:ascii="Times New Roman" w:hAnsi="Times New Roman"/>
                <w:sz w:val="24"/>
                <w:szCs w:val="24"/>
              </w:rPr>
              <w:t>galapatēriņa</w:t>
            </w:r>
            <w:proofErr w:type="spellEnd"/>
            <w:r w:rsidRPr="00976644">
              <w:rPr>
                <w:rFonts w:ascii="Times New Roman" w:hAnsi="Times New Roman"/>
                <w:sz w:val="24"/>
                <w:szCs w:val="24"/>
              </w:rPr>
              <w:t xml:space="preserve"> mērķa </w:t>
            </w:r>
            <w:r w:rsidRPr="00976644">
              <w:rPr>
                <w:rFonts w:ascii="Times New Roman" w:hAnsi="Times New Roman"/>
                <w:sz w:val="24"/>
                <w:szCs w:val="24"/>
              </w:rPr>
              <w:lastRenderedPageBreak/>
              <w:t xml:space="preserve">sasniegšanai un sabiedrības informēšanas un izglītošanas pasākumiem energoefektivitātes jomā. </w:t>
            </w:r>
            <w:r w:rsidR="00E359A2">
              <w:rPr>
                <w:rFonts w:ascii="Times New Roman" w:hAnsi="Times New Roman"/>
                <w:sz w:val="24"/>
                <w:szCs w:val="24"/>
              </w:rPr>
              <w:t>Ņemot vērā, ka šobrīd nav</w:t>
            </w:r>
            <w:r>
              <w:rPr>
                <w:rFonts w:ascii="Times New Roman" w:hAnsi="Times New Roman"/>
                <w:sz w:val="24"/>
                <w:szCs w:val="24"/>
              </w:rPr>
              <w:t xml:space="preserve"> skaidrības, kāds finansējuma apmērs tuvākajā laikā varētu tikt iemaksāts fondā</w:t>
            </w:r>
            <w:r w:rsidR="00E359A2">
              <w:rPr>
                <w:rFonts w:ascii="Times New Roman" w:hAnsi="Times New Roman"/>
                <w:sz w:val="24"/>
                <w:szCs w:val="24"/>
              </w:rPr>
              <w:t xml:space="preserve"> un šobrīd pieejamais finansējums ir pārāk neliels, lai būtu ekonomiski pamatoti izstrādāt un īstenot valsts atbalsta programmu, </w:t>
            </w:r>
            <w:r>
              <w:rPr>
                <w:rFonts w:ascii="Times New Roman" w:hAnsi="Times New Roman"/>
                <w:sz w:val="24"/>
                <w:szCs w:val="24"/>
              </w:rPr>
              <w:t>pagaidām sabiedrība “</w:t>
            </w:r>
            <w:proofErr w:type="spellStart"/>
            <w:r>
              <w:rPr>
                <w:rFonts w:ascii="Times New Roman" w:hAnsi="Times New Roman"/>
                <w:sz w:val="24"/>
                <w:szCs w:val="24"/>
              </w:rPr>
              <w:t>Altum</w:t>
            </w:r>
            <w:proofErr w:type="spellEnd"/>
            <w:r>
              <w:rPr>
                <w:rFonts w:ascii="Times New Roman" w:hAnsi="Times New Roman"/>
                <w:sz w:val="24"/>
                <w:szCs w:val="24"/>
              </w:rPr>
              <w:t>” īstenos tikai Energoefektivitātes likumā un MK noteikumos Nr.221 noteiktos sabiedrības informēšanas un izglītošanas pasākumus energoefektivitātes jomā. Tiklīdz būs zināmas konkrētas prognozes par fonda finansējuma apmēru un tas kļūs lielāks, Ekonomikas ministrija izstrādās Ministru kabineta noteikumus valsts atbalsta programmai. Tādēļ arī noteikumu projekts paredz, ka sabiedrība “</w:t>
            </w:r>
            <w:proofErr w:type="spellStart"/>
            <w:r>
              <w:rPr>
                <w:rFonts w:ascii="Times New Roman" w:hAnsi="Times New Roman"/>
                <w:sz w:val="24"/>
                <w:szCs w:val="24"/>
              </w:rPr>
              <w:t>Altum</w:t>
            </w:r>
            <w:proofErr w:type="spellEnd"/>
            <w:r>
              <w:rPr>
                <w:rFonts w:ascii="Times New Roman" w:hAnsi="Times New Roman"/>
                <w:sz w:val="24"/>
                <w:szCs w:val="24"/>
              </w:rPr>
              <w:t>” fonda finansējumu izmanto gan sabiedrības informēšanas un izglītošanas pasākumiem, gan</w:t>
            </w:r>
            <w:r w:rsidR="00E359A2">
              <w:rPr>
                <w:rFonts w:ascii="Times New Roman" w:hAnsi="Times New Roman"/>
                <w:sz w:val="24"/>
                <w:szCs w:val="24"/>
              </w:rPr>
              <w:t xml:space="preserve"> arī</w:t>
            </w:r>
            <w:r>
              <w:rPr>
                <w:rFonts w:ascii="Times New Roman" w:hAnsi="Times New Roman"/>
                <w:sz w:val="24"/>
                <w:szCs w:val="24"/>
              </w:rPr>
              <w:t xml:space="preserve"> lai īstenotu valsts atbalsta programmu obligātā enerģijas </w:t>
            </w:r>
            <w:proofErr w:type="spellStart"/>
            <w:r>
              <w:rPr>
                <w:rFonts w:ascii="Times New Roman" w:hAnsi="Times New Roman"/>
                <w:sz w:val="24"/>
                <w:szCs w:val="24"/>
              </w:rPr>
              <w:t>galapatēriņa</w:t>
            </w:r>
            <w:proofErr w:type="spellEnd"/>
            <w:r>
              <w:rPr>
                <w:rFonts w:ascii="Times New Roman" w:hAnsi="Times New Roman"/>
                <w:sz w:val="24"/>
                <w:szCs w:val="24"/>
              </w:rPr>
              <w:t xml:space="preserve">  mērķa sasniegšanai, kuras kārtību noteiks Ministru kabinets, atbilstoši Energoefektivitātes likumā noteiktajam.  </w:t>
            </w:r>
          </w:p>
          <w:p w14:paraId="2D058221" w14:textId="61B84C6F" w:rsidR="00E56962" w:rsidRDefault="00BE7B48" w:rsidP="00BE7B48">
            <w:pPr>
              <w:spacing w:after="0"/>
              <w:ind w:firstLine="720"/>
              <w:jc w:val="both"/>
              <w:rPr>
                <w:rFonts w:ascii="Times New Roman" w:hAnsi="Times New Roman"/>
                <w:sz w:val="24"/>
                <w:szCs w:val="24"/>
              </w:rPr>
            </w:pPr>
            <w:r w:rsidRPr="00802730">
              <w:rPr>
                <w:rFonts w:ascii="Times New Roman" w:hAnsi="Times New Roman"/>
                <w:sz w:val="24"/>
                <w:szCs w:val="24"/>
              </w:rPr>
              <w:t xml:space="preserve">Atbilstoši Energoefektivitātes likumā noteiktajam, fonda finanšu avoti ir energoefektivitātes pienākumu shēmas atbildīgo pušu iemaksas un vismaz 90 procenti no energoefektivitātes nodevas ieņēmumiem valsts budžetā. </w:t>
            </w:r>
            <w:r w:rsidR="00BE068D" w:rsidRPr="00802730">
              <w:rPr>
                <w:rFonts w:ascii="Times New Roman" w:hAnsi="Times New Roman"/>
                <w:sz w:val="24"/>
                <w:szCs w:val="24"/>
              </w:rPr>
              <w:t xml:space="preserve">Turpretī MK noteikumu Nr.221 esošā redakcija nosaka, ka fondā iemaksājamas tikai energoefektivitātes pienākuma shēmas atbildīgo pušu iemaksas, nenorādot uz energoefektivitātes nodevām. </w:t>
            </w:r>
            <w:r w:rsidR="00D23C78">
              <w:rPr>
                <w:rFonts w:ascii="Times New Roman" w:hAnsi="Times New Roman"/>
                <w:sz w:val="24"/>
                <w:szCs w:val="24"/>
              </w:rPr>
              <w:t>Vienlaikus MK noteikumu Nr.221 nosacījumi paredz kārtību, kādā līdzekļi ieskaitāmi fondā un kā sabiedrība “</w:t>
            </w:r>
            <w:proofErr w:type="spellStart"/>
            <w:r w:rsidR="00D23C78">
              <w:rPr>
                <w:rFonts w:ascii="Times New Roman" w:hAnsi="Times New Roman"/>
                <w:sz w:val="24"/>
                <w:szCs w:val="24"/>
              </w:rPr>
              <w:t>Altum</w:t>
            </w:r>
            <w:proofErr w:type="spellEnd"/>
            <w:r w:rsidR="00D23C78">
              <w:rPr>
                <w:rFonts w:ascii="Times New Roman" w:hAnsi="Times New Roman"/>
                <w:sz w:val="24"/>
                <w:szCs w:val="24"/>
              </w:rPr>
              <w:t xml:space="preserve">” izmanto šos līdzekļus. </w:t>
            </w:r>
            <w:r w:rsidR="00BE068D" w:rsidRPr="00802730">
              <w:rPr>
                <w:rFonts w:ascii="Times New Roman" w:hAnsi="Times New Roman"/>
                <w:sz w:val="24"/>
                <w:szCs w:val="24"/>
              </w:rPr>
              <w:t>MK noteikumu Nr.221 esošā redakcija nosaka</w:t>
            </w:r>
            <w:r w:rsidR="00597D13">
              <w:rPr>
                <w:rFonts w:ascii="Times New Roman" w:hAnsi="Times New Roman"/>
                <w:sz w:val="24"/>
                <w:szCs w:val="24"/>
              </w:rPr>
              <w:t xml:space="preserve"> arī to</w:t>
            </w:r>
            <w:r w:rsidR="00BE068D" w:rsidRPr="00802730">
              <w:rPr>
                <w:rFonts w:ascii="Times New Roman" w:hAnsi="Times New Roman"/>
                <w:sz w:val="24"/>
                <w:szCs w:val="24"/>
              </w:rPr>
              <w:t xml:space="preserve">, ka fonds darbību uzsāk </w:t>
            </w:r>
            <w:r w:rsidR="00024D1B" w:rsidRPr="00802730">
              <w:rPr>
                <w:rFonts w:ascii="Times New Roman" w:hAnsi="Times New Roman"/>
                <w:sz w:val="24"/>
                <w:szCs w:val="24"/>
              </w:rPr>
              <w:t>tikai</w:t>
            </w:r>
            <w:r w:rsidR="00BE068D" w:rsidRPr="00802730">
              <w:rPr>
                <w:rFonts w:ascii="Times New Roman" w:hAnsi="Times New Roman"/>
                <w:sz w:val="24"/>
                <w:szCs w:val="24"/>
              </w:rPr>
              <w:t xml:space="preserve"> </w:t>
            </w:r>
            <w:r w:rsidR="00273253" w:rsidRPr="00802730">
              <w:rPr>
                <w:rFonts w:ascii="Times New Roman" w:hAnsi="Times New Roman"/>
                <w:sz w:val="24"/>
                <w:szCs w:val="24"/>
              </w:rPr>
              <w:t xml:space="preserve">pēc tam, kad </w:t>
            </w:r>
            <w:r w:rsidR="00024D1B" w:rsidRPr="00802730">
              <w:rPr>
                <w:rFonts w:ascii="Times New Roman" w:hAnsi="Times New Roman"/>
                <w:sz w:val="24"/>
                <w:szCs w:val="24"/>
              </w:rPr>
              <w:t xml:space="preserve">fondā iemaksātas </w:t>
            </w:r>
            <w:r w:rsidR="00273253" w:rsidRPr="00802730">
              <w:rPr>
                <w:rFonts w:ascii="Times New Roman" w:hAnsi="Times New Roman"/>
                <w:sz w:val="24"/>
                <w:szCs w:val="24"/>
              </w:rPr>
              <w:t xml:space="preserve">EPS atbildīgo pušu iemaksas </w:t>
            </w:r>
            <w:r w:rsidR="00024D1B" w:rsidRPr="00802730">
              <w:rPr>
                <w:rFonts w:ascii="Times New Roman" w:hAnsi="Times New Roman"/>
                <w:sz w:val="24"/>
                <w:szCs w:val="24"/>
              </w:rPr>
              <w:t xml:space="preserve">un tiek apstiprināts fonda nolikums. Vienlaikus norādām, ka EPS atbildīgās puses vēl nav veikušas maksājumus un nav informācijas kad un kādā apmērā tās varētu tikt iemaksātas, </w:t>
            </w:r>
            <w:r w:rsidR="0074288D" w:rsidRPr="00802730">
              <w:rPr>
                <w:rFonts w:ascii="Times New Roman" w:hAnsi="Times New Roman"/>
                <w:sz w:val="24"/>
                <w:szCs w:val="24"/>
              </w:rPr>
              <w:t xml:space="preserve">turpretī </w:t>
            </w:r>
            <w:r w:rsidR="00024D1B" w:rsidRPr="00802730">
              <w:rPr>
                <w:rFonts w:ascii="Times New Roman" w:hAnsi="Times New Roman"/>
                <w:sz w:val="24"/>
                <w:szCs w:val="24"/>
              </w:rPr>
              <w:t>ir saņemti energoefektivitātes nodevu maksājumi, kurus Ekonomikas ministrija</w:t>
            </w:r>
            <w:r w:rsidR="00597D13">
              <w:rPr>
                <w:rFonts w:ascii="Times New Roman" w:hAnsi="Times New Roman"/>
                <w:sz w:val="24"/>
                <w:szCs w:val="24"/>
              </w:rPr>
              <w:t xml:space="preserve">, atbilstoši Energoefektivitātes likumam, </w:t>
            </w:r>
            <w:r w:rsidR="00024D1B" w:rsidRPr="00802730">
              <w:rPr>
                <w:rFonts w:ascii="Times New Roman" w:hAnsi="Times New Roman"/>
                <w:sz w:val="24"/>
                <w:szCs w:val="24"/>
              </w:rPr>
              <w:t>ir iemaksājusi fondā</w:t>
            </w:r>
            <w:r w:rsidR="00802730" w:rsidRPr="00802730">
              <w:rPr>
                <w:rFonts w:ascii="Times New Roman" w:hAnsi="Times New Roman"/>
                <w:sz w:val="24"/>
                <w:szCs w:val="24"/>
              </w:rPr>
              <w:t>, k</w:t>
            </w:r>
            <w:r w:rsidR="00024D1B" w:rsidRPr="00802730">
              <w:rPr>
                <w:rFonts w:ascii="Times New Roman" w:hAnsi="Times New Roman"/>
                <w:sz w:val="24"/>
                <w:szCs w:val="24"/>
              </w:rPr>
              <w:t xml:space="preserve">ā arī ir </w:t>
            </w:r>
            <w:r w:rsidR="002809A6" w:rsidRPr="00802730">
              <w:rPr>
                <w:rFonts w:ascii="Times New Roman" w:hAnsi="Times New Roman"/>
                <w:sz w:val="24"/>
                <w:szCs w:val="24"/>
              </w:rPr>
              <w:t>apstiprināts</w:t>
            </w:r>
            <w:r w:rsidR="00024D1B" w:rsidRPr="00802730">
              <w:rPr>
                <w:rFonts w:ascii="Times New Roman" w:hAnsi="Times New Roman"/>
                <w:sz w:val="24"/>
                <w:szCs w:val="24"/>
              </w:rPr>
              <w:t xml:space="preserve"> fonda nolikums</w:t>
            </w:r>
            <w:r w:rsidR="004D393D">
              <w:rPr>
                <w:rFonts w:ascii="Times New Roman" w:hAnsi="Times New Roman"/>
                <w:sz w:val="24"/>
                <w:szCs w:val="24"/>
              </w:rPr>
              <w:t xml:space="preserve"> un noslēgts līgums starp Ekonomikas ministriju un sabiedrību “</w:t>
            </w:r>
            <w:proofErr w:type="spellStart"/>
            <w:r w:rsidR="004D393D">
              <w:rPr>
                <w:rFonts w:ascii="Times New Roman" w:hAnsi="Times New Roman"/>
                <w:sz w:val="24"/>
                <w:szCs w:val="24"/>
              </w:rPr>
              <w:t>Altum</w:t>
            </w:r>
            <w:proofErr w:type="spellEnd"/>
            <w:r w:rsidR="004D393D">
              <w:rPr>
                <w:rFonts w:ascii="Times New Roman" w:hAnsi="Times New Roman"/>
                <w:sz w:val="24"/>
                <w:szCs w:val="24"/>
              </w:rPr>
              <w:t xml:space="preserve">” par </w:t>
            </w:r>
            <w:r w:rsidR="00F24C8B">
              <w:rPr>
                <w:rFonts w:ascii="Times New Roman" w:hAnsi="Times New Roman"/>
                <w:sz w:val="24"/>
                <w:szCs w:val="24"/>
              </w:rPr>
              <w:t xml:space="preserve">fonda finansējuma </w:t>
            </w:r>
            <w:r w:rsidR="00E56962">
              <w:rPr>
                <w:rFonts w:ascii="Times New Roman" w:hAnsi="Times New Roman"/>
                <w:sz w:val="24"/>
                <w:szCs w:val="24"/>
              </w:rPr>
              <w:t>izsniegšanas kārtību un fonda finansējuma izmantošanas mērķi</w:t>
            </w:r>
            <w:r w:rsidR="00024D1B" w:rsidRPr="00802730">
              <w:rPr>
                <w:rFonts w:ascii="Times New Roman" w:hAnsi="Times New Roman"/>
                <w:sz w:val="24"/>
                <w:szCs w:val="24"/>
              </w:rPr>
              <w:t>. Līdz ar to, lai nekavētu fonda darbības uzsākšanu un būtu iespējams sākt līdzekļu izmantošanu</w:t>
            </w:r>
            <w:r w:rsidR="00802730" w:rsidRPr="00802730">
              <w:rPr>
                <w:rFonts w:ascii="Times New Roman" w:hAnsi="Times New Roman"/>
                <w:sz w:val="24"/>
                <w:szCs w:val="24"/>
              </w:rPr>
              <w:t xml:space="preserve"> atbilstoši Energoefektivitātes likumā noteiktajam</w:t>
            </w:r>
            <w:r w:rsidR="00024D1B" w:rsidRPr="00802730">
              <w:rPr>
                <w:rFonts w:ascii="Times New Roman" w:hAnsi="Times New Roman"/>
                <w:sz w:val="24"/>
                <w:szCs w:val="24"/>
              </w:rPr>
              <w:t>, noteikumu projekts paredz, ka fonds darbību uzsāk</w:t>
            </w:r>
            <w:r w:rsidR="00802730">
              <w:rPr>
                <w:rFonts w:ascii="Times New Roman" w:hAnsi="Times New Roman"/>
                <w:sz w:val="24"/>
                <w:szCs w:val="24"/>
              </w:rPr>
              <w:t xml:space="preserve"> ar brīdi, kad ir veiktas pirmās iemaksas fondā, neatkarīgi no tā, vai tās ir EPS atbildīgo pušu iemaksas vai energoefektivitātes nodevas, un</w:t>
            </w:r>
            <w:r w:rsidR="004D393D">
              <w:rPr>
                <w:rFonts w:ascii="Times New Roman" w:hAnsi="Times New Roman"/>
                <w:sz w:val="24"/>
                <w:szCs w:val="24"/>
              </w:rPr>
              <w:t xml:space="preserve"> </w:t>
            </w:r>
            <w:r w:rsidR="00802730">
              <w:rPr>
                <w:rFonts w:ascii="Times New Roman" w:hAnsi="Times New Roman"/>
                <w:sz w:val="24"/>
                <w:szCs w:val="24"/>
              </w:rPr>
              <w:t>ir apstiprināts fonda nolikums</w:t>
            </w:r>
            <w:r w:rsidR="00E56962">
              <w:rPr>
                <w:rFonts w:ascii="Times New Roman" w:hAnsi="Times New Roman"/>
                <w:sz w:val="24"/>
                <w:szCs w:val="24"/>
              </w:rPr>
              <w:t>,</w:t>
            </w:r>
            <w:r w:rsidR="00802730">
              <w:rPr>
                <w:rFonts w:ascii="Times New Roman" w:hAnsi="Times New Roman"/>
                <w:sz w:val="24"/>
                <w:szCs w:val="24"/>
              </w:rPr>
              <w:t xml:space="preserve"> un noslēgts līgum</w:t>
            </w:r>
            <w:r w:rsidR="00F05A7B">
              <w:rPr>
                <w:rFonts w:ascii="Times New Roman" w:hAnsi="Times New Roman"/>
                <w:sz w:val="24"/>
                <w:szCs w:val="24"/>
              </w:rPr>
              <w:t>s</w:t>
            </w:r>
            <w:r w:rsidR="00802730">
              <w:rPr>
                <w:rFonts w:ascii="Times New Roman" w:hAnsi="Times New Roman"/>
                <w:sz w:val="24"/>
                <w:szCs w:val="24"/>
              </w:rPr>
              <w:t xml:space="preserve"> ar sabiedrību “</w:t>
            </w:r>
            <w:proofErr w:type="spellStart"/>
            <w:r w:rsidR="00802730">
              <w:rPr>
                <w:rFonts w:ascii="Times New Roman" w:hAnsi="Times New Roman"/>
                <w:sz w:val="24"/>
                <w:szCs w:val="24"/>
              </w:rPr>
              <w:t>Altum</w:t>
            </w:r>
            <w:proofErr w:type="spellEnd"/>
            <w:r w:rsidR="00802730">
              <w:rPr>
                <w:rFonts w:ascii="Times New Roman" w:hAnsi="Times New Roman"/>
                <w:sz w:val="24"/>
                <w:szCs w:val="24"/>
              </w:rPr>
              <w:t>”</w:t>
            </w:r>
            <w:r w:rsidR="00F05A7B">
              <w:rPr>
                <w:rFonts w:ascii="Times New Roman" w:hAnsi="Times New Roman"/>
                <w:sz w:val="24"/>
                <w:szCs w:val="24"/>
              </w:rPr>
              <w:t xml:space="preserve"> par </w:t>
            </w:r>
            <w:r w:rsidR="00F05A7B" w:rsidRPr="00124BB6">
              <w:rPr>
                <w:rFonts w:ascii="Times New Roman" w:eastAsia="Times New Roman" w:hAnsi="Times New Roman"/>
                <w:color w:val="000000" w:themeColor="text1"/>
                <w:sz w:val="24"/>
                <w:szCs w:val="24"/>
                <w:lang w:eastAsia="lv-LV"/>
              </w:rPr>
              <w:t>iemaksu ieskaitīšanu fondā</w:t>
            </w:r>
            <w:r w:rsidR="00802730">
              <w:rPr>
                <w:rFonts w:ascii="Times New Roman" w:hAnsi="Times New Roman"/>
                <w:sz w:val="24"/>
                <w:szCs w:val="24"/>
              </w:rPr>
              <w:t xml:space="preserve">. </w:t>
            </w:r>
            <w:r w:rsidR="00F05A7B">
              <w:rPr>
                <w:rFonts w:ascii="Times New Roman" w:hAnsi="Times New Roman"/>
                <w:sz w:val="24"/>
                <w:szCs w:val="24"/>
              </w:rPr>
              <w:t xml:space="preserve">Norādām, ka noteikumu </w:t>
            </w:r>
            <w:r w:rsidR="00F05A7B">
              <w:rPr>
                <w:rFonts w:ascii="Times New Roman" w:hAnsi="Times New Roman"/>
                <w:sz w:val="24"/>
                <w:szCs w:val="24"/>
              </w:rPr>
              <w:lastRenderedPageBreak/>
              <w:t>projekts paredz divu veidu līgumus – viens līgums ir par iemaksu ieskaitīšanu fondā, bet otrs līguma veids ir par līdzekļu izmantošanu</w:t>
            </w:r>
            <w:r w:rsidR="00B97B97">
              <w:rPr>
                <w:rFonts w:ascii="Times New Roman" w:hAnsi="Times New Roman"/>
                <w:sz w:val="24"/>
                <w:szCs w:val="24"/>
              </w:rPr>
              <w:t>, ietverot tajā valsts atbalsta programmas un/vai informatīvo un izglītojošo pasākumu īstenošanas un uzraudzības nosacījumus. Atbilstoši noteikumos noteiktajam,  sabiedrība “</w:t>
            </w:r>
            <w:proofErr w:type="spellStart"/>
            <w:r w:rsidR="00B97B97">
              <w:rPr>
                <w:rFonts w:ascii="Times New Roman" w:hAnsi="Times New Roman"/>
                <w:sz w:val="24"/>
                <w:szCs w:val="24"/>
              </w:rPr>
              <w:t>Altum</w:t>
            </w:r>
            <w:proofErr w:type="spellEnd"/>
            <w:r w:rsidR="00B97B97">
              <w:rPr>
                <w:rFonts w:ascii="Times New Roman" w:hAnsi="Times New Roman"/>
                <w:sz w:val="24"/>
                <w:szCs w:val="24"/>
              </w:rPr>
              <w:t xml:space="preserve">” īsteno Valsts sekretāra apstiprinātus informatīvos un izglītojošos pasākumus.  </w:t>
            </w:r>
            <w:r w:rsidR="00E56962">
              <w:rPr>
                <w:rFonts w:ascii="Times New Roman" w:hAnsi="Times New Roman"/>
                <w:sz w:val="24"/>
                <w:szCs w:val="24"/>
              </w:rPr>
              <w:t xml:space="preserve"> </w:t>
            </w:r>
            <w:r w:rsidR="00B97B97">
              <w:rPr>
                <w:rFonts w:ascii="Times New Roman" w:hAnsi="Times New Roman"/>
                <w:sz w:val="24"/>
                <w:szCs w:val="24"/>
              </w:rPr>
              <w:t>Attiecīgi ņemot vērā to, ka par minēto pasākumu īstenošanu tiks slēgts arī līgums</w:t>
            </w:r>
            <w:r w:rsidR="004111C9">
              <w:rPr>
                <w:rFonts w:ascii="Times New Roman" w:hAnsi="Times New Roman"/>
                <w:sz w:val="24"/>
                <w:szCs w:val="24"/>
              </w:rPr>
              <w:t xml:space="preserve"> starp sabiedrību “</w:t>
            </w:r>
            <w:proofErr w:type="spellStart"/>
            <w:r w:rsidR="004111C9">
              <w:rPr>
                <w:rFonts w:ascii="Times New Roman" w:hAnsi="Times New Roman"/>
                <w:sz w:val="24"/>
                <w:szCs w:val="24"/>
              </w:rPr>
              <w:t>Altum</w:t>
            </w:r>
            <w:proofErr w:type="spellEnd"/>
            <w:r w:rsidR="004111C9">
              <w:rPr>
                <w:rFonts w:ascii="Times New Roman" w:hAnsi="Times New Roman"/>
                <w:sz w:val="24"/>
                <w:szCs w:val="24"/>
              </w:rPr>
              <w:t>” un Ekonomikas ministriju</w:t>
            </w:r>
            <w:r w:rsidR="00B97B97">
              <w:rPr>
                <w:rFonts w:ascii="Times New Roman" w:hAnsi="Times New Roman"/>
                <w:sz w:val="24"/>
                <w:szCs w:val="24"/>
              </w:rPr>
              <w:t xml:space="preserve">, tad minētais pasākumu plāns tiks apstiprināts ar līgumu, pievienojot to līguma pielikumā. </w:t>
            </w:r>
          </w:p>
          <w:p w14:paraId="490EFA4B" w14:textId="41ADE670" w:rsidR="00607E8B" w:rsidRPr="00802730" w:rsidRDefault="0050621F" w:rsidP="00E56962">
            <w:pPr>
              <w:spacing w:after="0"/>
              <w:ind w:firstLine="720"/>
              <w:jc w:val="both"/>
              <w:rPr>
                <w:rFonts w:ascii="Times New Roman" w:hAnsi="Times New Roman"/>
                <w:sz w:val="24"/>
                <w:szCs w:val="24"/>
              </w:rPr>
            </w:pPr>
            <w:r>
              <w:rPr>
                <w:rFonts w:ascii="Times New Roman" w:hAnsi="Times New Roman"/>
                <w:sz w:val="24"/>
                <w:szCs w:val="24"/>
              </w:rPr>
              <w:t xml:space="preserve">Attiecībā uz fonda nolikumu, MK noteikumi </w:t>
            </w:r>
            <w:r w:rsidR="00F05A7B">
              <w:rPr>
                <w:rFonts w:ascii="Times New Roman" w:hAnsi="Times New Roman"/>
                <w:sz w:val="24"/>
                <w:szCs w:val="24"/>
              </w:rPr>
              <w:t>N</w:t>
            </w:r>
            <w:r>
              <w:rPr>
                <w:rFonts w:ascii="Times New Roman" w:hAnsi="Times New Roman"/>
                <w:sz w:val="24"/>
                <w:szCs w:val="24"/>
              </w:rPr>
              <w:t xml:space="preserve">r.221 esošajā redakcijā </w:t>
            </w:r>
            <w:r w:rsidR="00F05A7B">
              <w:rPr>
                <w:rFonts w:ascii="Times New Roman" w:hAnsi="Times New Roman"/>
                <w:sz w:val="24"/>
                <w:szCs w:val="24"/>
              </w:rPr>
              <w:t>norāda kārtību, kādā tiek apstiprināts un sabiedrības “</w:t>
            </w:r>
            <w:proofErr w:type="spellStart"/>
            <w:r w:rsidR="00F05A7B">
              <w:rPr>
                <w:rFonts w:ascii="Times New Roman" w:hAnsi="Times New Roman"/>
                <w:sz w:val="24"/>
                <w:szCs w:val="24"/>
              </w:rPr>
              <w:t>Altum</w:t>
            </w:r>
            <w:proofErr w:type="spellEnd"/>
            <w:r w:rsidR="00F05A7B">
              <w:rPr>
                <w:rFonts w:ascii="Times New Roman" w:hAnsi="Times New Roman"/>
                <w:sz w:val="24"/>
                <w:szCs w:val="24"/>
              </w:rPr>
              <w:t>” tīmekļa vietnē publicēts fonda nolikums.</w:t>
            </w:r>
            <w:r>
              <w:rPr>
                <w:rFonts w:ascii="Times New Roman" w:hAnsi="Times New Roman"/>
                <w:sz w:val="24"/>
                <w:szCs w:val="24"/>
              </w:rPr>
              <w:t xml:space="preserve"> </w:t>
            </w:r>
            <w:r w:rsidR="00F05A7B">
              <w:rPr>
                <w:rFonts w:ascii="Times New Roman" w:hAnsi="Times New Roman"/>
                <w:sz w:val="24"/>
                <w:szCs w:val="24"/>
              </w:rPr>
              <w:t>Norādām, ka s</w:t>
            </w:r>
            <w:r w:rsidR="002668BD">
              <w:rPr>
                <w:rFonts w:ascii="Times New Roman" w:hAnsi="Times New Roman"/>
                <w:sz w:val="24"/>
                <w:szCs w:val="24"/>
              </w:rPr>
              <w:t>abiedrībai “</w:t>
            </w:r>
            <w:proofErr w:type="spellStart"/>
            <w:r w:rsidR="002668BD">
              <w:rPr>
                <w:rFonts w:ascii="Times New Roman" w:hAnsi="Times New Roman"/>
                <w:sz w:val="24"/>
                <w:szCs w:val="24"/>
              </w:rPr>
              <w:t>Altum</w:t>
            </w:r>
            <w:proofErr w:type="spellEnd"/>
            <w:r w:rsidR="002668BD">
              <w:rPr>
                <w:rFonts w:ascii="Times New Roman" w:hAnsi="Times New Roman"/>
                <w:sz w:val="24"/>
                <w:szCs w:val="24"/>
              </w:rPr>
              <w:t xml:space="preserve">” nav nepieciešams ārējs regulējums, kas nosaka šāda nolikuma sagatavošanu. Turklāt minēto nolikumu parasti saskaņo nevis akcionāru sapulce, bet gan valde. </w:t>
            </w:r>
            <w:r w:rsidR="00D91A91">
              <w:rPr>
                <w:rFonts w:ascii="Times New Roman" w:hAnsi="Times New Roman"/>
                <w:sz w:val="24"/>
                <w:szCs w:val="24"/>
              </w:rPr>
              <w:t>Fonda nolikums ir nepieciešams, lai regulētu fonda pārvaldnieka darbību, finanšu līdzekļu uzskaites principus sabiedrības “</w:t>
            </w:r>
            <w:proofErr w:type="spellStart"/>
            <w:r w:rsidR="00D91A91">
              <w:rPr>
                <w:rFonts w:ascii="Times New Roman" w:hAnsi="Times New Roman"/>
                <w:sz w:val="24"/>
                <w:szCs w:val="24"/>
              </w:rPr>
              <w:t>Altum</w:t>
            </w:r>
            <w:proofErr w:type="spellEnd"/>
            <w:r w:rsidR="00D91A91">
              <w:rPr>
                <w:rFonts w:ascii="Times New Roman" w:hAnsi="Times New Roman"/>
                <w:sz w:val="24"/>
                <w:szCs w:val="24"/>
              </w:rPr>
              <w:t>” grāmatvedības sistēmās un tajā aprakstīti ļoti specifiski ar sabiedrības “</w:t>
            </w:r>
            <w:proofErr w:type="spellStart"/>
            <w:r w:rsidR="00D91A91">
              <w:rPr>
                <w:rFonts w:ascii="Times New Roman" w:hAnsi="Times New Roman"/>
                <w:sz w:val="24"/>
                <w:szCs w:val="24"/>
              </w:rPr>
              <w:t>Altum</w:t>
            </w:r>
            <w:proofErr w:type="spellEnd"/>
            <w:r w:rsidR="00D91A91">
              <w:rPr>
                <w:rFonts w:ascii="Times New Roman" w:hAnsi="Times New Roman"/>
                <w:sz w:val="24"/>
                <w:szCs w:val="24"/>
              </w:rPr>
              <w:t>” iekšējo darbību saistīti jautājumi, kas jau ir noteikti saskaņā ar dažādiem spēkā esošiem normatīviem regulējumiem, sabiedrības “</w:t>
            </w:r>
            <w:proofErr w:type="spellStart"/>
            <w:r w:rsidR="00D91A91">
              <w:rPr>
                <w:rFonts w:ascii="Times New Roman" w:hAnsi="Times New Roman"/>
                <w:sz w:val="24"/>
                <w:szCs w:val="24"/>
              </w:rPr>
              <w:t>Altum</w:t>
            </w:r>
            <w:proofErr w:type="spellEnd"/>
            <w:r w:rsidR="00D91A91">
              <w:rPr>
                <w:rFonts w:ascii="Times New Roman" w:hAnsi="Times New Roman"/>
                <w:sz w:val="24"/>
                <w:szCs w:val="24"/>
              </w:rPr>
              <w:t>” grāmatvedības standartiem u.c.</w:t>
            </w:r>
            <w:r w:rsidR="000E1202">
              <w:rPr>
                <w:rFonts w:ascii="Times New Roman" w:hAnsi="Times New Roman"/>
                <w:sz w:val="24"/>
                <w:szCs w:val="24"/>
              </w:rPr>
              <w:t xml:space="preserve"> </w:t>
            </w:r>
            <w:r w:rsidR="00D91A91">
              <w:rPr>
                <w:rFonts w:ascii="Times New Roman" w:hAnsi="Times New Roman"/>
                <w:sz w:val="24"/>
                <w:szCs w:val="24"/>
              </w:rPr>
              <w:t>Līdz ar to uzskatāms, ka ar MK noteikumiem Nr.221 nav nepieciešams papildus regulēt sabiedrības “</w:t>
            </w:r>
            <w:proofErr w:type="spellStart"/>
            <w:r w:rsidR="00D91A91">
              <w:rPr>
                <w:rFonts w:ascii="Times New Roman" w:hAnsi="Times New Roman"/>
                <w:sz w:val="24"/>
                <w:szCs w:val="24"/>
              </w:rPr>
              <w:t>Altum</w:t>
            </w:r>
            <w:proofErr w:type="spellEnd"/>
            <w:r w:rsidR="00D91A91">
              <w:rPr>
                <w:rFonts w:ascii="Times New Roman" w:hAnsi="Times New Roman"/>
                <w:sz w:val="24"/>
                <w:szCs w:val="24"/>
              </w:rPr>
              <w:t>” iekšējos darbības procesus</w:t>
            </w:r>
            <w:r w:rsidR="00641928">
              <w:rPr>
                <w:rFonts w:ascii="Times New Roman" w:hAnsi="Times New Roman"/>
                <w:sz w:val="24"/>
                <w:szCs w:val="24"/>
              </w:rPr>
              <w:t xml:space="preserve"> – nolikuma saskaņošanas un publicēšanas nosacījumus</w:t>
            </w:r>
            <w:r w:rsidR="00D91A91">
              <w:rPr>
                <w:rFonts w:ascii="Times New Roman" w:hAnsi="Times New Roman"/>
                <w:sz w:val="24"/>
                <w:szCs w:val="24"/>
              </w:rPr>
              <w:t>.</w:t>
            </w:r>
          </w:p>
          <w:p w14:paraId="0B06C1E8" w14:textId="6B21D8B4" w:rsidR="005503D4" w:rsidRDefault="00314236" w:rsidP="0096066B">
            <w:pPr>
              <w:spacing w:after="0"/>
              <w:ind w:firstLine="720"/>
              <w:jc w:val="both"/>
              <w:rPr>
                <w:rFonts w:ascii="Times New Roman" w:hAnsi="Times New Roman"/>
                <w:sz w:val="24"/>
                <w:szCs w:val="24"/>
              </w:rPr>
            </w:pPr>
            <w:r w:rsidRPr="00314236">
              <w:rPr>
                <w:rFonts w:ascii="Times New Roman" w:hAnsi="Times New Roman"/>
                <w:sz w:val="24"/>
                <w:szCs w:val="24"/>
              </w:rPr>
              <w:t>MK noteikumu Nr.221 pašreizējās redakcijas 18.punktā nav norādīts, ka sabiedrība “</w:t>
            </w:r>
            <w:proofErr w:type="spellStart"/>
            <w:r w:rsidRPr="00314236">
              <w:rPr>
                <w:rFonts w:ascii="Times New Roman" w:hAnsi="Times New Roman"/>
                <w:sz w:val="24"/>
                <w:szCs w:val="24"/>
              </w:rPr>
              <w:t>Altum</w:t>
            </w:r>
            <w:proofErr w:type="spellEnd"/>
            <w:r w:rsidRPr="00314236">
              <w:rPr>
                <w:rFonts w:ascii="Times New Roman" w:hAnsi="Times New Roman"/>
                <w:sz w:val="24"/>
                <w:szCs w:val="24"/>
              </w:rPr>
              <w:t>” var izmantot fonda līdzekļus tiešo un netiešo vadības</w:t>
            </w:r>
            <w:r w:rsidRPr="00927594">
              <w:rPr>
                <w:rFonts w:ascii="Times New Roman" w:hAnsi="Times New Roman"/>
                <w:sz w:val="24"/>
                <w:szCs w:val="24"/>
              </w:rPr>
              <w:t xml:space="preserve"> </w:t>
            </w:r>
            <w:r w:rsidR="00927594" w:rsidRPr="00927594">
              <w:rPr>
                <w:rFonts w:ascii="Times New Roman" w:hAnsi="Times New Roman"/>
                <w:sz w:val="24"/>
                <w:szCs w:val="24"/>
              </w:rPr>
              <w:t>izmaksu segšanai, kas rodas īstenojot valsts atbalsta programmu un informatīvos un izglītojošos pasākumus</w:t>
            </w:r>
            <w:r w:rsidR="00927594">
              <w:rPr>
                <w:rFonts w:ascii="Times New Roman" w:hAnsi="Times New Roman"/>
                <w:sz w:val="24"/>
                <w:szCs w:val="24"/>
              </w:rPr>
              <w:t xml:space="preserve">, turpretī 19.punktā minētas arī </w:t>
            </w:r>
            <w:r w:rsidR="00927594" w:rsidRPr="00927594">
              <w:rPr>
                <w:rFonts w:ascii="Times New Roman" w:hAnsi="Times New Roman"/>
                <w:sz w:val="24"/>
                <w:szCs w:val="24"/>
              </w:rPr>
              <w:t>tiešās un netiešās fonda vadības izmaksas, tādējādi radot neskaidrības par minēto izmaksu segšanu no fonda līdzekļiem.</w:t>
            </w:r>
            <w:r w:rsidR="00927594">
              <w:rPr>
                <w:rFonts w:ascii="Arial" w:hAnsi="Arial" w:cs="Arial"/>
                <w:color w:val="414142"/>
                <w:sz w:val="20"/>
                <w:szCs w:val="20"/>
                <w:shd w:val="clear" w:color="auto" w:fill="FFFFFF"/>
              </w:rPr>
              <w:t xml:space="preserve"> </w:t>
            </w:r>
            <w:r w:rsidR="000E1202" w:rsidRPr="007452D2">
              <w:rPr>
                <w:rFonts w:ascii="Times New Roman" w:hAnsi="Times New Roman"/>
                <w:sz w:val="24"/>
                <w:szCs w:val="24"/>
              </w:rPr>
              <w:t xml:space="preserve">Noteikumu projekts precīzāk </w:t>
            </w:r>
            <w:r w:rsidR="000E1202">
              <w:rPr>
                <w:rFonts w:ascii="Times New Roman" w:hAnsi="Times New Roman"/>
                <w:sz w:val="24"/>
                <w:szCs w:val="24"/>
              </w:rPr>
              <w:t>definē,</w:t>
            </w:r>
            <w:r w:rsidR="000E1202" w:rsidRPr="007452D2">
              <w:rPr>
                <w:rFonts w:ascii="Times New Roman" w:hAnsi="Times New Roman"/>
                <w:sz w:val="24"/>
                <w:szCs w:val="24"/>
              </w:rPr>
              <w:t xml:space="preserve"> kam sabiedrība “</w:t>
            </w:r>
            <w:proofErr w:type="spellStart"/>
            <w:r w:rsidR="000E1202" w:rsidRPr="007452D2">
              <w:rPr>
                <w:rFonts w:ascii="Times New Roman" w:hAnsi="Times New Roman"/>
                <w:sz w:val="24"/>
                <w:szCs w:val="24"/>
              </w:rPr>
              <w:t>Altum</w:t>
            </w:r>
            <w:proofErr w:type="spellEnd"/>
            <w:r w:rsidR="000E1202" w:rsidRPr="007452D2">
              <w:rPr>
                <w:rFonts w:ascii="Times New Roman" w:hAnsi="Times New Roman"/>
                <w:sz w:val="24"/>
                <w:szCs w:val="24"/>
              </w:rPr>
              <w:t>” izmanto fonda līdzekļus, paredzot arī sabiedrības “</w:t>
            </w:r>
            <w:proofErr w:type="spellStart"/>
            <w:r w:rsidR="000E1202" w:rsidRPr="007452D2">
              <w:rPr>
                <w:rFonts w:ascii="Times New Roman" w:hAnsi="Times New Roman"/>
                <w:sz w:val="24"/>
                <w:szCs w:val="24"/>
              </w:rPr>
              <w:t>Altum</w:t>
            </w:r>
            <w:proofErr w:type="spellEnd"/>
            <w:r w:rsidR="000E1202" w:rsidRPr="007452D2">
              <w:rPr>
                <w:rFonts w:ascii="Times New Roman" w:hAnsi="Times New Roman"/>
                <w:sz w:val="24"/>
                <w:szCs w:val="24"/>
              </w:rPr>
              <w:t>” tiešās un netiešās vadības izmaksas, kas radīsies, īstenojot valsts atbalsta programmu un / vai īstenojot informatīvos un izglītojošos pasākumus.</w:t>
            </w:r>
            <w:r w:rsidR="000E1202" w:rsidRPr="00314236">
              <w:rPr>
                <w:rFonts w:ascii="Times New Roman" w:hAnsi="Times New Roman"/>
                <w:sz w:val="24"/>
                <w:szCs w:val="24"/>
              </w:rPr>
              <w:t xml:space="preserve">  </w:t>
            </w:r>
            <w:r w:rsidR="00082788">
              <w:rPr>
                <w:rFonts w:ascii="Times New Roman" w:hAnsi="Times New Roman"/>
                <w:sz w:val="24"/>
                <w:szCs w:val="24"/>
              </w:rPr>
              <w:t xml:space="preserve">Atbilstoši precizēti arī noteikumos iekļautie nosacījumi vadības un pārvaldības izmaksu noteikšanai. Fonda pārvaldības izmaksu griesti 26 320 </w:t>
            </w:r>
            <w:proofErr w:type="spellStart"/>
            <w:r w:rsidR="00082788">
              <w:rPr>
                <w:rFonts w:ascii="Times New Roman" w:hAnsi="Times New Roman"/>
                <w:sz w:val="24"/>
                <w:szCs w:val="24"/>
              </w:rPr>
              <w:t>euro</w:t>
            </w:r>
            <w:proofErr w:type="spellEnd"/>
            <w:r w:rsidR="00082788">
              <w:rPr>
                <w:rFonts w:ascii="Times New Roman" w:hAnsi="Times New Roman"/>
                <w:sz w:val="24"/>
                <w:szCs w:val="24"/>
              </w:rPr>
              <w:t xml:space="preserve"> gadā tiek dzēsti, ņemot vērā to, ka šobrīd nav informācijas, cik liels finansējuma apmērs </w:t>
            </w:r>
            <w:r w:rsidR="001F0F74">
              <w:rPr>
                <w:rFonts w:ascii="Times New Roman" w:hAnsi="Times New Roman"/>
                <w:sz w:val="24"/>
                <w:szCs w:val="24"/>
              </w:rPr>
              <w:t>fondā būs pieejams kā arī nav iespējams novērtēt kā tiks ietekmētas pārvaldība izmaksas, būtiski pieaugot fonda apjomam. Ņemot vērā, ka sabiedrībai “</w:t>
            </w:r>
            <w:proofErr w:type="spellStart"/>
            <w:r w:rsidR="001F0F74">
              <w:rPr>
                <w:rFonts w:ascii="Times New Roman" w:hAnsi="Times New Roman"/>
                <w:sz w:val="24"/>
                <w:szCs w:val="24"/>
              </w:rPr>
              <w:t>Altum</w:t>
            </w:r>
            <w:proofErr w:type="spellEnd"/>
            <w:r w:rsidR="001F0F74">
              <w:rPr>
                <w:rFonts w:ascii="Times New Roman" w:hAnsi="Times New Roman"/>
                <w:sz w:val="24"/>
                <w:szCs w:val="24"/>
              </w:rPr>
              <w:t>”</w:t>
            </w:r>
            <w:r w:rsidR="00F43919">
              <w:rPr>
                <w:rFonts w:ascii="Times New Roman" w:hAnsi="Times New Roman"/>
                <w:sz w:val="24"/>
                <w:szCs w:val="24"/>
              </w:rPr>
              <w:t xml:space="preserve"> saskaņā ar noteikumu projektā iekļauto ir pienākums Ekonomikas ministrijai </w:t>
            </w:r>
            <w:r w:rsidR="004D0101">
              <w:rPr>
                <w:rFonts w:ascii="Times New Roman" w:hAnsi="Times New Roman"/>
                <w:sz w:val="24"/>
                <w:szCs w:val="24"/>
              </w:rPr>
              <w:t>ik ceturksni</w:t>
            </w:r>
            <w:r w:rsidR="00F43919">
              <w:rPr>
                <w:rFonts w:ascii="Times New Roman" w:hAnsi="Times New Roman"/>
                <w:sz w:val="24"/>
                <w:szCs w:val="24"/>
              </w:rPr>
              <w:t xml:space="preserve"> sniegt informāciju par izlietoto fonda </w:t>
            </w:r>
            <w:r w:rsidR="00F43919">
              <w:rPr>
                <w:rFonts w:ascii="Times New Roman" w:hAnsi="Times New Roman"/>
                <w:sz w:val="24"/>
                <w:szCs w:val="24"/>
              </w:rPr>
              <w:lastRenderedPageBreak/>
              <w:t xml:space="preserve">finansējumu, nav riska, ka </w:t>
            </w:r>
            <w:r w:rsidR="001F0F74">
              <w:rPr>
                <w:rFonts w:ascii="Times New Roman" w:hAnsi="Times New Roman"/>
                <w:sz w:val="24"/>
                <w:szCs w:val="24"/>
              </w:rPr>
              <w:t xml:space="preserve"> </w:t>
            </w:r>
            <w:r w:rsidR="00F43919">
              <w:rPr>
                <w:rFonts w:ascii="Times New Roman" w:hAnsi="Times New Roman"/>
                <w:sz w:val="24"/>
                <w:szCs w:val="24"/>
              </w:rPr>
              <w:t xml:space="preserve">fonda finansējums tiks izmantots neatbilstoši vai neadekvātā apjomā. </w:t>
            </w:r>
          </w:p>
          <w:p w14:paraId="64B52F7E" w14:textId="3A9529E1" w:rsidR="00C865F5" w:rsidRDefault="004D0101" w:rsidP="00C865F5">
            <w:pPr>
              <w:spacing w:after="0"/>
              <w:ind w:firstLine="720"/>
              <w:jc w:val="both"/>
              <w:rPr>
                <w:rFonts w:ascii="Times New Roman" w:hAnsi="Times New Roman"/>
                <w:sz w:val="24"/>
                <w:szCs w:val="24"/>
              </w:rPr>
            </w:pPr>
            <w:r>
              <w:rPr>
                <w:rFonts w:ascii="Times New Roman" w:hAnsi="Times New Roman"/>
                <w:sz w:val="24"/>
                <w:szCs w:val="24"/>
              </w:rPr>
              <w:t>Atbilstoši noteikumu projektā iekļautajam, sabiedrība “</w:t>
            </w:r>
            <w:proofErr w:type="spellStart"/>
            <w:r>
              <w:rPr>
                <w:rFonts w:ascii="Times New Roman" w:hAnsi="Times New Roman"/>
                <w:sz w:val="24"/>
                <w:szCs w:val="24"/>
              </w:rPr>
              <w:t>Altum</w:t>
            </w:r>
            <w:proofErr w:type="spellEnd"/>
            <w:r>
              <w:rPr>
                <w:rFonts w:ascii="Times New Roman" w:hAnsi="Times New Roman"/>
                <w:sz w:val="24"/>
                <w:szCs w:val="24"/>
              </w:rPr>
              <w:t xml:space="preserve">” līdz katra ceturkšņa pirmā mēneša 30.datumam Ekonomikas ministrijai sniedz pārskatu par iepriekšējā ceturksnī īstenotajām darbībām, kas finansētas </w:t>
            </w:r>
            <w:r w:rsidR="00D904FD">
              <w:rPr>
                <w:rFonts w:ascii="Times New Roman" w:hAnsi="Times New Roman"/>
                <w:sz w:val="24"/>
                <w:szCs w:val="24"/>
              </w:rPr>
              <w:t>no</w:t>
            </w:r>
            <w:r>
              <w:rPr>
                <w:rFonts w:ascii="Times New Roman" w:hAnsi="Times New Roman"/>
                <w:sz w:val="24"/>
                <w:szCs w:val="24"/>
              </w:rPr>
              <w:t xml:space="preserve"> fonda līdzekļiem un izlietoto fonda finansējumu. </w:t>
            </w:r>
            <w:r w:rsidR="00C865F5">
              <w:rPr>
                <w:rFonts w:ascii="Times New Roman" w:hAnsi="Times New Roman"/>
                <w:sz w:val="24"/>
                <w:szCs w:val="24"/>
              </w:rPr>
              <w:t xml:space="preserve"> </w:t>
            </w:r>
            <w:r w:rsidR="00B90F84">
              <w:rPr>
                <w:rFonts w:ascii="Times New Roman" w:hAnsi="Times New Roman"/>
                <w:sz w:val="24"/>
                <w:szCs w:val="24"/>
              </w:rPr>
              <w:t>S</w:t>
            </w:r>
            <w:r w:rsidR="00C865F5">
              <w:rPr>
                <w:rFonts w:ascii="Times New Roman" w:hAnsi="Times New Roman"/>
                <w:sz w:val="24"/>
                <w:szCs w:val="24"/>
              </w:rPr>
              <w:t>abiedrība “</w:t>
            </w:r>
            <w:proofErr w:type="spellStart"/>
            <w:r w:rsidR="00C865F5">
              <w:rPr>
                <w:rFonts w:ascii="Times New Roman" w:hAnsi="Times New Roman"/>
                <w:sz w:val="24"/>
                <w:szCs w:val="24"/>
              </w:rPr>
              <w:t>Altum</w:t>
            </w:r>
            <w:proofErr w:type="spellEnd"/>
            <w:r w:rsidR="00C865F5">
              <w:rPr>
                <w:rFonts w:ascii="Times New Roman" w:hAnsi="Times New Roman"/>
                <w:sz w:val="24"/>
                <w:szCs w:val="24"/>
              </w:rPr>
              <w:t>”</w:t>
            </w:r>
            <w:r w:rsidR="00B90F84">
              <w:rPr>
                <w:rFonts w:ascii="Times New Roman" w:hAnsi="Times New Roman"/>
                <w:sz w:val="24"/>
                <w:szCs w:val="24"/>
              </w:rPr>
              <w:t xml:space="preserve">, iesniedzot pārskatu, </w:t>
            </w:r>
            <w:r w:rsidR="00C865F5">
              <w:rPr>
                <w:rFonts w:ascii="Times New Roman" w:hAnsi="Times New Roman"/>
                <w:sz w:val="24"/>
                <w:szCs w:val="24"/>
              </w:rPr>
              <w:t xml:space="preserve"> tam pievieno visus izdevumus pamatojošos dokumentu</w:t>
            </w:r>
            <w:r w:rsidR="00B90F84">
              <w:rPr>
                <w:rFonts w:ascii="Times New Roman" w:hAnsi="Times New Roman"/>
                <w:sz w:val="24"/>
                <w:szCs w:val="24"/>
              </w:rPr>
              <w:t>s. Pašu pārskatu sabiedrība “</w:t>
            </w:r>
            <w:proofErr w:type="spellStart"/>
            <w:r w:rsidR="00B90F84">
              <w:rPr>
                <w:rFonts w:ascii="Times New Roman" w:hAnsi="Times New Roman"/>
                <w:sz w:val="24"/>
                <w:szCs w:val="24"/>
              </w:rPr>
              <w:t>Altum</w:t>
            </w:r>
            <w:proofErr w:type="spellEnd"/>
            <w:r w:rsidR="00B90F84">
              <w:rPr>
                <w:rFonts w:ascii="Times New Roman" w:hAnsi="Times New Roman"/>
                <w:sz w:val="24"/>
                <w:szCs w:val="24"/>
              </w:rPr>
              <w:t>” sagatavo brīvā formā, norādot šādu informāciju</w:t>
            </w:r>
            <w:r w:rsidR="00C865F5">
              <w:rPr>
                <w:rFonts w:ascii="Times New Roman" w:hAnsi="Times New Roman"/>
                <w:sz w:val="24"/>
                <w:szCs w:val="24"/>
              </w:rPr>
              <w:t>:</w:t>
            </w:r>
          </w:p>
          <w:p w14:paraId="4E0146ED" w14:textId="0EED3782" w:rsidR="00C865F5" w:rsidRDefault="00C865F5" w:rsidP="00C865F5">
            <w:pPr>
              <w:spacing w:after="0"/>
              <w:ind w:firstLine="720"/>
              <w:jc w:val="both"/>
              <w:rPr>
                <w:rFonts w:ascii="Times New Roman" w:hAnsi="Times New Roman"/>
                <w:sz w:val="24"/>
                <w:szCs w:val="24"/>
              </w:rPr>
            </w:pPr>
            <w:r>
              <w:rPr>
                <w:rFonts w:ascii="Times New Roman" w:hAnsi="Times New Roman"/>
                <w:sz w:val="24"/>
                <w:szCs w:val="24"/>
              </w:rPr>
              <w:t>1. izdevumus attaisnojošo dokumentu numuru un datumu</w:t>
            </w:r>
            <w:r w:rsidR="00B90F84">
              <w:rPr>
                <w:rFonts w:ascii="Times New Roman" w:hAnsi="Times New Roman"/>
                <w:sz w:val="24"/>
                <w:szCs w:val="24"/>
              </w:rPr>
              <w:t xml:space="preserve"> (atbilstoši pārskatam pielikumā pievienotajiem izdevumus apliecinošajiem dokumentiem)</w:t>
            </w:r>
            <w:r>
              <w:rPr>
                <w:rFonts w:ascii="Times New Roman" w:hAnsi="Times New Roman"/>
                <w:sz w:val="24"/>
                <w:szCs w:val="24"/>
              </w:rPr>
              <w:t>;</w:t>
            </w:r>
          </w:p>
          <w:p w14:paraId="03B69529" w14:textId="608A3A6B" w:rsidR="00C865F5" w:rsidRDefault="00C865F5" w:rsidP="00C865F5">
            <w:pPr>
              <w:spacing w:after="0"/>
              <w:ind w:firstLine="720"/>
              <w:jc w:val="both"/>
              <w:rPr>
                <w:rFonts w:ascii="Times New Roman" w:hAnsi="Times New Roman"/>
                <w:sz w:val="24"/>
                <w:szCs w:val="24"/>
              </w:rPr>
            </w:pPr>
            <w:r>
              <w:rPr>
                <w:rFonts w:ascii="Times New Roman" w:hAnsi="Times New Roman"/>
                <w:sz w:val="24"/>
                <w:szCs w:val="24"/>
              </w:rPr>
              <w:t xml:space="preserve">2. attiecināmos izdevumus (summa, </w:t>
            </w:r>
            <w:proofErr w:type="spellStart"/>
            <w:r>
              <w:rPr>
                <w:rFonts w:ascii="Times New Roman" w:hAnsi="Times New Roman"/>
                <w:sz w:val="24"/>
                <w:szCs w:val="24"/>
              </w:rPr>
              <w:t>euro</w:t>
            </w:r>
            <w:proofErr w:type="spellEnd"/>
            <w:r>
              <w:rPr>
                <w:rFonts w:ascii="Times New Roman" w:hAnsi="Times New Roman"/>
                <w:sz w:val="24"/>
                <w:szCs w:val="24"/>
              </w:rPr>
              <w:t>);</w:t>
            </w:r>
          </w:p>
          <w:p w14:paraId="14261035" w14:textId="77777777" w:rsidR="00B90F84" w:rsidRDefault="00C865F5" w:rsidP="00B90F84">
            <w:pPr>
              <w:spacing w:after="0"/>
              <w:ind w:firstLine="720"/>
              <w:jc w:val="both"/>
              <w:rPr>
                <w:rFonts w:ascii="Times New Roman" w:hAnsi="Times New Roman"/>
                <w:sz w:val="24"/>
                <w:szCs w:val="24"/>
              </w:rPr>
            </w:pPr>
            <w:r>
              <w:rPr>
                <w:rFonts w:ascii="Times New Roman" w:hAnsi="Times New Roman"/>
                <w:sz w:val="24"/>
                <w:szCs w:val="24"/>
              </w:rPr>
              <w:t>3.attiecīgo izdevumu mērķi, t.i., norāda darbības un pasākumus, kuru ietvaros radušās attiecīgās izmaksas</w:t>
            </w:r>
            <w:r w:rsidR="00B90F84">
              <w:rPr>
                <w:rFonts w:ascii="Times New Roman" w:hAnsi="Times New Roman"/>
                <w:sz w:val="24"/>
                <w:szCs w:val="24"/>
              </w:rPr>
              <w:t>;</w:t>
            </w:r>
          </w:p>
          <w:p w14:paraId="205BC288" w14:textId="77777777" w:rsidR="00F43919" w:rsidRDefault="00B90F84" w:rsidP="00B90F84">
            <w:pPr>
              <w:spacing w:after="0"/>
              <w:ind w:firstLine="720"/>
              <w:jc w:val="both"/>
              <w:rPr>
                <w:rFonts w:ascii="Times New Roman" w:hAnsi="Times New Roman"/>
                <w:sz w:val="24"/>
                <w:szCs w:val="24"/>
              </w:rPr>
            </w:pPr>
            <w:r>
              <w:rPr>
                <w:rFonts w:ascii="Times New Roman" w:hAnsi="Times New Roman"/>
                <w:sz w:val="24"/>
                <w:szCs w:val="24"/>
              </w:rPr>
              <w:t>4.</w:t>
            </w:r>
            <w:r w:rsidR="00C865F5">
              <w:rPr>
                <w:rFonts w:ascii="Times New Roman" w:hAnsi="Times New Roman"/>
                <w:sz w:val="24"/>
                <w:szCs w:val="24"/>
              </w:rPr>
              <w:t xml:space="preserve"> tiešās un netiešās vadības izmaksas kā arī fonda pārvaldības izmaksas, kas radušās pārskata periodā. Norāda minēto izmaksu aprēķinu un iesniedz pamatojošos dokumentus. </w:t>
            </w:r>
          </w:p>
          <w:p w14:paraId="2B35C26F" w14:textId="6EEC0481" w:rsidR="00B90F84" w:rsidRPr="00B90F84" w:rsidRDefault="00820B02" w:rsidP="00B90F84">
            <w:pPr>
              <w:spacing w:after="0"/>
              <w:ind w:firstLine="720"/>
              <w:jc w:val="both"/>
              <w:rPr>
                <w:rFonts w:ascii="Times New Roman" w:hAnsi="Times New Roman"/>
                <w:sz w:val="24"/>
                <w:szCs w:val="24"/>
              </w:rPr>
            </w:pPr>
            <w:r>
              <w:rPr>
                <w:rFonts w:ascii="Times New Roman" w:hAnsi="Times New Roman"/>
                <w:sz w:val="24"/>
                <w:szCs w:val="24"/>
              </w:rPr>
              <w:t xml:space="preserve">Savukārt </w:t>
            </w:r>
            <w:r w:rsidR="00557E84">
              <w:rPr>
                <w:rFonts w:ascii="Times New Roman" w:hAnsi="Times New Roman"/>
                <w:sz w:val="24"/>
                <w:szCs w:val="24"/>
              </w:rPr>
              <w:t xml:space="preserve">par īstenoto pasākumu ietvaros sasniegtajiem enerģijas ietaupījumiem sabiedrība “Altum” </w:t>
            </w:r>
            <w:r>
              <w:rPr>
                <w:rFonts w:ascii="Times New Roman" w:hAnsi="Times New Roman"/>
                <w:sz w:val="24"/>
                <w:szCs w:val="24"/>
              </w:rPr>
              <w:t xml:space="preserve">saskaņā ar Ministru kabineta </w:t>
            </w:r>
            <w:r w:rsidR="008A02EE">
              <w:rPr>
                <w:rFonts w:ascii="Times New Roman" w:hAnsi="Times New Roman"/>
                <w:sz w:val="24"/>
                <w:szCs w:val="24"/>
              </w:rPr>
              <w:t>2016.gada 11.oktobra noteikumos Nr.668 “</w:t>
            </w:r>
            <w:r w:rsidR="008A02EE" w:rsidRPr="008A02EE">
              <w:rPr>
                <w:rFonts w:ascii="Times New Roman" w:hAnsi="Times New Roman"/>
                <w:sz w:val="24"/>
                <w:szCs w:val="24"/>
              </w:rPr>
              <w:t xml:space="preserve">Energoefektivitātes monitoringa un piemērojamā </w:t>
            </w:r>
            <w:proofErr w:type="spellStart"/>
            <w:r w:rsidR="008A02EE" w:rsidRPr="008A02EE">
              <w:rPr>
                <w:rFonts w:ascii="Times New Roman" w:hAnsi="Times New Roman"/>
                <w:sz w:val="24"/>
                <w:szCs w:val="24"/>
              </w:rPr>
              <w:t>energopārvaldības</w:t>
            </w:r>
            <w:proofErr w:type="spellEnd"/>
            <w:r w:rsidR="008A02EE" w:rsidRPr="008A02EE">
              <w:rPr>
                <w:rFonts w:ascii="Times New Roman" w:hAnsi="Times New Roman"/>
                <w:sz w:val="24"/>
                <w:szCs w:val="24"/>
              </w:rPr>
              <w:t xml:space="preserve"> sistēmas standarta noteikumi” noteikto</w:t>
            </w:r>
            <w:r w:rsidR="002D456C">
              <w:rPr>
                <w:rFonts w:ascii="Times New Roman" w:hAnsi="Times New Roman"/>
                <w:sz w:val="24"/>
                <w:szCs w:val="24"/>
              </w:rPr>
              <w:t>,</w:t>
            </w:r>
            <w:r w:rsidR="00557E84">
              <w:rPr>
                <w:rFonts w:ascii="Times New Roman" w:hAnsi="Times New Roman"/>
                <w:sz w:val="24"/>
                <w:szCs w:val="24"/>
              </w:rPr>
              <w:t xml:space="preserve"> ziņo līdz katra nākošā gada 1.novembrim.  </w:t>
            </w:r>
          </w:p>
        </w:tc>
      </w:tr>
      <w:tr w:rsidR="000617F8" w:rsidRPr="008B78B2" w14:paraId="5FB32C22" w14:textId="77777777" w:rsidTr="0056559A">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67D711" w14:textId="1857A490" w:rsidR="000617F8" w:rsidRPr="008B78B2" w:rsidRDefault="000617F8"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lastRenderedPageBreak/>
              <w:t>3. Projekta izstrādē iesaistītās institūcijas</w:t>
            </w:r>
            <w:r w:rsidR="006A0B03">
              <w:rPr>
                <w:rFonts w:ascii="Times New Roman" w:eastAsia="Times New Roman" w:hAnsi="Times New Roman"/>
                <w:sz w:val="24"/>
                <w:szCs w:val="24"/>
                <w:lang w:eastAsia="lv-LV"/>
              </w:rPr>
              <w:t xml:space="preserve"> un publikas personas kapitālsabiedrības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B27EB1" w14:textId="626B2D1B" w:rsidR="000617F8" w:rsidRPr="008B78B2" w:rsidRDefault="000617F8" w:rsidP="00B719FC">
            <w:pPr>
              <w:spacing w:after="0" w:line="240" w:lineRule="auto"/>
              <w:ind w:left="142" w:right="128"/>
              <w:jc w:val="both"/>
              <w:rPr>
                <w:rFonts w:ascii="Times New Roman" w:hAnsi="Times New Roman"/>
                <w:color w:val="000000"/>
                <w:sz w:val="24"/>
                <w:szCs w:val="24"/>
              </w:rPr>
            </w:pPr>
            <w:r>
              <w:rPr>
                <w:rFonts w:ascii="Times New Roman" w:hAnsi="Times New Roman"/>
                <w:color w:val="000000"/>
                <w:sz w:val="24"/>
                <w:szCs w:val="24"/>
              </w:rPr>
              <w:t>Ekonomikas ministrija</w:t>
            </w:r>
            <w:r w:rsidR="008A02EE">
              <w:rPr>
                <w:rFonts w:ascii="Times New Roman" w:hAnsi="Times New Roman"/>
                <w:color w:val="000000"/>
                <w:sz w:val="24"/>
                <w:szCs w:val="24"/>
              </w:rPr>
              <w:t>, sabiedrība “</w:t>
            </w:r>
            <w:proofErr w:type="spellStart"/>
            <w:r w:rsidR="008A02EE">
              <w:rPr>
                <w:rFonts w:ascii="Times New Roman" w:hAnsi="Times New Roman"/>
                <w:color w:val="000000"/>
                <w:sz w:val="24"/>
                <w:szCs w:val="24"/>
              </w:rPr>
              <w:t>Altum</w:t>
            </w:r>
            <w:proofErr w:type="spellEnd"/>
            <w:r w:rsidR="008A02EE">
              <w:rPr>
                <w:rFonts w:ascii="Times New Roman" w:hAnsi="Times New Roman"/>
                <w:color w:val="000000"/>
                <w:sz w:val="24"/>
                <w:szCs w:val="24"/>
              </w:rPr>
              <w:t>”</w:t>
            </w:r>
          </w:p>
        </w:tc>
      </w:tr>
      <w:tr w:rsidR="000617F8" w:rsidRPr="008B78B2" w14:paraId="51FE2A99" w14:textId="77777777" w:rsidTr="0056559A">
        <w:trPr>
          <w:trHeight w:val="2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7B0FA67" w14:textId="77777777" w:rsidR="000617F8" w:rsidRPr="008B78B2" w:rsidRDefault="000617F8"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4. Cita informācija</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832A64" w14:textId="77777777" w:rsidR="000617F8" w:rsidRPr="008B78B2" w:rsidRDefault="000617F8" w:rsidP="00B719FC">
            <w:pPr>
              <w:spacing w:after="0" w:line="240" w:lineRule="auto"/>
              <w:ind w:left="142" w:right="128"/>
              <w:jc w:val="both"/>
              <w:rPr>
                <w:rFonts w:ascii="Times New Roman" w:hAnsi="Times New Roman"/>
                <w:sz w:val="24"/>
                <w:szCs w:val="24"/>
              </w:rPr>
            </w:pPr>
            <w:r w:rsidRPr="008B78B2">
              <w:rPr>
                <w:rFonts w:ascii="Times New Roman" w:hAnsi="Times New Roman"/>
                <w:sz w:val="24"/>
                <w:szCs w:val="24"/>
              </w:rPr>
              <w:t>Nav</w:t>
            </w:r>
          </w:p>
        </w:tc>
      </w:tr>
    </w:tbl>
    <w:p w14:paraId="1EB51B7B" w14:textId="77777777" w:rsidR="009A312E" w:rsidRPr="00090BDF" w:rsidRDefault="009A312E" w:rsidP="009A312E">
      <w:pPr>
        <w:spacing w:after="0" w:line="240" w:lineRule="auto"/>
        <w:jc w:val="center"/>
        <w:rPr>
          <w:rFonts w:ascii="Times New Roman" w:eastAsia="Arial Unicode MS" w:hAnsi="Times New Roman"/>
          <w:b/>
          <w:sz w:val="4"/>
          <w:szCs w:val="4"/>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543"/>
        <w:gridCol w:w="5357"/>
      </w:tblGrid>
      <w:tr w:rsidR="009A312E" w:rsidRPr="008B78B2" w14:paraId="0DCB5E53" w14:textId="77777777" w:rsidTr="0056559A">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24EC06BE" w14:textId="77777777" w:rsidR="009A312E" w:rsidRPr="008B78B2" w:rsidRDefault="009A312E" w:rsidP="0056559A">
            <w:pPr>
              <w:spacing w:after="0" w:line="240" w:lineRule="auto"/>
              <w:jc w:val="center"/>
              <w:rPr>
                <w:rFonts w:ascii="Times New Roman" w:eastAsia="Times New Roman" w:hAnsi="Times New Roman"/>
                <w:b/>
                <w:bCs/>
                <w:sz w:val="24"/>
                <w:szCs w:val="24"/>
                <w:lang w:eastAsia="lv-LV"/>
              </w:rPr>
            </w:pPr>
            <w:r w:rsidRPr="008B78B2">
              <w:rPr>
                <w:rFonts w:ascii="Times New Roman" w:eastAsia="Times New Roman" w:hAnsi="Times New Roman"/>
                <w:b/>
                <w:bCs/>
                <w:sz w:val="24"/>
                <w:szCs w:val="24"/>
                <w:lang w:eastAsia="lv-LV"/>
              </w:rPr>
              <w:t>II. Tiesību akta projekta ietekme uz sabiedrību, tautsaimniecības attīstību un administratīvo slogu</w:t>
            </w:r>
          </w:p>
        </w:tc>
      </w:tr>
      <w:tr w:rsidR="009A312E" w:rsidRPr="008B78B2" w14:paraId="16CD9905" w14:textId="77777777" w:rsidTr="0056559A">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DEE4B93" w14:textId="77777777" w:rsidR="009A312E" w:rsidRPr="008B78B2" w:rsidRDefault="009A312E" w:rsidP="0056559A">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D633CC" w14:textId="77777777" w:rsidR="009A312E" w:rsidRPr="008B78B2" w:rsidRDefault="009A312E" w:rsidP="00B719FC">
            <w:pPr>
              <w:spacing w:after="0" w:line="240" w:lineRule="auto"/>
              <w:ind w:left="142" w:right="173"/>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Sabiedrības </w:t>
            </w:r>
            <w:proofErr w:type="spellStart"/>
            <w:r w:rsidRPr="008B78B2">
              <w:rPr>
                <w:rFonts w:ascii="Times New Roman" w:eastAsia="Times New Roman" w:hAnsi="Times New Roman"/>
                <w:sz w:val="24"/>
                <w:szCs w:val="24"/>
                <w:lang w:eastAsia="lv-LV"/>
              </w:rPr>
              <w:t>mērķgrupas</w:t>
            </w:r>
            <w:proofErr w:type="spellEnd"/>
            <w:r w:rsidRPr="008B78B2">
              <w:rPr>
                <w:rFonts w:ascii="Times New Roman" w:eastAsia="Times New Roman" w:hAnsi="Times New Roman"/>
                <w:sz w:val="24"/>
                <w:szCs w:val="24"/>
                <w:lang w:eastAsia="lv-LV"/>
              </w:rPr>
              <w:t xml:space="preserve">, kuras tiesiskais </w:t>
            </w:r>
            <w:r w:rsidRPr="00B719FC">
              <w:rPr>
                <w:rFonts w:ascii="Times New Roman" w:hAnsi="Times New Roman"/>
                <w:sz w:val="24"/>
                <w:szCs w:val="24"/>
              </w:rPr>
              <w:t>regulējums</w:t>
            </w:r>
            <w:r w:rsidRPr="008B78B2">
              <w:rPr>
                <w:rFonts w:ascii="Times New Roman" w:eastAsia="Times New Roman" w:hAnsi="Times New Roman"/>
                <w:sz w:val="24"/>
                <w:szCs w:val="24"/>
                <w:lang w:eastAsia="lv-LV"/>
              </w:rPr>
              <w:t xml:space="preserve">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398DFA71" w14:textId="562639EB" w:rsidR="009A312E" w:rsidRPr="008A02EE" w:rsidRDefault="00222673" w:rsidP="008A02EE">
            <w:pPr>
              <w:spacing w:after="0" w:line="240" w:lineRule="auto"/>
              <w:ind w:left="142" w:right="128"/>
              <w:jc w:val="both"/>
              <w:rPr>
                <w:rFonts w:ascii="Times New Roman" w:hAnsi="Times New Roman"/>
                <w:color w:val="000000"/>
                <w:sz w:val="24"/>
                <w:szCs w:val="24"/>
              </w:rPr>
            </w:pPr>
            <w:r>
              <w:rPr>
                <w:rFonts w:ascii="Times New Roman" w:hAnsi="Times New Roman"/>
                <w:color w:val="000000"/>
                <w:sz w:val="24"/>
                <w:szCs w:val="24"/>
              </w:rPr>
              <w:t>Sabiedrība “</w:t>
            </w:r>
            <w:proofErr w:type="spellStart"/>
            <w:r>
              <w:rPr>
                <w:rFonts w:ascii="Times New Roman" w:hAnsi="Times New Roman"/>
                <w:color w:val="000000"/>
                <w:sz w:val="24"/>
                <w:szCs w:val="24"/>
              </w:rPr>
              <w:t>Altum</w:t>
            </w:r>
            <w:proofErr w:type="spellEnd"/>
            <w:r>
              <w:rPr>
                <w:rFonts w:ascii="Times New Roman" w:hAnsi="Times New Roman"/>
                <w:color w:val="000000"/>
                <w:sz w:val="24"/>
                <w:szCs w:val="24"/>
              </w:rPr>
              <w:t xml:space="preserve">”, kam ar noteikumu projektu tiek precizēti nosacījumi attiecībā uz Valsts energoefektivitātes fonda darbību un līdzekļu izmantošanu. </w:t>
            </w:r>
          </w:p>
        </w:tc>
      </w:tr>
      <w:tr w:rsidR="009A312E" w:rsidRPr="008B78B2" w14:paraId="106F4193" w14:textId="77777777" w:rsidTr="0056559A">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87411BB" w14:textId="77777777" w:rsidR="009A312E" w:rsidRPr="008B78B2" w:rsidRDefault="009A312E" w:rsidP="0056559A">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7D9269F" w14:textId="40E75A32" w:rsidR="009A312E" w:rsidRPr="008B78B2" w:rsidRDefault="00E42D3C" w:rsidP="00B719FC">
            <w:pPr>
              <w:spacing w:after="0" w:line="240" w:lineRule="auto"/>
              <w:ind w:left="142" w:right="17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Tiesiskā regulējuma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50461B3" w14:textId="177AB43B" w:rsidR="00352025" w:rsidRPr="00222673" w:rsidRDefault="00352025" w:rsidP="00222673">
            <w:pPr>
              <w:spacing w:after="0" w:line="240" w:lineRule="auto"/>
              <w:ind w:left="142" w:right="128"/>
              <w:jc w:val="both"/>
              <w:rPr>
                <w:rFonts w:ascii="Times New Roman" w:hAnsi="Times New Roman"/>
                <w:color w:val="000000"/>
                <w:sz w:val="24"/>
                <w:szCs w:val="24"/>
              </w:rPr>
            </w:pPr>
            <w:r w:rsidRPr="00222673">
              <w:rPr>
                <w:rFonts w:ascii="Times New Roman" w:hAnsi="Times New Roman"/>
                <w:color w:val="000000"/>
                <w:sz w:val="24"/>
                <w:szCs w:val="24"/>
              </w:rPr>
              <w:t xml:space="preserve">Vērtējot </w:t>
            </w:r>
            <w:r w:rsidR="00222673" w:rsidRPr="00222673">
              <w:rPr>
                <w:rFonts w:ascii="Times New Roman" w:hAnsi="Times New Roman"/>
                <w:color w:val="000000"/>
                <w:sz w:val="24"/>
                <w:szCs w:val="24"/>
              </w:rPr>
              <w:t>noteikumu projekta</w:t>
            </w:r>
            <w:r w:rsidRPr="00222673">
              <w:rPr>
                <w:rFonts w:ascii="Times New Roman" w:hAnsi="Times New Roman"/>
                <w:color w:val="000000"/>
                <w:sz w:val="24"/>
                <w:szCs w:val="24"/>
              </w:rPr>
              <w:t xml:space="preserve"> ietekmi uz administratīvajām procedūrām un to izmaksām, nav identificēts administratīvā sloga palielinājums </w:t>
            </w:r>
            <w:r w:rsidR="00222673" w:rsidRPr="00222673">
              <w:rPr>
                <w:rFonts w:ascii="Times New Roman" w:hAnsi="Times New Roman"/>
                <w:color w:val="000000"/>
                <w:sz w:val="24"/>
                <w:szCs w:val="24"/>
              </w:rPr>
              <w:t>sabiedrībai “</w:t>
            </w:r>
            <w:proofErr w:type="spellStart"/>
            <w:r w:rsidR="00222673" w:rsidRPr="00222673">
              <w:rPr>
                <w:rFonts w:ascii="Times New Roman" w:hAnsi="Times New Roman"/>
                <w:color w:val="000000"/>
                <w:sz w:val="24"/>
                <w:szCs w:val="24"/>
              </w:rPr>
              <w:t>Altum</w:t>
            </w:r>
            <w:proofErr w:type="spellEnd"/>
            <w:r w:rsidR="00222673" w:rsidRPr="00222673">
              <w:rPr>
                <w:rFonts w:ascii="Times New Roman" w:hAnsi="Times New Roman"/>
                <w:color w:val="000000"/>
                <w:sz w:val="24"/>
                <w:szCs w:val="24"/>
              </w:rPr>
              <w:t>”, jo MK noteikumi Nr.221 jau sākotnēji paredzēja, ka sabiedrība “</w:t>
            </w:r>
            <w:proofErr w:type="spellStart"/>
            <w:r w:rsidR="00222673" w:rsidRPr="00222673">
              <w:rPr>
                <w:rFonts w:ascii="Times New Roman" w:hAnsi="Times New Roman"/>
                <w:color w:val="000000"/>
                <w:sz w:val="24"/>
                <w:szCs w:val="24"/>
              </w:rPr>
              <w:t>Altum</w:t>
            </w:r>
            <w:proofErr w:type="spellEnd"/>
            <w:r w:rsidR="00222673" w:rsidRPr="00222673">
              <w:rPr>
                <w:rFonts w:ascii="Times New Roman" w:hAnsi="Times New Roman"/>
                <w:color w:val="000000"/>
                <w:sz w:val="24"/>
                <w:szCs w:val="24"/>
              </w:rPr>
              <w:t xml:space="preserve">” īstenos noteikumu projektā iekļautās darbības. </w:t>
            </w:r>
          </w:p>
          <w:p w14:paraId="004C769E" w14:textId="10F8A7CF" w:rsidR="009A312E" w:rsidRPr="00714546" w:rsidRDefault="00222673" w:rsidP="00222673">
            <w:pPr>
              <w:spacing w:after="0" w:line="240" w:lineRule="auto"/>
              <w:ind w:left="142" w:right="128"/>
              <w:jc w:val="both"/>
              <w:rPr>
                <w:rFonts w:ascii="Times New Roman" w:eastAsia="Times New Roman" w:hAnsi="Times New Roman"/>
                <w:iCs/>
                <w:sz w:val="24"/>
                <w:szCs w:val="24"/>
                <w:highlight w:val="yellow"/>
                <w:lang w:eastAsia="lv-LV"/>
              </w:rPr>
            </w:pPr>
            <w:r w:rsidRPr="00222673">
              <w:rPr>
                <w:rFonts w:ascii="Times New Roman" w:hAnsi="Times New Roman"/>
                <w:color w:val="000000"/>
                <w:sz w:val="24"/>
                <w:szCs w:val="24"/>
              </w:rPr>
              <w:t xml:space="preserve">Noteikumu projekta ieviešanas rezultātā tiks radīti apstākļi, kas veicinās energoefektivitātes paaugstināšanos, jo tiks īstenoti informatīvi un </w:t>
            </w:r>
            <w:r w:rsidRPr="00222673">
              <w:rPr>
                <w:rFonts w:ascii="Times New Roman" w:hAnsi="Times New Roman"/>
                <w:color w:val="000000"/>
                <w:sz w:val="24"/>
                <w:szCs w:val="24"/>
              </w:rPr>
              <w:lastRenderedPageBreak/>
              <w:t xml:space="preserve">izglītojoši pasākumi energoefektivitātes jomā kā arī nākotnē tiks izstrādāta valsts atbalsta programma obligātā enerģijas </w:t>
            </w:r>
            <w:proofErr w:type="spellStart"/>
            <w:r w:rsidRPr="00222673">
              <w:rPr>
                <w:rFonts w:ascii="Times New Roman" w:hAnsi="Times New Roman"/>
                <w:color w:val="000000"/>
                <w:sz w:val="24"/>
                <w:szCs w:val="24"/>
              </w:rPr>
              <w:t>galapatēriņa</w:t>
            </w:r>
            <w:proofErr w:type="spellEnd"/>
            <w:r w:rsidRPr="00222673">
              <w:rPr>
                <w:rFonts w:ascii="Times New Roman" w:hAnsi="Times New Roman"/>
                <w:color w:val="000000"/>
                <w:sz w:val="24"/>
                <w:szCs w:val="24"/>
              </w:rPr>
              <w:t xml:space="preserve"> samazināšanai. Ņemot vērā minēto, noteikumu projektam ir pozitīva ietekme uz tautsaimniecību.</w:t>
            </w:r>
          </w:p>
        </w:tc>
      </w:tr>
      <w:tr w:rsidR="008A02EE" w:rsidRPr="008B78B2" w14:paraId="214EDD6A" w14:textId="77777777" w:rsidTr="0056559A">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7336465" w14:textId="77777777" w:rsidR="008A02EE" w:rsidRPr="008B78B2" w:rsidRDefault="008A02EE" w:rsidP="008A02EE">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lastRenderedPageBreak/>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99F3D2F" w14:textId="77777777" w:rsidR="008A02EE" w:rsidRPr="008B78B2" w:rsidRDefault="008A02EE" w:rsidP="008A02EE">
            <w:pPr>
              <w:spacing w:after="0" w:line="240" w:lineRule="auto"/>
              <w:ind w:left="142" w:right="128"/>
              <w:jc w:val="both"/>
              <w:rPr>
                <w:rFonts w:ascii="Times New Roman" w:eastAsia="Times New Roman" w:hAnsi="Times New Roman"/>
                <w:sz w:val="24"/>
                <w:szCs w:val="24"/>
                <w:lang w:eastAsia="lv-LV"/>
              </w:rPr>
            </w:pPr>
            <w:r w:rsidRPr="00B719FC">
              <w:rPr>
                <w:rFonts w:ascii="Times New Roman" w:hAnsi="Times New Roman"/>
                <w:bCs/>
                <w:sz w:val="24"/>
                <w:szCs w:val="24"/>
              </w:rPr>
              <w:t>Administratīvo</w:t>
            </w:r>
            <w:r w:rsidRPr="008B78B2">
              <w:rPr>
                <w:rFonts w:ascii="Times New Roman" w:eastAsia="Times New Roman" w:hAnsi="Times New Roman"/>
                <w:sz w:val="24"/>
                <w:szCs w:val="24"/>
                <w:lang w:eastAsia="lv-LV"/>
              </w:rPr>
              <w:t xml:space="preserve">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CFAEC7A" w14:textId="38C79BB2" w:rsidR="008A02EE" w:rsidRPr="008A02EE" w:rsidRDefault="008A02EE" w:rsidP="008A02EE">
            <w:pPr>
              <w:spacing w:after="0" w:line="240" w:lineRule="auto"/>
              <w:ind w:left="142" w:right="128"/>
              <w:jc w:val="both"/>
              <w:rPr>
                <w:rFonts w:ascii="Times New Roman" w:eastAsia="Times New Roman" w:hAnsi="Times New Roman"/>
                <w:sz w:val="24"/>
                <w:szCs w:val="24"/>
                <w:highlight w:val="yellow"/>
                <w:lang w:eastAsia="lv-LV"/>
              </w:rPr>
            </w:pPr>
            <w:r w:rsidRPr="008A02EE">
              <w:rPr>
                <w:rFonts w:ascii="Times New Roman" w:eastAsia="Times New Roman" w:hAnsi="Times New Roman"/>
                <w:sz w:val="24"/>
                <w:lang w:eastAsia="lv-LV"/>
              </w:rPr>
              <w:t>Projekts šo jomu neskar.</w:t>
            </w:r>
          </w:p>
        </w:tc>
      </w:tr>
      <w:tr w:rsidR="00E42D3C" w:rsidRPr="008B78B2" w14:paraId="384B7E7C" w14:textId="77777777" w:rsidTr="0056559A">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tcPr>
          <w:p w14:paraId="650F6E9E" w14:textId="1E7C1790" w:rsidR="00E42D3C" w:rsidRPr="008B78B2" w:rsidRDefault="00E42D3C" w:rsidP="008A02E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 </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tcPr>
          <w:p w14:paraId="1C1391FF" w14:textId="11192C98" w:rsidR="00E42D3C" w:rsidRPr="00B719FC" w:rsidRDefault="00E42D3C" w:rsidP="008A02EE">
            <w:pPr>
              <w:spacing w:after="0" w:line="240" w:lineRule="auto"/>
              <w:ind w:left="142" w:right="128"/>
              <w:jc w:val="both"/>
              <w:rPr>
                <w:rFonts w:ascii="Times New Roman" w:hAnsi="Times New Roman"/>
                <w:bCs/>
                <w:sz w:val="24"/>
                <w:szCs w:val="24"/>
              </w:rPr>
            </w:pPr>
            <w:r>
              <w:rPr>
                <w:rFonts w:ascii="Times New Roman" w:hAnsi="Times New Roman"/>
                <w:bCs/>
                <w:sz w:val="24"/>
                <w:szCs w:val="24"/>
              </w:rPr>
              <w:t>Atbilstības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tcPr>
          <w:p w14:paraId="35D49B02" w14:textId="32BA890B" w:rsidR="00E42D3C" w:rsidRPr="008A02EE" w:rsidRDefault="00E42D3C" w:rsidP="008A02EE">
            <w:pPr>
              <w:spacing w:after="0" w:line="240" w:lineRule="auto"/>
              <w:ind w:left="142" w:right="128"/>
              <w:jc w:val="both"/>
              <w:rPr>
                <w:rFonts w:ascii="Times New Roman" w:eastAsia="Times New Roman" w:hAnsi="Times New Roman"/>
                <w:sz w:val="24"/>
                <w:lang w:eastAsia="lv-LV"/>
              </w:rPr>
            </w:pPr>
            <w:r>
              <w:rPr>
                <w:rFonts w:ascii="Times New Roman" w:eastAsia="Times New Roman" w:hAnsi="Times New Roman"/>
                <w:sz w:val="24"/>
                <w:lang w:eastAsia="lv-LV"/>
              </w:rPr>
              <w:t>Projekts šo jumu neskar.</w:t>
            </w:r>
          </w:p>
        </w:tc>
      </w:tr>
      <w:tr w:rsidR="008A02EE" w:rsidRPr="008B78B2" w14:paraId="7C71C3A1" w14:textId="77777777" w:rsidTr="0056559A">
        <w:trPr>
          <w:trHeight w:val="390"/>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990DDDB" w14:textId="77777777" w:rsidR="008A02EE" w:rsidRPr="008B78B2" w:rsidRDefault="008A02EE" w:rsidP="008A02EE">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4.</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59C1D28" w14:textId="77777777" w:rsidR="008A02EE" w:rsidRPr="008B78B2" w:rsidRDefault="008A02EE" w:rsidP="008A02EE">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Cita </w:t>
            </w:r>
            <w:r w:rsidRPr="00B719FC">
              <w:rPr>
                <w:rFonts w:ascii="Times New Roman" w:hAnsi="Times New Roman"/>
                <w:bCs/>
                <w:sz w:val="24"/>
                <w:szCs w:val="24"/>
              </w:rPr>
              <w:t>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01177861" w14:textId="6A90A9AD" w:rsidR="008A02EE" w:rsidRPr="008A02EE" w:rsidRDefault="008A02EE" w:rsidP="008A02EE">
            <w:pPr>
              <w:spacing w:after="0" w:line="240" w:lineRule="auto"/>
              <w:ind w:left="142" w:right="128"/>
              <w:jc w:val="both"/>
              <w:rPr>
                <w:rFonts w:ascii="Times New Roman" w:eastAsia="Times New Roman" w:hAnsi="Times New Roman"/>
                <w:iCs/>
                <w:sz w:val="24"/>
                <w:szCs w:val="24"/>
                <w:highlight w:val="yellow"/>
                <w:lang w:eastAsia="lv-LV"/>
              </w:rPr>
            </w:pPr>
            <w:r w:rsidRPr="008A02EE">
              <w:rPr>
                <w:rFonts w:ascii="Times New Roman" w:eastAsia="Times New Roman" w:hAnsi="Times New Roman"/>
                <w:sz w:val="24"/>
                <w:lang w:eastAsia="lv-LV"/>
              </w:rPr>
              <w:t>Nav.</w:t>
            </w:r>
          </w:p>
        </w:tc>
      </w:tr>
    </w:tbl>
    <w:tbl>
      <w:tblPr>
        <w:tblW w:w="6010"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227"/>
        <w:gridCol w:w="1227"/>
        <w:gridCol w:w="1227"/>
        <w:gridCol w:w="1227"/>
        <w:gridCol w:w="1227"/>
        <w:gridCol w:w="1242"/>
      </w:tblGrid>
      <w:tr w:rsidR="00AC3A06" w:rsidRPr="00E5323B" w14:paraId="183648EB" w14:textId="77777777" w:rsidTr="004111C9">
        <w:trPr>
          <w:tblCellSpacing w:w="15" w:type="dxa"/>
        </w:trPr>
        <w:tc>
          <w:tcPr>
            <w:tcW w:w="4970" w:type="pct"/>
            <w:gridSpan w:val="8"/>
            <w:tcBorders>
              <w:top w:val="outset" w:sz="6" w:space="0" w:color="auto"/>
              <w:left w:val="outset" w:sz="6" w:space="0" w:color="auto"/>
              <w:bottom w:val="outset" w:sz="6" w:space="0" w:color="auto"/>
              <w:right w:val="outset" w:sz="6" w:space="0" w:color="auto"/>
            </w:tcBorders>
            <w:vAlign w:val="center"/>
            <w:hideMark/>
          </w:tcPr>
          <w:p w14:paraId="32CDB219" w14:textId="77777777" w:rsidR="00AC3A06" w:rsidRPr="00B33EFB" w:rsidRDefault="00AC3A06" w:rsidP="00731A75">
            <w:pPr>
              <w:spacing w:after="0" w:line="240" w:lineRule="auto"/>
              <w:rPr>
                <w:rFonts w:ascii="Times New Roman" w:eastAsia="Times New Roman" w:hAnsi="Times New Roman"/>
                <w:b/>
                <w:bCs/>
                <w:iCs/>
                <w:color w:val="414142"/>
                <w:sz w:val="24"/>
                <w:szCs w:val="24"/>
                <w:lang w:eastAsia="lv-LV"/>
              </w:rPr>
            </w:pPr>
            <w:r w:rsidRPr="00B33EFB">
              <w:rPr>
                <w:rFonts w:ascii="Times New Roman" w:eastAsia="Times New Roman" w:hAnsi="Times New Roman"/>
                <w:b/>
                <w:bCs/>
                <w:iCs/>
                <w:color w:val="414142"/>
                <w:sz w:val="24"/>
                <w:szCs w:val="24"/>
                <w:lang w:eastAsia="lv-LV"/>
              </w:rPr>
              <w:t>III. Tiesību akta projekta ietekme uz valsts budžetu un pašvaldību budžetiem</w:t>
            </w:r>
          </w:p>
        </w:tc>
      </w:tr>
      <w:tr w:rsidR="00AC3A06" w:rsidRPr="00E5323B" w14:paraId="3F5412C3" w14:textId="77777777" w:rsidTr="004111C9">
        <w:trPr>
          <w:tblCellSpacing w:w="15" w:type="dxa"/>
        </w:trPr>
        <w:tc>
          <w:tcPr>
            <w:tcW w:w="794" w:type="pct"/>
            <w:vMerge w:val="restart"/>
            <w:tcBorders>
              <w:top w:val="outset" w:sz="6" w:space="0" w:color="auto"/>
              <w:left w:val="outset" w:sz="6" w:space="0" w:color="auto"/>
              <w:bottom w:val="outset" w:sz="6" w:space="0" w:color="auto"/>
              <w:right w:val="outset" w:sz="6" w:space="0" w:color="auto"/>
            </w:tcBorders>
            <w:vAlign w:val="center"/>
            <w:hideMark/>
          </w:tcPr>
          <w:p w14:paraId="75981F0F"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proofErr w:type="spellStart"/>
            <w:r w:rsidRPr="00E5323B">
              <w:rPr>
                <w:rFonts w:ascii="Times New Roman" w:eastAsia="Times New Roman" w:hAnsi="Times New Roman"/>
                <w:iCs/>
                <w:color w:val="414142"/>
                <w:sz w:val="24"/>
                <w:szCs w:val="24"/>
                <w:lang w:val="en-US" w:eastAsia="lv-LV"/>
              </w:rPr>
              <w:t>Rādītāji</w:t>
            </w:r>
            <w:proofErr w:type="spellEnd"/>
          </w:p>
        </w:tc>
        <w:tc>
          <w:tcPr>
            <w:tcW w:w="108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7EC6B6C" w14:textId="3679548B"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2019</w:t>
            </w:r>
            <w:r w:rsidR="00D04D73">
              <w:rPr>
                <w:rFonts w:ascii="Times New Roman" w:eastAsia="Times New Roman" w:hAnsi="Times New Roman"/>
                <w:iCs/>
                <w:color w:val="414142"/>
                <w:sz w:val="24"/>
                <w:szCs w:val="24"/>
                <w:lang w:val="en-US" w:eastAsia="lv-LV"/>
              </w:rPr>
              <w:t>.gads</w:t>
            </w:r>
          </w:p>
        </w:tc>
        <w:tc>
          <w:tcPr>
            <w:tcW w:w="3063" w:type="pct"/>
            <w:gridSpan w:val="5"/>
            <w:tcBorders>
              <w:top w:val="outset" w:sz="6" w:space="0" w:color="auto"/>
              <w:left w:val="outset" w:sz="6" w:space="0" w:color="auto"/>
              <w:bottom w:val="outset" w:sz="6" w:space="0" w:color="auto"/>
              <w:right w:val="outset" w:sz="6" w:space="0" w:color="auto"/>
            </w:tcBorders>
            <w:vAlign w:val="center"/>
            <w:hideMark/>
          </w:tcPr>
          <w:p w14:paraId="73E1FA81"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proofErr w:type="spellStart"/>
            <w:r w:rsidRPr="00E5323B">
              <w:rPr>
                <w:rFonts w:ascii="Times New Roman" w:eastAsia="Times New Roman" w:hAnsi="Times New Roman"/>
                <w:iCs/>
                <w:color w:val="414142"/>
                <w:sz w:val="24"/>
                <w:szCs w:val="24"/>
                <w:lang w:val="en-US" w:eastAsia="lv-LV"/>
              </w:rPr>
              <w:t>Turpmākie</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trīs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gadi</w:t>
            </w:r>
            <w:proofErr w:type="spellEnd"/>
            <w:r w:rsidRPr="00E5323B">
              <w:rPr>
                <w:rFonts w:ascii="Times New Roman" w:eastAsia="Times New Roman" w:hAnsi="Times New Roman"/>
                <w:iCs/>
                <w:color w:val="414142"/>
                <w:sz w:val="24"/>
                <w:szCs w:val="24"/>
                <w:lang w:val="en-US" w:eastAsia="lv-LV"/>
              </w:rPr>
              <w:t xml:space="preserve"> (</w:t>
            </w:r>
            <w:r w:rsidRPr="00E5323B">
              <w:rPr>
                <w:rFonts w:ascii="Times New Roman" w:eastAsia="Times New Roman" w:hAnsi="Times New Roman"/>
                <w:i/>
                <w:iCs/>
                <w:color w:val="414142"/>
                <w:sz w:val="24"/>
                <w:szCs w:val="24"/>
                <w:lang w:val="en-US" w:eastAsia="lv-LV"/>
              </w:rPr>
              <w:t>euro</w:t>
            </w:r>
            <w:r w:rsidRPr="00E5323B">
              <w:rPr>
                <w:rFonts w:ascii="Times New Roman" w:eastAsia="Times New Roman" w:hAnsi="Times New Roman"/>
                <w:iCs/>
                <w:color w:val="414142"/>
                <w:sz w:val="24"/>
                <w:szCs w:val="24"/>
                <w:lang w:val="en-US" w:eastAsia="lv-LV"/>
              </w:rPr>
              <w:t>)</w:t>
            </w:r>
          </w:p>
        </w:tc>
      </w:tr>
      <w:tr w:rsidR="00B33EFB" w:rsidRPr="00E5323B" w14:paraId="35ECA8F0" w14:textId="77777777" w:rsidTr="004111C9">
        <w:trPr>
          <w:tblCellSpacing w:w="15" w:type="dxa"/>
        </w:trPr>
        <w:tc>
          <w:tcPr>
            <w:tcW w:w="794" w:type="pct"/>
            <w:vMerge/>
            <w:tcBorders>
              <w:top w:val="outset" w:sz="6" w:space="0" w:color="auto"/>
              <w:left w:val="outset" w:sz="6" w:space="0" w:color="auto"/>
              <w:bottom w:val="outset" w:sz="6" w:space="0" w:color="auto"/>
              <w:right w:val="outset" w:sz="6" w:space="0" w:color="auto"/>
            </w:tcBorders>
            <w:vAlign w:val="center"/>
            <w:hideMark/>
          </w:tcPr>
          <w:p w14:paraId="17608BE6"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DE3ADD9"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p>
        </w:tc>
        <w:tc>
          <w:tcPr>
            <w:tcW w:w="1216" w:type="pct"/>
            <w:gridSpan w:val="2"/>
            <w:tcBorders>
              <w:top w:val="outset" w:sz="6" w:space="0" w:color="auto"/>
              <w:left w:val="outset" w:sz="6" w:space="0" w:color="auto"/>
              <w:bottom w:val="outset" w:sz="6" w:space="0" w:color="auto"/>
              <w:right w:val="outset" w:sz="6" w:space="0" w:color="auto"/>
            </w:tcBorders>
            <w:vAlign w:val="center"/>
          </w:tcPr>
          <w:p w14:paraId="52915FFB" w14:textId="2004D0BB"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2020</w:t>
            </w:r>
          </w:p>
        </w:tc>
        <w:tc>
          <w:tcPr>
            <w:tcW w:w="1216" w:type="pct"/>
            <w:gridSpan w:val="2"/>
            <w:tcBorders>
              <w:top w:val="outset" w:sz="6" w:space="0" w:color="auto"/>
              <w:left w:val="outset" w:sz="6" w:space="0" w:color="auto"/>
              <w:bottom w:val="outset" w:sz="6" w:space="0" w:color="auto"/>
              <w:right w:val="outset" w:sz="6" w:space="0" w:color="auto"/>
            </w:tcBorders>
            <w:vAlign w:val="center"/>
          </w:tcPr>
          <w:p w14:paraId="2E1C0DA8" w14:textId="2C1F14FA"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2021</w:t>
            </w:r>
          </w:p>
        </w:tc>
        <w:tc>
          <w:tcPr>
            <w:tcW w:w="601" w:type="pct"/>
            <w:tcBorders>
              <w:top w:val="outset" w:sz="6" w:space="0" w:color="auto"/>
              <w:left w:val="outset" w:sz="6" w:space="0" w:color="auto"/>
              <w:bottom w:val="outset" w:sz="6" w:space="0" w:color="auto"/>
              <w:right w:val="outset" w:sz="6" w:space="0" w:color="auto"/>
            </w:tcBorders>
            <w:vAlign w:val="center"/>
          </w:tcPr>
          <w:p w14:paraId="0544A7F9" w14:textId="247E5501"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2022</w:t>
            </w:r>
          </w:p>
        </w:tc>
      </w:tr>
      <w:tr w:rsidR="00AC3A06" w:rsidRPr="00E5323B" w14:paraId="4462C158" w14:textId="77777777" w:rsidTr="004111C9">
        <w:trPr>
          <w:tblCellSpacing w:w="15" w:type="dxa"/>
        </w:trPr>
        <w:tc>
          <w:tcPr>
            <w:tcW w:w="794" w:type="pct"/>
            <w:vMerge/>
            <w:tcBorders>
              <w:top w:val="outset" w:sz="6" w:space="0" w:color="auto"/>
              <w:left w:val="outset" w:sz="6" w:space="0" w:color="auto"/>
              <w:bottom w:val="outset" w:sz="6" w:space="0" w:color="auto"/>
              <w:right w:val="outset" w:sz="6" w:space="0" w:color="auto"/>
            </w:tcBorders>
            <w:vAlign w:val="center"/>
            <w:hideMark/>
          </w:tcPr>
          <w:p w14:paraId="5319E2D7"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p>
        </w:tc>
        <w:tc>
          <w:tcPr>
            <w:tcW w:w="467" w:type="pct"/>
            <w:tcBorders>
              <w:top w:val="outset" w:sz="6" w:space="0" w:color="auto"/>
              <w:left w:val="outset" w:sz="6" w:space="0" w:color="auto"/>
              <w:bottom w:val="outset" w:sz="6" w:space="0" w:color="auto"/>
              <w:right w:val="outset" w:sz="6" w:space="0" w:color="auto"/>
            </w:tcBorders>
            <w:vAlign w:val="center"/>
            <w:hideMark/>
          </w:tcPr>
          <w:p w14:paraId="23204246"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proofErr w:type="spellStart"/>
            <w:r w:rsidRPr="00E5323B">
              <w:rPr>
                <w:rFonts w:ascii="Times New Roman" w:eastAsia="Times New Roman" w:hAnsi="Times New Roman"/>
                <w:iCs/>
                <w:color w:val="414142"/>
                <w:sz w:val="24"/>
                <w:szCs w:val="24"/>
                <w:lang w:val="en-US" w:eastAsia="lv-LV"/>
              </w:rPr>
              <w:t>saskaņā</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ar</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valsts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budžetu</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kārtējam</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gadam</w:t>
            </w:r>
            <w:proofErr w:type="spellEnd"/>
          </w:p>
        </w:tc>
        <w:tc>
          <w:tcPr>
            <w:tcW w:w="601" w:type="pct"/>
            <w:tcBorders>
              <w:top w:val="outset" w:sz="6" w:space="0" w:color="auto"/>
              <w:left w:val="outset" w:sz="6" w:space="0" w:color="auto"/>
              <w:bottom w:val="outset" w:sz="6" w:space="0" w:color="auto"/>
              <w:right w:val="outset" w:sz="6" w:space="0" w:color="auto"/>
            </w:tcBorders>
            <w:vAlign w:val="center"/>
            <w:hideMark/>
          </w:tcPr>
          <w:p w14:paraId="279B4E0C"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proofErr w:type="spellStart"/>
            <w:r w:rsidRPr="00E5323B">
              <w:rPr>
                <w:rFonts w:ascii="Times New Roman" w:eastAsia="Times New Roman" w:hAnsi="Times New Roman"/>
                <w:iCs/>
                <w:color w:val="414142"/>
                <w:sz w:val="24"/>
                <w:szCs w:val="24"/>
                <w:lang w:val="en-US" w:eastAsia="lv-LV"/>
              </w:rPr>
              <w:t>izmaiņas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kārtējā</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gadā</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salīdzinot</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ar</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valsts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budžetu</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kārtējam</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gadam</w:t>
            </w:r>
            <w:proofErr w:type="spellEnd"/>
          </w:p>
        </w:tc>
        <w:tc>
          <w:tcPr>
            <w:tcW w:w="601" w:type="pct"/>
            <w:tcBorders>
              <w:top w:val="outset" w:sz="6" w:space="0" w:color="auto"/>
              <w:left w:val="outset" w:sz="6" w:space="0" w:color="auto"/>
              <w:bottom w:val="outset" w:sz="6" w:space="0" w:color="auto"/>
              <w:right w:val="outset" w:sz="6" w:space="0" w:color="auto"/>
            </w:tcBorders>
            <w:vAlign w:val="center"/>
            <w:hideMark/>
          </w:tcPr>
          <w:p w14:paraId="0C0DFB4E" w14:textId="77777777" w:rsidR="00AC3A06" w:rsidRPr="00E5323B" w:rsidRDefault="00AC3A06" w:rsidP="00731A75">
            <w:pPr>
              <w:spacing w:after="0" w:line="240" w:lineRule="auto"/>
              <w:rPr>
                <w:rFonts w:ascii="Times New Roman" w:eastAsia="Times New Roman" w:hAnsi="Times New Roman"/>
                <w:iCs/>
                <w:color w:val="414142"/>
                <w:sz w:val="24"/>
                <w:szCs w:val="24"/>
                <w:lang w:val="sv-SE" w:eastAsia="lv-LV"/>
              </w:rPr>
            </w:pPr>
            <w:r w:rsidRPr="00E5323B">
              <w:rPr>
                <w:rFonts w:ascii="Times New Roman" w:eastAsia="Times New Roman" w:hAnsi="Times New Roman"/>
                <w:iCs/>
                <w:color w:val="414142"/>
                <w:sz w:val="24"/>
                <w:szCs w:val="24"/>
                <w:lang w:val="sv-SE" w:eastAsia="lv-LV"/>
              </w:rPr>
              <w:t>saskaņā ar vidēja termiņa budžeta ietvaru</w:t>
            </w:r>
          </w:p>
        </w:tc>
        <w:tc>
          <w:tcPr>
            <w:tcW w:w="601" w:type="pct"/>
            <w:tcBorders>
              <w:top w:val="outset" w:sz="6" w:space="0" w:color="auto"/>
              <w:left w:val="outset" w:sz="6" w:space="0" w:color="auto"/>
              <w:bottom w:val="outset" w:sz="6" w:space="0" w:color="auto"/>
              <w:right w:val="outset" w:sz="6" w:space="0" w:color="auto"/>
            </w:tcBorders>
            <w:vAlign w:val="center"/>
            <w:hideMark/>
          </w:tcPr>
          <w:p w14:paraId="0F6E83C1" w14:textId="77777777" w:rsidR="00AC3A06" w:rsidRPr="00E5323B" w:rsidRDefault="00AC3A06" w:rsidP="00731A75">
            <w:pPr>
              <w:spacing w:after="0" w:line="240" w:lineRule="auto"/>
              <w:rPr>
                <w:rFonts w:ascii="Times New Roman" w:eastAsia="Times New Roman" w:hAnsi="Times New Roman"/>
                <w:iCs/>
                <w:color w:val="414142"/>
                <w:sz w:val="24"/>
                <w:szCs w:val="24"/>
                <w:lang w:val="sv-SE" w:eastAsia="lv-LV"/>
              </w:rPr>
            </w:pPr>
            <w:r w:rsidRPr="00E5323B">
              <w:rPr>
                <w:rFonts w:ascii="Times New Roman" w:eastAsia="Times New Roman" w:hAnsi="Times New Roman"/>
                <w:iCs/>
                <w:color w:val="414142"/>
                <w:sz w:val="24"/>
                <w:szCs w:val="24"/>
                <w:lang w:val="sv-SE" w:eastAsia="lv-LV"/>
              </w:rPr>
              <w:t>izmaiņas, salīdzinot ar vidēja termiņa budžeta ietvaru n+1 gadam</w:t>
            </w:r>
          </w:p>
        </w:tc>
        <w:tc>
          <w:tcPr>
            <w:tcW w:w="601" w:type="pct"/>
            <w:tcBorders>
              <w:top w:val="outset" w:sz="6" w:space="0" w:color="auto"/>
              <w:left w:val="outset" w:sz="6" w:space="0" w:color="auto"/>
              <w:bottom w:val="outset" w:sz="6" w:space="0" w:color="auto"/>
              <w:right w:val="outset" w:sz="6" w:space="0" w:color="auto"/>
            </w:tcBorders>
            <w:vAlign w:val="center"/>
            <w:hideMark/>
          </w:tcPr>
          <w:p w14:paraId="1DC1413B" w14:textId="77777777" w:rsidR="00AC3A06" w:rsidRPr="00E5323B" w:rsidRDefault="00AC3A06" w:rsidP="00731A75">
            <w:pPr>
              <w:spacing w:after="0" w:line="240" w:lineRule="auto"/>
              <w:rPr>
                <w:rFonts w:ascii="Times New Roman" w:eastAsia="Times New Roman" w:hAnsi="Times New Roman"/>
                <w:iCs/>
                <w:color w:val="414142"/>
                <w:sz w:val="24"/>
                <w:szCs w:val="24"/>
                <w:lang w:val="sv-SE" w:eastAsia="lv-LV"/>
              </w:rPr>
            </w:pPr>
            <w:r w:rsidRPr="00E5323B">
              <w:rPr>
                <w:rFonts w:ascii="Times New Roman" w:eastAsia="Times New Roman" w:hAnsi="Times New Roman"/>
                <w:iCs/>
                <w:color w:val="414142"/>
                <w:sz w:val="24"/>
                <w:szCs w:val="24"/>
                <w:lang w:val="sv-SE" w:eastAsia="lv-LV"/>
              </w:rPr>
              <w:t>saskaņā ar vidēja termiņa budžeta ietvaru</w:t>
            </w:r>
          </w:p>
        </w:tc>
        <w:tc>
          <w:tcPr>
            <w:tcW w:w="601" w:type="pct"/>
            <w:tcBorders>
              <w:top w:val="outset" w:sz="6" w:space="0" w:color="auto"/>
              <w:left w:val="outset" w:sz="6" w:space="0" w:color="auto"/>
              <w:bottom w:val="outset" w:sz="6" w:space="0" w:color="auto"/>
              <w:right w:val="outset" w:sz="6" w:space="0" w:color="auto"/>
            </w:tcBorders>
            <w:vAlign w:val="center"/>
            <w:hideMark/>
          </w:tcPr>
          <w:p w14:paraId="19F03E2A" w14:textId="77777777" w:rsidR="00AC3A06" w:rsidRPr="00E5323B" w:rsidRDefault="00AC3A06" w:rsidP="00731A75">
            <w:pPr>
              <w:spacing w:after="0" w:line="240" w:lineRule="auto"/>
              <w:rPr>
                <w:rFonts w:ascii="Times New Roman" w:eastAsia="Times New Roman" w:hAnsi="Times New Roman"/>
                <w:iCs/>
                <w:color w:val="414142"/>
                <w:sz w:val="24"/>
                <w:szCs w:val="24"/>
                <w:lang w:val="sv-SE" w:eastAsia="lv-LV"/>
              </w:rPr>
            </w:pPr>
            <w:r w:rsidRPr="00E5323B">
              <w:rPr>
                <w:rFonts w:ascii="Times New Roman" w:eastAsia="Times New Roman" w:hAnsi="Times New Roman"/>
                <w:iCs/>
                <w:color w:val="414142"/>
                <w:sz w:val="24"/>
                <w:szCs w:val="24"/>
                <w:lang w:val="sv-SE" w:eastAsia="lv-LV"/>
              </w:rPr>
              <w:t>izmaiņas, salīdzinot ar vidēja termiņa budžeta ietvaru n+2 gadam</w:t>
            </w:r>
          </w:p>
        </w:tc>
        <w:tc>
          <w:tcPr>
            <w:tcW w:w="601" w:type="pct"/>
            <w:tcBorders>
              <w:top w:val="outset" w:sz="6" w:space="0" w:color="auto"/>
              <w:left w:val="outset" w:sz="6" w:space="0" w:color="auto"/>
              <w:bottom w:val="outset" w:sz="6" w:space="0" w:color="auto"/>
              <w:right w:val="outset" w:sz="6" w:space="0" w:color="auto"/>
            </w:tcBorders>
            <w:vAlign w:val="center"/>
            <w:hideMark/>
          </w:tcPr>
          <w:p w14:paraId="308DA0E8" w14:textId="77777777" w:rsidR="00AC3A06" w:rsidRPr="00E5323B" w:rsidRDefault="00AC3A06" w:rsidP="00731A75">
            <w:pPr>
              <w:spacing w:after="0" w:line="240" w:lineRule="auto"/>
              <w:rPr>
                <w:rFonts w:ascii="Times New Roman" w:eastAsia="Times New Roman" w:hAnsi="Times New Roman"/>
                <w:iCs/>
                <w:color w:val="414142"/>
                <w:sz w:val="24"/>
                <w:szCs w:val="24"/>
                <w:lang w:val="sv-SE" w:eastAsia="lv-LV"/>
              </w:rPr>
            </w:pPr>
            <w:r w:rsidRPr="00E5323B">
              <w:rPr>
                <w:rFonts w:ascii="Times New Roman" w:eastAsia="Times New Roman" w:hAnsi="Times New Roman"/>
                <w:iCs/>
                <w:color w:val="414142"/>
                <w:sz w:val="24"/>
                <w:szCs w:val="24"/>
                <w:lang w:val="sv-SE" w:eastAsia="lv-LV"/>
              </w:rPr>
              <w:t>izmaiņas, salīdzinot ar vidēja termiņa budžeta ietvaru n+2 gadam</w:t>
            </w:r>
          </w:p>
        </w:tc>
      </w:tr>
      <w:tr w:rsidR="00AC3A06" w:rsidRPr="00E5323B" w14:paraId="62B7EA41" w14:textId="77777777" w:rsidTr="004111C9">
        <w:trPr>
          <w:tblCellSpacing w:w="15" w:type="dxa"/>
        </w:trPr>
        <w:tc>
          <w:tcPr>
            <w:tcW w:w="794" w:type="pct"/>
            <w:tcBorders>
              <w:top w:val="outset" w:sz="6" w:space="0" w:color="auto"/>
              <w:left w:val="outset" w:sz="6" w:space="0" w:color="auto"/>
              <w:bottom w:val="outset" w:sz="6" w:space="0" w:color="auto"/>
              <w:right w:val="outset" w:sz="6" w:space="0" w:color="auto"/>
            </w:tcBorders>
            <w:vAlign w:val="center"/>
            <w:hideMark/>
          </w:tcPr>
          <w:p w14:paraId="1BA01760"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1</w:t>
            </w:r>
          </w:p>
        </w:tc>
        <w:tc>
          <w:tcPr>
            <w:tcW w:w="467" w:type="pct"/>
            <w:tcBorders>
              <w:top w:val="outset" w:sz="6" w:space="0" w:color="auto"/>
              <w:left w:val="outset" w:sz="6" w:space="0" w:color="auto"/>
              <w:bottom w:val="outset" w:sz="6" w:space="0" w:color="auto"/>
              <w:right w:val="outset" w:sz="6" w:space="0" w:color="auto"/>
            </w:tcBorders>
            <w:vAlign w:val="center"/>
            <w:hideMark/>
          </w:tcPr>
          <w:p w14:paraId="67AD7F83"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2</w:t>
            </w:r>
          </w:p>
        </w:tc>
        <w:tc>
          <w:tcPr>
            <w:tcW w:w="601" w:type="pct"/>
            <w:tcBorders>
              <w:top w:val="outset" w:sz="6" w:space="0" w:color="auto"/>
              <w:left w:val="outset" w:sz="6" w:space="0" w:color="auto"/>
              <w:bottom w:val="outset" w:sz="6" w:space="0" w:color="auto"/>
              <w:right w:val="outset" w:sz="6" w:space="0" w:color="auto"/>
            </w:tcBorders>
            <w:vAlign w:val="center"/>
            <w:hideMark/>
          </w:tcPr>
          <w:p w14:paraId="0601A2EE"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3</w:t>
            </w:r>
          </w:p>
        </w:tc>
        <w:tc>
          <w:tcPr>
            <w:tcW w:w="601" w:type="pct"/>
            <w:tcBorders>
              <w:top w:val="outset" w:sz="6" w:space="0" w:color="auto"/>
              <w:left w:val="outset" w:sz="6" w:space="0" w:color="auto"/>
              <w:bottom w:val="outset" w:sz="6" w:space="0" w:color="auto"/>
              <w:right w:val="outset" w:sz="6" w:space="0" w:color="auto"/>
            </w:tcBorders>
            <w:vAlign w:val="center"/>
            <w:hideMark/>
          </w:tcPr>
          <w:p w14:paraId="07D42BE1"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4</w:t>
            </w:r>
          </w:p>
        </w:tc>
        <w:tc>
          <w:tcPr>
            <w:tcW w:w="601" w:type="pct"/>
            <w:tcBorders>
              <w:top w:val="outset" w:sz="6" w:space="0" w:color="auto"/>
              <w:left w:val="outset" w:sz="6" w:space="0" w:color="auto"/>
              <w:bottom w:val="outset" w:sz="6" w:space="0" w:color="auto"/>
              <w:right w:val="outset" w:sz="6" w:space="0" w:color="auto"/>
            </w:tcBorders>
            <w:vAlign w:val="center"/>
            <w:hideMark/>
          </w:tcPr>
          <w:p w14:paraId="71A3F8AE"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5</w:t>
            </w:r>
          </w:p>
        </w:tc>
        <w:tc>
          <w:tcPr>
            <w:tcW w:w="601" w:type="pct"/>
            <w:tcBorders>
              <w:top w:val="outset" w:sz="6" w:space="0" w:color="auto"/>
              <w:left w:val="outset" w:sz="6" w:space="0" w:color="auto"/>
              <w:bottom w:val="outset" w:sz="6" w:space="0" w:color="auto"/>
              <w:right w:val="outset" w:sz="6" w:space="0" w:color="auto"/>
            </w:tcBorders>
            <w:vAlign w:val="center"/>
            <w:hideMark/>
          </w:tcPr>
          <w:p w14:paraId="3A880FEA"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6</w:t>
            </w:r>
          </w:p>
        </w:tc>
        <w:tc>
          <w:tcPr>
            <w:tcW w:w="601" w:type="pct"/>
            <w:tcBorders>
              <w:top w:val="outset" w:sz="6" w:space="0" w:color="auto"/>
              <w:left w:val="outset" w:sz="6" w:space="0" w:color="auto"/>
              <w:bottom w:val="outset" w:sz="6" w:space="0" w:color="auto"/>
              <w:right w:val="outset" w:sz="6" w:space="0" w:color="auto"/>
            </w:tcBorders>
            <w:vAlign w:val="center"/>
            <w:hideMark/>
          </w:tcPr>
          <w:p w14:paraId="10D762A5"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7</w:t>
            </w:r>
          </w:p>
        </w:tc>
        <w:tc>
          <w:tcPr>
            <w:tcW w:w="601" w:type="pct"/>
            <w:tcBorders>
              <w:top w:val="outset" w:sz="6" w:space="0" w:color="auto"/>
              <w:left w:val="outset" w:sz="6" w:space="0" w:color="auto"/>
              <w:bottom w:val="outset" w:sz="6" w:space="0" w:color="auto"/>
              <w:right w:val="outset" w:sz="6" w:space="0" w:color="auto"/>
            </w:tcBorders>
            <w:vAlign w:val="center"/>
            <w:hideMark/>
          </w:tcPr>
          <w:p w14:paraId="31F0173A"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8</w:t>
            </w:r>
          </w:p>
        </w:tc>
      </w:tr>
      <w:tr w:rsidR="004111C9" w:rsidRPr="00E5323B" w14:paraId="62FB4318" w14:textId="77777777" w:rsidTr="004111C9">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44A2A5D1" w14:textId="77777777" w:rsidR="004111C9" w:rsidRPr="00E5323B" w:rsidRDefault="004111C9" w:rsidP="004111C9">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1. </w:t>
            </w:r>
            <w:proofErr w:type="spellStart"/>
            <w:r w:rsidRPr="00E5323B">
              <w:rPr>
                <w:rFonts w:ascii="Times New Roman" w:eastAsia="Times New Roman" w:hAnsi="Times New Roman"/>
                <w:iCs/>
                <w:color w:val="414142"/>
                <w:sz w:val="24"/>
                <w:szCs w:val="24"/>
                <w:lang w:val="en-US" w:eastAsia="lv-LV"/>
              </w:rPr>
              <w:t>Budžeta</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ieņēmumi</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2EC0137A" w14:textId="1BE58CE7"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19B7ECEA" w14:textId="05D0FC51"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c>
          <w:tcPr>
            <w:tcW w:w="601" w:type="pct"/>
            <w:tcBorders>
              <w:top w:val="outset" w:sz="6" w:space="0" w:color="auto"/>
              <w:left w:val="outset" w:sz="6" w:space="0" w:color="auto"/>
              <w:bottom w:val="outset" w:sz="6" w:space="0" w:color="auto"/>
              <w:right w:val="outset" w:sz="6" w:space="0" w:color="auto"/>
            </w:tcBorders>
            <w:vAlign w:val="center"/>
          </w:tcPr>
          <w:p w14:paraId="40088C53" w14:textId="4C9D2E85"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c>
          <w:tcPr>
            <w:tcW w:w="601" w:type="pct"/>
            <w:tcBorders>
              <w:top w:val="outset" w:sz="6" w:space="0" w:color="auto"/>
              <w:left w:val="outset" w:sz="6" w:space="0" w:color="auto"/>
              <w:bottom w:val="outset" w:sz="6" w:space="0" w:color="auto"/>
              <w:right w:val="outset" w:sz="6" w:space="0" w:color="auto"/>
            </w:tcBorders>
            <w:vAlign w:val="center"/>
          </w:tcPr>
          <w:p w14:paraId="22FC124A" w14:textId="426F3819"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c>
          <w:tcPr>
            <w:tcW w:w="601" w:type="pct"/>
            <w:tcBorders>
              <w:top w:val="outset" w:sz="6" w:space="0" w:color="auto"/>
              <w:left w:val="outset" w:sz="6" w:space="0" w:color="auto"/>
              <w:bottom w:val="outset" w:sz="6" w:space="0" w:color="auto"/>
              <w:right w:val="outset" w:sz="6" w:space="0" w:color="auto"/>
            </w:tcBorders>
            <w:vAlign w:val="center"/>
          </w:tcPr>
          <w:p w14:paraId="3B5654F5" w14:textId="02728277"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c>
          <w:tcPr>
            <w:tcW w:w="601" w:type="pct"/>
            <w:tcBorders>
              <w:top w:val="outset" w:sz="6" w:space="0" w:color="auto"/>
              <w:left w:val="outset" w:sz="6" w:space="0" w:color="auto"/>
              <w:bottom w:val="outset" w:sz="6" w:space="0" w:color="auto"/>
              <w:right w:val="outset" w:sz="6" w:space="0" w:color="auto"/>
            </w:tcBorders>
            <w:vAlign w:val="center"/>
          </w:tcPr>
          <w:p w14:paraId="7A061E0E" w14:textId="50EC6BE2"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c>
          <w:tcPr>
            <w:tcW w:w="601" w:type="pct"/>
            <w:tcBorders>
              <w:top w:val="outset" w:sz="6" w:space="0" w:color="auto"/>
              <w:left w:val="outset" w:sz="6" w:space="0" w:color="auto"/>
              <w:bottom w:val="outset" w:sz="6" w:space="0" w:color="auto"/>
              <w:right w:val="outset" w:sz="6" w:space="0" w:color="auto"/>
            </w:tcBorders>
            <w:vAlign w:val="center"/>
          </w:tcPr>
          <w:p w14:paraId="57BC043B" w14:textId="149D6968"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r>
      <w:tr w:rsidR="004111C9" w:rsidRPr="00E5323B" w14:paraId="051AFD13" w14:textId="77777777" w:rsidTr="004111C9">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5C49CCA1" w14:textId="77777777" w:rsidR="004111C9" w:rsidRPr="00E5323B" w:rsidRDefault="004111C9" w:rsidP="004111C9">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1.1. </w:t>
            </w:r>
            <w:proofErr w:type="spellStart"/>
            <w:r w:rsidRPr="00E5323B">
              <w:rPr>
                <w:rFonts w:ascii="Times New Roman" w:eastAsia="Times New Roman" w:hAnsi="Times New Roman"/>
                <w:iCs/>
                <w:color w:val="414142"/>
                <w:sz w:val="24"/>
                <w:szCs w:val="24"/>
                <w:lang w:val="en-US" w:eastAsia="lv-LV"/>
              </w:rPr>
              <w:t>valsts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pamatbudžets</w:t>
            </w:r>
            <w:proofErr w:type="spellEnd"/>
            <w:r w:rsidRPr="00E5323B">
              <w:rPr>
                <w:rFonts w:ascii="Times New Roman" w:eastAsia="Times New Roman" w:hAnsi="Times New Roman"/>
                <w:iCs/>
                <w:color w:val="414142"/>
                <w:sz w:val="24"/>
                <w:szCs w:val="24"/>
                <w:lang w:val="en-US" w:eastAsia="lv-LV"/>
              </w:rPr>
              <w:t xml:space="preserve">, tai </w:t>
            </w:r>
            <w:proofErr w:type="spellStart"/>
            <w:r w:rsidRPr="00E5323B">
              <w:rPr>
                <w:rFonts w:ascii="Times New Roman" w:eastAsia="Times New Roman" w:hAnsi="Times New Roman"/>
                <w:iCs/>
                <w:color w:val="414142"/>
                <w:sz w:val="24"/>
                <w:szCs w:val="24"/>
                <w:lang w:val="en-US" w:eastAsia="lv-LV"/>
              </w:rPr>
              <w:t>skaitā</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ieņēmumi</w:t>
            </w:r>
            <w:proofErr w:type="spellEnd"/>
            <w:r w:rsidRPr="00E5323B">
              <w:rPr>
                <w:rFonts w:ascii="Times New Roman" w:eastAsia="Times New Roman" w:hAnsi="Times New Roman"/>
                <w:iCs/>
                <w:color w:val="414142"/>
                <w:sz w:val="24"/>
                <w:szCs w:val="24"/>
                <w:lang w:val="en-US" w:eastAsia="lv-LV"/>
              </w:rPr>
              <w:t xml:space="preserve"> no </w:t>
            </w:r>
            <w:proofErr w:type="spellStart"/>
            <w:r w:rsidRPr="00E5323B">
              <w:rPr>
                <w:rFonts w:ascii="Times New Roman" w:eastAsia="Times New Roman" w:hAnsi="Times New Roman"/>
                <w:iCs/>
                <w:color w:val="414142"/>
                <w:sz w:val="24"/>
                <w:szCs w:val="24"/>
                <w:lang w:val="en-US" w:eastAsia="lv-LV"/>
              </w:rPr>
              <w:t>maksas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pakalpojumiem</w:t>
            </w:r>
            <w:proofErr w:type="spellEnd"/>
            <w:r w:rsidRPr="00E5323B">
              <w:rPr>
                <w:rFonts w:ascii="Times New Roman" w:eastAsia="Times New Roman" w:hAnsi="Times New Roman"/>
                <w:iCs/>
                <w:color w:val="414142"/>
                <w:sz w:val="24"/>
                <w:szCs w:val="24"/>
                <w:lang w:val="en-US" w:eastAsia="lv-LV"/>
              </w:rPr>
              <w:t xml:space="preserve"> un </w:t>
            </w:r>
            <w:proofErr w:type="spellStart"/>
            <w:r w:rsidRPr="00E5323B">
              <w:rPr>
                <w:rFonts w:ascii="Times New Roman" w:eastAsia="Times New Roman" w:hAnsi="Times New Roman"/>
                <w:iCs/>
                <w:color w:val="414142"/>
                <w:sz w:val="24"/>
                <w:szCs w:val="24"/>
                <w:lang w:val="en-US" w:eastAsia="lv-LV"/>
              </w:rPr>
              <w:t>citi</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pašu</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ieņēmumi</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163C1F52" w14:textId="7E994077"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1B8A56AC" w14:textId="4923C11B"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c>
          <w:tcPr>
            <w:tcW w:w="601" w:type="pct"/>
            <w:tcBorders>
              <w:top w:val="outset" w:sz="6" w:space="0" w:color="auto"/>
              <w:left w:val="outset" w:sz="6" w:space="0" w:color="auto"/>
              <w:bottom w:val="outset" w:sz="6" w:space="0" w:color="auto"/>
              <w:right w:val="outset" w:sz="6" w:space="0" w:color="auto"/>
            </w:tcBorders>
            <w:vAlign w:val="center"/>
          </w:tcPr>
          <w:p w14:paraId="252BBBB5" w14:textId="11681417"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c>
          <w:tcPr>
            <w:tcW w:w="601" w:type="pct"/>
            <w:tcBorders>
              <w:top w:val="outset" w:sz="6" w:space="0" w:color="auto"/>
              <w:left w:val="outset" w:sz="6" w:space="0" w:color="auto"/>
              <w:bottom w:val="outset" w:sz="6" w:space="0" w:color="auto"/>
              <w:right w:val="outset" w:sz="6" w:space="0" w:color="auto"/>
            </w:tcBorders>
            <w:vAlign w:val="center"/>
          </w:tcPr>
          <w:p w14:paraId="19CCE393" w14:textId="46F4D4A8"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c>
          <w:tcPr>
            <w:tcW w:w="601" w:type="pct"/>
            <w:tcBorders>
              <w:top w:val="outset" w:sz="6" w:space="0" w:color="auto"/>
              <w:left w:val="outset" w:sz="6" w:space="0" w:color="auto"/>
              <w:bottom w:val="outset" w:sz="6" w:space="0" w:color="auto"/>
              <w:right w:val="outset" w:sz="6" w:space="0" w:color="auto"/>
            </w:tcBorders>
            <w:vAlign w:val="center"/>
          </w:tcPr>
          <w:p w14:paraId="6443498E" w14:textId="4141ABEE"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c>
          <w:tcPr>
            <w:tcW w:w="601" w:type="pct"/>
            <w:tcBorders>
              <w:top w:val="outset" w:sz="6" w:space="0" w:color="auto"/>
              <w:left w:val="outset" w:sz="6" w:space="0" w:color="auto"/>
              <w:bottom w:val="outset" w:sz="6" w:space="0" w:color="auto"/>
              <w:right w:val="outset" w:sz="6" w:space="0" w:color="auto"/>
            </w:tcBorders>
            <w:vAlign w:val="center"/>
          </w:tcPr>
          <w:p w14:paraId="0469AD8C" w14:textId="7E7D175A"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c>
          <w:tcPr>
            <w:tcW w:w="601" w:type="pct"/>
            <w:tcBorders>
              <w:top w:val="outset" w:sz="6" w:space="0" w:color="auto"/>
              <w:left w:val="outset" w:sz="6" w:space="0" w:color="auto"/>
              <w:bottom w:val="outset" w:sz="6" w:space="0" w:color="auto"/>
              <w:right w:val="outset" w:sz="6" w:space="0" w:color="auto"/>
            </w:tcBorders>
            <w:vAlign w:val="center"/>
          </w:tcPr>
          <w:p w14:paraId="653388FB" w14:textId="3742AEE3"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r>
      <w:tr w:rsidR="004111C9" w:rsidRPr="00E5323B" w14:paraId="40DE78DE" w14:textId="77777777" w:rsidTr="004111C9">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776B66FD" w14:textId="77777777" w:rsidR="004111C9" w:rsidRPr="00E5323B" w:rsidRDefault="004111C9" w:rsidP="004111C9">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1.2. </w:t>
            </w:r>
            <w:proofErr w:type="spellStart"/>
            <w:r w:rsidRPr="00E5323B">
              <w:rPr>
                <w:rFonts w:ascii="Times New Roman" w:eastAsia="Times New Roman" w:hAnsi="Times New Roman"/>
                <w:iCs/>
                <w:color w:val="414142"/>
                <w:sz w:val="24"/>
                <w:szCs w:val="24"/>
                <w:lang w:val="en-US" w:eastAsia="lv-LV"/>
              </w:rPr>
              <w:t>valsts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speciālais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6E5AF4BD" w14:textId="20F0F32D"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326BE82D" w14:textId="56ADCA81"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70B6E761" w14:textId="643EA9CD"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33D756B2" w14:textId="53050FBD"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6725B836" w14:textId="04399F94"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2D18EFBF" w14:textId="31ABA30B"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30B23D17" w14:textId="209AB244"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eastAsia="Times New Roman" w:hAnsi="Times New Roman"/>
                <w:iCs/>
                <w:color w:val="414142"/>
                <w:sz w:val="24"/>
                <w:szCs w:val="24"/>
                <w:lang w:val="en-US" w:eastAsia="lv-LV"/>
              </w:rPr>
              <w:t>0</w:t>
            </w:r>
          </w:p>
        </w:tc>
      </w:tr>
      <w:tr w:rsidR="004111C9" w:rsidRPr="00E5323B" w14:paraId="3A98352B" w14:textId="77777777" w:rsidTr="004111C9">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31CFAA80" w14:textId="77777777" w:rsidR="004111C9" w:rsidRPr="00E5323B" w:rsidRDefault="004111C9" w:rsidP="004111C9">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1.3. </w:t>
            </w:r>
            <w:proofErr w:type="spellStart"/>
            <w:r w:rsidRPr="00E5323B">
              <w:rPr>
                <w:rFonts w:ascii="Times New Roman" w:eastAsia="Times New Roman" w:hAnsi="Times New Roman"/>
                <w:iCs/>
                <w:color w:val="414142"/>
                <w:sz w:val="24"/>
                <w:szCs w:val="24"/>
                <w:lang w:val="en-US" w:eastAsia="lv-LV"/>
              </w:rPr>
              <w:t>pašvaldību</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06CCBFC7" w14:textId="69B5A94D"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77E5EF82" w14:textId="2EE30A08"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c>
          <w:tcPr>
            <w:tcW w:w="601" w:type="pct"/>
            <w:tcBorders>
              <w:top w:val="outset" w:sz="6" w:space="0" w:color="auto"/>
              <w:left w:val="outset" w:sz="6" w:space="0" w:color="auto"/>
              <w:bottom w:val="outset" w:sz="6" w:space="0" w:color="auto"/>
              <w:right w:val="outset" w:sz="6" w:space="0" w:color="auto"/>
            </w:tcBorders>
            <w:vAlign w:val="center"/>
          </w:tcPr>
          <w:p w14:paraId="4B225399" w14:textId="00D55197"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c>
          <w:tcPr>
            <w:tcW w:w="601" w:type="pct"/>
            <w:tcBorders>
              <w:top w:val="outset" w:sz="6" w:space="0" w:color="auto"/>
              <w:left w:val="outset" w:sz="6" w:space="0" w:color="auto"/>
              <w:bottom w:val="outset" w:sz="6" w:space="0" w:color="auto"/>
              <w:right w:val="outset" w:sz="6" w:space="0" w:color="auto"/>
            </w:tcBorders>
            <w:vAlign w:val="center"/>
          </w:tcPr>
          <w:p w14:paraId="7EEDFAB5" w14:textId="47661A6D"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c>
          <w:tcPr>
            <w:tcW w:w="601" w:type="pct"/>
            <w:tcBorders>
              <w:top w:val="outset" w:sz="6" w:space="0" w:color="auto"/>
              <w:left w:val="outset" w:sz="6" w:space="0" w:color="auto"/>
              <w:bottom w:val="outset" w:sz="6" w:space="0" w:color="auto"/>
              <w:right w:val="outset" w:sz="6" w:space="0" w:color="auto"/>
            </w:tcBorders>
            <w:vAlign w:val="center"/>
          </w:tcPr>
          <w:p w14:paraId="0AB7E1B3" w14:textId="1DFE9F0E"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c>
          <w:tcPr>
            <w:tcW w:w="601" w:type="pct"/>
            <w:tcBorders>
              <w:top w:val="outset" w:sz="6" w:space="0" w:color="auto"/>
              <w:left w:val="outset" w:sz="6" w:space="0" w:color="auto"/>
              <w:bottom w:val="outset" w:sz="6" w:space="0" w:color="auto"/>
              <w:right w:val="outset" w:sz="6" w:space="0" w:color="auto"/>
            </w:tcBorders>
            <w:vAlign w:val="center"/>
          </w:tcPr>
          <w:p w14:paraId="4B5A51E4" w14:textId="4E9930A2"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c>
          <w:tcPr>
            <w:tcW w:w="601" w:type="pct"/>
            <w:tcBorders>
              <w:top w:val="outset" w:sz="6" w:space="0" w:color="auto"/>
              <w:left w:val="outset" w:sz="6" w:space="0" w:color="auto"/>
              <w:bottom w:val="outset" w:sz="6" w:space="0" w:color="auto"/>
              <w:right w:val="outset" w:sz="6" w:space="0" w:color="auto"/>
            </w:tcBorders>
            <w:vAlign w:val="center"/>
          </w:tcPr>
          <w:p w14:paraId="630464B4" w14:textId="1BD248AE"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r>
      <w:tr w:rsidR="004111C9" w:rsidRPr="00E5323B" w14:paraId="6944D510" w14:textId="77777777" w:rsidTr="004111C9">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7C3C7C0C" w14:textId="77777777" w:rsidR="004111C9" w:rsidRPr="00E5323B" w:rsidRDefault="004111C9" w:rsidP="004111C9">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2. </w:t>
            </w:r>
            <w:proofErr w:type="spellStart"/>
            <w:r w:rsidRPr="00E5323B">
              <w:rPr>
                <w:rFonts w:ascii="Times New Roman" w:eastAsia="Times New Roman" w:hAnsi="Times New Roman"/>
                <w:iCs/>
                <w:color w:val="414142"/>
                <w:sz w:val="24"/>
                <w:szCs w:val="24"/>
                <w:lang w:val="en-US" w:eastAsia="lv-LV"/>
              </w:rPr>
              <w:t>Budžeta</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izdevumi</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376FD8DD" w14:textId="2C8066B7"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14:paraId="58DF5D8A" w14:textId="22C60019"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c>
          <w:tcPr>
            <w:tcW w:w="601" w:type="pct"/>
            <w:tcBorders>
              <w:top w:val="outset" w:sz="6" w:space="0" w:color="auto"/>
              <w:left w:val="outset" w:sz="6" w:space="0" w:color="auto"/>
              <w:bottom w:val="outset" w:sz="6" w:space="0" w:color="auto"/>
              <w:right w:val="outset" w:sz="6" w:space="0" w:color="auto"/>
            </w:tcBorders>
            <w:vAlign w:val="center"/>
          </w:tcPr>
          <w:p w14:paraId="0C146D60" w14:textId="14D3C2CD"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c>
          <w:tcPr>
            <w:tcW w:w="601" w:type="pct"/>
            <w:tcBorders>
              <w:top w:val="outset" w:sz="6" w:space="0" w:color="auto"/>
              <w:left w:val="outset" w:sz="6" w:space="0" w:color="auto"/>
              <w:bottom w:val="outset" w:sz="6" w:space="0" w:color="auto"/>
              <w:right w:val="outset" w:sz="6" w:space="0" w:color="auto"/>
            </w:tcBorders>
            <w:vAlign w:val="center"/>
          </w:tcPr>
          <w:p w14:paraId="06B4A11E" w14:textId="5A452DB9"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c>
          <w:tcPr>
            <w:tcW w:w="601" w:type="pct"/>
            <w:tcBorders>
              <w:top w:val="outset" w:sz="6" w:space="0" w:color="auto"/>
              <w:left w:val="outset" w:sz="6" w:space="0" w:color="auto"/>
              <w:bottom w:val="outset" w:sz="6" w:space="0" w:color="auto"/>
              <w:right w:val="outset" w:sz="6" w:space="0" w:color="auto"/>
            </w:tcBorders>
            <w:vAlign w:val="center"/>
          </w:tcPr>
          <w:p w14:paraId="5A95B9F0" w14:textId="07CAB022"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c>
          <w:tcPr>
            <w:tcW w:w="601" w:type="pct"/>
            <w:tcBorders>
              <w:top w:val="outset" w:sz="6" w:space="0" w:color="auto"/>
              <w:left w:val="outset" w:sz="6" w:space="0" w:color="auto"/>
              <w:bottom w:val="outset" w:sz="6" w:space="0" w:color="auto"/>
              <w:right w:val="outset" w:sz="6" w:space="0" w:color="auto"/>
            </w:tcBorders>
            <w:vAlign w:val="center"/>
          </w:tcPr>
          <w:p w14:paraId="3D0B1550" w14:textId="27E7B988"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c>
          <w:tcPr>
            <w:tcW w:w="601" w:type="pct"/>
            <w:tcBorders>
              <w:top w:val="outset" w:sz="6" w:space="0" w:color="auto"/>
              <w:left w:val="outset" w:sz="6" w:space="0" w:color="auto"/>
              <w:bottom w:val="outset" w:sz="6" w:space="0" w:color="auto"/>
              <w:right w:val="outset" w:sz="6" w:space="0" w:color="auto"/>
            </w:tcBorders>
            <w:vAlign w:val="center"/>
          </w:tcPr>
          <w:p w14:paraId="6D3D71D4" w14:textId="53CEF9CD"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r>
      <w:tr w:rsidR="004111C9" w:rsidRPr="00E5323B" w14:paraId="143128A0" w14:textId="77777777" w:rsidTr="004111C9">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10AEBB2E" w14:textId="77777777" w:rsidR="004111C9" w:rsidRPr="00E5323B" w:rsidRDefault="004111C9" w:rsidP="004111C9">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lastRenderedPageBreak/>
              <w:t xml:space="preserve">2.1. </w:t>
            </w:r>
            <w:proofErr w:type="spellStart"/>
            <w:r w:rsidRPr="00E5323B">
              <w:rPr>
                <w:rFonts w:ascii="Times New Roman" w:eastAsia="Times New Roman" w:hAnsi="Times New Roman"/>
                <w:iCs/>
                <w:color w:val="414142"/>
                <w:sz w:val="24"/>
                <w:szCs w:val="24"/>
                <w:lang w:val="en-US" w:eastAsia="lv-LV"/>
              </w:rPr>
              <w:t>valsts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pamatbudžets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1A4F8A90" w14:textId="6DDC40EE"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14:paraId="78836849" w14:textId="7EC346FB"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c>
          <w:tcPr>
            <w:tcW w:w="601" w:type="pct"/>
            <w:tcBorders>
              <w:top w:val="outset" w:sz="6" w:space="0" w:color="auto"/>
              <w:left w:val="outset" w:sz="6" w:space="0" w:color="auto"/>
              <w:bottom w:val="outset" w:sz="6" w:space="0" w:color="auto"/>
              <w:right w:val="outset" w:sz="6" w:space="0" w:color="auto"/>
            </w:tcBorders>
            <w:vAlign w:val="center"/>
          </w:tcPr>
          <w:p w14:paraId="6444BEA4" w14:textId="1EA485B2"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c>
          <w:tcPr>
            <w:tcW w:w="601" w:type="pct"/>
            <w:tcBorders>
              <w:top w:val="outset" w:sz="6" w:space="0" w:color="auto"/>
              <w:left w:val="outset" w:sz="6" w:space="0" w:color="auto"/>
              <w:bottom w:val="outset" w:sz="6" w:space="0" w:color="auto"/>
              <w:right w:val="outset" w:sz="6" w:space="0" w:color="auto"/>
            </w:tcBorders>
            <w:vAlign w:val="center"/>
          </w:tcPr>
          <w:p w14:paraId="3C5278D0" w14:textId="132B2AAA"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c>
          <w:tcPr>
            <w:tcW w:w="601" w:type="pct"/>
            <w:tcBorders>
              <w:top w:val="outset" w:sz="6" w:space="0" w:color="auto"/>
              <w:left w:val="outset" w:sz="6" w:space="0" w:color="auto"/>
              <w:bottom w:val="outset" w:sz="6" w:space="0" w:color="auto"/>
              <w:right w:val="outset" w:sz="6" w:space="0" w:color="auto"/>
            </w:tcBorders>
            <w:vAlign w:val="center"/>
          </w:tcPr>
          <w:p w14:paraId="42F1983B" w14:textId="646298A3"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c>
          <w:tcPr>
            <w:tcW w:w="601" w:type="pct"/>
            <w:tcBorders>
              <w:top w:val="outset" w:sz="6" w:space="0" w:color="auto"/>
              <w:left w:val="outset" w:sz="6" w:space="0" w:color="auto"/>
              <w:bottom w:val="outset" w:sz="6" w:space="0" w:color="auto"/>
              <w:right w:val="outset" w:sz="6" w:space="0" w:color="auto"/>
            </w:tcBorders>
            <w:vAlign w:val="center"/>
          </w:tcPr>
          <w:p w14:paraId="4969F303" w14:textId="0887D6ED"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c>
          <w:tcPr>
            <w:tcW w:w="601" w:type="pct"/>
            <w:tcBorders>
              <w:top w:val="outset" w:sz="6" w:space="0" w:color="auto"/>
              <w:left w:val="outset" w:sz="6" w:space="0" w:color="auto"/>
              <w:bottom w:val="outset" w:sz="6" w:space="0" w:color="auto"/>
              <w:right w:val="outset" w:sz="6" w:space="0" w:color="auto"/>
            </w:tcBorders>
            <w:vAlign w:val="center"/>
          </w:tcPr>
          <w:p w14:paraId="009CA34B" w14:textId="4BFF7CD9"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r>
      <w:tr w:rsidR="004111C9" w:rsidRPr="00E5323B" w14:paraId="0D04C1C9" w14:textId="77777777" w:rsidTr="004111C9">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3CF03454" w14:textId="77777777" w:rsidR="004111C9" w:rsidRPr="00E5323B" w:rsidRDefault="004111C9" w:rsidP="004111C9">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2.2. </w:t>
            </w:r>
            <w:proofErr w:type="spellStart"/>
            <w:r w:rsidRPr="00E5323B">
              <w:rPr>
                <w:rFonts w:ascii="Times New Roman" w:eastAsia="Times New Roman" w:hAnsi="Times New Roman"/>
                <w:iCs/>
                <w:color w:val="414142"/>
                <w:sz w:val="24"/>
                <w:szCs w:val="24"/>
                <w:lang w:val="en-US" w:eastAsia="lv-LV"/>
              </w:rPr>
              <w:t>valsts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speciālais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66145451" w14:textId="0F14CDBA"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34F388D5" w14:textId="2C251DF5"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7DD5324F" w14:textId="26FAFB20"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76F80638" w14:textId="0580BA2B"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2413868F" w14:textId="3672B84C"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1C1DEB4D" w14:textId="6A1509AF"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42D8AA29" w14:textId="442162C1"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eastAsia="Times New Roman" w:hAnsi="Times New Roman"/>
                <w:iCs/>
                <w:color w:val="414142"/>
                <w:sz w:val="24"/>
                <w:szCs w:val="24"/>
                <w:lang w:val="en-US" w:eastAsia="lv-LV"/>
              </w:rPr>
              <w:t>0</w:t>
            </w:r>
          </w:p>
        </w:tc>
      </w:tr>
      <w:tr w:rsidR="004111C9" w:rsidRPr="00E5323B" w14:paraId="02FEFEF3" w14:textId="77777777" w:rsidTr="004111C9">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0A8AFC29" w14:textId="77777777" w:rsidR="004111C9" w:rsidRPr="00E5323B" w:rsidRDefault="004111C9" w:rsidP="004111C9">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2.3. </w:t>
            </w:r>
            <w:proofErr w:type="spellStart"/>
            <w:r w:rsidRPr="00E5323B">
              <w:rPr>
                <w:rFonts w:ascii="Times New Roman" w:eastAsia="Times New Roman" w:hAnsi="Times New Roman"/>
                <w:iCs/>
                <w:color w:val="414142"/>
                <w:sz w:val="24"/>
                <w:szCs w:val="24"/>
                <w:lang w:val="en-US" w:eastAsia="lv-LV"/>
              </w:rPr>
              <w:t>pašvaldību</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10F876F5" w14:textId="4FD65A55"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26F8421D" w14:textId="44F1513F"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c>
          <w:tcPr>
            <w:tcW w:w="601" w:type="pct"/>
            <w:tcBorders>
              <w:top w:val="outset" w:sz="6" w:space="0" w:color="auto"/>
              <w:left w:val="outset" w:sz="6" w:space="0" w:color="auto"/>
              <w:bottom w:val="outset" w:sz="6" w:space="0" w:color="auto"/>
              <w:right w:val="outset" w:sz="6" w:space="0" w:color="auto"/>
            </w:tcBorders>
            <w:vAlign w:val="center"/>
          </w:tcPr>
          <w:p w14:paraId="1D0D135A" w14:textId="71D1D061"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c>
          <w:tcPr>
            <w:tcW w:w="601" w:type="pct"/>
            <w:tcBorders>
              <w:top w:val="outset" w:sz="6" w:space="0" w:color="auto"/>
              <w:left w:val="outset" w:sz="6" w:space="0" w:color="auto"/>
              <w:bottom w:val="outset" w:sz="6" w:space="0" w:color="auto"/>
              <w:right w:val="outset" w:sz="6" w:space="0" w:color="auto"/>
            </w:tcBorders>
            <w:vAlign w:val="center"/>
          </w:tcPr>
          <w:p w14:paraId="19AC1BBF" w14:textId="7EA13724"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c>
          <w:tcPr>
            <w:tcW w:w="601" w:type="pct"/>
            <w:tcBorders>
              <w:top w:val="outset" w:sz="6" w:space="0" w:color="auto"/>
              <w:left w:val="outset" w:sz="6" w:space="0" w:color="auto"/>
              <w:bottom w:val="outset" w:sz="6" w:space="0" w:color="auto"/>
              <w:right w:val="outset" w:sz="6" w:space="0" w:color="auto"/>
            </w:tcBorders>
            <w:vAlign w:val="center"/>
          </w:tcPr>
          <w:p w14:paraId="7AB11CC4" w14:textId="27ED90BA"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c>
          <w:tcPr>
            <w:tcW w:w="601" w:type="pct"/>
            <w:tcBorders>
              <w:top w:val="outset" w:sz="6" w:space="0" w:color="auto"/>
              <w:left w:val="outset" w:sz="6" w:space="0" w:color="auto"/>
              <w:bottom w:val="outset" w:sz="6" w:space="0" w:color="auto"/>
              <w:right w:val="outset" w:sz="6" w:space="0" w:color="auto"/>
            </w:tcBorders>
            <w:vAlign w:val="center"/>
          </w:tcPr>
          <w:p w14:paraId="77A975C0" w14:textId="313C726E"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c>
          <w:tcPr>
            <w:tcW w:w="601" w:type="pct"/>
            <w:tcBorders>
              <w:top w:val="outset" w:sz="6" w:space="0" w:color="auto"/>
              <w:left w:val="outset" w:sz="6" w:space="0" w:color="auto"/>
              <w:bottom w:val="outset" w:sz="6" w:space="0" w:color="auto"/>
              <w:right w:val="outset" w:sz="6" w:space="0" w:color="auto"/>
            </w:tcBorders>
            <w:vAlign w:val="center"/>
          </w:tcPr>
          <w:p w14:paraId="3B172BFB" w14:textId="24256343"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hAnsi="Times New Roman"/>
                <w:sz w:val="24"/>
                <w:szCs w:val="24"/>
              </w:rPr>
              <w:t>Nav precīzi aprēķināms</w:t>
            </w:r>
          </w:p>
        </w:tc>
      </w:tr>
      <w:tr w:rsidR="004111C9" w:rsidRPr="00E5323B" w14:paraId="1169217E" w14:textId="77777777" w:rsidTr="004111C9">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0B875DB0" w14:textId="77777777" w:rsidR="004111C9" w:rsidRPr="00E5323B" w:rsidRDefault="004111C9" w:rsidP="004111C9">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3. </w:t>
            </w:r>
            <w:proofErr w:type="spellStart"/>
            <w:r w:rsidRPr="00E5323B">
              <w:rPr>
                <w:rFonts w:ascii="Times New Roman" w:eastAsia="Times New Roman" w:hAnsi="Times New Roman"/>
                <w:iCs/>
                <w:color w:val="414142"/>
                <w:sz w:val="24"/>
                <w:szCs w:val="24"/>
                <w:lang w:val="en-US" w:eastAsia="lv-LV"/>
              </w:rPr>
              <w:t>Finansiālā</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ietekme</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6321DF43" w14:textId="085C1195"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14:paraId="257EF243" w14:textId="6C629D13"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1220B23C" w14:textId="1E16D394"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0B625CA0" w14:textId="4FC3A40E"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57881BC6" w14:textId="1F799B02"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1B9E56DF" w14:textId="2DE565AD"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2477579E" w14:textId="547A578B"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eastAsia="Times New Roman" w:hAnsi="Times New Roman"/>
                <w:iCs/>
                <w:color w:val="414142"/>
                <w:sz w:val="24"/>
                <w:szCs w:val="24"/>
                <w:lang w:val="en-US" w:eastAsia="lv-LV"/>
              </w:rPr>
              <w:t>0</w:t>
            </w:r>
          </w:p>
        </w:tc>
      </w:tr>
      <w:tr w:rsidR="004111C9" w:rsidRPr="00E5323B" w14:paraId="6F9147B4" w14:textId="77777777" w:rsidTr="004111C9">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09369121" w14:textId="77777777" w:rsidR="004111C9" w:rsidRPr="00E5323B" w:rsidRDefault="004111C9" w:rsidP="004111C9">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3.1. </w:t>
            </w:r>
            <w:proofErr w:type="spellStart"/>
            <w:r w:rsidRPr="00E5323B">
              <w:rPr>
                <w:rFonts w:ascii="Times New Roman" w:eastAsia="Times New Roman" w:hAnsi="Times New Roman"/>
                <w:iCs/>
                <w:color w:val="414142"/>
                <w:sz w:val="24"/>
                <w:szCs w:val="24"/>
                <w:lang w:val="en-US" w:eastAsia="lv-LV"/>
              </w:rPr>
              <w:t>valsts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pamatbudžets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0D6A54DD" w14:textId="4F1B3A26"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14:paraId="43466CC4" w14:textId="50F7FEAA"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7FC763CE" w14:textId="6CBFA6CF"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1F4CD66A" w14:textId="7471E0A2"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61CA6EA8" w14:textId="173C611D"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2E040E2E" w14:textId="4E9E6715"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6CA0CACF" w14:textId="747D4416"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eastAsia="Times New Roman" w:hAnsi="Times New Roman"/>
                <w:iCs/>
                <w:color w:val="414142"/>
                <w:sz w:val="24"/>
                <w:szCs w:val="24"/>
                <w:lang w:val="en-US" w:eastAsia="lv-LV"/>
              </w:rPr>
              <w:t>0</w:t>
            </w:r>
          </w:p>
        </w:tc>
      </w:tr>
      <w:tr w:rsidR="004111C9" w:rsidRPr="00E5323B" w14:paraId="7610C9CA" w14:textId="77777777" w:rsidTr="004111C9">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3378C2CC" w14:textId="77777777" w:rsidR="004111C9" w:rsidRPr="00E5323B" w:rsidRDefault="004111C9" w:rsidP="004111C9">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3.2. </w:t>
            </w:r>
            <w:proofErr w:type="spellStart"/>
            <w:r w:rsidRPr="00E5323B">
              <w:rPr>
                <w:rFonts w:ascii="Times New Roman" w:eastAsia="Times New Roman" w:hAnsi="Times New Roman"/>
                <w:iCs/>
                <w:color w:val="414142"/>
                <w:sz w:val="24"/>
                <w:szCs w:val="24"/>
                <w:lang w:val="en-US" w:eastAsia="lv-LV"/>
              </w:rPr>
              <w:t>speciālais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3AD5D012" w14:textId="6292A669"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379C12B7" w14:textId="7B12DF8B"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7986B797" w14:textId="0F6F4F6F"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403E1624" w14:textId="5C278DA5"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28E42757" w14:textId="026650A8"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53C5FA4A" w14:textId="6D180C57"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6D1FBFDF" w14:textId="04AA02F9" w:rsidR="004111C9" w:rsidRPr="004111C9" w:rsidRDefault="004111C9" w:rsidP="004111C9">
            <w:pPr>
              <w:spacing w:after="0" w:line="240" w:lineRule="auto"/>
              <w:rPr>
                <w:rFonts w:ascii="Times New Roman" w:eastAsia="Times New Roman" w:hAnsi="Times New Roman"/>
                <w:iCs/>
                <w:color w:val="414142"/>
                <w:sz w:val="24"/>
                <w:szCs w:val="24"/>
                <w:lang w:val="en-US" w:eastAsia="lv-LV"/>
              </w:rPr>
            </w:pPr>
            <w:r w:rsidRPr="004111C9">
              <w:rPr>
                <w:rFonts w:ascii="Times New Roman" w:eastAsia="Times New Roman" w:hAnsi="Times New Roman"/>
                <w:iCs/>
                <w:color w:val="414142"/>
                <w:sz w:val="24"/>
                <w:szCs w:val="24"/>
                <w:lang w:val="en-US" w:eastAsia="lv-LV"/>
              </w:rPr>
              <w:t>0</w:t>
            </w:r>
          </w:p>
        </w:tc>
      </w:tr>
      <w:tr w:rsidR="004111C9" w:rsidRPr="00E5323B" w14:paraId="5E433D77" w14:textId="77777777" w:rsidTr="004111C9">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7D1A4D47" w14:textId="77777777" w:rsidR="004111C9" w:rsidRPr="00E5323B" w:rsidRDefault="004111C9" w:rsidP="004111C9">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3.3. </w:t>
            </w:r>
            <w:proofErr w:type="spellStart"/>
            <w:r w:rsidRPr="00E5323B">
              <w:rPr>
                <w:rFonts w:ascii="Times New Roman" w:eastAsia="Times New Roman" w:hAnsi="Times New Roman"/>
                <w:iCs/>
                <w:color w:val="414142"/>
                <w:sz w:val="24"/>
                <w:szCs w:val="24"/>
                <w:lang w:val="en-US" w:eastAsia="lv-LV"/>
              </w:rPr>
              <w:t>pašvaldību</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budžets</w:t>
            </w:r>
            <w:proofErr w:type="spellEnd"/>
          </w:p>
        </w:tc>
        <w:tc>
          <w:tcPr>
            <w:tcW w:w="467" w:type="pct"/>
            <w:tcBorders>
              <w:top w:val="outset" w:sz="6" w:space="0" w:color="auto"/>
              <w:left w:val="outset" w:sz="6" w:space="0" w:color="auto"/>
              <w:bottom w:val="outset" w:sz="6" w:space="0" w:color="auto"/>
              <w:right w:val="outset" w:sz="6" w:space="0" w:color="auto"/>
            </w:tcBorders>
            <w:vAlign w:val="center"/>
          </w:tcPr>
          <w:p w14:paraId="7513A995" w14:textId="2F06E57C"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0E5D9EA9" w14:textId="369E89A2"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389C71AB" w14:textId="3C470F18"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64C17068" w14:textId="0D1AE749"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6C0223F7" w14:textId="2A30FC92"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292AA0EF" w14:textId="34564815"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636CC15F" w14:textId="0940AB0E"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r>
      <w:tr w:rsidR="004111C9" w:rsidRPr="00E5323B" w14:paraId="53F45A8A" w14:textId="77777777" w:rsidTr="004111C9">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5499E3E8" w14:textId="77777777" w:rsidR="004111C9" w:rsidRPr="00CC0D2D" w:rsidRDefault="004111C9" w:rsidP="004111C9">
            <w:pPr>
              <w:spacing w:after="0" w:line="240" w:lineRule="auto"/>
              <w:rPr>
                <w:rFonts w:ascii="Times New Roman" w:eastAsia="Times New Roman" w:hAnsi="Times New Roman"/>
                <w:iCs/>
                <w:color w:val="414142"/>
                <w:sz w:val="24"/>
                <w:szCs w:val="24"/>
                <w:lang w:eastAsia="lv-LV"/>
              </w:rPr>
            </w:pPr>
            <w:r w:rsidRPr="00CC0D2D">
              <w:rPr>
                <w:rFonts w:ascii="Times New Roman" w:eastAsia="Times New Roman" w:hAnsi="Times New Roman"/>
                <w:iCs/>
                <w:color w:val="414142"/>
                <w:sz w:val="24"/>
                <w:szCs w:val="24"/>
                <w:lang w:eastAsia="lv-LV"/>
              </w:rPr>
              <w:t>4. Finanšu līdzekļi papildu izdevumu finansēšanai (kompensējošu izdevumu samazinājumu norāda ar "+" zīmi)</w:t>
            </w:r>
          </w:p>
        </w:tc>
        <w:tc>
          <w:tcPr>
            <w:tcW w:w="467" w:type="pct"/>
            <w:tcBorders>
              <w:top w:val="outset" w:sz="6" w:space="0" w:color="auto"/>
              <w:left w:val="outset" w:sz="6" w:space="0" w:color="auto"/>
              <w:bottom w:val="outset" w:sz="6" w:space="0" w:color="auto"/>
              <w:right w:val="outset" w:sz="6" w:space="0" w:color="auto"/>
            </w:tcBorders>
            <w:vAlign w:val="center"/>
            <w:hideMark/>
          </w:tcPr>
          <w:p w14:paraId="2EC927C7" w14:textId="77777777" w:rsidR="004111C9" w:rsidRPr="009B0586" w:rsidRDefault="004111C9" w:rsidP="004111C9">
            <w:pPr>
              <w:spacing w:after="0" w:line="240" w:lineRule="auto"/>
              <w:jc w:val="center"/>
              <w:rPr>
                <w:rFonts w:ascii="Times New Roman" w:eastAsia="Times New Roman" w:hAnsi="Times New Roman"/>
                <w:iCs/>
                <w:color w:val="414142"/>
                <w:sz w:val="24"/>
                <w:szCs w:val="24"/>
                <w:lang w:eastAsia="lv-LV"/>
              </w:rPr>
            </w:pPr>
            <w:r w:rsidRPr="009B0586">
              <w:rPr>
                <w:rFonts w:ascii="Times New Roman" w:eastAsia="Times New Roman" w:hAnsi="Times New Roman"/>
                <w:iCs/>
                <w:color w:val="414142"/>
                <w:sz w:val="24"/>
                <w:szCs w:val="24"/>
                <w:lang w:eastAsia="lv-LV"/>
              </w:rPr>
              <w:t>X</w:t>
            </w:r>
          </w:p>
        </w:tc>
        <w:tc>
          <w:tcPr>
            <w:tcW w:w="601" w:type="pct"/>
            <w:tcBorders>
              <w:top w:val="outset" w:sz="6" w:space="0" w:color="auto"/>
              <w:left w:val="outset" w:sz="6" w:space="0" w:color="auto"/>
              <w:bottom w:val="outset" w:sz="6" w:space="0" w:color="auto"/>
              <w:right w:val="outset" w:sz="6" w:space="0" w:color="auto"/>
            </w:tcBorders>
            <w:vAlign w:val="center"/>
            <w:hideMark/>
          </w:tcPr>
          <w:p w14:paraId="7607D7BA" w14:textId="51A686D5" w:rsidR="004111C9" w:rsidRPr="009B0586" w:rsidRDefault="004111C9" w:rsidP="004111C9">
            <w:pPr>
              <w:spacing w:after="0" w:line="240" w:lineRule="auto"/>
              <w:jc w:val="center"/>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14:paraId="25EC03FE" w14:textId="77777777" w:rsidR="004111C9" w:rsidRPr="009B0586" w:rsidRDefault="004111C9" w:rsidP="004111C9">
            <w:pPr>
              <w:spacing w:after="0" w:line="240" w:lineRule="auto"/>
              <w:jc w:val="center"/>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X</w:t>
            </w:r>
          </w:p>
        </w:tc>
        <w:tc>
          <w:tcPr>
            <w:tcW w:w="601" w:type="pct"/>
            <w:tcBorders>
              <w:top w:val="outset" w:sz="6" w:space="0" w:color="auto"/>
              <w:left w:val="outset" w:sz="6" w:space="0" w:color="auto"/>
              <w:bottom w:val="outset" w:sz="6" w:space="0" w:color="auto"/>
              <w:right w:val="outset" w:sz="6" w:space="0" w:color="auto"/>
            </w:tcBorders>
            <w:vAlign w:val="center"/>
            <w:hideMark/>
          </w:tcPr>
          <w:p w14:paraId="6A61DFD8" w14:textId="19B1B62C" w:rsidR="004111C9" w:rsidRPr="009B0586" w:rsidRDefault="004111C9" w:rsidP="004111C9">
            <w:pPr>
              <w:spacing w:after="0" w:line="240" w:lineRule="auto"/>
              <w:jc w:val="center"/>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14:paraId="47D540A1" w14:textId="77777777" w:rsidR="004111C9" w:rsidRPr="009B0586" w:rsidRDefault="004111C9" w:rsidP="004111C9">
            <w:pPr>
              <w:spacing w:after="0" w:line="240" w:lineRule="auto"/>
              <w:jc w:val="center"/>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X</w:t>
            </w:r>
          </w:p>
        </w:tc>
        <w:tc>
          <w:tcPr>
            <w:tcW w:w="601" w:type="pct"/>
            <w:tcBorders>
              <w:top w:val="outset" w:sz="6" w:space="0" w:color="auto"/>
              <w:left w:val="outset" w:sz="6" w:space="0" w:color="auto"/>
              <w:bottom w:val="outset" w:sz="6" w:space="0" w:color="auto"/>
              <w:right w:val="outset" w:sz="6" w:space="0" w:color="auto"/>
            </w:tcBorders>
            <w:vAlign w:val="center"/>
          </w:tcPr>
          <w:p w14:paraId="5B1D2E30" w14:textId="38E3E414"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0981CF24" w14:textId="10EEEC17"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r>
      <w:tr w:rsidR="004111C9" w:rsidRPr="00E5323B" w14:paraId="5750755A" w14:textId="77777777" w:rsidTr="004111C9">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60423E64" w14:textId="77777777" w:rsidR="004111C9" w:rsidRPr="00E5323B" w:rsidRDefault="004111C9" w:rsidP="004111C9">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5. </w:t>
            </w:r>
            <w:proofErr w:type="spellStart"/>
            <w:r w:rsidRPr="00E5323B">
              <w:rPr>
                <w:rFonts w:ascii="Times New Roman" w:eastAsia="Times New Roman" w:hAnsi="Times New Roman"/>
                <w:iCs/>
                <w:color w:val="414142"/>
                <w:sz w:val="24"/>
                <w:szCs w:val="24"/>
                <w:lang w:val="en-US" w:eastAsia="lv-LV"/>
              </w:rPr>
              <w:t>Precizēta</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finansiālā</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ietekme</w:t>
            </w:r>
            <w:proofErr w:type="spellEnd"/>
          </w:p>
        </w:tc>
        <w:tc>
          <w:tcPr>
            <w:tcW w:w="467" w:type="pct"/>
            <w:vMerge w:val="restart"/>
            <w:tcBorders>
              <w:top w:val="outset" w:sz="6" w:space="0" w:color="auto"/>
              <w:left w:val="outset" w:sz="6" w:space="0" w:color="auto"/>
              <w:bottom w:val="outset" w:sz="6" w:space="0" w:color="auto"/>
              <w:right w:val="outset" w:sz="6" w:space="0" w:color="auto"/>
            </w:tcBorders>
            <w:vAlign w:val="center"/>
            <w:hideMark/>
          </w:tcPr>
          <w:p w14:paraId="68606F7F" w14:textId="77777777" w:rsidR="004111C9" w:rsidRPr="009B0586" w:rsidRDefault="004111C9" w:rsidP="004111C9">
            <w:pPr>
              <w:spacing w:after="0" w:line="240" w:lineRule="auto"/>
              <w:jc w:val="center"/>
              <w:rPr>
                <w:rFonts w:ascii="Times New Roman" w:eastAsia="Times New Roman" w:hAnsi="Times New Roman"/>
                <w:iCs/>
                <w:color w:val="414142"/>
                <w:sz w:val="24"/>
                <w:szCs w:val="24"/>
                <w:lang w:val="en-US" w:eastAsia="lv-LV"/>
              </w:rPr>
            </w:pPr>
          </w:p>
          <w:p w14:paraId="56A24DED" w14:textId="77777777" w:rsidR="004111C9" w:rsidRPr="009B0586" w:rsidRDefault="004111C9" w:rsidP="004111C9">
            <w:pPr>
              <w:spacing w:after="0" w:line="240" w:lineRule="auto"/>
              <w:jc w:val="center"/>
              <w:rPr>
                <w:rFonts w:ascii="Times New Roman" w:eastAsia="Times New Roman" w:hAnsi="Times New Roman"/>
                <w:iCs/>
                <w:color w:val="414142"/>
                <w:sz w:val="24"/>
                <w:szCs w:val="24"/>
                <w:lang w:val="en-US" w:eastAsia="lv-LV"/>
              </w:rPr>
            </w:pPr>
          </w:p>
          <w:p w14:paraId="2B94616E" w14:textId="77777777" w:rsidR="004111C9" w:rsidRPr="009B0586" w:rsidRDefault="004111C9" w:rsidP="004111C9">
            <w:pPr>
              <w:spacing w:after="0" w:line="240" w:lineRule="auto"/>
              <w:jc w:val="center"/>
              <w:rPr>
                <w:rFonts w:ascii="Times New Roman" w:eastAsia="Times New Roman" w:hAnsi="Times New Roman"/>
                <w:iCs/>
                <w:color w:val="414142"/>
                <w:sz w:val="24"/>
                <w:szCs w:val="24"/>
                <w:lang w:val="en-US" w:eastAsia="lv-LV"/>
              </w:rPr>
            </w:pPr>
          </w:p>
          <w:p w14:paraId="766A74C0" w14:textId="77777777" w:rsidR="004111C9" w:rsidRPr="009B0586" w:rsidRDefault="004111C9" w:rsidP="004111C9">
            <w:pPr>
              <w:spacing w:after="0" w:line="240" w:lineRule="auto"/>
              <w:jc w:val="center"/>
              <w:rPr>
                <w:rFonts w:ascii="Times New Roman" w:eastAsia="Times New Roman" w:hAnsi="Times New Roman"/>
                <w:iCs/>
                <w:color w:val="414142"/>
                <w:sz w:val="24"/>
                <w:szCs w:val="24"/>
                <w:lang w:val="en-US" w:eastAsia="lv-LV"/>
              </w:rPr>
            </w:pPr>
          </w:p>
          <w:p w14:paraId="6D0DE800" w14:textId="77777777" w:rsidR="004111C9" w:rsidRPr="009B0586" w:rsidRDefault="004111C9" w:rsidP="004111C9">
            <w:pPr>
              <w:spacing w:after="0" w:line="240" w:lineRule="auto"/>
              <w:jc w:val="center"/>
              <w:rPr>
                <w:rFonts w:ascii="Times New Roman" w:eastAsia="Times New Roman" w:hAnsi="Times New Roman"/>
                <w:iCs/>
                <w:color w:val="414142"/>
                <w:sz w:val="24"/>
                <w:szCs w:val="24"/>
                <w:lang w:val="en-US" w:eastAsia="lv-LV"/>
              </w:rPr>
            </w:pPr>
          </w:p>
          <w:p w14:paraId="498A4AC0" w14:textId="77777777" w:rsidR="004111C9" w:rsidRPr="009B0586" w:rsidRDefault="004111C9" w:rsidP="004111C9">
            <w:pPr>
              <w:spacing w:after="0" w:line="240" w:lineRule="auto"/>
              <w:jc w:val="center"/>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X</w:t>
            </w:r>
          </w:p>
        </w:tc>
        <w:tc>
          <w:tcPr>
            <w:tcW w:w="601" w:type="pct"/>
            <w:tcBorders>
              <w:top w:val="outset" w:sz="6" w:space="0" w:color="auto"/>
              <w:left w:val="outset" w:sz="6" w:space="0" w:color="auto"/>
              <w:bottom w:val="outset" w:sz="6" w:space="0" w:color="auto"/>
              <w:right w:val="outset" w:sz="6" w:space="0" w:color="auto"/>
            </w:tcBorders>
            <w:vAlign w:val="center"/>
          </w:tcPr>
          <w:p w14:paraId="5962803D" w14:textId="7C8F72D7"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601" w:type="pct"/>
            <w:vMerge w:val="restart"/>
            <w:tcBorders>
              <w:top w:val="outset" w:sz="6" w:space="0" w:color="auto"/>
              <w:left w:val="outset" w:sz="6" w:space="0" w:color="auto"/>
              <w:bottom w:val="outset" w:sz="6" w:space="0" w:color="auto"/>
              <w:right w:val="outset" w:sz="6" w:space="0" w:color="auto"/>
            </w:tcBorders>
            <w:vAlign w:val="center"/>
            <w:hideMark/>
          </w:tcPr>
          <w:p w14:paraId="32DE91DB" w14:textId="77777777" w:rsidR="004111C9" w:rsidRPr="009B0586" w:rsidRDefault="004111C9" w:rsidP="004111C9">
            <w:pPr>
              <w:spacing w:after="0" w:line="240" w:lineRule="auto"/>
              <w:jc w:val="center"/>
              <w:rPr>
                <w:rFonts w:ascii="Times New Roman" w:eastAsia="Times New Roman" w:hAnsi="Times New Roman"/>
                <w:iCs/>
                <w:color w:val="414142"/>
                <w:sz w:val="24"/>
                <w:szCs w:val="24"/>
                <w:lang w:val="en-US" w:eastAsia="lv-LV"/>
              </w:rPr>
            </w:pPr>
          </w:p>
          <w:p w14:paraId="1F8E5567" w14:textId="77777777" w:rsidR="004111C9" w:rsidRPr="009B0586" w:rsidRDefault="004111C9" w:rsidP="004111C9">
            <w:pPr>
              <w:spacing w:after="0" w:line="240" w:lineRule="auto"/>
              <w:jc w:val="center"/>
              <w:rPr>
                <w:rFonts w:ascii="Times New Roman" w:eastAsia="Times New Roman" w:hAnsi="Times New Roman"/>
                <w:iCs/>
                <w:color w:val="414142"/>
                <w:sz w:val="24"/>
                <w:szCs w:val="24"/>
                <w:lang w:val="en-US" w:eastAsia="lv-LV"/>
              </w:rPr>
            </w:pPr>
          </w:p>
          <w:p w14:paraId="326F17E7" w14:textId="77777777" w:rsidR="004111C9" w:rsidRPr="009B0586" w:rsidRDefault="004111C9" w:rsidP="004111C9">
            <w:pPr>
              <w:spacing w:after="0" w:line="240" w:lineRule="auto"/>
              <w:jc w:val="center"/>
              <w:rPr>
                <w:rFonts w:ascii="Times New Roman" w:eastAsia="Times New Roman" w:hAnsi="Times New Roman"/>
                <w:iCs/>
                <w:color w:val="414142"/>
                <w:sz w:val="24"/>
                <w:szCs w:val="24"/>
                <w:lang w:val="en-US" w:eastAsia="lv-LV"/>
              </w:rPr>
            </w:pPr>
          </w:p>
          <w:p w14:paraId="6AF4B755" w14:textId="77777777" w:rsidR="004111C9" w:rsidRPr="009B0586" w:rsidRDefault="004111C9" w:rsidP="004111C9">
            <w:pPr>
              <w:spacing w:after="0" w:line="240" w:lineRule="auto"/>
              <w:jc w:val="center"/>
              <w:rPr>
                <w:rFonts w:ascii="Times New Roman" w:eastAsia="Times New Roman" w:hAnsi="Times New Roman"/>
                <w:iCs/>
                <w:color w:val="414142"/>
                <w:sz w:val="24"/>
                <w:szCs w:val="24"/>
                <w:lang w:val="en-US" w:eastAsia="lv-LV"/>
              </w:rPr>
            </w:pPr>
          </w:p>
          <w:p w14:paraId="492A1D7B" w14:textId="77777777" w:rsidR="004111C9" w:rsidRPr="009B0586" w:rsidRDefault="004111C9" w:rsidP="004111C9">
            <w:pPr>
              <w:spacing w:after="0" w:line="240" w:lineRule="auto"/>
              <w:jc w:val="center"/>
              <w:rPr>
                <w:rFonts w:ascii="Times New Roman" w:eastAsia="Times New Roman" w:hAnsi="Times New Roman"/>
                <w:iCs/>
                <w:color w:val="414142"/>
                <w:sz w:val="24"/>
                <w:szCs w:val="24"/>
                <w:lang w:val="en-US" w:eastAsia="lv-LV"/>
              </w:rPr>
            </w:pPr>
          </w:p>
          <w:p w14:paraId="6FB9DD35" w14:textId="77777777" w:rsidR="004111C9" w:rsidRPr="009B0586" w:rsidRDefault="004111C9" w:rsidP="004111C9">
            <w:pPr>
              <w:spacing w:after="0" w:line="240" w:lineRule="auto"/>
              <w:jc w:val="center"/>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X</w:t>
            </w:r>
          </w:p>
        </w:tc>
        <w:tc>
          <w:tcPr>
            <w:tcW w:w="601" w:type="pct"/>
            <w:tcBorders>
              <w:top w:val="outset" w:sz="6" w:space="0" w:color="auto"/>
              <w:left w:val="outset" w:sz="6" w:space="0" w:color="auto"/>
              <w:bottom w:val="outset" w:sz="6" w:space="0" w:color="auto"/>
              <w:right w:val="outset" w:sz="6" w:space="0" w:color="auto"/>
            </w:tcBorders>
            <w:vAlign w:val="center"/>
          </w:tcPr>
          <w:p w14:paraId="48683F2D" w14:textId="18EF1C77"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601" w:type="pct"/>
            <w:vMerge w:val="restart"/>
            <w:tcBorders>
              <w:top w:val="outset" w:sz="6" w:space="0" w:color="auto"/>
              <w:left w:val="outset" w:sz="6" w:space="0" w:color="auto"/>
              <w:bottom w:val="outset" w:sz="6" w:space="0" w:color="auto"/>
              <w:right w:val="outset" w:sz="6" w:space="0" w:color="auto"/>
            </w:tcBorders>
            <w:vAlign w:val="center"/>
            <w:hideMark/>
          </w:tcPr>
          <w:p w14:paraId="624C842D" w14:textId="77777777" w:rsidR="004111C9" w:rsidRPr="009B0586" w:rsidRDefault="004111C9" w:rsidP="004111C9">
            <w:pPr>
              <w:spacing w:after="0" w:line="240" w:lineRule="auto"/>
              <w:jc w:val="center"/>
              <w:rPr>
                <w:rFonts w:ascii="Times New Roman" w:eastAsia="Times New Roman" w:hAnsi="Times New Roman"/>
                <w:iCs/>
                <w:color w:val="414142"/>
                <w:sz w:val="24"/>
                <w:szCs w:val="24"/>
                <w:lang w:val="en-US" w:eastAsia="lv-LV"/>
              </w:rPr>
            </w:pPr>
          </w:p>
          <w:p w14:paraId="2C77A297" w14:textId="77777777" w:rsidR="004111C9" w:rsidRPr="009B0586" w:rsidRDefault="004111C9" w:rsidP="004111C9">
            <w:pPr>
              <w:spacing w:after="0" w:line="240" w:lineRule="auto"/>
              <w:jc w:val="center"/>
              <w:rPr>
                <w:rFonts w:ascii="Times New Roman" w:eastAsia="Times New Roman" w:hAnsi="Times New Roman"/>
                <w:iCs/>
                <w:color w:val="414142"/>
                <w:sz w:val="24"/>
                <w:szCs w:val="24"/>
                <w:lang w:val="en-US" w:eastAsia="lv-LV"/>
              </w:rPr>
            </w:pPr>
          </w:p>
          <w:p w14:paraId="04A55872" w14:textId="77777777" w:rsidR="004111C9" w:rsidRPr="009B0586" w:rsidRDefault="004111C9" w:rsidP="004111C9">
            <w:pPr>
              <w:spacing w:after="0" w:line="240" w:lineRule="auto"/>
              <w:jc w:val="center"/>
              <w:rPr>
                <w:rFonts w:ascii="Times New Roman" w:eastAsia="Times New Roman" w:hAnsi="Times New Roman"/>
                <w:iCs/>
                <w:color w:val="414142"/>
                <w:sz w:val="24"/>
                <w:szCs w:val="24"/>
                <w:lang w:val="en-US" w:eastAsia="lv-LV"/>
              </w:rPr>
            </w:pPr>
          </w:p>
          <w:p w14:paraId="563EBBDE" w14:textId="77777777" w:rsidR="004111C9" w:rsidRPr="009B0586" w:rsidRDefault="004111C9" w:rsidP="004111C9">
            <w:pPr>
              <w:spacing w:after="0" w:line="240" w:lineRule="auto"/>
              <w:jc w:val="center"/>
              <w:rPr>
                <w:rFonts w:ascii="Times New Roman" w:eastAsia="Times New Roman" w:hAnsi="Times New Roman"/>
                <w:iCs/>
                <w:color w:val="414142"/>
                <w:sz w:val="24"/>
                <w:szCs w:val="24"/>
                <w:lang w:val="en-US" w:eastAsia="lv-LV"/>
              </w:rPr>
            </w:pPr>
          </w:p>
          <w:p w14:paraId="3FBA252A" w14:textId="77777777" w:rsidR="004111C9" w:rsidRPr="009B0586" w:rsidRDefault="004111C9" w:rsidP="004111C9">
            <w:pPr>
              <w:spacing w:after="0" w:line="240" w:lineRule="auto"/>
              <w:jc w:val="center"/>
              <w:rPr>
                <w:rFonts w:ascii="Times New Roman" w:eastAsia="Times New Roman" w:hAnsi="Times New Roman"/>
                <w:iCs/>
                <w:color w:val="414142"/>
                <w:sz w:val="24"/>
                <w:szCs w:val="24"/>
                <w:lang w:val="en-US" w:eastAsia="lv-LV"/>
              </w:rPr>
            </w:pPr>
          </w:p>
          <w:p w14:paraId="63309D37" w14:textId="77777777" w:rsidR="004111C9" w:rsidRPr="009B0586" w:rsidRDefault="004111C9" w:rsidP="004111C9">
            <w:pPr>
              <w:spacing w:after="0" w:line="240" w:lineRule="auto"/>
              <w:jc w:val="center"/>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X</w:t>
            </w:r>
          </w:p>
        </w:tc>
        <w:tc>
          <w:tcPr>
            <w:tcW w:w="601" w:type="pct"/>
            <w:tcBorders>
              <w:top w:val="outset" w:sz="6" w:space="0" w:color="auto"/>
              <w:left w:val="outset" w:sz="6" w:space="0" w:color="auto"/>
              <w:bottom w:val="outset" w:sz="6" w:space="0" w:color="auto"/>
              <w:right w:val="outset" w:sz="6" w:space="0" w:color="auto"/>
            </w:tcBorders>
            <w:vAlign w:val="center"/>
          </w:tcPr>
          <w:p w14:paraId="5B0C2277" w14:textId="2535BDCF"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7B93271D" w14:textId="19BF8591"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r>
      <w:tr w:rsidR="004111C9" w:rsidRPr="00E5323B" w14:paraId="5E096A7A" w14:textId="77777777" w:rsidTr="004111C9">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44B2D43D" w14:textId="77777777" w:rsidR="004111C9" w:rsidRPr="00E5323B" w:rsidRDefault="004111C9" w:rsidP="004111C9">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5.1. </w:t>
            </w:r>
            <w:proofErr w:type="spellStart"/>
            <w:r w:rsidRPr="00E5323B">
              <w:rPr>
                <w:rFonts w:ascii="Times New Roman" w:eastAsia="Times New Roman" w:hAnsi="Times New Roman"/>
                <w:iCs/>
                <w:color w:val="414142"/>
                <w:sz w:val="24"/>
                <w:szCs w:val="24"/>
                <w:lang w:val="en-US" w:eastAsia="lv-LV"/>
              </w:rPr>
              <w:t>valsts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84FA22" w14:textId="77777777"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p>
        </w:tc>
        <w:tc>
          <w:tcPr>
            <w:tcW w:w="601" w:type="pct"/>
            <w:tcBorders>
              <w:top w:val="outset" w:sz="6" w:space="0" w:color="auto"/>
              <w:left w:val="outset" w:sz="6" w:space="0" w:color="auto"/>
              <w:bottom w:val="outset" w:sz="6" w:space="0" w:color="auto"/>
              <w:right w:val="outset" w:sz="6" w:space="0" w:color="auto"/>
            </w:tcBorders>
            <w:vAlign w:val="center"/>
          </w:tcPr>
          <w:p w14:paraId="577CB940" w14:textId="26359DAA"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DBB05A" w14:textId="77777777"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p>
        </w:tc>
        <w:tc>
          <w:tcPr>
            <w:tcW w:w="601" w:type="pct"/>
            <w:tcBorders>
              <w:top w:val="outset" w:sz="6" w:space="0" w:color="auto"/>
              <w:left w:val="outset" w:sz="6" w:space="0" w:color="auto"/>
              <w:bottom w:val="outset" w:sz="6" w:space="0" w:color="auto"/>
              <w:right w:val="outset" w:sz="6" w:space="0" w:color="auto"/>
            </w:tcBorders>
            <w:vAlign w:val="center"/>
          </w:tcPr>
          <w:p w14:paraId="15096050" w14:textId="2823C185"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C09AF5" w14:textId="77777777"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p>
        </w:tc>
        <w:tc>
          <w:tcPr>
            <w:tcW w:w="601" w:type="pct"/>
            <w:tcBorders>
              <w:top w:val="outset" w:sz="6" w:space="0" w:color="auto"/>
              <w:left w:val="outset" w:sz="6" w:space="0" w:color="auto"/>
              <w:bottom w:val="outset" w:sz="6" w:space="0" w:color="auto"/>
              <w:right w:val="outset" w:sz="6" w:space="0" w:color="auto"/>
            </w:tcBorders>
            <w:vAlign w:val="center"/>
          </w:tcPr>
          <w:p w14:paraId="2F055DD4" w14:textId="6373DD92"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7BED6A06" w14:textId="6F081855"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r>
      <w:tr w:rsidR="004111C9" w:rsidRPr="00E5323B" w14:paraId="19D7B9DC" w14:textId="77777777" w:rsidTr="004111C9">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2A46C5BB" w14:textId="77777777" w:rsidR="004111C9" w:rsidRPr="00E5323B" w:rsidRDefault="004111C9" w:rsidP="004111C9">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5.2. </w:t>
            </w:r>
            <w:proofErr w:type="spellStart"/>
            <w:r w:rsidRPr="00E5323B">
              <w:rPr>
                <w:rFonts w:ascii="Times New Roman" w:eastAsia="Times New Roman" w:hAnsi="Times New Roman"/>
                <w:iCs/>
                <w:color w:val="414142"/>
                <w:sz w:val="24"/>
                <w:szCs w:val="24"/>
                <w:lang w:val="en-US" w:eastAsia="lv-LV"/>
              </w:rPr>
              <w:t>speciālais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1C50A0" w14:textId="77777777"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p>
        </w:tc>
        <w:tc>
          <w:tcPr>
            <w:tcW w:w="601" w:type="pct"/>
            <w:tcBorders>
              <w:top w:val="outset" w:sz="6" w:space="0" w:color="auto"/>
              <w:left w:val="outset" w:sz="6" w:space="0" w:color="auto"/>
              <w:bottom w:val="outset" w:sz="6" w:space="0" w:color="auto"/>
              <w:right w:val="outset" w:sz="6" w:space="0" w:color="auto"/>
            </w:tcBorders>
            <w:vAlign w:val="center"/>
          </w:tcPr>
          <w:p w14:paraId="714E0514" w14:textId="71EE4A76"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25D350" w14:textId="77777777"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p>
        </w:tc>
        <w:tc>
          <w:tcPr>
            <w:tcW w:w="601" w:type="pct"/>
            <w:tcBorders>
              <w:top w:val="outset" w:sz="6" w:space="0" w:color="auto"/>
              <w:left w:val="outset" w:sz="6" w:space="0" w:color="auto"/>
              <w:bottom w:val="outset" w:sz="6" w:space="0" w:color="auto"/>
              <w:right w:val="outset" w:sz="6" w:space="0" w:color="auto"/>
            </w:tcBorders>
            <w:vAlign w:val="center"/>
          </w:tcPr>
          <w:p w14:paraId="1B28986E" w14:textId="7EC3DF4F"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6C6ACE" w14:textId="77777777"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p>
        </w:tc>
        <w:tc>
          <w:tcPr>
            <w:tcW w:w="601" w:type="pct"/>
            <w:tcBorders>
              <w:top w:val="outset" w:sz="6" w:space="0" w:color="auto"/>
              <w:left w:val="outset" w:sz="6" w:space="0" w:color="auto"/>
              <w:bottom w:val="outset" w:sz="6" w:space="0" w:color="auto"/>
              <w:right w:val="outset" w:sz="6" w:space="0" w:color="auto"/>
            </w:tcBorders>
            <w:vAlign w:val="center"/>
          </w:tcPr>
          <w:p w14:paraId="7D4A5F89" w14:textId="249A5D1B"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294010F8" w14:textId="50F2A1C2"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r>
      <w:tr w:rsidR="004111C9" w:rsidRPr="00E5323B" w14:paraId="7911C2EE" w14:textId="77777777" w:rsidTr="004111C9">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0401F681" w14:textId="77777777" w:rsidR="004111C9" w:rsidRPr="00E5323B" w:rsidRDefault="004111C9" w:rsidP="004111C9">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5.3. </w:t>
            </w:r>
            <w:proofErr w:type="spellStart"/>
            <w:r w:rsidRPr="00E5323B">
              <w:rPr>
                <w:rFonts w:ascii="Times New Roman" w:eastAsia="Times New Roman" w:hAnsi="Times New Roman"/>
                <w:iCs/>
                <w:color w:val="414142"/>
                <w:sz w:val="24"/>
                <w:szCs w:val="24"/>
                <w:lang w:val="en-US" w:eastAsia="lv-LV"/>
              </w:rPr>
              <w:t>pašvaldību</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5A7493" w14:textId="77777777"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p>
        </w:tc>
        <w:tc>
          <w:tcPr>
            <w:tcW w:w="601" w:type="pct"/>
            <w:tcBorders>
              <w:top w:val="outset" w:sz="6" w:space="0" w:color="auto"/>
              <w:left w:val="outset" w:sz="6" w:space="0" w:color="auto"/>
              <w:bottom w:val="outset" w:sz="6" w:space="0" w:color="auto"/>
              <w:right w:val="outset" w:sz="6" w:space="0" w:color="auto"/>
            </w:tcBorders>
            <w:vAlign w:val="center"/>
          </w:tcPr>
          <w:p w14:paraId="5B3710B4" w14:textId="5DAB8A8D"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88B968" w14:textId="77777777"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p>
        </w:tc>
        <w:tc>
          <w:tcPr>
            <w:tcW w:w="601" w:type="pct"/>
            <w:tcBorders>
              <w:top w:val="outset" w:sz="6" w:space="0" w:color="auto"/>
              <w:left w:val="outset" w:sz="6" w:space="0" w:color="auto"/>
              <w:bottom w:val="outset" w:sz="6" w:space="0" w:color="auto"/>
              <w:right w:val="outset" w:sz="6" w:space="0" w:color="auto"/>
            </w:tcBorders>
            <w:vAlign w:val="center"/>
          </w:tcPr>
          <w:p w14:paraId="1A3DB9D4" w14:textId="3B5ACB4B"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0EB4D5" w14:textId="77777777"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p>
        </w:tc>
        <w:tc>
          <w:tcPr>
            <w:tcW w:w="601" w:type="pct"/>
            <w:tcBorders>
              <w:top w:val="outset" w:sz="6" w:space="0" w:color="auto"/>
              <w:left w:val="outset" w:sz="6" w:space="0" w:color="auto"/>
              <w:bottom w:val="outset" w:sz="6" w:space="0" w:color="auto"/>
              <w:right w:val="outset" w:sz="6" w:space="0" w:color="auto"/>
            </w:tcBorders>
            <w:vAlign w:val="center"/>
          </w:tcPr>
          <w:p w14:paraId="483C3FC5" w14:textId="07347E39"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c>
          <w:tcPr>
            <w:tcW w:w="601" w:type="pct"/>
            <w:tcBorders>
              <w:top w:val="outset" w:sz="6" w:space="0" w:color="auto"/>
              <w:left w:val="outset" w:sz="6" w:space="0" w:color="auto"/>
              <w:bottom w:val="outset" w:sz="6" w:space="0" w:color="auto"/>
              <w:right w:val="outset" w:sz="6" w:space="0" w:color="auto"/>
            </w:tcBorders>
            <w:vAlign w:val="center"/>
          </w:tcPr>
          <w:p w14:paraId="4A675417" w14:textId="03DB1605" w:rsidR="004111C9" w:rsidRPr="009B0586" w:rsidRDefault="004111C9" w:rsidP="004111C9">
            <w:pPr>
              <w:spacing w:after="0" w:line="240" w:lineRule="auto"/>
              <w:rPr>
                <w:rFonts w:ascii="Times New Roman" w:eastAsia="Times New Roman" w:hAnsi="Times New Roman"/>
                <w:iCs/>
                <w:color w:val="414142"/>
                <w:sz w:val="24"/>
                <w:szCs w:val="24"/>
                <w:lang w:val="en-US" w:eastAsia="lv-LV"/>
              </w:rPr>
            </w:pPr>
            <w:r w:rsidRPr="009B0586">
              <w:rPr>
                <w:rFonts w:ascii="Times New Roman" w:eastAsia="Times New Roman" w:hAnsi="Times New Roman"/>
                <w:iCs/>
                <w:color w:val="414142"/>
                <w:sz w:val="24"/>
                <w:szCs w:val="24"/>
                <w:lang w:val="en-US" w:eastAsia="lv-LV"/>
              </w:rPr>
              <w:t>0</w:t>
            </w:r>
          </w:p>
        </w:tc>
      </w:tr>
      <w:tr w:rsidR="004111C9" w:rsidRPr="00E5323B" w14:paraId="47A2C88F" w14:textId="77777777" w:rsidTr="004111C9">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397016BA" w14:textId="77777777" w:rsidR="004111C9" w:rsidRPr="00CC0D2D" w:rsidRDefault="004111C9" w:rsidP="004111C9">
            <w:pPr>
              <w:spacing w:after="0" w:line="240" w:lineRule="auto"/>
              <w:rPr>
                <w:rFonts w:ascii="Times New Roman" w:eastAsia="Times New Roman" w:hAnsi="Times New Roman"/>
                <w:iCs/>
                <w:color w:val="414142"/>
                <w:sz w:val="24"/>
                <w:szCs w:val="24"/>
                <w:lang w:eastAsia="lv-LV"/>
              </w:rPr>
            </w:pPr>
            <w:r w:rsidRPr="00CC0D2D">
              <w:rPr>
                <w:rFonts w:ascii="Times New Roman" w:eastAsia="Times New Roman" w:hAnsi="Times New Roman"/>
                <w:iCs/>
                <w:color w:val="414142"/>
                <w:sz w:val="24"/>
                <w:szCs w:val="24"/>
                <w:lang w:eastAsia="lv-LV"/>
              </w:rPr>
              <w:t xml:space="preserve">6. Detalizēts ieņēmumu un izdevumu aprēķins (ja nepieciešams, detalizētu ieņēmumu un izdevumu </w:t>
            </w:r>
            <w:r w:rsidRPr="00CC0D2D">
              <w:rPr>
                <w:rFonts w:ascii="Times New Roman" w:eastAsia="Times New Roman" w:hAnsi="Times New Roman"/>
                <w:iCs/>
                <w:color w:val="414142"/>
                <w:sz w:val="24"/>
                <w:szCs w:val="24"/>
                <w:lang w:eastAsia="lv-LV"/>
              </w:rPr>
              <w:lastRenderedPageBreak/>
              <w:t>aprēķinu var pievienot anotācijas pielikumā)</w:t>
            </w:r>
          </w:p>
        </w:tc>
        <w:tc>
          <w:tcPr>
            <w:tcW w:w="416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1B6DAEF" w14:textId="07746067" w:rsidR="004111C9" w:rsidRPr="008A02EE" w:rsidRDefault="004111C9" w:rsidP="004111C9">
            <w:pPr>
              <w:spacing w:after="0" w:line="240" w:lineRule="auto"/>
              <w:jc w:val="both"/>
              <w:rPr>
                <w:rFonts w:ascii="Times New Roman" w:hAnsi="Times New Roman"/>
                <w:sz w:val="24"/>
                <w:szCs w:val="24"/>
              </w:rPr>
            </w:pPr>
            <w:r w:rsidRPr="008A02EE">
              <w:rPr>
                <w:rFonts w:ascii="Times New Roman" w:hAnsi="Times New Roman"/>
                <w:sz w:val="24"/>
                <w:szCs w:val="24"/>
              </w:rPr>
              <w:lastRenderedPageBreak/>
              <w:t xml:space="preserve">Valsts energoefektivitātes fonds, kurš ne tikai atbalstītu valsts iniciatīvas energoefektivitātes jomā, līdz šim nebija izveidots. Līdz ar to nav iespējams prognozēt ietekmi uz valsts budžeta ieņēmumiem. Valsts budžeta ieņēmumi nav prognozējami arī tādu apsvērumu dēļ, ka uz šo brīdi nav zināma tā EPS komersantu daļa, kas pilnā apmērā nevarēs sasniegt tām paredzamo enerģijas ietaupījumu mērķi ar pašu īstenotiem pasākumiem, kā arī nav zināms par kādu atlikušo </w:t>
            </w:r>
            <w:proofErr w:type="spellStart"/>
            <w:r w:rsidRPr="008A02EE">
              <w:rPr>
                <w:rFonts w:ascii="Times New Roman" w:hAnsi="Times New Roman"/>
                <w:sz w:val="24"/>
                <w:szCs w:val="24"/>
              </w:rPr>
              <w:t>MWh</w:t>
            </w:r>
            <w:proofErr w:type="spellEnd"/>
            <w:r w:rsidRPr="008A02EE">
              <w:rPr>
                <w:rFonts w:ascii="Times New Roman" w:hAnsi="Times New Roman"/>
                <w:sz w:val="24"/>
                <w:szCs w:val="24"/>
              </w:rPr>
              <w:t xml:space="preserve"> apjomu (atbildīgai pusei noteiktā pienākumu apjomu) EPS komersanti izvēlēsies veikt iemaksas fondā.</w:t>
            </w:r>
            <w:r>
              <w:rPr>
                <w:rFonts w:ascii="Times New Roman" w:hAnsi="Times New Roman"/>
                <w:sz w:val="24"/>
                <w:szCs w:val="24"/>
              </w:rPr>
              <w:t xml:space="preserve"> </w:t>
            </w:r>
            <w:r w:rsidRPr="009B0586">
              <w:rPr>
                <w:rFonts w:ascii="Times New Roman" w:hAnsi="Times New Roman"/>
                <w:sz w:val="24"/>
                <w:szCs w:val="24"/>
              </w:rPr>
              <w:lastRenderedPageBreak/>
              <w:t>Arī attiecībā uz energoefektivitātes nodevām šobrīd nav iespējams precīzi aprēķināt, cik liels naudas daudzums tiks ieskaitīts fondā šajā un turpmākajos gados.</w:t>
            </w:r>
            <w:r>
              <w:rPr>
                <w:rFonts w:ascii="Times New Roman" w:hAnsi="Times New Roman"/>
                <w:sz w:val="24"/>
                <w:szCs w:val="24"/>
              </w:rPr>
              <w:t xml:space="preserve"> </w:t>
            </w:r>
          </w:p>
          <w:p w14:paraId="3CE6F4C4" w14:textId="16A303B9" w:rsidR="004111C9" w:rsidRDefault="004111C9" w:rsidP="004111C9">
            <w:pPr>
              <w:spacing w:after="0" w:line="240" w:lineRule="auto"/>
              <w:jc w:val="both"/>
              <w:rPr>
                <w:rFonts w:ascii="Times New Roman" w:hAnsi="Times New Roman"/>
                <w:sz w:val="24"/>
                <w:szCs w:val="24"/>
              </w:rPr>
            </w:pPr>
            <w:r w:rsidRPr="008A02EE">
              <w:rPr>
                <w:rFonts w:ascii="Times New Roman" w:hAnsi="Times New Roman"/>
                <w:sz w:val="24"/>
                <w:szCs w:val="24"/>
              </w:rPr>
              <w:t>Tāpat nav iespējams prognozēt ietekmi uz pašvaldības budžetu, jo pašlaik neviena pašvaldība nav sniegusi oficiālu informāciju  par to, ka tā  plāno fonda izveidošanu. Attiecīgi nav zināms, vai un cik EPS komersanti un par kādu pienākuma apjomu būs gatavi veikt iemaksas pašvaldības energoefektivitātes fondā, ņemot vērā, ka likuma ievaros EPS komersantiem pastāv izvēles iespējas, kurā valsts vai pašvaldības fondā tie veiks iemaksas.</w:t>
            </w:r>
          </w:p>
          <w:p w14:paraId="1C9CC8F3" w14:textId="77777777" w:rsidR="004111C9" w:rsidRDefault="004111C9" w:rsidP="004111C9">
            <w:pPr>
              <w:spacing w:after="0" w:line="240" w:lineRule="auto"/>
              <w:jc w:val="both"/>
              <w:rPr>
                <w:rFonts w:ascii="Times New Roman" w:hAnsi="Times New Roman"/>
                <w:sz w:val="24"/>
                <w:szCs w:val="24"/>
              </w:rPr>
            </w:pPr>
          </w:p>
          <w:p w14:paraId="1C24B790" w14:textId="20A3B17A" w:rsidR="004111C9" w:rsidRPr="00D04D73" w:rsidRDefault="004111C9" w:rsidP="004111C9">
            <w:pPr>
              <w:spacing w:after="0" w:line="240" w:lineRule="auto"/>
              <w:jc w:val="both"/>
              <w:rPr>
                <w:rFonts w:ascii="Times New Roman" w:hAnsi="Times New Roman"/>
                <w:sz w:val="24"/>
                <w:szCs w:val="24"/>
              </w:rPr>
            </w:pPr>
            <w:r>
              <w:rPr>
                <w:rFonts w:ascii="Times New Roman" w:hAnsi="Times New Roman"/>
                <w:sz w:val="24"/>
                <w:szCs w:val="24"/>
              </w:rPr>
              <w:t xml:space="preserve">Vienīgais finansējuma apmērs, kas šobrīd ir skaidri nosakāms, ir iepriekšējā gadā (2018.gadā) saņemtie nodevu maksājumi, no </w:t>
            </w:r>
            <w:r w:rsidRPr="00077241">
              <w:rPr>
                <w:rFonts w:ascii="Times New Roman" w:hAnsi="Times New Roman"/>
                <w:sz w:val="24"/>
                <w:szCs w:val="24"/>
              </w:rPr>
              <w:t xml:space="preserve">kuriem 131 000 </w:t>
            </w:r>
            <w:proofErr w:type="spellStart"/>
            <w:r w:rsidRPr="00077241">
              <w:rPr>
                <w:rFonts w:ascii="Times New Roman" w:hAnsi="Times New Roman"/>
                <w:sz w:val="24"/>
                <w:szCs w:val="24"/>
              </w:rPr>
              <w:t>euro</w:t>
            </w:r>
            <w:proofErr w:type="spellEnd"/>
            <w:r w:rsidRPr="00077241">
              <w:rPr>
                <w:rFonts w:ascii="Times New Roman" w:hAnsi="Times New Roman"/>
                <w:sz w:val="24"/>
                <w:szCs w:val="24"/>
              </w:rPr>
              <w:t xml:space="preserve"> ir</w:t>
            </w:r>
            <w:r>
              <w:rPr>
                <w:rFonts w:ascii="Times New Roman" w:hAnsi="Times New Roman"/>
                <w:sz w:val="24"/>
                <w:szCs w:val="24"/>
              </w:rPr>
              <w:t xml:space="preserve"> iemaksāti fondā. </w:t>
            </w:r>
          </w:p>
        </w:tc>
      </w:tr>
      <w:tr w:rsidR="004111C9" w:rsidRPr="00E5323B" w14:paraId="66FAF928" w14:textId="77777777" w:rsidTr="004111C9">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4AF4E719" w14:textId="77777777" w:rsidR="004111C9" w:rsidRPr="00E5323B" w:rsidRDefault="004111C9" w:rsidP="004111C9">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lastRenderedPageBreak/>
              <w:t xml:space="preserve">6.1. </w:t>
            </w:r>
            <w:proofErr w:type="spellStart"/>
            <w:r w:rsidRPr="00E5323B">
              <w:rPr>
                <w:rFonts w:ascii="Times New Roman" w:eastAsia="Times New Roman" w:hAnsi="Times New Roman"/>
                <w:iCs/>
                <w:color w:val="414142"/>
                <w:sz w:val="24"/>
                <w:szCs w:val="24"/>
                <w:lang w:val="en-US" w:eastAsia="lv-LV"/>
              </w:rPr>
              <w:t>detalizēts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ieņēmumu</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aprēķins</w:t>
            </w:r>
            <w:proofErr w:type="spellEnd"/>
          </w:p>
        </w:tc>
        <w:tc>
          <w:tcPr>
            <w:tcW w:w="4161" w:type="pct"/>
            <w:gridSpan w:val="7"/>
            <w:vMerge/>
            <w:tcBorders>
              <w:top w:val="outset" w:sz="6" w:space="0" w:color="auto"/>
              <w:left w:val="outset" w:sz="6" w:space="0" w:color="auto"/>
              <w:bottom w:val="outset" w:sz="6" w:space="0" w:color="auto"/>
              <w:right w:val="outset" w:sz="6" w:space="0" w:color="auto"/>
            </w:tcBorders>
            <w:vAlign w:val="center"/>
            <w:hideMark/>
          </w:tcPr>
          <w:p w14:paraId="3052790F" w14:textId="77777777" w:rsidR="004111C9" w:rsidRPr="00714546" w:rsidRDefault="004111C9" w:rsidP="004111C9">
            <w:pPr>
              <w:spacing w:after="0" w:line="240" w:lineRule="auto"/>
              <w:rPr>
                <w:rFonts w:ascii="Times New Roman" w:eastAsia="Times New Roman" w:hAnsi="Times New Roman"/>
                <w:iCs/>
                <w:color w:val="414142"/>
                <w:sz w:val="24"/>
                <w:szCs w:val="24"/>
                <w:highlight w:val="yellow"/>
                <w:lang w:val="en-US" w:eastAsia="lv-LV"/>
              </w:rPr>
            </w:pPr>
          </w:p>
        </w:tc>
      </w:tr>
      <w:tr w:rsidR="004111C9" w:rsidRPr="00E5323B" w14:paraId="192BF9DE" w14:textId="77777777" w:rsidTr="004111C9">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45356306" w14:textId="77777777" w:rsidR="004111C9" w:rsidRPr="00E5323B" w:rsidRDefault="004111C9" w:rsidP="004111C9">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6.2. </w:t>
            </w:r>
            <w:proofErr w:type="spellStart"/>
            <w:r w:rsidRPr="00E5323B">
              <w:rPr>
                <w:rFonts w:ascii="Times New Roman" w:eastAsia="Times New Roman" w:hAnsi="Times New Roman"/>
                <w:iCs/>
                <w:color w:val="414142"/>
                <w:sz w:val="24"/>
                <w:szCs w:val="24"/>
                <w:lang w:val="en-US" w:eastAsia="lv-LV"/>
              </w:rPr>
              <w:t>detalizēts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izdevumu</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aprēķins</w:t>
            </w:r>
            <w:proofErr w:type="spellEnd"/>
          </w:p>
        </w:tc>
        <w:tc>
          <w:tcPr>
            <w:tcW w:w="4161" w:type="pct"/>
            <w:gridSpan w:val="7"/>
            <w:vMerge/>
            <w:tcBorders>
              <w:top w:val="outset" w:sz="6" w:space="0" w:color="auto"/>
              <w:left w:val="outset" w:sz="6" w:space="0" w:color="auto"/>
              <w:bottom w:val="outset" w:sz="6" w:space="0" w:color="auto"/>
              <w:right w:val="outset" w:sz="6" w:space="0" w:color="auto"/>
            </w:tcBorders>
            <w:vAlign w:val="center"/>
            <w:hideMark/>
          </w:tcPr>
          <w:p w14:paraId="2C24C1CF" w14:textId="77777777" w:rsidR="004111C9" w:rsidRPr="00714546" w:rsidRDefault="004111C9" w:rsidP="004111C9">
            <w:pPr>
              <w:spacing w:after="0" w:line="240" w:lineRule="auto"/>
              <w:rPr>
                <w:rFonts w:ascii="Times New Roman" w:eastAsia="Times New Roman" w:hAnsi="Times New Roman"/>
                <w:iCs/>
                <w:color w:val="414142"/>
                <w:sz w:val="24"/>
                <w:szCs w:val="24"/>
                <w:highlight w:val="yellow"/>
                <w:lang w:val="en-US" w:eastAsia="lv-LV"/>
              </w:rPr>
            </w:pPr>
          </w:p>
        </w:tc>
      </w:tr>
      <w:tr w:rsidR="004111C9" w:rsidRPr="00E5323B" w14:paraId="0589E1EB" w14:textId="77777777" w:rsidTr="004111C9">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471D810E" w14:textId="77777777" w:rsidR="004111C9" w:rsidRPr="00E5323B" w:rsidRDefault="004111C9" w:rsidP="004111C9">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7. Amata </w:t>
            </w:r>
            <w:proofErr w:type="spellStart"/>
            <w:r w:rsidRPr="00E5323B">
              <w:rPr>
                <w:rFonts w:ascii="Times New Roman" w:eastAsia="Times New Roman" w:hAnsi="Times New Roman"/>
                <w:iCs/>
                <w:color w:val="414142"/>
                <w:sz w:val="24"/>
                <w:szCs w:val="24"/>
                <w:lang w:val="en-US" w:eastAsia="lv-LV"/>
              </w:rPr>
              <w:t>vietu</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skaita</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izmaiņas</w:t>
            </w:r>
            <w:proofErr w:type="spellEnd"/>
          </w:p>
        </w:tc>
        <w:tc>
          <w:tcPr>
            <w:tcW w:w="4161" w:type="pct"/>
            <w:gridSpan w:val="7"/>
            <w:tcBorders>
              <w:top w:val="outset" w:sz="6" w:space="0" w:color="auto"/>
              <w:left w:val="outset" w:sz="6" w:space="0" w:color="auto"/>
              <w:bottom w:val="outset" w:sz="6" w:space="0" w:color="auto"/>
              <w:right w:val="outset" w:sz="6" w:space="0" w:color="auto"/>
            </w:tcBorders>
            <w:hideMark/>
          </w:tcPr>
          <w:p w14:paraId="51ECD3E5" w14:textId="2AE1D273" w:rsidR="004111C9" w:rsidRPr="00714546" w:rsidRDefault="004111C9" w:rsidP="004111C9">
            <w:pPr>
              <w:spacing w:after="0" w:line="240" w:lineRule="auto"/>
              <w:rPr>
                <w:rFonts w:ascii="Times New Roman" w:eastAsia="Times New Roman" w:hAnsi="Times New Roman"/>
                <w:iCs/>
                <w:color w:val="A6A6A6" w:themeColor="background1" w:themeShade="A6"/>
                <w:sz w:val="24"/>
                <w:szCs w:val="24"/>
                <w:highlight w:val="yellow"/>
                <w:lang w:val="en-US" w:eastAsia="lv-LV"/>
              </w:rPr>
            </w:pPr>
            <w:r w:rsidRPr="008A02EE">
              <w:rPr>
                <w:rFonts w:ascii="Times New Roman" w:eastAsia="Times New Roman" w:hAnsi="Times New Roman"/>
                <w:sz w:val="24"/>
                <w:lang w:eastAsia="lv-LV"/>
              </w:rPr>
              <w:t>Projekts šo jomu neskar.</w:t>
            </w:r>
          </w:p>
        </w:tc>
      </w:tr>
      <w:tr w:rsidR="004111C9" w:rsidRPr="00E5323B" w14:paraId="55BF00BE" w14:textId="77777777" w:rsidTr="004111C9">
        <w:trPr>
          <w:tblCellSpacing w:w="15" w:type="dxa"/>
        </w:trPr>
        <w:tc>
          <w:tcPr>
            <w:tcW w:w="794" w:type="pct"/>
            <w:tcBorders>
              <w:top w:val="outset" w:sz="6" w:space="0" w:color="auto"/>
              <w:left w:val="outset" w:sz="6" w:space="0" w:color="auto"/>
              <w:bottom w:val="outset" w:sz="6" w:space="0" w:color="auto"/>
              <w:right w:val="outset" w:sz="6" w:space="0" w:color="auto"/>
            </w:tcBorders>
            <w:hideMark/>
          </w:tcPr>
          <w:p w14:paraId="15ACB32A" w14:textId="77777777" w:rsidR="004111C9" w:rsidRPr="00E5323B" w:rsidRDefault="004111C9" w:rsidP="004111C9">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8. </w:t>
            </w:r>
            <w:proofErr w:type="spellStart"/>
            <w:r w:rsidRPr="00E5323B">
              <w:rPr>
                <w:rFonts w:ascii="Times New Roman" w:eastAsia="Times New Roman" w:hAnsi="Times New Roman"/>
                <w:iCs/>
                <w:color w:val="414142"/>
                <w:sz w:val="24"/>
                <w:szCs w:val="24"/>
                <w:lang w:val="en-US" w:eastAsia="lv-LV"/>
              </w:rPr>
              <w:t>Cita</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informācija</w:t>
            </w:r>
            <w:proofErr w:type="spellEnd"/>
          </w:p>
        </w:tc>
        <w:tc>
          <w:tcPr>
            <w:tcW w:w="4161" w:type="pct"/>
            <w:gridSpan w:val="7"/>
            <w:tcBorders>
              <w:top w:val="outset" w:sz="6" w:space="0" w:color="auto"/>
              <w:left w:val="outset" w:sz="6" w:space="0" w:color="auto"/>
              <w:bottom w:val="outset" w:sz="6" w:space="0" w:color="auto"/>
              <w:right w:val="outset" w:sz="6" w:space="0" w:color="auto"/>
            </w:tcBorders>
            <w:hideMark/>
          </w:tcPr>
          <w:p w14:paraId="1D620DFA" w14:textId="0068F390" w:rsidR="004111C9" w:rsidRPr="008A02EE" w:rsidRDefault="004111C9" w:rsidP="004111C9">
            <w:pPr>
              <w:spacing w:after="0" w:line="240" w:lineRule="auto"/>
              <w:jc w:val="both"/>
              <w:rPr>
                <w:rFonts w:ascii="Times New Roman" w:eastAsia="Times New Roman" w:hAnsi="Times New Roman"/>
                <w:iCs/>
                <w:sz w:val="24"/>
                <w:szCs w:val="24"/>
                <w:highlight w:val="yellow"/>
                <w:lang w:val="en-US" w:eastAsia="lv-LV"/>
              </w:rPr>
            </w:pPr>
            <w:r w:rsidRPr="008A02EE">
              <w:rPr>
                <w:rFonts w:ascii="Times New Roman" w:hAnsi="Times New Roman"/>
                <w:sz w:val="24"/>
                <w:szCs w:val="24"/>
              </w:rPr>
              <w:t xml:space="preserve">Iemaksu valsts </w:t>
            </w:r>
            <w:r w:rsidRPr="00CF14E5">
              <w:rPr>
                <w:rFonts w:ascii="Times New Roman" w:hAnsi="Times New Roman"/>
                <w:sz w:val="24"/>
                <w:szCs w:val="24"/>
              </w:rPr>
              <w:t>energoefektivitātes fondā atbildīgā puse (EPS komersants) un energoefektivitātes nodevas maksātājs</w:t>
            </w:r>
            <w:r w:rsidRPr="008A02EE">
              <w:rPr>
                <w:rFonts w:ascii="Times New Roman" w:hAnsi="Times New Roman"/>
                <w:sz w:val="24"/>
                <w:szCs w:val="24"/>
              </w:rPr>
              <w:t xml:space="preserve"> ieskaita valsts pamatbudžetā šim mērķim izveidotai Ekonomikas ministrijas budžeta programmai/apakšprogrammai atvērtajā valsts pamatbudžeta izdevumu kontā Valsts kasē un uzskaita kā iestādes citus pašu ieņēmumus. Attiecīgo budžeta programmu administrē Ekonomikas ministrija.</w:t>
            </w:r>
          </w:p>
        </w:tc>
      </w:tr>
    </w:tbl>
    <w:p w14:paraId="002FF637" w14:textId="77777777" w:rsidR="00B33EFB" w:rsidRDefault="00B33EFB"/>
    <w:tbl>
      <w:tblPr>
        <w:tblW w:w="9371" w:type="dxa"/>
        <w:tblInd w:w="-59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9371"/>
      </w:tblGrid>
      <w:tr w:rsidR="00E5753A" w:rsidRPr="008B78B2" w14:paraId="762702AD" w14:textId="77777777" w:rsidTr="00D85523">
        <w:tc>
          <w:tcPr>
            <w:tcW w:w="937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1637CFAE" w14:textId="02D44E77" w:rsidR="00E5753A" w:rsidRPr="00E5753A" w:rsidRDefault="00E5753A" w:rsidP="00E5753A">
            <w:pPr>
              <w:spacing w:before="120" w:after="120" w:line="240" w:lineRule="auto"/>
              <w:jc w:val="center"/>
              <w:rPr>
                <w:rFonts w:ascii="Times New Roman" w:hAnsi="Times New Roman"/>
                <w:b/>
                <w:bCs/>
                <w:sz w:val="24"/>
                <w:szCs w:val="24"/>
              </w:rPr>
            </w:pPr>
            <w:r>
              <w:rPr>
                <w:rFonts w:ascii="Times New Roman" w:hAnsi="Times New Roman"/>
                <w:b/>
                <w:bCs/>
                <w:sz w:val="24"/>
                <w:szCs w:val="24"/>
              </w:rPr>
              <w:t>I</w:t>
            </w:r>
            <w:r w:rsidRPr="008B78B2">
              <w:rPr>
                <w:rFonts w:ascii="Times New Roman" w:hAnsi="Times New Roman"/>
                <w:b/>
                <w:bCs/>
                <w:sz w:val="24"/>
                <w:szCs w:val="24"/>
              </w:rPr>
              <w:t xml:space="preserve">V. </w:t>
            </w:r>
            <w:r w:rsidRPr="00E5753A">
              <w:rPr>
                <w:rFonts w:ascii="Times New Roman" w:hAnsi="Times New Roman"/>
                <w:b/>
                <w:bCs/>
                <w:sz w:val="24"/>
                <w:szCs w:val="24"/>
              </w:rPr>
              <w:t>Tiesību akta projekta ietekme uz spēkā esošo tiesību normu sistēmu</w:t>
            </w:r>
          </w:p>
        </w:tc>
      </w:tr>
      <w:tr w:rsidR="00E5753A" w:rsidRPr="008B78B2" w14:paraId="4EEB6917" w14:textId="77777777" w:rsidTr="00D85523">
        <w:tc>
          <w:tcPr>
            <w:tcW w:w="9371"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27C1BFE5" w14:textId="4CA94303" w:rsidR="00E5753A" w:rsidRDefault="00837B43" w:rsidP="00E5753A">
            <w:pPr>
              <w:spacing w:before="120" w:after="120" w:line="240" w:lineRule="auto"/>
              <w:jc w:val="center"/>
              <w:rPr>
                <w:rFonts w:ascii="Times New Roman" w:hAnsi="Times New Roman"/>
                <w:b/>
                <w:bCs/>
                <w:sz w:val="24"/>
                <w:szCs w:val="24"/>
              </w:rPr>
            </w:pPr>
            <w:r w:rsidRPr="00D4765A">
              <w:rPr>
                <w:rFonts w:ascii="Times New Roman" w:hAnsi="Times New Roman"/>
                <w:b/>
                <w:bCs/>
                <w:sz w:val="24"/>
                <w:szCs w:val="24"/>
              </w:rPr>
              <w:t>Noteikumu p</w:t>
            </w:r>
            <w:r w:rsidR="00E5753A" w:rsidRPr="00D4765A">
              <w:rPr>
                <w:rFonts w:ascii="Times New Roman" w:hAnsi="Times New Roman"/>
                <w:b/>
                <w:bCs/>
                <w:sz w:val="24"/>
                <w:szCs w:val="24"/>
              </w:rPr>
              <w:t>rojekts šo jomu neskar</w:t>
            </w:r>
          </w:p>
        </w:tc>
      </w:tr>
    </w:tbl>
    <w:p w14:paraId="2FDCF41D" w14:textId="77777777" w:rsidR="00E5753A" w:rsidRDefault="00E5753A" w:rsidP="00D85523">
      <w:pPr>
        <w:spacing w:after="0" w:line="240" w:lineRule="auto"/>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9326"/>
      </w:tblGrid>
      <w:tr w:rsidR="00E5753A" w:rsidRPr="008B78B2" w14:paraId="3AF65A1F" w14:textId="77777777" w:rsidTr="00E5753A">
        <w:tc>
          <w:tcPr>
            <w:tcW w:w="9326"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4A8DBF72" w14:textId="47D474B3" w:rsidR="00E5753A" w:rsidRPr="00E5753A" w:rsidRDefault="00E5753A" w:rsidP="00E5753A">
            <w:pPr>
              <w:spacing w:before="120" w:after="120" w:line="240" w:lineRule="auto"/>
              <w:jc w:val="center"/>
              <w:rPr>
                <w:rFonts w:ascii="Times New Roman" w:hAnsi="Times New Roman"/>
                <w:b/>
                <w:bCs/>
                <w:sz w:val="24"/>
                <w:szCs w:val="24"/>
              </w:rPr>
            </w:pPr>
            <w:r>
              <w:rPr>
                <w:rFonts w:ascii="Times New Roman" w:hAnsi="Times New Roman"/>
                <w:b/>
                <w:bCs/>
                <w:sz w:val="24"/>
                <w:szCs w:val="24"/>
              </w:rPr>
              <w:t>V</w:t>
            </w:r>
            <w:r w:rsidRPr="008B78B2">
              <w:rPr>
                <w:rFonts w:ascii="Times New Roman" w:hAnsi="Times New Roman"/>
                <w:b/>
                <w:bCs/>
                <w:sz w:val="24"/>
                <w:szCs w:val="24"/>
              </w:rPr>
              <w:t xml:space="preserve">. </w:t>
            </w:r>
            <w:r w:rsidRPr="00E5753A">
              <w:rPr>
                <w:rFonts w:ascii="Times New Roman" w:hAnsi="Times New Roman"/>
                <w:b/>
                <w:bCs/>
                <w:sz w:val="24"/>
                <w:szCs w:val="24"/>
              </w:rPr>
              <w:t>Tiesību akta projekta atbilstība Latvijas Republikas starptautiskajām saistībām</w:t>
            </w:r>
          </w:p>
        </w:tc>
      </w:tr>
      <w:tr w:rsidR="00DD6A91" w:rsidRPr="00B719FC" w14:paraId="4B821D5F" w14:textId="77777777" w:rsidTr="00DD6A91">
        <w:trPr>
          <w:trHeight w:val="469"/>
        </w:trPr>
        <w:tc>
          <w:tcPr>
            <w:tcW w:w="9326"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8FDCBD9" w14:textId="7161FF3D" w:rsidR="00DD6A91" w:rsidRPr="00714546" w:rsidRDefault="00DD6A91" w:rsidP="00DD6A91">
            <w:pPr>
              <w:spacing w:before="120" w:after="120" w:line="240" w:lineRule="auto"/>
              <w:jc w:val="center"/>
              <w:rPr>
                <w:rFonts w:ascii="Times New Roman" w:hAnsi="Times New Roman"/>
                <w:bCs/>
                <w:sz w:val="24"/>
                <w:szCs w:val="24"/>
                <w:highlight w:val="yellow"/>
              </w:rPr>
            </w:pPr>
            <w:r w:rsidRPr="00D4765A">
              <w:rPr>
                <w:rFonts w:ascii="Times New Roman" w:hAnsi="Times New Roman"/>
                <w:b/>
                <w:bCs/>
                <w:sz w:val="24"/>
                <w:szCs w:val="24"/>
              </w:rPr>
              <w:t>Noteikumu projekts šo jomu neskar</w:t>
            </w:r>
          </w:p>
        </w:tc>
      </w:tr>
    </w:tbl>
    <w:p w14:paraId="2E886B34" w14:textId="77777777" w:rsidR="007538D9" w:rsidRDefault="007538D9" w:rsidP="00D85523">
      <w:pPr>
        <w:spacing w:after="0" w:line="240" w:lineRule="auto"/>
      </w:pPr>
    </w:p>
    <w:p w14:paraId="53CE38CF" w14:textId="77777777" w:rsidR="003F5F93" w:rsidRDefault="003F5F93" w:rsidP="00D85523">
      <w:pPr>
        <w:spacing w:after="0" w:line="240" w:lineRule="auto"/>
      </w:pPr>
    </w:p>
    <w:p w14:paraId="336ADFA4" w14:textId="77777777" w:rsidR="009A312E" w:rsidRPr="001C5253" w:rsidRDefault="009A312E" w:rsidP="009A312E">
      <w:pPr>
        <w:spacing w:after="0"/>
        <w:rPr>
          <w:vanish/>
          <w:sz w:val="20"/>
          <w:szCs w:val="20"/>
        </w:rPr>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22"/>
        <w:gridCol w:w="3559"/>
        <w:gridCol w:w="5245"/>
      </w:tblGrid>
      <w:tr w:rsidR="009A312E" w:rsidRPr="008B78B2" w14:paraId="051EE9BB" w14:textId="77777777" w:rsidTr="001C5253">
        <w:tc>
          <w:tcPr>
            <w:tcW w:w="9326" w:type="dxa"/>
            <w:gridSpan w:val="3"/>
            <w:tcBorders>
              <w:top w:val="double" w:sz="4" w:space="0" w:color="BFBFBF" w:themeColor="background1" w:themeShade="BF"/>
              <w:left w:val="thickThinLargeGap" w:sz="6" w:space="0" w:color="C0C0C0"/>
              <w:bottom w:val="thickThinLargeGap" w:sz="6" w:space="0" w:color="C0C0C0"/>
              <w:right w:val="thickThinLargeGap" w:sz="6" w:space="0" w:color="C0C0C0"/>
            </w:tcBorders>
            <w:hideMark/>
          </w:tcPr>
          <w:p w14:paraId="372AEEFB" w14:textId="77777777" w:rsidR="009A312E" w:rsidRPr="008B78B2" w:rsidRDefault="009A312E" w:rsidP="0056559A">
            <w:pPr>
              <w:spacing w:line="240" w:lineRule="auto"/>
              <w:jc w:val="center"/>
              <w:rPr>
                <w:rFonts w:ascii="Times New Roman" w:eastAsia="Times New Roman" w:hAnsi="Times New Roman"/>
                <w:b/>
                <w:sz w:val="24"/>
                <w:szCs w:val="24"/>
                <w:lang w:eastAsia="lv-LV"/>
              </w:rPr>
            </w:pPr>
            <w:r w:rsidRPr="008B78B2">
              <w:rPr>
                <w:rFonts w:ascii="Times New Roman" w:hAnsi="Times New Roman"/>
                <w:b/>
                <w:bCs/>
                <w:sz w:val="24"/>
                <w:szCs w:val="24"/>
              </w:rPr>
              <w:t>VI. Sabiedrības līdzdalība un komunikācijas aktivitātes</w:t>
            </w:r>
          </w:p>
        </w:tc>
      </w:tr>
      <w:tr w:rsidR="009A312E" w:rsidRPr="008B78B2" w14:paraId="500C365C" w14:textId="77777777" w:rsidTr="00A57A20">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0DF9568C"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3179E166"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Plānotās sabiedrības līdzdalības un komunikācijas aktivitātes saistībā ar projektu</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C8C3CC" w14:textId="4C0C5DE7" w:rsidR="009A312E" w:rsidRPr="00DD6A91" w:rsidRDefault="00837B43" w:rsidP="00A57A20">
            <w:pPr>
              <w:spacing w:after="0" w:line="240" w:lineRule="auto"/>
              <w:ind w:left="142" w:right="128"/>
              <w:jc w:val="both"/>
              <w:rPr>
                <w:rFonts w:ascii="Times New Roman" w:eastAsia="Times New Roman" w:hAnsi="Times New Roman"/>
                <w:sz w:val="24"/>
                <w:szCs w:val="24"/>
                <w:lang w:eastAsia="lv-LV"/>
              </w:rPr>
            </w:pPr>
            <w:r w:rsidRPr="00DD6A91">
              <w:rPr>
                <w:rFonts w:ascii="Times New Roman" w:eastAsia="Times New Roman" w:hAnsi="Times New Roman"/>
                <w:iCs/>
                <w:sz w:val="24"/>
                <w:szCs w:val="24"/>
                <w:lang w:eastAsia="lv-LV"/>
              </w:rPr>
              <w:t xml:space="preserve">Ekonomikas ministrija tās tīmekļa vietnē </w:t>
            </w:r>
            <w:r w:rsidR="00D6038F">
              <w:rPr>
                <w:rFonts w:ascii="Times New Roman" w:eastAsia="Times New Roman" w:hAnsi="Times New Roman"/>
                <w:iCs/>
                <w:sz w:val="24"/>
                <w:szCs w:val="24"/>
                <w:lang w:eastAsia="lv-LV"/>
              </w:rPr>
              <w:t xml:space="preserve">ir </w:t>
            </w:r>
            <w:r w:rsidRPr="00DD6A91">
              <w:rPr>
                <w:rFonts w:ascii="Times New Roman" w:eastAsia="Times New Roman" w:hAnsi="Times New Roman"/>
                <w:iCs/>
                <w:sz w:val="24"/>
                <w:szCs w:val="24"/>
                <w:lang w:eastAsia="lv-LV"/>
              </w:rPr>
              <w:t>publicē</w:t>
            </w:r>
            <w:r w:rsidR="00D6038F">
              <w:rPr>
                <w:rFonts w:ascii="Times New Roman" w:eastAsia="Times New Roman" w:hAnsi="Times New Roman"/>
                <w:iCs/>
                <w:sz w:val="24"/>
                <w:szCs w:val="24"/>
                <w:lang w:eastAsia="lv-LV"/>
              </w:rPr>
              <w:t>jusi noteikumu projektu un publicēs</w:t>
            </w:r>
            <w:r w:rsidRPr="00DD6A91">
              <w:rPr>
                <w:rFonts w:ascii="Times New Roman" w:eastAsia="Times New Roman" w:hAnsi="Times New Roman"/>
                <w:iCs/>
                <w:sz w:val="24"/>
                <w:szCs w:val="24"/>
                <w:lang w:eastAsia="lv-LV"/>
              </w:rPr>
              <w:t xml:space="preserve"> informāciju par noteikumu projekt</w:t>
            </w:r>
            <w:r w:rsidR="00D6038F">
              <w:rPr>
                <w:rFonts w:ascii="Times New Roman" w:eastAsia="Times New Roman" w:hAnsi="Times New Roman"/>
                <w:iCs/>
                <w:sz w:val="24"/>
                <w:szCs w:val="24"/>
                <w:lang w:eastAsia="lv-LV"/>
              </w:rPr>
              <w:t xml:space="preserve">a </w:t>
            </w:r>
            <w:r w:rsidRPr="00DD6A91">
              <w:rPr>
                <w:rFonts w:ascii="Times New Roman" w:eastAsia="Times New Roman" w:hAnsi="Times New Roman"/>
                <w:iCs/>
                <w:sz w:val="24"/>
                <w:szCs w:val="24"/>
                <w:lang w:eastAsia="lv-LV"/>
              </w:rPr>
              <w:t>virzību.</w:t>
            </w:r>
          </w:p>
        </w:tc>
      </w:tr>
      <w:tr w:rsidR="009A312E" w:rsidRPr="008B78B2" w14:paraId="2F9C45F7" w14:textId="77777777" w:rsidTr="00A57A20">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7F8E4BAC"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10FA070A"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Sabiedrības līdzdalība projekta izstrādē</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2ECC05B" w14:textId="2BB280F7" w:rsidR="009A312E" w:rsidRPr="00714546" w:rsidRDefault="00220849" w:rsidP="00A57A20">
            <w:pPr>
              <w:spacing w:after="0" w:line="240" w:lineRule="auto"/>
              <w:ind w:left="142" w:right="128"/>
              <w:jc w:val="both"/>
              <w:rPr>
                <w:rFonts w:ascii="Times New Roman" w:eastAsia="Times New Roman" w:hAnsi="Times New Roman"/>
                <w:iCs/>
                <w:sz w:val="24"/>
                <w:szCs w:val="24"/>
                <w:highlight w:val="yellow"/>
                <w:lang w:eastAsia="lv-LV"/>
              </w:rPr>
            </w:pPr>
            <w:r w:rsidRPr="00DD6A91">
              <w:rPr>
                <w:rFonts w:ascii="Times New Roman" w:eastAsia="Times New Roman" w:hAnsi="Times New Roman"/>
                <w:iCs/>
                <w:sz w:val="24"/>
                <w:szCs w:val="24"/>
                <w:lang w:eastAsia="lv-LV"/>
              </w:rPr>
              <w:t xml:space="preserve">Noteikumu projekts </w:t>
            </w:r>
            <w:r w:rsidR="00D6038F">
              <w:rPr>
                <w:rFonts w:ascii="Times New Roman" w:eastAsia="Times New Roman" w:hAnsi="Times New Roman"/>
                <w:iCs/>
                <w:sz w:val="24"/>
                <w:szCs w:val="24"/>
                <w:lang w:eastAsia="lv-LV"/>
              </w:rPr>
              <w:t>ir</w:t>
            </w:r>
            <w:r w:rsidRPr="00DD6A91">
              <w:rPr>
                <w:rFonts w:ascii="Times New Roman" w:eastAsia="Times New Roman" w:hAnsi="Times New Roman"/>
                <w:iCs/>
                <w:sz w:val="24"/>
                <w:szCs w:val="24"/>
                <w:lang w:eastAsia="lv-LV"/>
              </w:rPr>
              <w:t xml:space="preserve"> publicēts Ekonomikas ministrijas tīmekļvietnē</w:t>
            </w:r>
            <w:r w:rsidR="00DD6A91" w:rsidRPr="00DD6A91">
              <w:rPr>
                <w:rFonts w:ascii="Times New Roman" w:eastAsia="Times New Roman" w:hAnsi="Times New Roman"/>
                <w:iCs/>
                <w:sz w:val="24"/>
                <w:szCs w:val="24"/>
                <w:lang w:eastAsia="lv-LV"/>
              </w:rPr>
              <w:t>.</w:t>
            </w:r>
          </w:p>
        </w:tc>
      </w:tr>
      <w:tr w:rsidR="009A312E" w:rsidRPr="008B78B2" w14:paraId="1D285C1F" w14:textId="77777777" w:rsidTr="00A57A20">
        <w:trPr>
          <w:trHeight w:val="726"/>
        </w:trPr>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1934E595"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1D58383C"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 xml:space="preserve">Sabiedrības </w:t>
            </w:r>
            <w:r w:rsidRPr="00A57A20">
              <w:rPr>
                <w:rFonts w:ascii="Times New Roman" w:eastAsia="Times New Roman" w:hAnsi="Times New Roman"/>
                <w:sz w:val="24"/>
                <w:szCs w:val="24"/>
                <w:lang w:eastAsia="lv-LV"/>
              </w:rPr>
              <w:t>līdzdalības</w:t>
            </w:r>
            <w:r w:rsidRPr="008B78B2">
              <w:rPr>
                <w:rFonts w:ascii="Times New Roman" w:hAnsi="Times New Roman"/>
                <w:sz w:val="24"/>
                <w:szCs w:val="24"/>
              </w:rPr>
              <w:t xml:space="preserve"> rezultāti</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5C7204A0" w14:textId="0D3CB404" w:rsidR="00220849" w:rsidRPr="00714546" w:rsidRDefault="00220849" w:rsidP="00A57A20">
            <w:pPr>
              <w:spacing w:after="0" w:line="240" w:lineRule="auto"/>
              <w:ind w:left="142" w:right="128"/>
              <w:jc w:val="both"/>
              <w:rPr>
                <w:rFonts w:ascii="Times New Roman" w:eastAsia="Times New Roman" w:hAnsi="Times New Roman"/>
                <w:b/>
                <w:sz w:val="24"/>
                <w:szCs w:val="24"/>
                <w:highlight w:val="yellow"/>
                <w:lang w:eastAsia="lv-LV"/>
              </w:rPr>
            </w:pPr>
          </w:p>
        </w:tc>
      </w:tr>
      <w:tr w:rsidR="009A312E" w:rsidRPr="008B78B2" w14:paraId="3C8DBE9C" w14:textId="77777777" w:rsidTr="00A57A20">
        <w:trPr>
          <w:trHeight w:val="366"/>
        </w:trPr>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62DD9D"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4.</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DCAD65"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 xml:space="preserve">Cita </w:t>
            </w:r>
            <w:r w:rsidRPr="00A57A20">
              <w:rPr>
                <w:rFonts w:ascii="Times New Roman" w:eastAsia="Times New Roman" w:hAnsi="Times New Roman"/>
                <w:sz w:val="24"/>
                <w:szCs w:val="24"/>
                <w:lang w:eastAsia="lv-LV"/>
              </w:rPr>
              <w:t>informācija</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3BF4E1F8" w14:textId="4FBADBC0" w:rsidR="009A312E" w:rsidRPr="00714546" w:rsidRDefault="009A312E" w:rsidP="00A57A20">
            <w:pPr>
              <w:spacing w:after="0" w:line="240" w:lineRule="auto"/>
              <w:ind w:left="142" w:right="128"/>
              <w:jc w:val="both"/>
              <w:rPr>
                <w:rFonts w:ascii="Times New Roman" w:eastAsia="Times New Roman" w:hAnsi="Times New Roman"/>
                <w:sz w:val="24"/>
                <w:szCs w:val="24"/>
                <w:highlight w:val="yellow"/>
                <w:lang w:eastAsia="lv-LV"/>
              </w:rPr>
            </w:pPr>
            <w:r w:rsidRPr="00DD6A91">
              <w:rPr>
                <w:rFonts w:ascii="Times New Roman" w:eastAsia="Times New Roman" w:hAnsi="Times New Roman"/>
                <w:iCs/>
                <w:sz w:val="24"/>
                <w:szCs w:val="24"/>
                <w:lang w:eastAsia="lv-LV"/>
              </w:rPr>
              <w:t>Nav</w:t>
            </w:r>
            <w:r w:rsidR="00A57A20" w:rsidRPr="00DD6A91">
              <w:rPr>
                <w:rFonts w:ascii="Times New Roman" w:eastAsia="Times New Roman" w:hAnsi="Times New Roman"/>
                <w:iCs/>
                <w:sz w:val="24"/>
                <w:szCs w:val="24"/>
                <w:lang w:eastAsia="lv-LV"/>
              </w:rPr>
              <w:t>.</w:t>
            </w:r>
          </w:p>
        </w:tc>
      </w:tr>
    </w:tbl>
    <w:p w14:paraId="24D64682" w14:textId="77777777" w:rsidR="009A312E" w:rsidRPr="00090BDF" w:rsidRDefault="009A312E" w:rsidP="009A312E">
      <w:pPr>
        <w:tabs>
          <w:tab w:val="left" w:pos="7655"/>
        </w:tabs>
        <w:spacing w:line="240" w:lineRule="auto"/>
        <w:jc w:val="both"/>
        <w:rPr>
          <w:rFonts w:ascii="Times New Roman" w:hAnsi="Times New Roman"/>
          <w:bCs/>
          <w:sz w:val="4"/>
          <w:szCs w:val="4"/>
        </w:rPr>
      </w:pPr>
    </w:p>
    <w:tbl>
      <w:tblPr>
        <w:tblW w:w="9296" w:type="dxa"/>
        <w:tblInd w:w="-53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07"/>
        <w:gridCol w:w="3604"/>
        <w:gridCol w:w="5185"/>
      </w:tblGrid>
      <w:tr w:rsidR="009A312E" w:rsidRPr="008B78B2" w14:paraId="166C01FC" w14:textId="77777777" w:rsidTr="0056559A">
        <w:tc>
          <w:tcPr>
            <w:tcW w:w="929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4B5BA8EA" w14:textId="77777777" w:rsidR="009A312E" w:rsidRPr="008B78B2" w:rsidRDefault="009A312E" w:rsidP="0056559A">
            <w:pPr>
              <w:spacing w:line="240" w:lineRule="auto"/>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VII. Tiesību akta projekta izpildes nodrošināšana un tās ietekme uz institūcijām</w:t>
            </w:r>
          </w:p>
        </w:tc>
      </w:tr>
      <w:tr w:rsidR="009A312E" w:rsidRPr="008B78B2" w14:paraId="37B4D165" w14:textId="77777777" w:rsidTr="00A57A20">
        <w:trPr>
          <w:trHeight w:val="558"/>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894E661"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1356FC2B"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sidRPr="00B719FC">
              <w:rPr>
                <w:rFonts w:ascii="Times New Roman" w:hAnsi="Times New Roman"/>
                <w:bCs/>
                <w:sz w:val="24"/>
                <w:szCs w:val="24"/>
              </w:rPr>
              <w:t>Projekta</w:t>
            </w:r>
            <w:r w:rsidRPr="008B78B2">
              <w:rPr>
                <w:rFonts w:ascii="Times New Roman" w:eastAsia="Times New Roman" w:hAnsi="Times New Roman"/>
                <w:sz w:val="24"/>
                <w:szCs w:val="24"/>
                <w:lang w:eastAsia="lv-LV"/>
              </w:rPr>
              <w:t xml:space="preserve"> izpildē iesaistītās institūcijas</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B14CACD" w14:textId="7A36A211" w:rsidR="009A312E" w:rsidRPr="00714546" w:rsidRDefault="00DD6A91" w:rsidP="00B719FC">
            <w:pPr>
              <w:spacing w:after="0" w:line="240" w:lineRule="auto"/>
              <w:ind w:left="142" w:right="128"/>
              <w:jc w:val="both"/>
              <w:rPr>
                <w:rFonts w:ascii="Times New Roman" w:hAnsi="Times New Roman"/>
                <w:sz w:val="24"/>
                <w:szCs w:val="24"/>
                <w:highlight w:val="yellow"/>
                <w:lang w:eastAsia="lv-LV"/>
              </w:rPr>
            </w:pPr>
            <w:r w:rsidRPr="00DD6A91">
              <w:rPr>
                <w:rFonts w:ascii="Times New Roman" w:hAnsi="Times New Roman"/>
                <w:sz w:val="24"/>
                <w:szCs w:val="24"/>
              </w:rPr>
              <w:t>Ekonomikas ministrija un sabiedrība “</w:t>
            </w:r>
            <w:proofErr w:type="spellStart"/>
            <w:r w:rsidRPr="00DD6A91">
              <w:rPr>
                <w:rFonts w:ascii="Times New Roman" w:hAnsi="Times New Roman"/>
                <w:sz w:val="24"/>
                <w:szCs w:val="24"/>
              </w:rPr>
              <w:t>Altum</w:t>
            </w:r>
            <w:proofErr w:type="spellEnd"/>
            <w:r w:rsidRPr="00DD6A91">
              <w:rPr>
                <w:rFonts w:ascii="Times New Roman" w:hAnsi="Times New Roman"/>
                <w:sz w:val="24"/>
                <w:szCs w:val="24"/>
              </w:rPr>
              <w:t>”.</w:t>
            </w:r>
          </w:p>
        </w:tc>
      </w:tr>
      <w:tr w:rsidR="009A312E" w:rsidRPr="008B78B2" w14:paraId="678718AA" w14:textId="77777777" w:rsidTr="00A57A20">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ED1EF00"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lastRenderedPageBreak/>
              <w:t>2.</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46CAAEA3"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Projekta izpildes ietekme uz pārvaldes </w:t>
            </w:r>
            <w:r w:rsidRPr="00B719FC">
              <w:rPr>
                <w:rFonts w:ascii="Times New Roman" w:hAnsi="Times New Roman"/>
                <w:bCs/>
                <w:sz w:val="24"/>
                <w:szCs w:val="24"/>
              </w:rPr>
              <w:t>funkcijām</w:t>
            </w:r>
            <w:r w:rsidRPr="008B78B2">
              <w:rPr>
                <w:rFonts w:ascii="Times New Roman" w:eastAsia="Times New Roman" w:hAnsi="Times New Roman"/>
                <w:sz w:val="24"/>
                <w:szCs w:val="24"/>
                <w:lang w:eastAsia="lv-LV"/>
              </w:rPr>
              <w:t xml:space="preserve"> un institucionālo struktūru.</w:t>
            </w:r>
          </w:p>
          <w:p w14:paraId="689A82AC"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Jaunu </w:t>
            </w:r>
            <w:r w:rsidRPr="00B719FC">
              <w:rPr>
                <w:rFonts w:ascii="Times New Roman" w:hAnsi="Times New Roman"/>
                <w:bCs/>
                <w:sz w:val="24"/>
                <w:szCs w:val="24"/>
              </w:rPr>
              <w:t>institūciju</w:t>
            </w:r>
            <w:r w:rsidRPr="008B78B2">
              <w:rPr>
                <w:rFonts w:ascii="Times New Roman" w:eastAsia="Times New Roman" w:hAnsi="Times New Roman"/>
                <w:sz w:val="24"/>
                <w:szCs w:val="24"/>
                <w:lang w:eastAsia="lv-LV"/>
              </w:rPr>
              <w:t xml:space="preserve"> izveide, esošu institūciju likvidācija vai reorganizācija, to ietekme uz institūcijas cilvēkresursiem</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A93EA10" w14:textId="4C1ADBCF" w:rsidR="009A312E" w:rsidRPr="00714546" w:rsidRDefault="00DD6A91" w:rsidP="00B719FC">
            <w:pPr>
              <w:spacing w:after="0" w:line="240" w:lineRule="auto"/>
              <w:ind w:left="142" w:right="128"/>
              <w:jc w:val="both"/>
              <w:rPr>
                <w:rFonts w:ascii="Times New Roman" w:hAnsi="Times New Roman"/>
                <w:sz w:val="24"/>
                <w:szCs w:val="24"/>
                <w:highlight w:val="yellow"/>
              </w:rPr>
            </w:pPr>
            <w:r w:rsidRPr="00DD6A91">
              <w:rPr>
                <w:rFonts w:ascii="Times New Roman" w:hAnsi="Times New Roman"/>
                <w:sz w:val="24"/>
                <w:szCs w:val="24"/>
              </w:rPr>
              <w:t>Jaunas valsts institūcijas netiks radītas, kā arī netiks paplašinātas esošo institūciju funkcijas.</w:t>
            </w:r>
          </w:p>
        </w:tc>
      </w:tr>
      <w:tr w:rsidR="009A312E" w:rsidRPr="008B78B2" w14:paraId="17DEEA33" w14:textId="77777777" w:rsidTr="00A57A20">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4CA1C15"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18A421CE"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Cita informācija</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BB19CF2" w14:textId="5FAF9E0A"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DD6A91">
              <w:rPr>
                <w:rFonts w:ascii="Times New Roman" w:eastAsia="Times New Roman" w:hAnsi="Times New Roman"/>
                <w:sz w:val="24"/>
                <w:szCs w:val="24"/>
                <w:lang w:eastAsia="lv-LV"/>
              </w:rPr>
              <w:t>Nav</w:t>
            </w:r>
            <w:r w:rsidR="00A57A20" w:rsidRPr="00DD6A91">
              <w:rPr>
                <w:rFonts w:ascii="Times New Roman" w:eastAsia="Times New Roman" w:hAnsi="Times New Roman"/>
                <w:sz w:val="24"/>
                <w:szCs w:val="24"/>
                <w:lang w:eastAsia="lv-LV"/>
              </w:rPr>
              <w:t>.</w:t>
            </w:r>
          </w:p>
        </w:tc>
      </w:tr>
    </w:tbl>
    <w:p w14:paraId="5FCC8D11" w14:textId="77777777" w:rsidR="009A312E" w:rsidRPr="00396735" w:rsidRDefault="009A312E" w:rsidP="009A312E">
      <w:pPr>
        <w:tabs>
          <w:tab w:val="right" w:pos="9071"/>
        </w:tabs>
        <w:spacing w:after="0" w:line="240" w:lineRule="auto"/>
        <w:jc w:val="both"/>
        <w:rPr>
          <w:rFonts w:ascii="Times New Roman" w:eastAsia="Times New Roman" w:hAnsi="Times New Roman"/>
          <w:sz w:val="24"/>
          <w:szCs w:val="24"/>
          <w:lang w:eastAsia="lv-LV"/>
        </w:rPr>
      </w:pPr>
    </w:p>
    <w:p w14:paraId="1592FFC4" w14:textId="39D14701" w:rsidR="00BA3C6C" w:rsidRPr="00396735" w:rsidRDefault="00BA3C6C" w:rsidP="009A312E">
      <w:pPr>
        <w:tabs>
          <w:tab w:val="right" w:pos="9071"/>
        </w:tabs>
        <w:spacing w:after="0" w:line="240" w:lineRule="auto"/>
        <w:jc w:val="both"/>
        <w:rPr>
          <w:rFonts w:ascii="Times New Roman" w:eastAsia="Times New Roman" w:hAnsi="Times New Roman"/>
          <w:sz w:val="24"/>
          <w:szCs w:val="24"/>
          <w:lang w:eastAsia="lv-LV"/>
        </w:rPr>
      </w:pPr>
    </w:p>
    <w:p w14:paraId="2D604021" w14:textId="77777777" w:rsidR="005630E5" w:rsidRPr="00396735" w:rsidRDefault="005630E5" w:rsidP="009A312E">
      <w:pPr>
        <w:tabs>
          <w:tab w:val="right" w:pos="9071"/>
        </w:tabs>
        <w:spacing w:after="0" w:line="240" w:lineRule="auto"/>
        <w:jc w:val="both"/>
        <w:rPr>
          <w:rFonts w:ascii="Times New Roman" w:eastAsia="Times New Roman" w:hAnsi="Times New Roman"/>
          <w:sz w:val="24"/>
          <w:szCs w:val="24"/>
          <w:lang w:eastAsia="lv-LV"/>
        </w:rPr>
      </w:pPr>
    </w:p>
    <w:p w14:paraId="270FF30B" w14:textId="0BE3B771" w:rsidR="009A312E" w:rsidRDefault="00EC50D3" w:rsidP="009A312E">
      <w:pPr>
        <w:tabs>
          <w:tab w:val="right" w:pos="9071"/>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Ekonomikas ministrs</w:t>
      </w:r>
      <w:r w:rsidR="009A312E" w:rsidRPr="005630E5">
        <w:rPr>
          <w:b/>
        </w:rPr>
        <w:t xml:space="preserve"> </w:t>
      </w:r>
      <w:r w:rsidR="009A312E" w:rsidRPr="005630E5">
        <w:rPr>
          <w:b/>
        </w:rPr>
        <w:tab/>
      </w:r>
      <w:proofErr w:type="spellStart"/>
      <w:r>
        <w:rPr>
          <w:rFonts w:ascii="Times New Roman" w:hAnsi="Times New Roman"/>
          <w:b/>
          <w:color w:val="000000"/>
          <w:sz w:val="24"/>
          <w:szCs w:val="24"/>
        </w:rPr>
        <w:t>R.Nemiro</w:t>
      </w:r>
      <w:proofErr w:type="spellEnd"/>
    </w:p>
    <w:p w14:paraId="2EBECC9D" w14:textId="77777777" w:rsidR="003A21F2" w:rsidRPr="005630E5" w:rsidRDefault="003A21F2" w:rsidP="009A312E">
      <w:pPr>
        <w:tabs>
          <w:tab w:val="right" w:pos="9071"/>
        </w:tabs>
        <w:spacing w:after="0" w:line="240" w:lineRule="auto"/>
        <w:jc w:val="both"/>
        <w:rPr>
          <w:rFonts w:ascii="Times New Roman" w:hAnsi="Times New Roman"/>
          <w:b/>
          <w:color w:val="000000"/>
          <w:sz w:val="24"/>
          <w:szCs w:val="24"/>
        </w:rPr>
      </w:pPr>
    </w:p>
    <w:p w14:paraId="29EBA32C" w14:textId="77777777" w:rsidR="009A312E" w:rsidRPr="005630E5" w:rsidRDefault="009A312E" w:rsidP="009A312E">
      <w:pPr>
        <w:tabs>
          <w:tab w:val="right" w:pos="9071"/>
        </w:tabs>
        <w:spacing w:after="0" w:line="240" w:lineRule="auto"/>
        <w:jc w:val="both"/>
        <w:rPr>
          <w:rFonts w:ascii="Times New Roman" w:hAnsi="Times New Roman"/>
          <w:b/>
          <w:color w:val="000000"/>
          <w:sz w:val="16"/>
          <w:szCs w:val="16"/>
        </w:rPr>
      </w:pPr>
    </w:p>
    <w:p w14:paraId="4FDF8EF9" w14:textId="0A80FB76" w:rsidR="009A312E" w:rsidRPr="005630E5" w:rsidRDefault="009A312E" w:rsidP="009A312E">
      <w:pPr>
        <w:tabs>
          <w:tab w:val="right" w:pos="9071"/>
        </w:tabs>
        <w:spacing w:after="0" w:line="240" w:lineRule="auto"/>
        <w:jc w:val="both"/>
        <w:rPr>
          <w:rFonts w:ascii="Times New Roman" w:hAnsi="Times New Roman"/>
          <w:b/>
          <w:color w:val="000000"/>
          <w:sz w:val="24"/>
          <w:szCs w:val="24"/>
        </w:rPr>
      </w:pPr>
      <w:r w:rsidRPr="005630E5">
        <w:rPr>
          <w:rFonts w:ascii="Times New Roman" w:hAnsi="Times New Roman"/>
          <w:b/>
          <w:color w:val="000000"/>
          <w:sz w:val="24"/>
          <w:szCs w:val="24"/>
        </w:rPr>
        <w:t>Vīza: Valsts sekretār</w:t>
      </w:r>
      <w:r w:rsidR="00E2719F">
        <w:rPr>
          <w:rFonts w:ascii="Times New Roman" w:hAnsi="Times New Roman"/>
          <w:b/>
          <w:color w:val="000000"/>
          <w:sz w:val="24"/>
          <w:szCs w:val="24"/>
        </w:rPr>
        <w:t>s</w:t>
      </w:r>
      <w:r w:rsidR="00E2719F">
        <w:rPr>
          <w:rFonts w:ascii="Times New Roman" w:hAnsi="Times New Roman"/>
          <w:b/>
          <w:color w:val="000000"/>
          <w:sz w:val="24"/>
          <w:szCs w:val="24"/>
        </w:rPr>
        <w:tab/>
      </w:r>
      <w:proofErr w:type="spellStart"/>
      <w:r w:rsidR="00E2719F">
        <w:rPr>
          <w:rFonts w:ascii="Times New Roman" w:hAnsi="Times New Roman"/>
          <w:b/>
          <w:color w:val="000000"/>
          <w:sz w:val="24"/>
          <w:szCs w:val="24"/>
        </w:rPr>
        <w:t>Ē.Eglītis</w:t>
      </w:r>
      <w:proofErr w:type="spellEnd"/>
    </w:p>
    <w:p w14:paraId="4E7CC4F1" w14:textId="4F1A6AB6" w:rsidR="00CC6E1B" w:rsidRDefault="00CC6E1B" w:rsidP="009A312E">
      <w:pPr>
        <w:tabs>
          <w:tab w:val="right" w:pos="9071"/>
        </w:tabs>
        <w:spacing w:after="0" w:line="240" w:lineRule="auto"/>
        <w:jc w:val="both"/>
        <w:rPr>
          <w:rFonts w:ascii="Times New Roman" w:hAnsi="Times New Roman"/>
          <w:color w:val="000000"/>
          <w:sz w:val="24"/>
          <w:szCs w:val="24"/>
        </w:rPr>
      </w:pPr>
    </w:p>
    <w:p w14:paraId="437CA3D4" w14:textId="4AF3C25B" w:rsidR="009A2938" w:rsidRDefault="009A2938" w:rsidP="009A312E">
      <w:pPr>
        <w:tabs>
          <w:tab w:val="right" w:pos="9071"/>
        </w:tabs>
        <w:spacing w:after="0" w:line="240" w:lineRule="auto"/>
        <w:jc w:val="both"/>
        <w:rPr>
          <w:rFonts w:ascii="Times New Roman" w:hAnsi="Times New Roman"/>
          <w:color w:val="000000"/>
          <w:sz w:val="24"/>
          <w:szCs w:val="24"/>
        </w:rPr>
      </w:pPr>
    </w:p>
    <w:p w14:paraId="04740656" w14:textId="2C7A4BA3" w:rsidR="00D85523" w:rsidRDefault="00D85523" w:rsidP="009A312E">
      <w:pPr>
        <w:tabs>
          <w:tab w:val="right" w:pos="9071"/>
        </w:tabs>
        <w:spacing w:after="0" w:line="240" w:lineRule="auto"/>
        <w:jc w:val="both"/>
        <w:rPr>
          <w:rFonts w:ascii="Times New Roman" w:hAnsi="Times New Roman"/>
          <w:color w:val="000000"/>
          <w:sz w:val="24"/>
          <w:szCs w:val="24"/>
        </w:rPr>
      </w:pPr>
    </w:p>
    <w:p w14:paraId="51F280F2" w14:textId="6AF6CC4A" w:rsidR="008F36E1" w:rsidRPr="00AA2DE3" w:rsidRDefault="008F36E1" w:rsidP="008F36E1">
      <w:pPr>
        <w:widowControl w:val="0"/>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Evelīna </w:t>
      </w:r>
      <w:r w:rsidR="00292C3D">
        <w:rPr>
          <w:rFonts w:ascii="Times New Roman" w:eastAsia="Times New Roman" w:hAnsi="Times New Roman"/>
          <w:sz w:val="20"/>
          <w:szCs w:val="20"/>
          <w:lang w:eastAsia="lv-LV"/>
        </w:rPr>
        <w:t>Matisone</w:t>
      </w:r>
      <w:r>
        <w:rPr>
          <w:rFonts w:ascii="Times New Roman" w:eastAsia="Times New Roman" w:hAnsi="Times New Roman"/>
          <w:sz w:val="20"/>
          <w:szCs w:val="20"/>
          <w:lang w:eastAsia="lv-LV"/>
        </w:rPr>
        <w:t xml:space="preserve">; </w:t>
      </w:r>
      <w:r w:rsidRPr="00AA2DE3">
        <w:rPr>
          <w:rFonts w:ascii="Times New Roman" w:eastAsia="Times New Roman" w:hAnsi="Times New Roman"/>
          <w:sz w:val="20"/>
          <w:szCs w:val="20"/>
          <w:lang w:eastAsia="lv-LV"/>
        </w:rPr>
        <w:t>67013241</w:t>
      </w:r>
    </w:p>
    <w:p w14:paraId="5F49A53F" w14:textId="41D7ECE4" w:rsidR="008F36E1" w:rsidRPr="00AA2DE3" w:rsidRDefault="008F36E1" w:rsidP="008F36E1">
      <w:pPr>
        <w:widowControl w:val="0"/>
        <w:spacing w:after="0" w:line="240" w:lineRule="auto"/>
        <w:jc w:val="both"/>
        <w:rPr>
          <w:rFonts w:ascii="Times New Roman" w:eastAsia="Times New Roman" w:hAnsi="Times New Roman"/>
          <w:sz w:val="20"/>
          <w:szCs w:val="20"/>
          <w:lang w:eastAsia="lv-LV"/>
        </w:rPr>
      </w:pPr>
      <w:r w:rsidRPr="00AA2DE3">
        <w:rPr>
          <w:rFonts w:ascii="Times New Roman" w:eastAsia="Times New Roman" w:hAnsi="Times New Roman"/>
          <w:sz w:val="20"/>
          <w:szCs w:val="20"/>
          <w:lang w:eastAsia="lv-LV"/>
        </w:rPr>
        <w:t>Evelina.</w:t>
      </w:r>
      <w:r w:rsidR="00292C3D">
        <w:rPr>
          <w:rFonts w:ascii="Times New Roman" w:eastAsia="Times New Roman" w:hAnsi="Times New Roman"/>
          <w:sz w:val="20"/>
          <w:szCs w:val="20"/>
          <w:lang w:eastAsia="lv-LV"/>
        </w:rPr>
        <w:t>Matisone</w:t>
      </w:r>
      <w:bookmarkStart w:id="5" w:name="_GoBack"/>
      <w:bookmarkEnd w:id="5"/>
      <w:r w:rsidRPr="00AA2DE3">
        <w:rPr>
          <w:rFonts w:ascii="Times New Roman" w:eastAsia="Times New Roman" w:hAnsi="Times New Roman"/>
          <w:sz w:val="20"/>
          <w:szCs w:val="20"/>
          <w:lang w:eastAsia="lv-LV"/>
        </w:rPr>
        <w:t>@em.gov.lv</w:t>
      </w:r>
    </w:p>
    <w:p w14:paraId="4388254F" w14:textId="77777777" w:rsidR="008F36E1" w:rsidRDefault="008F36E1" w:rsidP="009A312E">
      <w:pPr>
        <w:tabs>
          <w:tab w:val="right" w:pos="9071"/>
        </w:tabs>
        <w:spacing w:after="0" w:line="240" w:lineRule="auto"/>
        <w:jc w:val="both"/>
        <w:rPr>
          <w:rFonts w:ascii="Times New Roman" w:hAnsi="Times New Roman"/>
          <w:color w:val="000000"/>
          <w:sz w:val="24"/>
          <w:szCs w:val="24"/>
        </w:rPr>
      </w:pPr>
    </w:p>
    <w:sectPr w:rsidR="008F36E1" w:rsidSect="0056559A">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A3DF4" w14:textId="77777777" w:rsidR="00287382" w:rsidRDefault="00287382">
      <w:pPr>
        <w:spacing w:after="0" w:line="240" w:lineRule="auto"/>
      </w:pPr>
      <w:r>
        <w:separator/>
      </w:r>
    </w:p>
  </w:endnote>
  <w:endnote w:type="continuationSeparator" w:id="0">
    <w:p w14:paraId="56E3FC31" w14:textId="77777777" w:rsidR="00287382" w:rsidRDefault="0028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87A6" w14:textId="2F5D105A" w:rsidR="00976644" w:rsidRPr="00B61820" w:rsidRDefault="00317BF1" w:rsidP="00976644">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2F72B3">
      <w:rPr>
        <w:rFonts w:ascii="Times New Roman" w:eastAsia="Times New Roman" w:hAnsi="Times New Roman"/>
        <w:sz w:val="20"/>
        <w:szCs w:val="20"/>
        <w:lang w:eastAsia="lv-LV"/>
      </w:rPr>
      <w:t>17</w:t>
    </w:r>
    <w:r w:rsidR="00C013D2">
      <w:rPr>
        <w:rFonts w:ascii="Times New Roman" w:eastAsia="Times New Roman" w:hAnsi="Times New Roman"/>
        <w:sz w:val="20"/>
        <w:szCs w:val="20"/>
        <w:lang w:eastAsia="lv-LV"/>
      </w:rPr>
      <w:t>012019</w:t>
    </w:r>
    <w:r w:rsidR="00CE7A28">
      <w:rPr>
        <w:rFonts w:ascii="Times New Roman" w:eastAsia="Times New Roman" w:hAnsi="Times New Roman"/>
        <w:sz w:val="20"/>
        <w:szCs w:val="20"/>
        <w:lang w:eastAsia="lv-LV"/>
      </w:rPr>
      <w:t>_Groz</w:t>
    </w:r>
    <w:r w:rsidR="00976644">
      <w:rPr>
        <w:rFonts w:ascii="Times New Roman" w:eastAsia="Times New Roman" w:hAnsi="Times New Roman"/>
        <w:sz w:val="20"/>
        <w:szCs w:val="20"/>
        <w:lang w:eastAsia="lv-LV"/>
      </w:rPr>
      <w:t>221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468E" w14:textId="77B7AC93" w:rsidR="00976644" w:rsidRPr="002973CD" w:rsidRDefault="00317BF1" w:rsidP="00976644">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2F72B3">
      <w:rPr>
        <w:rFonts w:ascii="Times New Roman" w:eastAsia="Times New Roman" w:hAnsi="Times New Roman"/>
        <w:sz w:val="20"/>
        <w:szCs w:val="20"/>
        <w:lang w:eastAsia="lv-LV"/>
      </w:rPr>
      <w:t>17</w:t>
    </w:r>
    <w:r w:rsidR="00C013D2">
      <w:rPr>
        <w:rFonts w:ascii="Times New Roman" w:eastAsia="Times New Roman" w:hAnsi="Times New Roman"/>
        <w:sz w:val="20"/>
        <w:szCs w:val="20"/>
        <w:lang w:eastAsia="lv-LV"/>
      </w:rPr>
      <w:t>012019</w:t>
    </w:r>
    <w:r w:rsidR="00CE7A28">
      <w:rPr>
        <w:rFonts w:ascii="Times New Roman" w:eastAsia="Times New Roman" w:hAnsi="Times New Roman"/>
        <w:sz w:val="20"/>
        <w:szCs w:val="20"/>
        <w:lang w:eastAsia="lv-LV"/>
      </w:rPr>
      <w:t>_Groz</w:t>
    </w:r>
    <w:r w:rsidR="00976644">
      <w:rPr>
        <w:rFonts w:ascii="Times New Roman" w:eastAsia="Times New Roman" w:hAnsi="Times New Roman"/>
        <w:sz w:val="20"/>
        <w:szCs w:val="20"/>
        <w:lang w:eastAsia="lv-LV"/>
      </w:rPr>
      <w:t>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ACF41" w14:textId="77777777" w:rsidR="00287382" w:rsidRDefault="00287382">
      <w:pPr>
        <w:spacing w:after="0" w:line="240" w:lineRule="auto"/>
      </w:pPr>
      <w:r>
        <w:separator/>
      </w:r>
    </w:p>
  </w:footnote>
  <w:footnote w:type="continuationSeparator" w:id="0">
    <w:p w14:paraId="04334A10" w14:textId="77777777" w:rsidR="00287382" w:rsidRDefault="00287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7713" w14:textId="530765D0" w:rsidR="00CE7A28" w:rsidRPr="00352025" w:rsidRDefault="00CE7A28">
    <w:pPr>
      <w:pStyle w:val="Header"/>
      <w:jc w:val="center"/>
      <w:rPr>
        <w:rFonts w:ascii="Times New Roman" w:hAnsi="Times New Roman"/>
        <w:sz w:val="24"/>
        <w:szCs w:val="24"/>
      </w:rPr>
    </w:pPr>
    <w:r w:rsidRPr="00352025">
      <w:rPr>
        <w:rFonts w:ascii="Times New Roman" w:hAnsi="Times New Roman"/>
        <w:sz w:val="24"/>
        <w:szCs w:val="24"/>
      </w:rPr>
      <w:fldChar w:fldCharType="begin"/>
    </w:r>
    <w:r w:rsidRPr="00352025">
      <w:rPr>
        <w:rFonts w:ascii="Times New Roman" w:hAnsi="Times New Roman"/>
        <w:sz w:val="24"/>
        <w:szCs w:val="24"/>
      </w:rPr>
      <w:instrText xml:space="preserve"> PAGE   \* MERGEFORMAT </w:instrText>
    </w:r>
    <w:r w:rsidRPr="00352025">
      <w:rPr>
        <w:rFonts w:ascii="Times New Roman" w:hAnsi="Times New Roman"/>
        <w:sz w:val="24"/>
        <w:szCs w:val="24"/>
      </w:rPr>
      <w:fldChar w:fldCharType="separate"/>
    </w:r>
    <w:r w:rsidRPr="00352025">
      <w:rPr>
        <w:rFonts w:ascii="Times New Roman" w:hAnsi="Times New Roman"/>
        <w:noProof/>
        <w:sz w:val="24"/>
        <w:szCs w:val="24"/>
      </w:rPr>
      <w:t>8</w:t>
    </w:r>
    <w:r w:rsidRPr="00352025">
      <w:rPr>
        <w:rFonts w:ascii="Times New Roman" w:hAnsi="Times New Roman"/>
        <w:noProof/>
        <w:sz w:val="24"/>
        <w:szCs w:val="24"/>
      </w:rPr>
      <w:fldChar w:fldCharType="end"/>
    </w:r>
  </w:p>
  <w:p w14:paraId="7E32D89C" w14:textId="77777777" w:rsidR="00CE7A28" w:rsidRDefault="00CE7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7F98"/>
    <w:multiLevelType w:val="hybridMultilevel"/>
    <w:tmpl w:val="2CFC372A"/>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13720B5"/>
    <w:multiLevelType w:val="hybridMultilevel"/>
    <w:tmpl w:val="A6802D2C"/>
    <w:lvl w:ilvl="0" w:tplc="096E1A70">
      <w:start w:val="19"/>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 w15:restartNumberingAfterBreak="0">
    <w:nsid w:val="12FE537E"/>
    <w:multiLevelType w:val="hybridMultilevel"/>
    <w:tmpl w:val="AB8EF3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C03635"/>
    <w:multiLevelType w:val="hybridMultilevel"/>
    <w:tmpl w:val="570AA138"/>
    <w:lvl w:ilvl="0" w:tplc="370E6B72">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15:restartNumberingAfterBreak="0">
    <w:nsid w:val="2B7722B1"/>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060EFB"/>
    <w:multiLevelType w:val="hybridMultilevel"/>
    <w:tmpl w:val="8D6E2412"/>
    <w:lvl w:ilvl="0" w:tplc="44140260">
      <w:start w:val="1"/>
      <w:numFmt w:val="decimal"/>
      <w:lvlText w:val="%1)"/>
      <w:lvlJc w:val="left"/>
      <w:pPr>
        <w:ind w:left="1582" w:hanging="360"/>
      </w:pPr>
      <w:rPr>
        <w:rFonts w:hint="default"/>
      </w:rPr>
    </w:lvl>
    <w:lvl w:ilvl="1" w:tplc="4414026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ECF04F3"/>
    <w:multiLevelType w:val="hybridMultilevel"/>
    <w:tmpl w:val="18027440"/>
    <w:lvl w:ilvl="0" w:tplc="4414026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54242849"/>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4583E24"/>
    <w:multiLevelType w:val="hybridMultilevel"/>
    <w:tmpl w:val="E5D82616"/>
    <w:lvl w:ilvl="0" w:tplc="154A0534">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9" w15:restartNumberingAfterBreak="0">
    <w:nsid w:val="658D1E2C"/>
    <w:multiLevelType w:val="hybridMultilevel"/>
    <w:tmpl w:val="7372696A"/>
    <w:lvl w:ilvl="0" w:tplc="2C0E6220">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64B2B4F"/>
    <w:multiLevelType w:val="hybridMultilevel"/>
    <w:tmpl w:val="091CCBEE"/>
    <w:lvl w:ilvl="0" w:tplc="97C617F8">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1" w15:restartNumberingAfterBreak="0">
    <w:nsid w:val="69996C18"/>
    <w:multiLevelType w:val="hybridMultilevel"/>
    <w:tmpl w:val="E1D8D800"/>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6B05633F"/>
    <w:multiLevelType w:val="hybridMultilevel"/>
    <w:tmpl w:val="58A65410"/>
    <w:lvl w:ilvl="0" w:tplc="FBFA6A1A">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2087BA2"/>
    <w:multiLevelType w:val="hybridMultilevel"/>
    <w:tmpl w:val="6EC6128C"/>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4" w15:restartNumberingAfterBreak="0">
    <w:nsid w:val="739575DE"/>
    <w:multiLevelType w:val="hybridMultilevel"/>
    <w:tmpl w:val="D342239A"/>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763765DE"/>
    <w:multiLevelType w:val="hybridMultilevel"/>
    <w:tmpl w:val="B5A2B122"/>
    <w:lvl w:ilvl="0" w:tplc="F4A879B6">
      <w:start w:val="1"/>
      <w:numFmt w:val="decimal"/>
      <w:lvlText w:val="%1."/>
      <w:lvlJc w:val="left"/>
      <w:pPr>
        <w:ind w:left="697" w:hanging="55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15:restartNumberingAfterBreak="0">
    <w:nsid w:val="7EA13771"/>
    <w:multiLevelType w:val="hybridMultilevel"/>
    <w:tmpl w:val="00C29556"/>
    <w:lvl w:ilvl="0" w:tplc="0FBE7312">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14"/>
  </w:num>
  <w:num w:numId="2">
    <w:abstractNumId w:val="13"/>
  </w:num>
  <w:num w:numId="3">
    <w:abstractNumId w:val="8"/>
  </w:num>
  <w:num w:numId="4">
    <w:abstractNumId w:val="11"/>
  </w:num>
  <w:num w:numId="5">
    <w:abstractNumId w:val="0"/>
  </w:num>
  <w:num w:numId="6">
    <w:abstractNumId w:val="2"/>
  </w:num>
  <w:num w:numId="7">
    <w:abstractNumId w:val="10"/>
  </w:num>
  <w:num w:numId="8">
    <w:abstractNumId w:val="1"/>
  </w:num>
  <w:num w:numId="9">
    <w:abstractNumId w:val="15"/>
  </w:num>
  <w:num w:numId="10">
    <w:abstractNumId w:val="3"/>
  </w:num>
  <w:num w:numId="11">
    <w:abstractNumId w:val="16"/>
  </w:num>
  <w:num w:numId="12">
    <w:abstractNumId w:val="12"/>
  </w:num>
  <w:num w:numId="13">
    <w:abstractNumId w:val="9"/>
  </w:num>
  <w:num w:numId="14">
    <w:abstractNumId w:val="5"/>
  </w:num>
  <w:num w:numId="15">
    <w:abstractNumId w:val="6"/>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2E"/>
    <w:rsid w:val="00001B65"/>
    <w:rsid w:val="00003AF3"/>
    <w:rsid w:val="000053C9"/>
    <w:rsid w:val="00006DC5"/>
    <w:rsid w:val="00024CCD"/>
    <w:rsid w:val="00024D1B"/>
    <w:rsid w:val="00031648"/>
    <w:rsid w:val="000318AE"/>
    <w:rsid w:val="000357F1"/>
    <w:rsid w:val="0004161D"/>
    <w:rsid w:val="0004420B"/>
    <w:rsid w:val="0004745F"/>
    <w:rsid w:val="000617F8"/>
    <w:rsid w:val="00077241"/>
    <w:rsid w:val="00082788"/>
    <w:rsid w:val="000A12B9"/>
    <w:rsid w:val="000A5B3A"/>
    <w:rsid w:val="000B4FA8"/>
    <w:rsid w:val="000E1202"/>
    <w:rsid w:val="000E5AA6"/>
    <w:rsid w:val="000F72AE"/>
    <w:rsid w:val="00101DB2"/>
    <w:rsid w:val="00101FC4"/>
    <w:rsid w:val="0010496B"/>
    <w:rsid w:val="00115BD6"/>
    <w:rsid w:val="001243B9"/>
    <w:rsid w:val="0012675A"/>
    <w:rsid w:val="001305B9"/>
    <w:rsid w:val="001312A1"/>
    <w:rsid w:val="001518B5"/>
    <w:rsid w:val="0015517D"/>
    <w:rsid w:val="00156578"/>
    <w:rsid w:val="00164527"/>
    <w:rsid w:val="00164E69"/>
    <w:rsid w:val="00176C49"/>
    <w:rsid w:val="00182C25"/>
    <w:rsid w:val="00196785"/>
    <w:rsid w:val="001A67CD"/>
    <w:rsid w:val="001A6DE0"/>
    <w:rsid w:val="001B78C5"/>
    <w:rsid w:val="001C1EF8"/>
    <w:rsid w:val="001C3799"/>
    <w:rsid w:val="001C4BBF"/>
    <w:rsid w:val="001C5253"/>
    <w:rsid w:val="001C6666"/>
    <w:rsid w:val="001D209B"/>
    <w:rsid w:val="001F0F74"/>
    <w:rsid w:val="001F1B7D"/>
    <w:rsid w:val="001F44B8"/>
    <w:rsid w:val="00210CCC"/>
    <w:rsid w:val="002171C9"/>
    <w:rsid w:val="00220849"/>
    <w:rsid w:val="00220DF0"/>
    <w:rsid w:val="00222673"/>
    <w:rsid w:val="002247CD"/>
    <w:rsid w:val="002319EF"/>
    <w:rsid w:val="00235779"/>
    <w:rsid w:val="00242068"/>
    <w:rsid w:val="00244FFB"/>
    <w:rsid w:val="002635BA"/>
    <w:rsid w:val="002668BD"/>
    <w:rsid w:val="00271CD9"/>
    <w:rsid w:val="00271E94"/>
    <w:rsid w:val="00273253"/>
    <w:rsid w:val="002733DE"/>
    <w:rsid w:val="00276DA9"/>
    <w:rsid w:val="002809A6"/>
    <w:rsid w:val="00287382"/>
    <w:rsid w:val="002919BA"/>
    <w:rsid w:val="00292C3D"/>
    <w:rsid w:val="00294EC8"/>
    <w:rsid w:val="00297054"/>
    <w:rsid w:val="002A1C23"/>
    <w:rsid w:val="002A240F"/>
    <w:rsid w:val="002A4CFD"/>
    <w:rsid w:val="002B28B8"/>
    <w:rsid w:val="002B4E1B"/>
    <w:rsid w:val="002C0301"/>
    <w:rsid w:val="002C25DA"/>
    <w:rsid w:val="002C6FC1"/>
    <w:rsid w:val="002D456C"/>
    <w:rsid w:val="002D73C4"/>
    <w:rsid w:val="002E1F44"/>
    <w:rsid w:val="002F10D3"/>
    <w:rsid w:val="002F469D"/>
    <w:rsid w:val="002F542C"/>
    <w:rsid w:val="002F72B3"/>
    <w:rsid w:val="003123AC"/>
    <w:rsid w:val="00314236"/>
    <w:rsid w:val="00317BF1"/>
    <w:rsid w:val="0033091B"/>
    <w:rsid w:val="00336B4E"/>
    <w:rsid w:val="00343578"/>
    <w:rsid w:val="00352025"/>
    <w:rsid w:val="00374FD3"/>
    <w:rsid w:val="00390E8D"/>
    <w:rsid w:val="003937F2"/>
    <w:rsid w:val="00396735"/>
    <w:rsid w:val="00397AC2"/>
    <w:rsid w:val="003A21F2"/>
    <w:rsid w:val="003A330D"/>
    <w:rsid w:val="003B3ECC"/>
    <w:rsid w:val="003B5FC4"/>
    <w:rsid w:val="003C1F82"/>
    <w:rsid w:val="003D0D9E"/>
    <w:rsid w:val="003D205C"/>
    <w:rsid w:val="003D3BB6"/>
    <w:rsid w:val="003E1F77"/>
    <w:rsid w:val="003F5F93"/>
    <w:rsid w:val="00405E29"/>
    <w:rsid w:val="0041103E"/>
    <w:rsid w:val="004111C9"/>
    <w:rsid w:val="00413694"/>
    <w:rsid w:val="0042491D"/>
    <w:rsid w:val="004278AE"/>
    <w:rsid w:val="00446511"/>
    <w:rsid w:val="00452E2F"/>
    <w:rsid w:val="00453E63"/>
    <w:rsid w:val="00460FE5"/>
    <w:rsid w:val="00462FE7"/>
    <w:rsid w:val="00464059"/>
    <w:rsid w:val="00475884"/>
    <w:rsid w:val="004763A8"/>
    <w:rsid w:val="00482EA1"/>
    <w:rsid w:val="00483A21"/>
    <w:rsid w:val="0049163F"/>
    <w:rsid w:val="004A0213"/>
    <w:rsid w:val="004A2782"/>
    <w:rsid w:val="004B0E09"/>
    <w:rsid w:val="004B11BD"/>
    <w:rsid w:val="004C44CD"/>
    <w:rsid w:val="004C47F2"/>
    <w:rsid w:val="004D0101"/>
    <w:rsid w:val="004D1D4A"/>
    <w:rsid w:val="004D393D"/>
    <w:rsid w:val="004D5E36"/>
    <w:rsid w:val="004E0FE2"/>
    <w:rsid w:val="004E560E"/>
    <w:rsid w:val="004F4131"/>
    <w:rsid w:val="0050427E"/>
    <w:rsid w:val="00505230"/>
    <w:rsid w:val="00505345"/>
    <w:rsid w:val="0050621F"/>
    <w:rsid w:val="00510012"/>
    <w:rsid w:val="00536D5A"/>
    <w:rsid w:val="005439AB"/>
    <w:rsid w:val="00545F6C"/>
    <w:rsid w:val="005503D4"/>
    <w:rsid w:val="00550B8B"/>
    <w:rsid w:val="00551783"/>
    <w:rsid w:val="00557E84"/>
    <w:rsid w:val="00560866"/>
    <w:rsid w:val="005630E5"/>
    <w:rsid w:val="0056492C"/>
    <w:rsid w:val="0056559A"/>
    <w:rsid w:val="00577A22"/>
    <w:rsid w:val="00587678"/>
    <w:rsid w:val="0059104A"/>
    <w:rsid w:val="00597404"/>
    <w:rsid w:val="00597D13"/>
    <w:rsid w:val="005A0A82"/>
    <w:rsid w:val="005A150F"/>
    <w:rsid w:val="005A1673"/>
    <w:rsid w:val="005B5BEB"/>
    <w:rsid w:val="005C1C05"/>
    <w:rsid w:val="005C6DF5"/>
    <w:rsid w:val="005E1B08"/>
    <w:rsid w:val="005E272D"/>
    <w:rsid w:val="00600F61"/>
    <w:rsid w:val="00605F9E"/>
    <w:rsid w:val="00606264"/>
    <w:rsid w:val="00607E8B"/>
    <w:rsid w:val="00611285"/>
    <w:rsid w:val="0062499A"/>
    <w:rsid w:val="00626664"/>
    <w:rsid w:val="00626791"/>
    <w:rsid w:val="006272F2"/>
    <w:rsid w:val="00641928"/>
    <w:rsid w:val="006460D7"/>
    <w:rsid w:val="00666251"/>
    <w:rsid w:val="00667785"/>
    <w:rsid w:val="00676665"/>
    <w:rsid w:val="006778EB"/>
    <w:rsid w:val="006810E0"/>
    <w:rsid w:val="006858B3"/>
    <w:rsid w:val="006876EB"/>
    <w:rsid w:val="00687C74"/>
    <w:rsid w:val="006A0B03"/>
    <w:rsid w:val="006A2B13"/>
    <w:rsid w:val="006A30B4"/>
    <w:rsid w:val="006B3E89"/>
    <w:rsid w:val="006D3730"/>
    <w:rsid w:val="006D5F4A"/>
    <w:rsid w:val="006D7ED9"/>
    <w:rsid w:val="006E1CC9"/>
    <w:rsid w:val="006E4BC7"/>
    <w:rsid w:val="006F0A3F"/>
    <w:rsid w:val="0070163B"/>
    <w:rsid w:val="00702B4B"/>
    <w:rsid w:val="00707967"/>
    <w:rsid w:val="00710358"/>
    <w:rsid w:val="00714546"/>
    <w:rsid w:val="00717EC1"/>
    <w:rsid w:val="007200F3"/>
    <w:rsid w:val="0074288D"/>
    <w:rsid w:val="0074295E"/>
    <w:rsid w:val="00744E9C"/>
    <w:rsid w:val="007452D2"/>
    <w:rsid w:val="00745B8C"/>
    <w:rsid w:val="007538D9"/>
    <w:rsid w:val="00777603"/>
    <w:rsid w:val="00786D03"/>
    <w:rsid w:val="007A0278"/>
    <w:rsid w:val="007A108E"/>
    <w:rsid w:val="007B3495"/>
    <w:rsid w:val="007C3465"/>
    <w:rsid w:val="007E400F"/>
    <w:rsid w:val="00802730"/>
    <w:rsid w:val="00807582"/>
    <w:rsid w:val="00812190"/>
    <w:rsid w:val="008175E3"/>
    <w:rsid w:val="00817E08"/>
    <w:rsid w:val="00820B02"/>
    <w:rsid w:val="00837B43"/>
    <w:rsid w:val="00840AFC"/>
    <w:rsid w:val="00841680"/>
    <w:rsid w:val="00850193"/>
    <w:rsid w:val="00850703"/>
    <w:rsid w:val="0085251D"/>
    <w:rsid w:val="00853512"/>
    <w:rsid w:val="0085378E"/>
    <w:rsid w:val="00861701"/>
    <w:rsid w:val="00870CEC"/>
    <w:rsid w:val="00886371"/>
    <w:rsid w:val="0089276D"/>
    <w:rsid w:val="00894D2B"/>
    <w:rsid w:val="008A02EE"/>
    <w:rsid w:val="008A1F76"/>
    <w:rsid w:val="008A3AC7"/>
    <w:rsid w:val="008B0AA7"/>
    <w:rsid w:val="008B23A8"/>
    <w:rsid w:val="008B5ED6"/>
    <w:rsid w:val="008C32FE"/>
    <w:rsid w:val="008C4C6D"/>
    <w:rsid w:val="008D032B"/>
    <w:rsid w:val="008E5906"/>
    <w:rsid w:val="008E7F13"/>
    <w:rsid w:val="008F1587"/>
    <w:rsid w:val="008F257A"/>
    <w:rsid w:val="008F36E1"/>
    <w:rsid w:val="008F7393"/>
    <w:rsid w:val="0090361D"/>
    <w:rsid w:val="00912D79"/>
    <w:rsid w:val="00915852"/>
    <w:rsid w:val="00927594"/>
    <w:rsid w:val="00927E8B"/>
    <w:rsid w:val="00930B7A"/>
    <w:rsid w:val="0093655D"/>
    <w:rsid w:val="009440D7"/>
    <w:rsid w:val="00954101"/>
    <w:rsid w:val="009569DF"/>
    <w:rsid w:val="0096066B"/>
    <w:rsid w:val="00966B6C"/>
    <w:rsid w:val="0097254E"/>
    <w:rsid w:val="00975DD2"/>
    <w:rsid w:val="00976644"/>
    <w:rsid w:val="009867E1"/>
    <w:rsid w:val="009A2573"/>
    <w:rsid w:val="009A2938"/>
    <w:rsid w:val="009A312E"/>
    <w:rsid w:val="009A5AA3"/>
    <w:rsid w:val="009B0586"/>
    <w:rsid w:val="009B68F6"/>
    <w:rsid w:val="009C28F8"/>
    <w:rsid w:val="009D706F"/>
    <w:rsid w:val="009E0967"/>
    <w:rsid w:val="009E658B"/>
    <w:rsid w:val="009F13DA"/>
    <w:rsid w:val="009F2FA5"/>
    <w:rsid w:val="009F5B84"/>
    <w:rsid w:val="00A01391"/>
    <w:rsid w:val="00A133DF"/>
    <w:rsid w:val="00A1429A"/>
    <w:rsid w:val="00A2193A"/>
    <w:rsid w:val="00A2526D"/>
    <w:rsid w:val="00A44DBD"/>
    <w:rsid w:val="00A47456"/>
    <w:rsid w:val="00A57869"/>
    <w:rsid w:val="00A57A20"/>
    <w:rsid w:val="00A6259F"/>
    <w:rsid w:val="00A67EE3"/>
    <w:rsid w:val="00A9644F"/>
    <w:rsid w:val="00AA7956"/>
    <w:rsid w:val="00AA7AA2"/>
    <w:rsid w:val="00AB0B37"/>
    <w:rsid w:val="00AB2C1B"/>
    <w:rsid w:val="00AB3CAE"/>
    <w:rsid w:val="00AB40C4"/>
    <w:rsid w:val="00AC0047"/>
    <w:rsid w:val="00AC3A06"/>
    <w:rsid w:val="00AC3BF5"/>
    <w:rsid w:val="00AE10A7"/>
    <w:rsid w:val="00AE6E05"/>
    <w:rsid w:val="00AF5D97"/>
    <w:rsid w:val="00B00A5E"/>
    <w:rsid w:val="00B01402"/>
    <w:rsid w:val="00B07BB3"/>
    <w:rsid w:val="00B2343F"/>
    <w:rsid w:val="00B27579"/>
    <w:rsid w:val="00B32CA1"/>
    <w:rsid w:val="00B33EFB"/>
    <w:rsid w:val="00B33F0A"/>
    <w:rsid w:val="00B4109B"/>
    <w:rsid w:val="00B43025"/>
    <w:rsid w:val="00B57DDB"/>
    <w:rsid w:val="00B61820"/>
    <w:rsid w:val="00B6430E"/>
    <w:rsid w:val="00B7178A"/>
    <w:rsid w:val="00B719FC"/>
    <w:rsid w:val="00B742CC"/>
    <w:rsid w:val="00B7667A"/>
    <w:rsid w:val="00B7752B"/>
    <w:rsid w:val="00B8037C"/>
    <w:rsid w:val="00B81964"/>
    <w:rsid w:val="00B86A4D"/>
    <w:rsid w:val="00B90F84"/>
    <w:rsid w:val="00B93841"/>
    <w:rsid w:val="00B94698"/>
    <w:rsid w:val="00B97B97"/>
    <w:rsid w:val="00B97D0F"/>
    <w:rsid w:val="00BA075C"/>
    <w:rsid w:val="00BA3C6C"/>
    <w:rsid w:val="00BB3056"/>
    <w:rsid w:val="00BB4E2D"/>
    <w:rsid w:val="00BB71D6"/>
    <w:rsid w:val="00BC1915"/>
    <w:rsid w:val="00BC3239"/>
    <w:rsid w:val="00BE068D"/>
    <w:rsid w:val="00BE1FEE"/>
    <w:rsid w:val="00BE28E7"/>
    <w:rsid w:val="00BE4388"/>
    <w:rsid w:val="00BE7B48"/>
    <w:rsid w:val="00BF0D38"/>
    <w:rsid w:val="00BF332A"/>
    <w:rsid w:val="00BF4EF6"/>
    <w:rsid w:val="00BF6FB6"/>
    <w:rsid w:val="00C013D2"/>
    <w:rsid w:val="00C03A89"/>
    <w:rsid w:val="00C074FB"/>
    <w:rsid w:val="00C1009E"/>
    <w:rsid w:val="00C113C2"/>
    <w:rsid w:val="00C13F47"/>
    <w:rsid w:val="00C20237"/>
    <w:rsid w:val="00C265E2"/>
    <w:rsid w:val="00C34864"/>
    <w:rsid w:val="00C4560B"/>
    <w:rsid w:val="00C6181C"/>
    <w:rsid w:val="00C64BA0"/>
    <w:rsid w:val="00C677B6"/>
    <w:rsid w:val="00C67E4B"/>
    <w:rsid w:val="00C770D6"/>
    <w:rsid w:val="00C865F5"/>
    <w:rsid w:val="00C96EA1"/>
    <w:rsid w:val="00CA115C"/>
    <w:rsid w:val="00CA6220"/>
    <w:rsid w:val="00CA7A80"/>
    <w:rsid w:val="00CB166C"/>
    <w:rsid w:val="00CB2925"/>
    <w:rsid w:val="00CC46D3"/>
    <w:rsid w:val="00CC6E1B"/>
    <w:rsid w:val="00CD1AFC"/>
    <w:rsid w:val="00CD38CB"/>
    <w:rsid w:val="00CE1E1D"/>
    <w:rsid w:val="00CE3D70"/>
    <w:rsid w:val="00CE7A28"/>
    <w:rsid w:val="00CF14E5"/>
    <w:rsid w:val="00D03FE1"/>
    <w:rsid w:val="00D04D73"/>
    <w:rsid w:val="00D05DC4"/>
    <w:rsid w:val="00D11E01"/>
    <w:rsid w:val="00D16330"/>
    <w:rsid w:val="00D23C78"/>
    <w:rsid w:val="00D270FC"/>
    <w:rsid w:val="00D4765A"/>
    <w:rsid w:val="00D6038F"/>
    <w:rsid w:val="00D61012"/>
    <w:rsid w:val="00D644C0"/>
    <w:rsid w:val="00D67976"/>
    <w:rsid w:val="00D71954"/>
    <w:rsid w:val="00D747D8"/>
    <w:rsid w:val="00D8313D"/>
    <w:rsid w:val="00D85523"/>
    <w:rsid w:val="00D904FD"/>
    <w:rsid w:val="00D91A91"/>
    <w:rsid w:val="00DC77D1"/>
    <w:rsid w:val="00DD11B5"/>
    <w:rsid w:val="00DD1681"/>
    <w:rsid w:val="00DD2519"/>
    <w:rsid w:val="00DD25E2"/>
    <w:rsid w:val="00DD365A"/>
    <w:rsid w:val="00DD6A91"/>
    <w:rsid w:val="00DD7C9C"/>
    <w:rsid w:val="00DF1FB1"/>
    <w:rsid w:val="00DF3710"/>
    <w:rsid w:val="00DF62F1"/>
    <w:rsid w:val="00DF7F03"/>
    <w:rsid w:val="00E04395"/>
    <w:rsid w:val="00E2719F"/>
    <w:rsid w:val="00E34816"/>
    <w:rsid w:val="00E3578E"/>
    <w:rsid w:val="00E359A2"/>
    <w:rsid w:val="00E4106B"/>
    <w:rsid w:val="00E42C2F"/>
    <w:rsid w:val="00E42D3C"/>
    <w:rsid w:val="00E474CD"/>
    <w:rsid w:val="00E56962"/>
    <w:rsid w:val="00E5753A"/>
    <w:rsid w:val="00E66395"/>
    <w:rsid w:val="00E6704D"/>
    <w:rsid w:val="00E67F25"/>
    <w:rsid w:val="00E70396"/>
    <w:rsid w:val="00E77FF3"/>
    <w:rsid w:val="00E86AA4"/>
    <w:rsid w:val="00E8770C"/>
    <w:rsid w:val="00E9197B"/>
    <w:rsid w:val="00EB256D"/>
    <w:rsid w:val="00EB33F9"/>
    <w:rsid w:val="00EB67CA"/>
    <w:rsid w:val="00EB7215"/>
    <w:rsid w:val="00EB7FA7"/>
    <w:rsid w:val="00EC103F"/>
    <w:rsid w:val="00EC1C0C"/>
    <w:rsid w:val="00EC50D3"/>
    <w:rsid w:val="00EE7C8B"/>
    <w:rsid w:val="00EF3C7C"/>
    <w:rsid w:val="00EF4DFF"/>
    <w:rsid w:val="00F05A7B"/>
    <w:rsid w:val="00F114EE"/>
    <w:rsid w:val="00F11E6B"/>
    <w:rsid w:val="00F214BB"/>
    <w:rsid w:val="00F21A78"/>
    <w:rsid w:val="00F24C8B"/>
    <w:rsid w:val="00F4015C"/>
    <w:rsid w:val="00F40204"/>
    <w:rsid w:val="00F43919"/>
    <w:rsid w:val="00F47004"/>
    <w:rsid w:val="00F528C9"/>
    <w:rsid w:val="00F55331"/>
    <w:rsid w:val="00F56F74"/>
    <w:rsid w:val="00F628CC"/>
    <w:rsid w:val="00F648C4"/>
    <w:rsid w:val="00F76002"/>
    <w:rsid w:val="00F7740E"/>
    <w:rsid w:val="00F838D5"/>
    <w:rsid w:val="00F83E0C"/>
    <w:rsid w:val="00F845E2"/>
    <w:rsid w:val="00F8547F"/>
    <w:rsid w:val="00F87243"/>
    <w:rsid w:val="00F97E65"/>
    <w:rsid w:val="00FA328A"/>
    <w:rsid w:val="00FA4B15"/>
    <w:rsid w:val="00FB6F01"/>
    <w:rsid w:val="00FC1DC0"/>
    <w:rsid w:val="00FC68DA"/>
    <w:rsid w:val="00FC7689"/>
    <w:rsid w:val="00FC7E42"/>
    <w:rsid w:val="00FD0797"/>
    <w:rsid w:val="00FD17B4"/>
    <w:rsid w:val="00FD68CD"/>
    <w:rsid w:val="00FD798F"/>
    <w:rsid w:val="00FE0684"/>
    <w:rsid w:val="00FE3A9B"/>
    <w:rsid w:val="00FE41D3"/>
    <w:rsid w:val="00FE52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B9D9A9"/>
  <w15:chartTrackingRefBased/>
  <w15:docId w15:val="{FCE20F22-C2C4-40D6-AF6A-9DBC746E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12E"/>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93655D"/>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462F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aliases w:val="2,Strip,H&amp;P List Paragraph,List Paragraph1"/>
    <w:basedOn w:val="Normal"/>
    <w:link w:val="ListParagraphChar"/>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semiHidden/>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semiHidden/>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table" w:styleId="TableGrid">
    <w:name w:val="Table Grid"/>
    <w:basedOn w:val="TableNormal"/>
    <w:uiPriority w:val="39"/>
    <w:rsid w:val="001C525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H&amp;P List Paragraph Char,List Paragraph1 Char"/>
    <w:link w:val="ListParagraph"/>
    <w:uiPriority w:val="34"/>
    <w:rsid w:val="001C5253"/>
    <w:rPr>
      <w:rFonts w:ascii="Calibri" w:eastAsia="Calibri" w:hAnsi="Calibri" w:cs="Times New Roman"/>
    </w:rPr>
  </w:style>
  <w:style w:type="character" w:styleId="UnresolvedMention">
    <w:name w:val="Unresolved Mention"/>
    <w:basedOn w:val="DefaultParagraphFont"/>
    <w:uiPriority w:val="99"/>
    <w:semiHidden/>
    <w:unhideWhenUsed/>
    <w:rsid w:val="00D85523"/>
    <w:rPr>
      <w:color w:val="808080"/>
      <w:shd w:val="clear" w:color="auto" w:fill="E6E6E6"/>
    </w:rPr>
  </w:style>
  <w:style w:type="paragraph" w:customStyle="1" w:styleId="naiskr">
    <w:name w:val="naiskr"/>
    <w:basedOn w:val="Normal"/>
    <w:rsid w:val="003F5F9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8D032B"/>
    <w:pPr>
      <w:spacing w:before="75" w:after="75" w:line="240" w:lineRule="auto"/>
      <w:jc w:val="center"/>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93655D"/>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462FE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1C1EF8"/>
    <w:pPr>
      <w:spacing w:after="0" w:line="240" w:lineRule="auto"/>
    </w:pPr>
    <w:rPr>
      <w:rFonts w:ascii="Calibri" w:eastAsia="Calibri" w:hAnsi="Calibri" w:cs="Times New Roman"/>
    </w:rPr>
  </w:style>
  <w:style w:type="paragraph" w:customStyle="1" w:styleId="tv213">
    <w:name w:val="tv213"/>
    <w:basedOn w:val="Normal"/>
    <w:rsid w:val="004C47F2"/>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94718">
      <w:bodyDiv w:val="1"/>
      <w:marLeft w:val="0"/>
      <w:marRight w:val="0"/>
      <w:marTop w:val="0"/>
      <w:marBottom w:val="0"/>
      <w:divBdr>
        <w:top w:val="none" w:sz="0" w:space="0" w:color="auto"/>
        <w:left w:val="none" w:sz="0" w:space="0" w:color="auto"/>
        <w:bottom w:val="none" w:sz="0" w:space="0" w:color="auto"/>
        <w:right w:val="none" w:sz="0" w:space="0" w:color="auto"/>
      </w:divBdr>
    </w:div>
    <w:div w:id="324552356">
      <w:bodyDiv w:val="1"/>
      <w:marLeft w:val="0"/>
      <w:marRight w:val="0"/>
      <w:marTop w:val="0"/>
      <w:marBottom w:val="0"/>
      <w:divBdr>
        <w:top w:val="none" w:sz="0" w:space="0" w:color="auto"/>
        <w:left w:val="none" w:sz="0" w:space="0" w:color="auto"/>
        <w:bottom w:val="none" w:sz="0" w:space="0" w:color="auto"/>
        <w:right w:val="none" w:sz="0" w:space="0" w:color="auto"/>
      </w:divBdr>
    </w:div>
    <w:div w:id="1815027340">
      <w:bodyDiv w:val="1"/>
      <w:marLeft w:val="0"/>
      <w:marRight w:val="0"/>
      <w:marTop w:val="0"/>
      <w:marBottom w:val="0"/>
      <w:divBdr>
        <w:top w:val="none" w:sz="0" w:space="0" w:color="auto"/>
        <w:left w:val="none" w:sz="0" w:space="0" w:color="auto"/>
        <w:bottom w:val="none" w:sz="0" w:space="0" w:color="auto"/>
        <w:right w:val="none" w:sz="0" w:space="0" w:color="auto"/>
      </w:divBdr>
    </w:div>
    <w:div w:id="190290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D670-8781-44E6-8360-041A3405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2017.gada 25.aprīļa noteikumos Nr. 221 “Noteikumi par kārtību, kādā tiek veiktas iemaksas energoefektivitātes fondos, un to apmēru, kā arī energoefektivitātes fonda līdzekļu izmantošanu”” s</vt:lpstr>
    </vt:vector>
  </TitlesOfParts>
  <Company>Ekonomikas ministrija</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2017.gada 25.aprīļa noteikumos Nr. 221 “Noteikumi par kārtību, kādā tiek veiktas iemaksas energoefektivitātes fondos, un to apmēru, kā arī energoefektivitātes fonda līdzekļu izmantošanu”” sākotnējās ietekmes novērtējuma ziņojums (anotācija)</dc:title>
  <dc:subject>MK noteikumu projekta anotācija</dc:subject>
  <dc:creator>Evelīna Brikmane</dc:creator>
  <cp:keywords/>
  <dc:description>67013241; evelina.brikmane@em.gov.lv</dc:description>
  <cp:lastModifiedBy>Evelīna Brikmane</cp:lastModifiedBy>
  <cp:revision>8</cp:revision>
  <dcterms:created xsi:type="dcterms:W3CDTF">2019-01-16T06:35:00Z</dcterms:created>
  <dcterms:modified xsi:type="dcterms:W3CDTF">2019-01-29T06:29:00Z</dcterms:modified>
</cp:coreProperties>
</file>