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34F048" w14:textId="2BC219A4" w:rsidR="00E85BD0" w:rsidRPr="008C7351" w:rsidRDefault="00962954" w:rsidP="00D51349">
      <w:pPr>
        <w:spacing w:before="120" w:after="120" w:line="240" w:lineRule="auto"/>
        <w:jc w:val="center"/>
        <w:rPr>
          <w:rFonts w:ascii="Times New Roman" w:hAnsi="Times New Roman"/>
          <w:b/>
          <w:sz w:val="28"/>
          <w:szCs w:val="28"/>
        </w:rPr>
      </w:pPr>
      <w:r w:rsidRPr="008C7351">
        <w:rPr>
          <w:rFonts w:ascii="Times New Roman" w:hAnsi="Times New Roman"/>
          <w:b/>
          <w:sz w:val="28"/>
          <w:szCs w:val="28"/>
        </w:rPr>
        <w:t xml:space="preserve">Informatīvais ziņojums </w:t>
      </w:r>
      <w:bookmarkStart w:id="0" w:name="_Hlk532340717"/>
      <w:bookmarkStart w:id="1" w:name="_Hlk531860692"/>
      <w:r w:rsidR="00CA1F4E">
        <w:rPr>
          <w:rFonts w:ascii="Times New Roman" w:hAnsi="Times New Roman"/>
          <w:b/>
          <w:sz w:val="28"/>
          <w:szCs w:val="28"/>
        </w:rPr>
        <w:t>“P</w:t>
      </w:r>
      <w:r w:rsidRPr="008C7351">
        <w:rPr>
          <w:rFonts w:ascii="Times New Roman" w:hAnsi="Times New Roman"/>
          <w:b/>
          <w:sz w:val="28"/>
          <w:szCs w:val="28"/>
        </w:rPr>
        <w:t xml:space="preserve">ar </w:t>
      </w:r>
      <w:bookmarkEnd w:id="0"/>
      <w:r w:rsidR="0053189E" w:rsidRPr="008C7351">
        <w:rPr>
          <w:rFonts w:ascii="Times New Roman" w:hAnsi="Times New Roman"/>
          <w:b/>
          <w:sz w:val="28"/>
          <w:szCs w:val="28"/>
        </w:rPr>
        <w:t>elektroenerģijas obligātā iepirkuma un garantētās maksas par uzstādīto jaudu regulējumu</w:t>
      </w:r>
      <w:r w:rsidR="00AE3679" w:rsidRPr="008C7351">
        <w:rPr>
          <w:rFonts w:ascii="Times New Roman" w:hAnsi="Times New Roman"/>
          <w:b/>
          <w:sz w:val="28"/>
          <w:szCs w:val="28"/>
        </w:rPr>
        <w:t>,</w:t>
      </w:r>
      <w:r w:rsidR="008F7356" w:rsidRPr="008C7351">
        <w:rPr>
          <w:rFonts w:ascii="Times New Roman" w:hAnsi="Times New Roman"/>
          <w:b/>
          <w:sz w:val="28"/>
          <w:szCs w:val="28"/>
        </w:rPr>
        <w:t xml:space="preserve"> </w:t>
      </w:r>
      <w:r w:rsidR="0053189E" w:rsidRPr="008C7351">
        <w:rPr>
          <w:rFonts w:ascii="Times New Roman" w:hAnsi="Times New Roman"/>
          <w:b/>
          <w:sz w:val="28"/>
          <w:szCs w:val="28"/>
        </w:rPr>
        <w:t>uzraudzību</w:t>
      </w:r>
      <w:r w:rsidR="00AE3679" w:rsidRPr="008C7351">
        <w:rPr>
          <w:rFonts w:ascii="Times New Roman" w:hAnsi="Times New Roman"/>
          <w:b/>
          <w:sz w:val="28"/>
          <w:szCs w:val="28"/>
        </w:rPr>
        <w:t xml:space="preserve"> un rīcību pēc Saeimas 2019.gada 10.janvāra lēmuma</w:t>
      </w:r>
      <w:r w:rsidR="00CA1F4E">
        <w:rPr>
          <w:rFonts w:ascii="Times New Roman" w:hAnsi="Times New Roman"/>
          <w:b/>
          <w:sz w:val="28"/>
          <w:szCs w:val="28"/>
        </w:rPr>
        <w:t>”</w:t>
      </w:r>
    </w:p>
    <w:p w14:paraId="261A4DF7" w14:textId="77777777" w:rsidR="0053189E" w:rsidRPr="008C7351" w:rsidRDefault="0053189E" w:rsidP="00D51349">
      <w:pPr>
        <w:spacing w:before="120" w:after="120" w:line="240" w:lineRule="auto"/>
        <w:jc w:val="center"/>
        <w:rPr>
          <w:rFonts w:ascii="Times New Roman" w:hAnsi="Times New Roman"/>
          <w:b/>
          <w:sz w:val="28"/>
          <w:szCs w:val="28"/>
        </w:rPr>
      </w:pPr>
    </w:p>
    <w:bookmarkEnd w:id="1"/>
    <w:p w14:paraId="6FF2AD7B" w14:textId="77777777" w:rsidR="00B63189" w:rsidRPr="008C7351" w:rsidRDefault="00C15D15" w:rsidP="00D51349">
      <w:pPr>
        <w:pStyle w:val="ListParagraph"/>
        <w:numPr>
          <w:ilvl w:val="0"/>
          <w:numId w:val="14"/>
        </w:numPr>
        <w:spacing w:before="120" w:after="120" w:line="240" w:lineRule="auto"/>
        <w:ind w:left="567" w:hanging="567"/>
        <w:contextualSpacing w:val="0"/>
        <w:rPr>
          <w:rFonts w:ascii="Times New Roman" w:hAnsi="Times New Roman"/>
          <w:b/>
          <w:sz w:val="28"/>
          <w:szCs w:val="28"/>
        </w:rPr>
      </w:pPr>
      <w:r w:rsidRPr="008C7351">
        <w:rPr>
          <w:rFonts w:ascii="Times New Roman" w:hAnsi="Times New Roman"/>
          <w:b/>
          <w:sz w:val="28"/>
          <w:szCs w:val="28"/>
        </w:rPr>
        <w:t>Ievads</w:t>
      </w:r>
    </w:p>
    <w:p w14:paraId="29A5BC66" w14:textId="79123B63" w:rsidR="00A87DB5" w:rsidRPr="008C7351" w:rsidRDefault="00C15D15" w:rsidP="00FF250B">
      <w:pPr>
        <w:spacing w:after="0" w:line="240" w:lineRule="auto"/>
        <w:jc w:val="both"/>
        <w:rPr>
          <w:rFonts w:ascii="Times New Roman" w:hAnsi="Times New Roman"/>
          <w:sz w:val="28"/>
          <w:szCs w:val="28"/>
        </w:rPr>
      </w:pPr>
      <w:r w:rsidRPr="008C7351">
        <w:rPr>
          <w:rFonts w:ascii="Times New Roman" w:hAnsi="Times New Roman"/>
          <w:sz w:val="28"/>
          <w:szCs w:val="28"/>
        </w:rPr>
        <w:t xml:space="preserve">Informatīvais ziņojums </w:t>
      </w:r>
      <w:r w:rsidR="0053189E" w:rsidRPr="008C7351">
        <w:rPr>
          <w:rFonts w:ascii="Times New Roman" w:hAnsi="Times New Roman"/>
          <w:sz w:val="28"/>
          <w:szCs w:val="28"/>
        </w:rPr>
        <w:t>ir sagatavots, ņemot vērā Saeimas 2019.gada 10.janvāra paziņojumu “</w:t>
      </w:r>
      <w:r w:rsidR="0053189E" w:rsidRPr="008C7351">
        <w:rPr>
          <w:rFonts w:ascii="Times New Roman" w:hAnsi="Times New Roman"/>
          <w:bCs/>
          <w:sz w:val="28"/>
          <w:szCs w:val="28"/>
        </w:rPr>
        <w:t>Par obligātā iepirkuma komponentes atcelšanu</w:t>
      </w:r>
      <w:r w:rsidR="0053189E" w:rsidRPr="008C7351">
        <w:rPr>
          <w:rFonts w:ascii="Times New Roman" w:hAnsi="Times New Roman"/>
          <w:sz w:val="28"/>
          <w:szCs w:val="28"/>
        </w:rPr>
        <w:t>”</w:t>
      </w:r>
      <w:r w:rsidR="009B4AE4" w:rsidRPr="008C7351">
        <w:rPr>
          <w:rStyle w:val="FootnoteReference"/>
          <w:rFonts w:ascii="Times New Roman" w:hAnsi="Times New Roman"/>
          <w:sz w:val="28"/>
          <w:szCs w:val="28"/>
        </w:rPr>
        <w:footnoteReference w:id="2"/>
      </w:r>
      <w:r w:rsidR="0053189E" w:rsidRPr="008C7351">
        <w:rPr>
          <w:rFonts w:ascii="Times New Roman" w:hAnsi="Times New Roman"/>
          <w:sz w:val="28"/>
          <w:szCs w:val="28"/>
        </w:rPr>
        <w:t xml:space="preserve"> un 2019.gada 14.janvāra Ministru prezidenta </w:t>
      </w:r>
      <w:r w:rsidR="00F1711D">
        <w:rPr>
          <w:rFonts w:ascii="Times New Roman" w:hAnsi="Times New Roman"/>
          <w:sz w:val="28"/>
          <w:szCs w:val="28"/>
        </w:rPr>
        <w:t xml:space="preserve">Māra Kučinska </w:t>
      </w:r>
      <w:r w:rsidR="0053189E" w:rsidRPr="008C7351">
        <w:rPr>
          <w:rFonts w:ascii="Times New Roman" w:hAnsi="Times New Roman"/>
          <w:sz w:val="28"/>
          <w:szCs w:val="28"/>
        </w:rPr>
        <w:t xml:space="preserve">rezolūciju </w:t>
      </w:r>
      <w:r w:rsidR="005F5E82" w:rsidRPr="008C7351">
        <w:rPr>
          <w:rFonts w:ascii="Times New Roman" w:hAnsi="Times New Roman"/>
          <w:sz w:val="28"/>
          <w:szCs w:val="28"/>
        </w:rPr>
        <w:t>Ministru prezidenta biedram, ekonomikas ministram Arvilam Ašeradenam</w:t>
      </w:r>
      <w:r w:rsidR="002B66F2" w:rsidRPr="008C7351">
        <w:rPr>
          <w:rFonts w:ascii="Times New Roman" w:hAnsi="Times New Roman"/>
          <w:sz w:val="28"/>
          <w:szCs w:val="28"/>
        </w:rPr>
        <w:t xml:space="preserve"> </w:t>
      </w:r>
      <w:r w:rsidR="0053189E" w:rsidRPr="008C7351">
        <w:rPr>
          <w:rFonts w:ascii="Times New Roman" w:hAnsi="Times New Roman"/>
          <w:sz w:val="28"/>
          <w:szCs w:val="28"/>
        </w:rPr>
        <w:t xml:space="preserve">Nr.12/2019-JUR-2, ar ko </w:t>
      </w:r>
      <w:r w:rsidR="002B66F2" w:rsidRPr="008C7351">
        <w:rPr>
          <w:rFonts w:ascii="Times New Roman" w:hAnsi="Times New Roman"/>
          <w:sz w:val="28"/>
          <w:szCs w:val="28"/>
        </w:rPr>
        <w:t>Ekonomikas ministrijai uzdots steidzami izstrādāt tiesību aktu projektus obligātā iepirkuma komponentes (turpmāk – OIK) atcelšanai no 2019.gada 31.marta – un līdz 2019.gada 1.martam iesniegt Ministru kabinetā.</w:t>
      </w:r>
      <w:bookmarkStart w:id="2" w:name="_GoBack"/>
      <w:bookmarkEnd w:id="2"/>
    </w:p>
    <w:p w14:paraId="78A368CB" w14:textId="77777777" w:rsidR="00332E4A" w:rsidRPr="008C7351" w:rsidRDefault="00332E4A" w:rsidP="00B57F54">
      <w:pPr>
        <w:spacing w:before="120" w:after="120" w:line="240" w:lineRule="auto"/>
        <w:jc w:val="both"/>
        <w:rPr>
          <w:rFonts w:ascii="Times New Roman" w:hAnsi="Times New Roman"/>
          <w:b/>
          <w:sz w:val="28"/>
          <w:szCs w:val="28"/>
        </w:rPr>
      </w:pPr>
    </w:p>
    <w:p w14:paraId="4FBDE32D" w14:textId="133B4ADC" w:rsidR="00366728" w:rsidRPr="008C7351" w:rsidRDefault="00CA0234" w:rsidP="00B57F54">
      <w:pPr>
        <w:spacing w:before="120" w:after="120" w:line="240" w:lineRule="auto"/>
        <w:jc w:val="both"/>
        <w:rPr>
          <w:rFonts w:ascii="Times New Roman" w:hAnsi="Times New Roman"/>
          <w:b/>
          <w:sz w:val="28"/>
          <w:szCs w:val="28"/>
        </w:rPr>
      </w:pPr>
      <w:r w:rsidRPr="008C7351">
        <w:rPr>
          <w:rFonts w:ascii="Times New Roman" w:hAnsi="Times New Roman"/>
          <w:b/>
          <w:sz w:val="28"/>
          <w:szCs w:val="28"/>
        </w:rPr>
        <w:t xml:space="preserve">II. </w:t>
      </w:r>
      <w:r w:rsidR="00450463" w:rsidRPr="008C7351">
        <w:rPr>
          <w:rFonts w:ascii="Times New Roman" w:hAnsi="Times New Roman"/>
          <w:b/>
          <w:sz w:val="28"/>
          <w:szCs w:val="28"/>
        </w:rPr>
        <w:t>OIK izveide</w:t>
      </w:r>
    </w:p>
    <w:p w14:paraId="337B9885" w14:textId="4E4B0DF2" w:rsidR="00450463" w:rsidRPr="008C7351" w:rsidRDefault="00450463" w:rsidP="00FF250B">
      <w:pPr>
        <w:spacing w:before="120" w:after="120" w:line="240" w:lineRule="auto"/>
        <w:jc w:val="both"/>
        <w:rPr>
          <w:rFonts w:ascii="Times New Roman" w:hAnsi="Times New Roman"/>
          <w:sz w:val="28"/>
          <w:szCs w:val="28"/>
        </w:rPr>
      </w:pPr>
      <w:r w:rsidRPr="008C7351">
        <w:rPr>
          <w:rFonts w:ascii="Times New Roman" w:hAnsi="Times New Roman"/>
          <w:b/>
          <w:sz w:val="28"/>
          <w:szCs w:val="28"/>
        </w:rPr>
        <w:t xml:space="preserve">OIK ir </w:t>
      </w:r>
      <w:r w:rsidR="00F56398" w:rsidRPr="008C7351">
        <w:rPr>
          <w:rFonts w:ascii="Times New Roman" w:hAnsi="Times New Roman"/>
          <w:b/>
          <w:sz w:val="28"/>
          <w:szCs w:val="28"/>
        </w:rPr>
        <w:t xml:space="preserve">maksājums, ko sedz visi </w:t>
      </w:r>
      <w:r w:rsidRPr="008C7351">
        <w:rPr>
          <w:rFonts w:ascii="Times New Roman" w:hAnsi="Times New Roman"/>
          <w:b/>
          <w:sz w:val="28"/>
          <w:szCs w:val="28"/>
        </w:rPr>
        <w:t>elektroenerģijas galalietotāj</w:t>
      </w:r>
      <w:r w:rsidR="00F56398" w:rsidRPr="008C7351">
        <w:rPr>
          <w:rFonts w:ascii="Times New Roman" w:hAnsi="Times New Roman"/>
          <w:b/>
          <w:sz w:val="28"/>
          <w:szCs w:val="28"/>
        </w:rPr>
        <w:t>i</w:t>
      </w:r>
      <w:r w:rsidRPr="008C7351">
        <w:rPr>
          <w:rFonts w:ascii="Times New Roman" w:hAnsi="Times New Roman"/>
          <w:sz w:val="28"/>
          <w:szCs w:val="28"/>
        </w:rPr>
        <w:t xml:space="preserve"> </w:t>
      </w:r>
      <w:r w:rsidR="000A09CC" w:rsidRPr="008C7351">
        <w:rPr>
          <w:rFonts w:ascii="Times New Roman" w:hAnsi="Times New Roman"/>
          <w:sz w:val="28"/>
          <w:szCs w:val="28"/>
        </w:rPr>
        <w:t>un kura</w:t>
      </w:r>
      <w:r w:rsidRPr="008C7351">
        <w:rPr>
          <w:rFonts w:ascii="Times New Roman" w:hAnsi="Times New Roman"/>
          <w:sz w:val="28"/>
          <w:szCs w:val="28"/>
        </w:rPr>
        <w:t xml:space="preserve"> izmaksas veido elektroenerģijas obligātā iepirkuma un garantētās maksas par elektrostacijā uzstādīto jaudu (turpmāk – OI mehānisms) izmaksas.</w:t>
      </w:r>
      <w:r w:rsidR="000A09CC" w:rsidRPr="008C7351">
        <w:rPr>
          <w:rFonts w:ascii="Times New Roman" w:hAnsi="Times New Roman"/>
          <w:sz w:val="28"/>
          <w:szCs w:val="28"/>
        </w:rPr>
        <w:t xml:space="preserve"> OIK papildus elektroenerģijas tirgus cenai, sadales un pārvades tarifam un pievienotās vērtības nodoklim tiek iekļauta elektroenerģijas gala cenā.</w:t>
      </w:r>
    </w:p>
    <w:p w14:paraId="31928891" w14:textId="03CC0A30" w:rsidR="00CD1575" w:rsidRPr="008C7351" w:rsidRDefault="00450463" w:rsidP="00F6165C">
      <w:pPr>
        <w:spacing w:before="120" w:after="120" w:line="240" w:lineRule="auto"/>
        <w:jc w:val="both"/>
        <w:rPr>
          <w:rFonts w:ascii="Times New Roman" w:hAnsi="Times New Roman"/>
          <w:sz w:val="28"/>
          <w:szCs w:val="28"/>
        </w:rPr>
      </w:pPr>
      <w:proofErr w:type="spellStart"/>
      <w:r w:rsidRPr="008C7351">
        <w:rPr>
          <w:rFonts w:ascii="Times New Roman" w:hAnsi="Times New Roman"/>
          <w:sz w:val="28"/>
          <w:szCs w:val="28"/>
        </w:rPr>
        <w:t>Pirmssākums</w:t>
      </w:r>
      <w:proofErr w:type="spellEnd"/>
      <w:r w:rsidRPr="008C7351">
        <w:rPr>
          <w:rFonts w:ascii="Times New Roman" w:hAnsi="Times New Roman"/>
          <w:sz w:val="28"/>
          <w:szCs w:val="28"/>
        </w:rPr>
        <w:t xml:space="preserve"> šāda mehānisma izveidei ir </w:t>
      </w:r>
      <w:r w:rsidRPr="008C7351">
        <w:rPr>
          <w:rFonts w:ascii="Times New Roman" w:hAnsi="Times New Roman"/>
          <w:b/>
          <w:sz w:val="28"/>
          <w:szCs w:val="28"/>
        </w:rPr>
        <w:t>1995.gads</w:t>
      </w:r>
      <w:r w:rsidRPr="008C7351">
        <w:rPr>
          <w:rFonts w:ascii="Times New Roman" w:hAnsi="Times New Roman"/>
          <w:sz w:val="28"/>
          <w:szCs w:val="28"/>
        </w:rPr>
        <w:t xml:space="preserve">, kad </w:t>
      </w:r>
      <w:r w:rsidR="002D6FA4" w:rsidRPr="008C7351">
        <w:rPr>
          <w:rFonts w:ascii="Times New Roman" w:hAnsi="Times New Roman"/>
          <w:sz w:val="28"/>
          <w:szCs w:val="28"/>
        </w:rPr>
        <w:t xml:space="preserve">hidroelektrostacijām ar jaudu līdz 2 MW tika dota iespēja saņemt iepirkuma cenu, kas atbilda valsts akciju sabiedrības </w:t>
      </w:r>
      <w:r w:rsidR="007643C1" w:rsidRPr="008C7351">
        <w:rPr>
          <w:rFonts w:ascii="Times New Roman" w:hAnsi="Times New Roman"/>
          <w:sz w:val="28"/>
          <w:szCs w:val="28"/>
        </w:rPr>
        <w:t>“</w:t>
      </w:r>
      <w:r w:rsidR="002D6FA4" w:rsidRPr="008C7351">
        <w:rPr>
          <w:rFonts w:ascii="Times New Roman" w:hAnsi="Times New Roman"/>
          <w:sz w:val="28"/>
          <w:szCs w:val="28"/>
        </w:rPr>
        <w:t>Latvenergo</w:t>
      </w:r>
      <w:r w:rsidR="007643C1" w:rsidRPr="008C7351">
        <w:rPr>
          <w:rFonts w:ascii="Times New Roman" w:hAnsi="Times New Roman"/>
          <w:sz w:val="28"/>
          <w:szCs w:val="28"/>
        </w:rPr>
        <w:t>”</w:t>
      </w:r>
      <w:r w:rsidR="00FF250B" w:rsidRPr="008C7351">
        <w:rPr>
          <w:rFonts w:ascii="Times New Roman" w:hAnsi="Times New Roman"/>
          <w:sz w:val="28"/>
          <w:szCs w:val="28"/>
        </w:rPr>
        <w:t xml:space="preserve"> </w:t>
      </w:r>
      <w:r w:rsidR="002D6FA4" w:rsidRPr="008C7351">
        <w:rPr>
          <w:rFonts w:ascii="Times New Roman" w:hAnsi="Times New Roman"/>
          <w:sz w:val="28"/>
          <w:szCs w:val="28"/>
        </w:rPr>
        <w:t>divkāršam elektroenerģijas realizācijas vidējam aprēķina tarifam.</w:t>
      </w:r>
      <w:r w:rsidR="00F6165C" w:rsidRPr="008C7351">
        <w:rPr>
          <w:rFonts w:ascii="Times New Roman" w:hAnsi="Times New Roman"/>
          <w:sz w:val="28"/>
          <w:szCs w:val="28"/>
        </w:rPr>
        <w:t xml:space="preserve"> </w:t>
      </w:r>
      <w:r w:rsidR="00FF250B" w:rsidRPr="008C7351">
        <w:rPr>
          <w:rFonts w:ascii="Times New Roman" w:hAnsi="Times New Roman"/>
          <w:sz w:val="28"/>
          <w:szCs w:val="28"/>
        </w:rPr>
        <w:t>Sekojoši attiecīgais mehānisms</w:t>
      </w:r>
      <w:r w:rsidR="005549D9" w:rsidRPr="008C7351">
        <w:rPr>
          <w:rFonts w:ascii="Times New Roman" w:hAnsi="Times New Roman"/>
          <w:sz w:val="28"/>
          <w:szCs w:val="28"/>
        </w:rPr>
        <w:t>, kas laika gaitā tika attīstīts,</w:t>
      </w:r>
      <w:r w:rsidR="00FF250B" w:rsidRPr="008C7351">
        <w:rPr>
          <w:rFonts w:ascii="Times New Roman" w:hAnsi="Times New Roman"/>
          <w:sz w:val="28"/>
          <w:szCs w:val="28"/>
        </w:rPr>
        <w:t xml:space="preserve"> tika iestrādāts </w:t>
      </w:r>
      <w:r w:rsidR="00F6165C" w:rsidRPr="008C7351">
        <w:rPr>
          <w:rFonts w:ascii="Times New Roman" w:hAnsi="Times New Roman"/>
          <w:sz w:val="28"/>
          <w:szCs w:val="28"/>
        </w:rPr>
        <w:t>Enerģētikas</w:t>
      </w:r>
      <w:r w:rsidR="00FF250B" w:rsidRPr="008C7351">
        <w:rPr>
          <w:rFonts w:ascii="Times New Roman" w:hAnsi="Times New Roman"/>
          <w:sz w:val="28"/>
          <w:szCs w:val="28"/>
        </w:rPr>
        <w:t xml:space="preserve"> likumā</w:t>
      </w:r>
      <w:r w:rsidR="00F6165C" w:rsidRPr="008C7351">
        <w:rPr>
          <w:rFonts w:ascii="Times New Roman" w:hAnsi="Times New Roman"/>
          <w:sz w:val="28"/>
          <w:szCs w:val="28"/>
        </w:rPr>
        <w:t xml:space="preserve">. </w:t>
      </w:r>
    </w:p>
    <w:p w14:paraId="2DB1DF4C" w14:textId="4E35E8A2" w:rsidR="00FF250B" w:rsidRPr="008C7351" w:rsidRDefault="00F6165C" w:rsidP="00F6165C">
      <w:pPr>
        <w:spacing w:before="120" w:after="120" w:line="240" w:lineRule="auto"/>
        <w:jc w:val="both"/>
        <w:rPr>
          <w:rFonts w:ascii="Times New Roman" w:hAnsi="Times New Roman"/>
          <w:sz w:val="28"/>
          <w:szCs w:val="28"/>
        </w:rPr>
      </w:pPr>
      <w:r w:rsidRPr="008C7351">
        <w:rPr>
          <w:rFonts w:ascii="Times New Roman" w:hAnsi="Times New Roman"/>
          <w:b/>
          <w:sz w:val="28"/>
          <w:szCs w:val="28"/>
        </w:rPr>
        <w:t>2005.gadā</w:t>
      </w:r>
      <w:r w:rsidRPr="008C7351">
        <w:rPr>
          <w:rFonts w:ascii="Times New Roman" w:hAnsi="Times New Roman"/>
          <w:sz w:val="28"/>
          <w:szCs w:val="28"/>
        </w:rPr>
        <w:t xml:space="preserve"> spēkā stājās šobrīd spēkā esošais “jumta likums” - Elektroenerģijas tirgus likums -</w:t>
      </w:r>
      <w:r w:rsidR="00FF250B" w:rsidRPr="008C7351">
        <w:rPr>
          <w:rFonts w:ascii="Times New Roman" w:hAnsi="Times New Roman"/>
          <w:sz w:val="28"/>
          <w:szCs w:val="28"/>
        </w:rPr>
        <w:t xml:space="preserve"> uz kā pamata </w:t>
      </w:r>
      <w:r w:rsidR="00CD1575" w:rsidRPr="008C7351">
        <w:rPr>
          <w:rFonts w:ascii="Times New Roman" w:hAnsi="Times New Roman"/>
          <w:sz w:val="28"/>
          <w:szCs w:val="28"/>
        </w:rPr>
        <w:t xml:space="preserve">secīgi </w:t>
      </w:r>
      <w:r w:rsidR="00FF250B" w:rsidRPr="008C7351">
        <w:rPr>
          <w:rFonts w:ascii="Times New Roman" w:hAnsi="Times New Roman"/>
          <w:sz w:val="28"/>
          <w:szCs w:val="28"/>
        </w:rPr>
        <w:t xml:space="preserve">tika izdoti </w:t>
      </w:r>
      <w:r w:rsidR="002566D3" w:rsidRPr="008C7351">
        <w:rPr>
          <w:rFonts w:ascii="Times New Roman" w:hAnsi="Times New Roman"/>
          <w:sz w:val="28"/>
          <w:szCs w:val="28"/>
        </w:rPr>
        <w:t xml:space="preserve">vairāki </w:t>
      </w:r>
      <w:r w:rsidR="00FF250B" w:rsidRPr="008C7351">
        <w:rPr>
          <w:rFonts w:ascii="Times New Roman" w:hAnsi="Times New Roman"/>
          <w:sz w:val="28"/>
          <w:szCs w:val="28"/>
        </w:rPr>
        <w:t>Ministru kabineta noteikum</w:t>
      </w:r>
      <w:r w:rsidR="0081644D" w:rsidRPr="008C7351">
        <w:rPr>
          <w:rFonts w:ascii="Times New Roman" w:hAnsi="Times New Roman"/>
          <w:sz w:val="28"/>
          <w:szCs w:val="28"/>
        </w:rPr>
        <w:t>i</w:t>
      </w:r>
      <w:r w:rsidR="00FF250B" w:rsidRPr="008C7351">
        <w:rPr>
          <w:rFonts w:ascii="Times New Roman" w:hAnsi="Times New Roman"/>
          <w:sz w:val="28"/>
          <w:szCs w:val="28"/>
        </w:rPr>
        <w:t>, saskaņā ar kuriem komersantiem tika piešķirtas tiesības</w:t>
      </w:r>
      <w:r w:rsidRPr="008C7351">
        <w:rPr>
          <w:rFonts w:ascii="Times New Roman" w:hAnsi="Times New Roman"/>
          <w:sz w:val="28"/>
          <w:szCs w:val="28"/>
        </w:rPr>
        <w:t xml:space="preserve"> uz</w:t>
      </w:r>
      <w:r w:rsidR="00FF250B" w:rsidRPr="008C7351">
        <w:rPr>
          <w:rFonts w:ascii="Times New Roman" w:hAnsi="Times New Roman"/>
          <w:sz w:val="28"/>
          <w:szCs w:val="28"/>
        </w:rPr>
        <w:t xml:space="preserve"> </w:t>
      </w:r>
      <w:r w:rsidRPr="008C7351">
        <w:rPr>
          <w:rFonts w:ascii="Times New Roman" w:hAnsi="Times New Roman"/>
          <w:sz w:val="28"/>
          <w:szCs w:val="28"/>
        </w:rPr>
        <w:t xml:space="preserve">atbalstu esošā OI mehānisma </w:t>
      </w:r>
      <w:r w:rsidR="001A604E" w:rsidRPr="008C7351">
        <w:rPr>
          <w:rFonts w:ascii="Times New Roman" w:hAnsi="Times New Roman"/>
          <w:sz w:val="28"/>
          <w:szCs w:val="28"/>
        </w:rPr>
        <w:t xml:space="preserve">ietvaros </w:t>
      </w:r>
      <w:r w:rsidR="00597AAF" w:rsidRPr="008C7351">
        <w:rPr>
          <w:rFonts w:ascii="Times New Roman" w:hAnsi="Times New Roman"/>
          <w:sz w:val="28"/>
          <w:szCs w:val="28"/>
        </w:rPr>
        <w:t>par elektroenerģijas ražošanu no atjaunojamiem energoresursiem vai koģenerācijā</w:t>
      </w:r>
      <w:r w:rsidR="005F222B" w:rsidRPr="008C7351">
        <w:rPr>
          <w:rFonts w:ascii="Times New Roman" w:hAnsi="Times New Roman"/>
          <w:sz w:val="28"/>
          <w:szCs w:val="28"/>
        </w:rPr>
        <w:t xml:space="preserve"> (turpmāk – OI tiesības)</w:t>
      </w:r>
      <w:r w:rsidRPr="008C7351">
        <w:rPr>
          <w:rFonts w:ascii="Times New Roman" w:hAnsi="Times New Roman"/>
          <w:sz w:val="28"/>
          <w:szCs w:val="28"/>
        </w:rPr>
        <w:t xml:space="preserve">. </w:t>
      </w:r>
      <w:r w:rsidR="00C87E57" w:rsidRPr="008C7351">
        <w:rPr>
          <w:rFonts w:ascii="Times New Roman" w:hAnsi="Times New Roman"/>
          <w:sz w:val="28"/>
          <w:szCs w:val="28"/>
        </w:rPr>
        <w:t xml:space="preserve">OI tiesības atjaunojamās enerģijas ražotājiem netiek piešķirtas </w:t>
      </w:r>
      <w:r w:rsidR="00867C55" w:rsidRPr="008C7351">
        <w:rPr>
          <w:rFonts w:ascii="Times New Roman" w:hAnsi="Times New Roman"/>
          <w:sz w:val="28"/>
          <w:szCs w:val="28"/>
        </w:rPr>
        <w:t xml:space="preserve">kopš 2011.gada </w:t>
      </w:r>
      <w:r w:rsidR="00DF1A88" w:rsidRPr="008C7351">
        <w:rPr>
          <w:rFonts w:ascii="Times New Roman" w:hAnsi="Times New Roman"/>
          <w:sz w:val="28"/>
          <w:szCs w:val="28"/>
        </w:rPr>
        <w:t>vidus</w:t>
      </w:r>
      <w:r w:rsidR="00867C55" w:rsidRPr="008C7351">
        <w:rPr>
          <w:rFonts w:ascii="Times New Roman" w:hAnsi="Times New Roman"/>
          <w:sz w:val="28"/>
          <w:szCs w:val="28"/>
        </w:rPr>
        <w:t xml:space="preserve">, savukārt </w:t>
      </w:r>
      <w:r w:rsidR="00C87E57" w:rsidRPr="008C7351">
        <w:rPr>
          <w:rFonts w:ascii="Times New Roman" w:hAnsi="Times New Roman"/>
          <w:sz w:val="28"/>
          <w:szCs w:val="28"/>
        </w:rPr>
        <w:t xml:space="preserve">komersantiem, kas </w:t>
      </w:r>
      <w:r w:rsidR="00867C55" w:rsidRPr="008C7351">
        <w:rPr>
          <w:rFonts w:ascii="Times New Roman" w:hAnsi="Times New Roman"/>
          <w:sz w:val="28"/>
          <w:szCs w:val="28"/>
        </w:rPr>
        <w:t>elektroenerģij</w:t>
      </w:r>
      <w:r w:rsidR="00C87E57" w:rsidRPr="008C7351">
        <w:rPr>
          <w:rFonts w:ascii="Times New Roman" w:hAnsi="Times New Roman"/>
          <w:sz w:val="28"/>
          <w:szCs w:val="28"/>
        </w:rPr>
        <w:t>u</w:t>
      </w:r>
      <w:r w:rsidR="00867C55" w:rsidRPr="008C7351">
        <w:rPr>
          <w:rFonts w:ascii="Times New Roman" w:hAnsi="Times New Roman"/>
          <w:sz w:val="28"/>
          <w:szCs w:val="28"/>
        </w:rPr>
        <w:t xml:space="preserve"> ražo koģenerācijā</w:t>
      </w:r>
      <w:r w:rsidR="00C87E57" w:rsidRPr="008C7351">
        <w:rPr>
          <w:rFonts w:ascii="Times New Roman" w:hAnsi="Times New Roman"/>
          <w:sz w:val="28"/>
          <w:szCs w:val="28"/>
        </w:rPr>
        <w:t xml:space="preserve"> -</w:t>
      </w:r>
      <w:r w:rsidR="00867C55" w:rsidRPr="008C7351">
        <w:rPr>
          <w:rFonts w:ascii="Times New Roman" w:hAnsi="Times New Roman"/>
          <w:sz w:val="28"/>
          <w:szCs w:val="28"/>
        </w:rPr>
        <w:t xml:space="preserve"> kopš 2012. gada </w:t>
      </w:r>
      <w:r w:rsidR="00DF1A88" w:rsidRPr="008C7351">
        <w:rPr>
          <w:rFonts w:ascii="Times New Roman" w:hAnsi="Times New Roman"/>
          <w:sz w:val="28"/>
          <w:szCs w:val="28"/>
        </w:rPr>
        <w:t>beigām</w:t>
      </w:r>
      <w:r w:rsidR="00867C55" w:rsidRPr="008C7351">
        <w:rPr>
          <w:rFonts w:ascii="Times New Roman" w:hAnsi="Times New Roman"/>
          <w:sz w:val="28"/>
          <w:szCs w:val="28"/>
        </w:rPr>
        <w:t xml:space="preserve">. </w:t>
      </w:r>
    </w:p>
    <w:p w14:paraId="7505262B" w14:textId="4588D853" w:rsidR="00C87E57" w:rsidRPr="008C7351" w:rsidRDefault="00867C55" w:rsidP="002009FD">
      <w:pPr>
        <w:spacing w:before="120" w:after="120" w:line="240" w:lineRule="auto"/>
        <w:jc w:val="both"/>
        <w:rPr>
          <w:rFonts w:ascii="Times New Roman" w:hAnsi="Times New Roman"/>
          <w:sz w:val="28"/>
          <w:szCs w:val="28"/>
        </w:rPr>
      </w:pPr>
      <w:r w:rsidRPr="008C7351">
        <w:rPr>
          <w:rFonts w:ascii="Times New Roman" w:hAnsi="Times New Roman"/>
          <w:b/>
          <w:sz w:val="28"/>
          <w:szCs w:val="28"/>
        </w:rPr>
        <w:t>2007.gada</w:t>
      </w:r>
      <w:r w:rsidRPr="008C7351">
        <w:rPr>
          <w:rFonts w:ascii="Times New Roman" w:hAnsi="Times New Roman"/>
          <w:sz w:val="28"/>
          <w:szCs w:val="28"/>
        </w:rPr>
        <w:t xml:space="preserve"> 1.jūlijā sākās Latvijas elektroenerģijas tirgus liberalizācija</w:t>
      </w:r>
      <w:r w:rsidR="00C87E57" w:rsidRPr="008C7351">
        <w:rPr>
          <w:rFonts w:ascii="Times New Roman" w:hAnsi="Times New Roman"/>
          <w:sz w:val="28"/>
          <w:szCs w:val="28"/>
        </w:rPr>
        <w:t>,</w:t>
      </w:r>
      <w:r w:rsidRPr="008C7351">
        <w:rPr>
          <w:rFonts w:ascii="Times New Roman" w:hAnsi="Times New Roman"/>
          <w:sz w:val="28"/>
          <w:szCs w:val="28"/>
        </w:rPr>
        <w:t xml:space="preserve"> kas deva iespēju patērētājiem mainīt elektroenerģijas tirgotāju un bija saistīta ar tirgus cenas veidošanos. Attiecīgi, ņemot vērā komercdarbības atbalstu regulējošos Eiropas Savienības</w:t>
      </w:r>
      <w:r w:rsidR="00E73DBA" w:rsidRPr="008C7351">
        <w:rPr>
          <w:rFonts w:ascii="Times New Roman" w:hAnsi="Times New Roman"/>
          <w:sz w:val="28"/>
          <w:szCs w:val="28"/>
        </w:rPr>
        <w:t xml:space="preserve"> (turpmāk - ES)</w:t>
      </w:r>
      <w:r w:rsidRPr="008C7351">
        <w:rPr>
          <w:rFonts w:ascii="Times New Roman" w:hAnsi="Times New Roman"/>
          <w:sz w:val="28"/>
          <w:szCs w:val="28"/>
        </w:rPr>
        <w:t xml:space="preserve"> normatīvos aktus</w:t>
      </w:r>
      <w:r w:rsidR="00DF1A88" w:rsidRPr="008C7351">
        <w:rPr>
          <w:rFonts w:ascii="Times New Roman" w:hAnsi="Times New Roman"/>
          <w:sz w:val="28"/>
          <w:szCs w:val="28"/>
        </w:rPr>
        <w:t xml:space="preserve">, Eiropas Komisija </w:t>
      </w:r>
      <w:r w:rsidR="002009FD" w:rsidRPr="008C7351">
        <w:rPr>
          <w:rFonts w:ascii="Times New Roman" w:hAnsi="Times New Roman"/>
          <w:sz w:val="28"/>
          <w:szCs w:val="28"/>
        </w:rPr>
        <w:t>(turpmāk</w:t>
      </w:r>
      <w:r w:rsidR="00D972FD" w:rsidRPr="008C7351">
        <w:rPr>
          <w:rFonts w:ascii="Times New Roman" w:hAnsi="Times New Roman"/>
          <w:sz w:val="28"/>
          <w:szCs w:val="28"/>
        </w:rPr>
        <w:t> </w:t>
      </w:r>
      <w:r w:rsidR="002009FD" w:rsidRPr="008C7351">
        <w:rPr>
          <w:rFonts w:ascii="Times New Roman" w:hAnsi="Times New Roman"/>
          <w:sz w:val="28"/>
          <w:szCs w:val="28"/>
        </w:rPr>
        <w:t xml:space="preserve">– EK) </w:t>
      </w:r>
      <w:r w:rsidR="00DF1A88" w:rsidRPr="008C7351">
        <w:rPr>
          <w:rFonts w:ascii="Times New Roman" w:hAnsi="Times New Roman"/>
          <w:sz w:val="28"/>
          <w:szCs w:val="28"/>
        </w:rPr>
        <w:t>valsts atbalsta OI mehānism</w:t>
      </w:r>
      <w:r w:rsidR="00C87E57" w:rsidRPr="008C7351">
        <w:rPr>
          <w:rFonts w:ascii="Times New Roman" w:hAnsi="Times New Roman"/>
          <w:sz w:val="28"/>
          <w:szCs w:val="28"/>
        </w:rPr>
        <w:t>u</w:t>
      </w:r>
      <w:r w:rsidR="00DF1A88" w:rsidRPr="008C7351">
        <w:rPr>
          <w:rFonts w:ascii="Times New Roman" w:hAnsi="Times New Roman"/>
          <w:sz w:val="28"/>
          <w:szCs w:val="28"/>
        </w:rPr>
        <w:t xml:space="preserve"> saskaņo</w:t>
      </w:r>
      <w:r w:rsidR="00C87E57" w:rsidRPr="008C7351">
        <w:rPr>
          <w:rFonts w:ascii="Times New Roman" w:hAnsi="Times New Roman"/>
          <w:sz w:val="28"/>
          <w:szCs w:val="28"/>
        </w:rPr>
        <w:t>ja</w:t>
      </w:r>
      <w:r w:rsidR="00DF1A88" w:rsidRPr="008C7351">
        <w:rPr>
          <w:rFonts w:ascii="Times New Roman" w:hAnsi="Times New Roman"/>
          <w:sz w:val="28"/>
          <w:szCs w:val="28"/>
        </w:rPr>
        <w:t xml:space="preserve"> par periodu no 2007.gada 1.jūlija līdz 2012.gada 31.decembrim, izņemot attiecībā uz </w:t>
      </w:r>
      <w:r w:rsidR="00461B9D" w:rsidRPr="008C7351">
        <w:rPr>
          <w:rFonts w:ascii="Times New Roman" w:hAnsi="Times New Roman"/>
          <w:sz w:val="28"/>
          <w:szCs w:val="28"/>
        </w:rPr>
        <w:t>AS</w:t>
      </w:r>
      <w:r w:rsidR="00D972FD" w:rsidRPr="008C7351">
        <w:rPr>
          <w:rFonts w:ascii="Times New Roman" w:hAnsi="Times New Roman"/>
          <w:sz w:val="28"/>
          <w:szCs w:val="28"/>
        </w:rPr>
        <w:t> </w:t>
      </w:r>
      <w:r w:rsidR="00461B9D" w:rsidRPr="008C7351">
        <w:rPr>
          <w:rFonts w:ascii="Times New Roman" w:hAnsi="Times New Roman"/>
          <w:sz w:val="28"/>
          <w:szCs w:val="28"/>
        </w:rPr>
        <w:t xml:space="preserve">“Latvenergo” </w:t>
      </w:r>
      <w:r w:rsidR="002009FD" w:rsidRPr="008C7351">
        <w:rPr>
          <w:rFonts w:ascii="Times New Roman" w:hAnsi="Times New Roman"/>
          <w:sz w:val="28"/>
          <w:szCs w:val="28"/>
        </w:rPr>
        <w:t>TEC-2 elektrostaciju, jo tā pārsniedza 200 MW robežvērtību</w:t>
      </w:r>
      <w:r w:rsidR="00D972FD" w:rsidRPr="008C7351">
        <w:rPr>
          <w:rStyle w:val="FootnoteReference"/>
          <w:rFonts w:ascii="Times New Roman" w:hAnsi="Times New Roman"/>
          <w:sz w:val="28"/>
          <w:szCs w:val="28"/>
        </w:rPr>
        <w:footnoteReference w:id="3"/>
      </w:r>
      <w:r w:rsidR="002009FD" w:rsidRPr="008C7351">
        <w:rPr>
          <w:rFonts w:ascii="Times New Roman" w:hAnsi="Times New Roman"/>
          <w:sz w:val="28"/>
          <w:szCs w:val="28"/>
        </w:rPr>
        <w:t>.</w:t>
      </w:r>
      <w:r w:rsidR="00C87E57" w:rsidRPr="008C7351">
        <w:rPr>
          <w:rFonts w:ascii="Times New Roman" w:hAnsi="Times New Roman"/>
          <w:sz w:val="28"/>
          <w:szCs w:val="28"/>
        </w:rPr>
        <w:t xml:space="preserve"> Saskaņā ar ES </w:t>
      </w:r>
      <w:r w:rsidR="00C87E57" w:rsidRPr="008C7351">
        <w:rPr>
          <w:rFonts w:ascii="Times New Roman" w:hAnsi="Times New Roman"/>
          <w:sz w:val="28"/>
          <w:szCs w:val="28"/>
        </w:rPr>
        <w:lastRenderedPageBreak/>
        <w:t xml:space="preserve">regulējumu saskaņojuma periods attiecināms uz periodu, kurā piešķirtas tiesības uz valsts atbalstu. </w:t>
      </w:r>
    </w:p>
    <w:p w14:paraId="6A67EC2C" w14:textId="37F0D3D4" w:rsidR="00867C55" w:rsidRPr="008C7351" w:rsidRDefault="002009FD" w:rsidP="00312E76">
      <w:pPr>
        <w:spacing w:before="120" w:after="120" w:line="240" w:lineRule="auto"/>
        <w:jc w:val="both"/>
        <w:rPr>
          <w:rFonts w:ascii="Times New Roman" w:hAnsi="Times New Roman"/>
          <w:sz w:val="28"/>
          <w:szCs w:val="28"/>
        </w:rPr>
      </w:pPr>
      <w:r w:rsidRPr="008C7351">
        <w:rPr>
          <w:rFonts w:ascii="Times New Roman" w:hAnsi="Times New Roman"/>
          <w:sz w:val="28"/>
          <w:szCs w:val="28"/>
        </w:rPr>
        <w:t xml:space="preserve">EK </w:t>
      </w:r>
      <w:r w:rsidR="00C87E57" w:rsidRPr="008C7351">
        <w:rPr>
          <w:rFonts w:ascii="Times New Roman" w:hAnsi="Times New Roman"/>
          <w:sz w:val="28"/>
          <w:szCs w:val="28"/>
        </w:rPr>
        <w:t xml:space="preserve">savā </w:t>
      </w:r>
      <w:r w:rsidR="00C87E57" w:rsidRPr="008C7351">
        <w:rPr>
          <w:rFonts w:ascii="Times New Roman" w:hAnsi="Times New Roman"/>
          <w:b/>
          <w:sz w:val="28"/>
          <w:szCs w:val="28"/>
        </w:rPr>
        <w:t>2017.gada</w:t>
      </w:r>
      <w:r w:rsidR="00C87E57" w:rsidRPr="008C7351">
        <w:rPr>
          <w:rFonts w:ascii="Times New Roman" w:hAnsi="Times New Roman"/>
          <w:sz w:val="28"/>
          <w:szCs w:val="28"/>
        </w:rPr>
        <w:t xml:space="preserve"> 24.aprīļa </w:t>
      </w:r>
      <w:r w:rsidRPr="008C7351">
        <w:rPr>
          <w:rFonts w:ascii="Times New Roman" w:hAnsi="Times New Roman"/>
          <w:sz w:val="28"/>
          <w:szCs w:val="28"/>
        </w:rPr>
        <w:t xml:space="preserve">lēmumā </w:t>
      </w:r>
      <w:r w:rsidR="008E3DFE" w:rsidRPr="008C7351">
        <w:rPr>
          <w:rFonts w:ascii="Times New Roman" w:hAnsi="Times New Roman"/>
          <w:sz w:val="28"/>
          <w:szCs w:val="28"/>
        </w:rPr>
        <w:t xml:space="preserve">par </w:t>
      </w:r>
      <w:r w:rsidR="00E82DCA" w:rsidRPr="008C7351">
        <w:rPr>
          <w:rFonts w:ascii="Times New Roman" w:hAnsi="Times New Roman"/>
          <w:sz w:val="28"/>
          <w:szCs w:val="28"/>
        </w:rPr>
        <w:t>valsts atbalstu SA.43140</w:t>
      </w:r>
      <w:r w:rsidR="00464294" w:rsidRPr="008C7351">
        <w:rPr>
          <w:rStyle w:val="FootnoteReference"/>
          <w:rFonts w:ascii="Times New Roman" w:hAnsi="Times New Roman"/>
          <w:sz w:val="28"/>
          <w:szCs w:val="28"/>
        </w:rPr>
        <w:footnoteReference w:id="4"/>
      </w:r>
      <w:r w:rsidR="00E82DCA" w:rsidRPr="008C7351">
        <w:rPr>
          <w:rFonts w:ascii="Times New Roman" w:hAnsi="Times New Roman"/>
          <w:sz w:val="28"/>
          <w:szCs w:val="28"/>
        </w:rPr>
        <w:t xml:space="preserve"> </w:t>
      </w:r>
      <w:r w:rsidRPr="008C7351">
        <w:rPr>
          <w:rFonts w:ascii="Times New Roman" w:hAnsi="Times New Roman"/>
          <w:sz w:val="28"/>
          <w:szCs w:val="28"/>
        </w:rPr>
        <w:t>secināja, ka OI mehānisms ir samērīgs</w:t>
      </w:r>
      <w:r w:rsidR="000375DE" w:rsidRPr="008C7351">
        <w:rPr>
          <w:rFonts w:ascii="Times New Roman" w:hAnsi="Times New Roman"/>
          <w:sz w:val="28"/>
          <w:szCs w:val="28"/>
        </w:rPr>
        <w:t xml:space="preserve"> un</w:t>
      </w:r>
      <w:r w:rsidRPr="008C7351">
        <w:rPr>
          <w:rFonts w:ascii="Times New Roman" w:hAnsi="Times New Roman"/>
          <w:sz w:val="28"/>
          <w:szCs w:val="28"/>
        </w:rPr>
        <w:t xml:space="preserve"> atbilst nosacījumiem, kas noteikti 2001. un 2008.gada</w:t>
      </w:r>
      <w:r w:rsidR="000375DE" w:rsidRPr="008C7351">
        <w:rPr>
          <w:rFonts w:ascii="Times New Roman" w:hAnsi="Times New Roman"/>
          <w:sz w:val="28"/>
          <w:szCs w:val="28"/>
        </w:rPr>
        <w:t xml:space="preserve"> </w:t>
      </w:r>
      <w:r w:rsidRPr="008C7351">
        <w:rPr>
          <w:rFonts w:ascii="Times New Roman" w:hAnsi="Times New Roman"/>
          <w:sz w:val="28"/>
          <w:szCs w:val="28"/>
        </w:rPr>
        <w:t>pamatnostādnēs par valsts atbalstu vides aizsardzībai</w:t>
      </w:r>
      <w:r w:rsidR="00464294" w:rsidRPr="008C7351">
        <w:rPr>
          <w:rStyle w:val="FootnoteReference"/>
          <w:rFonts w:ascii="Times New Roman" w:hAnsi="Times New Roman"/>
          <w:sz w:val="28"/>
          <w:szCs w:val="28"/>
        </w:rPr>
        <w:footnoteReference w:id="5"/>
      </w:r>
      <w:r w:rsidR="000375DE" w:rsidRPr="008C7351">
        <w:rPr>
          <w:rFonts w:ascii="Times New Roman" w:hAnsi="Times New Roman"/>
          <w:sz w:val="28"/>
          <w:szCs w:val="28"/>
        </w:rPr>
        <w:t>,</w:t>
      </w:r>
      <w:r w:rsidRPr="008C7351">
        <w:rPr>
          <w:rFonts w:ascii="Times New Roman" w:hAnsi="Times New Roman"/>
          <w:sz w:val="28"/>
          <w:szCs w:val="28"/>
        </w:rPr>
        <w:t xml:space="preserve"> un līdz ar to ir saderīg</w:t>
      </w:r>
      <w:r w:rsidR="000375DE" w:rsidRPr="008C7351">
        <w:rPr>
          <w:rFonts w:ascii="Times New Roman" w:hAnsi="Times New Roman"/>
          <w:sz w:val="28"/>
          <w:szCs w:val="28"/>
        </w:rPr>
        <w:t>s</w:t>
      </w:r>
      <w:r w:rsidRPr="008C7351">
        <w:rPr>
          <w:rFonts w:ascii="Times New Roman" w:hAnsi="Times New Roman"/>
          <w:sz w:val="28"/>
          <w:szCs w:val="28"/>
        </w:rPr>
        <w:t xml:space="preserve"> ar iekšējo tirgu saskaņā ar Līguma par Eiropas Savienības Darbību 107.panta 3.punkta c) apakšpunktu.  </w:t>
      </w:r>
      <w:r w:rsidR="005314AB" w:rsidRPr="008C7351">
        <w:rPr>
          <w:rFonts w:ascii="Times New Roman" w:hAnsi="Times New Roman"/>
          <w:sz w:val="28"/>
          <w:szCs w:val="28"/>
        </w:rPr>
        <w:t>Kā tas minēts arī EK lēmumā, spēkā eso</w:t>
      </w:r>
      <w:r w:rsidR="00312E76" w:rsidRPr="008C7351">
        <w:rPr>
          <w:rFonts w:ascii="Times New Roman" w:hAnsi="Times New Roman"/>
          <w:sz w:val="28"/>
          <w:szCs w:val="28"/>
        </w:rPr>
        <w:t xml:space="preserve">šā OI mehānisma </w:t>
      </w:r>
      <w:r w:rsidR="00312E76" w:rsidRPr="008C7351">
        <w:rPr>
          <w:rFonts w:ascii="Times New Roman" w:hAnsi="Times New Roman"/>
          <w:b/>
          <w:sz w:val="28"/>
          <w:szCs w:val="28"/>
        </w:rPr>
        <w:t>mērķis</w:t>
      </w:r>
      <w:r w:rsidR="00312E76" w:rsidRPr="008C7351">
        <w:rPr>
          <w:rFonts w:ascii="Times New Roman" w:hAnsi="Times New Roman"/>
          <w:sz w:val="28"/>
          <w:szCs w:val="28"/>
        </w:rPr>
        <w:t xml:space="preserve"> </w:t>
      </w:r>
      <w:r w:rsidR="00312E76" w:rsidRPr="00244244">
        <w:rPr>
          <w:rFonts w:ascii="Times New Roman" w:hAnsi="Times New Roman"/>
          <w:b/>
          <w:sz w:val="28"/>
          <w:szCs w:val="28"/>
        </w:rPr>
        <w:t>ir veicināt atjaunojamo energoresursu izmantošanu un augstas efektivitātes koģenerāciju</w:t>
      </w:r>
      <w:r w:rsidR="00312E76" w:rsidRPr="008C7351">
        <w:rPr>
          <w:rFonts w:ascii="Times New Roman" w:hAnsi="Times New Roman"/>
          <w:sz w:val="28"/>
          <w:szCs w:val="28"/>
        </w:rPr>
        <w:t>, tostarp, lai sasniegtu Latvijai noteiktos mērķus šajās jomās.</w:t>
      </w:r>
    </w:p>
    <w:p w14:paraId="7BAEEC47" w14:textId="37AF5EA6" w:rsidR="003E76D8" w:rsidRPr="008C7351" w:rsidRDefault="003E76D8" w:rsidP="00F6165C">
      <w:pPr>
        <w:spacing w:before="120" w:after="120" w:line="240" w:lineRule="auto"/>
        <w:jc w:val="both"/>
        <w:rPr>
          <w:rFonts w:ascii="Times New Roman" w:hAnsi="Times New Roman"/>
          <w:sz w:val="28"/>
          <w:szCs w:val="28"/>
        </w:rPr>
      </w:pPr>
      <w:r w:rsidRPr="008C7351">
        <w:rPr>
          <w:rFonts w:ascii="Times New Roman" w:hAnsi="Times New Roman"/>
          <w:b/>
          <w:sz w:val="28"/>
          <w:szCs w:val="28"/>
        </w:rPr>
        <w:t xml:space="preserve">Vislielākais skaits </w:t>
      </w:r>
      <w:r w:rsidR="00C87E57" w:rsidRPr="008C7351">
        <w:rPr>
          <w:rFonts w:ascii="Times New Roman" w:hAnsi="Times New Roman"/>
          <w:b/>
          <w:sz w:val="28"/>
          <w:szCs w:val="28"/>
        </w:rPr>
        <w:t xml:space="preserve">OI tiesību </w:t>
      </w:r>
      <w:r w:rsidR="00C87E57" w:rsidRPr="008C7351">
        <w:rPr>
          <w:rFonts w:ascii="Times New Roman" w:hAnsi="Times New Roman"/>
          <w:sz w:val="28"/>
          <w:szCs w:val="28"/>
        </w:rPr>
        <w:t>elektroenerģijas ražošan</w:t>
      </w:r>
      <w:r w:rsidR="00A4725D">
        <w:rPr>
          <w:rFonts w:ascii="Times New Roman" w:hAnsi="Times New Roman"/>
          <w:sz w:val="28"/>
          <w:szCs w:val="28"/>
        </w:rPr>
        <w:t>ai OI mehānisma ietvaros</w:t>
      </w:r>
      <w:r w:rsidR="00B664E4" w:rsidRPr="008C7351">
        <w:rPr>
          <w:rFonts w:ascii="Times New Roman" w:hAnsi="Times New Roman"/>
          <w:sz w:val="28"/>
          <w:szCs w:val="28"/>
        </w:rPr>
        <w:t xml:space="preserve"> no atjaunojamiem energoresursiem </w:t>
      </w:r>
      <w:r w:rsidR="00C25058" w:rsidRPr="008C7351">
        <w:rPr>
          <w:rFonts w:ascii="Times New Roman" w:hAnsi="Times New Roman"/>
          <w:sz w:val="28"/>
          <w:szCs w:val="28"/>
        </w:rPr>
        <w:t>tika piešķirts</w:t>
      </w:r>
      <w:r w:rsidR="00B664E4" w:rsidRPr="008C7351">
        <w:rPr>
          <w:rFonts w:ascii="Times New Roman" w:hAnsi="Times New Roman"/>
          <w:sz w:val="28"/>
          <w:szCs w:val="28"/>
        </w:rPr>
        <w:t xml:space="preserve"> 2009.gadā</w:t>
      </w:r>
      <w:r w:rsidR="00B2059B" w:rsidRPr="008C7351">
        <w:rPr>
          <w:rFonts w:ascii="Times New Roman" w:hAnsi="Times New Roman"/>
          <w:sz w:val="28"/>
          <w:szCs w:val="28"/>
        </w:rPr>
        <w:t xml:space="preserve"> (180)</w:t>
      </w:r>
      <w:r w:rsidR="00C25058" w:rsidRPr="008C7351">
        <w:rPr>
          <w:rFonts w:ascii="Times New Roman" w:hAnsi="Times New Roman"/>
          <w:sz w:val="28"/>
          <w:szCs w:val="28"/>
        </w:rPr>
        <w:t xml:space="preserve">, </w:t>
      </w:r>
      <w:r w:rsidR="00202E71" w:rsidRPr="008C7351">
        <w:rPr>
          <w:rFonts w:ascii="Times New Roman" w:hAnsi="Times New Roman"/>
          <w:sz w:val="28"/>
          <w:szCs w:val="28"/>
        </w:rPr>
        <w:t>bet</w:t>
      </w:r>
      <w:r w:rsidR="00C25058" w:rsidRPr="008C7351">
        <w:rPr>
          <w:rFonts w:ascii="Times New Roman" w:hAnsi="Times New Roman"/>
          <w:sz w:val="28"/>
          <w:szCs w:val="28"/>
        </w:rPr>
        <w:t xml:space="preserve"> elektroenerģijas ražošanai koģenerācijā </w:t>
      </w:r>
      <w:r w:rsidR="00A4725D" w:rsidRPr="008C7351">
        <w:rPr>
          <w:rFonts w:ascii="Times New Roman" w:hAnsi="Times New Roman"/>
          <w:sz w:val="28"/>
          <w:szCs w:val="28"/>
        </w:rPr>
        <w:t>–</w:t>
      </w:r>
      <w:r w:rsidR="00C25058" w:rsidRPr="008C7351">
        <w:rPr>
          <w:rFonts w:ascii="Times New Roman" w:hAnsi="Times New Roman"/>
          <w:sz w:val="28"/>
          <w:szCs w:val="28"/>
        </w:rPr>
        <w:t xml:space="preserve"> 2012.gadā</w:t>
      </w:r>
      <w:r w:rsidR="00B2059B" w:rsidRPr="008C7351">
        <w:rPr>
          <w:rFonts w:ascii="Times New Roman" w:hAnsi="Times New Roman"/>
          <w:sz w:val="28"/>
          <w:szCs w:val="28"/>
        </w:rPr>
        <w:t xml:space="preserve"> (324)</w:t>
      </w:r>
      <w:r w:rsidR="00B664E4" w:rsidRPr="008C7351">
        <w:rPr>
          <w:rFonts w:ascii="Times New Roman" w:hAnsi="Times New Roman"/>
          <w:sz w:val="28"/>
          <w:szCs w:val="28"/>
        </w:rPr>
        <w:t xml:space="preserve">. </w:t>
      </w:r>
      <w:r w:rsidR="00B2059B" w:rsidRPr="008C7351">
        <w:rPr>
          <w:rFonts w:ascii="Times New Roman" w:hAnsi="Times New Roman"/>
          <w:sz w:val="28"/>
          <w:szCs w:val="28"/>
        </w:rPr>
        <w:t>Savukārt, v</w:t>
      </w:r>
      <w:r w:rsidR="00F238C7" w:rsidRPr="008C7351">
        <w:rPr>
          <w:rFonts w:ascii="Times New Roman" w:hAnsi="Times New Roman"/>
          <w:sz w:val="28"/>
          <w:szCs w:val="28"/>
        </w:rPr>
        <w:t xml:space="preserve">ērtējot no piešķirto </w:t>
      </w:r>
      <w:r w:rsidR="00B75AD1" w:rsidRPr="008C7351">
        <w:rPr>
          <w:rFonts w:ascii="Times New Roman" w:hAnsi="Times New Roman"/>
          <w:sz w:val="28"/>
          <w:szCs w:val="28"/>
        </w:rPr>
        <w:t xml:space="preserve">OI </w:t>
      </w:r>
      <w:r w:rsidR="00F238C7" w:rsidRPr="008C7351">
        <w:rPr>
          <w:rFonts w:ascii="Times New Roman" w:hAnsi="Times New Roman"/>
          <w:sz w:val="28"/>
          <w:szCs w:val="28"/>
        </w:rPr>
        <w:t xml:space="preserve">tiesību pamatojošo normatīvo aktu viedokļa, secināms, ka elektroenerģijas ražošanai </w:t>
      </w:r>
      <w:r w:rsidR="00C25058" w:rsidRPr="008C7351">
        <w:rPr>
          <w:rFonts w:ascii="Times New Roman" w:hAnsi="Times New Roman"/>
          <w:sz w:val="28"/>
          <w:szCs w:val="28"/>
        </w:rPr>
        <w:t>no atjaunojamiem energoresursiem lielākais</w:t>
      </w:r>
      <w:r w:rsidR="00B75AD1" w:rsidRPr="008C7351">
        <w:rPr>
          <w:rFonts w:ascii="Times New Roman" w:hAnsi="Times New Roman"/>
          <w:sz w:val="28"/>
          <w:szCs w:val="28"/>
        </w:rPr>
        <w:t xml:space="preserve"> OI</w:t>
      </w:r>
      <w:r w:rsidR="00C25058" w:rsidRPr="008C7351">
        <w:rPr>
          <w:rFonts w:ascii="Times New Roman" w:hAnsi="Times New Roman"/>
          <w:sz w:val="28"/>
          <w:szCs w:val="28"/>
        </w:rPr>
        <w:t xml:space="preserve"> tiesību skaits piešķirts saskaņā ar M</w:t>
      </w:r>
      <w:r w:rsidR="00464294" w:rsidRPr="008C7351">
        <w:rPr>
          <w:rFonts w:ascii="Times New Roman" w:hAnsi="Times New Roman"/>
          <w:sz w:val="28"/>
          <w:szCs w:val="28"/>
        </w:rPr>
        <w:t>inistru kabineta (turpmāk – MK)</w:t>
      </w:r>
      <w:r w:rsidR="00C25058" w:rsidRPr="008C7351">
        <w:rPr>
          <w:rFonts w:ascii="Times New Roman" w:hAnsi="Times New Roman"/>
          <w:sz w:val="28"/>
          <w:szCs w:val="28"/>
        </w:rPr>
        <w:t xml:space="preserve"> </w:t>
      </w:r>
      <w:r w:rsidR="00B2059B" w:rsidRPr="008C7351">
        <w:rPr>
          <w:rFonts w:ascii="Times New Roman" w:hAnsi="Times New Roman"/>
          <w:sz w:val="28"/>
          <w:szCs w:val="28"/>
        </w:rPr>
        <w:t>2007.gada 24.jūlija noteikumiem Nr.503</w:t>
      </w:r>
      <w:r w:rsidR="00464294" w:rsidRPr="008C7351">
        <w:rPr>
          <w:rStyle w:val="FootnoteReference"/>
          <w:rFonts w:ascii="Times New Roman" w:hAnsi="Times New Roman"/>
          <w:sz w:val="28"/>
          <w:szCs w:val="28"/>
        </w:rPr>
        <w:footnoteReference w:id="6"/>
      </w:r>
      <w:r w:rsidR="00B2059B" w:rsidRPr="008C7351">
        <w:rPr>
          <w:rFonts w:ascii="Times New Roman" w:hAnsi="Times New Roman"/>
          <w:sz w:val="28"/>
          <w:szCs w:val="28"/>
        </w:rPr>
        <w:t xml:space="preserve"> (143) un MK 2009.gada 24.februāra </w:t>
      </w:r>
      <w:r w:rsidR="00C25058" w:rsidRPr="008C7351">
        <w:rPr>
          <w:rFonts w:ascii="Times New Roman" w:hAnsi="Times New Roman"/>
          <w:sz w:val="28"/>
          <w:szCs w:val="28"/>
        </w:rPr>
        <w:t>noteikumiem Nr.198</w:t>
      </w:r>
      <w:r w:rsidR="00464294" w:rsidRPr="008C7351">
        <w:rPr>
          <w:rStyle w:val="FootnoteReference"/>
          <w:rFonts w:ascii="Times New Roman" w:hAnsi="Times New Roman"/>
          <w:sz w:val="28"/>
          <w:szCs w:val="28"/>
        </w:rPr>
        <w:footnoteReference w:id="7"/>
      </w:r>
      <w:r w:rsidR="00B2059B" w:rsidRPr="008C7351">
        <w:rPr>
          <w:rFonts w:ascii="Times New Roman" w:hAnsi="Times New Roman"/>
          <w:sz w:val="28"/>
          <w:szCs w:val="28"/>
        </w:rPr>
        <w:t xml:space="preserve"> (163)</w:t>
      </w:r>
      <w:r w:rsidR="00C25058" w:rsidRPr="008C7351">
        <w:rPr>
          <w:rFonts w:ascii="Times New Roman" w:hAnsi="Times New Roman"/>
          <w:sz w:val="28"/>
          <w:szCs w:val="28"/>
        </w:rPr>
        <w:t xml:space="preserve">, savukārt elektroenerģijas ražošanai </w:t>
      </w:r>
      <w:r w:rsidR="00F238C7" w:rsidRPr="008C7351">
        <w:rPr>
          <w:rFonts w:ascii="Times New Roman" w:hAnsi="Times New Roman"/>
          <w:sz w:val="28"/>
          <w:szCs w:val="28"/>
        </w:rPr>
        <w:t>koģenerācijā lielākais skaits tiesību piešķirts saskaņā ar M</w:t>
      </w:r>
      <w:r w:rsidR="00C25058" w:rsidRPr="008C7351">
        <w:rPr>
          <w:rFonts w:ascii="Times New Roman" w:hAnsi="Times New Roman"/>
          <w:sz w:val="28"/>
          <w:szCs w:val="28"/>
        </w:rPr>
        <w:t xml:space="preserve">K </w:t>
      </w:r>
      <w:r w:rsidR="00B2059B" w:rsidRPr="008C7351">
        <w:rPr>
          <w:rFonts w:ascii="Times New Roman" w:hAnsi="Times New Roman"/>
          <w:sz w:val="28"/>
          <w:szCs w:val="28"/>
        </w:rPr>
        <w:t xml:space="preserve">2009.gada 10.marta </w:t>
      </w:r>
      <w:r w:rsidR="00F238C7" w:rsidRPr="008C7351">
        <w:rPr>
          <w:rFonts w:ascii="Times New Roman" w:hAnsi="Times New Roman"/>
          <w:sz w:val="28"/>
          <w:szCs w:val="28"/>
        </w:rPr>
        <w:t>noteikumiem Nr.221</w:t>
      </w:r>
      <w:r w:rsidR="00464294" w:rsidRPr="008C7351">
        <w:rPr>
          <w:rStyle w:val="FootnoteReference"/>
          <w:rFonts w:ascii="Times New Roman" w:hAnsi="Times New Roman"/>
          <w:sz w:val="28"/>
          <w:szCs w:val="28"/>
        </w:rPr>
        <w:footnoteReference w:id="8"/>
      </w:r>
      <w:r w:rsidR="00B2059B" w:rsidRPr="008C7351">
        <w:rPr>
          <w:rFonts w:ascii="Times New Roman" w:hAnsi="Times New Roman"/>
          <w:sz w:val="28"/>
          <w:szCs w:val="28"/>
        </w:rPr>
        <w:t xml:space="preserve"> (564)</w:t>
      </w:r>
      <w:r w:rsidR="00C25058" w:rsidRPr="008C7351">
        <w:rPr>
          <w:rFonts w:ascii="Times New Roman" w:hAnsi="Times New Roman"/>
          <w:sz w:val="28"/>
          <w:szCs w:val="28"/>
        </w:rPr>
        <w:t>.</w:t>
      </w:r>
    </w:p>
    <w:p w14:paraId="0A6FB691" w14:textId="77777777" w:rsidR="00B866BD" w:rsidRPr="008C7351" w:rsidRDefault="00B866BD" w:rsidP="00F6165C">
      <w:pPr>
        <w:spacing w:before="120" w:after="120" w:line="240" w:lineRule="auto"/>
        <w:jc w:val="both"/>
        <w:rPr>
          <w:rFonts w:ascii="Times New Roman" w:hAnsi="Times New Roman"/>
          <w:sz w:val="28"/>
          <w:szCs w:val="28"/>
        </w:rPr>
      </w:pPr>
    </w:p>
    <w:p w14:paraId="2D9F253E" w14:textId="6B0DA969" w:rsidR="00C637B5" w:rsidRPr="008C7351" w:rsidRDefault="008F7356" w:rsidP="00F6165C">
      <w:pPr>
        <w:spacing w:before="120" w:after="120" w:line="240" w:lineRule="auto"/>
        <w:jc w:val="both"/>
        <w:rPr>
          <w:rFonts w:ascii="Times New Roman" w:hAnsi="Times New Roman"/>
          <w:b/>
          <w:sz w:val="28"/>
          <w:szCs w:val="28"/>
        </w:rPr>
      </w:pPr>
      <w:r w:rsidRPr="008C7351">
        <w:rPr>
          <w:rFonts w:ascii="Times New Roman" w:hAnsi="Times New Roman"/>
          <w:b/>
          <w:sz w:val="28"/>
          <w:szCs w:val="28"/>
        </w:rPr>
        <w:t>II</w:t>
      </w:r>
      <w:r w:rsidR="00B866BD" w:rsidRPr="008C7351">
        <w:rPr>
          <w:rFonts w:ascii="Times New Roman" w:hAnsi="Times New Roman"/>
          <w:b/>
          <w:sz w:val="28"/>
          <w:szCs w:val="28"/>
        </w:rPr>
        <w:t>I. OI mehānisma uzraudzība</w:t>
      </w:r>
    </w:p>
    <w:p w14:paraId="7A00DAE2" w14:textId="0AE231DF" w:rsidR="00D0619F" w:rsidRPr="008C7351" w:rsidRDefault="007F0E1A" w:rsidP="00F6165C">
      <w:pPr>
        <w:spacing w:before="120" w:after="120" w:line="240" w:lineRule="auto"/>
        <w:jc w:val="both"/>
        <w:rPr>
          <w:rFonts w:ascii="Times New Roman" w:hAnsi="Times New Roman"/>
          <w:sz w:val="28"/>
          <w:szCs w:val="28"/>
        </w:rPr>
      </w:pPr>
      <w:r w:rsidRPr="008C7351">
        <w:rPr>
          <w:rFonts w:ascii="Times New Roman" w:hAnsi="Times New Roman"/>
          <w:sz w:val="28"/>
          <w:szCs w:val="28"/>
        </w:rPr>
        <w:t>Spēkā esošie normatīvie akti – MK noteikumi Nr.221</w:t>
      </w:r>
      <w:r w:rsidR="000804ED" w:rsidRPr="008C7351">
        <w:rPr>
          <w:rFonts w:ascii="Times New Roman" w:hAnsi="Times New Roman"/>
          <w:sz w:val="28"/>
          <w:szCs w:val="28"/>
          <w:vertAlign w:val="superscript"/>
        </w:rPr>
        <w:t>7</w:t>
      </w:r>
      <w:r w:rsidRPr="008C7351">
        <w:rPr>
          <w:rFonts w:ascii="Times New Roman" w:hAnsi="Times New Roman"/>
          <w:sz w:val="28"/>
          <w:szCs w:val="28"/>
        </w:rPr>
        <w:t xml:space="preserve"> un MK noteikumi Nr.262</w:t>
      </w:r>
      <w:r w:rsidR="00464294" w:rsidRPr="008C7351">
        <w:rPr>
          <w:rStyle w:val="FootnoteReference"/>
          <w:rFonts w:ascii="Times New Roman" w:hAnsi="Times New Roman"/>
          <w:sz w:val="28"/>
          <w:szCs w:val="28"/>
        </w:rPr>
        <w:footnoteReference w:id="9"/>
      </w:r>
      <w:r w:rsidR="008B4250" w:rsidRPr="008C7351">
        <w:rPr>
          <w:rFonts w:ascii="Times New Roman" w:hAnsi="Times New Roman"/>
          <w:sz w:val="28"/>
          <w:szCs w:val="28"/>
        </w:rPr>
        <w:t xml:space="preserve"> – </w:t>
      </w:r>
      <w:r w:rsidRPr="008C7351">
        <w:rPr>
          <w:rFonts w:ascii="Times New Roman" w:hAnsi="Times New Roman"/>
          <w:sz w:val="28"/>
          <w:szCs w:val="28"/>
        </w:rPr>
        <w:t>nosaka OI mehānisma uzraudzības kārtību</w:t>
      </w:r>
      <w:r w:rsidR="00CD0C1C" w:rsidRPr="008C7351">
        <w:rPr>
          <w:rFonts w:ascii="Times New Roman" w:hAnsi="Times New Roman"/>
          <w:sz w:val="28"/>
          <w:szCs w:val="28"/>
        </w:rPr>
        <w:t xml:space="preserve">, kas regulāri ir pilnveidota. Būtiskākie uzlabojumi uzraudzības kārtībā veikti 2012., 2013. un 2018.gadā. </w:t>
      </w:r>
    </w:p>
    <w:p w14:paraId="3B8D143A" w14:textId="5370A7B0" w:rsidR="007B6BF3" w:rsidRPr="008C7351" w:rsidRDefault="001E20A5" w:rsidP="007B6BF3">
      <w:pPr>
        <w:spacing w:before="120" w:after="120" w:line="240" w:lineRule="auto"/>
        <w:jc w:val="both"/>
        <w:rPr>
          <w:rFonts w:ascii="Times New Roman" w:hAnsi="Times New Roman"/>
          <w:color w:val="000000" w:themeColor="text1"/>
          <w:sz w:val="28"/>
          <w:szCs w:val="28"/>
        </w:rPr>
      </w:pPr>
      <w:r w:rsidRPr="008C7351">
        <w:rPr>
          <w:rFonts w:ascii="Times New Roman" w:hAnsi="Times New Roman"/>
          <w:b/>
          <w:i/>
          <w:sz w:val="28"/>
          <w:szCs w:val="28"/>
        </w:rPr>
        <w:t>Brīdinājumi.</w:t>
      </w:r>
      <w:r w:rsidRPr="008C7351">
        <w:rPr>
          <w:rFonts w:ascii="Times New Roman" w:hAnsi="Times New Roman"/>
          <w:b/>
          <w:sz w:val="28"/>
          <w:szCs w:val="28"/>
        </w:rPr>
        <w:t xml:space="preserve"> </w:t>
      </w:r>
      <w:r w:rsidR="007B6BF3" w:rsidRPr="008C7351">
        <w:rPr>
          <w:rFonts w:ascii="Times New Roman" w:hAnsi="Times New Roman"/>
          <w:sz w:val="28"/>
          <w:szCs w:val="28"/>
        </w:rPr>
        <w:t xml:space="preserve">Normatīvais regulējums paredz virkni procesuālu un ar elektrostaciju darbību saistītu pārkāpumu, par kuriem komersanti tiek brīdināti un sekojoši, pārkāpumus nenovēršot, tiek atceltas </w:t>
      </w:r>
      <w:r w:rsidR="007B6BF3" w:rsidRPr="008C7351">
        <w:rPr>
          <w:rFonts w:ascii="Times New Roman" w:hAnsi="Times New Roman"/>
          <w:color w:val="000000" w:themeColor="text1"/>
          <w:sz w:val="28"/>
          <w:szCs w:val="28"/>
        </w:rPr>
        <w:t xml:space="preserve">piešķirtās OI tiesības. Būtisku pārkāpumu gadījumā OI tiesības tiek atceltas nekavējoši. </w:t>
      </w:r>
    </w:p>
    <w:p w14:paraId="4214B23B" w14:textId="053E8CA1" w:rsidR="001E20A5" w:rsidRPr="008C7351" w:rsidRDefault="001E20A5" w:rsidP="007B6BF3">
      <w:pPr>
        <w:spacing w:before="120" w:after="120" w:line="240" w:lineRule="auto"/>
        <w:jc w:val="both"/>
        <w:rPr>
          <w:rFonts w:ascii="Times New Roman" w:hAnsi="Times New Roman"/>
          <w:sz w:val="28"/>
          <w:szCs w:val="28"/>
        </w:rPr>
      </w:pPr>
      <w:r w:rsidRPr="008C7351">
        <w:rPr>
          <w:rFonts w:ascii="Times New Roman" w:hAnsi="Times New Roman"/>
          <w:sz w:val="28"/>
          <w:szCs w:val="28"/>
        </w:rPr>
        <w:t xml:space="preserve">Pēc 2018.gada aprīlī veiktajiem grozījumiem MK noteikumos Nr.221 un MK noteikumos Nr.262, pārbaudot OI saņēmēju nodokļu parādu esamību Valsts ieņēmumu dienesta (turpmāk - VID) publicētajā nodokļu parādnieku datu bāzē, tika konstatēts, ka 61 komersants nebija pilnībā izpildījis savas nodokļu saistības </w:t>
      </w:r>
      <w:r w:rsidRPr="008C7351">
        <w:rPr>
          <w:rFonts w:ascii="Times New Roman" w:hAnsi="Times New Roman"/>
          <w:sz w:val="28"/>
          <w:szCs w:val="28"/>
        </w:rPr>
        <w:lastRenderedPageBreak/>
        <w:t xml:space="preserve">pret valsti. Šiem uzņēmējiem nekavējoties tika nosūtīts brīdinājums 3 mēnešu laikā nomaksāt nodokļu parādu. 6 komersanti noteiktā termiņā nenomaksāja nodokļu parādus, kā rezultātā zaudēja tiem piešķirtās </w:t>
      </w:r>
      <w:r w:rsidR="00A4725D">
        <w:rPr>
          <w:rFonts w:ascii="Times New Roman" w:hAnsi="Times New Roman"/>
          <w:sz w:val="28"/>
          <w:szCs w:val="28"/>
        </w:rPr>
        <w:t>OI tiesības</w:t>
      </w:r>
      <w:r w:rsidRPr="008C7351">
        <w:rPr>
          <w:rFonts w:ascii="Times New Roman" w:hAnsi="Times New Roman"/>
          <w:bCs/>
          <w:sz w:val="28"/>
          <w:szCs w:val="28"/>
        </w:rPr>
        <w:t>.</w:t>
      </w:r>
      <w:r w:rsidRPr="008C7351">
        <w:rPr>
          <w:rFonts w:ascii="Times New Roman" w:hAnsi="Times New Roman"/>
          <w:sz w:val="28"/>
          <w:szCs w:val="28"/>
        </w:rPr>
        <w:t xml:space="preserve"> Lielākā daļa no brīdinātajiem komersantiem minētos nodokļu parādus dzēsa, un valsts budžetā ieskaitīja vairāk kā 1,5 milj. EUR. </w:t>
      </w:r>
      <w:r w:rsidRPr="008C7351">
        <w:rPr>
          <w:rFonts w:ascii="Times New Roman" w:eastAsia="Times New Roman" w:hAnsi="Times New Roman"/>
          <w:sz w:val="28"/>
          <w:szCs w:val="28"/>
        </w:rPr>
        <w:t xml:space="preserve">2018.gada beigās atkārtoti tika pārbaudīta </w:t>
      </w:r>
      <w:r w:rsidR="00692DAB" w:rsidRPr="008C7351">
        <w:rPr>
          <w:rFonts w:ascii="Times New Roman" w:hAnsi="Times New Roman"/>
          <w:sz w:val="28"/>
          <w:szCs w:val="28"/>
        </w:rPr>
        <w:t xml:space="preserve">atbalsta </w:t>
      </w:r>
      <w:r w:rsidRPr="008C7351">
        <w:rPr>
          <w:rFonts w:ascii="Times New Roman" w:hAnsi="Times New Roman"/>
          <w:sz w:val="28"/>
          <w:szCs w:val="28"/>
        </w:rPr>
        <w:t>saņēmēju nodokļu parādu esamība un nosūtīti 30 brīdinājumi</w:t>
      </w:r>
      <w:r w:rsidRPr="008C7351">
        <w:rPr>
          <w:rFonts w:ascii="Times New Roman" w:eastAsia="Times New Roman" w:hAnsi="Times New Roman"/>
          <w:sz w:val="28"/>
          <w:szCs w:val="28"/>
        </w:rPr>
        <w:t xml:space="preserve">. Pašlaik lielākā daļa no brīdinātajiem komersantiem minētos nodokļu parādus jau ir dzēsuši, un valsts budžetā ir ieskaitījuši aptuveni 0,3 milj. EUR. </w:t>
      </w:r>
    </w:p>
    <w:p w14:paraId="2F065308" w14:textId="77777777" w:rsidR="001E20A5" w:rsidRPr="008C7351" w:rsidRDefault="001E20A5" w:rsidP="001E20A5">
      <w:pPr>
        <w:spacing w:after="0" w:line="240" w:lineRule="auto"/>
        <w:ind w:firstLine="720"/>
        <w:rPr>
          <w:rFonts w:ascii="Times New Roman" w:eastAsia="Times New Roman" w:hAnsi="Times New Roman"/>
          <w:color w:val="000000" w:themeColor="text1"/>
          <w:sz w:val="28"/>
          <w:szCs w:val="28"/>
          <w:bdr w:val="none" w:sz="0" w:space="0" w:color="auto" w:frame="1"/>
        </w:rPr>
      </w:pPr>
      <w:r w:rsidRPr="008C7351">
        <w:rPr>
          <w:rFonts w:ascii="Times New Roman" w:eastAsia="Times New Roman" w:hAnsi="Times New Roman"/>
          <w:color w:val="000000" w:themeColor="text1"/>
          <w:sz w:val="28"/>
          <w:szCs w:val="28"/>
          <w:bdr w:val="none" w:sz="0" w:space="0" w:color="auto" w:frame="1"/>
        </w:rPr>
        <w:t>Vienlaikus Ekonomikas ministrija ir izteikusi šādus brīdinājumus:</w:t>
      </w:r>
    </w:p>
    <w:p w14:paraId="20AC2C54" w14:textId="77777777" w:rsidR="001E20A5" w:rsidRPr="008C7351" w:rsidRDefault="001E20A5" w:rsidP="001E20A5">
      <w:pPr>
        <w:pStyle w:val="ListParagraph"/>
        <w:numPr>
          <w:ilvl w:val="0"/>
          <w:numId w:val="18"/>
        </w:numPr>
        <w:spacing w:after="0" w:line="240" w:lineRule="auto"/>
        <w:jc w:val="both"/>
        <w:rPr>
          <w:rFonts w:ascii="Times New Roman" w:eastAsia="Times New Roman" w:hAnsi="Times New Roman"/>
          <w:color w:val="000000" w:themeColor="text1"/>
          <w:sz w:val="28"/>
          <w:szCs w:val="28"/>
        </w:rPr>
      </w:pPr>
      <w:r w:rsidRPr="008C7351">
        <w:rPr>
          <w:rFonts w:ascii="Times New Roman" w:eastAsia="Times New Roman" w:hAnsi="Times New Roman"/>
          <w:color w:val="000000" w:themeColor="text1"/>
          <w:sz w:val="28"/>
          <w:szCs w:val="28"/>
          <w:bdr w:val="none" w:sz="0" w:space="0" w:color="auto" w:frame="1"/>
        </w:rPr>
        <w:t>par vides pārkāpumiem - 1;</w:t>
      </w:r>
    </w:p>
    <w:p w14:paraId="082D64DE" w14:textId="77777777" w:rsidR="001E20A5" w:rsidRPr="008C7351" w:rsidRDefault="001E20A5" w:rsidP="001E20A5">
      <w:pPr>
        <w:pStyle w:val="ListParagraph"/>
        <w:numPr>
          <w:ilvl w:val="0"/>
          <w:numId w:val="18"/>
        </w:numPr>
        <w:spacing w:after="0" w:line="240" w:lineRule="auto"/>
        <w:jc w:val="both"/>
        <w:rPr>
          <w:rFonts w:ascii="Times New Roman" w:eastAsia="Times New Roman" w:hAnsi="Times New Roman"/>
          <w:color w:val="000000" w:themeColor="text1"/>
          <w:sz w:val="28"/>
          <w:szCs w:val="28"/>
          <w:bdr w:val="none" w:sz="0" w:space="0" w:color="auto" w:frame="1"/>
        </w:rPr>
      </w:pPr>
      <w:r w:rsidRPr="008C7351">
        <w:rPr>
          <w:rFonts w:ascii="Times New Roman" w:eastAsia="Times New Roman" w:hAnsi="Times New Roman"/>
          <w:color w:val="000000" w:themeColor="text1"/>
          <w:sz w:val="28"/>
          <w:szCs w:val="28"/>
          <w:bdr w:val="none" w:sz="0" w:space="0" w:color="auto" w:frame="1"/>
        </w:rPr>
        <w:t xml:space="preserve">par koģenerācijas elektrostacijā uzstādīto </w:t>
      </w:r>
      <w:proofErr w:type="spellStart"/>
      <w:r w:rsidRPr="008C7351">
        <w:rPr>
          <w:rFonts w:ascii="Times New Roman" w:eastAsia="Times New Roman" w:hAnsi="Times New Roman"/>
          <w:color w:val="000000" w:themeColor="text1"/>
          <w:sz w:val="28"/>
          <w:szCs w:val="28"/>
          <w:bdr w:val="none" w:sz="0" w:space="0" w:color="auto" w:frame="1"/>
        </w:rPr>
        <w:t>mērlīdzekļu</w:t>
      </w:r>
      <w:proofErr w:type="spellEnd"/>
      <w:r w:rsidRPr="008C7351">
        <w:rPr>
          <w:rFonts w:ascii="Times New Roman" w:eastAsia="Times New Roman" w:hAnsi="Times New Roman"/>
          <w:color w:val="000000" w:themeColor="text1"/>
          <w:sz w:val="28"/>
          <w:szCs w:val="28"/>
          <w:bdr w:val="none" w:sz="0" w:space="0" w:color="auto" w:frame="1"/>
        </w:rPr>
        <w:t xml:space="preserve"> vai mēraparātu sistēmu neatbilstību noteiktajām prasībām - 4;</w:t>
      </w:r>
    </w:p>
    <w:p w14:paraId="50833DAA" w14:textId="55D322A1" w:rsidR="001E20A5" w:rsidRPr="008C7351" w:rsidRDefault="001E20A5" w:rsidP="001E20A5">
      <w:pPr>
        <w:pStyle w:val="ListParagraph"/>
        <w:numPr>
          <w:ilvl w:val="0"/>
          <w:numId w:val="18"/>
        </w:numPr>
        <w:spacing w:after="0" w:line="240" w:lineRule="auto"/>
        <w:jc w:val="both"/>
        <w:rPr>
          <w:rFonts w:ascii="Times New Roman" w:eastAsia="Times New Roman" w:hAnsi="Times New Roman"/>
          <w:color w:val="000000" w:themeColor="text1"/>
          <w:sz w:val="28"/>
          <w:szCs w:val="28"/>
        </w:rPr>
      </w:pPr>
      <w:r w:rsidRPr="008C7351">
        <w:rPr>
          <w:rFonts w:ascii="Times New Roman" w:eastAsia="Times New Roman" w:hAnsi="Times New Roman"/>
          <w:color w:val="000000" w:themeColor="text1"/>
          <w:sz w:val="28"/>
          <w:szCs w:val="28"/>
          <w:bdr w:val="none" w:sz="0" w:space="0" w:color="auto" w:frame="1"/>
        </w:rPr>
        <w:t>par būvniecības prasību neievērošanu</w:t>
      </w:r>
      <w:r w:rsidR="00A4725D">
        <w:rPr>
          <w:rFonts w:ascii="Times New Roman" w:eastAsia="Times New Roman" w:hAnsi="Times New Roman"/>
          <w:color w:val="000000" w:themeColor="text1"/>
          <w:sz w:val="28"/>
          <w:szCs w:val="28"/>
          <w:bdr w:val="none" w:sz="0" w:space="0" w:color="auto" w:frame="1"/>
        </w:rPr>
        <w:t xml:space="preserve"> </w:t>
      </w:r>
      <w:r w:rsidRPr="008C7351">
        <w:rPr>
          <w:rFonts w:ascii="Times New Roman" w:eastAsia="Times New Roman" w:hAnsi="Times New Roman"/>
          <w:color w:val="000000" w:themeColor="text1"/>
          <w:sz w:val="28"/>
          <w:szCs w:val="28"/>
          <w:bdr w:val="none" w:sz="0" w:space="0" w:color="auto" w:frame="1"/>
        </w:rPr>
        <w:t>- 1;</w:t>
      </w:r>
    </w:p>
    <w:p w14:paraId="789C47E7" w14:textId="0E0738B1" w:rsidR="001E20A5" w:rsidRPr="008C7351" w:rsidRDefault="001E20A5" w:rsidP="007B6BF3">
      <w:pPr>
        <w:pStyle w:val="ListParagraph"/>
        <w:numPr>
          <w:ilvl w:val="0"/>
          <w:numId w:val="18"/>
        </w:numPr>
        <w:spacing w:after="0" w:line="240" w:lineRule="auto"/>
        <w:jc w:val="both"/>
        <w:rPr>
          <w:rFonts w:ascii="Times New Roman" w:eastAsia="Times New Roman" w:hAnsi="Times New Roman"/>
          <w:color w:val="000000" w:themeColor="text1"/>
          <w:sz w:val="28"/>
          <w:szCs w:val="28"/>
        </w:rPr>
      </w:pPr>
      <w:r w:rsidRPr="008C7351">
        <w:rPr>
          <w:rFonts w:ascii="Times New Roman" w:eastAsia="Times New Roman" w:hAnsi="Times New Roman"/>
          <w:color w:val="000000" w:themeColor="text1"/>
          <w:sz w:val="28"/>
          <w:szCs w:val="28"/>
          <w:bdr w:val="none" w:sz="0" w:space="0" w:color="auto" w:frame="1"/>
        </w:rPr>
        <w:t xml:space="preserve">saistībā ar elektroenerģijas pašpatēriņa nodrošināšanu - 7. </w:t>
      </w:r>
    </w:p>
    <w:p w14:paraId="461692FA" w14:textId="77777777" w:rsidR="007B6BF3" w:rsidRPr="008C7351" w:rsidRDefault="007B6BF3" w:rsidP="007B6BF3">
      <w:pPr>
        <w:pStyle w:val="ListParagraph"/>
        <w:spacing w:after="0" w:line="240" w:lineRule="auto"/>
        <w:jc w:val="both"/>
        <w:rPr>
          <w:rFonts w:ascii="Times New Roman" w:eastAsia="Times New Roman" w:hAnsi="Times New Roman"/>
          <w:color w:val="000000" w:themeColor="text1"/>
          <w:sz w:val="28"/>
          <w:szCs w:val="28"/>
        </w:rPr>
      </w:pPr>
    </w:p>
    <w:p w14:paraId="149BB522" w14:textId="387382B3" w:rsidR="00EF5548" w:rsidRPr="008C7351" w:rsidRDefault="00D0619F" w:rsidP="00F6165C">
      <w:pPr>
        <w:spacing w:before="120" w:after="120" w:line="240" w:lineRule="auto"/>
        <w:jc w:val="both"/>
        <w:rPr>
          <w:rFonts w:ascii="Times New Roman" w:hAnsi="Times New Roman"/>
          <w:color w:val="000000" w:themeColor="text1"/>
          <w:sz w:val="28"/>
          <w:szCs w:val="28"/>
        </w:rPr>
      </w:pPr>
      <w:r w:rsidRPr="008C7351">
        <w:rPr>
          <w:rFonts w:ascii="Times New Roman" w:hAnsi="Times New Roman"/>
          <w:b/>
          <w:i/>
          <w:sz w:val="28"/>
          <w:szCs w:val="28"/>
        </w:rPr>
        <w:t xml:space="preserve">Atceltās </w:t>
      </w:r>
      <w:r w:rsidR="008B4250" w:rsidRPr="008C7351">
        <w:rPr>
          <w:rFonts w:ascii="Times New Roman" w:hAnsi="Times New Roman"/>
          <w:b/>
          <w:i/>
          <w:sz w:val="28"/>
          <w:szCs w:val="28"/>
        </w:rPr>
        <w:t>OI tiesības</w:t>
      </w:r>
      <w:r w:rsidRPr="008C7351">
        <w:rPr>
          <w:rFonts w:ascii="Times New Roman" w:hAnsi="Times New Roman"/>
          <w:b/>
          <w:i/>
          <w:sz w:val="28"/>
          <w:szCs w:val="28"/>
        </w:rPr>
        <w:t>.</w:t>
      </w:r>
      <w:r w:rsidR="005F222B" w:rsidRPr="008C7351">
        <w:rPr>
          <w:rFonts w:ascii="Times New Roman" w:hAnsi="Times New Roman"/>
          <w:b/>
          <w:i/>
          <w:sz w:val="28"/>
          <w:szCs w:val="28"/>
        </w:rPr>
        <w:t xml:space="preserve"> </w:t>
      </w:r>
      <w:r w:rsidR="00EF5548" w:rsidRPr="008C7351">
        <w:rPr>
          <w:rFonts w:ascii="Times New Roman" w:hAnsi="Times New Roman"/>
          <w:color w:val="000000" w:themeColor="text1"/>
          <w:sz w:val="28"/>
          <w:szCs w:val="28"/>
        </w:rPr>
        <w:t>Pēdējā gada laikā Ekonomikas ministrija ir pieņēmusi 33 lēmumus par elektroenerģijas obligātā iepirkuma tiesību atcelšanu</w:t>
      </w:r>
      <w:r w:rsidR="007B6BF3" w:rsidRPr="008C7351">
        <w:rPr>
          <w:rFonts w:ascii="Times New Roman" w:hAnsi="Times New Roman"/>
          <w:color w:val="000000" w:themeColor="text1"/>
          <w:sz w:val="28"/>
          <w:szCs w:val="28"/>
        </w:rPr>
        <w:t>:</w:t>
      </w:r>
    </w:p>
    <w:p w14:paraId="4DD20A84" w14:textId="4B9278F9" w:rsidR="004A2560" w:rsidRPr="008C7351" w:rsidRDefault="004A2560" w:rsidP="00925ECB">
      <w:pPr>
        <w:pStyle w:val="ListParagraph"/>
        <w:numPr>
          <w:ilvl w:val="0"/>
          <w:numId w:val="20"/>
        </w:numPr>
        <w:spacing w:before="120" w:after="120" w:line="240" w:lineRule="auto"/>
        <w:jc w:val="both"/>
        <w:rPr>
          <w:rFonts w:ascii="Times New Roman" w:hAnsi="Times New Roman"/>
          <w:color w:val="000000" w:themeColor="text1"/>
          <w:sz w:val="28"/>
          <w:szCs w:val="28"/>
        </w:rPr>
      </w:pPr>
      <w:r w:rsidRPr="008C7351">
        <w:rPr>
          <w:rFonts w:ascii="Times New Roman" w:hAnsi="Times New Roman"/>
          <w:color w:val="000000" w:themeColor="text1"/>
          <w:sz w:val="28"/>
          <w:szCs w:val="28"/>
        </w:rPr>
        <w:t>23 lēmumus dēļ elektroenerģijas ražošanas neuzsākšanas noteiktajā termiņā;</w:t>
      </w:r>
    </w:p>
    <w:p w14:paraId="5C28D305" w14:textId="70A6E5FD" w:rsidR="00EF5548" w:rsidRPr="008C7351" w:rsidRDefault="00EF5548" w:rsidP="00925ECB">
      <w:pPr>
        <w:pStyle w:val="ListParagraph"/>
        <w:numPr>
          <w:ilvl w:val="0"/>
          <w:numId w:val="20"/>
        </w:numPr>
        <w:spacing w:before="120" w:after="120" w:line="240" w:lineRule="auto"/>
        <w:jc w:val="both"/>
        <w:rPr>
          <w:rFonts w:ascii="Times New Roman" w:hAnsi="Times New Roman"/>
          <w:color w:val="000000" w:themeColor="text1"/>
          <w:sz w:val="28"/>
          <w:szCs w:val="28"/>
        </w:rPr>
      </w:pPr>
      <w:r w:rsidRPr="008C7351">
        <w:rPr>
          <w:rFonts w:ascii="Times New Roman" w:hAnsi="Times New Roman"/>
          <w:color w:val="000000" w:themeColor="text1"/>
          <w:sz w:val="28"/>
          <w:szCs w:val="28"/>
        </w:rPr>
        <w:t>6 lēmumus par nodokļu parādu nenomaksāšanu;</w:t>
      </w:r>
    </w:p>
    <w:p w14:paraId="1053FCB4" w14:textId="37572B89" w:rsidR="004A2560" w:rsidRPr="008C7351" w:rsidRDefault="004A2560" w:rsidP="00925ECB">
      <w:pPr>
        <w:pStyle w:val="ListParagraph"/>
        <w:numPr>
          <w:ilvl w:val="0"/>
          <w:numId w:val="20"/>
        </w:numPr>
        <w:spacing w:before="120" w:after="120" w:line="240" w:lineRule="auto"/>
        <w:jc w:val="both"/>
        <w:rPr>
          <w:rFonts w:ascii="Times New Roman" w:hAnsi="Times New Roman"/>
          <w:color w:val="000000" w:themeColor="text1"/>
          <w:sz w:val="28"/>
          <w:szCs w:val="28"/>
        </w:rPr>
      </w:pPr>
      <w:r w:rsidRPr="008C7351">
        <w:rPr>
          <w:rFonts w:ascii="Times New Roman" w:hAnsi="Times New Roman"/>
          <w:color w:val="000000" w:themeColor="text1"/>
          <w:sz w:val="28"/>
          <w:szCs w:val="28"/>
        </w:rPr>
        <w:t xml:space="preserve">2 lēmumus pēc komersanta iesnieguma par atteikšanos no </w:t>
      </w:r>
      <w:r w:rsidR="00430907">
        <w:rPr>
          <w:rFonts w:ascii="Times New Roman" w:hAnsi="Times New Roman"/>
          <w:color w:val="000000" w:themeColor="text1"/>
          <w:sz w:val="28"/>
          <w:szCs w:val="28"/>
        </w:rPr>
        <w:t>OI</w:t>
      </w:r>
      <w:r w:rsidRPr="008C7351">
        <w:rPr>
          <w:rFonts w:ascii="Times New Roman" w:hAnsi="Times New Roman"/>
          <w:color w:val="000000" w:themeColor="text1"/>
          <w:sz w:val="28"/>
          <w:szCs w:val="28"/>
        </w:rPr>
        <w:t xml:space="preserve"> tiesībām;</w:t>
      </w:r>
    </w:p>
    <w:p w14:paraId="6292FE03" w14:textId="56AF3E39" w:rsidR="00EF5548" w:rsidRPr="008C7351" w:rsidRDefault="00EF5548" w:rsidP="00925ECB">
      <w:pPr>
        <w:pStyle w:val="ListParagraph"/>
        <w:numPr>
          <w:ilvl w:val="0"/>
          <w:numId w:val="20"/>
        </w:numPr>
        <w:spacing w:before="120" w:after="120" w:line="240" w:lineRule="auto"/>
        <w:jc w:val="both"/>
        <w:rPr>
          <w:rFonts w:ascii="Times New Roman" w:hAnsi="Times New Roman"/>
          <w:color w:val="000000" w:themeColor="text1"/>
          <w:sz w:val="28"/>
          <w:szCs w:val="28"/>
        </w:rPr>
      </w:pPr>
      <w:r w:rsidRPr="008C7351">
        <w:rPr>
          <w:rFonts w:ascii="Times New Roman" w:hAnsi="Times New Roman"/>
          <w:color w:val="000000" w:themeColor="text1"/>
          <w:sz w:val="28"/>
          <w:szCs w:val="28"/>
        </w:rPr>
        <w:t>1 lēmumu, konstatējot, ka komersants izmanto neatbilstošu kurināmo elektroenerģijas ražošanai</w:t>
      </w:r>
      <w:r w:rsidR="004A2560" w:rsidRPr="008C7351">
        <w:rPr>
          <w:rFonts w:ascii="Times New Roman" w:hAnsi="Times New Roman"/>
          <w:color w:val="000000" w:themeColor="text1"/>
          <w:sz w:val="28"/>
          <w:szCs w:val="28"/>
        </w:rPr>
        <w:t>;</w:t>
      </w:r>
    </w:p>
    <w:p w14:paraId="410E0744" w14:textId="3DC1A3D1" w:rsidR="00D0619F" w:rsidRPr="008C7351" w:rsidRDefault="004A2560" w:rsidP="00925ECB">
      <w:pPr>
        <w:pStyle w:val="ListParagraph"/>
        <w:numPr>
          <w:ilvl w:val="0"/>
          <w:numId w:val="20"/>
        </w:numPr>
        <w:spacing w:before="120" w:after="120" w:line="240" w:lineRule="auto"/>
        <w:jc w:val="both"/>
        <w:rPr>
          <w:rFonts w:ascii="Times New Roman" w:hAnsi="Times New Roman"/>
          <w:color w:val="000000" w:themeColor="text1"/>
          <w:sz w:val="28"/>
          <w:szCs w:val="28"/>
        </w:rPr>
      </w:pPr>
      <w:r w:rsidRPr="008C7351">
        <w:rPr>
          <w:rFonts w:ascii="Times New Roman" w:hAnsi="Times New Roman"/>
          <w:color w:val="000000" w:themeColor="text1"/>
          <w:sz w:val="28"/>
          <w:szCs w:val="28"/>
        </w:rPr>
        <w:t>1 lēmumu, jo komersants noteiktajā termiņā nenoslēdza līgumu ar publisko tirgotāju par elektroenerģijas iepirkumu.</w:t>
      </w:r>
    </w:p>
    <w:p w14:paraId="27E5D73F" w14:textId="33853DA4" w:rsidR="00CD0C1C" w:rsidRPr="008C7351" w:rsidRDefault="00D0619F" w:rsidP="00F6165C">
      <w:pPr>
        <w:spacing w:before="120" w:after="120" w:line="240" w:lineRule="auto"/>
        <w:jc w:val="both"/>
        <w:rPr>
          <w:rFonts w:ascii="Times New Roman" w:hAnsi="Times New Roman"/>
          <w:color w:val="FF0000"/>
          <w:sz w:val="28"/>
          <w:szCs w:val="28"/>
        </w:rPr>
      </w:pPr>
      <w:r w:rsidRPr="008C7351">
        <w:rPr>
          <w:rFonts w:ascii="Times New Roman" w:hAnsi="Times New Roman"/>
          <w:b/>
          <w:i/>
          <w:sz w:val="28"/>
          <w:szCs w:val="28"/>
        </w:rPr>
        <w:t>Pārkompensācijas novēršanas mehānisms.</w:t>
      </w:r>
      <w:r w:rsidRPr="008C7351">
        <w:rPr>
          <w:rFonts w:ascii="Times New Roman" w:hAnsi="Times New Roman"/>
          <w:sz w:val="28"/>
          <w:szCs w:val="28"/>
        </w:rPr>
        <w:t xml:space="preserve"> </w:t>
      </w:r>
      <w:r w:rsidR="00EC33AD" w:rsidRPr="008C7351">
        <w:rPr>
          <w:rFonts w:ascii="Times New Roman" w:hAnsi="Times New Roman"/>
          <w:sz w:val="28"/>
          <w:szCs w:val="28"/>
        </w:rPr>
        <w:t xml:space="preserve">Pārkompensācijas novēršanas mehānisma izveide bija priekšnoteikums EK lēmuma par valsts atbalsta saskaņojumu saņemšanai un tas tika ieviests </w:t>
      </w:r>
      <w:r w:rsidR="00CD0C1C" w:rsidRPr="008C7351">
        <w:rPr>
          <w:rFonts w:ascii="Times New Roman" w:hAnsi="Times New Roman"/>
          <w:sz w:val="28"/>
          <w:szCs w:val="28"/>
        </w:rPr>
        <w:t xml:space="preserve">2017.gadā pēc EK lēmuma par valsts atbalstu SA.43140 </w:t>
      </w:r>
      <w:r w:rsidR="00884809" w:rsidRPr="008C7351">
        <w:rPr>
          <w:rFonts w:ascii="Times New Roman" w:hAnsi="Times New Roman"/>
          <w:sz w:val="28"/>
          <w:szCs w:val="28"/>
        </w:rPr>
        <w:t>spēkā stāšanās</w:t>
      </w:r>
      <w:r w:rsidR="00692DAB" w:rsidRPr="008C7351">
        <w:rPr>
          <w:rFonts w:ascii="Times New Roman" w:hAnsi="Times New Roman"/>
          <w:sz w:val="28"/>
          <w:szCs w:val="28"/>
          <w:vertAlign w:val="superscript"/>
        </w:rPr>
        <w:t>3</w:t>
      </w:r>
      <w:r w:rsidR="00EC33AD" w:rsidRPr="008C7351">
        <w:rPr>
          <w:rFonts w:ascii="Times New Roman" w:hAnsi="Times New Roman"/>
          <w:sz w:val="28"/>
          <w:szCs w:val="28"/>
        </w:rPr>
        <w:t>. Mehānisms paredz</w:t>
      </w:r>
      <w:r w:rsidR="006C13DE" w:rsidRPr="008C7351">
        <w:rPr>
          <w:rFonts w:ascii="Times New Roman" w:hAnsi="Times New Roman"/>
          <w:sz w:val="28"/>
          <w:szCs w:val="28"/>
        </w:rPr>
        <w:t>, ka elektrostacijas, par kuru komersants saņem valsts atbalstu OI mehānisma ietvaros, kopējo kapitālieguldījumu iekšējās peļņas norma</w:t>
      </w:r>
      <w:r w:rsidR="00E73DBA" w:rsidRPr="008C7351">
        <w:rPr>
          <w:rFonts w:ascii="Times New Roman" w:hAnsi="Times New Roman"/>
          <w:sz w:val="28"/>
          <w:szCs w:val="28"/>
        </w:rPr>
        <w:t xml:space="preserve"> (turpmāk - IRR)</w:t>
      </w:r>
      <w:r w:rsidR="006C13DE" w:rsidRPr="008C7351">
        <w:rPr>
          <w:rFonts w:ascii="Times New Roman" w:hAnsi="Times New Roman"/>
          <w:sz w:val="28"/>
          <w:szCs w:val="28"/>
        </w:rPr>
        <w:t xml:space="preserve"> nevar pārsniegt 9%. </w:t>
      </w:r>
      <w:r w:rsidRPr="008C7351">
        <w:rPr>
          <w:rFonts w:ascii="Times New Roman" w:hAnsi="Times New Roman"/>
          <w:i/>
          <w:color w:val="FF0000"/>
          <w:sz w:val="28"/>
          <w:szCs w:val="28"/>
        </w:rPr>
        <w:t xml:space="preserve"> </w:t>
      </w:r>
      <w:r w:rsidR="00772A8A" w:rsidRPr="008C7351">
        <w:rPr>
          <w:rFonts w:ascii="Times New Roman" w:hAnsi="Times New Roman"/>
          <w:color w:val="000000" w:themeColor="text1"/>
          <w:sz w:val="28"/>
          <w:szCs w:val="28"/>
        </w:rPr>
        <w:t>Šobrīd cenas diferencēšanas koeficients pārkompensācijas novēršanai tiek piemērots 64 elektrostacijām</w:t>
      </w:r>
      <w:r w:rsidR="00233D2C" w:rsidRPr="008C7351">
        <w:rPr>
          <w:rFonts w:ascii="Times New Roman" w:hAnsi="Times New Roman"/>
          <w:color w:val="000000" w:themeColor="text1"/>
          <w:sz w:val="28"/>
          <w:szCs w:val="28"/>
        </w:rPr>
        <w:t>,</w:t>
      </w:r>
      <w:r w:rsidR="003537C8" w:rsidRPr="008C7351">
        <w:rPr>
          <w:rFonts w:ascii="Times New Roman" w:hAnsi="Times New Roman"/>
          <w:color w:val="000000" w:themeColor="text1"/>
          <w:sz w:val="28"/>
          <w:szCs w:val="28"/>
        </w:rPr>
        <w:t xml:space="preserve"> kā rezultātā 2019.gadā provizoriskais šīm elektrostacijām izmaksājamā atbalsta samazinājums varētu būt 3,7 miljoni EUR, salīdzinot ar atbalstu, ja tas tiktu izmaksāts pilnā apmērā</w:t>
      </w:r>
      <w:r w:rsidR="00772A8A" w:rsidRPr="008C7351">
        <w:rPr>
          <w:rFonts w:ascii="Times New Roman" w:hAnsi="Times New Roman"/>
          <w:color w:val="000000" w:themeColor="text1"/>
          <w:sz w:val="28"/>
          <w:szCs w:val="28"/>
        </w:rPr>
        <w:t>.</w:t>
      </w:r>
    </w:p>
    <w:p w14:paraId="625CD521" w14:textId="2F0BF6B7" w:rsidR="00E73DBA" w:rsidRPr="008C7351" w:rsidRDefault="00884809" w:rsidP="00CD4DD4">
      <w:pPr>
        <w:spacing w:after="0" w:line="240" w:lineRule="auto"/>
        <w:jc w:val="both"/>
        <w:rPr>
          <w:rFonts w:ascii="Times New Roman" w:hAnsi="Times New Roman"/>
          <w:sz w:val="28"/>
          <w:szCs w:val="28"/>
        </w:rPr>
      </w:pPr>
      <w:r w:rsidRPr="008C7351">
        <w:rPr>
          <w:rFonts w:ascii="Times New Roman" w:hAnsi="Times New Roman"/>
          <w:b/>
          <w:i/>
          <w:sz w:val="28"/>
          <w:szCs w:val="28"/>
        </w:rPr>
        <w:t xml:space="preserve">Tiesvedības. </w:t>
      </w:r>
      <w:r w:rsidRPr="008C7351">
        <w:rPr>
          <w:rFonts w:ascii="Times New Roman" w:hAnsi="Times New Roman"/>
          <w:sz w:val="28"/>
          <w:szCs w:val="28"/>
        </w:rPr>
        <w:t>Komersanti pastāvīgi pārsūdz Ekonomikas ministrijas pieņemtos lēmumus par OI tiesību atcelšanu vai atbalsta samazinājumu.</w:t>
      </w:r>
      <w:r w:rsidR="00E73DBA" w:rsidRPr="008C7351">
        <w:rPr>
          <w:rFonts w:ascii="Times New Roman" w:hAnsi="Times New Roman"/>
          <w:sz w:val="28"/>
          <w:szCs w:val="28"/>
        </w:rPr>
        <w:t xml:space="preserve"> </w:t>
      </w:r>
      <w:r w:rsidR="00E73DBA" w:rsidRPr="008C7351">
        <w:rPr>
          <w:rFonts w:ascii="Times New Roman" w:hAnsi="Times New Roman"/>
          <w:b/>
          <w:sz w:val="28"/>
          <w:szCs w:val="28"/>
        </w:rPr>
        <w:t>Visus Ekonomikas ministrijas pieņemtos lēmumus OI uzraudzības ietvaros tiesas ir atzinušas par tiesiskiem un neviens Ekonomikas ministrijas lēmums nav atcelts.</w:t>
      </w:r>
    </w:p>
    <w:p w14:paraId="72098B64" w14:textId="08DEBA37" w:rsidR="00E73DBA" w:rsidRPr="008C7351" w:rsidRDefault="00E73DBA" w:rsidP="00CD4DD4">
      <w:pPr>
        <w:spacing w:after="0" w:line="240" w:lineRule="auto"/>
        <w:jc w:val="both"/>
        <w:rPr>
          <w:rFonts w:ascii="Times New Roman" w:hAnsi="Times New Roman"/>
          <w:sz w:val="28"/>
          <w:szCs w:val="28"/>
        </w:rPr>
      </w:pPr>
      <w:r w:rsidRPr="008C7351">
        <w:rPr>
          <w:rFonts w:ascii="Times New Roman" w:hAnsi="Times New Roman"/>
          <w:sz w:val="28"/>
          <w:szCs w:val="28"/>
        </w:rPr>
        <w:t xml:space="preserve">Saistībā ar nodokļu parādiem Ekonomikas ministrija šobrīd izskata 2 apstrīdētos lēmumus, viena lēmuma izskatīšana šobrīd atrodas Administratīvajā rajona tiesā. </w:t>
      </w:r>
    </w:p>
    <w:p w14:paraId="39D3B20E" w14:textId="11C606CE" w:rsidR="00E73DBA" w:rsidRPr="008C7351" w:rsidRDefault="00E73DBA" w:rsidP="00CD4DD4">
      <w:pPr>
        <w:spacing w:after="0" w:line="240" w:lineRule="auto"/>
        <w:jc w:val="both"/>
        <w:rPr>
          <w:rFonts w:ascii="Times New Roman" w:hAnsi="Times New Roman"/>
          <w:sz w:val="28"/>
          <w:szCs w:val="28"/>
        </w:rPr>
      </w:pPr>
      <w:r w:rsidRPr="008C7351">
        <w:rPr>
          <w:rFonts w:ascii="Times New Roman" w:hAnsi="Times New Roman"/>
          <w:sz w:val="28"/>
          <w:szCs w:val="28"/>
        </w:rPr>
        <w:lastRenderedPageBreak/>
        <w:t xml:space="preserve">Saistībā ar </w:t>
      </w:r>
      <w:r w:rsidR="00692DAB" w:rsidRPr="008C7351">
        <w:rPr>
          <w:rFonts w:ascii="Times New Roman" w:hAnsi="Times New Roman"/>
          <w:sz w:val="28"/>
          <w:szCs w:val="28"/>
        </w:rPr>
        <w:t xml:space="preserve">kopējo kapitālieguldījumu </w:t>
      </w:r>
      <w:r w:rsidRPr="008C7351">
        <w:rPr>
          <w:rFonts w:ascii="Times New Roman" w:hAnsi="Times New Roman"/>
          <w:sz w:val="28"/>
          <w:szCs w:val="28"/>
        </w:rPr>
        <w:t>IRR procesu, izbeigta 1 tiesvedība, spēkā stājušies spriedumi 11 lietās</w:t>
      </w:r>
      <w:r w:rsidR="008B7BFE">
        <w:rPr>
          <w:rFonts w:ascii="Times New Roman" w:hAnsi="Times New Roman"/>
          <w:sz w:val="28"/>
          <w:szCs w:val="28"/>
        </w:rPr>
        <w:t>,</w:t>
      </w:r>
      <w:r w:rsidRPr="008C7351">
        <w:rPr>
          <w:rFonts w:ascii="Times New Roman" w:hAnsi="Times New Roman"/>
          <w:sz w:val="28"/>
          <w:szCs w:val="28"/>
        </w:rPr>
        <w:t xml:space="preserve"> vēl izskatīšanā </w:t>
      </w:r>
      <w:r w:rsidR="00044C56" w:rsidRPr="008C7351">
        <w:rPr>
          <w:rFonts w:ascii="Times New Roman" w:hAnsi="Times New Roman"/>
          <w:sz w:val="28"/>
          <w:szCs w:val="28"/>
        </w:rPr>
        <w:t>daž</w:t>
      </w:r>
      <w:r w:rsidR="00461B9D" w:rsidRPr="008C7351">
        <w:rPr>
          <w:rFonts w:ascii="Times New Roman" w:hAnsi="Times New Roman"/>
          <w:sz w:val="28"/>
          <w:szCs w:val="28"/>
        </w:rPr>
        <w:t>ād</w:t>
      </w:r>
      <w:r w:rsidR="00044C56" w:rsidRPr="008C7351">
        <w:rPr>
          <w:rFonts w:ascii="Times New Roman" w:hAnsi="Times New Roman"/>
          <w:sz w:val="28"/>
          <w:szCs w:val="28"/>
        </w:rPr>
        <w:t xml:space="preserve">ās instances tiesās </w:t>
      </w:r>
      <w:r w:rsidRPr="008C7351">
        <w:rPr>
          <w:rFonts w:ascii="Times New Roman" w:hAnsi="Times New Roman"/>
          <w:sz w:val="28"/>
          <w:szCs w:val="28"/>
        </w:rPr>
        <w:t xml:space="preserve">atrodas </w:t>
      </w:r>
      <w:r w:rsidR="00044C56" w:rsidRPr="008C7351">
        <w:rPr>
          <w:rFonts w:ascii="Times New Roman" w:hAnsi="Times New Roman"/>
          <w:sz w:val="28"/>
          <w:szCs w:val="28"/>
        </w:rPr>
        <w:t>6 lietas.</w:t>
      </w:r>
    </w:p>
    <w:p w14:paraId="17CC2153" w14:textId="4E79BC48" w:rsidR="00044C56" w:rsidRPr="008C7351" w:rsidRDefault="00044C56" w:rsidP="00CD4DD4">
      <w:pPr>
        <w:spacing w:after="0" w:line="240" w:lineRule="auto"/>
        <w:jc w:val="both"/>
        <w:rPr>
          <w:rFonts w:ascii="Times New Roman" w:hAnsi="Times New Roman"/>
          <w:sz w:val="28"/>
          <w:szCs w:val="28"/>
        </w:rPr>
      </w:pPr>
      <w:r w:rsidRPr="008C7351">
        <w:rPr>
          <w:rFonts w:ascii="Times New Roman" w:hAnsi="Times New Roman"/>
          <w:sz w:val="28"/>
          <w:szCs w:val="28"/>
        </w:rPr>
        <w:t xml:space="preserve">Saistībā ar OI </w:t>
      </w:r>
      <w:r w:rsidR="00297124">
        <w:rPr>
          <w:rFonts w:ascii="Times New Roman" w:hAnsi="Times New Roman"/>
          <w:sz w:val="28"/>
          <w:szCs w:val="28"/>
        </w:rPr>
        <w:t xml:space="preserve">mehānisma </w:t>
      </w:r>
      <w:r w:rsidRPr="008C7351">
        <w:rPr>
          <w:rFonts w:ascii="Times New Roman" w:hAnsi="Times New Roman"/>
          <w:sz w:val="28"/>
          <w:szCs w:val="28"/>
        </w:rPr>
        <w:t>uzraudzību, izbeigta 1 tiesvedība, spēkā stājies spriedums 1 lietā, vēl izskatīšanā dažā</w:t>
      </w:r>
      <w:r w:rsidR="00806CE3">
        <w:rPr>
          <w:rFonts w:ascii="Times New Roman" w:hAnsi="Times New Roman"/>
          <w:sz w:val="28"/>
          <w:szCs w:val="28"/>
        </w:rPr>
        <w:t>dā</w:t>
      </w:r>
      <w:r w:rsidRPr="008C7351">
        <w:rPr>
          <w:rFonts w:ascii="Times New Roman" w:hAnsi="Times New Roman"/>
          <w:sz w:val="28"/>
          <w:szCs w:val="28"/>
        </w:rPr>
        <w:t>s instances tiesās atrodas 21 lieta.</w:t>
      </w:r>
    </w:p>
    <w:p w14:paraId="26C9462B" w14:textId="0D1AAD99" w:rsidR="00E73DBA" w:rsidRPr="008C7351" w:rsidRDefault="00CD4DD4" w:rsidP="00CD4DD4">
      <w:pPr>
        <w:spacing w:after="0" w:line="240" w:lineRule="auto"/>
        <w:jc w:val="both"/>
        <w:rPr>
          <w:rFonts w:ascii="Times New Roman" w:hAnsi="Times New Roman"/>
          <w:sz w:val="28"/>
          <w:szCs w:val="28"/>
        </w:rPr>
      </w:pPr>
      <w:r w:rsidRPr="008C7351">
        <w:rPr>
          <w:rFonts w:ascii="Times New Roman" w:hAnsi="Times New Roman"/>
          <w:sz w:val="28"/>
          <w:szCs w:val="28"/>
        </w:rPr>
        <w:t>Saistībā ar zaudējumu atlīdzināšanu šobrīd Administratīvajā rajona tiesā atrodas 4 lietas, savukārt par Ekonomikas ministrijas faktisko rīcību 2 lietas.</w:t>
      </w:r>
    </w:p>
    <w:p w14:paraId="09EA815D" w14:textId="546AC9F9" w:rsidR="00545B6F" w:rsidRPr="008C7351" w:rsidRDefault="00545B6F" w:rsidP="00F6165C">
      <w:pPr>
        <w:spacing w:before="120" w:after="120" w:line="240" w:lineRule="auto"/>
        <w:jc w:val="both"/>
        <w:rPr>
          <w:rFonts w:ascii="Times New Roman" w:hAnsi="Times New Roman"/>
          <w:b/>
          <w:sz w:val="28"/>
          <w:szCs w:val="28"/>
        </w:rPr>
      </w:pPr>
    </w:p>
    <w:p w14:paraId="760FAC34" w14:textId="287E21FC" w:rsidR="00234ED8" w:rsidRPr="008C7351" w:rsidRDefault="00234ED8" w:rsidP="00F6165C">
      <w:pPr>
        <w:spacing w:before="120" w:after="120" w:line="240" w:lineRule="auto"/>
        <w:jc w:val="both"/>
        <w:rPr>
          <w:rFonts w:ascii="Times New Roman" w:hAnsi="Times New Roman"/>
          <w:b/>
          <w:sz w:val="28"/>
          <w:szCs w:val="28"/>
        </w:rPr>
      </w:pPr>
      <w:r w:rsidRPr="008C7351">
        <w:rPr>
          <w:rFonts w:ascii="Times New Roman" w:hAnsi="Times New Roman"/>
          <w:b/>
          <w:sz w:val="28"/>
          <w:szCs w:val="28"/>
        </w:rPr>
        <w:t xml:space="preserve">IV. OIK un OI mehānisma tiesiskuma </w:t>
      </w:r>
      <w:proofErr w:type="spellStart"/>
      <w:r w:rsidRPr="008C7351">
        <w:rPr>
          <w:rFonts w:ascii="Times New Roman" w:hAnsi="Times New Roman"/>
          <w:b/>
          <w:sz w:val="28"/>
          <w:szCs w:val="28"/>
        </w:rPr>
        <w:t>izvērtējumi</w:t>
      </w:r>
      <w:proofErr w:type="spellEnd"/>
    </w:p>
    <w:p w14:paraId="4D1D64D6" w14:textId="4500D4F2" w:rsidR="00A96E88" w:rsidRPr="008C7351" w:rsidRDefault="00A96E88" w:rsidP="00F6165C">
      <w:pPr>
        <w:spacing w:before="120" w:after="120" w:line="240" w:lineRule="auto"/>
        <w:jc w:val="both"/>
        <w:rPr>
          <w:rFonts w:ascii="Times New Roman" w:hAnsi="Times New Roman"/>
          <w:sz w:val="28"/>
          <w:szCs w:val="28"/>
        </w:rPr>
      </w:pPr>
      <w:r w:rsidRPr="008C7351">
        <w:rPr>
          <w:rFonts w:ascii="Times New Roman" w:hAnsi="Times New Roman"/>
          <w:sz w:val="28"/>
          <w:szCs w:val="28"/>
        </w:rPr>
        <w:t>Aplūkojot iespējamo OIK atcelšanu, būtisk</w:t>
      </w:r>
      <w:r w:rsidR="00381E1E" w:rsidRPr="008C7351">
        <w:rPr>
          <w:rFonts w:ascii="Times New Roman" w:hAnsi="Times New Roman"/>
          <w:sz w:val="28"/>
          <w:szCs w:val="28"/>
        </w:rPr>
        <w:t xml:space="preserve">a </w:t>
      </w:r>
      <w:r w:rsidR="009E510D" w:rsidRPr="008C7351">
        <w:rPr>
          <w:rFonts w:ascii="Times New Roman" w:hAnsi="Times New Roman"/>
          <w:sz w:val="28"/>
          <w:szCs w:val="28"/>
        </w:rPr>
        <w:t>vērība ir jāpievērš jautājumam par tiesiskumu</w:t>
      </w:r>
      <w:r w:rsidR="00381E1E" w:rsidRPr="008C7351">
        <w:rPr>
          <w:rFonts w:ascii="Times New Roman" w:hAnsi="Times New Roman"/>
          <w:sz w:val="28"/>
          <w:szCs w:val="28"/>
        </w:rPr>
        <w:t>.</w:t>
      </w:r>
      <w:r w:rsidR="009E510D" w:rsidRPr="008C7351">
        <w:rPr>
          <w:rFonts w:ascii="Times New Roman" w:hAnsi="Times New Roman"/>
          <w:sz w:val="28"/>
          <w:szCs w:val="28"/>
        </w:rPr>
        <w:t xml:space="preserve"> </w:t>
      </w:r>
      <w:r w:rsidR="00A41E37" w:rsidRPr="008C7351">
        <w:rPr>
          <w:rFonts w:ascii="Times New Roman" w:hAnsi="Times New Roman"/>
          <w:sz w:val="28"/>
          <w:szCs w:val="28"/>
        </w:rPr>
        <w:t xml:space="preserve">Līdz šim </w:t>
      </w:r>
      <w:r w:rsidR="002069EB" w:rsidRPr="008C7351">
        <w:rPr>
          <w:rFonts w:ascii="Times New Roman" w:hAnsi="Times New Roman"/>
          <w:sz w:val="28"/>
          <w:szCs w:val="28"/>
        </w:rPr>
        <w:t xml:space="preserve">šie jautājumi ir </w:t>
      </w:r>
      <w:r w:rsidR="00CA242B" w:rsidRPr="008C7351">
        <w:rPr>
          <w:rFonts w:ascii="Times New Roman" w:hAnsi="Times New Roman"/>
          <w:sz w:val="28"/>
          <w:szCs w:val="28"/>
        </w:rPr>
        <w:t xml:space="preserve">vērtēti </w:t>
      </w:r>
      <w:r w:rsidR="006B2663" w:rsidRPr="008C7351">
        <w:rPr>
          <w:rFonts w:ascii="Times New Roman" w:hAnsi="Times New Roman"/>
          <w:sz w:val="28"/>
          <w:szCs w:val="28"/>
        </w:rPr>
        <w:t>normatīvo aktu</w:t>
      </w:r>
      <w:r w:rsidR="00D90375" w:rsidRPr="008C7351">
        <w:rPr>
          <w:rFonts w:ascii="Times New Roman" w:hAnsi="Times New Roman"/>
          <w:sz w:val="28"/>
          <w:szCs w:val="28"/>
        </w:rPr>
        <w:t>, ar ko izveidots un precizēts līdzšinējais OI mehānisms,</w:t>
      </w:r>
      <w:r w:rsidR="006B2663" w:rsidRPr="008C7351">
        <w:rPr>
          <w:rFonts w:ascii="Times New Roman" w:hAnsi="Times New Roman"/>
          <w:sz w:val="28"/>
          <w:szCs w:val="28"/>
        </w:rPr>
        <w:t xml:space="preserve"> izstrādes ietvaros, </w:t>
      </w:r>
      <w:r w:rsidR="00F738AA" w:rsidRPr="008C7351">
        <w:rPr>
          <w:rFonts w:ascii="Times New Roman" w:hAnsi="Times New Roman"/>
          <w:sz w:val="28"/>
          <w:szCs w:val="28"/>
        </w:rPr>
        <w:t xml:space="preserve">valsts atbalsta saskaņošanas procesa gaitā ar Eiropas Komisiju, </w:t>
      </w:r>
      <w:r w:rsidR="00DD1FA6" w:rsidRPr="008C7351">
        <w:rPr>
          <w:rFonts w:ascii="Times New Roman" w:hAnsi="Times New Roman"/>
          <w:sz w:val="28"/>
          <w:szCs w:val="28"/>
        </w:rPr>
        <w:t xml:space="preserve">kā arī </w:t>
      </w:r>
      <w:r w:rsidR="00D90375" w:rsidRPr="008C7351">
        <w:rPr>
          <w:rFonts w:ascii="Times New Roman" w:hAnsi="Times New Roman"/>
          <w:sz w:val="28"/>
          <w:szCs w:val="28"/>
        </w:rPr>
        <w:t xml:space="preserve">ar Ministru kabineta 2018.gada 24.aprīļa rīkojumu Nr.172 “Par darba grupu elektroenerģijas obligātā iepirkuma maksājumu sistēmas atcelšanai” </w:t>
      </w:r>
      <w:r w:rsidR="00DD1FA6" w:rsidRPr="008C7351">
        <w:rPr>
          <w:rFonts w:ascii="Times New Roman" w:hAnsi="Times New Roman"/>
          <w:sz w:val="28"/>
          <w:szCs w:val="28"/>
        </w:rPr>
        <w:t xml:space="preserve">ietvaros. </w:t>
      </w:r>
      <w:r w:rsidR="00F012D3" w:rsidRPr="008C7351">
        <w:rPr>
          <w:rFonts w:ascii="Times New Roman" w:hAnsi="Times New Roman"/>
          <w:sz w:val="28"/>
          <w:szCs w:val="28"/>
        </w:rPr>
        <w:t xml:space="preserve">Juridiskie jautājumi skarti arī </w:t>
      </w:r>
      <w:r w:rsidR="00545B6F" w:rsidRPr="008C7351">
        <w:rPr>
          <w:rFonts w:ascii="Times New Roman" w:hAnsi="Times New Roman"/>
          <w:sz w:val="28"/>
          <w:szCs w:val="28"/>
        </w:rPr>
        <w:t xml:space="preserve">Latvijas Tirdzniecības un rūpniecības kameras </w:t>
      </w:r>
      <w:r w:rsidR="00DD1FA6" w:rsidRPr="008C7351">
        <w:rPr>
          <w:rFonts w:ascii="Times New Roman" w:hAnsi="Times New Roman"/>
          <w:sz w:val="28"/>
          <w:szCs w:val="28"/>
        </w:rPr>
        <w:t xml:space="preserve">2018. gada februārī </w:t>
      </w:r>
      <w:r w:rsidR="00F012D3" w:rsidRPr="008C7351">
        <w:rPr>
          <w:rFonts w:ascii="Times New Roman" w:hAnsi="Times New Roman"/>
          <w:sz w:val="28"/>
          <w:szCs w:val="28"/>
        </w:rPr>
        <w:t>publicētajā ziņojumā</w:t>
      </w:r>
      <w:r w:rsidR="00C62D2E" w:rsidRPr="008C7351">
        <w:rPr>
          <w:rFonts w:ascii="Times New Roman" w:hAnsi="Times New Roman"/>
          <w:sz w:val="28"/>
          <w:szCs w:val="28"/>
        </w:rPr>
        <w:t xml:space="preserve"> “Par aktuālajiem OIK jautājumiem”</w:t>
      </w:r>
      <w:r w:rsidR="00F012D3" w:rsidRPr="008C7351">
        <w:rPr>
          <w:rFonts w:ascii="Times New Roman" w:hAnsi="Times New Roman"/>
          <w:sz w:val="28"/>
          <w:szCs w:val="28"/>
        </w:rPr>
        <w:t>.</w:t>
      </w:r>
    </w:p>
    <w:p w14:paraId="1DB1CD15" w14:textId="53BC92E4" w:rsidR="0099426D" w:rsidRPr="008C7351" w:rsidRDefault="0029761F" w:rsidP="00F6165C">
      <w:pPr>
        <w:spacing w:before="120" w:after="120" w:line="240" w:lineRule="auto"/>
        <w:jc w:val="both"/>
        <w:rPr>
          <w:rFonts w:ascii="Times New Roman" w:hAnsi="Times New Roman"/>
          <w:sz w:val="28"/>
          <w:szCs w:val="28"/>
        </w:rPr>
      </w:pPr>
      <w:r w:rsidRPr="008C7351">
        <w:rPr>
          <w:rFonts w:ascii="Times New Roman" w:hAnsi="Times New Roman"/>
          <w:sz w:val="28"/>
          <w:szCs w:val="28"/>
        </w:rPr>
        <w:t xml:space="preserve">Ņemot vērā </w:t>
      </w:r>
      <w:r w:rsidR="00CB6FC3" w:rsidRPr="008C7351">
        <w:rPr>
          <w:rFonts w:ascii="Times New Roman" w:hAnsi="Times New Roman"/>
          <w:sz w:val="28"/>
          <w:szCs w:val="28"/>
        </w:rPr>
        <w:t xml:space="preserve">pieejamo juridisko analīzi, šobrīd nav viennozīmīga vērtējuma par to, ka </w:t>
      </w:r>
      <w:r w:rsidR="00487753" w:rsidRPr="008C7351">
        <w:rPr>
          <w:rFonts w:ascii="Times New Roman" w:hAnsi="Times New Roman"/>
          <w:sz w:val="28"/>
          <w:szCs w:val="28"/>
        </w:rPr>
        <w:t>OIK būtu iespējams tiesiski atcelt ar 2019.gada 31.martu. Ievērojot to, Ekonomikas ministrijas ieskatā šajā jautājumā ir nepieciešams neatkarīgs trešās puses izvērtējums.</w:t>
      </w:r>
    </w:p>
    <w:p w14:paraId="5ECBD388" w14:textId="4C7EE1DF" w:rsidR="00884809" w:rsidRPr="008C7351" w:rsidRDefault="00884809" w:rsidP="00F6165C">
      <w:pPr>
        <w:spacing w:before="120" w:after="120" w:line="240" w:lineRule="auto"/>
        <w:jc w:val="both"/>
        <w:rPr>
          <w:rFonts w:ascii="Times New Roman" w:hAnsi="Times New Roman"/>
          <w:b/>
          <w:sz w:val="28"/>
          <w:szCs w:val="28"/>
        </w:rPr>
      </w:pPr>
    </w:p>
    <w:p w14:paraId="3AABFD35" w14:textId="7EE6568D" w:rsidR="00884809" w:rsidRPr="008C7351" w:rsidRDefault="00884809" w:rsidP="00F6165C">
      <w:pPr>
        <w:spacing w:before="120" w:after="120" w:line="240" w:lineRule="auto"/>
        <w:jc w:val="both"/>
        <w:rPr>
          <w:rFonts w:ascii="Times New Roman" w:hAnsi="Times New Roman"/>
          <w:b/>
          <w:sz w:val="28"/>
          <w:szCs w:val="28"/>
        </w:rPr>
      </w:pPr>
      <w:r w:rsidRPr="008C7351">
        <w:rPr>
          <w:rFonts w:ascii="Times New Roman" w:hAnsi="Times New Roman"/>
          <w:b/>
          <w:sz w:val="28"/>
          <w:szCs w:val="28"/>
        </w:rPr>
        <w:t>V. Rīcība pēc Saeimas lēmuma par OIK atcelšanu</w:t>
      </w:r>
    </w:p>
    <w:p w14:paraId="6F18D6B0" w14:textId="78782DBE" w:rsidR="00464294" w:rsidRPr="008C7351" w:rsidRDefault="00884809" w:rsidP="00884809">
      <w:pPr>
        <w:spacing w:before="120" w:after="120" w:line="240" w:lineRule="auto"/>
        <w:jc w:val="both"/>
        <w:rPr>
          <w:rFonts w:ascii="Times New Roman" w:eastAsia="Times New Roman" w:hAnsi="Times New Roman"/>
          <w:sz w:val="28"/>
          <w:szCs w:val="28"/>
        </w:rPr>
      </w:pPr>
      <w:r w:rsidRPr="008C7351">
        <w:rPr>
          <w:rFonts w:ascii="Times New Roman" w:eastAsia="Times New Roman" w:hAnsi="Times New Roman"/>
          <w:sz w:val="28"/>
          <w:szCs w:val="28"/>
        </w:rPr>
        <w:t xml:space="preserve">Ievērojot </w:t>
      </w:r>
      <w:r w:rsidR="00511E65" w:rsidRPr="008C7351">
        <w:rPr>
          <w:rFonts w:ascii="Times New Roman" w:eastAsia="Times New Roman" w:hAnsi="Times New Roman"/>
          <w:sz w:val="28"/>
          <w:szCs w:val="28"/>
        </w:rPr>
        <w:t>Saeimas</w:t>
      </w:r>
      <w:r w:rsidR="009B4AE4" w:rsidRPr="008C7351">
        <w:rPr>
          <w:rFonts w:ascii="Times New Roman" w:eastAsia="Times New Roman" w:hAnsi="Times New Roman"/>
          <w:sz w:val="28"/>
          <w:szCs w:val="28"/>
        </w:rPr>
        <w:t xml:space="preserve"> 2019.gada 10.janvāra</w:t>
      </w:r>
      <w:r w:rsidR="00511E65" w:rsidRPr="008C7351">
        <w:rPr>
          <w:rFonts w:ascii="Times New Roman" w:eastAsia="Times New Roman" w:hAnsi="Times New Roman"/>
          <w:sz w:val="28"/>
          <w:szCs w:val="28"/>
        </w:rPr>
        <w:t xml:space="preserve"> </w:t>
      </w:r>
      <w:r w:rsidR="009B4AE4" w:rsidRPr="008C7351">
        <w:rPr>
          <w:rFonts w:ascii="Times New Roman" w:eastAsia="Times New Roman" w:hAnsi="Times New Roman"/>
          <w:sz w:val="28"/>
          <w:szCs w:val="28"/>
        </w:rPr>
        <w:t>lēmumu</w:t>
      </w:r>
      <w:r w:rsidR="000A79CA" w:rsidRPr="008C7351">
        <w:rPr>
          <w:rFonts w:ascii="Times New Roman" w:eastAsia="Times New Roman" w:hAnsi="Times New Roman"/>
          <w:sz w:val="28"/>
          <w:szCs w:val="28"/>
        </w:rPr>
        <w:t xml:space="preserve"> un</w:t>
      </w:r>
      <w:r w:rsidRPr="008C7351">
        <w:rPr>
          <w:rFonts w:ascii="Times New Roman" w:eastAsia="Times New Roman" w:hAnsi="Times New Roman"/>
          <w:sz w:val="28"/>
          <w:szCs w:val="28"/>
        </w:rPr>
        <w:t xml:space="preserve"> Ministru prezidenta 2019.gada 14.janvāra rezolūciju, Ekonomikas ministrija ir </w:t>
      </w:r>
      <w:r w:rsidRPr="008C7351">
        <w:rPr>
          <w:rFonts w:ascii="Times New Roman" w:eastAsia="Times New Roman" w:hAnsi="Times New Roman"/>
          <w:b/>
          <w:sz w:val="28"/>
          <w:szCs w:val="28"/>
        </w:rPr>
        <w:t xml:space="preserve">uzsākusi darbu pie </w:t>
      </w:r>
      <w:r w:rsidR="00D0572E" w:rsidRPr="008C7351">
        <w:rPr>
          <w:rFonts w:ascii="Times New Roman" w:eastAsia="Times New Roman" w:hAnsi="Times New Roman"/>
          <w:b/>
          <w:sz w:val="28"/>
          <w:szCs w:val="28"/>
        </w:rPr>
        <w:t>normatīvā</w:t>
      </w:r>
      <w:r w:rsidRPr="008C7351">
        <w:rPr>
          <w:rFonts w:ascii="Times New Roman" w:eastAsia="Times New Roman" w:hAnsi="Times New Roman"/>
          <w:b/>
          <w:sz w:val="28"/>
          <w:szCs w:val="28"/>
        </w:rPr>
        <w:t xml:space="preserve"> akta projekta sagatavošanas</w:t>
      </w:r>
      <w:r w:rsidRPr="008C7351">
        <w:rPr>
          <w:rFonts w:ascii="Times New Roman" w:eastAsia="Times New Roman" w:hAnsi="Times New Roman"/>
          <w:sz w:val="28"/>
          <w:szCs w:val="28"/>
        </w:rPr>
        <w:t xml:space="preserve">, ko normatīvajos aktos noteiktā kārtībā plānots skaņot ar </w:t>
      </w:r>
      <w:r w:rsidR="00E76C55" w:rsidRPr="008C7351">
        <w:rPr>
          <w:rFonts w:ascii="Times New Roman" w:eastAsia="Times New Roman" w:hAnsi="Times New Roman"/>
          <w:sz w:val="28"/>
          <w:szCs w:val="28"/>
        </w:rPr>
        <w:t>iesaistītajām</w:t>
      </w:r>
      <w:r w:rsidRPr="008C7351">
        <w:rPr>
          <w:rFonts w:ascii="Times New Roman" w:eastAsia="Times New Roman" w:hAnsi="Times New Roman"/>
          <w:sz w:val="28"/>
          <w:szCs w:val="28"/>
        </w:rPr>
        <w:t xml:space="preserve"> pusēm pirms virzības </w:t>
      </w:r>
      <w:r w:rsidR="00E73DBA" w:rsidRPr="008C7351">
        <w:rPr>
          <w:rFonts w:ascii="Times New Roman" w:eastAsia="Times New Roman" w:hAnsi="Times New Roman"/>
          <w:sz w:val="28"/>
          <w:szCs w:val="28"/>
        </w:rPr>
        <w:t>izskatīšanai MK</w:t>
      </w:r>
      <w:r w:rsidRPr="008C7351">
        <w:rPr>
          <w:rFonts w:ascii="Times New Roman" w:eastAsia="Times New Roman" w:hAnsi="Times New Roman"/>
          <w:sz w:val="28"/>
          <w:szCs w:val="28"/>
        </w:rPr>
        <w:t>.</w:t>
      </w:r>
      <w:r w:rsidR="00D0572E" w:rsidRPr="008C7351">
        <w:rPr>
          <w:rFonts w:ascii="Times New Roman" w:eastAsia="Times New Roman" w:hAnsi="Times New Roman"/>
          <w:sz w:val="28"/>
          <w:szCs w:val="28"/>
        </w:rPr>
        <w:t xml:space="preserve"> </w:t>
      </w:r>
    </w:p>
    <w:p w14:paraId="4B0CBC33" w14:textId="5E04896C" w:rsidR="00884809" w:rsidRPr="008C7351" w:rsidRDefault="00884809" w:rsidP="00884809">
      <w:pPr>
        <w:spacing w:before="120" w:after="120" w:line="240" w:lineRule="auto"/>
        <w:jc w:val="both"/>
        <w:rPr>
          <w:rStyle w:val="eop"/>
          <w:rFonts w:ascii="Times New Roman" w:eastAsia="Times New Roman" w:hAnsi="Times New Roman"/>
          <w:sz w:val="28"/>
          <w:szCs w:val="28"/>
        </w:rPr>
      </w:pPr>
      <w:r w:rsidRPr="008C7351">
        <w:rPr>
          <w:rFonts w:ascii="Times New Roman" w:hAnsi="Times New Roman"/>
          <w:sz w:val="28"/>
          <w:szCs w:val="28"/>
        </w:rPr>
        <w:t xml:space="preserve">Nolūkā vispusīgi izvērtēt </w:t>
      </w:r>
      <w:r w:rsidR="00D0572E" w:rsidRPr="008C7351">
        <w:rPr>
          <w:rFonts w:ascii="Times New Roman" w:hAnsi="Times New Roman"/>
          <w:sz w:val="28"/>
          <w:szCs w:val="28"/>
        </w:rPr>
        <w:t>normatīvā</w:t>
      </w:r>
      <w:r w:rsidRPr="008C7351">
        <w:rPr>
          <w:rFonts w:ascii="Times New Roman" w:hAnsi="Times New Roman"/>
          <w:sz w:val="28"/>
          <w:szCs w:val="28"/>
        </w:rPr>
        <w:t xml:space="preserve"> akta projekta ietekmi un iespējamās sekas, Ekonomikas </w:t>
      </w:r>
      <w:r w:rsidRPr="008C7351">
        <w:rPr>
          <w:rFonts w:ascii="Times New Roman" w:eastAsia="Times New Roman" w:hAnsi="Times New Roman"/>
          <w:sz w:val="28"/>
          <w:szCs w:val="28"/>
        </w:rPr>
        <w:t xml:space="preserve">ministrija </w:t>
      </w:r>
      <w:r w:rsidRPr="008C7351">
        <w:rPr>
          <w:rFonts w:ascii="Times New Roman" w:eastAsia="Times New Roman" w:hAnsi="Times New Roman"/>
          <w:b/>
          <w:sz w:val="28"/>
          <w:szCs w:val="28"/>
        </w:rPr>
        <w:t>veic darbu pie neatkarīga trešās puses izvērtējuma</w:t>
      </w:r>
      <w:r w:rsidRPr="008C7351">
        <w:rPr>
          <w:rFonts w:ascii="Times New Roman" w:eastAsia="Times New Roman" w:hAnsi="Times New Roman"/>
          <w:sz w:val="28"/>
          <w:szCs w:val="28"/>
        </w:rPr>
        <w:t xml:space="preserve"> par </w:t>
      </w:r>
      <w:r w:rsidR="00511E65" w:rsidRPr="008C7351">
        <w:rPr>
          <w:rFonts w:ascii="Times New Roman" w:eastAsia="Times New Roman" w:hAnsi="Times New Roman"/>
          <w:sz w:val="28"/>
          <w:szCs w:val="28"/>
        </w:rPr>
        <w:t>OI</w:t>
      </w:r>
      <w:r w:rsidRPr="008C7351">
        <w:rPr>
          <w:rFonts w:ascii="Times New Roman" w:eastAsia="Times New Roman" w:hAnsi="Times New Roman"/>
          <w:sz w:val="28"/>
          <w:szCs w:val="28"/>
        </w:rPr>
        <w:t xml:space="preserve"> mehānisma atcelšanu un izmaksātā atbalsta atgūšanu tiesiskā ceļā. Paredzēts, ka šis vērtējums tiks pabeigts</w:t>
      </w:r>
      <w:r w:rsidRPr="008C7351">
        <w:rPr>
          <w:rStyle w:val="eop"/>
          <w:rFonts w:ascii="Times New Roman" w:hAnsi="Times New Roman"/>
          <w:sz w:val="28"/>
          <w:szCs w:val="28"/>
          <w:shd w:val="clear" w:color="auto" w:fill="FFFFFF"/>
        </w:rPr>
        <w:t xml:space="preserve"> līdz 2019.gada 1</w:t>
      </w:r>
      <w:r w:rsidR="0058761F" w:rsidRPr="008C7351">
        <w:rPr>
          <w:rStyle w:val="eop"/>
          <w:rFonts w:ascii="Times New Roman" w:hAnsi="Times New Roman"/>
          <w:sz w:val="28"/>
          <w:szCs w:val="28"/>
          <w:shd w:val="clear" w:color="auto" w:fill="FFFFFF"/>
        </w:rPr>
        <w:t>.</w:t>
      </w:r>
      <w:r w:rsidRPr="008C7351">
        <w:rPr>
          <w:rStyle w:val="eop"/>
          <w:rFonts w:ascii="Times New Roman" w:hAnsi="Times New Roman"/>
          <w:sz w:val="28"/>
          <w:szCs w:val="28"/>
          <w:shd w:val="clear" w:color="auto" w:fill="FFFFFF"/>
        </w:rPr>
        <w:t>martam.</w:t>
      </w:r>
    </w:p>
    <w:p w14:paraId="749D479A" w14:textId="02C043AA" w:rsidR="00C56268" w:rsidRPr="008C7351" w:rsidRDefault="00884809" w:rsidP="00884809">
      <w:pPr>
        <w:spacing w:before="120" w:after="120" w:line="240" w:lineRule="auto"/>
        <w:jc w:val="both"/>
        <w:rPr>
          <w:rFonts w:ascii="Times New Roman" w:eastAsia="Times New Roman" w:hAnsi="Times New Roman"/>
          <w:sz w:val="28"/>
          <w:szCs w:val="28"/>
        </w:rPr>
      </w:pPr>
      <w:r w:rsidRPr="008C7351">
        <w:rPr>
          <w:rFonts w:ascii="Times New Roman" w:hAnsi="Times New Roman"/>
          <w:sz w:val="28"/>
          <w:szCs w:val="28"/>
        </w:rPr>
        <w:t>Tāpat E</w:t>
      </w:r>
      <w:r w:rsidR="001C6BB6" w:rsidRPr="008C7351">
        <w:rPr>
          <w:rFonts w:ascii="Times New Roman" w:hAnsi="Times New Roman"/>
          <w:sz w:val="28"/>
          <w:szCs w:val="28"/>
        </w:rPr>
        <w:t>konomikas ministrija</w:t>
      </w:r>
      <w:r w:rsidRPr="008C7351">
        <w:rPr>
          <w:rFonts w:ascii="Times New Roman" w:hAnsi="Times New Roman"/>
          <w:sz w:val="28"/>
          <w:szCs w:val="28"/>
        </w:rPr>
        <w:t xml:space="preserve"> ir </w:t>
      </w:r>
      <w:r w:rsidR="00511E65" w:rsidRPr="008C7351">
        <w:rPr>
          <w:rFonts w:ascii="Times New Roman" w:hAnsi="Times New Roman"/>
          <w:sz w:val="28"/>
          <w:szCs w:val="28"/>
        </w:rPr>
        <w:t xml:space="preserve">lūgusi </w:t>
      </w:r>
      <w:r w:rsidR="00511E65" w:rsidRPr="008C7351">
        <w:rPr>
          <w:rFonts w:ascii="Times New Roman" w:hAnsi="Times New Roman"/>
          <w:b/>
          <w:sz w:val="28"/>
          <w:szCs w:val="28"/>
        </w:rPr>
        <w:t>iesaistīto pušu viedokli</w:t>
      </w:r>
      <w:r w:rsidR="00511E65" w:rsidRPr="008C7351">
        <w:rPr>
          <w:rFonts w:ascii="Times New Roman" w:hAnsi="Times New Roman"/>
          <w:sz w:val="28"/>
          <w:szCs w:val="28"/>
        </w:rPr>
        <w:t xml:space="preserve"> par </w:t>
      </w:r>
      <w:r w:rsidR="00511E65" w:rsidRPr="008C7351">
        <w:rPr>
          <w:rFonts w:ascii="Times New Roman" w:eastAsia="Times New Roman" w:hAnsi="Times New Roman"/>
          <w:sz w:val="28"/>
          <w:szCs w:val="28"/>
        </w:rPr>
        <w:t>Saeimas lēmuma</w:t>
      </w:r>
      <w:r w:rsidR="00AD2E46" w:rsidRPr="008C7351">
        <w:rPr>
          <w:rFonts w:ascii="Times New Roman" w:eastAsia="Times New Roman" w:hAnsi="Times New Roman"/>
          <w:sz w:val="28"/>
          <w:szCs w:val="28"/>
        </w:rPr>
        <w:t xml:space="preserve"> iespējamo</w:t>
      </w:r>
      <w:r w:rsidR="00511E65" w:rsidRPr="008C7351">
        <w:rPr>
          <w:rFonts w:ascii="Times New Roman" w:eastAsia="Times New Roman" w:hAnsi="Times New Roman"/>
          <w:sz w:val="28"/>
          <w:szCs w:val="28"/>
        </w:rPr>
        <w:t xml:space="preserve"> ietekmi</w:t>
      </w:r>
      <w:r w:rsidR="009F2CFA" w:rsidRPr="008C7351">
        <w:rPr>
          <w:rFonts w:ascii="Times New Roman" w:eastAsia="Times New Roman" w:hAnsi="Times New Roman"/>
          <w:sz w:val="28"/>
          <w:szCs w:val="28"/>
        </w:rPr>
        <w:t xml:space="preserve">. </w:t>
      </w:r>
      <w:r w:rsidR="0058761F" w:rsidRPr="008C7351">
        <w:rPr>
          <w:rFonts w:ascii="Times New Roman" w:eastAsia="Times New Roman" w:hAnsi="Times New Roman"/>
          <w:sz w:val="28"/>
          <w:szCs w:val="28"/>
        </w:rPr>
        <w:t>V</w:t>
      </w:r>
      <w:r w:rsidR="009F2CFA" w:rsidRPr="008C7351">
        <w:rPr>
          <w:rFonts w:ascii="Times New Roman" w:eastAsia="Times New Roman" w:hAnsi="Times New Roman"/>
          <w:sz w:val="28"/>
          <w:szCs w:val="28"/>
        </w:rPr>
        <w:t xml:space="preserve">iedokli ir lūgts </w:t>
      </w:r>
      <w:r w:rsidR="0058761F" w:rsidRPr="008C7351">
        <w:rPr>
          <w:rFonts w:ascii="Times New Roman" w:eastAsia="Times New Roman" w:hAnsi="Times New Roman"/>
          <w:sz w:val="28"/>
          <w:szCs w:val="28"/>
        </w:rPr>
        <w:t>sniegt Sabiedrisko pakalpojumu regulēšanas komisijai par ietekmi uz siltumenerģijas tarifiem pašvaldībās, AS</w:t>
      </w:r>
      <w:r w:rsidR="009D7BAD" w:rsidRPr="008C7351">
        <w:rPr>
          <w:rFonts w:ascii="Times New Roman" w:eastAsia="Times New Roman" w:hAnsi="Times New Roman"/>
          <w:sz w:val="28"/>
          <w:szCs w:val="28"/>
        </w:rPr>
        <w:t> </w:t>
      </w:r>
      <w:r w:rsidR="0058761F" w:rsidRPr="008C7351">
        <w:rPr>
          <w:rFonts w:ascii="Times New Roman" w:eastAsia="Times New Roman" w:hAnsi="Times New Roman"/>
          <w:sz w:val="28"/>
          <w:szCs w:val="28"/>
        </w:rPr>
        <w:t xml:space="preserve">“Augstspriegumu tīkls” par ietekmi uz elektroenerģijas </w:t>
      </w:r>
      <w:r w:rsidR="007E6351" w:rsidRPr="008C7351">
        <w:rPr>
          <w:rFonts w:ascii="Times New Roman" w:eastAsia="Times New Roman" w:hAnsi="Times New Roman"/>
          <w:sz w:val="28"/>
          <w:szCs w:val="28"/>
        </w:rPr>
        <w:t xml:space="preserve">sistēmas stabilitāti un </w:t>
      </w:r>
      <w:r w:rsidR="0058761F" w:rsidRPr="008C7351">
        <w:rPr>
          <w:rFonts w:ascii="Times New Roman" w:eastAsia="Times New Roman" w:hAnsi="Times New Roman"/>
          <w:sz w:val="28"/>
          <w:szCs w:val="28"/>
        </w:rPr>
        <w:t>cen</w:t>
      </w:r>
      <w:r w:rsidR="007E6351" w:rsidRPr="008C7351">
        <w:rPr>
          <w:rFonts w:ascii="Times New Roman" w:eastAsia="Times New Roman" w:hAnsi="Times New Roman"/>
          <w:sz w:val="28"/>
          <w:szCs w:val="28"/>
        </w:rPr>
        <w:t>u</w:t>
      </w:r>
      <w:r w:rsidR="0058761F" w:rsidRPr="008C7351">
        <w:rPr>
          <w:rFonts w:ascii="Times New Roman" w:eastAsia="Times New Roman" w:hAnsi="Times New Roman"/>
          <w:sz w:val="28"/>
          <w:szCs w:val="28"/>
        </w:rPr>
        <w:t xml:space="preserve">, Latvijas Atjaunojamās enerģijas federācijai par ietekmi uz atjaunojamās enerģijas ražošanu Latvijā, Lauksaimnieku organizācijas sadarbības padomei un Zemkopības ministrijai par ietekmi uz lauksaimniecības nozari, Vides aizsardzības un reģionālās attīstības ministrijai par ietekmi uz </w:t>
      </w:r>
      <w:r w:rsidR="00C56268" w:rsidRPr="008C7351">
        <w:rPr>
          <w:rFonts w:ascii="Times New Roman" w:eastAsia="Times New Roman" w:hAnsi="Times New Roman"/>
          <w:sz w:val="28"/>
          <w:szCs w:val="28"/>
        </w:rPr>
        <w:t>vidi un</w:t>
      </w:r>
      <w:r w:rsidR="0058761F" w:rsidRPr="008C7351">
        <w:rPr>
          <w:rFonts w:ascii="Times New Roman" w:eastAsia="Times New Roman" w:hAnsi="Times New Roman"/>
          <w:sz w:val="28"/>
          <w:szCs w:val="28"/>
        </w:rPr>
        <w:t xml:space="preserve"> klimata mērķu sasniegšanu, </w:t>
      </w:r>
      <w:r w:rsidR="00C56268" w:rsidRPr="008C7351">
        <w:rPr>
          <w:rFonts w:ascii="Times New Roman" w:eastAsia="Times New Roman" w:hAnsi="Times New Roman"/>
          <w:sz w:val="28"/>
          <w:szCs w:val="28"/>
        </w:rPr>
        <w:t>Finanšu nozares asociācijai par valsts atbalsta OI mehānisma ietvaros saņēmēju finansiālajām saistībām</w:t>
      </w:r>
      <w:r w:rsidR="0058761F" w:rsidRPr="008C7351">
        <w:rPr>
          <w:rFonts w:ascii="Times New Roman" w:eastAsia="Times New Roman" w:hAnsi="Times New Roman"/>
          <w:sz w:val="28"/>
          <w:szCs w:val="28"/>
        </w:rPr>
        <w:t xml:space="preserve"> </w:t>
      </w:r>
      <w:r w:rsidR="00C56268" w:rsidRPr="008C7351">
        <w:rPr>
          <w:rFonts w:ascii="Times New Roman" w:eastAsia="Times New Roman" w:hAnsi="Times New Roman"/>
          <w:sz w:val="28"/>
          <w:szCs w:val="28"/>
        </w:rPr>
        <w:t xml:space="preserve">un Finanšu ministrijai attiecībā uz komercdarbības atbalsta regulējuma ievērošanu. Tāpat viedoklis ir lūgts </w:t>
      </w:r>
      <w:r w:rsidR="00AD2E46" w:rsidRPr="008C7351">
        <w:rPr>
          <w:rFonts w:ascii="Times New Roman" w:eastAsia="Times New Roman" w:hAnsi="Times New Roman"/>
          <w:sz w:val="28"/>
          <w:szCs w:val="28"/>
        </w:rPr>
        <w:t xml:space="preserve">sniegt </w:t>
      </w:r>
      <w:r w:rsidR="00C56268" w:rsidRPr="008C7351">
        <w:rPr>
          <w:rFonts w:ascii="Times New Roman" w:eastAsia="Times New Roman" w:hAnsi="Times New Roman"/>
          <w:sz w:val="28"/>
          <w:szCs w:val="28"/>
        </w:rPr>
        <w:lastRenderedPageBreak/>
        <w:t>AS</w:t>
      </w:r>
      <w:r w:rsidR="009D7BAD" w:rsidRPr="008C7351">
        <w:rPr>
          <w:rFonts w:ascii="Times New Roman" w:eastAsia="Times New Roman" w:hAnsi="Times New Roman"/>
          <w:sz w:val="28"/>
          <w:szCs w:val="28"/>
        </w:rPr>
        <w:t> </w:t>
      </w:r>
      <w:r w:rsidR="00C56268" w:rsidRPr="008C7351">
        <w:rPr>
          <w:rFonts w:ascii="Times New Roman" w:eastAsia="Times New Roman" w:hAnsi="Times New Roman"/>
          <w:sz w:val="28"/>
          <w:szCs w:val="28"/>
        </w:rPr>
        <w:t>“Latvenergo” par Saeimas lēmuma ietekmi uz AS “Latvenergo” koncernu, tostarp par AS “Enerģijas publiskais tirgotājs” 2018.gadā</w:t>
      </w:r>
      <w:r w:rsidR="00166512" w:rsidRPr="008C7351">
        <w:rPr>
          <w:rFonts w:ascii="Times New Roman" w:eastAsia="Times New Roman" w:hAnsi="Times New Roman"/>
          <w:sz w:val="28"/>
          <w:szCs w:val="28"/>
        </w:rPr>
        <w:t xml:space="preserve"> radušos izmaksu segšanu</w:t>
      </w:r>
      <w:r w:rsidR="00C56268" w:rsidRPr="008C7351">
        <w:rPr>
          <w:rFonts w:ascii="Times New Roman" w:eastAsia="Times New Roman" w:hAnsi="Times New Roman"/>
          <w:sz w:val="28"/>
          <w:szCs w:val="28"/>
        </w:rPr>
        <w:t>, atceļot OIK, ar kuru</w:t>
      </w:r>
      <w:r w:rsidR="00AD2E46" w:rsidRPr="008C7351">
        <w:rPr>
          <w:rFonts w:ascii="Times New Roman" w:eastAsia="Times New Roman" w:hAnsi="Times New Roman"/>
          <w:sz w:val="28"/>
          <w:szCs w:val="28"/>
        </w:rPr>
        <w:t xml:space="preserve"> tekošajā gadā</w:t>
      </w:r>
      <w:r w:rsidR="00C56268" w:rsidRPr="008C7351">
        <w:rPr>
          <w:rFonts w:ascii="Times New Roman" w:eastAsia="Times New Roman" w:hAnsi="Times New Roman"/>
          <w:sz w:val="28"/>
          <w:szCs w:val="28"/>
        </w:rPr>
        <w:t xml:space="preserve"> tiek segtas iepriekšējā gadā OI mehānisma ietvaros radušās izmaksas.</w:t>
      </w:r>
    </w:p>
    <w:p w14:paraId="24F09399" w14:textId="08E2D8D4" w:rsidR="00535A11" w:rsidRPr="008C7351" w:rsidRDefault="00A42633" w:rsidP="00884809">
      <w:pPr>
        <w:spacing w:before="120" w:after="120" w:line="240" w:lineRule="auto"/>
        <w:jc w:val="both"/>
        <w:rPr>
          <w:rFonts w:ascii="Times New Roman" w:eastAsia="Times New Roman" w:hAnsi="Times New Roman"/>
          <w:sz w:val="28"/>
          <w:szCs w:val="28"/>
        </w:rPr>
      </w:pPr>
      <w:r w:rsidRPr="008C7351">
        <w:rPr>
          <w:rFonts w:ascii="Times New Roman" w:eastAsia="Times New Roman" w:hAnsi="Times New Roman"/>
          <w:sz w:val="28"/>
          <w:szCs w:val="28"/>
        </w:rPr>
        <w:t xml:space="preserve">Vienlaikus Ekonomikas ministrija lūgs </w:t>
      </w:r>
      <w:r w:rsidRPr="008C7351">
        <w:rPr>
          <w:rFonts w:ascii="Times New Roman" w:eastAsia="Times New Roman" w:hAnsi="Times New Roman"/>
          <w:b/>
          <w:sz w:val="28"/>
          <w:szCs w:val="28"/>
        </w:rPr>
        <w:t>Eiropas Komisijas viedokli</w:t>
      </w:r>
      <w:r w:rsidRPr="008C7351">
        <w:rPr>
          <w:rFonts w:ascii="Times New Roman" w:eastAsia="Times New Roman" w:hAnsi="Times New Roman"/>
          <w:sz w:val="28"/>
          <w:szCs w:val="28"/>
        </w:rPr>
        <w:t xml:space="preserve"> par to, vai par atbalstu, kas elektrostacijām sniegts pirms 2007.gada 1.jūlija, būtu nepieciešams atsevišķs Eiropas Komisijas saskaņojums, ņemot vērā, ka informācija par to bija iekļauta </w:t>
      </w:r>
      <w:r w:rsidRPr="008C7351">
        <w:rPr>
          <w:rFonts w:ascii="Times New Roman" w:hAnsi="Times New Roman"/>
          <w:sz w:val="28"/>
          <w:szCs w:val="28"/>
        </w:rPr>
        <w:t>EK 2017.gada 24.aprīļa lēmumā par valsts atbalstu SA.43140</w:t>
      </w:r>
      <w:r w:rsidRPr="008C7351">
        <w:rPr>
          <w:rFonts w:ascii="Times New Roman" w:hAnsi="Times New Roman"/>
          <w:sz w:val="28"/>
          <w:szCs w:val="28"/>
          <w:vertAlign w:val="superscript"/>
        </w:rPr>
        <w:t>3</w:t>
      </w:r>
      <w:r w:rsidRPr="008C7351">
        <w:rPr>
          <w:rFonts w:ascii="Times New Roman" w:hAnsi="Times New Roman"/>
          <w:sz w:val="28"/>
          <w:szCs w:val="28"/>
        </w:rPr>
        <w:t xml:space="preserve">, kā arī par to, vai būtu atgūstams tas atbalsts, kas izmaksāts elektrostacijām pirms minētā lēmuma spēkā stāšanās. </w:t>
      </w:r>
    </w:p>
    <w:p w14:paraId="65934A85" w14:textId="1A889AB8" w:rsidR="00884809" w:rsidRPr="008C7351" w:rsidRDefault="0022384D" w:rsidP="00F6165C">
      <w:pPr>
        <w:spacing w:before="120" w:after="120" w:line="240" w:lineRule="auto"/>
        <w:jc w:val="both"/>
        <w:rPr>
          <w:rFonts w:ascii="Times New Roman" w:hAnsi="Times New Roman"/>
          <w:sz w:val="28"/>
          <w:szCs w:val="28"/>
        </w:rPr>
      </w:pPr>
      <w:r w:rsidRPr="008C7351">
        <w:rPr>
          <w:rFonts w:ascii="Times New Roman" w:hAnsi="Times New Roman"/>
          <w:sz w:val="28"/>
          <w:szCs w:val="28"/>
        </w:rPr>
        <w:t>Minēto neatkarīgas trešās puses izvērtējumu</w:t>
      </w:r>
      <w:r w:rsidR="00A42633" w:rsidRPr="008C7351">
        <w:rPr>
          <w:rFonts w:ascii="Times New Roman" w:hAnsi="Times New Roman"/>
          <w:sz w:val="28"/>
          <w:szCs w:val="28"/>
        </w:rPr>
        <w:t>, Eiropas Komisijas</w:t>
      </w:r>
      <w:r w:rsidRPr="008C7351">
        <w:rPr>
          <w:rFonts w:ascii="Times New Roman" w:hAnsi="Times New Roman"/>
          <w:sz w:val="28"/>
          <w:szCs w:val="28"/>
        </w:rPr>
        <w:t xml:space="preserve"> un iesaistīto pušu viedokļus Ekonomikas ministrija izmantos </w:t>
      </w:r>
      <w:r w:rsidR="00D0572E" w:rsidRPr="008C7351">
        <w:rPr>
          <w:rFonts w:ascii="Times New Roman" w:hAnsi="Times New Roman"/>
          <w:sz w:val="28"/>
          <w:szCs w:val="28"/>
        </w:rPr>
        <w:t xml:space="preserve">normatīvā akta projekta un tā </w:t>
      </w:r>
      <w:r w:rsidR="00332E4A" w:rsidRPr="008C7351">
        <w:rPr>
          <w:rFonts w:ascii="Times New Roman" w:hAnsi="Times New Roman"/>
          <w:sz w:val="28"/>
          <w:szCs w:val="28"/>
        </w:rPr>
        <w:t>sākotnējās ietekmes novērtējuma ziņojuma (</w:t>
      </w:r>
      <w:r w:rsidR="00D0572E" w:rsidRPr="008C7351">
        <w:rPr>
          <w:rFonts w:ascii="Times New Roman" w:hAnsi="Times New Roman"/>
          <w:sz w:val="28"/>
          <w:szCs w:val="28"/>
        </w:rPr>
        <w:t>anotācijas</w:t>
      </w:r>
      <w:r w:rsidR="00332E4A" w:rsidRPr="008C7351">
        <w:rPr>
          <w:rFonts w:ascii="Times New Roman" w:hAnsi="Times New Roman"/>
          <w:sz w:val="28"/>
          <w:szCs w:val="28"/>
        </w:rPr>
        <w:t>)</w:t>
      </w:r>
      <w:r w:rsidRPr="008C7351">
        <w:rPr>
          <w:rFonts w:ascii="Times New Roman" w:hAnsi="Times New Roman"/>
          <w:sz w:val="28"/>
          <w:szCs w:val="28"/>
        </w:rPr>
        <w:t xml:space="preserve"> sagatavošanā. </w:t>
      </w:r>
    </w:p>
    <w:p w14:paraId="7472A699" w14:textId="74BBC1E8" w:rsidR="00450463" w:rsidRPr="008C7351" w:rsidRDefault="00450463" w:rsidP="00B57F54">
      <w:pPr>
        <w:spacing w:before="120" w:after="120" w:line="240" w:lineRule="auto"/>
        <w:jc w:val="both"/>
        <w:rPr>
          <w:rFonts w:ascii="Times New Roman" w:hAnsi="Times New Roman"/>
          <w:b/>
          <w:sz w:val="28"/>
          <w:szCs w:val="28"/>
        </w:rPr>
      </w:pPr>
    </w:p>
    <w:p w14:paraId="42C115DB" w14:textId="60695CBA" w:rsidR="00280894" w:rsidRPr="008C7351" w:rsidRDefault="00962954" w:rsidP="00FB5BC8">
      <w:pPr>
        <w:tabs>
          <w:tab w:val="center" w:pos="9072"/>
        </w:tabs>
        <w:spacing w:after="0" w:line="240" w:lineRule="auto"/>
        <w:jc w:val="both"/>
        <w:rPr>
          <w:rFonts w:ascii="Times New Roman" w:hAnsi="Times New Roman"/>
          <w:sz w:val="28"/>
          <w:szCs w:val="28"/>
        </w:rPr>
      </w:pPr>
      <w:r w:rsidRPr="008C7351">
        <w:rPr>
          <w:rFonts w:ascii="Times New Roman" w:hAnsi="Times New Roman"/>
          <w:sz w:val="28"/>
          <w:szCs w:val="28"/>
        </w:rPr>
        <w:t>Ministru prezidents</w:t>
      </w:r>
      <w:r w:rsidRPr="008C7351">
        <w:rPr>
          <w:rFonts w:ascii="Times New Roman" w:hAnsi="Times New Roman"/>
          <w:sz w:val="28"/>
          <w:szCs w:val="28"/>
        </w:rPr>
        <w:tab/>
      </w:r>
      <w:proofErr w:type="spellStart"/>
      <w:r w:rsidR="00A87DB5" w:rsidRPr="008C7351">
        <w:rPr>
          <w:rFonts w:ascii="Times New Roman" w:hAnsi="Times New Roman"/>
          <w:sz w:val="28"/>
          <w:szCs w:val="28"/>
        </w:rPr>
        <w:t>A.K.Kariņš</w:t>
      </w:r>
      <w:proofErr w:type="spellEnd"/>
    </w:p>
    <w:p w14:paraId="04704A9A" w14:textId="7593787B" w:rsidR="00366728" w:rsidRPr="008C7351" w:rsidRDefault="00366728" w:rsidP="00FB5BC8">
      <w:pPr>
        <w:tabs>
          <w:tab w:val="center" w:pos="9072"/>
        </w:tabs>
        <w:spacing w:after="0" w:line="240" w:lineRule="auto"/>
        <w:jc w:val="both"/>
        <w:rPr>
          <w:rFonts w:ascii="Times New Roman" w:hAnsi="Times New Roman"/>
          <w:sz w:val="28"/>
          <w:szCs w:val="28"/>
        </w:rPr>
      </w:pPr>
    </w:p>
    <w:p w14:paraId="3581ECBD" w14:textId="5463D16C" w:rsidR="00D51349" w:rsidRPr="008C7351" w:rsidRDefault="00D51349" w:rsidP="00FB5BC8">
      <w:pPr>
        <w:tabs>
          <w:tab w:val="center" w:pos="9072"/>
        </w:tabs>
        <w:spacing w:after="0" w:line="240" w:lineRule="auto"/>
        <w:jc w:val="both"/>
        <w:rPr>
          <w:rFonts w:ascii="Times New Roman" w:hAnsi="Times New Roman"/>
          <w:sz w:val="28"/>
          <w:szCs w:val="28"/>
        </w:rPr>
      </w:pPr>
    </w:p>
    <w:p w14:paraId="1465F002" w14:textId="77777777" w:rsidR="00D51349" w:rsidRPr="008C7351" w:rsidRDefault="00D51349" w:rsidP="00FB5BC8">
      <w:pPr>
        <w:tabs>
          <w:tab w:val="center" w:pos="9072"/>
        </w:tabs>
        <w:spacing w:after="0" w:line="240" w:lineRule="auto"/>
        <w:jc w:val="both"/>
        <w:rPr>
          <w:rFonts w:ascii="Times New Roman" w:hAnsi="Times New Roman"/>
          <w:sz w:val="28"/>
          <w:szCs w:val="28"/>
        </w:rPr>
      </w:pPr>
    </w:p>
    <w:p w14:paraId="62EAB9D4" w14:textId="77777777" w:rsidR="00FB5BC8" w:rsidRPr="008C7351" w:rsidRDefault="00FB5BC8" w:rsidP="00FB5BC8">
      <w:pPr>
        <w:tabs>
          <w:tab w:val="center" w:pos="9072"/>
        </w:tabs>
        <w:spacing w:after="0" w:line="240" w:lineRule="auto"/>
        <w:jc w:val="both"/>
        <w:rPr>
          <w:rFonts w:ascii="Times New Roman" w:hAnsi="Times New Roman"/>
          <w:sz w:val="28"/>
          <w:szCs w:val="28"/>
        </w:rPr>
      </w:pPr>
    </w:p>
    <w:p w14:paraId="18F8E4BB" w14:textId="202F59D4" w:rsidR="00280894" w:rsidRPr="008C7351" w:rsidRDefault="00A87DB5" w:rsidP="00FB5BC8">
      <w:pPr>
        <w:tabs>
          <w:tab w:val="center" w:pos="9072"/>
        </w:tabs>
        <w:spacing w:after="0" w:line="240" w:lineRule="auto"/>
        <w:jc w:val="both"/>
        <w:rPr>
          <w:rFonts w:ascii="Times New Roman" w:hAnsi="Times New Roman"/>
          <w:sz w:val="28"/>
          <w:szCs w:val="28"/>
        </w:rPr>
      </w:pPr>
      <w:r w:rsidRPr="008C7351">
        <w:rPr>
          <w:rFonts w:ascii="Times New Roman" w:hAnsi="Times New Roman"/>
          <w:sz w:val="28"/>
          <w:szCs w:val="28"/>
        </w:rPr>
        <w:t>E</w:t>
      </w:r>
      <w:r w:rsidR="00962954" w:rsidRPr="008C7351">
        <w:rPr>
          <w:rFonts w:ascii="Times New Roman" w:hAnsi="Times New Roman"/>
          <w:sz w:val="28"/>
          <w:szCs w:val="28"/>
        </w:rPr>
        <w:t xml:space="preserve">konomikas ministrs </w:t>
      </w:r>
      <w:r w:rsidR="00962954" w:rsidRPr="008C7351">
        <w:rPr>
          <w:rFonts w:ascii="Times New Roman" w:hAnsi="Times New Roman"/>
          <w:sz w:val="28"/>
          <w:szCs w:val="28"/>
        </w:rPr>
        <w:tab/>
      </w:r>
      <w:proofErr w:type="spellStart"/>
      <w:r w:rsidRPr="008C7351">
        <w:rPr>
          <w:rFonts w:ascii="Times New Roman" w:hAnsi="Times New Roman"/>
          <w:sz w:val="28"/>
          <w:szCs w:val="28"/>
        </w:rPr>
        <w:t>R.Nemiro</w:t>
      </w:r>
      <w:proofErr w:type="spellEnd"/>
    </w:p>
    <w:p w14:paraId="1F6B871E" w14:textId="77777777" w:rsidR="00366728" w:rsidRPr="008C7351" w:rsidRDefault="00366728" w:rsidP="00FB5BC8">
      <w:pPr>
        <w:tabs>
          <w:tab w:val="center" w:pos="9072"/>
        </w:tabs>
        <w:spacing w:after="0" w:line="240" w:lineRule="auto"/>
        <w:jc w:val="both"/>
        <w:rPr>
          <w:rFonts w:ascii="Times New Roman" w:hAnsi="Times New Roman"/>
          <w:sz w:val="28"/>
          <w:szCs w:val="28"/>
        </w:rPr>
      </w:pPr>
    </w:p>
    <w:p w14:paraId="7B2B51AD" w14:textId="25B5330D" w:rsidR="00FB5BC8" w:rsidRPr="008C7351" w:rsidRDefault="00FB5BC8" w:rsidP="00FB5BC8">
      <w:pPr>
        <w:tabs>
          <w:tab w:val="center" w:pos="9072"/>
        </w:tabs>
        <w:spacing w:after="0" w:line="240" w:lineRule="auto"/>
        <w:jc w:val="both"/>
        <w:rPr>
          <w:rFonts w:ascii="Times New Roman" w:hAnsi="Times New Roman"/>
          <w:sz w:val="28"/>
          <w:szCs w:val="28"/>
        </w:rPr>
      </w:pPr>
    </w:p>
    <w:p w14:paraId="337447A6" w14:textId="0EED818D" w:rsidR="00D51349" w:rsidRPr="008C7351" w:rsidRDefault="00D51349" w:rsidP="00FB5BC8">
      <w:pPr>
        <w:tabs>
          <w:tab w:val="center" w:pos="9072"/>
        </w:tabs>
        <w:spacing w:after="0" w:line="240" w:lineRule="auto"/>
        <w:jc w:val="both"/>
        <w:rPr>
          <w:rFonts w:ascii="Times New Roman" w:hAnsi="Times New Roman"/>
          <w:sz w:val="28"/>
          <w:szCs w:val="28"/>
        </w:rPr>
      </w:pPr>
    </w:p>
    <w:p w14:paraId="488FB452" w14:textId="77777777" w:rsidR="00D51349" w:rsidRPr="008C7351" w:rsidRDefault="00D51349" w:rsidP="00FB5BC8">
      <w:pPr>
        <w:tabs>
          <w:tab w:val="center" w:pos="9072"/>
        </w:tabs>
        <w:spacing w:after="0" w:line="240" w:lineRule="auto"/>
        <w:jc w:val="both"/>
        <w:rPr>
          <w:rFonts w:ascii="Times New Roman" w:hAnsi="Times New Roman"/>
          <w:sz w:val="28"/>
          <w:szCs w:val="28"/>
        </w:rPr>
      </w:pPr>
    </w:p>
    <w:p w14:paraId="47E95A80" w14:textId="77777777" w:rsidR="00280894" w:rsidRPr="008C7351" w:rsidRDefault="00962954" w:rsidP="00FB5BC8">
      <w:pPr>
        <w:tabs>
          <w:tab w:val="center" w:pos="9072"/>
        </w:tabs>
        <w:spacing w:after="0" w:line="240" w:lineRule="auto"/>
        <w:jc w:val="both"/>
        <w:rPr>
          <w:rFonts w:ascii="Times New Roman" w:hAnsi="Times New Roman"/>
          <w:sz w:val="28"/>
          <w:szCs w:val="28"/>
        </w:rPr>
      </w:pPr>
      <w:r w:rsidRPr="008C7351">
        <w:rPr>
          <w:rFonts w:ascii="Times New Roman" w:hAnsi="Times New Roman"/>
          <w:sz w:val="28"/>
          <w:szCs w:val="28"/>
        </w:rPr>
        <w:t>Valsts kancelejas direktors</w:t>
      </w:r>
      <w:r w:rsidRPr="008C7351">
        <w:rPr>
          <w:rFonts w:ascii="Times New Roman" w:hAnsi="Times New Roman"/>
          <w:sz w:val="28"/>
          <w:szCs w:val="28"/>
        </w:rPr>
        <w:tab/>
      </w:r>
      <w:proofErr w:type="spellStart"/>
      <w:r w:rsidRPr="008C7351">
        <w:rPr>
          <w:rFonts w:ascii="Times New Roman" w:hAnsi="Times New Roman"/>
          <w:sz w:val="28"/>
          <w:szCs w:val="28"/>
        </w:rPr>
        <w:t>J</w:t>
      </w:r>
      <w:r w:rsidR="004955CA" w:rsidRPr="008C7351">
        <w:rPr>
          <w:rFonts w:ascii="Times New Roman" w:hAnsi="Times New Roman"/>
          <w:sz w:val="28"/>
          <w:szCs w:val="28"/>
        </w:rPr>
        <w:t>.</w:t>
      </w:r>
      <w:r w:rsidRPr="008C7351">
        <w:rPr>
          <w:rFonts w:ascii="Times New Roman" w:hAnsi="Times New Roman"/>
          <w:sz w:val="28"/>
          <w:szCs w:val="28"/>
        </w:rPr>
        <w:t>Citskovskis</w:t>
      </w:r>
      <w:proofErr w:type="spellEnd"/>
    </w:p>
    <w:p w14:paraId="5E41B5B1" w14:textId="77777777" w:rsidR="00366728" w:rsidRPr="008C7351" w:rsidRDefault="00366728" w:rsidP="00FB5BC8">
      <w:pPr>
        <w:tabs>
          <w:tab w:val="center" w:pos="9072"/>
        </w:tabs>
        <w:spacing w:after="0" w:line="240" w:lineRule="auto"/>
        <w:jc w:val="both"/>
        <w:rPr>
          <w:rFonts w:ascii="Times New Roman" w:hAnsi="Times New Roman"/>
          <w:sz w:val="28"/>
          <w:szCs w:val="28"/>
        </w:rPr>
      </w:pPr>
    </w:p>
    <w:p w14:paraId="19E4354C" w14:textId="4C058D2C" w:rsidR="00FB5BC8" w:rsidRPr="008C7351" w:rsidRDefault="00FB5BC8" w:rsidP="00FB5BC8">
      <w:pPr>
        <w:tabs>
          <w:tab w:val="center" w:pos="9072"/>
        </w:tabs>
        <w:spacing w:after="0" w:line="240" w:lineRule="auto"/>
        <w:jc w:val="both"/>
        <w:rPr>
          <w:rFonts w:ascii="Times New Roman" w:hAnsi="Times New Roman"/>
          <w:sz w:val="28"/>
          <w:szCs w:val="28"/>
        </w:rPr>
      </w:pPr>
    </w:p>
    <w:p w14:paraId="0C05B398" w14:textId="51C78331" w:rsidR="00D51349" w:rsidRPr="008C7351" w:rsidRDefault="00D51349" w:rsidP="00FB5BC8">
      <w:pPr>
        <w:tabs>
          <w:tab w:val="center" w:pos="9072"/>
        </w:tabs>
        <w:spacing w:after="0" w:line="240" w:lineRule="auto"/>
        <w:jc w:val="both"/>
        <w:rPr>
          <w:rFonts w:ascii="Times New Roman" w:hAnsi="Times New Roman"/>
          <w:sz w:val="28"/>
          <w:szCs w:val="28"/>
        </w:rPr>
      </w:pPr>
    </w:p>
    <w:p w14:paraId="6E00D8BF" w14:textId="31881172" w:rsidR="00D51349" w:rsidRPr="008C7351" w:rsidRDefault="00D51349" w:rsidP="00FB5BC8">
      <w:pPr>
        <w:tabs>
          <w:tab w:val="center" w:pos="9072"/>
        </w:tabs>
        <w:spacing w:after="0" w:line="240" w:lineRule="auto"/>
        <w:jc w:val="both"/>
        <w:rPr>
          <w:rFonts w:ascii="Times New Roman" w:hAnsi="Times New Roman"/>
          <w:sz w:val="28"/>
          <w:szCs w:val="28"/>
        </w:rPr>
      </w:pPr>
    </w:p>
    <w:p w14:paraId="4C121835" w14:textId="77777777" w:rsidR="00D51349" w:rsidRPr="008C7351" w:rsidRDefault="00D51349" w:rsidP="00FB5BC8">
      <w:pPr>
        <w:tabs>
          <w:tab w:val="center" w:pos="9072"/>
        </w:tabs>
        <w:spacing w:after="0" w:line="240" w:lineRule="auto"/>
        <w:jc w:val="both"/>
        <w:rPr>
          <w:rFonts w:ascii="Times New Roman" w:hAnsi="Times New Roman"/>
          <w:sz w:val="28"/>
          <w:szCs w:val="28"/>
        </w:rPr>
      </w:pPr>
    </w:p>
    <w:p w14:paraId="62DD70F6" w14:textId="77777777" w:rsidR="0053013E" w:rsidRPr="00545B6F" w:rsidRDefault="00962954" w:rsidP="00FB5BC8">
      <w:pPr>
        <w:tabs>
          <w:tab w:val="center" w:pos="9072"/>
        </w:tabs>
        <w:spacing w:after="0" w:line="240" w:lineRule="auto"/>
        <w:jc w:val="both"/>
        <w:rPr>
          <w:rFonts w:ascii="Times New Roman" w:hAnsi="Times New Roman"/>
          <w:sz w:val="28"/>
          <w:szCs w:val="28"/>
        </w:rPr>
      </w:pPr>
      <w:r w:rsidRPr="008C7351">
        <w:rPr>
          <w:rFonts w:ascii="Times New Roman" w:hAnsi="Times New Roman"/>
          <w:sz w:val="28"/>
          <w:szCs w:val="28"/>
        </w:rPr>
        <w:t>Vīza: valsts sekretārs</w:t>
      </w:r>
      <w:r w:rsidRPr="008C7351">
        <w:rPr>
          <w:rFonts w:ascii="Times New Roman" w:hAnsi="Times New Roman"/>
          <w:sz w:val="28"/>
          <w:szCs w:val="28"/>
        </w:rPr>
        <w:tab/>
        <w:t xml:space="preserve">   </w:t>
      </w:r>
      <w:proofErr w:type="spellStart"/>
      <w:r w:rsidRPr="008C7351">
        <w:rPr>
          <w:rFonts w:ascii="Times New Roman" w:hAnsi="Times New Roman"/>
          <w:sz w:val="28"/>
          <w:szCs w:val="28"/>
        </w:rPr>
        <w:t>Ē.Eglītis</w:t>
      </w:r>
      <w:proofErr w:type="spellEnd"/>
    </w:p>
    <w:sectPr w:rsidR="0053013E" w:rsidRPr="00545B6F" w:rsidSect="000A79CA">
      <w:headerReference w:type="default" r:id="rId8"/>
      <w:footerReference w:type="default" r:id="rId9"/>
      <w:footerReference w:type="first" r:id="rId10"/>
      <w:pgSz w:w="11906" w:h="16838"/>
      <w:pgMar w:top="851" w:right="1134" w:bottom="993"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52722A" w14:textId="77777777" w:rsidR="0050720A" w:rsidRDefault="0050720A">
      <w:pPr>
        <w:spacing w:after="0" w:line="240" w:lineRule="auto"/>
      </w:pPr>
      <w:r>
        <w:separator/>
      </w:r>
    </w:p>
  </w:endnote>
  <w:endnote w:type="continuationSeparator" w:id="0">
    <w:p w14:paraId="23C685F0" w14:textId="77777777" w:rsidR="0050720A" w:rsidRDefault="00507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imesBody)">
    <w:altName w:val="Calibri"/>
    <w:panose1 w:val="00000000000000000000"/>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6F4B6" w14:textId="4DAEAE27" w:rsidR="00E85BD0" w:rsidRPr="00BE0E99" w:rsidRDefault="00BE0E99" w:rsidP="00BE0E99">
    <w:pPr>
      <w:pStyle w:val="Footer"/>
    </w:pPr>
    <w:r>
      <w:rPr>
        <w:rFonts w:ascii="Times New Roman" w:hAnsi="Times New Roman"/>
        <w:sz w:val="20"/>
      </w:rPr>
      <w:fldChar w:fldCharType="begin"/>
    </w:r>
    <w:r>
      <w:rPr>
        <w:rFonts w:ascii="Times New Roman" w:hAnsi="Times New Roman"/>
        <w:sz w:val="20"/>
      </w:rPr>
      <w:instrText xml:space="preserve"> FILENAME   \* MERGEFORMAT </w:instrText>
    </w:r>
    <w:r>
      <w:rPr>
        <w:rFonts w:ascii="Times New Roman" w:hAnsi="Times New Roman"/>
        <w:sz w:val="20"/>
      </w:rPr>
      <w:fldChar w:fldCharType="separate"/>
    </w:r>
    <w:r w:rsidR="00314F97">
      <w:rPr>
        <w:rFonts w:ascii="Times New Roman" w:hAnsi="Times New Roman"/>
        <w:noProof/>
        <w:sz w:val="20"/>
      </w:rPr>
      <w:t>EMIz_290119_OIK.docx</w:t>
    </w:r>
    <w:r>
      <w:rPr>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B2497" w14:textId="6B7786CC" w:rsidR="007C7639" w:rsidRPr="00F75303" w:rsidRDefault="00E44D2F" w:rsidP="00F75303">
    <w:pPr>
      <w:pStyle w:val="Footer"/>
    </w:pPr>
    <w:r>
      <w:rPr>
        <w:rFonts w:ascii="Times New Roman" w:hAnsi="Times New Roman"/>
        <w:sz w:val="20"/>
      </w:rPr>
      <w:fldChar w:fldCharType="begin"/>
    </w:r>
    <w:r>
      <w:rPr>
        <w:rFonts w:ascii="Times New Roman" w:hAnsi="Times New Roman"/>
        <w:sz w:val="20"/>
      </w:rPr>
      <w:instrText xml:space="preserve"> FILENAME   \* MERGEFORMAT </w:instrText>
    </w:r>
    <w:r>
      <w:rPr>
        <w:rFonts w:ascii="Times New Roman" w:hAnsi="Times New Roman"/>
        <w:sz w:val="20"/>
      </w:rPr>
      <w:fldChar w:fldCharType="separate"/>
    </w:r>
    <w:r w:rsidR="00314F97">
      <w:rPr>
        <w:rFonts w:ascii="Times New Roman" w:hAnsi="Times New Roman"/>
        <w:noProof/>
        <w:sz w:val="20"/>
      </w:rPr>
      <w:t>EMIz_290119_OIK.docx</w:t>
    </w:r>
    <w:r>
      <w:rPr>
        <w:rFonts w:ascii="Times New Roman" w:hAnsi="Times New Roman"/>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29CAED" w14:textId="77777777" w:rsidR="0050720A" w:rsidRDefault="0050720A" w:rsidP="00E85BD0">
      <w:pPr>
        <w:spacing w:after="0" w:line="240" w:lineRule="auto"/>
      </w:pPr>
      <w:r>
        <w:separator/>
      </w:r>
    </w:p>
  </w:footnote>
  <w:footnote w:type="continuationSeparator" w:id="0">
    <w:p w14:paraId="3C123C6A" w14:textId="77777777" w:rsidR="0050720A" w:rsidRDefault="0050720A" w:rsidP="00E85BD0">
      <w:pPr>
        <w:spacing w:after="0" w:line="240" w:lineRule="auto"/>
      </w:pPr>
      <w:r>
        <w:continuationSeparator/>
      </w:r>
    </w:p>
  </w:footnote>
  <w:footnote w:type="continuationNotice" w:id="1">
    <w:p w14:paraId="1B8E6156" w14:textId="77777777" w:rsidR="0050720A" w:rsidRDefault="0050720A">
      <w:pPr>
        <w:spacing w:after="0" w:line="240" w:lineRule="auto"/>
      </w:pPr>
    </w:p>
  </w:footnote>
  <w:footnote w:id="2">
    <w:p w14:paraId="597F6031" w14:textId="3A4203B9" w:rsidR="009B4AE4" w:rsidRPr="004563EC" w:rsidRDefault="009B4AE4" w:rsidP="003B23D6">
      <w:pPr>
        <w:pStyle w:val="FootnoteText"/>
        <w:jc w:val="both"/>
        <w:rPr>
          <w:sz w:val="18"/>
          <w:lang w:val="lv-LV"/>
        </w:rPr>
      </w:pPr>
      <w:r w:rsidRPr="004563EC">
        <w:rPr>
          <w:rStyle w:val="FootnoteReference"/>
          <w:sz w:val="18"/>
          <w:lang w:val="lv-LV"/>
        </w:rPr>
        <w:footnoteRef/>
      </w:r>
      <w:r w:rsidR="003B23D6" w:rsidRPr="004563EC">
        <w:rPr>
          <w:sz w:val="18"/>
          <w:lang w:val="lv-LV"/>
        </w:rPr>
        <w:t xml:space="preserve"> </w:t>
      </w:r>
      <w:r w:rsidR="00586C7D" w:rsidRPr="004563EC">
        <w:rPr>
          <w:sz w:val="18"/>
          <w:lang w:val="lv-LV"/>
        </w:rPr>
        <w:t>Saeimas 2019.gada 10.janvāra paziņojums “Par obligātā iepirkuma komponentes atcelšanu”, skatīt: https://likumi.lv/ta/id/304192-par-obligata-iepirkuma-komponentes-atcelsanu</w:t>
      </w:r>
    </w:p>
  </w:footnote>
  <w:footnote w:id="3">
    <w:p w14:paraId="51304B67" w14:textId="1AFDD589" w:rsidR="00D972FD" w:rsidRPr="00586C7D" w:rsidRDefault="00D972FD" w:rsidP="003B23D6">
      <w:pPr>
        <w:pStyle w:val="FootnoteText"/>
        <w:jc w:val="both"/>
        <w:rPr>
          <w:lang w:val="lv-LV"/>
        </w:rPr>
      </w:pPr>
      <w:r w:rsidRPr="004563EC">
        <w:rPr>
          <w:rStyle w:val="FootnoteReference"/>
          <w:sz w:val="18"/>
          <w:lang w:val="lv-LV"/>
        </w:rPr>
        <w:footnoteRef/>
      </w:r>
      <w:r w:rsidRPr="004563EC">
        <w:rPr>
          <w:sz w:val="18"/>
          <w:lang w:val="lv-LV"/>
        </w:rPr>
        <w:t xml:space="preserve"> Valsts atbalsta jautājums attiecībā uz TEC-2 šobrīd ir saskaņošanas procesā ar Eiropas Komisiju</w:t>
      </w:r>
      <w:r w:rsidR="002E0BBB" w:rsidRPr="004563EC">
        <w:rPr>
          <w:sz w:val="18"/>
          <w:lang w:val="lv-LV"/>
        </w:rPr>
        <w:t>.</w:t>
      </w:r>
    </w:p>
  </w:footnote>
  <w:footnote w:id="4">
    <w:p w14:paraId="489D0D59" w14:textId="6B66BB93" w:rsidR="00464294" w:rsidRPr="004563EC" w:rsidRDefault="00464294" w:rsidP="004563EC">
      <w:pPr>
        <w:pStyle w:val="FootnoteText"/>
        <w:jc w:val="both"/>
        <w:rPr>
          <w:sz w:val="18"/>
          <w:lang w:val="lv-LV"/>
        </w:rPr>
      </w:pPr>
      <w:r w:rsidRPr="004563EC">
        <w:rPr>
          <w:rStyle w:val="FootnoteReference"/>
          <w:sz w:val="18"/>
          <w:lang w:val="lv-LV"/>
        </w:rPr>
        <w:footnoteRef/>
      </w:r>
      <w:r w:rsidRPr="004563EC">
        <w:rPr>
          <w:sz w:val="18"/>
          <w:lang w:val="lv-LV"/>
        </w:rPr>
        <w:t xml:space="preserve"> </w:t>
      </w:r>
      <w:r w:rsidR="003B23D6" w:rsidRPr="004563EC">
        <w:rPr>
          <w:sz w:val="18"/>
          <w:lang w:val="lv-LV"/>
        </w:rPr>
        <w:t>Eiropas Komisijas 2017.gada 24.aprīļa lēmums valsts atbalsta lietā SA.43140 (2015/NN) “Atbalsts atjaunojamo energoresursu enerģijai un koģenerācijai”, tulkojumu skatīt: https://em.gov.lv/files/attachments/EK%20lemuma%20LV-courtesy%20translation.pdf</w:t>
      </w:r>
    </w:p>
  </w:footnote>
  <w:footnote w:id="5">
    <w:p w14:paraId="6C449599" w14:textId="5F0E1711" w:rsidR="00464294" w:rsidRPr="004563EC" w:rsidRDefault="00464294" w:rsidP="004563EC">
      <w:pPr>
        <w:pStyle w:val="FootnoteText"/>
        <w:jc w:val="both"/>
        <w:rPr>
          <w:sz w:val="18"/>
          <w:lang w:val="lv-LV"/>
        </w:rPr>
      </w:pPr>
      <w:r w:rsidRPr="004563EC">
        <w:rPr>
          <w:rStyle w:val="FootnoteReference"/>
          <w:sz w:val="18"/>
          <w:lang w:val="lv-LV"/>
        </w:rPr>
        <w:footnoteRef/>
      </w:r>
      <w:r w:rsidR="000804ED" w:rsidRPr="004563EC">
        <w:rPr>
          <w:sz w:val="18"/>
          <w:lang w:val="lv-LV"/>
        </w:rPr>
        <w:t xml:space="preserve"> Kopienas pamatnostādnes par atbalstu vides aizsardzībai (2001/C 37/03), skatīt: https://eur-lex.europa.eu/legal-content/LV/TXT/HTML/?uri=CELEX:32001Y0203(02)&amp;from=EN;  Kopienas pamatnostādnes par atbalstu vides aizsardzībai (2008/C 82/01), skatīt: https://eur-lex.europa.eu/legal-content/LV/ALL/?uri=CELEX:52008XC0401(03)</w:t>
      </w:r>
    </w:p>
  </w:footnote>
  <w:footnote w:id="6">
    <w:p w14:paraId="10419CE1" w14:textId="26CF1F7D" w:rsidR="00464294" w:rsidRPr="004563EC" w:rsidRDefault="00464294" w:rsidP="004563EC">
      <w:pPr>
        <w:pStyle w:val="FootnoteText"/>
        <w:jc w:val="both"/>
        <w:rPr>
          <w:sz w:val="18"/>
          <w:lang w:val="lv-LV"/>
        </w:rPr>
      </w:pPr>
      <w:r w:rsidRPr="004563EC">
        <w:rPr>
          <w:rStyle w:val="FootnoteReference"/>
          <w:sz w:val="18"/>
          <w:lang w:val="lv-LV"/>
        </w:rPr>
        <w:footnoteRef/>
      </w:r>
      <w:r w:rsidR="000804ED" w:rsidRPr="004563EC">
        <w:rPr>
          <w:sz w:val="18"/>
          <w:lang w:val="lv-LV"/>
        </w:rPr>
        <w:t xml:space="preserve"> Ministru kabineta 2007.gada 24.jūlija noteikumi Nr.503 “Noteikumi par elektroenerģijas ražošanu, izmantojot atjaunojamos energoresursus”, skatīt: https://likumi.lv/ta/id/162007-noteikumi-par-elektroenergijas-razosanu-izmantojot-atjaunojamos-energoresursus</w:t>
      </w:r>
    </w:p>
  </w:footnote>
  <w:footnote w:id="7">
    <w:p w14:paraId="145662E2" w14:textId="372ABA58" w:rsidR="00464294" w:rsidRPr="004563EC" w:rsidRDefault="00464294" w:rsidP="004563EC">
      <w:pPr>
        <w:pStyle w:val="FootnoteText"/>
        <w:jc w:val="both"/>
        <w:rPr>
          <w:sz w:val="18"/>
          <w:lang w:val="lv-LV"/>
        </w:rPr>
      </w:pPr>
      <w:r w:rsidRPr="004563EC">
        <w:rPr>
          <w:rStyle w:val="FootnoteReference"/>
          <w:sz w:val="18"/>
          <w:lang w:val="lv-LV"/>
        </w:rPr>
        <w:footnoteRef/>
      </w:r>
      <w:r w:rsidR="000804ED" w:rsidRPr="004563EC">
        <w:rPr>
          <w:sz w:val="18"/>
          <w:lang w:val="lv-LV"/>
        </w:rPr>
        <w:t xml:space="preserve"> Ministru kabineta 2009.gada 24.februāra noteikumi Nr.198 “Noteikumi par elektroenerģijas ražošanu, izmantojot atjaunojamos energoresursus, un cenu noteikšanas kārtību”, skatīt: https://likumi.lv/ta/id/189066-noteikumi-par-elektroenergijas-razosanu-izmantojot-atjaunojamos-energoresursus-un-cenu-noteiksanas-kartibu</w:t>
      </w:r>
    </w:p>
  </w:footnote>
  <w:footnote w:id="8">
    <w:p w14:paraId="44A1D41D" w14:textId="6F40739F" w:rsidR="00464294" w:rsidRPr="004563EC" w:rsidRDefault="00464294" w:rsidP="004563EC">
      <w:pPr>
        <w:pStyle w:val="FootnoteText"/>
        <w:jc w:val="both"/>
        <w:rPr>
          <w:sz w:val="18"/>
          <w:lang w:val="lv-LV"/>
        </w:rPr>
      </w:pPr>
      <w:r w:rsidRPr="004563EC">
        <w:rPr>
          <w:rStyle w:val="FootnoteReference"/>
          <w:sz w:val="18"/>
          <w:lang w:val="lv-LV"/>
        </w:rPr>
        <w:footnoteRef/>
      </w:r>
      <w:r w:rsidR="000804ED" w:rsidRPr="004563EC">
        <w:rPr>
          <w:sz w:val="18"/>
          <w:lang w:val="lv-LV"/>
        </w:rPr>
        <w:t xml:space="preserve"> Ministru kabineta 2009.gada 10.marta noteikumi Nr.221 “Noteikumi par elektroenerģijas ražošanu un cenu noteikšanu, ražojot elektroenerģiju koģenerācijā”, skatīt: https://likumi.lv/doc.php?id=189260</w:t>
      </w:r>
    </w:p>
  </w:footnote>
  <w:footnote w:id="9">
    <w:p w14:paraId="6B2B51E2" w14:textId="3FDA2FB4" w:rsidR="00464294" w:rsidRPr="00586C7D" w:rsidRDefault="00464294" w:rsidP="004563EC">
      <w:pPr>
        <w:pStyle w:val="FootnoteText"/>
        <w:jc w:val="both"/>
        <w:rPr>
          <w:lang w:val="lv-LV"/>
        </w:rPr>
      </w:pPr>
      <w:r w:rsidRPr="004563EC">
        <w:rPr>
          <w:rStyle w:val="FootnoteReference"/>
          <w:sz w:val="18"/>
          <w:lang w:val="lv-LV"/>
        </w:rPr>
        <w:footnoteRef/>
      </w:r>
      <w:r w:rsidR="000804ED" w:rsidRPr="004563EC">
        <w:rPr>
          <w:sz w:val="18"/>
          <w:lang w:val="lv-LV"/>
        </w:rPr>
        <w:t xml:space="preserve"> Ministru kabineta 2010.gada 16.marta noteikumi Nr.262 “Noteikumi par elektroenerģijas ražošanu, izmantojot atjaunojamos energoresursus, un cenu noteikšanas kārtību”, skatīt: https://likumi.lv/doc.php?id=207458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5F015" w14:textId="77777777" w:rsidR="00696AB3" w:rsidRPr="00366728" w:rsidRDefault="00962954">
    <w:pPr>
      <w:pStyle w:val="Header"/>
      <w:jc w:val="center"/>
      <w:rPr>
        <w:rFonts w:ascii="Times New Roman" w:hAnsi="Times New Roman"/>
        <w:sz w:val="24"/>
        <w:szCs w:val="24"/>
      </w:rPr>
    </w:pPr>
    <w:r w:rsidRPr="00366728">
      <w:rPr>
        <w:rFonts w:ascii="Times New Roman" w:hAnsi="Times New Roman"/>
        <w:sz w:val="24"/>
        <w:szCs w:val="24"/>
      </w:rPr>
      <w:fldChar w:fldCharType="begin"/>
    </w:r>
    <w:r w:rsidRPr="00366728">
      <w:rPr>
        <w:rFonts w:ascii="Times New Roman" w:hAnsi="Times New Roman"/>
        <w:sz w:val="24"/>
        <w:szCs w:val="24"/>
      </w:rPr>
      <w:instrText xml:space="preserve"> PAGE   \* MERGEFORMAT </w:instrText>
    </w:r>
    <w:r w:rsidRPr="00366728">
      <w:rPr>
        <w:rFonts w:ascii="Times New Roman" w:hAnsi="Times New Roman"/>
        <w:sz w:val="24"/>
        <w:szCs w:val="24"/>
      </w:rPr>
      <w:fldChar w:fldCharType="separate"/>
    </w:r>
    <w:r w:rsidR="00332E4A">
      <w:rPr>
        <w:rFonts w:ascii="Times New Roman" w:hAnsi="Times New Roman"/>
        <w:noProof/>
        <w:sz w:val="24"/>
        <w:szCs w:val="24"/>
      </w:rPr>
      <w:t>5</w:t>
    </w:r>
    <w:r w:rsidRPr="00366728">
      <w:rPr>
        <w:rFonts w:ascii="Times New Roman" w:hAnsi="Times New Roman"/>
        <w:noProof/>
        <w:sz w:val="24"/>
        <w:szCs w:val="24"/>
      </w:rPr>
      <w:fldChar w:fldCharType="end"/>
    </w:r>
  </w:p>
  <w:p w14:paraId="5868032F" w14:textId="77777777" w:rsidR="00696AB3" w:rsidRPr="00391FF4" w:rsidRDefault="00696AB3">
    <w:pPr>
      <w:pStyle w:val="Header"/>
      <w:rPr>
        <w:rFonts w:ascii="Calibri (imesBody)" w:hAnsi="Calibri (imesBody)"/>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6924C8B"/>
    <w:multiLevelType w:val="hybridMultilevel"/>
    <w:tmpl w:val="8B8AAD3C"/>
    <w:lvl w:ilvl="0" w:tplc="1BC4A822">
      <w:start w:val="1"/>
      <w:numFmt w:val="bullet"/>
      <w:lvlText w:val=""/>
      <w:lvlJc w:val="left"/>
      <w:pPr>
        <w:ind w:left="360" w:hanging="360"/>
      </w:pPr>
      <w:rPr>
        <w:rFonts w:ascii="Symbol" w:hAnsi="Symbol" w:hint="default"/>
      </w:rPr>
    </w:lvl>
    <w:lvl w:ilvl="1" w:tplc="AF969B26" w:tentative="1">
      <w:start w:val="1"/>
      <w:numFmt w:val="bullet"/>
      <w:lvlText w:val="o"/>
      <w:lvlJc w:val="left"/>
      <w:pPr>
        <w:ind w:left="1080" w:hanging="360"/>
      </w:pPr>
      <w:rPr>
        <w:rFonts w:ascii="Courier New" w:hAnsi="Courier New" w:cs="Courier New" w:hint="default"/>
      </w:rPr>
    </w:lvl>
    <w:lvl w:ilvl="2" w:tplc="AAF29414" w:tentative="1">
      <w:start w:val="1"/>
      <w:numFmt w:val="bullet"/>
      <w:lvlText w:val=""/>
      <w:lvlJc w:val="left"/>
      <w:pPr>
        <w:ind w:left="1800" w:hanging="360"/>
      </w:pPr>
      <w:rPr>
        <w:rFonts w:ascii="Wingdings" w:hAnsi="Wingdings" w:hint="default"/>
      </w:rPr>
    </w:lvl>
    <w:lvl w:ilvl="3" w:tplc="4034789E" w:tentative="1">
      <w:start w:val="1"/>
      <w:numFmt w:val="bullet"/>
      <w:lvlText w:val=""/>
      <w:lvlJc w:val="left"/>
      <w:pPr>
        <w:ind w:left="2520" w:hanging="360"/>
      </w:pPr>
      <w:rPr>
        <w:rFonts w:ascii="Symbol" w:hAnsi="Symbol" w:hint="default"/>
      </w:rPr>
    </w:lvl>
    <w:lvl w:ilvl="4" w:tplc="C92085AE" w:tentative="1">
      <w:start w:val="1"/>
      <w:numFmt w:val="bullet"/>
      <w:lvlText w:val="o"/>
      <w:lvlJc w:val="left"/>
      <w:pPr>
        <w:ind w:left="3240" w:hanging="360"/>
      </w:pPr>
      <w:rPr>
        <w:rFonts w:ascii="Courier New" w:hAnsi="Courier New" w:cs="Courier New" w:hint="default"/>
      </w:rPr>
    </w:lvl>
    <w:lvl w:ilvl="5" w:tplc="FB8A9006" w:tentative="1">
      <w:start w:val="1"/>
      <w:numFmt w:val="bullet"/>
      <w:lvlText w:val=""/>
      <w:lvlJc w:val="left"/>
      <w:pPr>
        <w:ind w:left="3960" w:hanging="360"/>
      </w:pPr>
      <w:rPr>
        <w:rFonts w:ascii="Wingdings" w:hAnsi="Wingdings" w:hint="default"/>
      </w:rPr>
    </w:lvl>
    <w:lvl w:ilvl="6" w:tplc="E2B82FB0" w:tentative="1">
      <w:start w:val="1"/>
      <w:numFmt w:val="bullet"/>
      <w:lvlText w:val=""/>
      <w:lvlJc w:val="left"/>
      <w:pPr>
        <w:ind w:left="4680" w:hanging="360"/>
      </w:pPr>
      <w:rPr>
        <w:rFonts w:ascii="Symbol" w:hAnsi="Symbol" w:hint="default"/>
      </w:rPr>
    </w:lvl>
    <w:lvl w:ilvl="7" w:tplc="BFDCCC52" w:tentative="1">
      <w:start w:val="1"/>
      <w:numFmt w:val="bullet"/>
      <w:lvlText w:val="o"/>
      <w:lvlJc w:val="left"/>
      <w:pPr>
        <w:ind w:left="5400" w:hanging="360"/>
      </w:pPr>
      <w:rPr>
        <w:rFonts w:ascii="Courier New" w:hAnsi="Courier New" w:cs="Courier New" w:hint="default"/>
      </w:rPr>
    </w:lvl>
    <w:lvl w:ilvl="8" w:tplc="1A34C6C0" w:tentative="1">
      <w:start w:val="1"/>
      <w:numFmt w:val="bullet"/>
      <w:lvlText w:val=""/>
      <w:lvlJc w:val="left"/>
      <w:pPr>
        <w:ind w:left="6120" w:hanging="360"/>
      </w:pPr>
      <w:rPr>
        <w:rFonts w:ascii="Wingdings" w:hAnsi="Wingdings" w:hint="default"/>
      </w:rPr>
    </w:lvl>
  </w:abstractNum>
  <w:abstractNum w:abstractNumId="1" w15:restartNumberingAfterBreak="0">
    <w:nsid w:val="07404F8B"/>
    <w:multiLevelType w:val="hybridMultilevel"/>
    <w:tmpl w:val="B75E32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1">
    <w:nsid w:val="088B5CEA"/>
    <w:multiLevelType w:val="hybridMultilevel"/>
    <w:tmpl w:val="34249BE6"/>
    <w:lvl w:ilvl="0" w:tplc="146A6F0E">
      <w:start w:val="1"/>
      <w:numFmt w:val="bullet"/>
      <w:lvlText w:val=""/>
      <w:lvlJc w:val="left"/>
      <w:pPr>
        <w:ind w:left="1440" w:hanging="360"/>
      </w:pPr>
      <w:rPr>
        <w:rFonts w:ascii="Wingdings" w:hAnsi="Wingdings" w:hint="default"/>
      </w:rPr>
    </w:lvl>
    <w:lvl w:ilvl="1" w:tplc="EC10DE3C">
      <w:start w:val="1"/>
      <w:numFmt w:val="bullet"/>
      <w:lvlText w:val="o"/>
      <w:lvlJc w:val="left"/>
      <w:pPr>
        <w:ind w:left="2160" w:hanging="360"/>
      </w:pPr>
      <w:rPr>
        <w:rFonts w:ascii="Courier New" w:hAnsi="Courier New" w:cs="Courier New" w:hint="default"/>
      </w:rPr>
    </w:lvl>
    <w:lvl w:ilvl="2" w:tplc="53123416" w:tentative="1">
      <w:start w:val="1"/>
      <w:numFmt w:val="bullet"/>
      <w:lvlText w:val=""/>
      <w:lvlJc w:val="left"/>
      <w:pPr>
        <w:ind w:left="2880" w:hanging="360"/>
      </w:pPr>
      <w:rPr>
        <w:rFonts w:ascii="Wingdings" w:hAnsi="Wingdings" w:hint="default"/>
      </w:rPr>
    </w:lvl>
    <w:lvl w:ilvl="3" w:tplc="BAEEBA62" w:tentative="1">
      <w:start w:val="1"/>
      <w:numFmt w:val="bullet"/>
      <w:lvlText w:val=""/>
      <w:lvlJc w:val="left"/>
      <w:pPr>
        <w:ind w:left="3600" w:hanging="360"/>
      </w:pPr>
      <w:rPr>
        <w:rFonts w:ascii="Symbol" w:hAnsi="Symbol" w:hint="default"/>
      </w:rPr>
    </w:lvl>
    <w:lvl w:ilvl="4" w:tplc="C7688990" w:tentative="1">
      <w:start w:val="1"/>
      <w:numFmt w:val="bullet"/>
      <w:lvlText w:val="o"/>
      <w:lvlJc w:val="left"/>
      <w:pPr>
        <w:ind w:left="4320" w:hanging="360"/>
      </w:pPr>
      <w:rPr>
        <w:rFonts w:ascii="Courier New" w:hAnsi="Courier New" w:cs="Courier New" w:hint="default"/>
      </w:rPr>
    </w:lvl>
    <w:lvl w:ilvl="5" w:tplc="CD14EED6" w:tentative="1">
      <w:start w:val="1"/>
      <w:numFmt w:val="bullet"/>
      <w:lvlText w:val=""/>
      <w:lvlJc w:val="left"/>
      <w:pPr>
        <w:ind w:left="5040" w:hanging="360"/>
      </w:pPr>
      <w:rPr>
        <w:rFonts w:ascii="Wingdings" w:hAnsi="Wingdings" w:hint="default"/>
      </w:rPr>
    </w:lvl>
    <w:lvl w:ilvl="6" w:tplc="0B10AB34" w:tentative="1">
      <w:start w:val="1"/>
      <w:numFmt w:val="bullet"/>
      <w:lvlText w:val=""/>
      <w:lvlJc w:val="left"/>
      <w:pPr>
        <w:ind w:left="5760" w:hanging="360"/>
      </w:pPr>
      <w:rPr>
        <w:rFonts w:ascii="Symbol" w:hAnsi="Symbol" w:hint="default"/>
      </w:rPr>
    </w:lvl>
    <w:lvl w:ilvl="7" w:tplc="8A22E56E" w:tentative="1">
      <w:start w:val="1"/>
      <w:numFmt w:val="bullet"/>
      <w:lvlText w:val="o"/>
      <w:lvlJc w:val="left"/>
      <w:pPr>
        <w:ind w:left="6480" w:hanging="360"/>
      </w:pPr>
      <w:rPr>
        <w:rFonts w:ascii="Courier New" w:hAnsi="Courier New" w:cs="Courier New" w:hint="default"/>
      </w:rPr>
    </w:lvl>
    <w:lvl w:ilvl="8" w:tplc="41BAF820" w:tentative="1">
      <w:start w:val="1"/>
      <w:numFmt w:val="bullet"/>
      <w:lvlText w:val=""/>
      <w:lvlJc w:val="left"/>
      <w:pPr>
        <w:ind w:left="7200" w:hanging="360"/>
      </w:pPr>
      <w:rPr>
        <w:rFonts w:ascii="Wingdings" w:hAnsi="Wingdings" w:hint="default"/>
      </w:rPr>
    </w:lvl>
  </w:abstractNum>
  <w:abstractNum w:abstractNumId="3" w15:restartNumberingAfterBreak="0">
    <w:nsid w:val="0A756282"/>
    <w:multiLevelType w:val="hybridMultilevel"/>
    <w:tmpl w:val="CC90488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AE039A0"/>
    <w:multiLevelType w:val="hybridMultilevel"/>
    <w:tmpl w:val="C2583D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1">
    <w:nsid w:val="2FBD2BDF"/>
    <w:multiLevelType w:val="hybridMultilevel"/>
    <w:tmpl w:val="78B40DE6"/>
    <w:lvl w:ilvl="0" w:tplc="FCB8B5E4">
      <w:start w:val="1"/>
      <w:numFmt w:val="bullet"/>
      <w:lvlText w:val=""/>
      <w:lvlJc w:val="left"/>
      <w:pPr>
        <w:ind w:left="1080" w:hanging="360"/>
      </w:pPr>
      <w:rPr>
        <w:rFonts w:ascii="Wingdings" w:hAnsi="Wingdings" w:hint="default"/>
      </w:rPr>
    </w:lvl>
    <w:lvl w:ilvl="1" w:tplc="88B404D6" w:tentative="1">
      <w:start w:val="1"/>
      <w:numFmt w:val="bullet"/>
      <w:lvlText w:val="o"/>
      <w:lvlJc w:val="left"/>
      <w:pPr>
        <w:ind w:left="1800" w:hanging="360"/>
      </w:pPr>
      <w:rPr>
        <w:rFonts w:ascii="Courier New" w:hAnsi="Courier New" w:cs="Courier New" w:hint="default"/>
      </w:rPr>
    </w:lvl>
    <w:lvl w:ilvl="2" w:tplc="CA024F5C" w:tentative="1">
      <w:start w:val="1"/>
      <w:numFmt w:val="bullet"/>
      <w:lvlText w:val=""/>
      <w:lvlJc w:val="left"/>
      <w:pPr>
        <w:ind w:left="2520" w:hanging="360"/>
      </w:pPr>
      <w:rPr>
        <w:rFonts w:ascii="Wingdings" w:hAnsi="Wingdings" w:hint="default"/>
      </w:rPr>
    </w:lvl>
    <w:lvl w:ilvl="3" w:tplc="1168340A" w:tentative="1">
      <w:start w:val="1"/>
      <w:numFmt w:val="bullet"/>
      <w:lvlText w:val=""/>
      <w:lvlJc w:val="left"/>
      <w:pPr>
        <w:ind w:left="3240" w:hanging="360"/>
      </w:pPr>
      <w:rPr>
        <w:rFonts w:ascii="Symbol" w:hAnsi="Symbol" w:hint="default"/>
      </w:rPr>
    </w:lvl>
    <w:lvl w:ilvl="4" w:tplc="CEF87D70" w:tentative="1">
      <w:start w:val="1"/>
      <w:numFmt w:val="bullet"/>
      <w:lvlText w:val="o"/>
      <w:lvlJc w:val="left"/>
      <w:pPr>
        <w:ind w:left="3960" w:hanging="360"/>
      </w:pPr>
      <w:rPr>
        <w:rFonts w:ascii="Courier New" w:hAnsi="Courier New" w:cs="Courier New" w:hint="default"/>
      </w:rPr>
    </w:lvl>
    <w:lvl w:ilvl="5" w:tplc="D7429546" w:tentative="1">
      <w:start w:val="1"/>
      <w:numFmt w:val="bullet"/>
      <w:lvlText w:val=""/>
      <w:lvlJc w:val="left"/>
      <w:pPr>
        <w:ind w:left="4680" w:hanging="360"/>
      </w:pPr>
      <w:rPr>
        <w:rFonts w:ascii="Wingdings" w:hAnsi="Wingdings" w:hint="default"/>
      </w:rPr>
    </w:lvl>
    <w:lvl w:ilvl="6" w:tplc="26D2BC30" w:tentative="1">
      <w:start w:val="1"/>
      <w:numFmt w:val="bullet"/>
      <w:lvlText w:val=""/>
      <w:lvlJc w:val="left"/>
      <w:pPr>
        <w:ind w:left="5400" w:hanging="360"/>
      </w:pPr>
      <w:rPr>
        <w:rFonts w:ascii="Symbol" w:hAnsi="Symbol" w:hint="default"/>
      </w:rPr>
    </w:lvl>
    <w:lvl w:ilvl="7" w:tplc="01B612E0" w:tentative="1">
      <w:start w:val="1"/>
      <w:numFmt w:val="bullet"/>
      <w:lvlText w:val="o"/>
      <w:lvlJc w:val="left"/>
      <w:pPr>
        <w:ind w:left="6120" w:hanging="360"/>
      </w:pPr>
      <w:rPr>
        <w:rFonts w:ascii="Courier New" w:hAnsi="Courier New" w:cs="Courier New" w:hint="default"/>
      </w:rPr>
    </w:lvl>
    <w:lvl w:ilvl="8" w:tplc="78584C2C" w:tentative="1">
      <w:start w:val="1"/>
      <w:numFmt w:val="bullet"/>
      <w:lvlText w:val=""/>
      <w:lvlJc w:val="left"/>
      <w:pPr>
        <w:ind w:left="6840" w:hanging="360"/>
      </w:pPr>
      <w:rPr>
        <w:rFonts w:ascii="Wingdings" w:hAnsi="Wingdings" w:hint="default"/>
      </w:rPr>
    </w:lvl>
  </w:abstractNum>
  <w:abstractNum w:abstractNumId="6" w15:restartNumberingAfterBreak="0">
    <w:nsid w:val="32563F95"/>
    <w:multiLevelType w:val="multilevel"/>
    <w:tmpl w:val="BFD83A46"/>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pStyle w:val="Heading4"/>
      <w:lvlText w:val="%1.%2.%3.%4."/>
      <w:lvlJc w:val="left"/>
      <w:pPr>
        <w:ind w:left="2632"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48042D4"/>
    <w:multiLevelType w:val="hybridMultilevel"/>
    <w:tmpl w:val="229C046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50302D6"/>
    <w:multiLevelType w:val="hybridMultilevel"/>
    <w:tmpl w:val="F51E04C0"/>
    <w:lvl w:ilvl="0" w:tplc="0EFE7DD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1">
    <w:nsid w:val="36B03698"/>
    <w:multiLevelType w:val="hybridMultilevel"/>
    <w:tmpl w:val="F69077DE"/>
    <w:lvl w:ilvl="0" w:tplc="3C5C1B54">
      <w:start w:val="1"/>
      <w:numFmt w:val="decimal"/>
      <w:lvlText w:val="%1)"/>
      <w:lvlJc w:val="left"/>
      <w:pPr>
        <w:ind w:left="720" w:hanging="360"/>
      </w:pPr>
      <w:rPr>
        <w:rFonts w:hint="default"/>
      </w:rPr>
    </w:lvl>
    <w:lvl w:ilvl="1" w:tplc="E716E000" w:tentative="1">
      <w:start w:val="1"/>
      <w:numFmt w:val="lowerLetter"/>
      <w:lvlText w:val="%2."/>
      <w:lvlJc w:val="left"/>
      <w:pPr>
        <w:ind w:left="1440" w:hanging="360"/>
      </w:pPr>
    </w:lvl>
    <w:lvl w:ilvl="2" w:tplc="15B29174" w:tentative="1">
      <w:start w:val="1"/>
      <w:numFmt w:val="lowerRoman"/>
      <w:lvlText w:val="%3."/>
      <w:lvlJc w:val="right"/>
      <w:pPr>
        <w:ind w:left="2160" w:hanging="180"/>
      </w:pPr>
    </w:lvl>
    <w:lvl w:ilvl="3" w:tplc="866C6F9A" w:tentative="1">
      <w:start w:val="1"/>
      <w:numFmt w:val="decimal"/>
      <w:lvlText w:val="%4."/>
      <w:lvlJc w:val="left"/>
      <w:pPr>
        <w:ind w:left="2880" w:hanging="360"/>
      </w:pPr>
    </w:lvl>
    <w:lvl w:ilvl="4" w:tplc="F7D2CE5A" w:tentative="1">
      <w:start w:val="1"/>
      <w:numFmt w:val="lowerLetter"/>
      <w:lvlText w:val="%5."/>
      <w:lvlJc w:val="left"/>
      <w:pPr>
        <w:ind w:left="3600" w:hanging="360"/>
      </w:pPr>
    </w:lvl>
    <w:lvl w:ilvl="5" w:tplc="F26E1E6E" w:tentative="1">
      <w:start w:val="1"/>
      <w:numFmt w:val="lowerRoman"/>
      <w:lvlText w:val="%6."/>
      <w:lvlJc w:val="right"/>
      <w:pPr>
        <w:ind w:left="4320" w:hanging="180"/>
      </w:pPr>
    </w:lvl>
    <w:lvl w:ilvl="6" w:tplc="BE382292" w:tentative="1">
      <w:start w:val="1"/>
      <w:numFmt w:val="decimal"/>
      <w:lvlText w:val="%7."/>
      <w:lvlJc w:val="left"/>
      <w:pPr>
        <w:ind w:left="5040" w:hanging="360"/>
      </w:pPr>
    </w:lvl>
    <w:lvl w:ilvl="7" w:tplc="91B41BF6" w:tentative="1">
      <w:start w:val="1"/>
      <w:numFmt w:val="lowerLetter"/>
      <w:lvlText w:val="%8."/>
      <w:lvlJc w:val="left"/>
      <w:pPr>
        <w:ind w:left="5760" w:hanging="360"/>
      </w:pPr>
    </w:lvl>
    <w:lvl w:ilvl="8" w:tplc="07CC8602" w:tentative="1">
      <w:start w:val="1"/>
      <w:numFmt w:val="lowerRoman"/>
      <w:lvlText w:val="%9."/>
      <w:lvlJc w:val="right"/>
      <w:pPr>
        <w:ind w:left="6480" w:hanging="180"/>
      </w:pPr>
    </w:lvl>
  </w:abstractNum>
  <w:abstractNum w:abstractNumId="10" w15:restartNumberingAfterBreak="1">
    <w:nsid w:val="473B5F26"/>
    <w:multiLevelType w:val="hybridMultilevel"/>
    <w:tmpl w:val="41E68D4C"/>
    <w:lvl w:ilvl="0" w:tplc="D02CCACC">
      <w:start w:val="1"/>
      <w:numFmt w:val="bullet"/>
      <w:lvlText w:val=""/>
      <w:lvlJc w:val="left"/>
      <w:pPr>
        <w:ind w:left="1080" w:hanging="360"/>
      </w:pPr>
      <w:rPr>
        <w:rFonts w:ascii="Wingdings" w:hAnsi="Wingdings" w:hint="default"/>
      </w:rPr>
    </w:lvl>
    <w:lvl w:ilvl="1" w:tplc="6C22D978">
      <w:start w:val="1"/>
      <w:numFmt w:val="bullet"/>
      <w:lvlText w:val=""/>
      <w:lvlJc w:val="left"/>
      <w:pPr>
        <w:ind w:left="1080" w:hanging="360"/>
      </w:pPr>
      <w:rPr>
        <w:rFonts w:ascii="Symbol" w:hAnsi="Symbol" w:hint="default"/>
      </w:rPr>
    </w:lvl>
    <w:lvl w:ilvl="2" w:tplc="5DE80178" w:tentative="1">
      <w:start w:val="1"/>
      <w:numFmt w:val="bullet"/>
      <w:lvlText w:val=""/>
      <w:lvlJc w:val="left"/>
      <w:pPr>
        <w:ind w:left="1800" w:hanging="360"/>
      </w:pPr>
      <w:rPr>
        <w:rFonts w:ascii="Wingdings" w:hAnsi="Wingdings" w:hint="default"/>
      </w:rPr>
    </w:lvl>
    <w:lvl w:ilvl="3" w:tplc="D618DB36" w:tentative="1">
      <w:start w:val="1"/>
      <w:numFmt w:val="bullet"/>
      <w:lvlText w:val=""/>
      <w:lvlJc w:val="left"/>
      <w:pPr>
        <w:ind w:left="2520" w:hanging="360"/>
      </w:pPr>
      <w:rPr>
        <w:rFonts w:ascii="Symbol" w:hAnsi="Symbol" w:hint="default"/>
      </w:rPr>
    </w:lvl>
    <w:lvl w:ilvl="4" w:tplc="315A9BFA" w:tentative="1">
      <w:start w:val="1"/>
      <w:numFmt w:val="bullet"/>
      <w:lvlText w:val="o"/>
      <w:lvlJc w:val="left"/>
      <w:pPr>
        <w:ind w:left="3240" w:hanging="360"/>
      </w:pPr>
      <w:rPr>
        <w:rFonts w:ascii="Courier New" w:hAnsi="Courier New" w:cs="Courier New" w:hint="default"/>
      </w:rPr>
    </w:lvl>
    <w:lvl w:ilvl="5" w:tplc="3724C566" w:tentative="1">
      <w:start w:val="1"/>
      <w:numFmt w:val="bullet"/>
      <w:lvlText w:val=""/>
      <w:lvlJc w:val="left"/>
      <w:pPr>
        <w:ind w:left="3960" w:hanging="360"/>
      </w:pPr>
      <w:rPr>
        <w:rFonts w:ascii="Wingdings" w:hAnsi="Wingdings" w:hint="default"/>
      </w:rPr>
    </w:lvl>
    <w:lvl w:ilvl="6" w:tplc="66EE148C" w:tentative="1">
      <w:start w:val="1"/>
      <w:numFmt w:val="bullet"/>
      <w:lvlText w:val=""/>
      <w:lvlJc w:val="left"/>
      <w:pPr>
        <w:ind w:left="4680" w:hanging="360"/>
      </w:pPr>
      <w:rPr>
        <w:rFonts w:ascii="Symbol" w:hAnsi="Symbol" w:hint="default"/>
      </w:rPr>
    </w:lvl>
    <w:lvl w:ilvl="7" w:tplc="9B92D5C2" w:tentative="1">
      <w:start w:val="1"/>
      <w:numFmt w:val="bullet"/>
      <w:lvlText w:val="o"/>
      <w:lvlJc w:val="left"/>
      <w:pPr>
        <w:ind w:left="5400" w:hanging="360"/>
      </w:pPr>
      <w:rPr>
        <w:rFonts w:ascii="Courier New" w:hAnsi="Courier New" w:cs="Courier New" w:hint="default"/>
      </w:rPr>
    </w:lvl>
    <w:lvl w:ilvl="8" w:tplc="11C4D37C" w:tentative="1">
      <w:start w:val="1"/>
      <w:numFmt w:val="bullet"/>
      <w:lvlText w:val=""/>
      <w:lvlJc w:val="left"/>
      <w:pPr>
        <w:ind w:left="6120" w:hanging="360"/>
      </w:pPr>
      <w:rPr>
        <w:rFonts w:ascii="Wingdings" w:hAnsi="Wingdings" w:hint="default"/>
      </w:rPr>
    </w:lvl>
  </w:abstractNum>
  <w:abstractNum w:abstractNumId="11" w15:restartNumberingAfterBreak="0">
    <w:nsid w:val="4AC10FAF"/>
    <w:multiLevelType w:val="hybridMultilevel"/>
    <w:tmpl w:val="A4747B1A"/>
    <w:lvl w:ilvl="0" w:tplc="2B70D648">
      <w:start w:val="1"/>
      <w:numFmt w:val="upperRoman"/>
      <w:lvlText w:val="%1."/>
      <w:lvlJc w:val="left"/>
      <w:pPr>
        <w:ind w:left="1440" w:hanging="72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4B4850B4"/>
    <w:multiLevelType w:val="hybridMultilevel"/>
    <w:tmpl w:val="449C73FC"/>
    <w:lvl w:ilvl="0" w:tplc="D226ACE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4CBA4441"/>
    <w:multiLevelType w:val="hybridMultilevel"/>
    <w:tmpl w:val="4CFCBBE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51420576"/>
    <w:multiLevelType w:val="hybridMultilevel"/>
    <w:tmpl w:val="931049E0"/>
    <w:lvl w:ilvl="0" w:tplc="92E2962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27339F9"/>
    <w:multiLevelType w:val="hybridMultilevel"/>
    <w:tmpl w:val="73842E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61030432"/>
    <w:multiLevelType w:val="hybridMultilevel"/>
    <w:tmpl w:val="2012D77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4A4325B"/>
    <w:multiLevelType w:val="hybridMultilevel"/>
    <w:tmpl w:val="F61C1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1">
    <w:nsid w:val="68246C38"/>
    <w:multiLevelType w:val="hybridMultilevel"/>
    <w:tmpl w:val="9D0A0888"/>
    <w:lvl w:ilvl="0" w:tplc="C718870A">
      <w:start w:val="2"/>
      <w:numFmt w:val="bullet"/>
      <w:lvlText w:val="-"/>
      <w:lvlJc w:val="left"/>
      <w:pPr>
        <w:ind w:left="1080" w:hanging="360"/>
      </w:pPr>
      <w:rPr>
        <w:rFonts w:ascii="Times New Roman" w:eastAsia="Calibri" w:hAnsi="Times New Roman" w:cs="Times New Roman" w:hint="default"/>
      </w:rPr>
    </w:lvl>
    <w:lvl w:ilvl="1" w:tplc="F2E49D02" w:tentative="1">
      <w:start w:val="1"/>
      <w:numFmt w:val="bullet"/>
      <w:lvlText w:val="o"/>
      <w:lvlJc w:val="left"/>
      <w:pPr>
        <w:ind w:left="1800" w:hanging="360"/>
      </w:pPr>
      <w:rPr>
        <w:rFonts w:ascii="Courier New" w:hAnsi="Courier New" w:cs="Courier New" w:hint="default"/>
      </w:rPr>
    </w:lvl>
    <w:lvl w:ilvl="2" w:tplc="FF02963C" w:tentative="1">
      <w:start w:val="1"/>
      <w:numFmt w:val="bullet"/>
      <w:lvlText w:val=""/>
      <w:lvlJc w:val="left"/>
      <w:pPr>
        <w:ind w:left="2520" w:hanging="360"/>
      </w:pPr>
      <w:rPr>
        <w:rFonts w:ascii="Wingdings" w:hAnsi="Wingdings" w:hint="default"/>
      </w:rPr>
    </w:lvl>
    <w:lvl w:ilvl="3" w:tplc="FD7AC0F2" w:tentative="1">
      <w:start w:val="1"/>
      <w:numFmt w:val="bullet"/>
      <w:lvlText w:val=""/>
      <w:lvlJc w:val="left"/>
      <w:pPr>
        <w:ind w:left="3240" w:hanging="360"/>
      </w:pPr>
      <w:rPr>
        <w:rFonts w:ascii="Symbol" w:hAnsi="Symbol" w:hint="default"/>
      </w:rPr>
    </w:lvl>
    <w:lvl w:ilvl="4" w:tplc="9F4C9886" w:tentative="1">
      <w:start w:val="1"/>
      <w:numFmt w:val="bullet"/>
      <w:lvlText w:val="o"/>
      <w:lvlJc w:val="left"/>
      <w:pPr>
        <w:ind w:left="3960" w:hanging="360"/>
      </w:pPr>
      <w:rPr>
        <w:rFonts w:ascii="Courier New" w:hAnsi="Courier New" w:cs="Courier New" w:hint="default"/>
      </w:rPr>
    </w:lvl>
    <w:lvl w:ilvl="5" w:tplc="CCBCBFEA" w:tentative="1">
      <w:start w:val="1"/>
      <w:numFmt w:val="bullet"/>
      <w:lvlText w:val=""/>
      <w:lvlJc w:val="left"/>
      <w:pPr>
        <w:ind w:left="4680" w:hanging="360"/>
      </w:pPr>
      <w:rPr>
        <w:rFonts w:ascii="Wingdings" w:hAnsi="Wingdings" w:hint="default"/>
      </w:rPr>
    </w:lvl>
    <w:lvl w:ilvl="6" w:tplc="FFD2B9F2" w:tentative="1">
      <w:start w:val="1"/>
      <w:numFmt w:val="bullet"/>
      <w:lvlText w:val=""/>
      <w:lvlJc w:val="left"/>
      <w:pPr>
        <w:ind w:left="5400" w:hanging="360"/>
      </w:pPr>
      <w:rPr>
        <w:rFonts w:ascii="Symbol" w:hAnsi="Symbol" w:hint="default"/>
      </w:rPr>
    </w:lvl>
    <w:lvl w:ilvl="7" w:tplc="17D24D52" w:tentative="1">
      <w:start w:val="1"/>
      <w:numFmt w:val="bullet"/>
      <w:lvlText w:val="o"/>
      <w:lvlJc w:val="left"/>
      <w:pPr>
        <w:ind w:left="6120" w:hanging="360"/>
      </w:pPr>
      <w:rPr>
        <w:rFonts w:ascii="Courier New" w:hAnsi="Courier New" w:cs="Courier New" w:hint="default"/>
      </w:rPr>
    </w:lvl>
    <w:lvl w:ilvl="8" w:tplc="94527144" w:tentative="1">
      <w:start w:val="1"/>
      <w:numFmt w:val="bullet"/>
      <w:lvlText w:val=""/>
      <w:lvlJc w:val="left"/>
      <w:pPr>
        <w:ind w:left="6840" w:hanging="360"/>
      </w:pPr>
      <w:rPr>
        <w:rFonts w:ascii="Wingdings" w:hAnsi="Wingdings" w:hint="default"/>
      </w:rPr>
    </w:lvl>
  </w:abstractNum>
  <w:abstractNum w:abstractNumId="19" w15:restartNumberingAfterBreak="1">
    <w:nsid w:val="75C43875"/>
    <w:multiLevelType w:val="hybridMultilevel"/>
    <w:tmpl w:val="347E0C2C"/>
    <w:lvl w:ilvl="0" w:tplc="86D632BC">
      <w:start w:val="1"/>
      <w:numFmt w:val="bullet"/>
      <w:lvlText w:val=""/>
      <w:lvlJc w:val="left"/>
      <w:pPr>
        <w:ind w:left="1440" w:hanging="360"/>
      </w:pPr>
      <w:rPr>
        <w:rFonts w:ascii="Wingdings" w:hAnsi="Wingdings" w:hint="default"/>
      </w:rPr>
    </w:lvl>
    <w:lvl w:ilvl="1" w:tplc="E4D0A628" w:tentative="1">
      <w:start w:val="1"/>
      <w:numFmt w:val="bullet"/>
      <w:lvlText w:val="o"/>
      <w:lvlJc w:val="left"/>
      <w:pPr>
        <w:ind w:left="2160" w:hanging="360"/>
      </w:pPr>
      <w:rPr>
        <w:rFonts w:ascii="Courier New" w:hAnsi="Courier New" w:cs="Courier New" w:hint="default"/>
      </w:rPr>
    </w:lvl>
    <w:lvl w:ilvl="2" w:tplc="C53C389C" w:tentative="1">
      <w:start w:val="1"/>
      <w:numFmt w:val="bullet"/>
      <w:lvlText w:val=""/>
      <w:lvlJc w:val="left"/>
      <w:pPr>
        <w:ind w:left="2880" w:hanging="360"/>
      </w:pPr>
      <w:rPr>
        <w:rFonts w:ascii="Wingdings" w:hAnsi="Wingdings" w:hint="default"/>
      </w:rPr>
    </w:lvl>
    <w:lvl w:ilvl="3" w:tplc="0D721DEC" w:tentative="1">
      <w:start w:val="1"/>
      <w:numFmt w:val="bullet"/>
      <w:lvlText w:val=""/>
      <w:lvlJc w:val="left"/>
      <w:pPr>
        <w:ind w:left="3600" w:hanging="360"/>
      </w:pPr>
      <w:rPr>
        <w:rFonts w:ascii="Symbol" w:hAnsi="Symbol" w:hint="default"/>
      </w:rPr>
    </w:lvl>
    <w:lvl w:ilvl="4" w:tplc="6C22C54E" w:tentative="1">
      <w:start w:val="1"/>
      <w:numFmt w:val="bullet"/>
      <w:lvlText w:val="o"/>
      <w:lvlJc w:val="left"/>
      <w:pPr>
        <w:ind w:left="4320" w:hanging="360"/>
      </w:pPr>
      <w:rPr>
        <w:rFonts w:ascii="Courier New" w:hAnsi="Courier New" w:cs="Courier New" w:hint="default"/>
      </w:rPr>
    </w:lvl>
    <w:lvl w:ilvl="5" w:tplc="E5A0EE18" w:tentative="1">
      <w:start w:val="1"/>
      <w:numFmt w:val="bullet"/>
      <w:lvlText w:val=""/>
      <w:lvlJc w:val="left"/>
      <w:pPr>
        <w:ind w:left="5040" w:hanging="360"/>
      </w:pPr>
      <w:rPr>
        <w:rFonts w:ascii="Wingdings" w:hAnsi="Wingdings" w:hint="default"/>
      </w:rPr>
    </w:lvl>
    <w:lvl w:ilvl="6" w:tplc="CB867F9E" w:tentative="1">
      <w:start w:val="1"/>
      <w:numFmt w:val="bullet"/>
      <w:lvlText w:val=""/>
      <w:lvlJc w:val="left"/>
      <w:pPr>
        <w:ind w:left="5760" w:hanging="360"/>
      </w:pPr>
      <w:rPr>
        <w:rFonts w:ascii="Symbol" w:hAnsi="Symbol" w:hint="default"/>
      </w:rPr>
    </w:lvl>
    <w:lvl w:ilvl="7" w:tplc="47CA8FE0" w:tentative="1">
      <w:start w:val="1"/>
      <w:numFmt w:val="bullet"/>
      <w:lvlText w:val="o"/>
      <w:lvlJc w:val="left"/>
      <w:pPr>
        <w:ind w:left="6480" w:hanging="360"/>
      </w:pPr>
      <w:rPr>
        <w:rFonts w:ascii="Courier New" w:hAnsi="Courier New" w:cs="Courier New" w:hint="default"/>
      </w:rPr>
    </w:lvl>
    <w:lvl w:ilvl="8" w:tplc="2940F528" w:tentative="1">
      <w:start w:val="1"/>
      <w:numFmt w:val="bullet"/>
      <w:lvlText w:val=""/>
      <w:lvlJc w:val="left"/>
      <w:pPr>
        <w:ind w:left="7200" w:hanging="360"/>
      </w:pPr>
      <w:rPr>
        <w:rFonts w:ascii="Wingdings" w:hAnsi="Wingdings" w:hint="default"/>
      </w:rPr>
    </w:lvl>
  </w:abstractNum>
  <w:num w:numId="1">
    <w:abstractNumId w:val="9"/>
  </w:num>
  <w:num w:numId="2">
    <w:abstractNumId w:val="0"/>
  </w:num>
  <w:num w:numId="3">
    <w:abstractNumId w:val="10"/>
  </w:num>
  <w:num w:numId="4">
    <w:abstractNumId w:val="2"/>
  </w:num>
  <w:num w:numId="5">
    <w:abstractNumId w:val="18"/>
  </w:num>
  <w:num w:numId="6">
    <w:abstractNumId w:val="19"/>
  </w:num>
  <w:num w:numId="7">
    <w:abstractNumId w:val="5"/>
  </w:num>
  <w:num w:numId="8">
    <w:abstractNumId w:val="12"/>
  </w:num>
  <w:num w:numId="9">
    <w:abstractNumId w:val="8"/>
  </w:num>
  <w:num w:numId="10">
    <w:abstractNumId w:val="14"/>
  </w:num>
  <w:num w:numId="11">
    <w:abstractNumId w:val="3"/>
  </w:num>
  <w:num w:numId="12">
    <w:abstractNumId w:val="6"/>
  </w:num>
  <w:num w:numId="13">
    <w:abstractNumId w:val="4"/>
  </w:num>
  <w:num w:numId="14">
    <w:abstractNumId w:val="11"/>
  </w:num>
  <w:num w:numId="15">
    <w:abstractNumId w:val="16"/>
  </w:num>
  <w:num w:numId="16">
    <w:abstractNumId w:val="13"/>
  </w:num>
  <w:num w:numId="17">
    <w:abstractNumId w:val="1"/>
  </w:num>
  <w:num w:numId="18">
    <w:abstractNumId w:val="17"/>
  </w:num>
  <w:num w:numId="19">
    <w:abstractNumId w:val="7"/>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00D"/>
    <w:rsid w:val="00002EFE"/>
    <w:rsid w:val="00010ADB"/>
    <w:rsid w:val="00017BAC"/>
    <w:rsid w:val="00024837"/>
    <w:rsid w:val="00025BBE"/>
    <w:rsid w:val="00030784"/>
    <w:rsid w:val="0003172F"/>
    <w:rsid w:val="00034912"/>
    <w:rsid w:val="000375DE"/>
    <w:rsid w:val="00040153"/>
    <w:rsid w:val="000403A9"/>
    <w:rsid w:val="000430DC"/>
    <w:rsid w:val="00043FF0"/>
    <w:rsid w:val="00044C56"/>
    <w:rsid w:val="00047502"/>
    <w:rsid w:val="0005572A"/>
    <w:rsid w:val="00057B12"/>
    <w:rsid w:val="00062A69"/>
    <w:rsid w:val="00062FDA"/>
    <w:rsid w:val="00065470"/>
    <w:rsid w:val="00066FF4"/>
    <w:rsid w:val="00070357"/>
    <w:rsid w:val="00072855"/>
    <w:rsid w:val="00073B99"/>
    <w:rsid w:val="00074154"/>
    <w:rsid w:val="000804ED"/>
    <w:rsid w:val="000857A7"/>
    <w:rsid w:val="000858A5"/>
    <w:rsid w:val="00090425"/>
    <w:rsid w:val="000961C3"/>
    <w:rsid w:val="000966F8"/>
    <w:rsid w:val="00096C02"/>
    <w:rsid w:val="000A09CC"/>
    <w:rsid w:val="000A0B8A"/>
    <w:rsid w:val="000A0D70"/>
    <w:rsid w:val="000A178B"/>
    <w:rsid w:val="000A2416"/>
    <w:rsid w:val="000A3011"/>
    <w:rsid w:val="000A3536"/>
    <w:rsid w:val="000A4FBB"/>
    <w:rsid w:val="000A7800"/>
    <w:rsid w:val="000A79CA"/>
    <w:rsid w:val="000B0C09"/>
    <w:rsid w:val="000B29AF"/>
    <w:rsid w:val="000B6F83"/>
    <w:rsid w:val="000C09BD"/>
    <w:rsid w:val="000C1646"/>
    <w:rsid w:val="000C5DA8"/>
    <w:rsid w:val="000D017D"/>
    <w:rsid w:val="000D345B"/>
    <w:rsid w:val="000D47FD"/>
    <w:rsid w:val="000E0461"/>
    <w:rsid w:val="000E49DF"/>
    <w:rsid w:val="000E7287"/>
    <w:rsid w:val="000F0C34"/>
    <w:rsid w:val="000F4848"/>
    <w:rsid w:val="000F5DED"/>
    <w:rsid w:val="000F601D"/>
    <w:rsid w:val="000F7A99"/>
    <w:rsid w:val="000F7E44"/>
    <w:rsid w:val="00100748"/>
    <w:rsid w:val="00100DF3"/>
    <w:rsid w:val="00111083"/>
    <w:rsid w:val="001133CB"/>
    <w:rsid w:val="00114EF4"/>
    <w:rsid w:val="00116605"/>
    <w:rsid w:val="00123604"/>
    <w:rsid w:val="001239C2"/>
    <w:rsid w:val="00123F89"/>
    <w:rsid w:val="00130D85"/>
    <w:rsid w:val="00136A26"/>
    <w:rsid w:val="00141203"/>
    <w:rsid w:val="00142E9A"/>
    <w:rsid w:val="00156597"/>
    <w:rsid w:val="00162FE3"/>
    <w:rsid w:val="00164B5C"/>
    <w:rsid w:val="00166512"/>
    <w:rsid w:val="001674BF"/>
    <w:rsid w:val="00171AA0"/>
    <w:rsid w:val="00171FAE"/>
    <w:rsid w:val="001727E6"/>
    <w:rsid w:val="00174C38"/>
    <w:rsid w:val="00183962"/>
    <w:rsid w:val="00185E79"/>
    <w:rsid w:val="00186518"/>
    <w:rsid w:val="001870E4"/>
    <w:rsid w:val="001902FB"/>
    <w:rsid w:val="001932B4"/>
    <w:rsid w:val="00193E62"/>
    <w:rsid w:val="001A211E"/>
    <w:rsid w:val="001A604E"/>
    <w:rsid w:val="001B20FF"/>
    <w:rsid w:val="001B2E21"/>
    <w:rsid w:val="001B3019"/>
    <w:rsid w:val="001B371D"/>
    <w:rsid w:val="001B4922"/>
    <w:rsid w:val="001B4FBA"/>
    <w:rsid w:val="001B7C4D"/>
    <w:rsid w:val="001C211F"/>
    <w:rsid w:val="001C6947"/>
    <w:rsid w:val="001C6BB6"/>
    <w:rsid w:val="001D2814"/>
    <w:rsid w:val="001D3645"/>
    <w:rsid w:val="001D6692"/>
    <w:rsid w:val="001D6A99"/>
    <w:rsid w:val="001E1B2A"/>
    <w:rsid w:val="001E20A5"/>
    <w:rsid w:val="001E22B8"/>
    <w:rsid w:val="001E49C4"/>
    <w:rsid w:val="001E76D7"/>
    <w:rsid w:val="001E7918"/>
    <w:rsid w:val="001F56C1"/>
    <w:rsid w:val="001F6E17"/>
    <w:rsid w:val="002009FD"/>
    <w:rsid w:val="00200AE1"/>
    <w:rsid w:val="00201F4F"/>
    <w:rsid w:val="00202E71"/>
    <w:rsid w:val="00203041"/>
    <w:rsid w:val="00204CAA"/>
    <w:rsid w:val="002069EB"/>
    <w:rsid w:val="00206DC9"/>
    <w:rsid w:val="00210B56"/>
    <w:rsid w:val="0021269D"/>
    <w:rsid w:val="0021399A"/>
    <w:rsid w:val="00214BB5"/>
    <w:rsid w:val="0022099D"/>
    <w:rsid w:val="0022384D"/>
    <w:rsid w:val="002248FF"/>
    <w:rsid w:val="00230DCC"/>
    <w:rsid w:val="00233D2C"/>
    <w:rsid w:val="00234ED8"/>
    <w:rsid w:val="00237174"/>
    <w:rsid w:val="00242E9F"/>
    <w:rsid w:val="00244244"/>
    <w:rsid w:val="00247B42"/>
    <w:rsid w:val="00250DCD"/>
    <w:rsid w:val="00251107"/>
    <w:rsid w:val="00251DFB"/>
    <w:rsid w:val="002566D3"/>
    <w:rsid w:val="00256E48"/>
    <w:rsid w:val="002600BA"/>
    <w:rsid w:val="0026079E"/>
    <w:rsid w:val="00262185"/>
    <w:rsid w:val="00264169"/>
    <w:rsid w:val="00277A0C"/>
    <w:rsid w:val="0028003F"/>
    <w:rsid w:val="00280894"/>
    <w:rsid w:val="0028251D"/>
    <w:rsid w:val="0028274D"/>
    <w:rsid w:val="002852ED"/>
    <w:rsid w:val="00286A11"/>
    <w:rsid w:val="002873B2"/>
    <w:rsid w:val="002901F3"/>
    <w:rsid w:val="00291EA6"/>
    <w:rsid w:val="00293F10"/>
    <w:rsid w:val="0029438C"/>
    <w:rsid w:val="00296AD0"/>
    <w:rsid w:val="00297124"/>
    <w:rsid w:val="0029761F"/>
    <w:rsid w:val="002A2DDC"/>
    <w:rsid w:val="002A3A5D"/>
    <w:rsid w:val="002A7BE3"/>
    <w:rsid w:val="002B0B88"/>
    <w:rsid w:val="002B11F5"/>
    <w:rsid w:val="002B1ADF"/>
    <w:rsid w:val="002B32F1"/>
    <w:rsid w:val="002B47F8"/>
    <w:rsid w:val="002B66F2"/>
    <w:rsid w:val="002B6D47"/>
    <w:rsid w:val="002C06A8"/>
    <w:rsid w:val="002C06B4"/>
    <w:rsid w:val="002C12CB"/>
    <w:rsid w:val="002C2973"/>
    <w:rsid w:val="002C2DB3"/>
    <w:rsid w:val="002C3406"/>
    <w:rsid w:val="002C7BAA"/>
    <w:rsid w:val="002C7C5B"/>
    <w:rsid w:val="002D0322"/>
    <w:rsid w:val="002D2169"/>
    <w:rsid w:val="002D319D"/>
    <w:rsid w:val="002D3A0B"/>
    <w:rsid w:val="002D3C3B"/>
    <w:rsid w:val="002D6FA4"/>
    <w:rsid w:val="002E0A25"/>
    <w:rsid w:val="002E0BBB"/>
    <w:rsid w:val="002E48DF"/>
    <w:rsid w:val="002F0CE1"/>
    <w:rsid w:val="002F2286"/>
    <w:rsid w:val="002F4C43"/>
    <w:rsid w:val="002F72C3"/>
    <w:rsid w:val="00304672"/>
    <w:rsid w:val="00312037"/>
    <w:rsid w:val="00312E76"/>
    <w:rsid w:val="00314F97"/>
    <w:rsid w:val="00316396"/>
    <w:rsid w:val="00327309"/>
    <w:rsid w:val="00327897"/>
    <w:rsid w:val="003304E2"/>
    <w:rsid w:val="00330AC9"/>
    <w:rsid w:val="00332E4A"/>
    <w:rsid w:val="0033334E"/>
    <w:rsid w:val="00334F49"/>
    <w:rsid w:val="00335AB4"/>
    <w:rsid w:val="003374D5"/>
    <w:rsid w:val="00337868"/>
    <w:rsid w:val="0034115C"/>
    <w:rsid w:val="003411CE"/>
    <w:rsid w:val="003431DE"/>
    <w:rsid w:val="00343BE3"/>
    <w:rsid w:val="00351419"/>
    <w:rsid w:val="0035230F"/>
    <w:rsid w:val="003537C8"/>
    <w:rsid w:val="0035400D"/>
    <w:rsid w:val="00354A0C"/>
    <w:rsid w:val="00363317"/>
    <w:rsid w:val="00366728"/>
    <w:rsid w:val="0036696A"/>
    <w:rsid w:val="0037000D"/>
    <w:rsid w:val="00372F79"/>
    <w:rsid w:val="00377AAA"/>
    <w:rsid w:val="00377C28"/>
    <w:rsid w:val="00381E1E"/>
    <w:rsid w:val="00384594"/>
    <w:rsid w:val="003900D6"/>
    <w:rsid w:val="00391FF4"/>
    <w:rsid w:val="003938C8"/>
    <w:rsid w:val="00393EF8"/>
    <w:rsid w:val="00396EC0"/>
    <w:rsid w:val="003B042A"/>
    <w:rsid w:val="003B23D6"/>
    <w:rsid w:val="003B341E"/>
    <w:rsid w:val="003B3D97"/>
    <w:rsid w:val="003B5469"/>
    <w:rsid w:val="003B617A"/>
    <w:rsid w:val="003B66E9"/>
    <w:rsid w:val="003C36BF"/>
    <w:rsid w:val="003C4B76"/>
    <w:rsid w:val="003D426B"/>
    <w:rsid w:val="003D5B21"/>
    <w:rsid w:val="003E0D1A"/>
    <w:rsid w:val="003E2347"/>
    <w:rsid w:val="003E72A4"/>
    <w:rsid w:val="003E76D8"/>
    <w:rsid w:val="003F081C"/>
    <w:rsid w:val="003F1E74"/>
    <w:rsid w:val="003F220F"/>
    <w:rsid w:val="003F3E13"/>
    <w:rsid w:val="00400426"/>
    <w:rsid w:val="00404978"/>
    <w:rsid w:val="00404CA6"/>
    <w:rsid w:val="00413F67"/>
    <w:rsid w:val="00415B30"/>
    <w:rsid w:val="00417F8B"/>
    <w:rsid w:val="00426808"/>
    <w:rsid w:val="00430907"/>
    <w:rsid w:val="00431256"/>
    <w:rsid w:val="00431F4B"/>
    <w:rsid w:val="00432663"/>
    <w:rsid w:val="00433864"/>
    <w:rsid w:val="00434A08"/>
    <w:rsid w:val="00445B2F"/>
    <w:rsid w:val="00446515"/>
    <w:rsid w:val="00447225"/>
    <w:rsid w:val="004477A2"/>
    <w:rsid w:val="00450463"/>
    <w:rsid w:val="00452DD1"/>
    <w:rsid w:val="004563EC"/>
    <w:rsid w:val="00461B9D"/>
    <w:rsid w:val="00462080"/>
    <w:rsid w:val="00463D62"/>
    <w:rsid w:val="00464294"/>
    <w:rsid w:val="00464BCA"/>
    <w:rsid w:val="004677AA"/>
    <w:rsid w:val="00467E2A"/>
    <w:rsid w:val="00470346"/>
    <w:rsid w:val="004720D5"/>
    <w:rsid w:val="00482159"/>
    <w:rsid w:val="0048606B"/>
    <w:rsid w:val="00487753"/>
    <w:rsid w:val="00491DA5"/>
    <w:rsid w:val="004955CA"/>
    <w:rsid w:val="00497B58"/>
    <w:rsid w:val="004A0444"/>
    <w:rsid w:val="004A2560"/>
    <w:rsid w:val="004A70C7"/>
    <w:rsid w:val="004A7160"/>
    <w:rsid w:val="004C098C"/>
    <w:rsid w:val="004C4AE9"/>
    <w:rsid w:val="004C4B9B"/>
    <w:rsid w:val="004C7970"/>
    <w:rsid w:val="004D2EA8"/>
    <w:rsid w:val="004D53D2"/>
    <w:rsid w:val="004D70C4"/>
    <w:rsid w:val="004E0661"/>
    <w:rsid w:val="004E247B"/>
    <w:rsid w:val="004E58F9"/>
    <w:rsid w:val="004F03C4"/>
    <w:rsid w:val="004F7139"/>
    <w:rsid w:val="00501A57"/>
    <w:rsid w:val="00503D9B"/>
    <w:rsid w:val="0050720A"/>
    <w:rsid w:val="00507B60"/>
    <w:rsid w:val="00511E65"/>
    <w:rsid w:val="00520DB5"/>
    <w:rsid w:val="00521C94"/>
    <w:rsid w:val="00522CC9"/>
    <w:rsid w:val="00526D2B"/>
    <w:rsid w:val="0053013E"/>
    <w:rsid w:val="00530B4F"/>
    <w:rsid w:val="0053108E"/>
    <w:rsid w:val="005314AB"/>
    <w:rsid w:val="0053189E"/>
    <w:rsid w:val="00535A11"/>
    <w:rsid w:val="00536A41"/>
    <w:rsid w:val="0054122D"/>
    <w:rsid w:val="005414ED"/>
    <w:rsid w:val="0054461D"/>
    <w:rsid w:val="00545B6F"/>
    <w:rsid w:val="0055084A"/>
    <w:rsid w:val="0055168F"/>
    <w:rsid w:val="005518EF"/>
    <w:rsid w:val="005549D9"/>
    <w:rsid w:val="005615DA"/>
    <w:rsid w:val="005777A6"/>
    <w:rsid w:val="00584C05"/>
    <w:rsid w:val="00586C7D"/>
    <w:rsid w:val="005871A6"/>
    <w:rsid w:val="0058761F"/>
    <w:rsid w:val="005900EE"/>
    <w:rsid w:val="00592D6F"/>
    <w:rsid w:val="00593618"/>
    <w:rsid w:val="00595194"/>
    <w:rsid w:val="00595F58"/>
    <w:rsid w:val="00597AAF"/>
    <w:rsid w:val="005A3CFB"/>
    <w:rsid w:val="005A42F5"/>
    <w:rsid w:val="005A57A2"/>
    <w:rsid w:val="005A599D"/>
    <w:rsid w:val="005B0430"/>
    <w:rsid w:val="005B0DA0"/>
    <w:rsid w:val="005B30C8"/>
    <w:rsid w:val="005B3BC4"/>
    <w:rsid w:val="005C06C0"/>
    <w:rsid w:val="005D5163"/>
    <w:rsid w:val="005D54A3"/>
    <w:rsid w:val="005D5A9A"/>
    <w:rsid w:val="005E08C3"/>
    <w:rsid w:val="005E1FCB"/>
    <w:rsid w:val="005E2121"/>
    <w:rsid w:val="005E4CFE"/>
    <w:rsid w:val="005E76C9"/>
    <w:rsid w:val="005E7E8B"/>
    <w:rsid w:val="005F0045"/>
    <w:rsid w:val="005F1079"/>
    <w:rsid w:val="005F222B"/>
    <w:rsid w:val="005F5E82"/>
    <w:rsid w:val="005F6245"/>
    <w:rsid w:val="00605AEF"/>
    <w:rsid w:val="006113AA"/>
    <w:rsid w:val="00611C2F"/>
    <w:rsid w:val="0061670D"/>
    <w:rsid w:val="00620461"/>
    <w:rsid w:val="00620E13"/>
    <w:rsid w:val="00621BD3"/>
    <w:rsid w:val="006243F6"/>
    <w:rsid w:val="00627292"/>
    <w:rsid w:val="006273FD"/>
    <w:rsid w:val="00630933"/>
    <w:rsid w:val="00631D5F"/>
    <w:rsid w:val="00635190"/>
    <w:rsid w:val="006355B7"/>
    <w:rsid w:val="006416E2"/>
    <w:rsid w:val="00641E44"/>
    <w:rsid w:val="00642A3A"/>
    <w:rsid w:val="0064549A"/>
    <w:rsid w:val="006666AB"/>
    <w:rsid w:val="0067269E"/>
    <w:rsid w:val="006727FF"/>
    <w:rsid w:val="006775E7"/>
    <w:rsid w:val="00683644"/>
    <w:rsid w:val="006867C3"/>
    <w:rsid w:val="00687F8A"/>
    <w:rsid w:val="00690073"/>
    <w:rsid w:val="006918AF"/>
    <w:rsid w:val="00692DAB"/>
    <w:rsid w:val="00695482"/>
    <w:rsid w:val="0069576F"/>
    <w:rsid w:val="00696648"/>
    <w:rsid w:val="00696AB3"/>
    <w:rsid w:val="006A0A4C"/>
    <w:rsid w:val="006A276F"/>
    <w:rsid w:val="006B12CD"/>
    <w:rsid w:val="006B2663"/>
    <w:rsid w:val="006B2D27"/>
    <w:rsid w:val="006B51B2"/>
    <w:rsid w:val="006B5B51"/>
    <w:rsid w:val="006C13DE"/>
    <w:rsid w:val="006C3D9E"/>
    <w:rsid w:val="006C5BFB"/>
    <w:rsid w:val="006C5ED6"/>
    <w:rsid w:val="006C61FA"/>
    <w:rsid w:val="006D2954"/>
    <w:rsid w:val="006D2F7A"/>
    <w:rsid w:val="006D3892"/>
    <w:rsid w:val="006E1626"/>
    <w:rsid w:val="006F0F5C"/>
    <w:rsid w:val="006F3E3C"/>
    <w:rsid w:val="006F490A"/>
    <w:rsid w:val="006F72F4"/>
    <w:rsid w:val="0070335D"/>
    <w:rsid w:val="00706791"/>
    <w:rsid w:val="007071D3"/>
    <w:rsid w:val="00715F84"/>
    <w:rsid w:val="007246F7"/>
    <w:rsid w:val="007325A2"/>
    <w:rsid w:val="007325F4"/>
    <w:rsid w:val="00735770"/>
    <w:rsid w:val="00737F79"/>
    <w:rsid w:val="007436E8"/>
    <w:rsid w:val="007462F3"/>
    <w:rsid w:val="0074792C"/>
    <w:rsid w:val="0075035B"/>
    <w:rsid w:val="007517F4"/>
    <w:rsid w:val="00751940"/>
    <w:rsid w:val="00751EB4"/>
    <w:rsid w:val="00757D83"/>
    <w:rsid w:val="00763DEB"/>
    <w:rsid w:val="007643C1"/>
    <w:rsid w:val="00764AED"/>
    <w:rsid w:val="00764FD5"/>
    <w:rsid w:val="00766193"/>
    <w:rsid w:val="00772A8A"/>
    <w:rsid w:val="007735D3"/>
    <w:rsid w:val="00773E07"/>
    <w:rsid w:val="0078059E"/>
    <w:rsid w:val="00785264"/>
    <w:rsid w:val="00794CCC"/>
    <w:rsid w:val="007A0094"/>
    <w:rsid w:val="007A118B"/>
    <w:rsid w:val="007A183E"/>
    <w:rsid w:val="007A5C9A"/>
    <w:rsid w:val="007A657D"/>
    <w:rsid w:val="007A7B47"/>
    <w:rsid w:val="007B0161"/>
    <w:rsid w:val="007B4CEB"/>
    <w:rsid w:val="007B61E0"/>
    <w:rsid w:val="007B6974"/>
    <w:rsid w:val="007B6BF3"/>
    <w:rsid w:val="007B735A"/>
    <w:rsid w:val="007C4D43"/>
    <w:rsid w:val="007C50F6"/>
    <w:rsid w:val="007C7639"/>
    <w:rsid w:val="007C7D6C"/>
    <w:rsid w:val="007C7F56"/>
    <w:rsid w:val="007D2411"/>
    <w:rsid w:val="007D4CAA"/>
    <w:rsid w:val="007D7487"/>
    <w:rsid w:val="007E5BF0"/>
    <w:rsid w:val="007E6351"/>
    <w:rsid w:val="007F0E1A"/>
    <w:rsid w:val="007F34B7"/>
    <w:rsid w:val="007F3643"/>
    <w:rsid w:val="007F43D6"/>
    <w:rsid w:val="00802D3C"/>
    <w:rsid w:val="0080534B"/>
    <w:rsid w:val="00806CE3"/>
    <w:rsid w:val="00807797"/>
    <w:rsid w:val="008103E4"/>
    <w:rsid w:val="008104F9"/>
    <w:rsid w:val="00811DFF"/>
    <w:rsid w:val="008137B1"/>
    <w:rsid w:val="00813A76"/>
    <w:rsid w:val="00813EC1"/>
    <w:rsid w:val="00814A3D"/>
    <w:rsid w:val="00814B88"/>
    <w:rsid w:val="00815707"/>
    <w:rsid w:val="00815A46"/>
    <w:rsid w:val="0081644D"/>
    <w:rsid w:val="00834264"/>
    <w:rsid w:val="008369F9"/>
    <w:rsid w:val="00840F46"/>
    <w:rsid w:val="00842DCE"/>
    <w:rsid w:val="00845BDD"/>
    <w:rsid w:val="00846AA8"/>
    <w:rsid w:val="008539DA"/>
    <w:rsid w:val="00855A03"/>
    <w:rsid w:val="00855B6C"/>
    <w:rsid w:val="00857343"/>
    <w:rsid w:val="008617BD"/>
    <w:rsid w:val="0086256E"/>
    <w:rsid w:val="00865238"/>
    <w:rsid w:val="00867C55"/>
    <w:rsid w:val="0087184D"/>
    <w:rsid w:val="00874B06"/>
    <w:rsid w:val="008824CB"/>
    <w:rsid w:val="00884809"/>
    <w:rsid w:val="00885FBD"/>
    <w:rsid w:val="00886D7F"/>
    <w:rsid w:val="0089017A"/>
    <w:rsid w:val="008968A1"/>
    <w:rsid w:val="008A0058"/>
    <w:rsid w:val="008A5988"/>
    <w:rsid w:val="008A5ADB"/>
    <w:rsid w:val="008B0266"/>
    <w:rsid w:val="008B1F69"/>
    <w:rsid w:val="008B385F"/>
    <w:rsid w:val="008B3D87"/>
    <w:rsid w:val="008B3ECB"/>
    <w:rsid w:val="008B413A"/>
    <w:rsid w:val="008B4250"/>
    <w:rsid w:val="008B7BFE"/>
    <w:rsid w:val="008C0DFB"/>
    <w:rsid w:val="008C1BF5"/>
    <w:rsid w:val="008C1E1E"/>
    <w:rsid w:val="008C67E7"/>
    <w:rsid w:val="008C7351"/>
    <w:rsid w:val="008C79F0"/>
    <w:rsid w:val="008D16AE"/>
    <w:rsid w:val="008D2A2F"/>
    <w:rsid w:val="008D3CCE"/>
    <w:rsid w:val="008D7823"/>
    <w:rsid w:val="008E0831"/>
    <w:rsid w:val="008E08BA"/>
    <w:rsid w:val="008E3DFE"/>
    <w:rsid w:val="008E4C61"/>
    <w:rsid w:val="008F0BF5"/>
    <w:rsid w:val="008F1D9F"/>
    <w:rsid w:val="008F203F"/>
    <w:rsid w:val="008F6C92"/>
    <w:rsid w:val="008F6E8C"/>
    <w:rsid w:val="008F7063"/>
    <w:rsid w:val="008F7356"/>
    <w:rsid w:val="00906AAC"/>
    <w:rsid w:val="00910E1B"/>
    <w:rsid w:val="009115A0"/>
    <w:rsid w:val="009135B1"/>
    <w:rsid w:val="009141AF"/>
    <w:rsid w:val="009151E7"/>
    <w:rsid w:val="0091619F"/>
    <w:rsid w:val="0092322C"/>
    <w:rsid w:val="00924D72"/>
    <w:rsid w:val="00925ECB"/>
    <w:rsid w:val="00927437"/>
    <w:rsid w:val="009304CB"/>
    <w:rsid w:val="00931FFC"/>
    <w:rsid w:val="00934138"/>
    <w:rsid w:val="00934182"/>
    <w:rsid w:val="00945161"/>
    <w:rsid w:val="0095099E"/>
    <w:rsid w:val="00953A97"/>
    <w:rsid w:val="00957E57"/>
    <w:rsid w:val="009627CF"/>
    <w:rsid w:val="00962954"/>
    <w:rsid w:val="009629E8"/>
    <w:rsid w:val="00963561"/>
    <w:rsid w:val="00967182"/>
    <w:rsid w:val="009710D0"/>
    <w:rsid w:val="00984EBF"/>
    <w:rsid w:val="009852C4"/>
    <w:rsid w:val="00993109"/>
    <w:rsid w:val="0099363F"/>
    <w:rsid w:val="00993C5E"/>
    <w:rsid w:val="0099426D"/>
    <w:rsid w:val="00996049"/>
    <w:rsid w:val="009A11D2"/>
    <w:rsid w:val="009A24CC"/>
    <w:rsid w:val="009A36A2"/>
    <w:rsid w:val="009A76D4"/>
    <w:rsid w:val="009B4AE4"/>
    <w:rsid w:val="009C002D"/>
    <w:rsid w:val="009C18AB"/>
    <w:rsid w:val="009C7144"/>
    <w:rsid w:val="009D2102"/>
    <w:rsid w:val="009D29D3"/>
    <w:rsid w:val="009D32AB"/>
    <w:rsid w:val="009D6D77"/>
    <w:rsid w:val="009D6EA8"/>
    <w:rsid w:val="009D7BAD"/>
    <w:rsid w:val="009E1BE9"/>
    <w:rsid w:val="009E2D89"/>
    <w:rsid w:val="009E510D"/>
    <w:rsid w:val="009E5128"/>
    <w:rsid w:val="009E67E6"/>
    <w:rsid w:val="009F2CFA"/>
    <w:rsid w:val="009F3A47"/>
    <w:rsid w:val="009F7E30"/>
    <w:rsid w:val="00A034F1"/>
    <w:rsid w:val="00A04076"/>
    <w:rsid w:val="00A04AC1"/>
    <w:rsid w:val="00A07AC9"/>
    <w:rsid w:val="00A133D0"/>
    <w:rsid w:val="00A14B26"/>
    <w:rsid w:val="00A1602B"/>
    <w:rsid w:val="00A1634A"/>
    <w:rsid w:val="00A22E7E"/>
    <w:rsid w:val="00A251A2"/>
    <w:rsid w:val="00A26D8D"/>
    <w:rsid w:val="00A300EA"/>
    <w:rsid w:val="00A30612"/>
    <w:rsid w:val="00A3061D"/>
    <w:rsid w:val="00A30CBD"/>
    <w:rsid w:val="00A32020"/>
    <w:rsid w:val="00A345F0"/>
    <w:rsid w:val="00A34600"/>
    <w:rsid w:val="00A35985"/>
    <w:rsid w:val="00A41AB1"/>
    <w:rsid w:val="00A41E37"/>
    <w:rsid w:val="00A42633"/>
    <w:rsid w:val="00A4725D"/>
    <w:rsid w:val="00A51A81"/>
    <w:rsid w:val="00A52BBD"/>
    <w:rsid w:val="00A54637"/>
    <w:rsid w:val="00A55D80"/>
    <w:rsid w:val="00A634C9"/>
    <w:rsid w:val="00A63B38"/>
    <w:rsid w:val="00A653C4"/>
    <w:rsid w:val="00A740CA"/>
    <w:rsid w:val="00A74B41"/>
    <w:rsid w:val="00A750F5"/>
    <w:rsid w:val="00A75F8A"/>
    <w:rsid w:val="00A836FE"/>
    <w:rsid w:val="00A8440A"/>
    <w:rsid w:val="00A8447E"/>
    <w:rsid w:val="00A84827"/>
    <w:rsid w:val="00A84971"/>
    <w:rsid w:val="00A84F86"/>
    <w:rsid w:val="00A8504F"/>
    <w:rsid w:val="00A8507D"/>
    <w:rsid w:val="00A87D74"/>
    <w:rsid w:val="00A87DB5"/>
    <w:rsid w:val="00A93F31"/>
    <w:rsid w:val="00A94F63"/>
    <w:rsid w:val="00A96E88"/>
    <w:rsid w:val="00AA1339"/>
    <w:rsid w:val="00AA66AF"/>
    <w:rsid w:val="00AA75F3"/>
    <w:rsid w:val="00AB14EF"/>
    <w:rsid w:val="00AB54B0"/>
    <w:rsid w:val="00AC0C15"/>
    <w:rsid w:val="00AC0FA4"/>
    <w:rsid w:val="00AD11C5"/>
    <w:rsid w:val="00AD2E46"/>
    <w:rsid w:val="00AD3101"/>
    <w:rsid w:val="00AD3195"/>
    <w:rsid w:val="00AD31E3"/>
    <w:rsid w:val="00AD4413"/>
    <w:rsid w:val="00AD5CA5"/>
    <w:rsid w:val="00AD6A49"/>
    <w:rsid w:val="00AE2868"/>
    <w:rsid w:val="00AE3679"/>
    <w:rsid w:val="00AE53D4"/>
    <w:rsid w:val="00AE5CC5"/>
    <w:rsid w:val="00AE6A63"/>
    <w:rsid w:val="00AE7437"/>
    <w:rsid w:val="00AF7949"/>
    <w:rsid w:val="00B00687"/>
    <w:rsid w:val="00B015CB"/>
    <w:rsid w:val="00B02C7B"/>
    <w:rsid w:val="00B03214"/>
    <w:rsid w:val="00B10017"/>
    <w:rsid w:val="00B11390"/>
    <w:rsid w:val="00B116EA"/>
    <w:rsid w:val="00B13CB7"/>
    <w:rsid w:val="00B1652B"/>
    <w:rsid w:val="00B2059B"/>
    <w:rsid w:val="00B23D9B"/>
    <w:rsid w:val="00B31AC0"/>
    <w:rsid w:val="00B3380C"/>
    <w:rsid w:val="00B3536F"/>
    <w:rsid w:val="00B372F1"/>
    <w:rsid w:val="00B4218C"/>
    <w:rsid w:val="00B4654C"/>
    <w:rsid w:val="00B508D3"/>
    <w:rsid w:val="00B521EE"/>
    <w:rsid w:val="00B53CE1"/>
    <w:rsid w:val="00B568A8"/>
    <w:rsid w:val="00B57F54"/>
    <w:rsid w:val="00B6274C"/>
    <w:rsid w:val="00B63189"/>
    <w:rsid w:val="00B63E37"/>
    <w:rsid w:val="00B64F21"/>
    <w:rsid w:val="00B664E4"/>
    <w:rsid w:val="00B66D1A"/>
    <w:rsid w:val="00B746C1"/>
    <w:rsid w:val="00B75AD1"/>
    <w:rsid w:val="00B7688E"/>
    <w:rsid w:val="00B84FA5"/>
    <w:rsid w:val="00B866BD"/>
    <w:rsid w:val="00BA2C71"/>
    <w:rsid w:val="00BA6E02"/>
    <w:rsid w:val="00BB195E"/>
    <w:rsid w:val="00BB7DB4"/>
    <w:rsid w:val="00BB7DEE"/>
    <w:rsid w:val="00BC2A7B"/>
    <w:rsid w:val="00BC2F40"/>
    <w:rsid w:val="00BC40E6"/>
    <w:rsid w:val="00BC5135"/>
    <w:rsid w:val="00BC75D2"/>
    <w:rsid w:val="00BD085D"/>
    <w:rsid w:val="00BD57BC"/>
    <w:rsid w:val="00BD6321"/>
    <w:rsid w:val="00BE0E99"/>
    <w:rsid w:val="00BE15EA"/>
    <w:rsid w:val="00BE38FB"/>
    <w:rsid w:val="00BF122F"/>
    <w:rsid w:val="00BF1514"/>
    <w:rsid w:val="00BF1645"/>
    <w:rsid w:val="00BF183D"/>
    <w:rsid w:val="00BF4048"/>
    <w:rsid w:val="00BF62F3"/>
    <w:rsid w:val="00C04A6A"/>
    <w:rsid w:val="00C05102"/>
    <w:rsid w:val="00C06069"/>
    <w:rsid w:val="00C068D0"/>
    <w:rsid w:val="00C14731"/>
    <w:rsid w:val="00C15D15"/>
    <w:rsid w:val="00C2265C"/>
    <w:rsid w:val="00C22B71"/>
    <w:rsid w:val="00C23A0A"/>
    <w:rsid w:val="00C24B15"/>
    <w:rsid w:val="00C25058"/>
    <w:rsid w:val="00C26F73"/>
    <w:rsid w:val="00C308D1"/>
    <w:rsid w:val="00C315DE"/>
    <w:rsid w:val="00C328D9"/>
    <w:rsid w:val="00C33E3C"/>
    <w:rsid w:val="00C34674"/>
    <w:rsid w:val="00C363B6"/>
    <w:rsid w:val="00C43C53"/>
    <w:rsid w:val="00C473E7"/>
    <w:rsid w:val="00C50CD9"/>
    <w:rsid w:val="00C52BCF"/>
    <w:rsid w:val="00C56268"/>
    <w:rsid w:val="00C56F68"/>
    <w:rsid w:val="00C57254"/>
    <w:rsid w:val="00C609AF"/>
    <w:rsid w:val="00C62D2E"/>
    <w:rsid w:val="00C637B5"/>
    <w:rsid w:val="00C64B57"/>
    <w:rsid w:val="00C70A7A"/>
    <w:rsid w:val="00C70FE7"/>
    <w:rsid w:val="00C713F1"/>
    <w:rsid w:val="00C71DD9"/>
    <w:rsid w:val="00C72B99"/>
    <w:rsid w:val="00C77BBD"/>
    <w:rsid w:val="00C8570C"/>
    <w:rsid w:val="00C87E57"/>
    <w:rsid w:val="00C90B43"/>
    <w:rsid w:val="00C9393A"/>
    <w:rsid w:val="00C945BC"/>
    <w:rsid w:val="00CA0234"/>
    <w:rsid w:val="00CA1F4E"/>
    <w:rsid w:val="00CA242B"/>
    <w:rsid w:val="00CA68D5"/>
    <w:rsid w:val="00CB5985"/>
    <w:rsid w:val="00CB6FC3"/>
    <w:rsid w:val="00CC30F4"/>
    <w:rsid w:val="00CC629B"/>
    <w:rsid w:val="00CD0C1C"/>
    <w:rsid w:val="00CD1575"/>
    <w:rsid w:val="00CD4AB2"/>
    <w:rsid w:val="00CD4DD4"/>
    <w:rsid w:val="00CD51CE"/>
    <w:rsid w:val="00CD590C"/>
    <w:rsid w:val="00CE0E91"/>
    <w:rsid w:val="00CF327E"/>
    <w:rsid w:val="00CF4548"/>
    <w:rsid w:val="00CF7442"/>
    <w:rsid w:val="00D01842"/>
    <w:rsid w:val="00D03BC7"/>
    <w:rsid w:val="00D0572E"/>
    <w:rsid w:val="00D0619F"/>
    <w:rsid w:val="00D13DD4"/>
    <w:rsid w:val="00D162C7"/>
    <w:rsid w:val="00D16608"/>
    <w:rsid w:val="00D212F4"/>
    <w:rsid w:val="00D229DE"/>
    <w:rsid w:val="00D25416"/>
    <w:rsid w:val="00D268FF"/>
    <w:rsid w:val="00D30ED3"/>
    <w:rsid w:val="00D3183D"/>
    <w:rsid w:val="00D35CB3"/>
    <w:rsid w:val="00D43BED"/>
    <w:rsid w:val="00D45923"/>
    <w:rsid w:val="00D465FD"/>
    <w:rsid w:val="00D51349"/>
    <w:rsid w:val="00D51765"/>
    <w:rsid w:val="00D52A6E"/>
    <w:rsid w:val="00D64A36"/>
    <w:rsid w:val="00D71A2D"/>
    <w:rsid w:val="00D844CF"/>
    <w:rsid w:val="00D8589F"/>
    <w:rsid w:val="00D87C8B"/>
    <w:rsid w:val="00D901F0"/>
    <w:rsid w:val="00D90375"/>
    <w:rsid w:val="00D9068C"/>
    <w:rsid w:val="00D95F07"/>
    <w:rsid w:val="00D972FD"/>
    <w:rsid w:val="00DA49EA"/>
    <w:rsid w:val="00DA4DCD"/>
    <w:rsid w:val="00DA7895"/>
    <w:rsid w:val="00DB2A14"/>
    <w:rsid w:val="00DB2CAE"/>
    <w:rsid w:val="00DB3EB9"/>
    <w:rsid w:val="00DB5F27"/>
    <w:rsid w:val="00DC4DEC"/>
    <w:rsid w:val="00DC5808"/>
    <w:rsid w:val="00DC7504"/>
    <w:rsid w:val="00DC7FBA"/>
    <w:rsid w:val="00DD1FA6"/>
    <w:rsid w:val="00DD42F5"/>
    <w:rsid w:val="00DD5086"/>
    <w:rsid w:val="00DD6DBC"/>
    <w:rsid w:val="00DE24F3"/>
    <w:rsid w:val="00DE3A5B"/>
    <w:rsid w:val="00DE40BB"/>
    <w:rsid w:val="00DE6772"/>
    <w:rsid w:val="00DF06B4"/>
    <w:rsid w:val="00DF1A2D"/>
    <w:rsid w:val="00DF1A88"/>
    <w:rsid w:val="00DF2D32"/>
    <w:rsid w:val="00E014ED"/>
    <w:rsid w:val="00E0172E"/>
    <w:rsid w:val="00E069EE"/>
    <w:rsid w:val="00E0756E"/>
    <w:rsid w:val="00E1114C"/>
    <w:rsid w:val="00E123F7"/>
    <w:rsid w:val="00E14C97"/>
    <w:rsid w:val="00E14F84"/>
    <w:rsid w:val="00E16BA0"/>
    <w:rsid w:val="00E16C50"/>
    <w:rsid w:val="00E23A11"/>
    <w:rsid w:val="00E263D5"/>
    <w:rsid w:val="00E27BAF"/>
    <w:rsid w:val="00E27FE1"/>
    <w:rsid w:val="00E30D10"/>
    <w:rsid w:val="00E312B4"/>
    <w:rsid w:val="00E324E6"/>
    <w:rsid w:val="00E32F77"/>
    <w:rsid w:val="00E3380E"/>
    <w:rsid w:val="00E3705F"/>
    <w:rsid w:val="00E43E19"/>
    <w:rsid w:val="00E44D2F"/>
    <w:rsid w:val="00E45B60"/>
    <w:rsid w:val="00E45E7C"/>
    <w:rsid w:val="00E5045E"/>
    <w:rsid w:val="00E52BB3"/>
    <w:rsid w:val="00E52D3F"/>
    <w:rsid w:val="00E53509"/>
    <w:rsid w:val="00E54233"/>
    <w:rsid w:val="00E5674D"/>
    <w:rsid w:val="00E57D1D"/>
    <w:rsid w:val="00E7015F"/>
    <w:rsid w:val="00E7271C"/>
    <w:rsid w:val="00E73DBA"/>
    <w:rsid w:val="00E7697C"/>
    <w:rsid w:val="00E76C55"/>
    <w:rsid w:val="00E77F59"/>
    <w:rsid w:val="00E808E5"/>
    <w:rsid w:val="00E81329"/>
    <w:rsid w:val="00E82DCA"/>
    <w:rsid w:val="00E85696"/>
    <w:rsid w:val="00E85BD0"/>
    <w:rsid w:val="00E86877"/>
    <w:rsid w:val="00E8728E"/>
    <w:rsid w:val="00E8749E"/>
    <w:rsid w:val="00E912C0"/>
    <w:rsid w:val="00E91680"/>
    <w:rsid w:val="00E930E8"/>
    <w:rsid w:val="00E95D91"/>
    <w:rsid w:val="00EA5DD7"/>
    <w:rsid w:val="00EC1E16"/>
    <w:rsid w:val="00EC33AD"/>
    <w:rsid w:val="00EC569C"/>
    <w:rsid w:val="00EC70AC"/>
    <w:rsid w:val="00ED220E"/>
    <w:rsid w:val="00ED4CC8"/>
    <w:rsid w:val="00EE1E14"/>
    <w:rsid w:val="00EF00CE"/>
    <w:rsid w:val="00EF1E8E"/>
    <w:rsid w:val="00EF25AC"/>
    <w:rsid w:val="00EF3548"/>
    <w:rsid w:val="00EF5548"/>
    <w:rsid w:val="00EF5A86"/>
    <w:rsid w:val="00EF65D5"/>
    <w:rsid w:val="00EF75A1"/>
    <w:rsid w:val="00F012D3"/>
    <w:rsid w:val="00F022C6"/>
    <w:rsid w:val="00F05D52"/>
    <w:rsid w:val="00F07325"/>
    <w:rsid w:val="00F07C55"/>
    <w:rsid w:val="00F1014B"/>
    <w:rsid w:val="00F12679"/>
    <w:rsid w:val="00F145DF"/>
    <w:rsid w:val="00F16559"/>
    <w:rsid w:val="00F1711D"/>
    <w:rsid w:val="00F22D76"/>
    <w:rsid w:val="00F238C7"/>
    <w:rsid w:val="00F375C9"/>
    <w:rsid w:val="00F42057"/>
    <w:rsid w:val="00F43522"/>
    <w:rsid w:val="00F512E1"/>
    <w:rsid w:val="00F52BA3"/>
    <w:rsid w:val="00F54118"/>
    <w:rsid w:val="00F56398"/>
    <w:rsid w:val="00F6165C"/>
    <w:rsid w:val="00F62042"/>
    <w:rsid w:val="00F62C0C"/>
    <w:rsid w:val="00F640CE"/>
    <w:rsid w:val="00F738AA"/>
    <w:rsid w:val="00F75303"/>
    <w:rsid w:val="00F80703"/>
    <w:rsid w:val="00F81A94"/>
    <w:rsid w:val="00F86677"/>
    <w:rsid w:val="00F86C0D"/>
    <w:rsid w:val="00F91FC7"/>
    <w:rsid w:val="00F957FA"/>
    <w:rsid w:val="00F97191"/>
    <w:rsid w:val="00FA6005"/>
    <w:rsid w:val="00FB16EF"/>
    <w:rsid w:val="00FB3338"/>
    <w:rsid w:val="00FB5BC8"/>
    <w:rsid w:val="00FB6606"/>
    <w:rsid w:val="00FC2887"/>
    <w:rsid w:val="00FC4079"/>
    <w:rsid w:val="00FD1D7F"/>
    <w:rsid w:val="00FD4BE7"/>
    <w:rsid w:val="00FD565B"/>
    <w:rsid w:val="00FD6B49"/>
    <w:rsid w:val="00FD7518"/>
    <w:rsid w:val="00FE18E8"/>
    <w:rsid w:val="00FE36D9"/>
    <w:rsid w:val="00FE3CFA"/>
    <w:rsid w:val="00FE5B20"/>
    <w:rsid w:val="00FE7088"/>
    <w:rsid w:val="00FF1573"/>
    <w:rsid w:val="00FF250B"/>
    <w:rsid w:val="00FF46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2777C"/>
  <w15:chartTrackingRefBased/>
  <w15:docId w15:val="{2C652337-61C4-4283-BD0A-F912A93CF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316396"/>
    <w:pPr>
      <w:keepNext/>
      <w:keepLines/>
      <w:numPr>
        <w:numId w:val="12"/>
      </w:numPr>
      <w:tabs>
        <w:tab w:val="left" w:pos="2694"/>
      </w:tabs>
      <w:spacing w:before="120" w:after="120" w:line="240" w:lineRule="auto"/>
      <w:ind w:left="709" w:hanging="709"/>
      <w:outlineLvl w:val="0"/>
    </w:pPr>
    <w:rPr>
      <w:rFonts w:ascii="Times New Roman" w:eastAsiaTheme="majorEastAsia" w:hAnsi="Times New Roman"/>
      <w:b/>
      <w:sz w:val="28"/>
      <w:szCs w:val="32"/>
    </w:rPr>
  </w:style>
  <w:style w:type="paragraph" w:styleId="Heading2">
    <w:name w:val="heading 2"/>
    <w:basedOn w:val="Normal"/>
    <w:next w:val="Normal"/>
    <w:link w:val="Heading2Char"/>
    <w:uiPriority w:val="9"/>
    <w:unhideWhenUsed/>
    <w:qFormat/>
    <w:rsid w:val="00316396"/>
    <w:pPr>
      <w:keepNext/>
      <w:keepLines/>
      <w:numPr>
        <w:ilvl w:val="1"/>
        <w:numId w:val="12"/>
      </w:numPr>
      <w:spacing w:before="40" w:after="0"/>
      <w:ind w:left="680" w:hanging="567"/>
      <w:outlineLvl w:val="1"/>
    </w:pPr>
    <w:rPr>
      <w:rFonts w:ascii="Times New Roman" w:eastAsiaTheme="majorEastAsia" w:hAnsi="Times New Roman"/>
      <w:b/>
      <w:sz w:val="26"/>
      <w:szCs w:val="26"/>
    </w:rPr>
  </w:style>
  <w:style w:type="paragraph" w:styleId="Heading3">
    <w:name w:val="heading 3"/>
    <w:basedOn w:val="Normal"/>
    <w:next w:val="Normal"/>
    <w:link w:val="Heading3Char"/>
    <w:uiPriority w:val="9"/>
    <w:unhideWhenUsed/>
    <w:qFormat/>
    <w:rsid w:val="00316396"/>
    <w:pPr>
      <w:keepNext/>
      <w:keepLines/>
      <w:numPr>
        <w:ilvl w:val="2"/>
        <w:numId w:val="12"/>
      </w:numPr>
      <w:spacing w:before="120" w:after="120" w:line="240" w:lineRule="auto"/>
      <w:ind w:left="680" w:hanging="680"/>
      <w:jc w:val="both"/>
      <w:outlineLvl w:val="2"/>
    </w:pPr>
    <w:rPr>
      <w:rFonts w:ascii="Times New Roman" w:eastAsiaTheme="majorEastAsia" w:hAnsi="Times New Roman"/>
      <w:sz w:val="24"/>
      <w:szCs w:val="24"/>
      <w:u w:val="single"/>
      <w:lang w:eastAsia="lv-LV"/>
    </w:rPr>
  </w:style>
  <w:style w:type="paragraph" w:styleId="Heading4">
    <w:name w:val="heading 4"/>
    <w:basedOn w:val="Normal"/>
    <w:next w:val="Normal"/>
    <w:link w:val="Heading4Char"/>
    <w:uiPriority w:val="9"/>
    <w:unhideWhenUsed/>
    <w:qFormat/>
    <w:rsid w:val="00316396"/>
    <w:pPr>
      <w:keepNext/>
      <w:keepLines/>
      <w:numPr>
        <w:ilvl w:val="3"/>
        <w:numId w:val="12"/>
      </w:numPr>
      <w:tabs>
        <w:tab w:val="left" w:pos="993"/>
      </w:tabs>
      <w:spacing w:before="120" w:after="120" w:line="240" w:lineRule="auto"/>
      <w:ind w:left="0" w:firstLine="0"/>
      <w:outlineLvl w:val="3"/>
    </w:pPr>
    <w:rPr>
      <w:rFonts w:ascii="Times New Roman" w:eastAsiaTheme="majorEastAsia"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5B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E85BD0"/>
  </w:style>
  <w:style w:type="paragraph" w:styleId="Footer">
    <w:name w:val="footer"/>
    <w:basedOn w:val="Normal"/>
    <w:link w:val="FooterChar"/>
    <w:uiPriority w:val="99"/>
    <w:unhideWhenUsed/>
    <w:rsid w:val="00E85B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E85BD0"/>
  </w:style>
  <w:style w:type="character" w:styleId="CommentReference">
    <w:name w:val="annotation reference"/>
    <w:uiPriority w:val="99"/>
    <w:semiHidden/>
    <w:unhideWhenUsed/>
    <w:rsid w:val="00DA49EA"/>
    <w:rPr>
      <w:sz w:val="16"/>
      <w:szCs w:val="16"/>
    </w:rPr>
  </w:style>
  <w:style w:type="paragraph" w:styleId="CommentText">
    <w:name w:val="annotation text"/>
    <w:basedOn w:val="Normal"/>
    <w:link w:val="CommentTextChar"/>
    <w:uiPriority w:val="99"/>
    <w:semiHidden/>
    <w:unhideWhenUsed/>
    <w:rsid w:val="00DA49EA"/>
    <w:pPr>
      <w:spacing w:line="240" w:lineRule="auto"/>
    </w:pPr>
    <w:rPr>
      <w:sz w:val="20"/>
      <w:szCs w:val="20"/>
    </w:rPr>
  </w:style>
  <w:style w:type="character" w:customStyle="1" w:styleId="CommentTextChar">
    <w:name w:val="Comment Text Char"/>
    <w:link w:val="CommentText"/>
    <w:uiPriority w:val="99"/>
    <w:semiHidden/>
    <w:rsid w:val="00DA49EA"/>
    <w:rPr>
      <w:sz w:val="20"/>
      <w:szCs w:val="20"/>
    </w:rPr>
  </w:style>
  <w:style w:type="paragraph" w:styleId="CommentSubject">
    <w:name w:val="annotation subject"/>
    <w:basedOn w:val="CommentText"/>
    <w:next w:val="CommentText"/>
    <w:link w:val="CommentSubjectChar"/>
    <w:uiPriority w:val="99"/>
    <w:semiHidden/>
    <w:unhideWhenUsed/>
    <w:rsid w:val="00DA49EA"/>
    <w:rPr>
      <w:b/>
      <w:bCs/>
    </w:rPr>
  </w:style>
  <w:style w:type="character" w:customStyle="1" w:styleId="CommentSubjectChar">
    <w:name w:val="Comment Subject Char"/>
    <w:link w:val="CommentSubject"/>
    <w:uiPriority w:val="99"/>
    <w:semiHidden/>
    <w:rsid w:val="00DA49EA"/>
    <w:rPr>
      <w:b/>
      <w:bCs/>
      <w:sz w:val="20"/>
      <w:szCs w:val="20"/>
    </w:rPr>
  </w:style>
  <w:style w:type="paragraph" w:styleId="BalloonText">
    <w:name w:val="Balloon Text"/>
    <w:basedOn w:val="Normal"/>
    <w:link w:val="BalloonTextChar"/>
    <w:uiPriority w:val="99"/>
    <w:semiHidden/>
    <w:unhideWhenUsed/>
    <w:rsid w:val="00DA49E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A49EA"/>
    <w:rPr>
      <w:rFonts w:ascii="Segoe UI" w:hAnsi="Segoe UI" w:cs="Segoe UI"/>
      <w:sz w:val="18"/>
      <w:szCs w:val="18"/>
    </w:rPr>
  </w:style>
  <w:style w:type="character" w:styleId="FootnoteReference">
    <w:name w:val="footnote reference"/>
    <w:aliases w:val="-E Fußnotenzeichen,BVI fnr,E FNZ,Exposant 3 Point,Footnote,Footnote Reference Number,Footnote Reference Superscript,Footnote sign,Footnote symboFußnotenzeichen,Footnote symbol,Footnote#,Ref,SUPERS,Times 10 Point,de nota al pie,stylish"/>
    <w:link w:val="FootnotesymbolCarZchn"/>
    <w:uiPriority w:val="99"/>
    <w:unhideWhenUsed/>
    <w:qFormat/>
    <w:rsid w:val="00FC4079"/>
    <w:rPr>
      <w:vertAlign w:val="superscript"/>
    </w:rPr>
  </w:style>
  <w:style w:type="paragraph" w:customStyle="1" w:styleId="FootnotesymbolCarZchn">
    <w:name w:val="Footnote symbol Car Zchn"/>
    <w:aliases w:val="BVI fnr Car Zchn,Char Char Char Char Char Car Zchn,Exposant 3 Point Car Zchn,Footnote Car Zchn,Footnote Reference Superscript Car Zchn,SUPERS Car Zchn,Times 10 Point Car Zchn"/>
    <w:basedOn w:val="Normal"/>
    <w:link w:val="FootnoteReference"/>
    <w:uiPriority w:val="99"/>
    <w:rsid w:val="00FC4079"/>
    <w:pPr>
      <w:spacing w:line="240" w:lineRule="exact"/>
      <w:jc w:val="both"/>
    </w:pPr>
    <w:rPr>
      <w:vertAlign w:val="superscript"/>
    </w:rPr>
  </w:style>
  <w:style w:type="paragraph" w:styleId="FootnoteText">
    <w:name w:val="footnote text"/>
    <w:aliases w:val="Footnote Char,Footnote text,Fußn,Fußnote,Fußnote Char,Fußnotentext Char Char,Reference,Schriftart: 10 pt,Schriftart: 8 pt,Schriftart: 9 pt,Voetnoottekst Char,Voetnoottekst Char1,Voetnoottekst Char2 Char Char,WB-Fußnotentext,fußn,o,stile 1"/>
    <w:basedOn w:val="Normal"/>
    <w:link w:val="FootnoteTextChar1"/>
    <w:uiPriority w:val="99"/>
    <w:qFormat/>
    <w:rsid w:val="00A75F8A"/>
    <w:pPr>
      <w:spacing w:after="0" w:line="240" w:lineRule="auto"/>
    </w:pPr>
    <w:rPr>
      <w:rFonts w:ascii="Times New Roman" w:eastAsia="Times New Roman" w:hAnsi="Times New Roman"/>
      <w:sz w:val="20"/>
      <w:szCs w:val="20"/>
      <w:lang w:val="en-GB"/>
    </w:rPr>
  </w:style>
  <w:style w:type="character" w:customStyle="1" w:styleId="FootnoteTextChar">
    <w:name w:val="Footnote Text Char"/>
    <w:aliases w:val="Fußnotentext Char Char1,Fußnotentext Char1 Char1 Char,Fußnotentext Char Char Char Char Char,Fußnotentext Char1 Char Char Char Char1,Fußnotentext Char1 Char Char Char Char Char"/>
    <w:uiPriority w:val="99"/>
    <w:qFormat/>
    <w:rsid w:val="00A75F8A"/>
    <w:rPr>
      <w:sz w:val="20"/>
      <w:szCs w:val="20"/>
    </w:rPr>
  </w:style>
  <w:style w:type="character" w:customStyle="1" w:styleId="FootnoteTextChar1">
    <w:name w:val="Footnote Text Char1"/>
    <w:aliases w:val="Footnote Char Char,Footnote text Char,Fußn Char,Fußnote Char1,Fußnote Char Char,Fußnotentext Char Char Char,Reference Char,Schriftart: 10 pt Char,Schriftart: 8 pt Char,Schriftart: 9 pt Char,Voetnoottekst Char Char,fußn Char,o Char"/>
    <w:link w:val="FootnoteText"/>
    <w:locked/>
    <w:rsid w:val="00A75F8A"/>
    <w:rPr>
      <w:rFonts w:ascii="Times New Roman" w:eastAsia="Times New Roman" w:hAnsi="Times New Roman" w:cs="Times New Roman"/>
      <w:sz w:val="20"/>
      <w:szCs w:val="20"/>
      <w:lang w:val="en-GB"/>
    </w:rPr>
  </w:style>
  <w:style w:type="paragraph" w:customStyle="1" w:styleId="FootnoteRefernece">
    <w:name w:val="Footnote Refernece"/>
    <w:aliases w:val="E,Footnotes refss,Odwołanie przypisu,ftref"/>
    <w:basedOn w:val="Normal"/>
    <w:next w:val="Normal"/>
    <w:uiPriority w:val="99"/>
    <w:rsid w:val="00A75F8A"/>
    <w:pPr>
      <w:spacing w:line="240" w:lineRule="exact"/>
      <w:jc w:val="both"/>
      <w:textAlignment w:val="baseline"/>
    </w:pPr>
    <w:rPr>
      <w:vertAlign w:val="superscript"/>
      <w:lang w:eastAsia="lv-LV"/>
    </w:rPr>
  </w:style>
  <w:style w:type="character" w:styleId="Hyperlink">
    <w:name w:val="Hyperlink"/>
    <w:uiPriority w:val="99"/>
    <w:unhideWhenUsed/>
    <w:rsid w:val="00062FDA"/>
    <w:rPr>
      <w:color w:val="0563C1"/>
      <w:u w:val="single"/>
    </w:rPr>
  </w:style>
  <w:style w:type="character" w:styleId="FollowedHyperlink">
    <w:name w:val="FollowedHyperlink"/>
    <w:uiPriority w:val="99"/>
    <w:semiHidden/>
    <w:unhideWhenUsed/>
    <w:rsid w:val="007735D3"/>
    <w:rPr>
      <w:color w:val="954F72"/>
      <w:u w:val="single"/>
    </w:rPr>
  </w:style>
  <w:style w:type="table" w:styleId="TableGrid">
    <w:name w:val="Table Grid"/>
    <w:basedOn w:val="TableNormal"/>
    <w:uiPriority w:val="39"/>
    <w:rsid w:val="00C52B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2,Strip,Numbered Para 1,Dot pt,No Spacing1,List Paragraph Char Char Char,Indicator Text,List Paragraph1,Bullet Points,MAIN CONTENT,IFCL - List Paragraph,List Paragraph12,OBC Bullet,F5 List Paragraph,Colorful List - Accent 11"/>
    <w:basedOn w:val="Normal"/>
    <w:link w:val="ListParagraphChar"/>
    <w:uiPriority w:val="34"/>
    <w:qFormat/>
    <w:rsid w:val="00E23A11"/>
    <w:pPr>
      <w:ind w:left="720"/>
      <w:contextualSpacing/>
    </w:pPr>
  </w:style>
  <w:style w:type="paragraph" w:styleId="BodyText">
    <w:name w:val="Body Text"/>
    <w:basedOn w:val="Normal"/>
    <w:link w:val="BodyTextChar"/>
    <w:semiHidden/>
    <w:unhideWhenUsed/>
    <w:rsid w:val="00280894"/>
    <w:pPr>
      <w:spacing w:after="0" w:line="240" w:lineRule="auto"/>
      <w:jc w:val="center"/>
    </w:pPr>
    <w:rPr>
      <w:rFonts w:ascii="Times New Roman" w:eastAsia="Times New Roman" w:hAnsi="Times New Roman"/>
      <w:b/>
      <w:bCs/>
      <w:sz w:val="28"/>
      <w:szCs w:val="28"/>
      <w:lang w:eastAsia="lv-LV"/>
    </w:rPr>
  </w:style>
  <w:style w:type="character" w:customStyle="1" w:styleId="BodyTextChar">
    <w:name w:val="Body Text Char"/>
    <w:link w:val="BodyText"/>
    <w:semiHidden/>
    <w:rsid w:val="00280894"/>
    <w:rPr>
      <w:rFonts w:ascii="Times New Roman" w:eastAsia="Times New Roman" w:hAnsi="Times New Roman" w:cs="Times New Roman"/>
      <w:b/>
      <w:bCs/>
      <w:sz w:val="28"/>
      <w:szCs w:val="28"/>
      <w:lang w:eastAsia="lv-LV"/>
    </w:rPr>
  </w:style>
  <w:style w:type="character" w:customStyle="1" w:styleId="spelle">
    <w:name w:val="spelle"/>
    <w:basedOn w:val="DefaultParagraphFont"/>
    <w:rsid w:val="009D29D3"/>
  </w:style>
  <w:style w:type="character" w:customStyle="1" w:styleId="ListParagraphChar">
    <w:name w:val="List Paragraph Char"/>
    <w:aliases w:val="2 Char,Strip Char,Numbered Para 1 Char,Dot pt Char,No Spacing1 Char,List Paragraph Char Char Char Char,Indicator Text Char,List Paragraph1 Char,Bullet Points Char,MAIN CONTENT Char,IFCL - List Paragraph Char,List Paragraph12 Char"/>
    <w:link w:val="ListParagraph"/>
    <w:uiPriority w:val="34"/>
    <w:qFormat/>
    <w:locked/>
    <w:rsid w:val="002B32F1"/>
    <w:rPr>
      <w:sz w:val="22"/>
      <w:szCs w:val="22"/>
      <w:lang w:eastAsia="en-US"/>
    </w:rPr>
  </w:style>
  <w:style w:type="paragraph" w:customStyle="1" w:styleId="Default">
    <w:name w:val="Default"/>
    <w:link w:val="DefaultChar"/>
    <w:rsid w:val="000A4FBB"/>
    <w:pPr>
      <w:autoSpaceDE w:val="0"/>
      <w:autoSpaceDN w:val="0"/>
      <w:adjustRightInd w:val="0"/>
    </w:pPr>
    <w:rPr>
      <w:rFonts w:ascii="Times New Roman" w:eastAsiaTheme="minorHAnsi" w:hAnsi="Times New Roman"/>
      <w:color w:val="000000"/>
      <w:sz w:val="24"/>
      <w:szCs w:val="24"/>
      <w:lang w:eastAsia="en-US"/>
    </w:rPr>
  </w:style>
  <w:style w:type="character" w:customStyle="1" w:styleId="DefaultChar">
    <w:name w:val="Default Char"/>
    <w:link w:val="Default"/>
    <w:rsid w:val="000A4FBB"/>
    <w:rPr>
      <w:rFonts w:ascii="Times New Roman" w:eastAsiaTheme="minorHAnsi" w:hAnsi="Times New Roman"/>
      <w:color w:val="000000"/>
      <w:sz w:val="24"/>
      <w:szCs w:val="24"/>
      <w:lang w:eastAsia="en-US"/>
    </w:rPr>
  </w:style>
  <w:style w:type="character" w:customStyle="1" w:styleId="normaltextrun">
    <w:name w:val="normaltextrun"/>
    <w:basedOn w:val="DefaultParagraphFont"/>
    <w:rsid w:val="00E44D2F"/>
  </w:style>
  <w:style w:type="paragraph" w:customStyle="1" w:styleId="paragraph">
    <w:name w:val="paragraph"/>
    <w:basedOn w:val="Normal"/>
    <w:rsid w:val="00E44D2F"/>
    <w:pPr>
      <w:spacing w:before="100" w:beforeAutospacing="1" w:after="100" w:afterAutospacing="1" w:line="240" w:lineRule="auto"/>
    </w:pPr>
    <w:rPr>
      <w:rFonts w:ascii="Times New Roman" w:eastAsia="Times New Roman" w:hAnsi="Times New Roman"/>
      <w:sz w:val="24"/>
      <w:szCs w:val="24"/>
      <w:lang w:eastAsia="lv-LV"/>
    </w:rPr>
  </w:style>
  <w:style w:type="paragraph" w:styleId="Caption">
    <w:name w:val="caption"/>
    <w:aliases w:val="Beschriftung Char"/>
    <w:basedOn w:val="Normal"/>
    <w:next w:val="Normal"/>
    <w:link w:val="CaptionChar"/>
    <w:uiPriority w:val="35"/>
    <w:unhideWhenUsed/>
    <w:qFormat/>
    <w:rsid w:val="00F54118"/>
    <w:pPr>
      <w:keepNext/>
      <w:spacing w:before="120" w:after="120" w:line="240" w:lineRule="auto"/>
      <w:jc w:val="center"/>
    </w:pPr>
    <w:rPr>
      <w:rFonts w:ascii="Times New Roman" w:eastAsiaTheme="majorEastAsia" w:hAnsi="Times New Roman"/>
      <w:b/>
      <w:iCs/>
      <w:sz w:val="20"/>
      <w:szCs w:val="20"/>
    </w:rPr>
  </w:style>
  <w:style w:type="character" w:customStyle="1" w:styleId="CaptionChar">
    <w:name w:val="Caption Char"/>
    <w:aliases w:val="Beschriftung Char Char"/>
    <w:link w:val="Caption"/>
    <w:uiPriority w:val="35"/>
    <w:rsid w:val="00F54118"/>
    <w:rPr>
      <w:rFonts w:ascii="Times New Roman" w:eastAsiaTheme="majorEastAsia" w:hAnsi="Times New Roman"/>
      <w:b/>
      <w:iCs/>
      <w:lang w:eastAsia="en-US"/>
    </w:rPr>
  </w:style>
  <w:style w:type="character" w:customStyle="1" w:styleId="Heading1Char">
    <w:name w:val="Heading 1 Char"/>
    <w:basedOn w:val="DefaultParagraphFont"/>
    <w:link w:val="Heading1"/>
    <w:uiPriority w:val="9"/>
    <w:rsid w:val="00316396"/>
    <w:rPr>
      <w:rFonts w:ascii="Times New Roman" w:eastAsiaTheme="majorEastAsia" w:hAnsi="Times New Roman"/>
      <w:b/>
      <w:sz w:val="28"/>
      <w:szCs w:val="32"/>
      <w:lang w:eastAsia="en-US"/>
    </w:rPr>
  </w:style>
  <w:style w:type="character" w:customStyle="1" w:styleId="Heading2Char">
    <w:name w:val="Heading 2 Char"/>
    <w:basedOn w:val="DefaultParagraphFont"/>
    <w:link w:val="Heading2"/>
    <w:uiPriority w:val="9"/>
    <w:rsid w:val="00316396"/>
    <w:rPr>
      <w:rFonts w:ascii="Times New Roman" w:eastAsiaTheme="majorEastAsia" w:hAnsi="Times New Roman"/>
      <w:b/>
      <w:sz w:val="26"/>
      <w:szCs w:val="26"/>
      <w:lang w:eastAsia="en-US"/>
    </w:rPr>
  </w:style>
  <w:style w:type="character" w:customStyle="1" w:styleId="Heading3Char">
    <w:name w:val="Heading 3 Char"/>
    <w:basedOn w:val="DefaultParagraphFont"/>
    <w:link w:val="Heading3"/>
    <w:uiPriority w:val="9"/>
    <w:rsid w:val="00316396"/>
    <w:rPr>
      <w:rFonts w:ascii="Times New Roman" w:eastAsiaTheme="majorEastAsia" w:hAnsi="Times New Roman"/>
      <w:sz w:val="24"/>
      <w:szCs w:val="24"/>
      <w:u w:val="single"/>
    </w:rPr>
  </w:style>
  <w:style w:type="character" w:customStyle="1" w:styleId="Heading4Char">
    <w:name w:val="Heading 4 Char"/>
    <w:basedOn w:val="DefaultParagraphFont"/>
    <w:link w:val="Heading4"/>
    <w:uiPriority w:val="9"/>
    <w:rsid w:val="00316396"/>
    <w:rPr>
      <w:rFonts w:ascii="Times New Roman" w:eastAsiaTheme="majorEastAsia" w:hAnsi="Times New Roman"/>
      <w:i/>
      <w:iCs/>
      <w:sz w:val="24"/>
      <w:szCs w:val="24"/>
      <w:lang w:eastAsia="en-US"/>
    </w:rPr>
  </w:style>
  <w:style w:type="character" w:customStyle="1" w:styleId="eop">
    <w:name w:val="eop"/>
    <w:rsid w:val="00884809"/>
  </w:style>
  <w:style w:type="paragraph" w:styleId="NormalWeb">
    <w:name w:val="Normal (Web)"/>
    <w:basedOn w:val="Normal"/>
    <w:uiPriority w:val="99"/>
    <w:semiHidden/>
    <w:unhideWhenUsed/>
    <w:rsid w:val="00CD4DD4"/>
    <w:pPr>
      <w:spacing w:before="100" w:beforeAutospacing="1" w:after="100" w:afterAutospacing="1" w:line="240" w:lineRule="auto"/>
    </w:pPr>
    <w:rPr>
      <w:rFonts w:ascii="Times New Roman" w:eastAsia="Times New Roman" w:hAnsi="Times New Roman"/>
      <w:sz w:val="24"/>
      <w:szCs w:val="24"/>
      <w:lang w:val="en-US"/>
    </w:rPr>
  </w:style>
  <w:style w:type="character" w:styleId="Strong">
    <w:name w:val="Strong"/>
    <w:basedOn w:val="DefaultParagraphFont"/>
    <w:uiPriority w:val="22"/>
    <w:qFormat/>
    <w:rsid w:val="00CD4D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52575">
      <w:bodyDiv w:val="1"/>
      <w:marLeft w:val="0"/>
      <w:marRight w:val="0"/>
      <w:marTop w:val="0"/>
      <w:marBottom w:val="0"/>
      <w:divBdr>
        <w:top w:val="none" w:sz="0" w:space="0" w:color="auto"/>
        <w:left w:val="none" w:sz="0" w:space="0" w:color="auto"/>
        <w:bottom w:val="none" w:sz="0" w:space="0" w:color="auto"/>
        <w:right w:val="none" w:sz="0" w:space="0" w:color="auto"/>
      </w:divBdr>
    </w:div>
    <w:div w:id="524712927">
      <w:bodyDiv w:val="1"/>
      <w:marLeft w:val="0"/>
      <w:marRight w:val="0"/>
      <w:marTop w:val="0"/>
      <w:marBottom w:val="0"/>
      <w:divBdr>
        <w:top w:val="none" w:sz="0" w:space="0" w:color="auto"/>
        <w:left w:val="none" w:sz="0" w:space="0" w:color="auto"/>
        <w:bottom w:val="none" w:sz="0" w:space="0" w:color="auto"/>
        <w:right w:val="none" w:sz="0" w:space="0" w:color="auto"/>
      </w:divBdr>
    </w:div>
    <w:div w:id="1089155665">
      <w:bodyDiv w:val="1"/>
      <w:marLeft w:val="0"/>
      <w:marRight w:val="0"/>
      <w:marTop w:val="0"/>
      <w:marBottom w:val="0"/>
      <w:divBdr>
        <w:top w:val="none" w:sz="0" w:space="0" w:color="auto"/>
        <w:left w:val="none" w:sz="0" w:space="0" w:color="auto"/>
        <w:bottom w:val="none" w:sz="0" w:space="0" w:color="auto"/>
        <w:right w:val="none" w:sz="0" w:space="0" w:color="auto"/>
      </w:divBdr>
      <w:divsChild>
        <w:div w:id="1983537611">
          <w:marLeft w:val="0"/>
          <w:marRight w:val="0"/>
          <w:marTop w:val="480"/>
          <w:marBottom w:val="240"/>
          <w:divBdr>
            <w:top w:val="none" w:sz="0" w:space="0" w:color="auto"/>
            <w:left w:val="none" w:sz="0" w:space="0" w:color="auto"/>
            <w:bottom w:val="none" w:sz="0" w:space="0" w:color="auto"/>
            <w:right w:val="none" w:sz="0" w:space="0" w:color="auto"/>
          </w:divBdr>
        </w:div>
        <w:div w:id="1625193209">
          <w:marLeft w:val="0"/>
          <w:marRight w:val="0"/>
          <w:marTop w:val="0"/>
          <w:marBottom w:val="567"/>
          <w:divBdr>
            <w:top w:val="none" w:sz="0" w:space="0" w:color="auto"/>
            <w:left w:val="none" w:sz="0" w:space="0" w:color="auto"/>
            <w:bottom w:val="none" w:sz="0" w:space="0" w:color="auto"/>
            <w:right w:val="none" w:sz="0" w:space="0" w:color="auto"/>
          </w:divBdr>
        </w:div>
      </w:divsChild>
    </w:div>
    <w:div w:id="1304776114">
      <w:bodyDiv w:val="1"/>
      <w:marLeft w:val="0"/>
      <w:marRight w:val="0"/>
      <w:marTop w:val="0"/>
      <w:marBottom w:val="0"/>
      <w:divBdr>
        <w:top w:val="none" w:sz="0" w:space="0" w:color="auto"/>
        <w:left w:val="none" w:sz="0" w:space="0" w:color="auto"/>
        <w:bottom w:val="none" w:sz="0" w:space="0" w:color="auto"/>
        <w:right w:val="none" w:sz="0" w:space="0" w:color="auto"/>
      </w:divBdr>
      <w:divsChild>
        <w:div w:id="316691493">
          <w:marLeft w:val="0"/>
          <w:marRight w:val="0"/>
          <w:marTop w:val="480"/>
          <w:marBottom w:val="240"/>
          <w:divBdr>
            <w:top w:val="none" w:sz="0" w:space="0" w:color="auto"/>
            <w:left w:val="none" w:sz="0" w:space="0" w:color="auto"/>
            <w:bottom w:val="none" w:sz="0" w:space="0" w:color="auto"/>
            <w:right w:val="none" w:sz="0" w:space="0" w:color="auto"/>
          </w:divBdr>
        </w:div>
        <w:div w:id="578565202">
          <w:marLeft w:val="0"/>
          <w:marRight w:val="0"/>
          <w:marTop w:val="0"/>
          <w:marBottom w:val="567"/>
          <w:divBdr>
            <w:top w:val="none" w:sz="0" w:space="0" w:color="auto"/>
            <w:left w:val="none" w:sz="0" w:space="0" w:color="auto"/>
            <w:bottom w:val="none" w:sz="0" w:space="0" w:color="auto"/>
            <w:right w:val="none" w:sz="0" w:space="0" w:color="auto"/>
          </w:divBdr>
        </w:div>
      </w:divsChild>
    </w:div>
    <w:div w:id="1360623576">
      <w:bodyDiv w:val="1"/>
      <w:marLeft w:val="0"/>
      <w:marRight w:val="0"/>
      <w:marTop w:val="0"/>
      <w:marBottom w:val="0"/>
      <w:divBdr>
        <w:top w:val="none" w:sz="0" w:space="0" w:color="auto"/>
        <w:left w:val="none" w:sz="0" w:space="0" w:color="auto"/>
        <w:bottom w:val="none" w:sz="0" w:space="0" w:color="auto"/>
        <w:right w:val="none" w:sz="0" w:space="0" w:color="auto"/>
      </w:divBdr>
    </w:div>
    <w:div w:id="1365129588">
      <w:bodyDiv w:val="1"/>
      <w:marLeft w:val="0"/>
      <w:marRight w:val="0"/>
      <w:marTop w:val="0"/>
      <w:marBottom w:val="0"/>
      <w:divBdr>
        <w:top w:val="none" w:sz="0" w:space="0" w:color="auto"/>
        <w:left w:val="none" w:sz="0" w:space="0" w:color="auto"/>
        <w:bottom w:val="none" w:sz="0" w:space="0" w:color="auto"/>
        <w:right w:val="none" w:sz="0" w:space="0" w:color="auto"/>
      </w:divBdr>
    </w:div>
    <w:div w:id="1779981130">
      <w:bodyDiv w:val="1"/>
      <w:marLeft w:val="0"/>
      <w:marRight w:val="0"/>
      <w:marTop w:val="0"/>
      <w:marBottom w:val="0"/>
      <w:divBdr>
        <w:top w:val="none" w:sz="0" w:space="0" w:color="auto"/>
        <w:left w:val="none" w:sz="0" w:space="0" w:color="auto"/>
        <w:bottom w:val="none" w:sz="0" w:space="0" w:color="auto"/>
        <w:right w:val="none" w:sz="0" w:space="0" w:color="auto"/>
      </w:divBdr>
    </w:div>
    <w:div w:id="2010012671">
      <w:bodyDiv w:val="1"/>
      <w:marLeft w:val="0"/>
      <w:marRight w:val="0"/>
      <w:marTop w:val="0"/>
      <w:marBottom w:val="0"/>
      <w:divBdr>
        <w:top w:val="none" w:sz="0" w:space="0" w:color="auto"/>
        <w:left w:val="none" w:sz="0" w:space="0" w:color="auto"/>
        <w:bottom w:val="none" w:sz="0" w:space="0" w:color="auto"/>
        <w:right w:val="none" w:sz="0" w:space="0" w:color="auto"/>
      </w:divBdr>
    </w:div>
    <w:div w:id="2027244950">
      <w:bodyDiv w:val="1"/>
      <w:marLeft w:val="0"/>
      <w:marRight w:val="0"/>
      <w:marTop w:val="0"/>
      <w:marBottom w:val="0"/>
      <w:divBdr>
        <w:top w:val="none" w:sz="0" w:space="0" w:color="auto"/>
        <w:left w:val="none" w:sz="0" w:space="0" w:color="auto"/>
        <w:bottom w:val="none" w:sz="0" w:space="0" w:color="auto"/>
        <w:right w:val="none" w:sz="0" w:space="0" w:color="auto"/>
      </w:divBdr>
    </w:div>
    <w:div w:id="2062631910">
      <w:bodyDiv w:val="1"/>
      <w:marLeft w:val="0"/>
      <w:marRight w:val="0"/>
      <w:marTop w:val="0"/>
      <w:marBottom w:val="0"/>
      <w:divBdr>
        <w:top w:val="none" w:sz="0" w:space="0" w:color="auto"/>
        <w:left w:val="none" w:sz="0" w:space="0" w:color="auto"/>
        <w:bottom w:val="none" w:sz="0" w:space="0" w:color="auto"/>
        <w:right w:val="none" w:sz="0" w:space="0" w:color="auto"/>
      </w:divBdr>
    </w:div>
    <w:div w:id="2079789612">
      <w:bodyDiv w:val="1"/>
      <w:marLeft w:val="0"/>
      <w:marRight w:val="0"/>
      <w:marTop w:val="0"/>
      <w:marBottom w:val="0"/>
      <w:divBdr>
        <w:top w:val="none" w:sz="0" w:space="0" w:color="auto"/>
        <w:left w:val="none" w:sz="0" w:space="0" w:color="auto"/>
        <w:bottom w:val="none" w:sz="0" w:space="0" w:color="auto"/>
        <w:right w:val="none" w:sz="0" w:space="0" w:color="auto"/>
      </w:divBdr>
      <w:divsChild>
        <w:div w:id="1835610916">
          <w:marLeft w:val="0"/>
          <w:marRight w:val="0"/>
          <w:marTop w:val="480"/>
          <w:marBottom w:val="240"/>
          <w:divBdr>
            <w:top w:val="none" w:sz="0" w:space="0" w:color="auto"/>
            <w:left w:val="none" w:sz="0" w:space="0" w:color="auto"/>
            <w:bottom w:val="none" w:sz="0" w:space="0" w:color="auto"/>
            <w:right w:val="none" w:sz="0" w:space="0" w:color="auto"/>
          </w:divBdr>
        </w:div>
        <w:div w:id="2048675298">
          <w:marLeft w:val="0"/>
          <w:marRight w:val="0"/>
          <w:marTop w:val="0"/>
          <w:marBottom w:val="567"/>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41488E-D0E7-4E08-AFC4-839076D31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7164</Words>
  <Characters>4084</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par Nacionālā enerģētikas un klimata plāna 2021.-2030.gadam projektu un tā iesniegšanu Eiropas Komisijā izvērtēšanai</vt:lpstr>
    </vt:vector>
  </TitlesOfParts>
  <Manager>Helena.Rimsa@em.gov.lv;Helena.Rimsa@em.gov.lv</Manager>
  <Company>Ekonomikas ministrija</Company>
  <LinksUpToDate>false</LinksUpToDate>
  <CharactersWithSpaces>11226</CharactersWithSpaces>
  <SharedDoc>false</SharedDoc>
  <HLinks>
    <vt:vector size="6" baseType="variant">
      <vt:variant>
        <vt:i4>2097271</vt:i4>
      </vt:variant>
      <vt:variant>
        <vt:i4>0</vt:i4>
      </vt:variant>
      <vt:variant>
        <vt:i4>0</vt:i4>
      </vt:variant>
      <vt:variant>
        <vt:i4>5</vt:i4>
      </vt:variant>
      <vt:variant>
        <vt:lpwstr>http://www.consilium.europa.eu/en/meetings/tte/2017/12/18/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Nacionālā enerģētikas un klimata plāna 2021.-2030.gadam projektu un tā iesniegšanu Eiropas Komisijā izvērtēšanai</dc:title>
  <dc:subject>Informatīvā ziņojuma projekts</dc:subject>
  <dc:creator>Līga Dreijalte</dc:creator>
  <cp:keywords/>
  <dc:description>H.Rimša, 67013244, Helena.Rimsa@em.gov.lv</dc:description>
  <cp:lastModifiedBy>IEPD</cp:lastModifiedBy>
  <cp:revision>11</cp:revision>
  <cp:lastPrinted>2019-01-28T07:59:00Z</cp:lastPrinted>
  <dcterms:created xsi:type="dcterms:W3CDTF">2019-01-28T10:30:00Z</dcterms:created>
  <dcterms:modified xsi:type="dcterms:W3CDTF">2019-01-28T16:33:00Z</dcterms:modified>
  <cp:category>enerģētikas politika</cp:category>
</cp:coreProperties>
</file>