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23D25" w14:textId="77777777" w:rsidR="007116C7" w:rsidRPr="00712B66" w:rsidRDefault="007116C7" w:rsidP="00EA50E3">
      <w:pPr>
        <w:pStyle w:val="naisnod"/>
        <w:spacing w:before="0" w:after="0"/>
        <w:ind w:left="720" w:firstLine="720"/>
        <w:rPr>
          <w:sz w:val="28"/>
          <w:szCs w:val="28"/>
        </w:rPr>
      </w:pPr>
      <w:r w:rsidRPr="00712B66">
        <w:rPr>
          <w:sz w:val="28"/>
          <w:szCs w:val="28"/>
        </w:rPr>
        <w:t>Izziņa par atzinumos sniegtajiem iebildumiem</w:t>
      </w:r>
    </w:p>
    <w:p w14:paraId="062075B5"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1766"/>
      </w:tblGrid>
      <w:tr w:rsidR="007116C7" w:rsidRPr="00712B66" w14:paraId="73EFBF44" w14:textId="77777777" w:rsidTr="00F70057">
        <w:trPr>
          <w:jc w:val="center"/>
        </w:trPr>
        <w:tc>
          <w:tcPr>
            <w:tcW w:w="11766" w:type="dxa"/>
            <w:tcBorders>
              <w:bottom w:val="single" w:sz="6" w:space="0" w:color="000000"/>
            </w:tcBorders>
          </w:tcPr>
          <w:p w14:paraId="26505C40" w14:textId="77777777" w:rsidR="007116C7" w:rsidRPr="0060493C" w:rsidRDefault="00D35B60" w:rsidP="009A2665">
            <w:pPr>
              <w:ind w:firstLine="720"/>
              <w:jc w:val="center"/>
              <w:rPr>
                <w:b/>
                <w:sz w:val="28"/>
                <w:szCs w:val="28"/>
              </w:rPr>
            </w:pPr>
            <w:r w:rsidRPr="0060493C">
              <w:rPr>
                <w:b/>
                <w:sz w:val="28"/>
                <w:szCs w:val="28"/>
              </w:rPr>
              <w:t>Ministru kabineta noteikumu projekt</w:t>
            </w:r>
            <w:r w:rsidR="009A2665">
              <w:rPr>
                <w:b/>
                <w:sz w:val="28"/>
                <w:szCs w:val="28"/>
              </w:rPr>
              <w:t>s</w:t>
            </w:r>
            <w:r w:rsidRPr="0060493C">
              <w:rPr>
                <w:b/>
                <w:sz w:val="28"/>
                <w:szCs w:val="28"/>
              </w:rPr>
              <w:t xml:space="preserve"> “</w:t>
            </w:r>
            <w:r w:rsidR="004A3A0C" w:rsidRPr="004A3A0C">
              <w:rPr>
                <w:b/>
                <w:sz w:val="28"/>
                <w:szCs w:val="28"/>
              </w:rPr>
              <w:t>Grozījumi Ministru kabineta 2011. gada 5. jūlija noteikumos Nr. 545 “Noteikumi par biodegvielu un bioloģisko šķidro kurināmo ilgtspējas kritērijiem, to ieviešanas mehānismu un uzraudzības un kontroles kārtību”</w:t>
            </w:r>
            <w:r w:rsidRPr="0060493C">
              <w:rPr>
                <w:b/>
                <w:sz w:val="28"/>
                <w:szCs w:val="28"/>
              </w:rPr>
              <w:t>”</w:t>
            </w:r>
            <w:r w:rsidR="0060493C">
              <w:rPr>
                <w:b/>
                <w:sz w:val="28"/>
                <w:szCs w:val="28"/>
              </w:rPr>
              <w:t xml:space="preserve"> (VSS-</w:t>
            </w:r>
            <w:r w:rsidR="004A3A0C">
              <w:rPr>
                <w:b/>
                <w:sz w:val="28"/>
                <w:szCs w:val="28"/>
              </w:rPr>
              <w:t>1012</w:t>
            </w:r>
            <w:r w:rsidR="0060493C">
              <w:rPr>
                <w:b/>
                <w:sz w:val="28"/>
                <w:szCs w:val="28"/>
              </w:rPr>
              <w:t>)</w:t>
            </w:r>
          </w:p>
        </w:tc>
      </w:tr>
    </w:tbl>
    <w:p w14:paraId="4F898080" w14:textId="77777777" w:rsidR="007116C7" w:rsidRPr="00322911" w:rsidRDefault="007116C7" w:rsidP="009623BC">
      <w:pPr>
        <w:pStyle w:val="naisc"/>
        <w:spacing w:before="0" w:after="0"/>
        <w:ind w:firstLine="1080"/>
        <w:rPr>
          <w:sz w:val="20"/>
          <w:szCs w:val="20"/>
        </w:rPr>
      </w:pPr>
      <w:r w:rsidRPr="00322911">
        <w:rPr>
          <w:sz w:val="20"/>
          <w:szCs w:val="20"/>
        </w:rPr>
        <w:t>(dokumenta veids un nosaukums)</w:t>
      </w:r>
    </w:p>
    <w:p w14:paraId="69137E72" w14:textId="77777777" w:rsidR="007B4C0F" w:rsidRPr="00712B66" w:rsidRDefault="007B4C0F" w:rsidP="00DB7395">
      <w:pPr>
        <w:pStyle w:val="naisf"/>
        <w:spacing w:before="0" w:after="0"/>
        <w:ind w:firstLine="720"/>
      </w:pPr>
    </w:p>
    <w:p w14:paraId="2BE6D45A"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3686"/>
        <w:gridCol w:w="2977"/>
        <w:gridCol w:w="2126"/>
        <w:gridCol w:w="2556"/>
      </w:tblGrid>
      <w:tr w:rsidR="005F4BFD" w:rsidRPr="00F06916" w14:paraId="5DB56DD3" w14:textId="77777777" w:rsidTr="00975F5F">
        <w:trPr>
          <w:jc w:val="center"/>
        </w:trPr>
        <w:tc>
          <w:tcPr>
            <w:tcW w:w="562" w:type="dxa"/>
            <w:vAlign w:val="center"/>
          </w:tcPr>
          <w:p w14:paraId="516D3A9D" w14:textId="77777777" w:rsidR="005F4BFD" w:rsidRPr="00F06916" w:rsidRDefault="005F4BFD" w:rsidP="0043420E">
            <w:pPr>
              <w:pStyle w:val="naisc"/>
              <w:spacing w:before="0" w:after="0"/>
              <w:rPr>
                <w:sz w:val="20"/>
                <w:szCs w:val="20"/>
              </w:rPr>
            </w:pPr>
            <w:r w:rsidRPr="00F06916">
              <w:rPr>
                <w:sz w:val="20"/>
                <w:szCs w:val="20"/>
              </w:rPr>
              <w:t>Nr. p.k.</w:t>
            </w:r>
          </w:p>
        </w:tc>
        <w:tc>
          <w:tcPr>
            <w:tcW w:w="2835" w:type="dxa"/>
            <w:vAlign w:val="center"/>
          </w:tcPr>
          <w:p w14:paraId="666E8288" w14:textId="77777777" w:rsidR="005F4BFD" w:rsidRPr="00F06916" w:rsidRDefault="005F4BFD" w:rsidP="0043420E">
            <w:pPr>
              <w:pStyle w:val="naisc"/>
              <w:spacing w:before="0" w:after="0"/>
              <w:rPr>
                <w:sz w:val="20"/>
                <w:szCs w:val="20"/>
              </w:rPr>
            </w:pPr>
            <w:r w:rsidRPr="00F06916">
              <w:rPr>
                <w:sz w:val="20"/>
                <w:szCs w:val="20"/>
              </w:rPr>
              <w:t>Saskaņošanai nosūtītā projekta redakcija (konkrēta punkta (panta) redakcija)</w:t>
            </w:r>
          </w:p>
        </w:tc>
        <w:tc>
          <w:tcPr>
            <w:tcW w:w="3686" w:type="dxa"/>
            <w:vAlign w:val="center"/>
          </w:tcPr>
          <w:p w14:paraId="38929205" w14:textId="77777777" w:rsidR="005F4BFD" w:rsidRPr="00F06916" w:rsidRDefault="005F4BFD" w:rsidP="0043420E">
            <w:pPr>
              <w:pStyle w:val="naisc"/>
              <w:spacing w:before="0" w:after="0"/>
              <w:rPr>
                <w:sz w:val="20"/>
                <w:szCs w:val="20"/>
              </w:rPr>
            </w:pPr>
            <w:r w:rsidRPr="00F06916">
              <w:rPr>
                <w:sz w:val="20"/>
                <w:szCs w:val="20"/>
              </w:rPr>
              <w:t>Atzinumā norādītais ministrijas (citas institūcijas) iebildums</w:t>
            </w:r>
            <w:r w:rsidR="00184479" w:rsidRPr="00F06916">
              <w:rPr>
                <w:sz w:val="20"/>
                <w:szCs w:val="20"/>
              </w:rPr>
              <w:t>,</w:t>
            </w:r>
            <w:r w:rsidR="000E5509" w:rsidRPr="00F06916">
              <w:rPr>
                <w:sz w:val="20"/>
                <w:szCs w:val="20"/>
              </w:rPr>
              <w:t xml:space="preserve"> kā arī saskaņošanā papildus izteiktais iebildums</w:t>
            </w:r>
            <w:r w:rsidRPr="00F06916">
              <w:rPr>
                <w:sz w:val="20"/>
                <w:szCs w:val="20"/>
              </w:rPr>
              <w:t xml:space="preserve"> par projekta konkrēto punktu (pantu)</w:t>
            </w:r>
          </w:p>
        </w:tc>
        <w:tc>
          <w:tcPr>
            <w:tcW w:w="2977" w:type="dxa"/>
            <w:vAlign w:val="center"/>
          </w:tcPr>
          <w:p w14:paraId="69F891E5" w14:textId="77777777" w:rsidR="005F4BFD" w:rsidRPr="00F06916" w:rsidRDefault="005F4BFD" w:rsidP="0043420E">
            <w:pPr>
              <w:pStyle w:val="naisc"/>
              <w:spacing w:before="0" w:after="0"/>
              <w:rPr>
                <w:sz w:val="20"/>
                <w:szCs w:val="20"/>
              </w:rPr>
            </w:pPr>
            <w:r w:rsidRPr="00F06916">
              <w:rPr>
                <w:sz w:val="20"/>
                <w:szCs w:val="20"/>
              </w:rPr>
              <w:t>Atbildīgās ministrijas pamatojums</w:t>
            </w:r>
            <w:r w:rsidR="009307F2" w:rsidRPr="00F06916">
              <w:rPr>
                <w:sz w:val="20"/>
                <w:szCs w:val="20"/>
              </w:rPr>
              <w:t xml:space="preserve"> iebilduma noraidījumam</w:t>
            </w:r>
          </w:p>
        </w:tc>
        <w:tc>
          <w:tcPr>
            <w:tcW w:w="2126" w:type="dxa"/>
            <w:vAlign w:val="center"/>
          </w:tcPr>
          <w:p w14:paraId="0001F45C" w14:textId="77777777" w:rsidR="005F4BFD" w:rsidRPr="00F06916" w:rsidRDefault="005F4BFD" w:rsidP="0043420E">
            <w:pPr>
              <w:jc w:val="center"/>
              <w:rPr>
                <w:sz w:val="20"/>
                <w:szCs w:val="20"/>
              </w:rPr>
            </w:pPr>
            <w:r w:rsidRPr="00F06916">
              <w:rPr>
                <w:sz w:val="20"/>
                <w:szCs w:val="20"/>
              </w:rPr>
              <w:t>Atzinuma sniedzēja uzturētais iebildums, ja tas atšķiras no atzinumā norādītā iebilduma pamatojuma</w:t>
            </w:r>
          </w:p>
        </w:tc>
        <w:tc>
          <w:tcPr>
            <w:tcW w:w="2556" w:type="dxa"/>
            <w:vAlign w:val="center"/>
          </w:tcPr>
          <w:p w14:paraId="66080BB1" w14:textId="77777777" w:rsidR="005F4BFD" w:rsidRPr="00F06916" w:rsidRDefault="005F4BFD" w:rsidP="0043420E">
            <w:pPr>
              <w:jc w:val="center"/>
              <w:rPr>
                <w:sz w:val="20"/>
                <w:szCs w:val="20"/>
              </w:rPr>
            </w:pPr>
            <w:r w:rsidRPr="00F06916">
              <w:rPr>
                <w:sz w:val="20"/>
                <w:szCs w:val="20"/>
              </w:rPr>
              <w:t>Projekta attiecīgā punkta (panta) galīgā redakcija</w:t>
            </w:r>
          </w:p>
        </w:tc>
      </w:tr>
      <w:tr w:rsidR="005F4BFD" w:rsidRPr="00F06916" w14:paraId="4578A911" w14:textId="77777777" w:rsidTr="00975F5F">
        <w:trPr>
          <w:jc w:val="center"/>
        </w:trPr>
        <w:tc>
          <w:tcPr>
            <w:tcW w:w="562" w:type="dxa"/>
          </w:tcPr>
          <w:p w14:paraId="14432E44" w14:textId="77777777" w:rsidR="005F4BFD" w:rsidRPr="00F06916" w:rsidRDefault="008A36C9" w:rsidP="0043420E">
            <w:pPr>
              <w:pStyle w:val="naisc"/>
              <w:spacing w:before="0" w:after="0"/>
              <w:rPr>
                <w:sz w:val="20"/>
                <w:szCs w:val="20"/>
              </w:rPr>
            </w:pPr>
            <w:r w:rsidRPr="00F06916">
              <w:rPr>
                <w:sz w:val="20"/>
                <w:szCs w:val="20"/>
              </w:rPr>
              <w:t>1</w:t>
            </w:r>
          </w:p>
        </w:tc>
        <w:tc>
          <w:tcPr>
            <w:tcW w:w="2835" w:type="dxa"/>
          </w:tcPr>
          <w:p w14:paraId="7052AEC8" w14:textId="77777777" w:rsidR="005F4BFD" w:rsidRPr="00F06916" w:rsidRDefault="008A36C9" w:rsidP="0043420E">
            <w:pPr>
              <w:pStyle w:val="naisc"/>
              <w:spacing w:before="0" w:after="0"/>
              <w:rPr>
                <w:sz w:val="20"/>
                <w:szCs w:val="20"/>
              </w:rPr>
            </w:pPr>
            <w:r w:rsidRPr="00F06916">
              <w:rPr>
                <w:sz w:val="20"/>
                <w:szCs w:val="20"/>
              </w:rPr>
              <w:t>2</w:t>
            </w:r>
          </w:p>
        </w:tc>
        <w:tc>
          <w:tcPr>
            <w:tcW w:w="3686" w:type="dxa"/>
          </w:tcPr>
          <w:p w14:paraId="2F0824D2" w14:textId="77777777" w:rsidR="005F4BFD" w:rsidRPr="00F06916" w:rsidRDefault="008A36C9" w:rsidP="0043420E">
            <w:pPr>
              <w:pStyle w:val="naisc"/>
              <w:spacing w:before="0" w:after="0"/>
              <w:rPr>
                <w:sz w:val="20"/>
                <w:szCs w:val="20"/>
              </w:rPr>
            </w:pPr>
            <w:r w:rsidRPr="00F06916">
              <w:rPr>
                <w:sz w:val="20"/>
                <w:szCs w:val="20"/>
              </w:rPr>
              <w:t>3</w:t>
            </w:r>
          </w:p>
        </w:tc>
        <w:tc>
          <w:tcPr>
            <w:tcW w:w="2977" w:type="dxa"/>
          </w:tcPr>
          <w:p w14:paraId="667950FF" w14:textId="77777777" w:rsidR="005F4BFD" w:rsidRPr="00F06916" w:rsidRDefault="008A36C9" w:rsidP="0043420E">
            <w:pPr>
              <w:pStyle w:val="naisc"/>
              <w:spacing w:before="0" w:after="0"/>
              <w:rPr>
                <w:sz w:val="20"/>
                <w:szCs w:val="20"/>
              </w:rPr>
            </w:pPr>
            <w:r w:rsidRPr="00F06916">
              <w:rPr>
                <w:sz w:val="20"/>
                <w:szCs w:val="20"/>
              </w:rPr>
              <w:t>4</w:t>
            </w:r>
          </w:p>
        </w:tc>
        <w:tc>
          <w:tcPr>
            <w:tcW w:w="2126" w:type="dxa"/>
          </w:tcPr>
          <w:p w14:paraId="57253621" w14:textId="77777777" w:rsidR="005F4BFD" w:rsidRPr="00F06916" w:rsidRDefault="008A36C9" w:rsidP="0043420E">
            <w:pPr>
              <w:jc w:val="center"/>
              <w:rPr>
                <w:sz w:val="20"/>
                <w:szCs w:val="20"/>
              </w:rPr>
            </w:pPr>
            <w:r w:rsidRPr="00F06916">
              <w:rPr>
                <w:sz w:val="20"/>
                <w:szCs w:val="20"/>
              </w:rPr>
              <w:t>5</w:t>
            </w:r>
          </w:p>
        </w:tc>
        <w:tc>
          <w:tcPr>
            <w:tcW w:w="2556" w:type="dxa"/>
          </w:tcPr>
          <w:p w14:paraId="499A749E" w14:textId="77777777" w:rsidR="005F4BFD" w:rsidRPr="00F06916" w:rsidRDefault="008A36C9" w:rsidP="0043420E">
            <w:pPr>
              <w:jc w:val="center"/>
              <w:rPr>
                <w:sz w:val="20"/>
                <w:szCs w:val="20"/>
              </w:rPr>
            </w:pPr>
            <w:r w:rsidRPr="00F06916">
              <w:rPr>
                <w:sz w:val="20"/>
                <w:szCs w:val="20"/>
              </w:rPr>
              <w:t>6</w:t>
            </w:r>
          </w:p>
        </w:tc>
      </w:tr>
      <w:tr w:rsidR="000744A5" w:rsidRPr="00607D8B" w14:paraId="3CA28ADD" w14:textId="77777777" w:rsidTr="00607D8B">
        <w:trPr>
          <w:trHeight w:val="239"/>
          <w:jc w:val="center"/>
        </w:trPr>
        <w:tc>
          <w:tcPr>
            <w:tcW w:w="562" w:type="dxa"/>
          </w:tcPr>
          <w:p w14:paraId="0D866441" w14:textId="77777777" w:rsidR="000744A5" w:rsidRPr="00607D8B" w:rsidRDefault="000744A5" w:rsidP="0043420E">
            <w:pPr>
              <w:pStyle w:val="naisc"/>
              <w:spacing w:before="0" w:after="0"/>
              <w:rPr>
                <w:b/>
                <w:sz w:val="22"/>
                <w:szCs w:val="22"/>
              </w:rPr>
            </w:pPr>
          </w:p>
        </w:tc>
        <w:tc>
          <w:tcPr>
            <w:tcW w:w="2835" w:type="dxa"/>
          </w:tcPr>
          <w:p w14:paraId="77C0CCCE" w14:textId="77777777" w:rsidR="000744A5" w:rsidRPr="00607D8B" w:rsidRDefault="000744A5" w:rsidP="0043420E">
            <w:pPr>
              <w:shd w:val="clear" w:color="auto" w:fill="FFFFFF"/>
              <w:jc w:val="both"/>
              <w:rPr>
                <w:color w:val="000000" w:themeColor="text1"/>
                <w:sz w:val="22"/>
                <w:szCs w:val="22"/>
              </w:rPr>
            </w:pPr>
          </w:p>
        </w:tc>
        <w:tc>
          <w:tcPr>
            <w:tcW w:w="3686" w:type="dxa"/>
          </w:tcPr>
          <w:p w14:paraId="3A7DE7B5" w14:textId="77777777" w:rsidR="000744A5" w:rsidRPr="00607D8B" w:rsidRDefault="000744A5" w:rsidP="0043420E">
            <w:pPr>
              <w:widowControl w:val="0"/>
              <w:jc w:val="center"/>
              <w:rPr>
                <w:b/>
                <w:sz w:val="22"/>
                <w:szCs w:val="22"/>
              </w:rPr>
            </w:pPr>
          </w:p>
        </w:tc>
        <w:tc>
          <w:tcPr>
            <w:tcW w:w="2977" w:type="dxa"/>
          </w:tcPr>
          <w:p w14:paraId="0B2EE1C0" w14:textId="0F00FB29" w:rsidR="005475F1" w:rsidRPr="00607D8B" w:rsidRDefault="005475F1" w:rsidP="0043420E">
            <w:pPr>
              <w:rPr>
                <w:iCs/>
                <w:sz w:val="22"/>
                <w:szCs w:val="22"/>
              </w:rPr>
            </w:pPr>
          </w:p>
        </w:tc>
        <w:tc>
          <w:tcPr>
            <w:tcW w:w="2126" w:type="dxa"/>
          </w:tcPr>
          <w:p w14:paraId="209731CF" w14:textId="77777777" w:rsidR="000744A5" w:rsidRPr="00607D8B" w:rsidRDefault="000744A5" w:rsidP="0043420E">
            <w:pPr>
              <w:shd w:val="clear" w:color="auto" w:fill="FFFFFF"/>
              <w:jc w:val="both"/>
              <w:rPr>
                <w:color w:val="000000" w:themeColor="text1"/>
                <w:sz w:val="22"/>
                <w:szCs w:val="22"/>
              </w:rPr>
            </w:pPr>
          </w:p>
        </w:tc>
        <w:tc>
          <w:tcPr>
            <w:tcW w:w="2556" w:type="dxa"/>
          </w:tcPr>
          <w:p w14:paraId="635E885F" w14:textId="77777777" w:rsidR="000744A5" w:rsidRPr="00607D8B" w:rsidRDefault="000744A5" w:rsidP="0043420E">
            <w:pPr>
              <w:tabs>
                <w:tab w:val="left" w:pos="3195"/>
              </w:tabs>
              <w:jc w:val="both"/>
              <w:rPr>
                <w:sz w:val="22"/>
                <w:szCs w:val="22"/>
              </w:rPr>
            </w:pPr>
          </w:p>
        </w:tc>
      </w:tr>
    </w:tbl>
    <w:p w14:paraId="7E4567E6" w14:textId="77777777" w:rsidR="007B4C0F" w:rsidRPr="00712B66" w:rsidRDefault="007B4C0F" w:rsidP="007B4C0F">
      <w:pPr>
        <w:pStyle w:val="naisf"/>
        <w:spacing w:before="0" w:after="0"/>
        <w:ind w:firstLine="0"/>
      </w:pPr>
    </w:p>
    <w:p w14:paraId="47AFE12F"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415EA104" w14:textId="77777777" w:rsidR="005D67F7" w:rsidRPr="00712B66" w:rsidRDefault="005D67F7" w:rsidP="005D67F7">
      <w:pPr>
        <w:pStyle w:val="naisf"/>
        <w:spacing w:before="0" w:after="0"/>
        <w:ind w:firstLine="0"/>
        <w:rPr>
          <w:b/>
        </w:rPr>
      </w:pPr>
    </w:p>
    <w:tbl>
      <w:tblPr>
        <w:tblW w:w="14283" w:type="dxa"/>
        <w:tblLook w:val="00A0" w:firstRow="1" w:lastRow="0" w:firstColumn="1" w:lastColumn="0" w:noHBand="0" w:noVBand="0"/>
      </w:tblPr>
      <w:tblGrid>
        <w:gridCol w:w="5954"/>
        <w:gridCol w:w="8329"/>
      </w:tblGrid>
      <w:tr w:rsidR="007B4C0F" w:rsidRPr="00712B66" w14:paraId="4FCF72BD" w14:textId="77777777" w:rsidTr="00607D8B">
        <w:tc>
          <w:tcPr>
            <w:tcW w:w="5954" w:type="dxa"/>
          </w:tcPr>
          <w:p w14:paraId="6653E13B" w14:textId="77777777" w:rsidR="007B4C0F" w:rsidRPr="00712B66" w:rsidRDefault="005D67F7" w:rsidP="00607D8B">
            <w:pPr>
              <w:pStyle w:val="naisf"/>
              <w:spacing w:before="0" w:after="0"/>
              <w:ind w:firstLine="0"/>
            </w:pPr>
            <w:r w:rsidRPr="00712B66">
              <w:t>D</w:t>
            </w:r>
            <w:r w:rsidR="007B4C0F" w:rsidRPr="00712B66">
              <w:t>atums</w:t>
            </w:r>
          </w:p>
        </w:tc>
        <w:tc>
          <w:tcPr>
            <w:tcW w:w="8329" w:type="dxa"/>
            <w:tcBorders>
              <w:bottom w:val="single" w:sz="4" w:space="0" w:color="auto"/>
            </w:tcBorders>
          </w:tcPr>
          <w:p w14:paraId="044016BB" w14:textId="77777777" w:rsidR="00923311" w:rsidRDefault="004A3A0C" w:rsidP="00607D8B">
            <w:pPr>
              <w:pStyle w:val="NormalWeb"/>
              <w:spacing w:before="0" w:beforeAutospacing="0" w:after="0" w:afterAutospacing="0"/>
              <w:ind w:left="34"/>
              <w:jc w:val="both"/>
            </w:pPr>
            <w:r>
              <w:t>04.10</w:t>
            </w:r>
            <w:r w:rsidR="0064499E" w:rsidRPr="00CF22AB">
              <w:t>.2018. i</w:t>
            </w:r>
            <w:r w:rsidR="0060493C" w:rsidRPr="00CF22AB">
              <w:t>zsludināts Valsts sekretāru sanāksmē (VSS-</w:t>
            </w:r>
            <w:r w:rsidR="009F57A4">
              <w:t>1012</w:t>
            </w:r>
            <w:r w:rsidR="0060493C" w:rsidRPr="00CF22AB">
              <w:t>)</w:t>
            </w:r>
          </w:p>
          <w:p w14:paraId="28C69061" w14:textId="77777777" w:rsidR="006C6832" w:rsidRDefault="006C6832" w:rsidP="00607D8B">
            <w:pPr>
              <w:pStyle w:val="NormalWeb"/>
              <w:spacing w:before="0" w:beforeAutospacing="0" w:after="0" w:afterAutospacing="0"/>
              <w:ind w:left="34"/>
              <w:jc w:val="both"/>
            </w:pPr>
            <w:r>
              <w:t>04.12.2018. nosūtīts elektroniskai saskaņošanai</w:t>
            </w:r>
          </w:p>
          <w:p w14:paraId="3AF478EA" w14:textId="2D004305" w:rsidR="00607D8B" w:rsidRPr="00CF22AB" w:rsidRDefault="00607D8B" w:rsidP="00607D8B">
            <w:pPr>
              <w:pStyle w:val="NormalWeb"/>
              <w:spacing w:before="0" w:beforeAutospacing="0" w:after="0" w:afterAutospacing="0"/>
              <w:ind w:left="34"/>
              <w:jc w:val="both"/>
            </w:pPr>
            <w:r>
              <w:t>18.12.2018. nosūtīts atkārtotai elektroniskai saskaņošanai</w:t>
            </w:r>
          </w:p>
        </w:tc>
      </w:tr>
      <w:tr w:rsidR="007B4C0F" w:rsidRPr="00712B66" w14:paraId="54EE9099" w14:textId="77777777" w:rsidTr="00607D8B">
        <w:tc>
          <w:tcPr>
            <w:tcW w:w="5954" w:type="dxa"/>
          </w:tcPr>
          <w:p w14:paraId="64718C4F" w14:textId="77777777" w:rsidR="007B4C0F" w:rsidRPr="00712B66" w:rsidRDefault="00365CC0" w:rsidP="00607D8B">
            <w:pPr>
              <w:pStyle w:val="naiskr"/>
              <w:spacing w:before="0" w:after="0"/>
            </w:pPr>
            <w:r>
              <w:t>Saskaņošanas d</w:t>
            </w:r>
            <w:r w:rsidRPr="00712B66">
              <w:t>alībnieki</w:t>
            </w:r>
          </w:p>
        </w:tc>
        <w:tc>
          <w:tcPr>
            <w:tcW w:w="8329" w:type="dxa"/>
            <w:tcBorders>
              <w:bottom w:val="single" w:sz="4" w:space="0" w:color="auto"/>
            </w:tcBorders>
          </w:tcPr>
          <w:p w14:paraId="73208FC2" w14:textId="77777777" w:rsidR="004A3A0C" w:rsidRPr="00D21CCD" w:rsidRDefault="00CF22AB" w:rsidP="00607D8B">
            <w:pPr>
              <w:pStyle w:val="NormalWeb"/>
              <w:spacing w:before="0" w:beforeAutospacing="0" w:after="0" w:afterAutospacing="0"/>
              <w:jc w:val="both"/>
              <w:rPr>
                <w:color w:val="2A2A2A"/>
                <w:shd w:val="clear" w:color="auto" w:fill="FFFFFF"/>
              </w:rPr>
            </w:pPr>
            <w:r w:rsidRPr="00D21CCD">
              <w:rPr>
                <w:color w:val="2A2A2A"/>
                <w:shd w:val="clear" w:color="auto" w:fill="FFFFFF"/>
              </w:rPr>
              <w:t>Tieslietu ministrija, Finanšu ministrija, Satiksmes ministrija, Vides aizsardzības un reģionālās attīstības ministrija, Zemkopības ministrija, Valsts kanceleja</w:t>
            </w:r>
            <w:r w:rsidR="004A3A0C" w:rsidRPr="00D21CCD">
              <w:rPr>
                <w:color w:val="2A2A2A"/>
                <w:shd w:val="clear" w:color="auto" w:fill="FFFFFF"/>
              </w:rPr>
              <w:t xml:space="preserve"> un</w:t>
            </w:r>
            <w:r w:rsidRPr="00D21CCD">
              <w:rPr>
                <w:color w:val="2A2A2A"/>
                <w:shd w:val="clear" w:color="auto" w:fill="FFFFFF"/>
              </w:rPr>
              <w:t xml:space="preserve"> Latvijas Darba devēju konfederācija</w:t>
            </w:r>
          </w:p>
          <w:p w14:paraId="4337F63E" w14:textId="5E9A41CF" w:rsidR="007B4C0F" w:rsidRPr="00CF22AB" w:rsidRDefault="004A3A0C" w:rsidP="00607D8B">
            <w:pPr>
              <w:pStyle w:val="NormalWeb"/>
              <w:spacing w:before="0" w:beforeAutospacing="0" w:after="0" w:afterAutospacing="0"/>
              <w:jc w:val="both"/>
            </w:pPr>
            <w:r w:rsidRPr="00D21CCD">
              <w:rPr>
                <w:color w:val="2A2A2A"/>
                <w:shd w:val="clear" w:color="auto" w:fill="FFFFFF"/>
              </w:rPr>
              <w:t>Latvijas Degvielas tirgotāju asociācija, Valsts vides dienests, Degvielas tirgotāju un ražotāju savienība, Latvijas Biodegvielu un bioenerģijas asociācija, Latvijas Nacionālais akreditācijas birojs</w:t>
            </w:r>
            <w:r w:rsidR="0043420E">
              <w:rPr>
                <w:color w:val="2A2A2A"/>
                <w:shd w:val="clear" w:color="auto" w:fill="FFFFFF"/>
              </w:rPr>
              <w:t>, Lauku atbalsta dienests, Dabas aizsardzības pārvalde</w:t>
            </w:r>
          </w:p>
        </w:tc>
      </w:tr>
      <w:tr w:rsidR="0060493C" w:rsidRPr="00712B66" w14:paraId="15F8F5F2" w14:textId="77777777" w:rsidTr="00607D8B">
        <w:trPr>
          <w:trHeight w:val="285"/>
        </w:trPr>
        <w:tc>
          <w:tcPr>
            <w:tcW w:w="5954" w:type="dxa"/>
          </w:tcPr>
          <w:p w14:paraId="5F2E22E2" w14:textId="77777777" w:rsidR="0060493C" w:rsidRPr="00712B66" w:rsidRDefault="0060493C" w:rsidP="00607D8B">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8329" w:type="dxa"/>
            <w:tcBorders>
              <w:top w:val="single" w:sz="4" w:space="0" w:color="auto"/>
              <w:bottom w:val="single" w:sz="4" w:space="0" w:color="auto"/>
            </w:tcBorders>
          </w:tcPr>
          <w:p w14:paraId="07FD2820" w14:textId="0B9DA1F9" w:rsidR="0060493C" w:rsidRPr="00CF22AB" w:rsidRDefault="0043420E" w:rsidP="00607D8B">
            <w:pPr>
              <w:pStyle w:val="naiskr"/>
              <w:spacing w:before="0" w:after="0"/>
              <w:ind w:firstLine="12"/>
              <w:jc w:val="both"/>
            </w:pPr>
            <w:r w:rsidRPr="00D21CCD">
              <w:rPr>
                <w:color w:val="2A2A2A"/>
                <w:shd w:val="clear" w:color="auto" w:fill="FFFFFF"/>
              </w:rPr>
              <w:t>Tieslietu ministrija</w:t>
            </w:r>
            <w:r>
              <w:rPr>
                <w:color w:val="2A2A2A"/>
                <w:shd w:val="clear" w:color="auto" w:fill="FFFFFF"/>
              </w:rPr>
              <w:t xml:space="preserve">, </w:t>
            </w:r>
            <w:r w:rsidRPr="00D21CCD">
              <w:rPr>
                <w:color w:val="2A2A2A"/>
                <w:shd w:val="clear" w:color="auto" w:fill="FFFFFF"/>
              </w:rPr>
              <w:t>Vides aizsardzības un reģionālās attīstības ministrija, Zemkopības ministrija,</w:t>
            </w:r>
            <w:r w:rsidRPr="00D21CCD">
              <w:rPr>
                <w:color w:val="2A2A2A"/>
                <w:shd w:val="clear" w:color="auto" w:fill="FFFFFF"/>
              </w:rPr>
              <w:t xml:space="preserve"> </w:t>
            </w:r>
            <w:r w:rsidRPr="00D21CCD">
              <w:rPr>
                <w:color w:val="2A2A2A"/>
                <w:shd w:val="clear" w:color="auto" w:fill="FFFFFF"/>
              </w:rPr>
              <w:t>Valsts vides dienests,</w:t>
            </w:r>
            <w:r>
              <w:rPr>
                <w:color w:val="2A2A2A"/>
                <w:shd w:val="clear" w:color="auto" w:fill="FFFFFF"/>
              </w:rPr>
              <w:t xml:space="preserve"> </w:t>
            </w:r>
            <w:r>
              <w:rPr>
                <w:color w:val="2A2A2A"/>
                <w:shd w:val="clear" w:color="auto" w:fill="FFFFFF"/>
              </w:rPr>
              <w:t>Lauku atbalsta dienests, Dabas aizsardzības pārvalde</w:t>
            </w:r>
          </w:p>
        </w:tc>
      </w:tr>
      <w:tr w:rsidR="007B4C0F" w:rsidRPr="00712B66" w14:paraId="70C0F0AC" w14:textId="77777777" w:rsidTr="00607D8B">
        <w:tc>
          <w:tcPr>
            <w:tcW w:w="5954" w:type="dxa"/>
          </w:tcPr>
          <w:p w14:paraId="0AFFFFBD" w14:textId="77777777" w:rsidR="007B4C0F" w:rsidRPr="00712B66" w:rsidRDefault="007B4C0F" w:rsidP="00607D8B">
            <w:pPr>
              <w:pStyle w:val="naiskr"/>
              <w:spacing w:before="0" w:after="0"/>
            </w:pPr>
            <w:r w:rsidRPr="00712B66">
              <w:t>Ministrijas (citas institūcijas), kuras nav ieradušās uz sanāksmi vai kuras nav atbildējušas uz uzaicinājumu piedalīties elektroniskajā saskaņošanā</w:t>
            </w:r>
          </w:p>
        </w:tc>
        <w:tc>
          <w:tcPr>
            <w:tcW w:w="8329" w:type="dxa"/>
            <w:tcBorders>
              <w:bottom w:val="single" w:sz="4" w:space="0" w:color="auto"/>
            </w:tcBorders>
          </w:tcPr>
          <w:p w14:paraId="1A029954" w14:textId="77777777" w:rsidR="00923311" w:rsidRPr="00712B66" w:rsidRDefault="00923311" w:rsidP="00607D8B">
            <w:pPr>
              <w:pStyle w:val="naiskr"/>
              <w:spacing w:before="0" w:after="0"/>
              <w:jc w:val="both"/>
            </w:pPr>
          </w:p>
        </w:tc>
      </w:tr>
    </w:tbl>
    <w:p w14:paraId="34DDE96D" w14:textId="77777777" w:rsidR="00683081" w:rsidRPr="00712B66" w:rsidRDefault="00683081" w:rsidP="00683081">
      <w:pPr>
        <w:pStyle w:val="naisf"/>
        <w:spacing w:before="0" w:after="0"/>
        <w:ind w:firstLine="720"/>
      </w:pPr>
    </w:p>
    <w:p w14:paraId="4050C6A6" w14:textId="77777777" w:rsidR="00BF4DEC" w:rsidRDefault="00BF4DEC" w:rsidP="00184479">
      <w:pPr>
        <w:pStyle w:val="naisf"/>
        <w:spacing w:before="0" w:after="0"/>
        <w:ind w:firstLine="0"/>
        <w:jc w:val="center"/>
        <w:rPr>
          <w:b/>
        </w:rPr>
        <w:sectPr w:rsidR="00BF4DEC" w:rsidSect="00201045">
          <w:headerReference w:type="even" r:id="rId8"/>
          <w:headerReference w:type="default" r:id="rId9"/>
          <w:footerReference w:type="default" r:id="rId10"/>
          <w:headerReference w:type="first" r:id="rId11"/>
          <w:footerReference w:type="first" r:id="rId12"/>
          <w:pgSz w:w="16838" w:h="11906" w:orient="landscape" w:code="9"/>
          <w:pgMar w:top="1418" w:right="1134" w:bottom="1134" w:left="1701" w:header="567" w:footer="567" w:gutter="0"/>
          <w:cols w:space="708"/>
          <w:titlePg/>
          <w:docGrid w:linePitch="360"/>
        </w:sectPr>
      </w:pPr>
    </w:p>
    <w:p w14:paraId="75E1B627" w14:textId="77777777" w:rsidR="007B4C0F" w:rsidRPr="00712B66" w:rsidRDefault="007B4C0F"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tbl>
      <w:tblPr>
        <w:tblW w:w="1499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37"/>
        <w:gridCol w:w="3041"/>
        <w:gridCol w:w="4047"/>
        <w:gridCol w:w="2899"/>
        <w:gridCol w:w="4368"/>
      </w:tblGrid>
      <w:tr w:rsidR="00134188" w:rsidRPr="001330BD" w14:paraId="50C90863"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vAlign w:val="center"/>
          </w:tcPr>
          <w:p w14:paraId="6F15ECED" w14:textId="77777777" w:rsidR="00134188" w:rsidRPr="001330BD" w:rsidRDefault="00134188" w:rsidP="00E923B6">
            <w:pPr>
              <w:pStyle w:val="naisc"/>
              <w:spacing w:before="40" w:after="40"/>
              <w:rPr>
                <w:sz w:val="22"/>
                <w:szCs w:val="22"/>
              </w:rPr>
            </w:pPr>
            <w:r w:rsidRPr="001330BD">
              <w:rPr>
                <w:sz w:val="22"/>
                <w:szCs w:val="22"/>
              </w:rPr>
              <w:t>Nr. p.k.</w:t>
            </w:r>
          </w:p>
        </w:tc>
        <w:tc>
          <w:tcPr>
            <w:tcW w:w="3041" w:type="dxa"/>
            <w:tcBorders>
              <w:top w:val="single" w:sz="6" w:space="0" w:color="000000"/>
              <w:left w:val="single" w:sz="6" w:space="0" w:color="000000"/>
              <w:bottom w:val="single" w:sz="6" w:space="0" w:color="000000"/>
              <w:right w:val="single" w:sz="6" w:space="0" w:color="000000"/>
            </w:tcBorders>
            <w:vAlign w:val="center"/>
          </w:tcPr>
          <w:p w14:paraId="372F3C8E" w14:textId="77777777" w:rsidR="00134188" w:rsidRPr="001330BD" w:rsidRDefault="00134188" w:rsidP="00E923B6">
            <w:pPr>
              <w:pStyle w:val="naisc"/>
              <w:spacing w:before="40" w:after="40"/>
              <w:rPr>
                <w:sz w:val="22"/>
                <w:szCs w:val="22"/>
              </w:rPr>
            </w:pPr>
            <w:r w:rsidRPr="001330BD">
              <w:rPr>
                <w:sz w:val="22"/>
                <w:szCs w:val="22"/>
              </w:rPr>
              <w:t>Saskaņošanai nosūtītā projekta redakcija (konkrēta punkta (panta) redakcija)</w:t>
            </w:r>
          </w:p>
        </w:tc>
        <w:tc>
          <w:tcPr>
            <w:tcW w:w="4047" w:type="dxa"/>
            <w:tcBorders>
              <w:top w:val="single" w:sz="6" w:space="0" w:color="000000"/>
              <w:left w:val="single" w:sz="6" w:space="0" w:color="000000"/>
              <w:bottom w:val="single" w:sz="6" w:space="0" w:color="000000"/>
              <w:right w:val="single" w:sz="6" w:space="0" w:color="000000"/>
            </w:tcBorders>
            <w:vAlign w:val="center"/>
          </w:tcPr>
          <w:p w14:paraId="2A32E230" w14:textId="77777777" w:rsidR="00134188" w:rsidRPr="001330BD" w:rsidRDefault="00134188" w:rsidP="00E923B6">
            <w:pPr>
              <w:pStyle w:val="naisc"/>
              <w:spacing w:before="40" w:after="40"/>
              <w:rPr>
                <w:sz w:val="22"/>
                <w:szCs w:val="22"/>
              </w:rPr>
            </w:pPr>
            <w:r w:rsidRPr="001330BD">
              <w:rPr>
                <w:sz w:val="22"/>
                <w:szCs w:val="22"/>
              </w:rPr>
              <w:t>Atzinumā norādītais ministrijas (citas institūcijas) iebildums, kā arī saskaņošanā papildus izteiktais iebildums par projekta konkrēto punktu (pantu)</w:t>
            </w:r>
          </w:p>
        </w:tc>
        <w:tc>
          <w:tcPr>
            <w:tcW w:w="2899" w:type="dxa"/>
            <w:tcBorders>
              <w:top w:val="single" w:sz="6" w:space="0" w:color="000000"/>
              <w:left w:val="single" w:sz="6" w:space="0" w:color="000000"/>
              <w:bottom w:val="single" w:sz="6" w:space="0" w:color="000000"/>
              <w:right w:val="single" w:sz="6" w:space="0" w:color="000000"/>
            </w:tcBorders>
            <w:vAlign w:val="center"/>
          </w:tcPr>
          <w:p w14:paraId="7D1C13AA" w14:textId="77777777" w:rsidR="00134188" w:rsidRPr="001330BD" w:rsidRDefault="00134188" w:rsidP="00E923B6">
            <w:pPr>
              <w:pStyle w:val="naisc"/>
              <w:spacing w:before="40" w:after="40"/>
              <w:rPr>
                <w:sz w:val="22"/>
                <w:szCs w:val="22"/>
              </w:rPr>
            </w:pPr>
            <w:r w:rsidRPr="001330BD">
              <w:rPr>
                <w:sz w:val="22"/>
                <w:szCs w:val="22"/>
              </w:rPr>
              <w:t>Atbildīgās ministrijas norāde</w:t>
            </w:r>
            <w:r w:rsidR="006C1C48" w:rsidRPr="001330BD">
              <w:rPr>
                <w:sz w:val="22"/>
                <w:szCs w:val="22"/>
              </w:rPr>
              <w:t xml:space="preserve"> par to, ka </w:t>
            </w:r>
            <w:r w:rsidRPr="001330BD">
              <w:rPr>
                <w:sz w:val="22"/>
                <w:szCs w:val="22"/>
              </w:rPr>
              <w:t>iebildums ir ņemts vērā</w:t>
            </w:r>
            <w:r w:rsidR="006455E7" w:rsidRPr="001330BD">
              <w:rPr>
                <w:sz w:val="22"/>
                <w:szCs w:val="22"/>
              </w:rPr>
              <w:t>,</w:t>
            </w:r>
            <w:r w:rsidRPr="001330BD">
              <w:rPr>
                <w:sz w:val="22"/>
                <w:szCs w:val="22"/>
              </w:rPr>
              <w:t xml:space="preserve"> vai </w:t>
            </w:r>
            <w:r w:rsidR="006C1C48" w:rsidRPr="001330BD">
              <w:rPr>
                <w:sz w:val="22"/>
                <w:szCs w:val="22"/>
              </w:rPr>
              <w:t xml:space="preserve">informācija par saskaņošanā </w:t>
            </w:r>
            <w:r w:rsidR="00022B0F" w:rsidRPr="001330BD">
              <w:rPr>
                <w:sz w:val="22"/>
                <w:szCs w:val="22"/>
              </w:rPr>
              <w:t>panākto alternatīvo risinājumu</w:t>
            </w:r>
          </w:p>
        </w:tc>
        <w:tc>
          <w:tcPr>
            <w:tcW w:w="4368" w:type="dxa"/>
            <w:tcBorders>
              <w:top w:val="single" w:sz="4" w:space="0" w:color="auto"/>
              <w:left w:val="single" w:sz="4" w:space="0" w:color="auto"/>
              <w:bottom w:val="single" w:sz="4" w:space="0" w:color="auto"/>
            </w:tcBorders>
            <w:vAlign w:val="center"/>
          </w:tcPr>
          <w:p w14:paraId="392B64DB" w14:textId="77777777" w:rsidR="00134188" w:rsidRPr="001330BD" w:rsidRDefault="00134188" w:rsidP="00E923B6">
            <w:pPr>
              <w:spacing w:before="40" w:after="40"/>
              <w:jc w:val="center"/>
              <w:rPr>
                <w:sz w:val="22"/>
                <w:szCs w:val="22"/>
              </w:rPr>
            </w:pPr>
            <w:r w:rsidRPr="001330BD">
              <w:rPr>
                <w:sz w:val="22"/>
                <w:szCs w:val="22"/>
              </w:rPr>
              <w:t>Projekta attiecīgā punkta (panta) galīgā redakcija</w:t>
            </w:r>
          </w:p>
        </w:tc>
      </w:tr>
      <w:tr w:rsidR="00134188" w:rsidRPr="001330BD" w14:paraId="08AEEBBF"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tcPr>
          <w:p w14:paraId="4B53AE35" w14:textId="77777777" w:rsidR="00134188" w:rsidRPr="001330BD" w:rsidRDefault="003B71E0" w:rsidP="00E923B6">
            <w:pPr>
              <w:pStyle w:val="naisc"/>
              <w:spacing w:before="40" w:after="40"/>
              <w:rPr>
                <w:sz w:val="20"/>
                <w:szCs w:val="20"/>
              </w:rPr>
            </w:pPr>
            <w:r w:rsidRPr="001330BD">
              <w:rPr>
                <w:sz w:val="20"/>
                <w:szCs w:val="20"/>
              </w:rPr>
              <w:t>1</w:t>
            </w:r>
          </w:p>
        </w:tc>
        <w:tc>
          <w:tcPr>
            <w:tcW w:w="3041" w:type="dxa"/>
            <w:tcBorders>
              <w:top w:val="single" w:sz="6" w:space="0" w:color="000000"/>
              <w:left w:val="single" w:sz="6" w:space="0" w:color="000000"/>
              <w:bottom w:val="single" w:sz="6" w:space="0" w:color="000000"/>
              <w:right w:val="single" w:sz="6" w:space="0" w:color="000000"/>
            </w:tcBorders>
          </w:tcPr>
          <w:p w14:paraId="644F04D6" w14:textId="77777777" w:rsidR="00134188" w:rsidRPr="001330BD" w:rsidRDefault="00F34AAB" w:rsidP="00E923B6">
            <w:pPr>
              <w:pStyle w:val="naisc"/>
              <w:spacing w:before="40" w:after="40"/>
              <w:rPr>
                <w:sz w:val="20"/>
                <w:szCs w:val="20"/>
              </w:rPr>
            </w:pPr>
            <w:r w:rsidRPr="001330BD">
              <w:rPr>
                <w:sz w:val="20"/>
                <w:szCs w:val="20"/>
              </w:rPr>
              <w:t>2</w:t>
            </w:r>
          </w:p>
        </w:tc>
        <w:tc>
          <w:tcPr>
            <w:tcW w:w="4047" w:type="dxa"/>
            <w:tcBorders>
              <w:top w:val="single" w:sz="6" w:space="0" w:color="000000"/>
              <w:left w:val="single" w:sz="6" w:space="0" w:color="000000"/>
              <w:bottom w:val="single" w:sz="6" w:space="0" w:color="000000"/>
              <w:right w:val="single" w:sz="6" w:space="0" w:color="000000"/>
            </w:tcBorders>
          </w:tcPr>
          <w:p w14:paraId="467980ED" w14:textId="77777777" w:rsidR="00134188" w:rsidRPr="001330BD" w:rsidRDefault="003B71E0" w:rsidP="00E923B6">
            <w:pPr>
              <w:pStyle w:val="naisc"/>
              <w:spacing w:before="40" w:after="40"/>
              <w:rPr>
                <w:sz w:val="20"/>
                <w:szCs w:val="20"/>
              </w:rPr>
            </w:pPr>
            <w:r w:rsidRPr="001330BD">
              <w:rPr>
                <w:sz w:val="20"/>
                <w:szCs w:val="20"/>
              </w:rPr>
              <w:t>3</w:t>
            </w:r>
          </w:p>
        </w:tc>
        <w:tc>
          <w:tcPr>
            <w:tcW w:w="2899" w:type="dxa"/>
            <w:tcBorders>
              <w:top w:val="single" w:sz="6" w:space="0" w:color="000000"/>
              <w:left w:val="single" w:sz="6" w:space="0" w:color="000000"/>
              <w:bottom w:val="single" w:sz="6" w:space="0" w:color="000000"/>
              <w:right w:val="single" w:sz="6" w:space="0" w:color="000000"/>
            </w:tcBorders>
          </w:tcPr>
          <w:p w14:paraId="3E53CF40" w14:textId="77777777" w:rsidR="00134188" w:rsidRPr="001330BD" w:rsidRDefault="003B71E0" w:rsidP="00E923B6">
            <w:pPr>
              <w:pStyle w:val="naisc"/>
              <w:spacing w:before="40" w:after="40"/>
              <w:rPr>
                <w:sz w:val="20"/>
                <w:szCs w:val="20"/>
              </w:rPr>
            </w:pPr>
            <w:r w:rsidRPr="001330BD">
              <w:rPr>
                <w:sz w:val="20"/>
                <w:szCs w:val="20"/>
              </w:rPr>
              <w:t>4</w:t>
            </w:r>
          </w:p>
        </w:tc>
        <w:tc>
          <w:tcPr>
            <w:tcW w:w="4368" w:type="dxa"/>
            <w:tcBorders>
              <w:top w:val="single" w:sz="4" w:space="0" w:color="auto"/>
              <w:left w:val="single" w:sz="4" w:space="0" w:color="auto"/>
              <w:bottom w:val="single" w:sz="4" w:space="0" w:color="auto"/>
            </w:tcBorders>
          </w:tcPr>
          <w:p w14:paraId="3042AB35" w14:textId="77777777" w:rsidR="00134188" w:rsidRPr="001330BD" w:rsidRDefault="003B71E0" w:rsidP="00E923B6">
            <w:pPr>
              <w:spacing w:before="40" w:after="40"/>
              <w:jc w:val="center"/>
              <w:rPr>
                <w:sz w:val="20"/>
                <w:szCs w:val="20"/>
              </w:rPr>
            </w:pPr>
            <w:r w:rsidRPr="001330BD">
              <w:rPr>
                <w:sz w:val="20"/>
                <w:szCs w:val="20"/>
              </w:rPr>
              <w:t>5</w:t>
            </w:r>
          </w:p>
        </w:tc>
      </w:tr>
      <w:tr w:rsidR="00DF128E" w:rsidRPr="001330BD" w14:paraId="63F32B4F" w14:textId="77777777" w:rsidTr="008E6DF6">
        <w:trPr>
          <w:jc w:val="center"/>
        </w:trPr>
        <w:tc>
          <w:tcPr>
            <w:tcW w:w="14992" w:type="dxa"/>
            <w:gridSpan w:val="5"/>
            <w:tcBorders>
              <w:top w:val="single" w:sz="6" w:space="0" w:color="000000"/>
              <w:left w:val="single" w:sz="6" w:space="0" w:color="000000"/>
              <w:bottom w:val="single" w:sz="6" w:space="0" w:color="000000"/>
            </w:tcBorders>
            <w:vAlign w:val="center"/>
          </w:tcPr>
          <w:p w14:paraId="3996A98C" w14:textId="77777777" w:rsidR="00DF128E" w:rsidRPr="001330BD" w:rsidRDefault="00DF128E" w:rsidP="00E923B6">
            <w:pPr>
              <w:spacing w:before="40" w:after="40"/>
              <w:jc w:val="center"/>
              <w:rPr>
                <w:b/>
                <w:iCs/>
              </w:rPr>
            </w:pPr>
            <w:r w:rsidRPr="001330BD">
              <w:rPr>
                <w:b/>
                <w:iCs/>
              </w:rPr>
              <w:t>IEBILDUMI ATTIECĪBĀ UZ NOTEIKUMU PROJEKTA PAMATTEKSTU</w:t>
            </w:r>
          </w:p>
        </w:tc>
      </w:tr>
      <w:tr w:rsidR="00A3355C" w:rsidRPr="001330BD" w14:paraId="572F0E3D"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tcPr>
          <w:p w14:paraId="02D17289" w14:textId="77777777" w:rsidR="00A3355C" w:rsidRPr="001330BD" w:rsidRDefault="00A3355C" w:rsidP="00E923B6">
            <w:pPr>
              <w:pStyle w:val="naisc"/>
              <w:spacing w:before="40" w:after="40"/>
              <w:rPr>
                <w:b/>
              </w:rPr>
            </w:pPr>
            <w:r w:rsidRPr="001330BD">
              <w:rPr>
                <w:b/>
              </w:rPr>
              <w:t>1</w:t>
            </w:r>
          </w:p>
        </w:tc>
        <w:tc>
          <w:tcPr>
            <w:tcW w:w="3041" w:type="dxa"/>
            <w:tcBorders>
              <w:top w:val="single" w:sz="6" w:space="0" w:color="000000"/>
              <w:left w:val="single" w:sz="6" w:space="0" w:color="000000"/>
              <w:bottom w:val="single" w:sz="6" w:space="0" w:color="000000"/>
              <w:right w:val="single" w:sz="6" w:space="0" w:color="000000"/>
            </w:tcBorders>
          </w:tcPr>
          <w:p w14:paraId="38239669" w14:textId="77777777" w:rsidR="00A3355C" w:rsidRPr="001330BD" w:rsidRDefault="00A3355C" w:rsidP="00E923B6">
            <w:pPr>
              <w:spacing w:before="40" w:after="40"/>
              <w:jc w:val="both"/>
            </w:pPr>
          </w:p>
        </w:tc>
        <w:tc>
          <w:tcPr>
            <w:tcW w:w="4047" w:type="dxa"/>
            <w:tcBorders>
              <w:top w:val="single" w:sz="6" w:space="0" w:color="000000"/>
              <w:left w:val="single" w:sz="6" w:space="0" w:color="000000"/>
              <w:bottom w:val="single" w:sz="6" w:space="0" w:color="000000"/>
              <w:right w:val="single" w:sz="6" w:space="0" w:color="000000"/>
            </w:tcBorders>
          </w:tcPr>
          <w:p w14:paraId="484E0D2B" w14:textId="77777777" w:rsidR="00A3355C" w:rsidRPr="001330BD" w:rsidRDefault="00A3355C" w:rsidP="00E923B6">
            <w:pPr>
              <w:widowControl w:val="0"/>
              <w:spacing w:before="40" w:after="40"/>
              <w:jc w:val="center"/>
              <w:rPr>
                <w:b/>
              </w:rPr>
            </w:pPr>
            <w:r w:rsidRPr="001330BD">
              <w:rPr>
                <w:b/>
              </w:rPr>
              <w:t>Tieslietu ministrija</w:t>
            </w:r>
          </w:p>
          <w:p w14:paraId="755BFEFD" w14:textId="77777777" w:rsidR="00A3355C" w:rsidRPr="001330BD" w:rsidRDefault="00A3355C" w:rsidP="00E923B6">
            <w:pPr>
              <w:widowControl w:val="0"/>
              <w:spacing w:before="40" w:after="40"/>
              <w:jc w:val="center"/>
              <w:rPr>
                <w:b/>
              </w:rPr>
            </w:pPr>
            <w:r w:rsidRPr="001330BD">
              <w:rPr>
                <w:b/>
              </w:rPr>
              <w:t>(2018.gada 18.oktobra atzinums)</w:t>
            </w:r>
          </w:p>
          <w:p w14:paraId="65521DFA" w14:textId="6DBDE424" w:rsidR="00A3355C" w:rsidRPr="001330BD" w:rsidRDefault="00A3355C" w:rsidP="00E923B6">
            <w:pPr>
              <w:widowControl w:val="0"/>
              <w:tabs>
                <w:tab w:val="left" w:pos="709"/>
                <w:tab w:val="left" w:pos="993"/>
              </w:tabs>
              <w:spacing w:before="40" w:after="40"/>
              <w:jc w:val="both"/>
              <w:rPr>
                <w:bCs/>
                <w:iCs/>
              </w:rPr>
            </w:pPr>
            <w:r w:rsidRPr="001330BD">
              <w:rPr>
                <w:bCs/>
                <w:iCs/>
              </w:rPr>
              <w:t>1. Projekta anotācijā kā projekta izstrādes nepieciešamības pamatojums cita starpā norādīts likumprojekta “Transporta enerģijas likums” (turpmāk </w:t>
            </w:r>
            <w:r w:rsidR="000E7992" w:rsidRPr="001330BD">
              <w:rPr>
                <w:bCs/>
                <w:iCs/>
              </w:rPr>
              <w:t>–</w:t>
            </w:r>
            <w:r w:rsidRPr="001330BD">
              <w:rPr>
                <w:bCs/>
                <w:iCs/>
              </w:rPr>
              <w:t> likumprojekts) 6. panta trešā daļa. Tāpat projekta anotācijā norādīts, ka projekts ir pilnībā sasaistīts ar likumprojektu un uz tā pamata izdotajiem Ministru kabineta noteikumiem attiecībā uz valsts mērķa sasniegšanas progresa novērtējumu.</w:t>
            </w:r>
          </w:p>
          <w:p w14:paraId="1A54F995" w14:textId="77777777" w:rsidR="00A3355C" w:rsidRPr="001330BD" w:rsidRDefault="00A3355C" w:rsidP="00E923B6">
            <w:pPr>
              <w:tabs>
                <w:tab w:val="left" w:pos="709"/>
                <w:tab w:val="left" w:pos="993"/>
              </w:tabs>
              <w:spacing w:before="40" w:after="40"/>
              <w:rPr>
                <w:bCs/>
                <w:iCs/>
              </w:rPr>
            </w:pPr>
            <w:r w:rsidRPr="001330BD">
              <w:rPr>
                <w:bCs/>
                <w:iCs/>
              </w:rPr>
              <w:t>Atbilstoši Saeimas mājaslapā pieejamai informācijai likumprojekts ir iesniegts izskatīšanai Saeimā, bet nav virzīts izskatīšanai 1. lasījumā, jo atbildīgā komisija ir pieņēmusi lēmumu</w:t>
            </w:r>
            <w:r w:rsidRPr="001330BD">
              <w:rPr>
                <w:color w:val="303030"/>
              </w:rPr>
              <w:t xml:space="preserve"> </w:t>
            </w:r>
            <w:r w:rsidRPr="001330BD">
              <w:rPr>
                <w:bCs/>
                <w:iCs/>
              </w:rPr>
              <w:t xml:space="preserve">atlikt likumprojekta izskatīšanu līdz papildus informācijas saņemšanai. Ņemot vērā minēto, norādām, ka nav iespējama projekta pilnvērtīga un kvalitatīva izvērtēšana līdz likumprojekta (Nr. 1297/Lp12) atbalstīšanai un </w:t>
            </w:r>
            <w:r w:rsidRPr="001330BD">
              <w:rPr>
                <w:bCs/>
                <w:iCs/>
              </w:rPr>
              <w:lastRenderedPageBreak/>
              <w:t>pieņemšanai Saeimā vismaz 2. lasījumā.</w:t>
            </w:r>
          </w:p>
          <w:p w14:paraId="48F782F9" w14:textId="77777777" w:rsidR="00A3355C" w:rsidRPr="001330BD" w:rsidRDefault="00A3355C" w:rsidP="00E923B6">
            <w:pPr>
              <w:tabs>
                <w:tab w:val="left" w:pos="709"/>
                <w:tab w:val="left" w:pos="993"/>
              </w:tabs>
              <w:spacing w:before="40" w:after="40"/>
              <w:rPr>
                <w:bCs/>
                <w:iCs/>
              </w:rPr>
            </w:pPr>
            <w:r w:rsidRPr="001330BD">
              <w:rPr>
                <w:bCs/>
                <w:iCs/>
              </w:rPr>
              <w:t>Papildus norādām, ka minētais apstiprināts arī 2010. gada 12. marta Valsts iestāžu Juridisko dienestu vadītāju sanāksmes protokolā, kas cita starpā paredz ieteikumu iesniegt likumprojektā paredzētus Ministru kabineta noteikumu projektus izsludināšanai Valsts sekretāru sanāksmē, kad likumprojekts Saeimā izskatīts 2. lasījumā.</w:t>
            </w:r>
          </w:p>
          <w:p w14:paraId="5A686CFD" w14:textId="77777777" w:rsidR="00A3355C" w:rsidRPr="001330BD" w:rsidRDefault="00A3355C" w:rsidP="00E923B6">
            <w:pPr>
              <w:tabs>
                <w:tab w:val="left" w:pos="709"/>
              </w:tabs>
              <w:spacing w:before="40" w:after="40"/>
              <w:rPr>
                <w:bCs/>
                <w:iCs/>
              </w:rPr>
            </w:pPr>
            <w:r w:rsidRPr="001330BD">
              <w:rPr>
                <w:bCs/>
                <w:iCs/>
              </w:rPr>
              <w:t>Ņemot vērā iepriekš minēto, lūdzam projekta tālāku virzību un saskaņošanu nodrošināt tad, kad likumprojekts Saeimā tiks atbalstīts un pieņemts 2. lasījumā.</w:t>
            </w:r>
          </w:p>
        </w:tc>
        <w:tc>
          <w:tcPr>
            <w:tcW w:w="2899" w:type="dxa"/>
            <w:tcBorders>
              <w:top w:val="single" w:sz="6" w:space="0" w:color="000000"/>
              <w:left w:val="single" w:sz="6" w:space="0" w:color="000000"/>
              <w:bottom w:val="single" w:sz="6" w:space="0" w:color="000000"/>
              <w:right w:val="single" w:sz="6" w:space="0" w:color="000000"/>
            </w:tcBorders>
          </w:tcPr>
          <w:p w14:paraId="7329FA47" w14:textId="77777777" w:rsidR="00A3355C" w:rsidRPr="001330BD" w:rsidRDefault="00A3355C" w:rsidP="00E923B6">
            <w:pPr>
              <w:spacing w:before="40" w:after="40"/>
              <w:jc w:val="center"/>
              <w:rPr>
                <w:b/>
                <w:iCs/>
              </w:rPr>
            </w:pPr>
            <w:r w:rsidRPr="001330BD">
              <w:rPr>
                <w:b/>
                <w:iCs/>
              </w:rPr>
              <w:lastRenderedPageBreak/>
              <w:t>Vienošanās panākta saskaņošanas procesā</w:t>
            </w:r>
          </w:p>
          <w:p w14:paraId="2C7363DD" w14:textId="77777777" w:rsidR="00A3355C" w:rsidRPr="001330BD" w:rsidRDefault="00A3355C" w:rsidP="00E923B6">
            <w:pPr>
              <w:spacing w:before="40" w:after="40"/>
              <w:jc w:val="center"/>
              <w:rPr>
                <w:iCs/>
              </w:rPr>
            </w:pPr>
          </w:p>
          <w:p w14:paraId="61CAE8AE" w14:textId="77777777" w:rsidR="00A3355C" w:rsidRPr="001330BD" w:rsidRDefault="00A3355C" w:rsidP="00E923B6">
            <w:pPr>
              <w:spacing w:before="40" w:after="40"/>
              <w:jc w:val="both"/>
              <w:rPr>
                <w:iCs/>
              </w:rPr>
            </w:pPr>
            <w:r w:rsidRPr="001330BD">
              <w:rPr>
                <w:iCs/>
              </w:rPr>
              <w:t>Noteikumu projekts tiks virzīts apstiprināšanai Ministru kabinetā ar līdzšinējos Ministru kabineta noteikumu Nr.545 deleģējumu, lai tādējādi nekavētu Noteikumu projekta apstiprināšanu un attiecīgi Direktīvas Nr.2015/1513 transponēšanu, īpaši ņemot vērā to, ka Saeimas 12.sasaukuma laikā likumprojekts “Transporta enerģijas likums” netika izskatīts 1.lasījumā, un tas tiks iesniegts Saeimā izskatīšanai atkārtoti pēc tā atkārtotas apstiprināšanas Ministru kabinetā.</w:t>
            </w:r>
          </w:p>
          <w:p w14:paraId="404D3B6B" w14:textId="77777777" w:rsidR="00A3355C" w:rsidRPr="001330BD" w:rsidRDefault="00A3355C" w:rsidP="00E923B6">
            <w:pPr>
              <w:spacing w:before="40" w:after="40"/>
              <w:jc w:val="both"/>
              <w:rPr>
                <w:iCs/>
              </w:rPr>
            </w:pPr>
            <w:r w:rsidRPr="001330BD">
              <w:rPr>
                <w:iCs/>
              </w:rPr>
              <w:lastRenderedPageBreak/>
              <w:t>Ņemot vērā to, ka Ministru kabineta noteikumu Nr.545 deleģējums netiek mainīts, tad nav nepieciešams Noteikumu projekta virzību apturēt līdz likumprojekta “Transporta enerģijas likums” izskatīšanai Saeimā 2.lasījumā.</w:t>
            </w:r>
          </w:p>
          <w:p w14:paraId="6DED5A66" w14:textId="77777777" w:rsidR="00A3355C" w:rsidRPr="001330BD" w:rsidRDefault="00A3355C" w:rsidP="00E923B6">
            <w:pPr>
              <w:spacing w:before="40" w:after="40"/>
              <w:jc w:val="both"/>
              <w:rPr>
                <w:iCs/>
              </w:rPr>
            </w:pPr>
          </w:p>
        </w:tc>
        <w:tc>
          <w:tcPr>
            <w:tcW w:w="4368" w:type="dxa"/>
            <w:tcBorders>
              <w:top w:val="single" w:sz="4" w:space="0" w:color="auto"/>
              <w:left w:val="single" w:sz="4" w:space="0" w:color="auto"/>
              <w:bottom w:val="single" w:sz="4" w:space="0" w:color="auto"/>
            </w:tcBorders>
          </w:tcPr>
          <w:p w14:paraId="45B1F5CA" w14:textId="77777777" w:rsidR="00A3355C" w:rsidRPr="001330BD" w:rsidRDefault="00A3355C" w:rsidP="00E923B6">
            <w:pPr>
              <w:shd w:val="clear" w:color="auto" w:fill="FFFFFF"/>
              <w:spacing w:before="40" w:after="40"/>
              <w:jc w:val="both"/>
            </w:pPr>
          </w:p>
        </w:tc>
      </w:tr>
      <w:tr w:rsidR="00A3355C" w:rsidRPr="001330BD" w14:paraId="4D5B8F04"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tcPr>
          <w:p w14:paraId="43421B6B" w14:textId="77777777" w:rsidR="00A3355C" w:rsidRPr="001330BD" w:rsidRDefault="00A3355C" w:rsidP="00E923B6">
            <w:pPr>
              <w:pStyle w:val="naisc"/>
              <w:spacing w:before="40" w:after="40"/>
              <w:rPr>
                <w:b/>
              </w:rPr>
            </w:pPr>
            <w:r w:rsidRPr="001330BD">
              <w:rPr>
                <w:b/>
              </w:rPr>
              <w:t>2</w:t>
            </w:r>
          </w:p>
        </w:tc>
        <w:tc>
          <w:tcPr>
            <w:tcW w:w="3041" w:type="dxa"/>
            <w:tcBorders>
              <w:top w:val="single" w:sz="6" w:space="0" w:color="000000"/>
              <w:left w:val="single" w:sz="6" w:space="0" w:color="000000"/>
              <w:bottom w:val="single" w:sz="6" w:space="0" w:color="000000"/>
              <w:right w:val="single" w:sz="6" w:space="0" w:color="000000"/>
            </w:tcBorders>
          </w:tcPr>
          <w:p w14:paraId="5A22A8DE" w14:textId="77777777" w:rsidR="00A3355C" w:rsidRPr="001330BD" w:rsidRDefault="00A3355C" w:rsidP="00E923B6">
            <w:pPr>
              <w:shd w:val="clear" w:color="auto" w:fill="FFFFFF"/>
              <w:spacing w:before="40" w:after="40"/>
              <w:jc w:val="both"/>
            </w:pPr>
            <w:r w:rsidRPr="001330BD">
              <w:t>Norāde uz noteikumu projekta izdošanas tiesisko pamatu:</w:t>
            </w:r>
          </w:p>
          <w:p w14:paraId="7EB5340C" w14:textId="77777777" w:rsidR="00A3355C" w:rsidRPr="001330BD" w:rsidRDefault="00A3355C" w:rsidP="00E923B6">
            <w:pPr>
              <w:pStyle w:val="NoSpacing"/>
              <w:spacing w:before="40" w:after="40"/>
              <w:ind w:firstLine="0"/>
              <w:rPr>
                <w:sz w:val="24"/>
                <w:szCs w:val="24"/>
              </w:rPr>
            </w:pPr>
            <w:r w:rsidRPr="001330BD">
              <w:rPr>
                <w:i/>
                <w:sz w:val="24"/>
                <w:szCs w:val="24"/>
                <w:lang w:eastAsia="lv-LV"/>
              </w:rPr>
              <w:t xml:space="preserve">Izdoti saskaņā ar </w:t>
            </w:r>
            <w:r w:rsidRPr="001330BD">
              <w:rPr>
                <w:rFonts w:eastAsia="Times New Roman"/>
                <w:i/>
                <w:iCs/>
                <w:sz w:val="24"/>
                <w:szCs w:val="24"/>
                <w:lang w:eastAsia="lv-LV"/>
              </w:rPr>
              <w:t>likuma “Par atbilstības novērtēšanu” 7. panta pirmo daļu</w:t>
            </w:r>
          </w:p>
        </w:tc>
        <w:tc>
          <w:tcPr>
            <w:tcW w:w="4047" w:type="dxa"/>
            <w:tcBorders>
              <w:top w:val="single" w:sz="6" w:space="0" w:color="000000"/>
              <w:left w:val="single" w:sz="6" w:space="0" w:color="000000"/>
              <w:bottom w:val="single" w:sz="6" w:space="0" w:color="000000"/>
              <w:right w:val="single" w:sz="6" w:space="0" w:color="000000"/>
            </w:tcBorders>
          </w:tcPr>
          <w:p w14:paraId="089AA3AD" w14:textId="77777777" w:rsidR="00A3355C" w:rsidRPr="001330BD" w:rsidRDefault="00A3355C" w:rsidP="00E923B6">
            <w:pPr>
              <w:widowControl w:val="0"/>
              <w:spacing w:before="40" w:after="40"/>
              <w:jc w:val="center"/>
              <w:rPr>
                <w:b/>
              </w:rPr>
            </w:pPr>
            <w:r w:rsidRPr="001330BD">
              <w:rPr>
                <w:b/>
              </w:rPr>
              <w:t>Tieslietu ministrija</w:t>
            </w:r>
          </w:p>
          <w:p w14:paraId="2F85EC4E" w14:textId="77777777" w:rsidR="00A3355C" w:rsidRPr="001330BD" w:rsidRDefault="00A3355C" w:rsidP="00E923B6">
            <w:pPr>
              <w:widowControl w:val="0"/>
              <w:spacing w:before="40" w:after="40"/>
              <w:jc w:val="center"/>
              <w:rPr>
                <w:b/>
              </w:rPr>
            </w:pPr>
            <w:r w:rsidRPr="001330BD">
              <w:rPr>
                <w:b/>
              </w:rPr>
              <w:t>(2018.gada 18.oktobra atzinums)</w:t>
            </w:r>
          </w:p>
          <w:p w14:paraId="3FC7389D" w14:textId="77777777" w:rsidR="00A3355C" w:rsidRPr="001330BD" w:rsidRDefault="00A3355C" w:rsidP="00E923B6">
            <w:pPr>
              <w:tabs>
                <w:tab w:val="left" w:pos="709"/>
              </w:tabs>
              <w:spacing w:before="40" w:after="40"/>
              <w:rPr>
                <w:bCs/>
                <w:iCs/>
              </w:rPr>
            </w:pPr>
            <w:r w:rsidRPr="001330BD">
              <w:rPr>
                <w:bCs/>
                <w:iCs/>
              </w:rPr>
              <w:t>2. Lūdzam precizēt norādi uz projekta izdošanas tiesisko pamatu, papildinot to ar norādi uz Transporta enerģijas likuma 6. panta tre</w:t>
            </w:r>
            <w:bookmarkStart w:id="0" w:name="_GoBack"/>
            <w:bookmarkEnd w:id="0"/>
            <w:r w:rsidRPr="001330BD">
              <w:rPr>
                <w:bCs/>
                <w:iCs/>
              </w:rPr>
              <w:t xml:space="preserve">šo daļu. </w:t>
            </w:r>
          </w:p>
        </w:tc>
        <w:tc>
          <w:tcPr>
            <w:tcW w:w="2899" w:type="dxa"/>
            <w:tcBorders>
              <w:top w:val="single" w:sz="6" w:space="0" w:color="000000"/>
              <w:left w:val="single" w:sz="6" w:space="0" w:color="000000"/>
              <w:bottom w:val="single" w:sz="6" w:space="0" w:color="000000"/>
              <w:right w:val="single" w:sz="6" w:space="0" w:color="000000"/>
            </w:tcBorders>
          </w:tcPr>
          <w:p w14:paraId="58D3B56D" w14:textId="77777777" w:rsidR="00A3355C" w:rsidRPr="001330BD" w:rsidRDefault="00A3355C" w:rsidP="00E923B6">
            <w:pPr>
              <w:spacing w:before="40" w:after="40"/>
              <w:jc w:val="center"/>
              <w:rPr>
                <w:b/>
                <w:iCs/>
              </w:rPr>
            </w:pPr>
            <w:r w:rsidRPr="001330BD">
              <w:rPr>
                <w:b/>
                <w:iCs/>
              </w:rPr>
              <w:t>Vienošanās panākta saskaņošanas procesā</w:t>
            </w:r>
          </w:p>
          <w:p w14:paraId="4CE400FF" w14:textId="77777777" w:rsidR="00A3355C" w:rsidRPr="001330BD" w:rsidRDefault="00A3355C" w:rsidP="00E923B6">
            <w:pPr>
              <w:spacing w:before="40" w:after="40"/>
              <w:jc w:val="center"/>
              <w:rPr>
                <w:iCs/>
              </w:rPr>
            </w:pPr>
          </w:p>
          <w:p w14:paraId="62070DC7" w14:textId="77777777" w:rsidR="00A3355C" w:rsidRPr="001330BD" w:rsidRDefault="00A3355C" w:rsidP="00E923B6">
            <w:pPr>
              <w:spacing w:before="40" w:after="40"/>
              <w:jc w:val="both"/>
              <w:rPr>
                <w:iCs/>
              </w:rPr>
            </w:pPr>
            <w:r w:rsidRPr="001330BD">
              <w:rPr>
                <w:iCs/>
              </w:rPr>
              <w:t>Noteikumu projekts tiks virzīts apstiprināšanai Ministru kabinetā ar līdzšinējos Ministru kabineta noteikumu Nr.545 deleģējumu.</w:t>
            </w:r>
          </w:p>
          <w:p w14:paraId="43A86EA6" w14:textId="77777777" w:rsidR="00A3355C" w:rsidRPr="001330BD" w:rsidRDefault="00A3355C" w:rsidP="00E923B6">
            <w:pPr>
              <w:spacing w:before="40" w:after="40"/>
              <w:jc w:val="both"/>
              <w:rPr>
                <w:iCs/>
              </w:rPr>
            </w:pPr>
            <w:r w:rsidRPr="001330BD">
              <w:rPr>
                <w:iCs/>
              </w:rPr>
              <w:t xml:space="preserve">Pēc Transporta enerģijas likuma spēkā stāšanās tiks sagatavots noteikumu projekts par Ministru kabineta noteikumu Nr.545 grozījumiem, lai attiecīgi </w:t>
            </w:r>
            <w:r w:rsidRPr="001330BD">
              <w:rPr>
                <w:iCs/>
              </w:rPr>
              <w:lastRenderedPageBreak/>
              <w:t>veiktu papildinājumus Ministru kabineta noteikumu Nr.545 deleģējumā.</w:t>
            </w:r>
          </w:p>
        </w:tc>
        <w:tc>
          <w:tcPr>
            <w:tcW w:w="4368" w:type="dxa"/>
            <w:tcBorders>
              <w:top w:val="single" w:sz="4" w:space="0" w:color="auto"/>
              <w:left w:val="single" w:sz="4" w:space="0" w:color="auto"/>
              <w:bottom w:val="single" w:sz="4" w:space="0" w:color="auto"/>
            </w:tcBorders>
          </w:tcPr>
          <w:p w14:paraId="2FA9AA9A" w14:textId="77777777" w:rsidR="00E923B6" w:rsidRPr="001330BD" w:rsidRDefault="00E923B6" w:rsidP="00E923B6">
            <w:pPr>
              <w:shd w:val="clear" w:color="auto" w:fill="FFFFFF"/>
              <w:spacing w:before="40" w:after="40"/>
              <w:jc w:val="both"/>
            </w:pPr>
            <w:r w:rsidRPr="001330BD">
              <w:lastRenderedPageBreak/>
              <w:t>Norāde uz noteikumu projekta izdošanas tiesisko pamatu:</w:t>
            </w:r>
          </w:p>
          <w:p w14:paraId="1B0296B0" w14:textId="77777777" w:rsidR="00A3355C" w:rsidRPr="001330BD" w:rsidRDefault="00E923B6" w:rsidP="00E923B6">
            <w:pPr>
              <w:shd w:val="clear" w:color="auto" w:fill="FFFFFF"/>
              <w:spacing w:before="40" w:after="40"/>
              <w:jc w:val="both"/>
            </w:pPr>
            <w:r w:rsidRPr="001330BD">
              <w:rPr>
                <w:i/>
              </w:rPr>
              <w:t xml:space="preserve">Izdoti saskaņā ar </w:t>
            </w:r>
            <w:r w:rsidRPr="001330BD">
              <w:rPr>
                <w:i/>
                <w:iCs/>
              </w:rPr>
              <w:t>likuma “Par atbilstības novērtēšanu” 7. panta pirmo daļu</w:t>
            </w:r>
          </w:p>
        </w:tc>
      </w:tr>
      <w:tr w:rsidR="00816C1B" w:rsidRPr="001330BD" w14:paraId="6DFA83F2"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tcPr>
          <w:p w14:paraId="4C8A6551" w14:textId="77777777" w:rsidR="00816C1B" w:rsidRPr="001330BD" w:rsidRDefault="00816C1B" w:rsidP="00E923B6">
            <w:pPr>
              <w:pStyle w:val="naisc"/>
              <w:spacing w:before="40" w:after="40"/>
              <w:rPr>
                <w:b/>
              </w:rPr>
            </w:pPr>
            <w:r w:rsidRPr="001330BD">
              <w:rPr>
                <w:b/>
              </w:rPr>
              <w:t>3</w:t>
            </w:r>
          </w:p>
        </w:tc>
        <w:tc>
          <w:tcPr>
            <w:tcW w:w="3041" w:type="dxa"/>
            <w:tcBorders>
              <w:top w:val="single" w:sz="6" w:space="0" w:color="000000"/>
              <w:left w:val="single" w:sz="6" w:space="0" w:color="000000"/>
              <w:bottom w:val="single" w:sz="6" w:space="0" w:color="000000"/>
              <w:right w:val="single" w:sz="6" w:space="0" w:color="000000"/>
            </w:tcBorders>
          </w:tcPr>
          <w:p w14:paraId="745DBE99" w14:textId="77777777" w:rsidR="00816C1B" w:rsidRPr="001330BD" w:rsidRDefault="00816C1B" w:rsidP="00E923B6">
            <w:pPr>
              <w:shd w:val="clear" w:color="auto" w:fill="FFFFFF"/>
              <w:spacing w:before="40" w:after="40"/>
              <w:jc w:val="both"/>
              <w:rPr>
                <w:color w:val="000000" w:themeColor="text1"/>
              </w:rPr>
            </w:pPr>
            <w:r w:rsidRPr="001330BD">
              <w:rPr>
                <w:color w:val="000000" w:themeColor="text1"/>
              </w:rPr>
              <w:t>Noteikumu projekta 3.punkts:</w:t>
            </w:r>
          </w:p>
          <w:p w14:paraId="4B65DC2E" w14:textId="77777777" w:rsidR="00816C1B" w:rsidRPr="001330BD" w:rsidRDefault="00816C1B" w:rsidP="00E923B6">
            <w:pPr>
              <w:tabs>
                <w:tab w:val="left" w:pos="1134"/>
              </w:tabs>
              <w:spacing w:before="40" w:after="40"/>
              <w:jc w:val="both"/>
              <w:rPr>
                <w:iCs/>
              </w:rPr>
            </w:pPr>
            <w:r w:rsidRPr="001330BD">
              <w:rPr>
                <w:color w:val="000000" w:themeColor="text1"/>
              </w:rPr>
              <w:t xml:space="preserve">“3. </w:t>
            </w:r>
            <w:r w:rsidRPr="001330BD">
              <w:rPr>
                <w:iCs/>
              </w:rPr>
              <w:t>2. punktā:</w:t>
            </w:r>
          </w:p>
          <w:p w14:paraId="1DBCC06E" w14:textId="77777777" w:rsidR="00816C1B" w:rsidRPr="001330BD" w:rsidRDefault="00816C1B" w:rsidP="00E923B6">
            <w:pPr>
              <w:tabs>
                <w:tab w:val="left" w:pos="1134"/>
              </w:tabs>
              <w:spacing w:before="40" w:after="40"/>
              <w:rPr>
                <w:iCs/>
              </w:rPr>
            </w:pPr>
          </w:p>
          <w:p w14:paraId="6D2F0F21" w14:textId="77777777" w:rsidR="00816C1B" w:rsidRPr="001330BD" w:rsidRDefault="00816C1B" w:rsidP="00E923B6">
            <w:pPr>
              <w:spacing w:before="40" w:after="40"/>
              <w:rPr>
                <w:iCs/>
              </w:rPr>
            </w:pPr>
            <w:r w:rsidRPr="001330BD">
              <w:rPr>
                <w:iCs/>
              </w:rPr>
              <w:t>Izteikt 2.1., 2.2. un 2.3. apakšpunktu šādā redakcijā:</w:t>
            </w:r>
          </w:p>
          <w:p w14:paraId="416456A8" w14:textId="77777777" w:rsidR="00816C1B" w:rsidRPr="001330BD" w:rsidRDefault="00816C1B" w:rsidP="00E923B6">
            <w:pPr>
              <w:spacing w:before="40" w:after="40"/>
              <w:rPr>
                <w:iCs/>
              </w:rPr>
            </w:pPr>
            <w:r w:rsidRPr="001330BD">
              <w:rPr>
                <w:iCs/>
              </w:rPr>
              <w:t>2.1. biodegviela – no biomasas iegūta šķidra vai gāzveida viela, ko var izmantot kā transporta enerģiju;</w:t>
            </w:r>
          </w:p>
          <w:p w14:paraId="415D33A3" w14:textId="77777777" w:rsidR="00816C1B" w:rsidRPr="001330BD" w:rsidRDefault="00816C1B" w:rsidP="00E923B6">
            <w:pPr>
              <w:spacing w:before="40" w:after="40"/>
              <w:rPr>
                <w:iCs/>
              </w:rPr>
            </w:pPr>
            <w:r w:rsidRPr="001330BD">
              <w:rPr>
                <w:iCs/>
              </w:rPr>
              <w:t xml:space="preserve">2.2. bioloģiskais šķidrais kurināmais – no biomasas iegūta šķidrā degviela, kuru var izmantot elektroenerģijas un siltumenerģijas ražošanai vai </w:t>
            </w:r>
            <w:proofErr w:type="spellStart"/>
            <w:r w:rsidRPr="001330BD">
              <w:rPr>
                <w:iCs/>
              </w:rPr>
              <w:t>aukstumapgādē</w:t>
            </w:r>
            <w:proofErr w:type="spellEnd"/>
            <w:r w:rsidRPr="001330BD">
              <w:rPr>
                <w:iCs/>
              </w:rPr>
              <w:t xml:space="preserve"> dzesēšanai un kuru nav paredzēts izmantot kā transporta enerģiju;</w:t>
            </w:r>
          </w:p>
          <w:p w14:paraId="2F92CE6E" w14:textId="77777777" w:rsidR="00816C1B" w:rsidRPr="001330BD" w:rsidRDefault="00816C1B" w:rsidP="00E923B6">
            <w:pPr>
              <w:spacing w:before="40" w:after="40"/>
              <w:rPr>
                <w:iCs/>
              </w:rPr>
            </w:pPr>
            <w:r w:rsidRPr="001330BD">
              <w:rPr>
                <w:iCs/>
              </w:rPr>
              <w:t xml:space="preserve">2.3. biomasa – šo noteikumu izpratnē lauksaimniecības, mežsaimniecības un saistīto nozaru (tai skaitā zivsaimniecības un akvakultūras), produktu, bioloģijas izcelsmes atkritumu un atlieku </w:t>
            </w:r>
            <w:r w:rsidRPr="001330BD">
              <w:rPr>
                <w:iCs/>
              </w:rPr>
              <w:lastRenderedPageBreak/>
              <w:t>bioloģiski noārdāmas frakcijas (tai skaitā augu un dzīvnieku izcelsmes vielas), kā arī rūpniecības un sadzīves atkritumu bioloģiski noārdāmas frakcijas;”;</w:t>
            </w:r>
          </w:p>
          <w:p w14:paraId="2E06201D" w14:textId="77777777" w:rsidR="00816C1B" w:rsidRPr="001330BD" w:rsidRDefault="00816C1B" w:rsidP="00E923B6">
            <w:pPr>
              <w:spacing w:before="40" w:after="40"/>
              <w:rPr>
                <w:iCs/>
              </w:rPr>
            </w:pPr>
          </w:p>
          <w:p w14:paraId="3C0ABD52" w14:textId="77777777" w:rsidR="00816C1B" w:rsidRPr="001330BD" w:rsidRDefault="00816C1B" w:rsidP="00E923B6">
            <w:pPr>
              <w:spacing w:before="40" w:after="40"/>
              <w:rPr>
                <w:iCs/>
              </w:rPr>
            </w:pPr>
            <w:r w:rsidRPr="001330BD">
              <w:rPr>
                <w:iCs/>
              </w:rPr>
              <w:t>Svītrot 2.4. apakšpunktu;</w:t>
            </w:r>
          </w:p>
          <w:p w14:paraId="030DC2E4" w14:textId="77777777" w:rsidR="00816C1B" w:rsidRPr="001330BD" w:rsidRDefault="00816C1B" w:rsidP="00E923B6">
            <w:pPr>
              <w:spacing w:before="40" w:after="40"/>
              <w:rPr>
                <w:iCs/>
              </w:rPr>
            </w:pPr>
          </w:p>
          <w:p w14:paraId="41FA5EF9" w14:textId="77777777" w:rsidR="00816C1B" w:rsidRPr="001330BD" w:rsidRDefault="00816C1B" w:rsidP="00E923B6">
            <w:pPr>
              <w:spacing w:before="40" w:after="40"/>
              <w:rPr>
                <w:iCs/>
              </w:rPr>
            </w:pPr>
            <w:r w:rsidRPr="001330BD">
              <w:rPr>
                <w:iCs/>
              </w:rPr>
              <w:t>Izteikt 2.10. un 2.11. apakšpunktu šādā redakcijā:</w:t>
            </w:r>
          </w:p>
          <w:p w14:paraId="3D1A4E80" w14:textId="77777777" w:rsidR="00816C1B" w:rsidRPr="001330BD" w:rsidRDefault="00816C1B" w:rsidP="00E923B6">
            <w:pPr>
              <w:spacing w:before="40" w:after="40"/>
            </w:pPr>
            <w:r w:rsidRPr="001330BD">
              <w:rPr>
                <w:iCs/>
              </w:rPr>
              <w:t>“</w:t>
            </w:r>
            <w:r w:rsidRPr="001330BD">
              <w:t xml:space="preserve">2.10. pirmais savācējs, pārstrādātājs vai </w:t>
            </w:r>
            <w:proofErr w:type="spellStart"/>
            <w:r w:rsidRPr="001330BD">
              <w:t>pašpārstrādātājs</w:t>
            </w:r>
            <w:proofErr w:type="spellEnd"/>
            <w:r w:rsidRPr="001330BD">
              <w:t xml:space="preserve"> – </w:t>
            </w:r>
            <w:bookmarkStart w:id="1" w:name="_Hlk517790544"/>
            <w:r w:rsidRPr="001330BD">
              <w:t xml:space="preserve">juridiska vai fiziska persona, kura nodarbojas ar biodegvielas vai bioloģiskā šķidrā kurināmā ražošanā izmantoto izejvielu iepirkšanu, kura izmanto </w:t>
            </w:r>
            <w:bookmarkEnd w:id="1"/>
            <w:r w:rsidRPr="001330BD">
              <w:t>biomasu tās tālākai pārdošanai vai izmanto ražošanas procesā, tai skaitā biodegvielas vai bioloģiskā šķidrā kurināmā ražošanai;</w:t>
            </w:r>
          </w:p>
          <w:p w14:paraId="35425F64" w14:textId="77777777" w:rsidR="00816C1B" w:rsidRPr="001330BD" w:rsidRDefault="00816C1B" w:rsidP="00E923B6">
            <w:pPr>
              <w:spacing w:before="40" w:after="40"/>
            </w:pPr>
            <w:r w:rsidRPr="001330BD">
              <w:t xml:space="preserve">2.11. brīvprātīgā shēma – shēma, kuras ietvaros tiek apliecināta biodegvielu un bioloģisko šķidro kurināmo atbilstība ilgtspējības kritērijiem, par kuras </w:t>
            </w:r>
            <w:r w:rsidRPr="001330BD">
              <w:lastRenderedPageBreak/>
              <w:t xml:space="preserve">atbilstību ticamības, </w:t>
            </w:r>
            <w:proofErr w:type="spellStart"/>
            <w:r w:rsidRPr="001330BD">
              <w:t>paredzamības</w:t>
            </w:r>
            <w:proofErr w:type="spellEnd"/>
            <w:r w:rsidRPr="001330BD">
              <w:t xml:space="preserve"> un neatkarīga audita standartiem Eiropas Komisija ir pieņēmusi attiecīgu lēmumu;”;</w:t>
            </w:r>
          </w:p>
          <w:p w14:paraId="4E523F77" w14:textId="77777777" w:rsidR="00816C1B" w:rsidRPr="001330BD" w:rsidRDefault="00816C1B" w:rsidP="00E923B6">
            <w:pPr>
              <w:spacing w:before="40" w:after="40"/>
            </w:pPr>
          </w:p>
          <w:p w14:paraId="4459A4A7" w14:textId="77777777" w:rsidR="00816C1B" w:rsidRPr="001330BD" w:rsidRDefault="00816C1B" w:rsidP="00E923B6">
            <w:pPr>
              <w:spacing w:before="40" w:after="40"/>
            </w:pPr>
            <w:r w:rsidRPr="001330BD">
              <w:t>Izteikt 2.13. apakšpunktu šādā redakcijā:</w:t>
            </w:r>
          </w:p>
          <w:p w14:paraId="3E0E6E23" w14:textId="77777777" w:rsidR="00816C1B" w:rsidRPr="001330BD" w:rsidRDefault="00816C1B" w:rsidP="00E923B6">
            <w:pPr>
              <w:spacing w:before="40" w:after="40"/>
            </w:pPr>
            <w:r w:rsidRPr="001330BD">
              <w:t>“piegādātājs – komersants, kas Latvijas Republikā realizē biodegvielu vai bioloģisko šķidro kurināmo, tai skaitā: degvielas mazumtirgotājs, kas realizē no degvielas vairumtirgotāja saņemto degvielu; degvielas mazumtirgotājs, kas realizē paša importēto vai no Eiropas Savienības dalībvalsts ievesto degvielu; degvielas vairumtirgotājs, kas realizē degvielu un kuram ir speciāla atļauja (licence) degvielas vairumtirdzniecībai vai speciāla atļauja (licence) apstiprināta noliktavas turētāja darbībai, vai speciāla atļauja (licence) reģistrēta saņēmēja darbībai (izņemot realizāciju atliktā akcīzes nodokļa maksāšanas režīmā).</w:t>
            </w:r>
          </w:p>
          <w:p w14:paraId="4AA41BE4" w14:textId="77777777" w:rsidR="00816C1B" w:rsidRPr="001330BD" w:rsidRDefault="00816C1B" w:rsidP="00E923B6">
            <w:pPr>
              <w:spacing w:before="40" w:after="40"/>
            </w:pPr>
          </w:p>
          <w:p w14:paraId="14CED83E" w14:textId="77777777" w:rsidR="00816C1B" w:rsidRPr="001330BD" w:rsidRDefault="00816C1B" w:rsidP="00E923B6">
            <w:pPr>
              <w:spacing w:before="40" w:after="40"/>
              <w:rPr>
                <w:iCs/>
              </w:rPr>
            </w:pPr>
            <w:r w:rsidRPr="001330BD">
              <w:rPr>
                <w:iCs/>
              </w:rPr>
              <w:lastRenderedPageBreak/>
              <w:t>Papildināt punktu ar 2.14., 2.15., 2.16., 2.17., 2.18., 2.19., 2.20., 2.21. un 2.22. apakšpunktu šādā redakcijā:</w:t>
            </w:r>
          </w:p>
          <w:p w14:paraId="5E4A70E7" w14:textId="77777777" w:rsidR="00816C1B" w:rsidRPr="001330BD" w:rsidRDefault="00816C1B" w:rsidP="00E923B6">
            <w:pPr>
              <w:spacing w:before="40" w:after="40"/>
            </w:pPr>
            <w:r w:rsidRPr="001330BD">
              <w:t>“2.14. biodegvielas vai bioloģiskā šķidrā kurināmā izejvielas audzētājs – juridiska vai fiziska persona, kas nodarbojas ar biodegvielas vai bioloģiskā šķidrā kurināmā ražošanā izmantoto izejvielu audzēšanu;</w:t>
            </w:r>
          </w:p>
          <w:p w14:paraId="68DA3877" w14:textId="77777777" w:rsidR="00816C1B" w:rsidRPr="001330BD" w:rsidRDefault="00816C1B" w:rsidP="00E923B6">
            <w:pPr>
              <w:spacing w:before="40" w:after="40"/>
            </w:pPr>
            <w:r w:rsidRPr="001330BD">
              <w:t xml:space="preserve">2.15. lauksaimniecības, akvakultūras, zivsaimniecības un mežsaimniecības atlikumi – atlikumi, ko tiešā veidā rada lauksaimniecības, akvakultūras, zivsaimniecības un mežsaimniecības nozarēs, neietverot atlikumus, kas </w:t>
            </w:r>
            <w:proofErr w:type="spellStart"/>
            <w:r w:rsidRPr="001330BD">
              <w:t>radušiess</w:t>
            </w:r>
            <w:proofErr w:type="spellEnd"/>
            <w:r w:rsidRPr="001330BD">
              <w:t xml:space="preserve"> saistītajās nozarēs vai pārstrādē;</w:t>
            </w:r>
          </w:p>
          <w:p w14:paraId="16B51250" w14:textId="77777777" w:rsidR="00816C1B" w:rsidRPr="001330BD" w:rsidRDefault="00816C1B" w:rsidP="00E923B6">
            <w:pPr>
              <w:spacing w:before="40" w:after="40"/>
            </w:pPr>
            <w:r w:rsidRPr="001330BD">
              <w:rPr>
                <w:shd w:val="clear" w:color="auto" w:fill="FFFFFF"/>
              </w:rPr>
              <w:t>2.16. n</w:t>
            </w:r>
            <w:r w:rsidRPr="001330BD">
              <w:t xml:space="preserve">eliela netiešas zemes izmantošanas maiņas riska biodegviela un bioloģiskais šķidrais kurināmais – biodegviela un bioloģiskais šķidrais kurināmais, kuru izejvielas ir iegūtas vai ražotas tādās shēmās, kas </w:t>
            </w:r>
            <w:r w:rsidRPr="001330BD">
              <w:lastRenderedPageBreak/>
              <w:t>samazina ražošanas pārvietošanu citiem nolūkiem, kuri nav biodegvielas un bioloģiskā šķidrā kurināmā ražošana, un kas ir ražotas saskaņā ar šajos noteikumos noteiktajiem biodegvielas un bioloģiskā šķidrā kurināmā ilgtspējas kritērijiem;</w:t>
            </w:r>
          </w:p>
          <w:p w14:paraId="3B8C3BD0" w14:textId="77777777" w:rsidR="00816C1B" w:rsidRPr="001330BD" w:rsidRDefault="00816C1B" w:rsidP="00E923B6">
            <w:pPr>
              <w:spacing w:before="40" w:after="40"/>
            </w:pPr>
            <w:r w:rsidRPr="001330BD">
              <w:t xml:space="preserve">2.17. </w:t>
            </w:r>
            <w:proofErr w:type="spellStart"/>
            <w:r w:rsidRPr="001330BD">
              <w:t>lignocelulozes</w:t>
            </w:r>
            <w:proofErr w:type="spellEnd"/>
            <w:r w:rsidRPr="001330BD">
              <w:t xml:space="preserve"> materiāls – materiāls, ko veido lignīns, celuloze un hemiceluloze, piemēram, mežos iegūta biomasa, kokaugu enerģētiskās kultūras un ar mežsaimniecību saistītu nozaru atlikumi un atkritumi;</w:t>
            </w:r>
          </w:p>
          <w:p w14:paraId="0DDF6F9C" w14:textId="77777777" w:rsidR="00816C1B" w:rsidRPr="001330BD" w:rsidRDefault="00816C1B" w:rsidP="00E923B6">
            <w:pPr>
              <w:spacing w:before="40" w:after="40"/>
            </w:pPr>
            <w:r w:rsidRPr="001330BD">
              <w:t xml:space="preserve">2.18. nepārtikas celulozes materiāls – izejvielas, kas galvenokārt sastāv no celulozes un hemicelulozes un kam ir zemāks lignīna saturs nekā </w:t>
            </w:r>
            <w:proofErr w:type="spellStart"/>
            <w:r w:rsidRPr="001330BD">
              <w:t>lignocelulozes</w:t>
            </w:r>
            <w:proofErr w:type="spellEnd"/>
            <w:r w:rsidRPr="001330BD">
              <w:t xml:space="preserve"> materiālam, kas ietver pārtikas un lopbarības kultūraugu atlikumus (piemēram, salmi, stublāji, sēnalas un čaumalas), zālaugu enerģētiskos kultūraugus ar zemu cietes saturu (piemēram, airene, </w:t>
            </w:r>
            <w:proofErr w:type="spellStart"/>
            <w:r w:rsidRPr="001330BD">
              <w:lastRenderedPageBreak/>
              <w:t>klūdziņprosa</w:t>
            </w:r>
            <w:proofErr w:type="spellEnd"/>
            <w:r w:rsidRPr="001330BD">
              <w:t xml:space="preserve">, </w:t>
            </w:r>
            <w:proofErr w:type="spellStart"/>
            <w:r w:rsidRPr="001330BD">
              <w:t>miskante</w:t>
            </w:r>
            <w:proofErr w:type="spellEnd"/>
            <w:r w:rsidRPr="001330BD">
              <w:t xml:space="preserve">, Spānijas niedre un virsaugi pirms un pēc galvenajiem kultūraugiem), rūpniecības atlikumi (tostarp no pārtikas un lauksaimniecības kultūraugiem pēc augu eļļu, cukuru, cietes un proteīnu ekstrakcijas) un materiālus no </w:t>
            </w:r>
            <w:proofErr w:type="spellStart"/>
            <w:r w:rsidRPr="001330BD">
              <w:t>bioatkritumiem</w:t>
            </w:r>
            <w:proofErr w:type="spellEnd"/>
            <w:r w:rsidRPr="001330BD">
              <w:t>;</w:t>
            </w:r>
          </w:p>
          <w:p w14:paraId="4FC96D5E" w14:textId="77777777" w:rsidR="00816C1B" w:rsidRPr="001330BD" w:rsidRDefault="00816C1B" w:rsidP="00E923B6">
            <w:pPr>
              <w:autoSpaceDE w:val="0"/>
              <w:autoSpaceDN w:val="0"/>
              <w:adjustRightInd w:val="0"/>
              <w:spacing w:before="40" w:after="40"/>
              <w:rPr>
                <w:bCs/>
              </w:rPr>
            </w:pPr>
            <w:r w:rsidRPr="001330BD">
              <w:rPr>
                <w:bCs/>
              </w:rPr>
              <w:t>2.19. atkritumi – priekšmeti un vielas, kas uzskatāmi par atkritumiem Atkritumu apsaimniekošanas likuma izpratnē. Par atkritumiem šo noteikumu izpratnē nav uzskatāmas vielas, kas tīši pārveidotas vai piesārņotas ar mērķi tās izmantot biodegvielas vai bioloģiskā šķidrā kurināmā ražošanai;</w:t>
            </w:r>
          </w:p>
          <w:p w14:paraId="7D7583BD" w14:textId="77777777" w:rsidR="00816C1B" w:rsidRPr="001330BD" w:rsidRDefault="00816C1B" w:rsidP="00E923B6">
            <w:pPr>
              <w:pStyle w:val="ListParagraph"/>
              <w:autoSpaceDE w:val="0"/>
              <w:autoSpaceDN w:val="0"/>
              <w:adjustRightInd w:val="0"/>
              <w:spacing w:before="40" w:after="40" w:line="240" w:lineRule="auto"/>
              <w:ind w:left="0"/>
              <w:contextualSpacing w:val="0"/>
              <w:rPr>
                <w:rFonts w:ascii="Times New Roman" w:hAnsi="Times New Roman"/>
                <w:bCs/>
                <w:sz w:val="24"/>
                <w:szCs w:val="24"/>
              </w:rPr>
            </w:pPr>
            <w:r w:rsidRPr="001330BD">
              <w:rPr>
                <w:rFonts w:ascii="Times New Roman" w:hAnsi="Times New Roman"/>
                <w:bCs/>
                <w:sz w:val="24"/>
                <w:szCs w:val="24"/>
              </w:rPr>
              <w:t xml:space="preserve">2.20. cieti saturoši kultūraugi </w:t>
            </w:r>
            <w:r w:rsidRPr="001330BD">
              <w:rPr>
                <w:rFonts w:ascii="Times New Roman" w:hAnsi="Times New Roman"/>
                <w:sz w:val="24"/>
                <w:szCs w:val="24"/>
              </w:rPr>
              <w:t xml:space="preserve">– </w:t>
            </w:r>
            <w:r w:rsidRPr="001330BD">
              <w:rPr>
                <w:rFonts w:ascii="Times New Roman" w:hAnsi="Times New Roman"/>
                <w:bCs/>
                <w:sz w:val="24"/>
                <w:szCs w:val="24"/>
              </w:rPr>
              <w:t xml:space="preserve">kultūraugi, galvenokārt labība (neatkarīgi no tā, vai tiek izmantoti tikai graudi vai viss augs, kā tas ir, piemēram, zaļbarības kukurūzas gadījumā), bumbuļi un sakņaugi (piemēram, kartupeļi, topinambūri, batātes, </w:t>
            </w:r>
            <w:proofErr w:type="spellStart"/>
            <w:r w:rsidRPr="001330BD">
              <w:rPr>
                <w:rFonts w:ascii="Times New Roman" w:hAnsi="Times New Roman"/>
                <w:bCs/>
                <w:sz w:val="24"/>
                <w:szCs w:val="24"/>
              </w:rPr>
              <w:t>manioka</w:t>
            </w:r>
            <w:proofErr w:type="spellEnd"/>
            <w:r w:rsidRPr="001330BD">
              <w:rPr>
                <w:rFonts w:ascii="Times New Roman" w:hAnsi="Times New Roman"/>
                <w:bCs/>
                <w:sz w:val="24"/>
                <w:szCs w:val="24"/>
              </w:rPr>
              <w:t xml:space="preserve"> un </w:t>
            </w:r>
            <w:proofErr w:type="spellStart"/>
            <w:r w:rsidRPr="001330BD">
              <w:rPr>
                <w:rFonts w:ascii="Times New Roman" w:hAnsi="Times New Roman"/>
                <w:bCs/>
                <w:sz w:val="24"/>
                <w:szCs w:val="24"/>
              </w:rPr>
              <w:t>jamss</w:t>
            </w:r>
            <w:proofErr w:type="spellEnd"/>
            <w:r w:rsidRPr="001330BD">
              <w:rPr>
                <w:rFonts w:ascii="Times New Roman" w:hAnsi="Times New Roman"/>
                <w:bCs/>
                <w:sz w:val="24"/>
                <w:szCs w:val="24"/>
              </w:rPr>
              <w:t xml:space="preserve">), un </w:t>
            </w:r>
            <w:proofErr w:type="spellStart"/>
            <w:r w:rsidRPr="001330BD">
              <w:rPr>
                <w:rFonts w:ascii="Times New Roman" w:hAnsi="Times New Roman"/>
                <w:bCs/>
                <w:sz w:val="24"/>
                <w:szCs w:val="24"/>
              </w:rPr>
              <w:lastRenderedPageBreak/>
              <w:t>bumbuļsīpoli</w:t>
            </w:r>
            <w:proofErr w:type="spellEnd"/>
            <w:r w:rsidRPr="001330BD">
              <w:rPr>
                <w:rFonts w:ascii="Times New Roman" w:hAnsi="Times New Roman"/>
                <w:bCs/>
                <w:sz w:val="24"/>
                <w:szCs w:val="24"/>
              </w:rPr>
              <w:t xml:space="preserve"> (piemēram, </w:t>
            </w:r>
            <w:proofErr w:type="spellStart"/>
            <w:r w:rsidRPr="001330BD">
              <w:rPr>
                <w:rFonts w:ascii="Times New Roman" w:hAnsi="Times New Roman"/>
                <w:bCs/>
                <w:sz w:val="24"/>
                <w:szCs w:val="24"/>
              </w:rPr>
              <w:t>taro</w:t>
            </w:r>
            <w:proofErr w:type="spellEnd"/>
            <w:r w:rsidRPr="001330BD">
              <w:rPr>
                <w:rFonts w:ascii="Times New Roman" w:hAnsi="Times New Roman"/>
                <w:bCs/>
                <w:sz w:val="24"/>
                <w:szCs w:val="24"/>
              </w:rPr>
              <w:t xml:space="preserve"> un </w:t>
            </w:r>
            <w:proofErr w:type="spellStart"/>
            <w:r w:rsidRPr="001330BD">
              <w:rPr>
                <w:rFonts w:ascii="Times New Roman" w:hAnsi="Times New Roman"/>
                <w:bCs/>
                <w:sz w:val="24"/>
                <w:szCs w:val="24"/>
              </w:rPr>
              <w:t>cocoyam</w:t>
            </w:r>
            <w:proofErr w:type="spellEnd"/>
            <w:r w:rsidRPr="001330BD">
              <w:rPr>
                <w:rFonts w:ascii="Times New Roman" w:hAnsi="Times New Roman"/>
                <w:bCs/>
                <w:sz w:val="24"/>
                <w:szCs w:val="24"/>
              </w:rPr>
              <w:t>);</w:t>
            </w:r>
          </w:p>
          <w:p w14:paraId="204BECA3" w14:textId="77777777" w:rsidR="00816C1B" w:rsidRPr="001330BD" w:rsidRDefault="00816C1B" w:rsidP="00E923B6">
            <w:pPr>
              <w:pStyle w:val="ListParagraph"/>
              <w:autoSpaceDE w:val="0"/>
              <w:autoSpaceDN w:val="0"/>
              <w:adjustRightInd w:val="0"/>
              <w:spacing w:before="40" w:after="40" w:line="240" w:lineRule="auto"/>
              <w:ind w:left="0"/>
              <w:contextualSpacing w:val="0"/>
              <w:rPr>
                <w:rFonts w:ascii="Times New Roman" w:hAnsi="Times New Roman"/>
                <w:bCs/>
                <w:sz w:val="24"/>
                <w:szCs w:val="24"/>
              </w:rPr>
            </w:pPr>
            <w:r w:rsidRPr="001330BD">
              <w:rPr>
                <w:rFonts w:ascii="Times New Roman" w:hAnsi="Times New Roman"/>
                <w:bCs/>
                <w:sz w:val="24"/>
                <w:szCs w:val="24"/>
              </w:rPr>
              <w:t>2.21. pārstrādes atlikumi</w:t>
            </w:r>
            <w:r w:rsidRPr="001330BD">
              <w:rPr>
                <w:rFonts w:ascii="Times New Roman" w:hAnsi="Times New Roman"/>
                <w:sz w:val="24"/>
                <w:szCs w:val="24"/>
              </w:rPr>
              <w:t xml:space="preserve"> – </w:t>
            </w:r>
            <w:r w:rsidRPr="001330BD">
              <w:rPr>
                <w:rFonts w:ascii="Times New Roman" w:hAnsi="Times New Roman"/>
                <w:bCs/>
                <w:sz w:val="24"/>
                <w:szCs w:val="24"/>
              </w:rPr>
              <w:t>materiāls, kas nav galaprodukts, kuru ražošanas procesā tieši vēlas iegūt; tas nav ražošanas procesa pamatmērķis, un process nav apzināti modificēts, lai to ražotu;</w:t>
            </w:r>
          </w:p>
          <w:p w14:paraId="1BC1F02D" w14:textId="77777777" w:rsidR="00816C1B" w:rsidRPr="001330BD" w:rsidRDefault="00816C1B" w:rsidP="00E923B6">
            <w:pPr>
              <w:pStyle w:val="ListParagraph"/>
              <w:autoSpaceDE w:val="0"/>
              <w:autoSpaceDN w:val="0"/>
              <w:adjustRightInd w:val="0"/>
              <w:spacing w:before="40" w:after="40" w:line="240" w:lineRule="auto"/>
              <w:ind w:left="0"/>
              <w:contextualSpacing w:val="0"/>
              <w:rPr>
                <w:rFonts w:ascii="Times New Roman" w:hAnsi="Times New Roman"/>
                <w:sz w:val="24"/>
                <w:szCs w:val="24"/>
              </w:rPr>
            </w:pPr>
            <w:r w:rsidRPr="001330BD">
              <w:rPr>
                <w:rFonts w:ascii="Times New Roman" w:hAnsi="Times New Roman"/>
                <w:bCs/>
                <w:sz w:val="24"/>
                <w:szCs w:val="24"/>
              </w:rPr>
              <w:t xml:space="preserve">2.22. no atjaunojamiem energoresursiem ražota nebioloģiskas izcelsmes šķidrā vai gāzveida degviela </w:t>
            </w:r>
            <w:r w:rsidRPr="001330BD">
              <w:rPr>
                <w:rFonts w:ascii="Times New Roman" w:hAnsi="Times New Roman"/>
                <w:sz w:val="24"/>
                <w:szCs w:val="24"/>
              </w:rPr>
              <w:t xml:space="preserve">– </w:t>
            </w:r>
            <w:r w:rsidRPr="001330BD">
              <w:rPr>
                <w:rFonts w:ascii="Times New Roman" w:hAnsi="Times New Roman"/>
                <w:bCs/>
                <w:sz w:val="24"/>
                <w:szCs w:val="24"/>
              </w:rPr>
              <w:t>šķidrā vai gāzveida degviela, kura nav biodegviela un kuras energoietilpību rada atjaunojamie energoresursi, izņemot biomasu, un kuru var izmantot kā transporta enerģiju.”.</w:t>
            </w:r>
          </w:p>
        </w:tc>
        <w:tc>
          <w:tcPr>
            <w:tcW w:w="4047" w:type="dxa"/>
            <w:tcBorders>
              <w:top w:val="single" w:sz="6" w:space="0" w:color="000000"/>
              <w:left w:val="single" w:sz="6" w:space="0" w:color="000000"/>
              <w:bottom w:val="single" w:sz="6" w:space="0" w:color="000000"/>
              <w:right w:val="single" w:sz="6" w:space="0" w:color="000000"/>
            </w:tcBorders>
          </w:tcPr>
          <w:p w14:paraId="7A27A258" w14:textId="77777777" w:rsidR="00816C1B" w:rsidRPr="001330BD" w:rsidRDefault="00816C1B" w:rsidP="00E923B6">
            <w:pPr>
              <w:widowControl w:val="0"/>
              <w:spacing w:before="40" w:after="40"/>
              <w:jc w:val="center"/>
              <w:rPr>
                <w:b/>
              </w:rPr>
            </w:pPr>
            <w:r w:rsidRPr="001330BD">
              <w:rPr>
                <w:b/>
              </w:rPr>
              <w:lastRenderedPageBreak/>
              <w:t>Tieslietu ministrija</w:t>
            </w:r>
          </w:p>
          <w:p w14:paraId="5D8C0C6B" w14:textId="77777777" w:rsidR="00816C1B" w:rsidRPr="001330BD" w:rsidRDefault="00816C1B" w:rsidP="00E923B6">
            <w:pPr>
              <w:widowControl w:val="0"/>
              <w:spacing w:before="40" w:after="40"/>
              <w:jc w:val="center"/>
              <w:rPr>
                <w:b/>
              </w:rPr>
            </w:pPr>
            <w:r w:rsidRPr="001330BD">
              <w:rPr>
                <w:b/>
              </w:rPr>
              <w:t>(2018.gada 18.oktobra atzinums)</w:t>
            </w:r>
          </w:p>
          <w:p w14:paraId="60C547DA" w14:textId="77777777" w:rsidR="00816C1B" w:rsidRPr="001330BD" w:rsidRDefault="00816C1B" w:rsidP="00E923B6">
            <w:pPr>
              <w:tabs>
                <w:tab w:val="left" w:pos="709"/>
                <w:tab w:val="left" w:pos="993"/>
              </w:tabs>
              <w:spacing w:before="40" w:after="40"/>
              <w:rPr>
                <w:bCs/>
                <w:iCs/>
              </w:rPr>
            </w:pPr>
            <w:r w:rsidRPr="001330BD">
              <w:rPr>
                <w:bCs/>
                <w:iCs/>
              </w:rPr>
              <w:t xml:space="preserve">3. Vēršam uzmanību, ka vairāki projekta 3. punktā izteiktie </w:t>
            </w:r>
            <w:r w:rsidRPr="001330BD">
              <w:rPr>
                <w:bCs/>
                <w:iCs/>
                <w:u w:val="single"/>
              </w:rPr>
              <w:t>termini</w:t>
            </w:r>
            <w:r w:rsidRPr="001330BD">
              <w:rPr>
                <w:bCs/>
                <w:iCs/>
              </w:rPr>
              <w:t xml:space="preserve">, kā biodegviela, biomasa, piegādātājs, atkritumi, cieti saturoši kultūraugi, no atjaunojamiem energoresursiem ražota nebioloģiskas izcelsmes šķidrā vai gāzveida degviela, </w:t>
            </w:r>
            <w:r w:rsidRPr="001330BD">
              <w:rPr>
                <w:bCs/>
                <w:iCs/>
                <w:u w:val="single"/>
              </w:rPr>
              <w:t>un to skaidrojumi dublē vai daļēji dublē</w:t>
            </w:r>
            <w:r w:rsidRPr="001330BD">
              <w:rPr>
                <w:bCs/>
                <w:iCs/>
              </w:rPr>
              <w:t xml:space="preserve"> likumprojekta 1. pantā izteiktos terminus un to skaidrojumus. </w:t>
            </w:r>
          </w:p>
          <w:p w14:paraId="0B624E04" w14:textId="77777777" w:rsidR="00816C1B" w:rsidRPr="001330BD" w:rsidRDefault="00816C1B" w:rsidP="00E923B6">
            <w:pPr>
              <w:tabs>
                <w:tab w:val="left" w:pos="709"/>
                <w:tab w:val="left" w:pos="993"/>
              </w:tabs>
              <w:spacing w:before="40" w:after="40"/>
              <w:rPr>
                <w:bCs/>
                <w:iCs/>
              </w:rPr>
            </w:pPr>
            <w:r w:rsidRPr="001330BD">
              <w:rPr>
                <w:bCs/>
                <w:iCs/>
              </w:rPr>
              <w:t xml:space="preserve">Norādām, ka atbilstoši </w:t>
            </w:r>
            <w:r w:rsidRPr="001330BD">
              <w:t xml:space="preserve">Ministru kabineta 2009. gada 3. februāra noteikumu Nr. 108 „Normatīvo aktu projektu sagatavošanas noteikumi” (turpmāk – NAP noteikumi) 3.2. apakšpunktam </w:t>
            </w:r>
            <w:r w:rsidRPr="001330BD">
              <w:rPr>
                <w:bCs/>
                <w:iCs/>
              </w:rPr>
              <w:t>projektā neietver normas, kas dublē augstāka spēka normatīvā akta tiesību normās ietverto normatīvo regulējumu. Ievērojot minēto, lūdzam atbilstoši precizēt projektu, svītrojot normas, kas dublē vai daļēji dublē likumprojektā noteikto.</w:t>
            </w:r>
          </w:p>
        </w:tc>
        <w:tc>
          <w:tcPr>
            <w:tcW w:w="2899" w:type="dxa"/>
            <w:tcBorders>
              <w:top w:val="single" w:sz="6" w:space="0" w:color="000000"/>
              <w:left w:val="single" w:sz="6" w:space="0" w:color="000000"/>
              <w:bottom w:val="single" w:sz="6" w:space="0" w:color="000000"/>
              <w:right w:val="single" w:sz="6" w:space="0" w:color="000000"/>
            </w:tcBorders>
          </w:tcPr>
          <w:p w14:paraId="55579E6F" w14:textId="77777777" w:rsidR="00816C1B" w:rsidRPr="001330BD" w:rsidRDefault="00816C1B" w:rsidP="00E923B6">
            <w:pPr>
              <w:spacing w:before="40" w:after="40"/>
              <w:jc w:val="center"/>
              <w:rPr>
                <w:b/>
                <w:iCs/>
              </w:rPr>
            </w:pPr>
            <w:r w:rsidRPr="001330BD">
              <w:rPr>
                <w:b/>
                <w:iCs/>
              </w:rPr>
              <w:t>Vienošanās panākta saskaņošanas procesā</w:t>
            </w:r>
          </w:p>
          <w:p w14:paraId="1D65DDE5" w14:textId="77777777" w:rsidR="00816C1B" w:rsidRPr="001330BD" w:rsidRDefault="00816C1B" w:rsidP="00E923B6">
            <w:pPr>
              <w:spacing w:before="40" w:after="40"/>
              <w:jc w:val="center"/>
              <w:rPr>
                <w:iCs/>
              </w:rPr>
            </w:pPr>
          </w:p>
          <w:p w14:paraId="67FE5E4D" w14:textId="77777777" w:rsidR="00816C1B" w:rsidRPr="001330BD" w:rsidRDefault="00816C1B" w:rsidP="00E923B6">
            <w:pPr>
              <w:spacing w:before="40" w:after="40"/>
              <w:jc w:val="both"/>
              <w:rPr>
                <w:iCs/>
              </w:rPr>
            </w:pPr>
            <w:r w:rsidRPr="001330BD">
              <w:rPr>
                <w:iCs/>
              </w:rPr>
              <w:t>Likumprojekts “Transporta enerģijas likums” netika izskatīts 1.lasījumā Saeimas 12.sasaukumā, un tas tiks iesniegts Saeimā atkārtoti pēc tā izskatīšanas Ministru kabinetā.</w:t>
            </w:r>
          </w:p>
          <w:p w14:paraId="24748E16" w14:textId="77777777" w:rsidR="00816C1B" w:rsidRPr="001330BD" w:rsidRDefault="00816C1B" w:rsidP="00E923B6">
            <w:pPr>
              <w:spacing w:before="40" w:after="40"/>
              <w:jc w:val="both"/>
              <w:rPr>
                <w:iCs/>
              </w:rPr>
            </w:pPr>
            <w:r w:rsidRPr="001330BD">
              <w:rPr>
                <w:iCs/>
              </w:rPr>
              <w:t>Kamēr Transporta enerģijas likums nav stājies spēkā, nevar teikts, ka Ministru kabineta noteikumos Nr.545 un Noteikumu projektā izteiktie termini dublē citā tiesību aktā iekļautos terminus un to skaidrojumus.</w:t>
            </w:r>
          </w:p>
          <w:p w14:paraId="267B9ADD" w14:textId="77777777" w:rsidR="00816C1B" w:rsidRPr="001330BD" w:rsidRDefault="00816C1B" w:rsidP="00E923B6">
            <w:pPr>
              <w:spacing w:before="40" w:after="40"/>
              <w:jc w:val="both"/>
              <w:rPr>
                <w:iCs/>
              </w:rPr>
            </w:pPr>
            <w:r w:rsidRPr="001330BD">
              <w:rPr>
                <w:iCs/>
              </w:rPr>
              <w:t>Pēc Transporta enerģijas likuma spēkā stāšanās tiks sagatavots noteikumu projekts par Ministru kabineta noteikumu Nr.545 grozījumiem, lai attiecīgi veiktu grozījumus Ministru kabineta noteikumu Nr.545 2.punktā.</w:t>
            </w:r>
          </w:p>
        </w:tc>
        <w:tc>
          <w:tcPr>
            <w:tcW w:w="4368" w:type="dxa"/>
            <w:tcBorders>
              <w:top w:val="single" w:sz="4" w:space="0" w:color="auto"/>
              <w:left w:val="single" w:sz="4" w:space="0" w:color="auto"/>
              <w:bottom w:val="single" w:sz="4" w:space="0" w:color="auto"/>
            </w:tcBorders>
          </w:tcPr>
          <w:p w14:paraId="6EF0E4F4" w14:textId="77777777" w:rsidR="00816C1B" w:rsidRPr="001330BD" w:rsidRDefault="00816C1B" w:rsidP="00E923B6">
            <w:pPr>
              <w:shd w:val="clear" w:color="auto" w:fill="FFFFFF"/>
              <w:spacing w:before="40" w:after="40"/>
              <w:jc w:val="both"/>
              <w:rPr>
                <w:color w:val="000000" w:themeColor="text1"/>
              </w:rPr>
            </w:pPr>
            <w:r w:rsidRPr="001330BD">
              <w:rPr>
                <w:color w:val="000000" w:themeColor="text1"/>
              </w:rPr>
              <w:t>Noteikumu projekta 3.punkts:</w:t>
            </w:r>
          </w:p>
          <w:p w14:paraId="2A8C4839" w14:textId="77777777" w:rsidR="00816C1B" w:rsidRPr="001330BD" w:rsidRDefault="00816C1B" w:rsidP="00E923B6">
            <w:pPr>
              <w:tabs>
                <w:tab w:val="left" w:pos="1134"/>
              </w:tabs>
              <w:spacing w:before="40" w:after="40"/>
              <w:jc w:val="both"/>
              <w:rPr>
                <w:iCs/>
              </w:rPr>
            </w:pPr>
            <w:r w:rsidRPr="001330BD">
              <w:t xml:space="preserve">“3. </w:t>
            </w:r>
            <w:r w:rsidRPr="001330BD">
              <w:rPr>
                <w:iCs/>
              </w:rPr>
              <w:t>2. punktā:</w:t>
            </w:r>
          </w:p>
          <w:p w14:paraId="62BB759E" w14:textId="77777777" w:rsidR="00816C1B" w:rsidRPr="001330BD" w:rsidRDefault="00816C1B" w:rsidP="00E923B6">
            <w:pPr>
              <w:tabs>
                <w:tab w:val="left" w:pos="1134"/>
              </w:tabs>
              <w:spacing w:before="40" w:after="40"/>
              <w:rPr>
                <w:iCs/>
              </w:rPr>
            </w:pPr>
          </w:p>
          <w:p w14:paraId="4C9C101B" w14:textId="77777777" w:rsidR="00816C1B" w:rsidRPr="001330BD" w:rsidRDefault="00816C1B" w:rsidP="00E923B6">
            <w:pPr>
              <w:spacing w:before="40" w:after="40"/>
              <w:rPr>
                <w:iCs/>
              </w:rPr>
            </w:pPr>
            <w:r w:rsidRPr="001330BD">
              <w:rPr>
                <w:iCs/>
              </w:rPr>
              <w:t>Izteikt 2.1., 2.2. un 2.3. apakšpunktu šādā redakcijā:</w:t>
            </w:r>
          </w:p>
          <w:p w14:paraId="1A22B041" w14:textId="77777777" w:rsidR="00816C1B" w:rsidRPr="001330BD" w:rsidRDefault="00816C1B" w:rsidP="00E923B6">
            <w:pPr>
              <w:spacing w:before="40" w:after="40"/>
              <w:rPr>
                <w:iCs/>
              </w:rPr>
            </w:pPr>
          </w:p>
          <w:p w14:paraId="3FD07C4A" w14:textId="77777777" w:rsidR="00816C1B" w:rsidRPr="001330BD" w:rsidRDefault="00816C1B" w:rsidP="00E923B6">
            <w:pPr>
              <w:spacing w:before="40" w:after="40"/>
              <w:rPr>
                <w:iCs/>
              </w:rPr>
            </w:pPr>
            <w:r w:rsidRPr="001330BD">
              <w:rPr>
                <w:iCs/>
              </w:rPr>
              <w:t>2.1. biodegviela – no biomasas iegūta šķidra vai gāzveida viela, ko var izmantot kā transporta enerģiju;</w:t>
            </w:r>
          </w:p>
          <w:p w14:paraId="3C3CF215" w14:textId="77777777" w:rsidR="00816C1B" w:rsidRPr="001330BD" w:rsidRDefault="00816C1B" w:rsidP="00E923B6">
            <w:pPr>
              <w:spacing w:before="40" w:after="40"/>
              <w:rPr>
                <w:iCs/>
              </w:rPr>
            </w:pPr>
          </w:p>
          <w:p w14:paraId="091FE93F" w14:textId="77777777" w:rsidR="00816C1B" w:rsidRPr="001330BD" w:rsidRDefault="00816C1B" w:rsidP="00E923B6">
            <w:pPr>
              <w:spacing w:before="40" w:after="40"/>
              <w:rPr>
                <w:iCs/>
              </w:rPr>
            </w:pPr>
            <w:r w:rsidRPr="001330BD">
              <w:rPr>
                <w:iCs/>
              </w:rPr>
              <w:t xml:space="preserve">2.2. bioloģiskais šķidrais kurināmais – no biomasas iegūta šķidrā degviela, kuru var izmantot elektroenerģijas un siltumenerģijas ražošanai vai </w:t>
            </w:r>
            <w:proofErr w:type="spellStart"/>
            <w:r w:rsidRPr="001330BD">
              <w:rPr>
                <w:iCs/>
              </w:rPr>
              <w:t>aukstumapgādē</w:t>
            </w:r>
            <w:proofErr w:type="spellEnd"/>
            <w:r w:rsidRPr="001330BD">
              <w:rPr>
                <w:iCs/>
              </w:rPr>
              <w:t xml:space="preserve"> dzesēšanai un kuru nav paredzēts izmantot kā transporta enerģiju;</w:t>
            </w:r>
          </w:p>
          <w:p w14:paraId="2843D2A8" w14:textId="77777777" w:rsidR="00816C1B" w:rsidRPr="001330BD" w:rsidRDefault="00816C1B" w:rsidP="00E923B6">
            <w:pPr>
              <w:spacing w:before="40" w:after="40"/>
              <w:rPr>
                <w:iCs/>
              </w:rPr>
            </w:pPr>
          </w:p>
          <w:p w14:paraId="4CF5366C" w14:textId="77777777" w:rsidR="00816C1B" w:rsidRPr="001330BD" w:rsidRDefault="00816C1B" w:rsidP="00E923B6">
            <w:pPr>
              <w:spacing w:before="40" w:after="40"/>
              <w:rPr>
                <w:iCs/>
              </w:rPr>
            </w:pPr>
            <w:r w:rsidRPr="001330BD">
              <w:rPr>
                <w:iCs/>
              </w:rPr>
              <w:t>2.3. biomasa – lauksaimniecības, mežsaimniecības un saistīto nozaru (tai skaitā zivsaimniecības un akvakultūras), produktu, bioloģiskas izcelsmes atkritumu un atlieku bioloģiski noārdāmas frakcijas (tai skaitā augu un dzīvnieku izcelsmes vielas), kā arī rūpniecības un sadzīves atkritumu bioloģiski noārdāmas frakcijas;”;</w:t>
            </w:r>
          </w:p>
          <w:p w14:paraId="76359A55" w14:textId="77777777" w:rsidR="00816C1B" w:rsidRPr="001330BD" w:rsidRDefault="00816C1B" w:rsidP="00E923B6">
            <w:pPr>
              <w:spacing w:before="40" w:after="40"/>
              <w:rPr>
                <w:iCs/>
              </w:rPr>
            </w:pPr>
          </w:p>
          <w:p w14:paraId="016EAB90" w14:textId="77777777" w:rsidR="00816C1B" w:rsidRPr="001330BD" w:rsidRDefault="00816C1B" w:rsidP="00E923B6">
            <w:pPr>
              <w:spacing w:before="40" w:after="40"/>
              <w:rPr>
                <w:iCs/>
              </w:rPr>
            </w:pPr>
            <w:r w:rsidRPr="001330BD">
              <w:rPr>
                <w:iCs/>
              </w:rPr>
              <w:lastRenderedPageBreak/>
              <w:t>Svītrot 2.4. apakšpunktu;</w:t>
            </w:r>
          </w:p>
          <w:p w14:paraId="0DB87062" w14:textId="77777777" w:rsidR="00816C1B" w:rsidRPr="001330BD" w:rsidRDefault="00816C1B" w:rsidP="00E923B6">
            <w:pPr>
              <w:spacing w:before="40" w:after="40"/>
              <w:rPr>
                <w:iCs/>
              </w:rPr>
            </w:pPr>
          </w:p>
          <w:p w14:paraId="77BC1480" w14:textId="77777777" w:rsidR="00816C1B" w:rsidRPr="001330BD" w:rsidRDefault="00816C1B" w:rsidP="00E923B6">
            <w:pPr>
              <w:spacing w:before="40" w:after="40"/>
              <w:rPr>
                <w:iCs/>
              </w:rPr>
            </w:pPr>
            <w:r w:rsidRPr="001330BD">
              <w:rPr>
                <w:iCs/>
              </w:rPr>
              <w:t>Izteikt 2.10. un 2.11. apakšpunktu šādā redakcijā:</w:t>
            </w:r>
          </w:p>
          <w:p w14:paraId="056B60FC" w14:textId="77777777" w:rsidR="00816C1B" w:rsidRPr="001330BD" w:rsidRDefault="00816C1B" w:rsidP="00E923B6">
            <w:pPr>
              <w:spacing w:before="40" w:after="40"/>
              <w:rPr>
                <w:iCs/>
              </w:rPr>
            </w:pPr>
          </w:p>
          <w:p w14:paraId="037463C4" w14:textId="77777777" w:rsidR="00816C1B" w:rsidRPr="001330BD" w:rsidRDefault="00816C1B" w:rsidP="00E923B6">
            <w:pPr>
              <w:spacing w:before="40" w:after="40"/>
            </w:pPr>
            <w:r w:rsidRPr="001330BD">
              <w:rPr>
                <w:iCs/>
              </w:rPr>
              <w:t>“</w:t>
            </w:r>
            <w:r w:rsidRPr="001330BD">
              <w:t xml:space="preserve">2.10. pirmais savācējs, pārstrādātājs vai </w:t>
            </w:r>
            <w:proofErr w:type="spellStart"/>
            <w:r w:rsidRPr="001330BD">
              <w:t>pašpārstrādātājs</w:t>
            </w:r>
            <w:proofErr w:type="spellEnd"/>
            <w:r w:rsidRPr="001330BD">
              <w:t xml:space="preserve"> – juridiska vai fiziska persona, kura nodarbojas ar biodegvielas vai bioloģiskā šķidrā kurināmā ražošanā izmantoto izejvielu iepirkšanu, kura izmanto biomasu tās tālākai pārdošanai vai izmanto ražošanas procesā, tai skaitā biodegvielas vai bioloģiskā šķidrā kurināmā ražošanai;</w:t>
            </w:r>
          </w:p>
          <w:p w14:paraId="2323FCDE" w14:textId="77777777" w:rsidR="00816C1B" w:rsidRPr="001330BD" w:rsidRDefault="00816C1B" w:rsidP="00E923B6">
            <w:pPr>
              <w:spacing w:before="40" w:after="40"/>
            </w:pPr>
          </w:p>
          <w:p w14:paraId="36A8A000" w14:textId="77777777" w:rsidR="00816C1B" w:rsidRPr="001330BD" w:rsidRDefault="00816C1B" w:rsidP="00E923B6">
            <w:pPr>
              <w:spacing w:before="40" w:after="40"/>
            </w:pPr>
            <w:r w:rsidRPr="001330BD">
              <w:t xml:space="preserve">2.11. brīvprātīgā shēma – shēma, kuras ietvaros tiek apliecināta biodegvielu un bioloģisko šķidro kurināmo atbilstība ilgtspējības kritērijiem, par kuras atbilstību ticamības, </w:t>
            </w:r>
            <w:proofErr w:type="spellStart"/>
            <w:r w:rsidRPr="001330BD">
              <w:t>paredzamības</w:t>
            </w:r>
            <w:proofErr w:type="spellEnd"/>
            <w:r w:rsidRPr="001330BD">
              <w:t xml:space="preserve"> un neatkarīga audita standartiem Eiropas Komisija ir pieņēmusi attiecīgu lēmumu;”;</w:t>
            </w:r>
          </w:p>
          <w:p w14:paraId="7E0EE12F" w14:textId="77777777" w:rsidR="00816C1B" w:rsidRPr="001330BD" w:rsidRDefault="00816C1B" w:rsidP="00E923B6">
            <w:pPr>
              <w:spacing w:before="40" w:after="40"/>
            </w:pPr>
          </w:p>
          <w:p w14:paraId="1BE1C954" w14:textId="77777777" w:rsidR="00816C1B" w:rsidRPr="001330BD" w:rsidRDefault="00816C1B" w:rsidP="00E923B6">
            <w:pPr>
              <w:spacing w:before="40" w:after="40"/>
            </w:pPr>
            <w:r w:rsidRPr="001330BD">
              <w:t>Izteikt 2.13. apakšpunktu šādā redakcijā:</w:t>
            </w:r>
          </w:p>
          <w:p w14:paraId="3FF55BBB" w14:textId="77777777" w:rsidR="00816C1B" w:rsidRPr="001330BD" w:rsidRDefault="00816C1B" w:rsidP="00E923B6">
            <w:pPr>
              <w:spacing w:before="40" w:after="40"/>
            </w:pPr>
          </w:p>
          <w:p w14:paraId="42CCE1F6" w14:textId="77777777" w:rsidR="00816C1B" w:rsidRPr="001330BD" w:rsidRDefault="00816C1B" w:rsidP="00E923B6">
            <w:pPr>
              <w:spacing w:before="40" w:after="40"/>
            </w:pPr>
            <w:r w:rsidRPr="001330BD">
              <w:t xml:space="preserve">“piegādātājs – komersants, kas Latvijas Republikā realizē biodegvielu vai bioloģisko šķidro kurināmo, tai skaitā: degvielas mazumtirgotājs, kas realizē no degvielas vairumtirgotāja saņemto degvielu; degvielas mazumtirgotājs, kas realizē paša importēto vai no Eiropas </w:t>
            </w:r>
            <w:r w:rsidRPr="001330BD">
              <w:lastRenderedPageBreak/>
              <w:t>Savienības dalībvalsts ievesto degvielu; degvielas vairumtirgotājs, kas realizē degvielu un kuram ir speciāla atļauja (licence) degvielas vairumtirdzniecībai vai speciāla atļauja (licence) apstiprināta noliktavas turētāja darbībai, vai speciāla atļauja (licence) reģistrēta saņēmēja darbībai (izņemot realizāciju atliktā akcīzes nodokļa maksāšanas režīmā).</w:t>
            </w:r>
          </w:p>
          <w:p w14:paraId="490569B7" w14:textId="77777777" w:rsidR="00816C1B" w:rsidRPr="001330BD" w:rsidRDefault="00816C1B" w:rsidP="00E923B6">
            <w:pPr>
              <w:spacing w:before="40" w:after="40"/>
            </w:pPr>
          </w:p>
          <w:p w14:paraId="6FB57907" w14:textId="77777777" w:rsidR="00816C1B" w:rsidRPr="001330BD" w:rsidRDefault="00816C1B" w:rsidP="00E923B6">
            <w:pPr>
              <w:spacing w:before="40" w:after="40"/>
              <w:rPr>
                <w:iCs/>
              </w:rPr>
            </w:pPr>
            <w:r w:rsidRPr="001330BD">
              <w:rPr>
                <w:iCs/>
              </w:rPr>
              <w:t>Papildināt punktu ar 2.14., 2.15., 2.16., 2.17., 2.18., 2.19., 2.20., 2.21. un 2.22. apakšpunktu šādā redakcijā:</w:t>
            </w:r>
          </w:p>
          <w:p w14:paraId="1FF102CC" w14:textId="77777777" w:rsidR="00816C1B" w:rsidRPr="001330BD" w:rsidRDefault="00816C1B" w:rsidP="00E923B6">
            <w:pPr>
              <w:spacing w:before="40" w:after="40"/>
              <w:rPr>
                <w:iCs/>
              </w:rPr>
            </w:pPr>
          </w:p>
          <w:p w14:paraId="7C050C52" w14:textId="77777777" w:rsidR="00816C1B" w:rsidRPr="001330BD" w:rsidRDefault="00816C1B" w:rsidP="00E923B6">
            <w:pPr>
              <w:spacing w:before="40" w:after="40"/>
            </w:pPr>
            <w:r w:rsidRPr="001330BD">
              <w:t>“2.14. biodegvielas vai bioloģiskā šķidrā kurināmā izejvielas audzētājs – juridiska vai fiziska persona, kas nodarbojas ar biodegvielas vai bioloģiskā šķidrā kurināmā ražošanā izmantoto izejvielu audzēšanu;</w:t>
            </w:r>
          </w:p>
          <w:p w14:paraId="68B6992D" w14:textId="77777777" w:rsidR="00816C1B" w:rsidRPr="001330BD" w:rsidRDefault="00816C1B" w:rsidP="00E923B6">
            <w:pPr>
              <w:spacing w:before="40" w:after="40"/>
            </w:pPr>
          </w:p>
          <w:p w14:paraId="401F490F" w14:textId="77777777" w:rsidR="00816C1B" w:rsidRPr="001330BD" w:rsidRDefault="00816C1B" w:rsidP="00E923B6">
            <w:pPr>
              <w:spacing w:before="40" w:after="40"/>
            </w:pPr>
            <w:r w:rsidRPr="001330BD">
              <w:t>2.15. lauksaimniecības, akvakultūras, zivsaimniecības un mežsaimniecības atlikumi – atlikumi, ko tiešā veidā rada lauksaimniecības, akvakultūras, zivsaimniecības un mežsaimniecības nozarēs, neietverot atlikumus, kas radušies saistītajās nozarēs vai pārstrādē;</w:t>
            </w:r>
          </w:p>
          <w:p w14:paraId="0B42AC01" w14:textId="77777777" w:rsidR="00816C1B" w:rsidRPr="001330BD" w:rsidRDefault="00816C1B" w:rsidP="00E923B6">
            <w:pPr>
              <w:spacing w:before="40" w:after="40"/>
            </w:pPr>
          </w:p>
          <w:p w14:paraId="17CD56E4" w14:textId="77777777" w:rsidR="00816C1B" w:rsidRPr="001330BD" w:rsidRDefault="00816C1B" w:rsidP="00E923B6">
            <w:pPr>
              <w:spacing w:before="40" w:after="40"/>
            </w:pPr>
            <w:r w:rsidRPr="001330BD">
              <w:rPr>
                <w:shd w:val="clear" w:color="auto" w:fill="FFFFFF"/>
              </w:rPr>
              <w:t>2.16. n</w:t>
            </w:r>
            <w:r w:rsidRPr="001330BD">
              <w:t xml:space="preserve">eliela netiešas zemes izmantošanas maiņas riska biodegviela un bioloģiskais šķidrais kurināmais – biodegviela un </w:t>
            </w:r>
            <w:r w:rsidRPr="001330BD">
              <w:lastRenderedPageBreak/>
              <w:t>bioloģiskais šķidrais kurināmais, kuru izejvielas ir ražotas tādās shēmās, kas samazina ražošanas pārvietošanu citiem nolūkiem, kuri nav biodegvielas un bioloģiskā šķidrā kurināmā ražošana, un kas ir ražotas saskaņā ar šajos noteikumos noteiktajiem biodegvielas un bioloģiskā šķidrā kurināmā ilgtspējas kritērijiem;</w:t>
            </w:r>
          </w:p>
          <w:p w14:paraId="3B8B28F8" w14:textId="77777777" w:rsidR="00816C1B" w:rsidRPr="001330BD" w:rsidRDefault="00816C1B" w:rsidP="00E923B6">
            <w:pPr>
              <w:spacing w:before="40" w:after="40"/>
            </w:pPr>
          </w:p>
          <w:p w14:paraId="64AF7826" w14:textId="77777777" w:rsidR="00816C1B" w:rsidRPr="001330BD" w:rsidRDefault="00816C1B" w:rsidP="00E923B6">
            <w:pPr>
              <w:spacing w:before="40" w:after="40"/>
            </w:pPr>
            <w:r w:rsidRPr="001330BD">
              <w:t xml:space="preserve">2.17. </w:t>
            </w:r>
            <w:proofErr w:type="spellStart"/>
            <w:r w:rsidRPr="001330BD">
              <w:t>lignocelulozes</w:t>
            </w:r>
            <w:proofErr w:type="spellEnd"/>
            <w:r w:rsidRPr="001330BD">
              <w:t xml:space="preserve"> materiāls – materiāls, ko veido lignīns, celuloze un hemiceluloze, piemēram, mežos iegūta biomasa, kokaugu enerģētiskās kultūras un ar mežsaimniecību saistītu nozaru atlikumi un atkritumi;</w:t>
            </w:r>
          </w:p>
          <w:p w14:paraId="3AA143A4" w14:textId="77777777" w:rsidR="00816C1B" w:rsidRPr="001330BD" w:rsidRDefault="00816C1B" w:rsidP="00E923B6">
            <w:pPr>
              <w:spacing w:before="40" w:after="40"/>
            </w:pPr>
          </w:p>
          <w:p w14:paraId="57ACAB64" w14:textId="77777777" w:rsidR="00816C1B" w:rsidRPr="001330BD" w:rsidRDefault="00816C1B" w:rsidP="00E923B6">
            <w:pPr>
              <w:spacing w:before="40" w:after="40"/>
            </w:pPr>
            <w:r w:rsidRPr="001330BD">
              <w:t xml:space="preserve">2.18. nepārtikas celulozes materiāls – izejvielas, kas galvenokārt sastāv no celulozes un hemicelulozes un kam ir zemāks lignīna saturs nekā </w:t>
            </w:r>
            <w:proofErr w:type="spellStart"/>
            <w:r w:rsidRPr="001330BD">
              <w:t>lignocelulozes</w:t>
            </w:r>
            <w:proofErr w:type="spellEnd"/>
            <w:r w:rsidRPr="001330BD">
              <w:t xml:space="preserve"> materiālam, kas ietver pārtikas un lopbarības kultūraugu atlikumus (piemēram, salmi, stublāji, sēnalas un čaumalas), zālaugu enerģētiskos kultūraugus ar zemu cietes saturu (piemēram, airene, </w:t>
            </w:r>
            <w:proofErr w:type="spellStart"/>
            <w:r w:rsidRPr="001330BD">
              <w:t>klūdziņprosa</w:t>
            </w:r>
            <w:proofErr w:type="spellEnd"/>
            <w:r w:rsidRPr="001330BD">
              <w:t xml:space="preserve">, </w:t>
            </w:r>
            <w:proofErr w:type="spellStart"/>
            <w:r w:rsidRPr="001330BD">
              <w:t>miskante</w:t>
            </w:r>
            <w:proofErr w:type="spellEnd"/>
            <w:r w:rsidRPr="001330BD">
              <w:t xml:space="preserve">, Spānijas niedre un virsaugi pirms un pēc galvenajiem kultūraugiem), rūpniecības atlikumi (tostarp no pārtikas un lauksaimniecības kultūraugiem pēc augu eļļu, cukuru, cietes un proteīnu ekstrakcijas) un materiālus no </w:t>
            </w:r>
            <w:proofErr w:type="spellStart"/>
            <w:r w:rsidRPr="001330BD">
              <w:t>bioatkritumiem</w:t>
            </w:r>
            <w:proofErr w:type="spellEnd"/>
            <w:r w:rsidRPr="001330BD">
              <w:t>;</w:t>
            </w:r>
          </w:p>
          <w:p w14:paraId="1637F9BE" w14:textId="77777777" w:rsidR="00816C1B" w:rsidRPr="001330BD" w:rsidRDefault="00816C1B" w:rsidP="00E923B6">
            <w:pPr>
              <w:spacing w:before="40" w:after="40"/>
            </w:pPr>
          </w:p>
          <w:p w14:paraId="7C749C67" w14:textId="77777777" w:rsidR="00816C1B" w:rsidRPr="001330BD" w:rsidRDefault="00816C1B" w:rsidP="00E923B6">
            <w:pPr>
              <w:autoSpaceDE w:val="0"/>
              <w:autoSpaceDN w:val="0"/>
              <w:adjustRightInd w:val="0"/>
              <w:spacing w:before="40" w:after="40"/>
              <w:rPr>
                <w:bCs/>
              </w:rPr>
            </w:pPr>
            <w:r w:rsidRPr="001330BD">
              <w:rPr>
                <w:bCs/>
              </w:rPr>
              <w:t>2.19. atkritumi – priekšmeti un vielas, kas uzskatāmi par atkritumiem Atkritumu apsaimniekošanas likuma izpratnē. Par atkritumiem šo noteikumu izpratnē nav uzskatāmas vielas, kas tīši pārveidotas vai piesārņotas ar mērķi tās izmantot biodegvielas vai bioloģiskā šķidrā kurināmā ražošanai;</w:t>
            </w:r>
          </w:p>
          <w:p w14:paraId="20A105F8" w14:textId="77777777" w:rsidR="00816C1B" w:rsidRPr="001330BD" w:rsidRDefault="00816C1B" w:rsidP="00E923B6">
            <w:pPr>
              <w:autoSpaceDE w:val="0"/>
              <w:autoSpaceDN w:val="0"/>
              <w:adjustRightInd w:val="0"/>
              <w:spacing w:before="40" w:after="40"/>
              <w:rPr>
                <w:bCs/>
              </w:rPr>
            </w:pPr>
          </w:p>
          <w:p w14:paraId="5C6EB9F5" w14:textId="77777777" w:rsidR="00816C1B" w:rsidRPr="001330BD" w:rsidRDefault="00816C1B" w:rsidP="00E923B6">
            <w:pPr>
              <w:pStyle w:val="ListParagraph"/>
              <w:autoSpaceDE w:val="0"/>
              <w:autoSpaceDN w:val="0"/>
              <w:adjustRightInd w:val="0"/>
              <w:spacing w:before="40" w:after="40" w:line="240" w:lineRule="auto"/>
              <w:ind w:left="0"/>
              <w:contextualSpacing w:val="0"/>
              <w:rPr>
                <w:rFonts w:ascii="Times New Roman" w:hAnsi="Times New Roman"/>
                <w:bCs/>
                <w:sz w:val="24"/>
                <w:szCs w:val="24"/>
              </w:rPr>
            </w:pPr>
            <w:r w:rsidRPr="001330BD">
              <w:rPr>
                <w:rFonts w:ascii="Times New Roman" w:hAnsi="Times New Roman"/>
                <w:bCs/>
                <w:sz w:val="24"/>
                <w:szCs w:val="24"/>
              </w:rPr>
              <w:t xml:space="preserve">2.20. cieti saturoši kultūraugi </w:t>
            </w:r>
            <w:r w:rsidRPr="001330BD">
              <w:rPr>
                <w:rFonts w:ascii="Times New Roman" w:hAnsi="Times New Roman"/>
                <w:sz w:val="24"/>
                <w:szCs w:val="24"/>
              </w:rPr>
              <w:t xml:space="preserve">– </w:t>
            </w:r>
            <w:r w:rsidRPr="001330BD">
              <w:rPr>
                <w:rFonts w:ascii="Times New Roman" w:hAnsi="Times New Roman"/>
                <w:bCs/>
                <w:sz w:val="24"/>
                <w:szCs w:val="24"/>
              </w:rPr>
              <w:t xml:space="preserve">kultūraugi, galvenokārt labība (neatkarīgi no tā, vai tiek izmantoti tikai graudi vai viss augs, kā tas ir, piemēram, zaļbarības kukurūzas gadījumā), bumbuļi un sakņaugi (piemēram, kartupeļi, topinambūri, batātes, </w:t>
            </w:r>
            <w:proofErr w:type="spellStart"/>
            <w:r w:rsidRPr="001330BD">
              <w:rPr>
                <w:rFonts w:ascii="Times New Roman" w:hAnsi="Times New Roman"/>
                <w:bCs/>
                <w:sz w:val="24"/>
                <w:szCs w:val="24"/>
              </w:rPr>
              <w:t>manioka</w:t>
            </w:r>
            <w:proofErr w:type="spellEnd"/>
            <w:r w:rsidRPr="001330BD">
              <w:rPr>
                <w:rFonts w:ascii="Times New Roman" w:hAnsi="Times New Roman"/>
                <w:bCs/>
                <w:sz w:val="24"/>
                <w:szCs w:val="24"/>
              </w:rPr>
              <w:t xml:space="preserve"> un </w:t>
            </w:r>
            <w:proofErr w:type="spellStart"/>
            <w:r w:rsidRPr="001330BD">
              <w:rPr>
                <w:rFonts w:ascii="Times New Roman" w:hAnsi="Times New Roman"/>
                <w:bCs/>
                <w:sz w:val="24"/>
                <w:szCs w:val="24"/>
              </w:rPr>
              <w:t>jamss</w:t>
            </w:r>
            <w:proofErr w:type="spellEnd"/>
            <w:r w:rsidRPr="001330BD">
              <w:rPr>
                <w:rFonts w:ascii="Times New Roman" w:hAnsi="Times New Roman"/>
                <w:bCs/>
                <w:sz w:val="24"/>
                <w:szCs w:val="24"/>
              </w:rPr>
              <w:t xml:space="preserve">), un </w:t>
            </w:r>
            <w:proofErr w:type="spellStart"/>
            <w:r w:rsidRPr="001330BD">
              <w:rPr>
                <w:rFonts w:ascii="Times New Roman" w:hAnsi="Times New Roman"/>
                <w:bCs/>
                <w:sz w:val="24"/>
                <w:szCs w:val="24"/>
              </w:rPr>
              <w:t>bumbuļsīpoli</w:t>
            </w:r>
            <w:proofErr w:type="spellEnd"/>
            <w:r w:rsidRPr="001330BD">
              <w:rPr>
                <w:rFonts w:ascii="Times New Roman" w:hAnsi="Times New Roman"/>
                <w:bCs/>
                <w:sz w:val="24"/>
                <w:szCs w:val="24"/>
              </w:rPr>
              <w:t xml:space="preserve"> (piemēram, </w:t>
            </w:r>
            <w:proofErr w:type="spellStart"/>
            <w:r w:rsidRPr="001330BD">
              <w:rPr>
                <w:rFonts w:ascii="Times New Roman" w:hAnsi="Times New Roman"/>
                <w:bCs/>
                <w:sz w:val="24"/>
                <w:szCs w:val="24"/>
              </w:rPr>
              <w:t>taro</w:t>
            </w:r>
            <w:proofErr w:type="spellEnd"/>
            <w:r w:rsidRPr="001330BD">
              <w:rPr>
                <w:rFonts w:ascii="Times New Roman" w:hAnsi="Times New Roman"/>
                <w:bCs/>
                <w:sz w:val="24"/>
                <w:szCs w:val="24"/>
              </w:rPr>
              <w:t xml:space="preserve"> un </w:t>
            </w:r>
            <w:proofErr w:type="spellStart"/>
            <w:r w:rsidRPr="001330BD">
              <w:rPr>
                <w:rFonts w:ascii="Times New Roman" w:hAnsi="Times New Roman"/>
                <w:bCs/>
                <w:sz w:val="24"/>
                <w:szCs w:val="24"/>
              </w:rPr>
              <w:t>kolokāzija</w:t>
            </w:r>
            <w:proofErr w:type="spellEnd"/>
            <w:r w:rsidRPr="001330BD">
              <w:rPr>
                <w:rFonts w:ascii="Times New Roman" w:hAnsi="Times New Roman"/>
                <w:bCs/>
                <w:sz w:val="24"/>
                <w:szCs w:val="24"/>
              </w:rPr>
              <w:t>);</w:t>
            </w:r>
          </w:p>
          <w:p w14:paraId="1EE0D50E" w14:textId="77777777" w:rsidR="00816C1B" w:rsidRPr="001330BD" w:rsidRDefault="00816C1B" w:rsidP="00E923B6">
            <w:pPr>
              <w:autoSpaceDE w:val="0"/>
              <w:autoSpaceDN w:val="0"/>
              <w:adjustRightInd w:val="0"/>
              <w:spacing w:before="40" w:after="40"/>
              <w:rPr>
                <w:bCs/>
              </w:rPr>
            </w:pPr>
          </w:p>
          <w:p w14:paraId="325A46E3" w14:textId="77777777" w:rsidR="00816C1B" w:rsidRPr="001330BD" w:rsidRDefault="00816C1B" w:rsidP="00E923B6">
            <w:pPr>
              <w:pStyle w:val="ListParagraph"/>
              <w:autoSpaceDE w:val="0"/>
              <w:autoSpaceDN w:val="0"/>
              <w:adjustRightInd w:val="0"/>
              <w:spacing w:before="40" w:after="40" w:line="240" w:lineRule="auto"/>
              <w:ind w:left="0"/>
              <w:contextualSpacing w:val="0"/>
              <w:rPr>
                <w:rFonts w:ascii="Times New Roman" w:hAnsi="Times New Roman"/>
                <w:bCs/>
                <w:sz w:val="24"/>
                <w:szCs w:val="24"/>
              </w:rPr>
            </w:pPr>
            <w:r w:rsidRPr="001330BD">
              <w:rPr>
                <w:rFonts w:ascii="Times New Roman" w:hAnsi="Times New Roman"/>
                <w:bCs/>
                <w:sz w:val="24"/>
                <w:szCs w:val="24"/>
              </w:rPr>
              <w:t>2.21. pārstrādes atlikumi</w:t>
            </w:r>
            <w:r w:rsidRPr="001330BD">
              <w:rPr>
                <w:rFonts w:ascii="Times New Roman" w:hAnsi="Times New Roman"/>
                <w:sz w:val="24"/>
                <w:szCs w:val="24"/>
              </w:rPr>
              <w:t xml:space="preserve"> – </w:t>
            </w:r>
            <w:r w:rsidRPr="001330BD">
              <w:rPr>
                <w:rFonts w:ascii="Times New Roman" w:hAnsi="Times New Roman"/>
                <w:bCs/>
                <w:sz w:val="24"/>
                <w:szCs w:val="24"/>
              </w:rPr>
              <w:t>materiāls, kas nav galaprodukts, kuru ražošanas procesā tieši vēlas iegūt; tas nav ražošanas procesa pamatmērķis, un process nav apzināti modificēts, lai to ražotu;</w:t>
            </w:r>
          </w:p>
          <w:p w14:paraId="4C5E5346" w14:textId="77777777" w:rsidR="00816C1B" w:rsidRPr="001330BD" w:rsidRDefault="00816C1B" w:rsidP="00E923B6">
            <w:pPr>
              <w:autoSpaceDE w:val="0"/>
              <w:autoSpaceDN w:val="0"/>
              <w:adjustRightInd w:val="0"/>
              <w:spacing w:before="40" w:after="40"/>
              <w:rPr>
                <w:bCs/>
              </w:rPr>
            </w:pPr>
          </w:p>
          <w:p w14:paraId="59AD71FB" w14:textId="77777777" w:rsidR="00816C1B" w:rsidRPr="001330BD" w:rsidRDefault="00816C1B" w:rsidP="00E923B6">
            <w:pPr>
              <w:spacing w:before="40" w:after="40"/>
              <w:jc w:val="both"/>
            </w:pPr>
            <w:r w:rsidRPr="001330BD">
              <w:rPr>
                <w:bCs/>
              </w:rPr>
              <w:t xml:space="preserve">2.22. no atjaunojamiem energoresursiem ražota nebioloģiskas izcelsmes šķidrā vai gāzveida degviela </w:t>
            </w:r>
            <w:r w:rsidRPr="001330BD">
              <w:t xml:space="preserve">– </w:t>
            </w:r>
            <w:r w:rsidRPr="001330BD">
              <w:rPr>
                <w:bCs/>
              </w:rPr>
              <w:t>šķidrā vai gāzveida degviela, kura nav biodegviela un kuras energoietilpību rada atjaunojamie energoresursi, izņemot biomasu, un kuru var izmantot kā transporta enerģiju.”.”</w:t>
            </w:r>
          </w:p>
        </w:tc>
      </w:tr>
      <w:tr w:rsidR="00816C1B" w:rsidRPr="001330BD" w14:paraId="7ACAB68D"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tcPr>
          <w:p w14:paraId="3EA4CBFB" w14:textId="77777777" w:rsidR="00816C1B" w:rsidRPr="001330BD" w:rsidRDefault="00E923B6" w:rsidP="00E923B6">
            <w:pPr>
              <w:pStyle w:val="naisc"/>
              <w:spacing w:before="40" w:after="40"/>
              <w:rPr>
                <w:b/>
              </w:rPr>
            </w:pPr>
            <w:r w:rsidRPr="001330BD">
              <w:rPr>
                <w:b/>
              </w:rPr>
              <w:lastRenderedPageBreak/>
              <w:t>4</w:t>
            </w:r>
          </w:p>
        </w:tc>
        <w:tc>
          <w:tcPr>
            <w:tcW w:w="3041" w:type="dxa"/>
            <w:tcBorders>
              <w:top w:val="single" w:sz="6" w:space="0" w:color="000000"/>
              <w:left w:val="single" w:sz="6" w:space="0" w:color="000000"/>
              <w:bottom w:val="single" w:sz="6" w:space="0" w:color="000000"/>
              <w:right w:val="single" w:sz="6" w:space="0" w:color="000000"/>
            </w:tcBorders>
          </w:tcPr>
          <w:p w14:paraId="533239C5" w14:textId="77777777" w:rsidR="00816C1B" w:rsidRPr="001330BD" w:rsidRDefault="00816C1B" w:rsidP="00E923B6">
            <w:pPr>
              <w:shd w:val="clear" w:color="auto" w:fill="FFFFFF"/>
              <w:spacing w:before="40" w:after="40"/>
              <w:rPr>
                <w:color w:val="000000" w:themeColor="text1"/>
              </w:rPr>
            </w:pPr>
          </w:p>
        </w:tc>
        <w:tc>
          <w:tcPr>
            <w:tcW w:w="4047" w:type="dxa"/>
            <w:tcBorders>
              <w:top w:val="single" w:sz="6" w:space="0" w:color="000000"/>
              <w:left w:val="single" w:sz="6" w:space="0" w:color="000000"/>
              <w:bottom w:val="single" w:sz="6" w:space="0" w:color="000000"/>
              <w:right w:val="single" w:sz="6" w:space="0" w:color="000000"/>
            </w:tcBorders>
          </w:tcPr>
          <w:p w14:paraId="48DF0F63" w14:textId="77777777" w:rsidR="00816C1B" w:rsidRPr="001330BD" w:rsidRDefault="00816C1B" w:rsidP="00E923B6">
            <w:pPr>
              <w:widowControl w:val="0"/>
              <w:spacing w:before="40" w:after="40"/>
              <w:jc w:val="center"/>
              <w:rPr>
                <w:b/>
              </w:rPr>
            </w:pPr>
            <w:r w:rsidRPr="001330BD">
              <w:rPr>
                <w:b/>
              </w:rPr>
              <w:t>Zemkopības ministrija</w:t>
            </w:r>
          </w:p>
          <w:p w14:paraId="305E141F" w14:textId="77777777" w:rsidR="00816C1B" w:rsidRPr="001330BD" w:rsidRDefault="00816C1B" w:rsidP="00E923B6">
            <w:pPr>
              <w:widowControl w:val="0"/>
              <w:spacing w:before="40" w:after="40"/>
              <w:jc w:val="center"/>
              <w:rPr>
                <w:b/>
              </w:rPr>
            </w:pPr>
            <w:r w:rsidRPr="001330BD">
              <w:rPr>
                <w:b/>
              </w:rPr>
              <w:t>(2018.gada 23.oktobra atzinums)</w:t>
            </w:r>
          </w:p>
          <w:p w14:paraId="2436A3DC" w14:textId="77777777" w:rsidR="00816C1B" w:rsidRPr="001330BD" w:rsidRDefault="00816C1B" w:rsidP="00E923B6">
            <w:pPr>
              <w:shd w:val="clear" w:color="auto" w:fill="FFFFFF"/>
              <w:spacing w:before="40" w:after="40"/>
            </w:pPr>
            <w:r w:rsidRPr="001330BD">
              <w:t xml:space="preserve">Tā kā pēc noteikumu projekta normu stāšanās spēkā Lauku atbalsta dienestam ir paredzēts būtisks veicamo funkciju palielinājums, lūdzam Ekonomikas ministriju noorganizēt Zemkopības ministrijas, Lauku atbalsta dienesta un Ekonomikas ministrijas ekspertu tikšanos, lai izskaidrotu jauno </w:t>
            </w:r>
            <w:r w:rsidRPr="001330BD">
              <w:lastRenderedPageBreak/>
              <w:t>Lauku atbalsta dienesta funkciju būtību un to īstenošanas iespējas.</w:t>
            </w:r>
          </w:p>
        </w:tc>
        <w:tc>
          <w:tcPr>
            <w:tcW w:w="2899" w:type="dxa"/>
            <w:tcBorders>
              <w:top w:val="single" w:sz="6" w:space="0" w:color="000000"/>
              <w:left w:val="single" w:sz="6" w:space="0" w:color="000000"/>
              <w:bottom w:val="single" w:sz="6" w:space="0" w:color="000000"/>
              <w:right w:val="single" w:sz="6" w:space="0" w:color="000000"/>
            </w:tcBorders>
          </w:tcPr>
          <w:p w14:paraId="5F38E40B" w14:textId="77777777" w:rsidR="00816C1B" w:rsidRPr="001330BD" w:rsidRDefault="00816C1B" w:rsidP="00E923B6">
            <w:pPr>
              <w:spacing w:before="40" w:after="40"/>
              <w:jc w:val="center"/>
              <w:rPr>
                <w:b/>
                <w:iCs/>
              </w:rPr>
            </w:pPr>
            <w:r w:rsidRPr="001330BD">
              <w:rPr>
                <w:b/>
                <w:iCs/>
              </w:rPr>
              <w:lastRenderedPageBreak/>
              <w:t>Ņemts vērā</w:t>
            </w:r>
          </w:p>
        </w:tc>
        <w:tc>
          <w:tcPr>
            <w:tcW w:w="4368" w:type="dxa"/>
            <w:tcBorders>
              <w:top w:val="single" w:sz="4" w:space="0" w:color="auto"/>
              <w:left w:val="single" w:sz="4" w:space="0" w:color="auto"/>
              <w:bottom w:val="single" w:sz="4" w:space="0" w:color="auto"/>
            </w:tcBorders>
          </w:tcPr>
          <w:p w14:paraId="249171E2" w14:textId="77777777" w:rsidR="00816C1B" w:rsidRPr="001330BD" w:rsidRDefault="00816C1B" w:rsidP="00E923B6">
            <w:pPr>
              <w:shd w:val="clear" w:color="auto" w:fill="FFFFFF"/>
              <w:spacing w:before="40" w:after="40"/>
              <w:jc w:val="both"/>
            </w:pPr>
            <w:r w:rsidRPr="001330BD">
              <w:t>Sanāksme notika 2018.gada 14.novembrī.</w:t>
            </w:r>
          </w:p>
        </w:tc>
      </w:tr>
      <w:tr w:rsidR="00816C1B" w:rsidRPr="001330BD" w14:paraId="3634B938" w14:textId="77777777" w:rsidTr="00D57698">
        <w:trPr>
          <w:jc w:val="center"/>
        </w:trPr>
        <w:tc>
          <w:tcPr>
            <w:tcW w:w="637" w:type="dxa"/>
            <w:tcBorders>
              <w:top w:val="single" w:sz="6" w:space="0" w:color="000000"/>
              <w:left w:val="single" w:sz="6" w:space="0" w:color="000000"/>
              <w:bottom w:val="single" w:sz="6" w:space="0" w:color="000000"/>
              <w:right w:val="single" w:sz="6" w:space="0" w:color="000000"/>
            </w:tcBorders>
          </w:tcPr>
          <w:p w14:paraId="4DCA3C0D" w14:textId="77777777" w:rsidR="00816C1B" w:rsidRPr="001330BD" w:rsidRDefault="00E923B6" w:rsidP="00E923B6">
            <w:pPr>
              <w:pStyle w:val="naisc"/>
              <w:spacing w:before="40" w:after="40"/>
              <w:rPr>
                <w:b/>
              </w:rPr>
            </w:pPr>
            <w:r w:rsidRPr="001330BD">
              <w:rPr>
                <w:b/>
              </w:rPr>
              <w:t>5</w:t>
            </w:r>
          </w:p>
        </w:tc>
        <w:tc>
          <w:tcPr>
            <w:tcW w:w="3041" w:type="dxa"/>
            <w:tcBorders>
              <w:top w:val="single" w:sz="6" w:space="0" w:color="000000"/>
              <w:left w:val="single" w:sz="6" w:space="0" w:color="000000"/>
              <w:bottom w:val="single" w:sz="6" w:space="0" w:color="000000"/>
              <w:right w:val="single" w:sz="6" w:space="0" w:color="000000"/>
            </w:tcBorders>
          </w:tcPr>
          <w:p w14:paraId="626EB03D" w14:textId="77777777" w:rsidR="00816C1B" w:rsidRPr="001330BD" w:rsidRDefault="00816C1B" w:rsidP="00E923B6">
            <w:pPr>
              <w:shd w:val="clear" w:color="auto" w:fill="FFFFFF"/>
              <w:spacing w:before="40" w:after="40"/>
            </w:pPr>
            <w:r w:rsidRPr="001330BD">
              <w:t>Noteikumu projekta 4.punktā izteiktais Noteikumu Nr.545 2.3.apakšpunkts:</w:t>
            </w:r>
          </w:p>
          <w:p w14:paraId="4B6BF51E" w14:textId="77777777" w:rsidR="00816C1B" w:rsidRPr="001330BD" w:rsidRDefault="00816C1B" w:rsidP="00E923B6">
            <w:pPr>
              <w:spacing w:before="40" w:after="40"/>
              <w:rPr>
                <w:color w:val="000000" w:themeColor="text1"/>
              </w:rPr>
            </w:pPr>
            <w:r w:rsidRPr="001330BD">
              <w:rPr>
                <w:iCs/>
              </w:rPr>
              <w:t>“2.3. biomasa – lauksaimniecības, mežsaimniecības un saistīto nozaru (tai skaitā zivsaimniecības un akvakultūras), produktu, bioloģijas izcelsmes atkritumu un atlieku bioloģiski noārdāmas frakcijas (tai skaitā augu un dzīvnieku izcelsmes vielas), kā arī rūpniecības un sadzīves atkritumu bioloģiski noārdāmas frakcijas;”;”</w:t>
            </w:r>
          </w:p>
        </w:tc>
        <w:tc>
          <w:tcPr>
            <w:tcW w:w="4047" w:type="dxa"/>
            <w:tcBorders>
              <w:top w:val="single" w:sz="6" w:space="0" w:color="000000"/>
              <w:left w:val="single" w:sz="6" w:space="0" w:color="000000"/>
              <w:bottom w:val="single" w:sz="6" w:space="0" w:color="000000"/>
              <w:right w:val="single" w:sz="6" w:space="0" w:color="000000"/>
            </w:tcBorders>
          </w:tcPr>
          <w:p w14:paraId="07A75B64" w14:textId="77777777" w:rsidR="00816C1B" w:rsidRPr="001330BD" w:rsidRDefault="00816C1B" w:rsidP="00E923B6">
            <w:pPr>
              <w:widowControl w:val="0"/>
              <w:spacing w:before="40" w:after="40"/>
              <w:jc w:val="center"/>
              <w:rPr>
                <w:b/>
              </w:rPr>
            </w:pPr>
            <w:r w:rsidRPr="001330BD">
              <w:rPr>
                <w:b/>
              </w:rPr>
              <w:t>Vides aizsardzības un reģionālās attīstības ministrija</w:t>
            </w:r>
          </w:p>
          <w:p w14:paraId="3A69B67D" w14:textId="77777777" w:rsidR="00816C1B" w:rsidRPr="001330BD" w:rsidRDefault="00816C1B" w:rsidP="00E923B6">
            <w:pPr>
              <w:widowControl w:val="0"/>
              <w:spacing w:before="40" w:after="40"/>
              <w:jc w:val="center"/>
              <w:rPr>
                <w:b/>
              </w:rPr>
            </w:pPr>
            <w:r w:rsidRPr="001330BD">
              <w:rPr>
                <w:b/>
              </w:rPr>
              <w:t>(2018.gada 19.oktobra atzinums)</w:t>
            </w:r>
          </w:p>
          <w:p w14:paraId="048AA4DE" w14:textId="77777777" w:rsidR="00816C1B" w:rsidRPr="001330BD" w:rsidRDefault="00816C1B" w:rsidP="00E923B6">
            <w:pPr>
              <w:widowControl w:val="0"/>
              <w:spacing w:before="40" w:after="40"/>
              <w:jc w:val="both"/>
            </w:pPr>
            <w:r w:rsidRPr="001330BD">
              <w:rPr>
                <w:iCs/>
              </w:rPr>
              <w:t>2. Aizstāt frāzi „bioloģijas izcelsmes” ar „bioloģiskas izcelsmes”;</w:t>
            </w:r>
          </w:p>
          <w:p w14:paraId="55E388C0" w14:textId="77777777" w:rsidR="00816C1B" w:rsidRPr="001330BD" w:rsidRDefault="00816C1B" w:rsidP="00E923B6">
            <w:pPr>
              <w:widowControl w:val="0"/>
              <w:spacing w:before="40" w:after="40"/>
              <w:rPr>
                <w:b/>
              </w:rPr>
            </w:pPr>
          </w:p>
        </w:tc>
        <w:tc>
          <w:tcPr>
            <w:tcW w:w="2899" w:type="dxa"/>
            <w:tcBorders>
              <w:top w:val="single" w:sz="6" w:space="0" w:color="000000"/>
              <w:left w:val="single" w:sz="6" w:space="0" w:color="000000"/>
              <w:bottom w:val="single" w:sz="6" w:space="0" w:color="000000"/>
              <w:right w:val="single" w:sz="6" w:space="0" w:color="000000"/>
            </w:tcBorders>
          </w:tcPr>
          <w:p w14:paraId="15021F1F" w14:textId="77777777" w:rsidR="00816C1B" w:rsidRPr="001330BD" w:rsidRDefault="00816C1B" w:rsidP="00E923B6">
            <w:pPr>
              <w:spacing w:before="40" w:after="40"/>
              <w:jc w:val="center"/>
              <w:rPr>
                <w:b/>
                <w:iCs/>
              </w:rPr>
            </w:pPr>
            <w:r w:rsidRPr="001330BD">
              <w:rPr>
                <w:b/>
                <w:iCs/>
              </w:rPr>
              <w:t>Ņemts vērā</w:t>
            </w:r>
          </w:p>
        </w:tc>
        <w:tc>
          <w:tcPr>
            <w:tcW w:w="4368" w:type="dxa"/>
            <w:tcBorders>
              <w:top w:val="single" w:sz="4" w:space="0" w:color="auto"/>
              <w:left w:val="single" w:sz="4" w:space="0" w:color="auto"/>
              <w:bottom w:val="single" w:sz="4" w:space="0" w:color="auto"/>
            </w:tcBorders>
          </w:tcPr>
          <w:p w14:paraId="0D7094EC" w14:textId="18785071" w:rsidR="00816C1B" w:rsidRPr="001330BD" w:rsidRDefault="00816C1B" w:rsidP="00E923B6">
            <w:pPr>
              <w:shd w:val="clear" w:color="auto" w:fill="FFFFFF"/>
              <w:spacing w:before="40" w:after="40"/>
            </w:pPr>
            <w:r w:rsidRPr="001330BD">
              <w:t xml:space="preserve">Noteikumu projekta </w:t>
            </w:r>
            <w:r w:rsidR="00501E15" w:rsidRPr="001330BD">
              <w:t>3</w:t>
            </w:r>
            <w:r w:rsidRPr="001330BD">
              <w:t>.punktā izteiktais Noteikumu Nr.545 2.3.apakšpunkts:</w:t>
            </w:r>
          </w:p>
          <w:p w14:paraId="330DDF1A" w14:textId="77777777" w:rsidR="00816C1B" w:rsidRPr="001330BD" w:rsidRDefault="00816C1B" w:rsidP="00E923B6">
            <w:pPr>
              <w:shd w:val="clear" w:color="auto" w:fill="FFFFFF"/>
              <w:spacing w:before="40" w:after="40"/>
              <w:jc w:val="both"/>
            </w:pPr>
            <w:r w:rsidRPr="001330BD">
              <w:t xml:space="preserve">“2.3. biomasa – lauksaimniecības, mežsaimniecības un saistīto nozaru (tai skaitā zivsaimniecības un akvakultūras), produktu, </w:t>
            </w:r>
            <w:proofErr w:type="spellStart"/>
            <w:r w:rsidRPr="001330BD">
              <w:t>bioloģiskasjas</w:t>
            </w:r>
            <w:proofErr w:type="spellEnd"/>
            <w:r w:rsidRPr="001330BD">
              <w:t xml:space="preserve"> izcelsmes atkritumu un atlieku bioloģiski noārdāmas frakcijas (tai skaitā augu un dzīvnieku izcelsmes vielas), kā arī rūpniecības un sadzīves atkritumu bioloģiski noārdāmas frakcijas;”;”</w:t>
            </w:r>
          </w:p>
        </w:tc>
      </w:tr>
      <w:tr w:rsidR="00816C1B" w:rsidRPr="001330BD" w14:paraId="2FCAF3C7" w14:textId="77777777" w:rsidTr="00D57698">
        <w:trPr>
          <w:jc w:val="center"/>
        </w:trPr>
        <w:tc>
          <w:tcPr>
            <w:tcW w:w="637" w:type="dxa"/>
            <w:tcBorders>
              <w:top w:val="single" w:sz="6" w:space="0" w:color="000000"/>
              <w:left w:val="single" w:sz="6" w:space="0" w:color="000000"/>
              <w:bottom w:val="single" w:sz="6" w:space="0" w:color="000000"/>
              <w:right w:val="single" w:sz="6" w:space="0" w:color="000000"/>
            </w:tcBorders>
          </w:tcPr>
          <w:p w14:paraId="1FB26BD8" w14:textId="77777777" w:rsidR="00816C1B" w:rsidRPr="001330BD" w:rsidRDefault="00E923B6" w:rsidP="00E923B6">
            <w:pPr>
              <w:pStyle w:val="naisc"/>
              <w:spacing w:before="40" w:after="40"/>
              <w:rPr>
                <w:b/>
              </w:rPr>
            </w:pPr>
            <w:r w:rsidRPr="001330BD">
              <w:rPr>
                <w:b/>
              </w:rPr>
              <w:t>6</w:t>
            </w:r>
          </w:p>
        </w:tc>
        <w:tc>
          <w:tcPr>
            <w:tcW w:w="3041" w:type="dxa"/>
            <w:tcBorders>
              <w:top w:val="single" w:sz="6" w:space="0" w:color="000000"/>
              <w:left w:val="single" w:sz="6" w:space="0" w:color="000000"/>
              <w:bottom w:val="single" w:sz="6" w:space="0" w:color="000000"/>
              <w:right w:val="single" w:sz="6" w:space="0" w:color="000000"/>
            </w:tcBorders>
          </w:tcPr>
          <w:p w14:paraId="1ADFF06C" w14:textId="77777777" w:rsidR="00816C1B" w:rsidRPr="001330BD" w:rsidRDefault="00816C1B" w:rsidP="00E923B6">
            <w:pPr>
              <w:shd w:val="clear" w:color="auto" w:fill="FFFFFF"/>
              <w:spacing w:before="40" w:after="40"/>
            </w:pPr>
            <w:r w:rsidRPr="001330BD">
              <w:t>Noteikumu projekta 4.punktā izteiktais Noteikumu Nr.545 2.20.apakšpunkts:</w:t>
            </w:r>
          </w:p>
          <w:p w14:paraId="1C17267E" w14:textId="77777777" w:rsidR="00816C1B" w:rsidRPr="001330BD" w:rsidRDefault="00816C1B" w:rsidP="00E923B6">
            <w:pPr>
              <w:pStyle w:val="ListParagraph"/>
              <w:autoSpaceDE w:val="0"/>
              <w:autoSpaceDN w:val="0"/>
              <w:adjustRightInd w:val="0"/>
              <w:spacing w:before="40" w:after="40" w:line="240" w:lineRule="auto"/>
              <w:ind w:left="0"/>
              <w:contextualSpacing w:val="0"/>
              <w:rPr>
                <w:rFonts w:ascii="Times New Roman" w:hAnsi="Times New Roman"/>
                <w:bCs/>
                <w:sz w:val="24"/>
                <w:szCs w:val="24"/>
              </w:rPr>
            </w:pPr>
            <w:r w:rsidRPr="001330BD">
              <w:rPr>
                <w:rFonts w:ascii="Times New Roman" w:hAnsi="Times New Roman"/>
                <w:color w:val="000000" w:themeColor="text1"/>
                <w:sz w:val="24"/>
                <w:szCs w:val="24"/>
              </w:rPr>
              <w:t>“</w:t>
            </w:r>
            <w:r w:rsidRPr="001330BD">
              <w:rPr>
                <w:rFonts w:ascii="Times New Roman" w:hAnsi="Times New Roman"/>
                <w:bCs/>
                <w:sz w:val="24"/>
                <w:szCs w:val="24"/>
              </w:rPr>
              <w:t xml:space="preserve">2.20. cieti saturoši kultūraugi </w:t>
            </w:r>
            <w:r w:rsidRPr="001330BD">
              <w:rPr>
                <w:rFonts w:ascii="Times New Roman" w:hAnsi="Times New Roman"/>
                <w:sz w:val="24"/>
                <w:szCs w:val="24"/>
              </w:rPr>
              <w:t xml:space="preserve">– </w:t>
            </w:r>
            <w:r w:rsidRPr="001330BD">
              <w:rPr>
                <w:rFonts w:ascii="Times New Roman" w:hAnsi="Times New Roman"/>
                <w:bCs/>
                <w:sz w:val="24"/>
                <w:szCs w:val="24"/>
              </w:rPr>
              <w:t xml:space="preserve">kultūraugi, galvenokārt labība (neatkarīgi no tā, vai tiek izmantoti tikai graudi vai viss augs, kā tas ir, piemēram, zaļbarības kukurūzas gadījumā), bumbuļi un sakņaugi </w:t>
            </w:r>
            <w:r w:rsidRPr="001330BD">
              <w:rPr>
                <w:rFonts w:ascii="Times New Roman" w:hAnsi="Times New Roman"/>
                <w:bCs/>
                <w:sz w:val="24"/>
                <w:szCs w:val="24"/>
              </w:rPr>
              <w:lastRenderedPageBreak/>
              <w:t xml:space="preserve">(piemēram, kartupeļi, topinambūri, batātes, </w:t>
            </w:r>
            <w:proofErr w:type="spellStart"/>
            <w:r w:rsidRPr="001330BD">
              <w:rPr>
                <w:rFonts w:ascii="Times New Roman" w:hAnsi="Times New Roman"/>
                <w:bCs/>
                <w:sz w:val="24"/>
                <w:szCs w:val="24"/>
              </w:rPr>
              <w:t>manioka</w:t>
            </w:r>
            <w:proofErr w:type="spellEnd"/>
            <w:r w:rsidRPr="001330BD">
              <w:rPr>
                <w:rFonts w:ascii="Times New Roman" w:hAnsi="Times New Roman"/>
                <w:bCs/>
                <w:sz w:val="24"/>
                <w:szCs w:val="24"/>
              </w:rPr>
              <w:t xml:space="preserve"> un </w:t>
            </w:r>
            <w:proofErr w:type="spellStart"/>
            <w:r w:rsidRPr="001330BD">
              <w:rPr>
                <w:rFonts w:ascii="Times New Roman" w:hAnsi="Times New Roman"/>
                <w:bCs/>
                <w:sz w:val="24"/>
                <w:szCs w:val="24"/>
              </w:rPr>
              <w:t>jamss</w:t>
            </w:r>
            <w:proofErr w:type="spellEnd"/>
            <w:r w:rsidRPr="001330BD">
              <w:rPr>
                <w:rFonts w:ascii="Times New Roman" w:hAnsi="Times New Roman"/>
                <w:bCs/>
                <w:sz w:val="24"/>
                <w:szCs w:val="24"/>
              </w:rPr>
              <w:t xml:space="preserve">), un </w:t>
            </w:r>
            <w:proofErr w:type="spellStart"/>
            <w:r w:rsidRPr="001330BD">
              <w:rPr>
                <w:rFonts w:ascii="Times New Roman" w:hAnsi="Times New Roman"/>
                <w:bCs/>
                <w:sz w:val="24"/>
                <w:szCs w:val="24"/>
              </w:rPr>
              <w:t>bumbuļsīpoli</w:t>
            </w:r>
            <w:proofErr w:type="spellEnd"/>
            <w:r w:rsidRPr="001330BD">
              <w:rPr>
                <w:rFonts w:ascii="Times New Roman" w:hAnsi="Times New Roman"/>
                <w:bCs/>
                <w:sz w:val="24"/>
                <w:szCs w:val="24"/>
              </w:rPr>
              <w:t xml:space="preserve"> (piemēram, </w:t>
            </w:r>
            <w:proofErr w:type="spellStart"/>
            <w:r w:rsidRPr="001330BD">
              <w:rPr>
                <w:rFonts w:ascii="Times New Roman" w:hAnsi="Times New Roman"/>
                <w:bCs/>
                <w:sz w:val="24"/>
                <w:szCs w:val="24"/>
              </w:rPr>
              <w:t>taro</w:t>
            </w:r>
            <w:proofErr w:type="spellEnd"/>
            <w:r w:rsidRPr="001330BD">
              <w:rPr>
                <w:rFonts w:ascii="Times New Roman" w:hAnsi="Times New Roman"/>
                <w:bCs/>
                <w:sz w:val="24"/>
                <w:szCs w:val="24"/>
              </w:rPr>
              <w:t xml:space="preserve"> un </w:t>
            </w:r>
            <w:proofErr w:type="spellStart"/>
            <w:r w:rsidRPr="001330BD">
              <w:rPr>
                <w:rFonts w:ascii="Times New Roman" w:hAnsi="Times New Roman"/>
                <w:bCs/>
                <w:sz w:val="24"/>
                <w:szCs w:val="24"/>
              </w:rPr>
              <w:t>cocoyam</w:t>
            </w:r>
            <w:proofErr w:type="spellEnd"/>
            <w:r w:rsidRPr="001330BD">
              <w:rPr>
                <w:rFonts w:ascii="Times New Roman" w:hAnsi="Times New Roman"/>
                <w:bCs/>
                <w:sz w:val="24"/>
                <w:szCs w:val="24"/>
              </w:rPr>
              <w:t>);”</w:t>
            </w:r>
          </w:p>
        </w:tc>
        <w:tc>
          <w:tcPr>
            <w:tcW w:w="4047" w:type="dxa"/>
            <w:tcBorders>
              <w:top w:val="single" w:sz="6" w:space="0" w:color="000000"/>
              <w:left w:val="single" w:sz="6" w:space="0" w:color="000000"/>
              <w:bottom w:val="single" w:sz="6" w:space="0" w:color="000000"/>
              <w:right w:val="single" w:sz="6" w:space="0" w:color="000000"/>
            </w:tcBorders>
          </w:tcPr>
          <w:p w14:paraId="3F2C7FA6" w14:textId="77777777" w:rsidR="00816C1B" w:rsidRPr="001330BD" w:rsidRDefault="00816C1B" w:rsidP="00E923B6">
            <w:pPr>
              <w:widowControl w:val="0"/>
              <w:spacing w:before="40" w:after="40"/>
              <w:jc w:val="center"/>
              <w:rPr>
                <w:b/>
              </w:rPr>
            </w:pPr>
            <w:r w:rsidRPr="001330BD">
              <w:rPr>
                <w:b/>
              </w:rPr>
              <w:lastRenderedPageBreak/>
              <w:t>Vides aizsardzības un reģionālās attīstības ministrija</w:t>
            </w:r>
          </w:p>
          <w:p w14:paraId="2929CEE9" w14:textId="77777777" w:rsidR="00816C1B" w:rsidRPr="001330BD" w:rsidRDefault="00816C1B" w:rsidP="00E923B6">
            <w:pPr>
              <w:widowControl w:val="0"/>
              <w:spacing w:before="40" w:after="40"/>
              <w:jc w:val="center"/>
              <w:rPr>
                <w:b/>
              </w:rPr>
            </w:pPr>
            <w:r w:rsidRPr="001330BD">
              <w:rPr>
                <w:b/>
              </w:rPr>
              <w:t>(2018.gada 19.oktobra atzinums)</w:t>
            </w:r>
          </w:p>
          <w:p w14:paraId="43F37EAF" w14:textId="77777777" w:rsidR="00816C1B" w:rsidRPr="001330BD" w:rsidRDefault="00816C1B" w:rsidP="00E923B6">
            <w:pPr>
              <w:widowControl w:val="0"/>
              <w:spacing w:before="40" w:after="40"/>
              <w:jc w:val="both"/>
              <w:rPr>
                <w:b/>
              </w:rPr>
            </w:pPr>
            <w:r w:rsidRPr="001330BD">
              <w:t xml:space="preserve">1. Izvērtēt iespēju latviskot </w:t>
            </w:r>
            <w:proofErr w:type="spellStart"/>
            <w:r w:rsidRPr="001330BD">
              <w:t>bumbuļsīpolu</w:t>
            </w:r>
            <w:proofErr w:type="spellEnd"/>
            <w:r w:rsidRPr="001330BD">
              <w:t xml:space="preserve"> veida „</w:t>
            </w:r>
            <w:proofErr w:type="spellStart"/>
            <w:r w:rsidRPr="001330BD">
              <w:rPr>
                <w:bCs/>
              </w:rPr>
              <w:t>cocoyam</w:t>
            </w:r>
            <w:proofErr w:type="spellEnd"/>
            <w:r w:rsidRPr="001330BD">
              <w:rPr>
                <w:bCs/>
              </w:rPr>
              <w:t>” nosaukumu;</w:t>
            </w:r>
          </w:p>
        </w:tc>
        <w:tc>
          <w:tcPr>
            <w:tcW w:w="2899" w:type="dxa"/>
            <w:tcBorders>
              <w:top w:val="single" w:sz="6" w:space="0" w:color="000000"/>
              <w:left w:val="single" w:sz="6" w:space="0" w:color="000000"/>
              <w:bottom w:val="single" w:sz="6" w:space="0" w:color="000000"/>
              <w:right w:val="single" w:sz="6" w:space="0" w:color="000000"/>
            </w:tcBorders>
          </w:tcPr>
          <w:p w14:paraId="6F4FE8B2" w14:textId="77777777" w:rsidR="00816C1B" w:rsidRPr="001330BD" w:rsidRDefault="00816C1B" w:rsidP="00E923B6">
            <w:pPr>
              <w:spacing w:before="40" w:after="40"/>
              <w:jc w:val="center"/>
              <w:rPr>
                <w:b/>
                <w:iCs/>
              </w:rPr>
            </w:pPr>
            <w:r w:rsidRPr="001330BD">
              <w:rPr>
                <w:b/>
                <w:iCs/>
              </w:rPr>
              <w:t>Ņemts vērā</w:t>
            </w:r>
          </w:p>
        </w:tc>
        <w:tc>
          <w:tcPr>
            <w:tcW w:w="4368" w:type="dxa"/>
            <w:tcBorders>
              <w:top w:val="single" w:sz="4" w:space="0" w:color="auto"/>
              <w:left w:val="single" w:sz="4" w:space="0" w:color="auto"/>
              <w:bottom w:val="single" w:sz="4" w:space="0" w:color="auto"/>
            </w:tcBorders>
          </w:tcPr>
          <w:p w14:paraId="679EEECC" w14:textId="7A4145F8" w:rsidR="00816C1B" w:rsidRPr="001330BD" w:rsidRDefault="00816C1B" w:rsidP="00E923B6">
            <w:pPr>
              <w:shd w:val="clear" w:color="auto" w:fill="FFFFFF"/>
              <w:spacing w:before="40" w:after="40"/>
            </w:pPr>
            <w:r w:rsidRPr="001330BD">
              <w:t xml:space="preserve">Noteikumu projekta </w:t>
            </w:r>
            <w:r w:rsidR="00501E15" w:rsidRPr="001330BD">
              <w:t>3</w:t>
            </w:r>
            <w:r w:rsidRPr="001330BD">
              <w:t>.punktā izteiktais Noteikumu Nr.545 2.20.apakšpunkts:</w:t>
            </w:r>
          </w:p>
          <w:p w14:paraId="573BE4F2" w14:textId="77777777" w:rsidR="00816C1B" w:rsidRPr="001330BD" w:rsidRDefault="00816C1B" w:rsidP="00E923B6">
            <w:pPr>
              <w:shd w:val="clear" w:color="auto" w:fill="FFFFFF"/>
              <w:spacing w:before="40" w:after="40"/>
              <w:jc w:val="both"/>
            </w:pPr>
            <w:r w:rsidRPr="001330BD">
              <w:t xml:space="preserve">“2.20. cieti saturoši kultūraugi – kultūraugi, galvenokārt labība (neatkarīgi no tā, vai tiek izmantoti tikai graudi vai viss augs, kā tas ir, piemēram, zaļbarības kukurūzas gadījumā), bumbuļi un sakņaugi (piemēram, kartupeļi, topinambūri, batātes, </w:t>
            </w:r>
            <w:proofErr w:type="spellStart"/>
            <w:r w:rsidRPr="001330BD">
              <w:t>manioka</w:t>
            </w:r>
            <w:proofErr w:type="spellEnd"/>
            <w:r w:rsidRPr="001330BD">
              <w:t xml:space="preserve"> un </w:t>
            </w:r>
            <w:proofErr w:type="spellStart"/>
            <w:r w:rsidRPr="001330BD">
              <w:t>jamss</w:t>
            </w:r>
            <w:proofErr w:type="spellEnd"/>
            <w:r w:rsidRPr="001330BD">
              <w:t xml:space="preserve">), un </w:t>
            </w:r>
            <w:proofErr w:type="spellStart"/>
            <w:r w:rsidRPr="001330BD">
              <w:t>bumbuļsīpoli</w:t>
            </w:r>
            <w:proofErr w:type="spellEnd"/>
            <w:r w:rsidRPr="001330BD">
              <w:t xml:space="preserve"> (piemēram, </w:t>
            </w:r>
            <w:proofErr w:type="spellStart"/>
            <w:r w:rsidRPr="001330BD">
              <w:t>taro</w:t>
            </w:r>
            <w:proofErr w:type="spellEnd"/>
            <w:r w:rsidRPr="001330BD">
              <w:t xml:space="preserve"> un </w:t>
            </w:r>
            <w:proofErr w:type="spellStart"/>
            <w:r w:rsidRPr="001330BD">
              <w:t>kolokāzija</w:t>
            </w:r>
            <w:proofErr w:type="spellEnd"/>
            <w:r w:rsidRPr="001330BD">
              <w:t>);”</w:t>
            </w:r>
          </w:p>
        </w:tc>
      </w:tr>
      <w:tr w:rsidR="00816C1B" w:rsidRPr="001330BD" w14:paraId="5859C7E3"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tcPr>
          <w:p w14:paraId="17F6E74C" w14:textId="77777777" w:rsidR="00816C1B" w:rsidRPr="001330BD" w:rsidRDefault="00E923B6" w:rsidP="00E923B6">
            <w:pPr>
              <w:pStyle w:val="naisc"/>
              <w:spacing w:before="40" w:after="40"/>
              <w:rPr>
                <w:b/>
              </w:rPr>
            </w:pPr>
            <w:r w:rsidRPr="001330BD">
              <w:rPr>
                <w:b/>
              </w:rPr>
              <w:t>7</w:t>
            </w:r>
          </w:p>
        </w:tc>
        <w:tc>
          <w:tcPr>
            <w:tcW w:w="3041" w:type="dxa"/>
            <w:tcBorders>
              <w:top w:val="single" w:sz="6" w:space="0" w:color="000000"/>
              <w:left w:val="single" w:sz="6" w:space="0" w:color="000000"/>
              <w:bottom w:val="single" w:sz="6" w:space="0" w:color="000000"/>
              <w:right w:val="single" w:sz="6" w:space="0" w:color="000000"/>
            </w:tcBorders>
          </w:tcPr>
          <w:p w14:paraId="76140574" w14:textId="77777777" w:rsidR="00816C1B" w:rsidRPr="001330BD" w:rsidRDefault="00816C1B" w:rsidP="00E923B6">
            <w:pPr>
              <w:shd w:val="clear" w:color="auto" w:fill="FFFFFF"/>
              <w:spacing w:before="40" w:after="40"/>
            </w:pPr>
            <w:r w:rsidRPr="001330BD">
              <w:t>Noteikumu projekta 4.punktā izteiktais Noteikumu Nr.545 2.15.apakšpunkts:</w:t>
            </w:r>
          </w:p>
          <w:p w14:paraId="792231D7" w14:textId="77777777" w:rsidR="00816C1B" w:rsidRPr="001330BD" w:rsidRDefault="00816C1B" w:rsidP="00E923B6">
            <w:pPr>
              <w:spacing w:before="40" w:after="40"/>
            </w:pPr>
            <w:r w:rsidRPr="001330BD">
              <w:t xml:space="preserve">“2.15. lauksaimniecības, akvakultūras, zivsaimniecības un mežsaimniecības atlikumi – atlikumi, ko tiešā veidā rada lauksaimniecības, akvakultūras, zivsaimniecības un mežsaimniecības nozarēs, neietverot atlikumus, kas </w:t>
            </w:r>
            <w:proofErr w:type="spellStart"/>
            <w:r w:rsidRPr="001330BD">
              <w:t>radušiess</w:t>
            </w:r>
            <w:proofErr w:type="spellEnd"/>
            <w:r w:rsidRPr="001330BD">
              <w:t xml:space="preserve"> saistītajās nozarēs vai pārstrādē;”</w:t>
            </w:r>
          </w:p>
        </w:tc>
        <w:tc>
          <w:tcPr>
            <w:tcW w:w="4047" w:type="dxa"/>
            <w:tcBorders>
              <w:top w:val="single" w:sz="6" w:space="0" w:color="000000"/>
              <w:left w:val="single" w:sz="6" w:space="0" w:color="000000"/>
              <w:bottom w:val="single" w:sz="6" w:space="0" w:color="000000"/>
              <w:right w:val="single" w:sz="6" w:space="0" w:color="000000"/>
            </w:tcBorders>
          </w:tcPr>
          <w:p w14:paraId="2FDF0B4E" w14:textId="77777777" w:rsidR="00816C1B" w:rsidRPr="001330BD" w:rsidRDefault="00816C1B" w:rsidP="00E923B6">
            <w:pPr>
              <w:widowControl w:val="0"/>
              <w:spacing w:before="40" w:after="40"/>
              <w:jc w:val="center"/>
              <w:rPr>
                <w:b/>
              </w:rPr>
            </w:pPr>
            <w:r w:rsidRPr="001330BD">
              <w:rPr>
                <w:b/>
              </w:rPr>
              <w:t>Vides aizsardzības un reģionālās attīstības ministrija</w:t>
            </w:r>
          </w:p>
          <w:p w14:paraId="1AC16F1A" w14:textId="77777777" w:rsidR="00816C1B" w:rsidRPr="001330BD" w:rsidRDefault="00816C1B" w:rsidP="00E923B6">
            <w:pPr>
              <w:widowControl w:val="0"/>
              <w:spacing w:before="40" w:after="40"/>
              <w:jc w:val="center"/>
              <w:rPr>
                <w:b/>
              </w:rPr>
            </w:pPr>
            <w:r w:rsidRPr="001330BD">
              <w:rPr>
                <w:b/>
              </w:rPr>
              <w:t>(2018.gada 19.oktobra atzinums)</w:t>
            </w:r>
          </w:p>
          <w:p w14:paraId="09D00207" w14:textId="77777777" w:rsidR="00816C1B" w:rsidRPr="001330BD" w:rsidRDefault="00816C1B" w:rsidP="00E923B6">
            <w:pPr>
              <w:widowControl w:val="0"/>
              <w:spacing w:before="40" w:after="40"/>
              <w:jc w:val="both"/>
            </w:pPr>
            <w:r w:rsidRPr="001330BD">
              <w:t>3. Novērst pārrakstīšanās kļūdu 2.15.punkta redakcijā (vārdā „radušies”);</w:t>
            </w:r>
          </w:p>
          <w:p w14:paraId="0BEA8842" w14:textId="77777777" w:rsidR="00816C1B" w:rsidRPr="001330BD" w:rsidRDefault="00816C1B" w:rsidP="00E923B6">
            <w:pPr>
              <w:widowControl w:val="0"/>
              <w:spacing w:before="40" w:after="40"/>
              <w:rPr>
                <w:b/>
              </w:rPr>
            </w:pPr>
          </w:p>
        </w:tc>
        <w:tc>
          <w:tcPr>
            <w:tcW w:w="2899" w:type="dxa"/>
            <w:tcBorders>
              <w:top w:val="single" w:sz="6" w:space="0" w:color="000000"/>
              <w:left w:val="single" w:sz="6" w:space="0" w:color="000000"/>
              <w:bottom w:val="single" w:sz="6" w:space="0" w:color="000000"/>
              <w:right w:val="single" w:sz="6" w:space="0" w:color="000000"/>
            </w:tcBorders>
          </w:tcPr>
          <w:p w14:paraId="3F7A0AEB" w14:textId="77777777" w:rsidR="00816C1B" w:rsidRPr="001330BD" w:rsidRDefault="00816C1B" w:rsidP="00E923B6">
            <w:pPr>
              <w:spacing w:before="40" w:after="40"/>
              <w:jc w:val="center"/>
              <w:rPr>
                <w:b/>
                <w:iCs/>
              </w:rPr>
            </w:pPr>
            <w:r w:rsidRPr="001330BD">
              <w:rPr>
                <w:b/>
                <w:iCs/>
              </w:rPr>
              <w:t>Ņemts vērā</w:t>
            </w:r>
          </w:p>
        </w:tc>
        <w:tc>
          <w:tcPr>
            <w:tcW w:w="4368" w:type="dxa"/>
            <w:tcBorders>
              <w:top w:val="single" w:sz="4" w:space="0" w:color="auto"/>
              <w:left w:val="single" w:sz="4" w:space="0" w:color="auto"/>
              <w:bottom w:val="single" w:sz="4" w:space="0" w:color="auto"/>
            </w:tcBorders>
          </w:tcPr>
          <w:p w14:paraId="4801A307" w14:textId="0556BB13" w:rsidR="00816C1B" w:rsidRPr="001330BD" w:rsidRDefault="00816C1B" w:rsidP="00E923B6">
            <w:pPr>
              <w:shd w:val="clear" w:color="auto" w:fill="FFFFFF"/>
              <w:spacing w:before="40" w:after="40"/>
            </w:pPr>
            <w:r w:rsidRPr="001330BD">
              <w:t xml:space="preserve">Noteikumu projekta </w:t>
            </w:r>
            <w:r w:rsidR="00501E15" w:rsidRPr="001330BD">
              <w:t>3</w:t>
            </w:r>
            <w:r w:rsidRPr="001330BD">
              <w:t>.punktā izteiktais Noteikumu Nr.545 2.15.apakšpunkts:</w:t>
            </w:r>
          </w:p>
          <w:p w14:paraId="01D80C3A" w14:textId="77777777" w:rsidR="00816C1B" w:rsidRPr="001330BD" w:rsidRDefault="00816C1B" w:rsidP="00E923B6">
            <w:pPr>
              <w:spacing w:before="40" w:after="40"/>
            </w:pPr>
            <w:r w:rsidRPr="001330BD">
              <w:t>“2.15. lauksaimniecības, akvakultūras, zivsaimniecības un mežsaimniecības atlikumi – atlikumi, ko tiešā veidā rada lauksaimniecības, akvakultūras, zivsaimniecības un mežsaimniecības nozarēs, neietverot atlikumus, kas radušies saistītajās nozarēs vai pārstrādē;”</w:t>
            </w:r>
          </w:p>
        </w:tc>
      </w:tr>
      <w:tr w:rsidR="005E4178" w:rsidRPr="001330BD" w14:paraId="7E752933"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tcPr>
          <w:p w14:paraId="28E5A56D" w14:textId="52324C1A" w:rsidR="005E4178" w:rsidRPr="001330BD" w:rsidRDefault="00B67450" w:rsidP="00E923B6">
            <w:pPr>
              <w:pStyle w:val="naisc"/>
              <w:spacing w:before="40" w:after="40"/>
              <w:rPr>
                <w:b/>
              </w:rPr>
            </w:pPr>
            <w:r w:rsidRPr="001330BD">
              <w:rPr>
                <w:b/>
              </w:rPr>
              <w:t>8</w:t>
            </w:r>
          </w:p>
        </w:tc>
        <w:tc>
          <w:tcPr>
            <w:tcW w:w="3041" w:type="dxa"/>
            <w:tcBorders>
              <w:top w:val="single" w:sz="6" w:space="0" w:color="000000"/>
              <w:left w:val="single" w:sz="6" w:space="0" w:color="000000"/>
              <w:bottom w:val="single" w:sz="6" w:space="0" w:color="000000"/>
              <w:right w:val="single" w:sz="6" w:space="0" w:color="000000"/>
            </w:tcBorders>
          </w:tcPr>
          <w:p w14:paraId="33DDFE35" w14:textId="77777777" w:rsidR="005E4178" w:rsidRPr="001330BD" w:rsidRDefault="005E4178" w:rsidP="00E923B6">
            <w:pPr>
              <w:shd w:val="clear" w:color="auto" w:fill="FFFFFF"/>
              <w:spacing w:before="40" w:after="40"/>
            </w:pPr>
            <w:r w:rsidRPr="001330BD">
              <w:t>Noteikumu projekta 4.punktā izteiktā Noteikumu Nr.545 3.punkta ievaddaļa:</w:t>
            </w:r>
          </w:p>
          <w:p w14:paraId="53724C08" w14:textId="5A004E81" w:rsidR="005E4178" w:rsidRPr="001330BD" w:rsidRDefault="005E4178" w:rsidP="005E4178">
            <w:pPr>
              <w:tabs>
                <w:tab w:val="left" w:pos="993"/>
              </w:tabs>
              <w:spacing w:before="120" w:after="120"/>
              <w:jc w:val="both"/>
            </w:pPr>
            <w:r w:rsidRPr="001330BD">
              <w:t>“4. Izteikt 3.punkta ievaddaļu šādā redakcijā:</w:t>
            </w:r>
          </w:p>
          <w:p w14:paraId="0D0816ED" w14:textId="0479BC2B" w:rsidR="005E4178" w:rsidRPr="001330BD" w:rsidRDefault="005E4178" w:rsidP="005E4178">
            <w:pPr>
              <w:tabs>
                <w:tab w:val="left" w:pos="993"/>
              </w:tabs>
              <w:spacing w:after="120"/>
              <w:ind w:firstLine="709"/>
            </w:pPr>
            <w:r w:rsidRPr="001330BD">
              <w:t xml:space="preserve">“3. Biodegvielas un bioloģiskais šķidrais kurināmais, kas tiek iegūts Latvijas Republikā, ievests patēriņam Latvijas Republikā no citas Eiropas Savienības dalībvalsts vai </w:t>
            </w:r>
            <w:r w:rsidRPr="001330BD">
              <w:lastRenderedPageBreak/>
              <w:t>importēts no trešajām valstīm un kas var tikt izmantots Enerģētikas attīstības pamatnostādnēs 2016.-2020.gadam noteiktā enerģijas, kas ražota no AER, īpatsvara enerģijas bruto gala patēriņā transportā mērķa (turpmāk – valsts mērķis) sasniegšanā vai likumā “Par piesārņojumu” noteiktā transporta enerģijas aprites cikla siltumnīcefekta gāzu emisiju samazinājumā, atbilst ilgtspējas kritērijiem, ja tiek izpildīti šādi nosacījumi:”.”</w:t>
            </w:r>
          </w:p>
        </w:tc>
        <w:tc>
          <w:tcPr>
            <w:tcW w:w="4047" w:type="dxa"/>
            <w:tcBorders>
              <w:top w:val="single" w:sz="6" w:space="0" w:color="000000"/>
              <w:left w:val="single" w:sz="6" w:space="0" w:color="000000"/>
              <w:bottom w:val="single" w:sz="6" w:space="0" w:color="000000"/>
              <w:right w:val="single" w:sz="6" w:space="0" w:color="000000"/>
            </w:tcBorders>
          </w:tcPr>
          <w:p w14:paraId="0ECB817D" w14:textId="77777777" w:rsidR="005E4178" w:rsidRPr="001330BD" w:rsidRDefault="005E4178" w:rsidP="00E923B6">
            <w:pPr>
              <w:widowControl w:val="0"/>
              <w:spacing w:before="40" w:after="40"/>
              <w:jc w:val="center"/>
              <w:rPr>
                <w:b/>
              </w:rPr>
            </w:pPr>
            <w:r w:rsidRPr="001330BD">
              <w:rPr>
                <w:b/>
              </w:rPr>
              <w:lastRenderedPageBreak/>
              <w:t>Tieslietu ministrija</w:t>
            </w:r>
          </w:p>
          <w:p w14:paraId="4FEBA1AF" w14:textId="77777777" w:rsidR="005E4178" w:rsidRPr="001330BD" w:rsidRDefault="005E4178" w:rsidP="00E923B6">
            <w:pPr>
              <w:widowControl w:val="0"/>
              <w:spacing w:before="40" w:after="40"/>
              <w:jc w:val="center"/>
              <w:rPr>
                <w:b/>
              </w:rPr>
            </w:pPr>
            <w:r w:rsidRPr="001330BD">
              <w:rPr>
                <w:b/>
              </w:rPr>
              <w:t>(2019.gada 7.janvāra atzinums)</w:t>
            </w:r>
          </w:p>
          <w:p w14:paraId="2FB34890" w14:textId="46BB78CE" w:rsidR="005E4178" w:rsidRPr="001330BD" w:rsidRDefault="005E4178" w:rsidP="005E4178">
            <w:r w:rsidRPr="001330BD">
              <w:t xml:space="preserve">1. Lūdzam atkārtoti izvērtēt projekta 4. punktā izteiktā 3. punkta ievaddaļu, precizējot jēdziena “valsts mērķis” skaidrojumu, ņemot vērā Direktīvas Nr.2009/28/EK 17.panta 1.punkta pirmajā rindkopā noteikto, kā arī 3. panta 1. punktā noteiktos valsts vispārējos obligātos mērķus. Norādām, ka norāde “Enerģētikas attīstības pamatnostādnēs 2016.-2020.gadam </w:t>
            </w:r>
            <w:r w:rsidRPr="001330BD">
              <w:lastRenderedPageBreak/>
              <w:t>noteiktā enerģijas, kas ražota no AER, īpatsvara enerģijas bruto gala patēriņā transportā mērķa” nav viennozīmīgi skaidra, turklāt minētās pamatnostādnes Latvijā ir apstiprinātas ar Ministru kabineta rīkojumu, kas nav uzskatāms par ārēju normatīvo aktu, kas būtu saistošs privātpersonām.</w:t>
            </w:r>
          </w:p>
          <w:p w14:paraId="0A64392C" w14:textId="140CF3A4" w:rsidR="005E4178" w:rsidRPr="001330BD" w:rsidRDefault="005E4178" w:rsidP="00E923B6">
            <w:pPr>
              <w:widowControl w:val="0"/>
              <w:spacing w:before="40" w:after="40"/>
              <w:jc w:val="center"/>
              <w:rPr>
                <w:b/>
              </w:rPr>
            </w:pPr>
          </w:p>
        </w:tc>
        <w:tc>
          <w:tcPr>
            <w:tcW w:w="2899" w:type="dxa"/>
            <w:tcBorders>
              <w:top w:val="single" w:sz="6" w:space="0" w:color="000000"/>
              <w:left w:val="single" w:sz="6" w:space="0" w:color="000000"/>
              <w:bottom w:val="single" w:sz="6" w:space="0" w:color="000000"/>
              <w:right w:val="single" w:sz="6" w:space="0" w:color="000000"/>
            </w:tcBorders>
          </w:tcPr>
          <w:p w14:paraId="41F213DE" w14:textId="5AC39B2E" w:rsidR="005E4178" w:rsidRPr="001330BD" w:rsidRDefault="005E4178" w:rsidP="00E923B6">
            <w:pPr>
              <w:spacing w:before="40" w:after="40"/>
              <w:jc w:val="center"/>
              <w:rPr>
                <w:b/>
                <w:iCs/>
              </w:rPr>
            </w:pPr>
            <w:r w:rsidRPr="001330BD">
              <w:rPr>
                <w:b/>
                <w:iCs/>
              </w:rPr>
              <w:lastRenderedPageBreak/>
              <w:t>Ņemts vērā</w:t>
            </w:r>
          </w:p>
        </w:tc>
        <w:tc>
          <w:tcPr>
            <w:tcW w:w="4368" w:type="dxa"/>
            <w:tcBorders>
              <w:top w:val="single" w:sz="4" w:space="0" w:color="auto"/>
              <w:left w:val="single" w:sz="4" w:space="0" w:color="auto"/>
              <w:bottom w:val="single" w:sz="4" w:space="0" w:color="auto"/>
            </w:tcBorders>
          </w:tcPr>
          <w:p w14:paraId="5687B0A2" w14:textId="77777777" w:rsidR="005E4178" w:rsidRPr="001330BD" w:rsidRDefault="005E4178" w:rsidP="005E4178">
            <w:pPr>
              <w:shd w:val="clear" w:color="auto" w:fill="FFFFFF"/>
              <w:spacing w:before="40" w:after="40"/>
            </w:pPr>
            <w:r w:rsidRPr="001330BD">
              <w:t>Noteikumu projekta 4.punktā izteiktā Noteikumu Nr.545 3.punkta ievaddaļa:</w:t>
            </w:r>
          </w:p>
          <w:p w14:paraId="13EF5677" w14:textId="468A003F" w:rsidR="005E4178" w:rsidRPr="001330BD" w:rsidRDefault="005E4178" w:rsidP="005E4178">
            <w:pPr>
              <w:tabs>
                <w:tab w:val="left" w:pos="993"/>
              </w:tabs>
              <w:spacing w:before="120" w:after="120"/>
              <w:jc w:val="both"/>
            </w:pPr>
            <w:r w:rsidRPr="001330BD">
              <w:t>“4. Izteikt 3.punkta ievaddaļu šādā redakcijā:</w:t>
            </w:r>
          </w:p>
          <w:p w14:paraId="07973C3A" w14:textId="77777777" w:rsidR="005E4178" w:rsidRPr="001330BD" w:rsidRDefault="005E4178" w:rsidP="005E4178">
            <w:pPr>
              <w:tabs>
                <w:tab w:val="left" w:pos="993"/>
              </w:tabs>
              <w:spacing w:after="120"/>
              <w:ind w:firstLine="709"/>
            </w:pPr>
            <w:bookmarkStart w:id="2" w:name="_Hlk534703621"/>
            <w:r w:rsidRPr="001330BD">
              <w:t>“3. Biodegvielas un bioloģiskais šķidrais kurināmais</w:t>
            </w:r>
            <w:bookmarkStart w:id="3" w:name="_Hlk534703450"/>
            <w:r w:rsidRPr="001330BD">
              <w:t xml:space="preserve">, kas tiek iegūts Latvijas Republikā, ievests patēriņam Latvijas Republikā no citas Eiropas Savienības dalībvalsts vai importēts no trešajām valstīm </w:t>
            </w:r>
            <w:bookmarkEnd w:id="3"/>
            <w:r w:rsidRPr="001330BD">
              <w:t xml:space="preserve">un kas var tikt izmantots valsts mērķa – </w:t>
            </w:r>
            <w:r w:rsidRPr="001330BD">
              <w:rPr>
                <w:color w:val="000000"/>
                <w:shd w:val="clear" w:color="auto" w:fill="FFFFFF"/>
              </w:rPr>
              <w:t xml:space="preserve">panākt, lai no atjaunojamiem energoresursiem iegūtas </w:t>
            </w:r>
            <w:r w:rsidRPr="001330BD">
              <w:rPr>
                <w:color w:val="000000"/>
                <w:shd w:val="clear" w:color="auto" w:fill="FFFFFF"/>
              </w:rPr>
              <w:lastRenderedPageBreak/>
              <w:t xml:space="preserve">enerģijas īpatsvars transporta enerģijas bruto </w:t>
            </w:r>
            <w:proofErr w:type="spellStart"/>
            <w:r w:rsidRPr="001330BD">
              <w:rPr>
                <w:color w:val="000000"/>
                <w:shd w:val="clear" w:color="auto" w:fill="FFFFFF"/>
              </w:rPr>
              <w:t>galapatēriņā</w:t>
            </w:r>
            <w:proofErr w:type="spellEnd"/>
            <w:r w:rsidRPr="001330BD">
              <w:rPr>
                <w:color w:val="000000"/>
                <w:shd w:val="clear" w:color="auto" w:fill="FFFFFF"/>
              </w:rPr>
              <w:t xml:space="preserve"> Latvijā 2020. gadā ir vismaz 10 procenti (turpmāk – valsts mērķis), </w:t>
            </w:r>
            <w:r w:rsidRPr="001330BD">
              <w:t>sasniegšanā vai kas var tikt izmantots likumā “Par piesārņojumu” noteiktā transporta enerģijas aprites cikla siltumnīcefekta gāzu emisiju samazinājumā, atbilst ilgtspējas kritērijiem, ja tiek izpildīti šādi nosacījumi:”.</w:t>
            </w:r>
            <w:bookmarkEnd w:id="2"/>
            <w:r w:rsidRPr="001330BD">
              <w:t>”</w:t>
            </w:r>
          </w:p>
          <w:p w14:paraId="7F05C552" w14:textId="77777777" w:rsidR="005E4178" w:rsidRPr="001330BD" w:rsidRDefault="005E4178" w:rsidP="005E4178">
            <w:pPr>
              <w:tabs>
                <w:tab w:val="left" w:pos="993"/>
              </w:tabs>
              <w:spacing w:after="120"/>
              <w:ind w:firstLine="709"/>
            </w:pPr>
          </w:p>
          <w:p w14:paraId="7EF0FF0A" w14:textId="7E591165" w:rsidR="005E4178" w:rsidRPr="001330BD" w:rsidRDefault="005E4178" w:rsidP="005E4178">
            <w:pPr>
              <w:tabs>
                <w:tab w:val="left" w:pos="993"/>
              </w:tabs>
              <w:spacing w:after="120"/>
            </w:pPr>
            <w:r w:rsidRPr="001330BD">
              <w:t>Noteikumu projekta anotācijas 1.daļas 2.punkts.</w:t>
            </w:r>
          </w:p>
        </w:tc>
      </w:tr>
      <w:tr w:rsidR="00816C1B" w:rsidRPr="001330BD" w14:paraId="087522A2"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tcPr>
          <w:p w14:paraId="07563FDD" w14:textId="4FEC657B" w:rsidR="00816C1B" w:rsidRPr="001330BD" w:rsidRDefault="00B67450" w:rsidP="00E923B6">
            <w:pPr>
              <w:pStyle w:val="naisc"/>
              <w:spacing w:before="40" w:after="40"/>
              <w:rPr>
                <w:b/>
              </w:rPr>
            </w:pPr>
            <w:r w:rsidRPr="001330BD">
              <w:rPr>
                <w:b/>
              </w:rPr>
              <w:lastRenderedPageBreak/>
              <w:t>9</w:t>
            </w:r>
          </w:p>
        </w:tc>
        <w:tc>
          <w:tcPr>
            <w:tcW w:w="3041" w:type="dxa"/>
            <w:tcBorders>
              <w:top w:val="single" w:sz="6" w:space="0" w:color="000000"/>
              <w:left w:val="single" w:sz="6" w:space="0" w:color="000000"/>
              <w:bottom w:val="single" w:sz="6" w:space="0" w:color="000000"/>
              <w:right w:val="single" w:sz="6" w:space="0" w:color="000000"/>
            </w:tcBorders>
          </w:tcPr>
          <w:p w14:paraId="12DCB716" w14:textId="77777777" w:rsidR="00816C1B" w:rsidRPr="001330BD" w:rsidRDefault="00816C1B" w:rsidP="00E923B6">
            <w:pPr>
              <w:shd w:val="clear" w:color="auto" w:fill="FFFFFF"/>
              <w:spacing w:before="40" w:after="40"/>
            </w:pPr>
            <w:r w:rsidRPr="001330BD">
              <w:t>Noteikumu projekta 5.punktā izteiktais Noteikumu Nr.545 5.4.1.apakšpunkts:</w:t>
            </w:r>
          </w:p>
          <w:p w14:paraId="38688A81" w14:textId="77777777" w:rsidR="00816C1B" w:rsidRPr="001330BD" w:rsidRDefault="00816C1B" w:rsidP="00E923B6">
            <w:pPr>
              <w:spacing w:before="40" w:after="40"/>
            </w:pPr>
            <w:r w:rsidRPr="001330BD">
              <w:t>“5.4.1. dabiskas pļavas – kuras arī bez cilvēku iejaukšanās būtu pļavas un kuras palīdz saglabāt vietējo sugu sastāvu, kā arī ekoloģiskos parametrus un procesus;”</w:t>
            </w:r>
          </w:p>
        </w:tc>
        <w:tc>
          <w:tcPr>
            <w:tcW w:w="4047" w:type="dxa"/>
            <w:tcBorders>
              <w:top w:val="single" w:sz="6" w:space="0" w:color="000000"/>
              <w:left w:val="single" w:sz="6" w:space="0" w:color="000000"/>
              <w:bottom w:val="single" w:sz="6" w:space="0" w:color="000000"/>
              <w:right w:val="single" w:sz="6" w:space="0" w:color="000000"/>
            </w:tcBorders>
          </w:tcPr>
          <w:p w14:paraId="1D964398" w14:textId="77777777" w:rsidR="00816C1B" w:rsidRPr="001330BD" w:rsidRDefault="00816C1B" w:rsidP="00E923B6">
            <w:pPr>
              <w:widowControl w:val="0"/>
              <w:spacing w:before="40" w:after="40"/>
              <w:jc w:val="center"/>
              <w:rPr>
                <w:b/>
              </w:rPr>
            </w:pPr>
            <w:r w:rsidRPr="001330BD">
              <w:rPr>
                <w:b/>
              </w:rPr>
              <w:t>Vides aizsardzības un reģionālās attīstības ministrija</w:t>
            </w:r>
          </w:p>
          <w:p w14:paraId="28ABD1B2" w14:textId="77777777" w:rsidR="00816C1B" w:rsidRPr="001330BD" w:rsidRDefault="00816C1B" w:rsidP="00E923B6">
            <w:pPr>
              <w:widowControl w:val="0"/>
              <w:spacing w:before="40" w:after="40"/>
              <w:jc w:val="center"/>
              <w:rPr>
                <w:b/>
              </w:rPr>
            </w:pPr>
            <w:r w:rsidRPr="001330BD">
              <w:rPr>
                <w:b/>
              </w:rPr>
              <w:t>(2018.gada 19.oktobra atzinums)</w:t>
            </w:r>
          </w:p>
          <w:p w14:paraId="62986B56" w14:textId="77777777" w:rsidR="00816C1B" w:rsidRPr="001330BD" w:rsidRDefault="00816C1B" w:rsidP="00E923B6">
            <w:pPr>
              <w:widowControl w:val="0"/>
              <w:spacing w:before="40" w:after="40"/>
              <w:jc w:val="both"/>
            </w:pPr>
            <w:r w:rsidRPr="001330BD">
              <w:t xml:space="preserve">4. Noteikumu projekta 5.4.1. apakšpunkta redakciju izteikt šādi:  „5.4.1. dabiskas pļavas – </w:t>
            </w:r>
            <w:r w:rsidRPr="001330BD">
              <w:rPr>
                <w:u w:val="single"/>
              </w:rPr>
              <w:t>pļavas</w:t>
            </w:r>
            <w:r w:rsidRPr="001330BD">
              <w:t xml:space="preserve">, kuras arī bez cilvēku iejaukšanās būtu pļavas un kuras palīdz saglabāt vietējo sugu sastāvu, kā arī ekoloģiskos parametrus un procesus”; </w:t>
            </w:r>
          </w:p>
        </w:tc>
        <w:tc>
          <w:tcPr>
            <w:tcW w:w="2899" w:type="dxa"/>
            <w:tcBorders>
              <w:top w:val="single" w:sz="6" w:space="0" w:color="000000"/>
              <w:left w:val="single" w:sz="6" w:space="0" w:color="000000"/>
              <w:bottom w:val="single" w:sz="6" w:space="0" w:color="000000"/>
              <w:right w:val="single" w:sz="6" w:space="0" w:color="000000"/>
            </w:tcBorders>
          </w:tcPr>
          <w:p w14:paraId="0C5A9BA3" w14:textId="77777777" w:rsidR="00816C1B" w:rsidRPr="001330BD" w:rsidRDefault="00816C1B" w:rsidP="00E923B6">
            <w:pPr>
              <w:spacing w:before="40" w:after="40"/>
              <w:jc w:val="center"/>
              <w:rPr>
                <w:b/>
                <w:iCs/>
              </w:rPr>
            </w:pPr>
            <w:r w:rsidRPr="001330BD">
              <w:rPr>
                <w:b/>
                <w:iCs/>
              </w:rPr>
              <w:t>Ņemts vērā</w:t>
            </w:r>
          </w:p>
        </w:tc>
        <w:tc>
          <w:tcPr>
            <w:tcW w:w="4368" w:type="dxa"/>
            <w:tcBorders>
              <w:top w:val="single" w:sz="4" w:space="0" w:color="auto"/>
              <w:left w:val="single" w:sz="4" w:space="0" w:color="auto"/>
              <w:bottom w:val="single" w:sz="4" w:space="0" w:color="auto"/>
            </w:tcBorders>
          </w:tcPr>
          <w:p w14:paraId="0B116415" w14:textId="77777777" w:rsidR="00816C1B" w:rsidRPr="001330BD" w:rsidRDefault="00816C1B" w:rsidP="00E923B6">
            <w:pPr>
              <w:shd w:val="clear" w:color="auto" w:fill="FFFFFF"/>
              <w:spacing w:before="40" w:after="40"/>
            </w:pPr>
            <w:r w:rsidRPr="001330BD">
              <w:t>Noteikumu projekta 5.punktā izteiktais Noteikumu Nr.545 5.4.1.apakšpunkts:</w:t>
            </w:r>
          </w:p>
          <w:p w14:paraId="35391F05" w14:textId="77777777" w:rsidR="00816C1B" w:rsidRPr="001330BD" w:rsidRDefault="00816C1B" w:rsidP="00E923B6">
            <w:pPr>
              <w:spacing w:before="40" w:after="40"/>
            </w:pPr>
            <w:r w:rsidRPr="001330BD">
              <w:t>“5.4.1. dabiskas pļavas – pļavas, kuras arī bez cilvēku iejaukšanās būtu pļavas un kuras palīdz saglabāt vietējo sugu sastāvu, kā arī ekoloģiskos parametrus un procesus;”</w:t>
            </w:r>
          </w:p>
          <w:p w14:paraId="6B67CECB" w14:textId="77777777" w:rsidR="00816C1B" w:rsidRPr="001330BD" w:rsidRDefault="00816C1B" w:rsidP="00E923B6">
            <w:pPr>
              <w:shd w:val="clear" w:color="auto" w:fill="FFFFFF"/>
              <w:spacing w:before="40" w:after="40"/>
              <w:rPr>
                <w:b/>
              </w:rPr>
            </w:pPr>
          </w:p>
        </w:tc>
      </w:tr>
      <w:tr w:rsidR="00816C1B" w:rsidRPr="001330BD" w14:paraId="13EA930D" w14:textId="77777777" w:rsidTr="00D57698">
        <w:trPr>
          <w:jc w:val="center"/>
        </w:trPr>
        <w:tc>
          <w:tcPr>
            <w:tcW w:w="637" w:type="dxa"/>
            <w:tcBorders>
              <w:left w:val="single" w:sz="6" w:space="0" w:color="000000"/>
              <w:bottom w:val="single" w:sz="6" w:space="0" w:color="000000"/>
              <w:right w:val="single" w:sz="6" w:space="0" w:color="000000"/>
            </w:tcBorders>
          </w:tcPr>
          <w:p w14:paraId="10BE4F16" w14:textId="4C538F04" w:rsidR="00816C1B" w:rsidRPr="001330BD" w:rsidRDefault="00B67450" w:rsidP="00E923B6">
            <w:pPr>
              <w:pStyle w:val="naisc"/>
              <w:spacing w:before="40" w:after="40"/>
              <w:rPr>
                <w:b/>
              </w:rPr>
            </w:pPr>
            <w:r w:rsidRPr="001330BD">
              <w:rPr>
                <w:b/>
              </w:rPr>
              <w:t>10</w:t>
            </w:r>
          </w:p>
        </w:tc>
        <w:tc>
          <w:tcPr>
            <w:tcW w:w="3041" w:type="dxa"/>
            <w:tcBorders>
              <w:left w:val="single" w:sz="6" w:space="0" w:color="000000"/>
              <w:bottom w:val="single" w:sz="6" w:space="0" w:color="000000"/>
              <w:right w:val="single" w:sz="6" w:space="0" w:color="000000"/>
            </w:tcBorders>
          </w:tcPr>
          <w:p w14:paraId="6FECB53D" w14:textId="77777777" w:rsidR="00816C1B" w:rsidRPr="001330BD" w:rsidRDefault="00816C1B" w:rsidP="00E923B6">
            <w:pPr>
              <w:shd w:val="clear" w:color="auto" w:fill="FFFFFF"/>
              <w:spacing w:before="40" w:after="40"/>
            </w:pPr>
          </w:p>
        </w:tc>
        <w:tc>
          <w:tcPr>
            <w:tcW w:w="4047" w:type="dxa"/>
            <w:tcBorders>
              <w:top w:val="single" w:sz="6" w:space="0" w:color="000000"/>
              <w:left w:val="single" w:sz="6" w:space="0" w:color="000000"/>
              <w:bottom w:val="single" w:sz="6" w:space="0" w:color="000000"/>
              <w:right w:val="single" w:sz="6" w:space="0" w:color="000000"/>
            </w:tcBorders>
          </w:tcPr>
          <w:p w14:paraId="66F1D27A" w14:textId="77777777" w:rsidR="00816C1B" w:rsidRPr="001330BD" w:rsidRDefault="00816C1B" w:rsidP="00E923B6">
            <w:pPr>
              <w:widowControl w:val="0"/>
              <w:spacing w:before="40" w:after="40"/>
              <w:jc w:val="center"/>
              <w:rPr>
                <w:b/>
              </w:rPr>
            </w:pPr>
            <w:r w:rsidRPr="001330BD">
              <w:rPr>
                <w:b/>
              </w:rPr>
              <w:t>Lauku atbalsta dienesta viedoklis</w:t>
            </w:r>
          </w:p>
          <w:p w14:paraId="6624931F" w14:textId="77777777" w:rsidR="00816C1B" w:rsidRPr="001330BD" w:rsidRDefault="00816C1B" w:rsidP="00E923B6">
            <w:pPr>
              <w:widowControl w:val="0"/>
              <w:spacing w:before="40" w:after="40"/>
              <w:jc w:val="center"/>
              <w:rPr>
                <w:b/>
              </w:rPr>
            </w:pPr>
            <w:r w:rsidRPr="001330BD">
              <w:rPr>
                <w:b/>
              </w:rPr>
              <w:t>(2018.gada 22.novembris)</w:t>
            </w:r>
          </w:p>
          <w:p w14:paraId="242CEF52" w14:textId="77777777" w:rsidR="00816C1B" w:rsidRPr="001330BD" w:rsidRDefault="00816C1B" w:rsidP="00E923B6">
            <w:pPr>
              <w:spacing w:before="40" w:after="40"/>
              <w:jc w:val="both"/>
            </w:pPr>
            <w:r w:rsidRPr="001330BD">
              <w:t xml:space="preserve">3. Lūdzam saskaņot noteikumu projektu arī ar Dabas aizsardzības pārvaldi, jo viņiem būs jāsagatavo 5.2. – 5.4. punktā </w:t>
            </w:r>
            <w:r w:rsidRPr="001330BD">
              <w:lastRenderedPageBreak/>
              <w:t xml:space="preserve">minēto informāciju. Lūdzam paredzēt, ka </w:t>
            </w:r>
            <w:bookmarkStart w:id="4" w:name="_Hlk530692598"/>
            <w:r w:rsidRPr="001330BD">
              <w:t>šī informācija tiek sagatavota kā ģeotelpiskie dati, kā arī paredzēt ikgadēju aktualizāciju līdz kārtējā gada 1. februārim.</w:t>
            </w:r>
            <w:bookmarkEnd w:id="4"/>
          </w:p>
        </w:tc>
        <w:tc>
          <w:tcPr>
            <w:tcW w:w="2899" w:type="dxa"/>
            <w:tcBorders>
              <w:left w:val="single" w:sz="6" w:space="0" w:color="000000"/>
              <w:bottom w:val="single" w:sz="6" w:space="0" w:color="000000"/>
              <w:right w:val="single" w:sz="6" w:space="0" w:color="000000"/>
            </w:tcBorders>
          </w:tcPr>
          <w:p w14:paraId="6AE5D535" w14:textId="77777777" w:rsidR="00816C1B" w:rsidRPr="001330BD" w:rsidRDefault="00816C1B" w:rsidP="00E923B6">
            <w:pPr>
              <w:spacing w:before="40" w:after="40"/>
              <w:jc w:val="center"/>
              <w:rPr>
                <w:b/>
                <w:iCs/>
              </w:rPr>
            </w:pPr>
          </w:p>
        </w:tc>
        <w:tc>
          <w:tcPr>
            <w:tcW w:w="4368" w:type="dxa"/>
            <w:tcBorders>
              <w:left w:val="single" w:sz="4" w:space="0" w:color="auto"/>
              <w:bottom w:val="single" w:sz="4" w:space="0" w:color="auto"/>
            </w:tcBorders>
          </w:tcPr>
          <w:p w14:paraId="0E3149D8" w14:textId="77777777" w:rsidR="00816C1B" w:rsidRPr="001330BD" w:rsidRDefault="00816C1B" w:rsidP="00E923B6">
            <w:pPr>
              <w:shd w:val="clear" w:color="auto" w:fill="FFFFFF"/>
              <w:spacing w:before="40" w:after="40"/>
            </w:pPr>
          </w:p>
        </w:tc>
      </w:tr>
      <w:tr w:rsidR="00816C1B" w:rsidRPr="001330BD" w14:paraId="3026E68B"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tcPr>
          <w:p w14:paraId="29181A50" w14:textId="3B4B8167" w:rsidR="00816C1B" w:rsidRPr="001330BD" w:rsidRDefault="00B67450" w:rsidP="00E923B6">
            <w:pPr>
              <w:pStyle w:val="naisc"/>
              <w:spacing w:before="40" w:after="40"/>
              <w:rPr>
                <w:b/>
              </w:rPr>
            </w:pPr>
            <w:r w:rsidRPr="001330BD">
              <w:rPr>
                <w:b/>
              </w:rPr>
              <w:t>11</w:t>
            </w:r>
          </w:p>
        </w:tc>
        <w:tc>
          <w:tcPr>
            <w:tcW w:w="3041" w:type="dxa"/>
            <w:tcBorders>
              <w:top w:val="single" w:sz="6" w:space="0" w:color="000000"/>
              <w:left w:val="single" w:sz="6" w:space="0" w:color="000000"/>
              <w:bottom w:val="single" w:sz="6" w:space="0" w:color="000000"/>
              <w:right w:val="single" w:sz="6" w:space="0" w:color="000000"/>
            </w:tcBorders>
          </w:tcPr>
          <w:p w14:paraId="1CB63892" w14:textId="77777777" w:rsidR="00816C1B" w:rsidRPr="001330BD" w:rsidRDefault="00816C1B" w:rsidP="00E923B6">
            <w:pPr>
              <w:pStyle w:val="naisc"/>
              <w:spacing w:before="40" w:after="40"/>
              <w:jc w:val="both"/>
            </w:pPr>
            <w:r w:rsidRPr="001330BD">
              <w:t>Noteikumu projekta 5.punktā izteiktais Noteikumu Nr.545 5.3.apakšpunkts:</w:t>
            </w:r>
          </w:p>
          <w:p w14:paraId="15A4F3C9" w14:textId="77777777" w:rsidR="00816C1B" w:rsidRPr="001330BD" w:rsidRDefault="00816C1B" w:rsidP="00E923B6">
            <w:pPr>
              <w:spacing w:before="40" w:after="40"/>
            </w:pPr>
            <w:r w:rsidRPr="001330BD">
              <w:t>“5.3. īpaši aizsargājamo sugu un biotopu mikroliegumi un teritorijas, kurās aizsargā reti sastopamas, apdraudētas vai izmirstošas ekosistēmas vai sugas, kas par tādām ir atzītas starptautiskos nolīgumos vai ir iekļautas starpvaldību organizāciju vai Starptautiskās dabas aizsardzības organizācijas sastādītos sarakstos, un par aizsargājamām tās ir atzītas ar Eiropas Komisijas vai Latvijas normatīvajiem aktiem;”</w:t>
            </w:r>
          </w:p>
        </w:tc>
        <w:tc>
          <w:tcPr>
            <w:tcW w:w="4047" w:type="dxa"/>
            <w:tcBorders>
              <w:top w:val="single" w:sz="6" w:space="0" w:color="000000"/>
              <w:left w:val="single" w:sz="6" w:space="0" w:color="000000"/>
              <w:bottom w:val="single" w:sz="6" w:space="0" w:color="000000"/>
              <w:right w:val="single" w:sz="6" w:space="0" w:color="000000"/>
            </w:tcBorders>
          </w:tcPr>
          <w:p w14:paraId="74292914" w14:textId="77777777" w:rsidR="00816C1B" w:rsidRPr="001330BD" w:rsidRDefault="00816C1B" w:rsidP="00E923B6">
            <w:pPr>
              <w:widowControl w:val="0"/>
              <w:spacing w:before="40" w:after="40"/>
              <w:jc w:val="center"/>
              <w:rPr>
                <w:b/>
              </w:rPr>
            </w:pPr>
            <w:r w:rsidRPr="001330BD">
              <w:rPr>
                <w:b/>
              </w:rPr>
              <w:t>Dabas aizsardzības pārvaldes viedoklis</w:t>
            </w:r>
          </w:p>
          <w:p w14:paraId="6A19D3E8" w14:textId="77777777" w:rsidR="00816C1B" w:rsidRPr="001330BD" w:rsidRDefault="00816C1B" w:rsidP="00E923B6">
            <w:pPr>
              <w:widowControl w:val="0"/>
              <w:spacing w:before="40" w:after="40"/>
              <w:jc w:val="center"/>
              <w:rPr>
                <w:b/>
              </w:rPr>
            </w:pPr>
            <w:r w:rsidRPr="001330BD">
              <w:rPr>
                <w:b/>
              </w:rPr>
              <w:t>(2018.gada 29.novembris)</w:t>
            </w:r>
          </w:p>
          <w:p w14:paraId="7BE35DFE" w14:textId="77777777" w:rsidR="00816C1B" w:rsidRPr="001330BD" w:rsidRDefault="00816C1B" w:rsidP="00E923B6">
            <w:pPr>
              <w:spacing w:before="40" w:after="40"/>
              <w:jc w:val="both"/>
            </w:pPr>
            <w:r w:rsidRPr="001330BD">
              <w:t xml:space="preserve">1. Izteikt noteikumu </w:t>
            </w:r>
            <w:r w:rsidRPr="001330BD">
              <w:rPr>
                <w:b/>
                <w:bCs/>
              </w:rPr>
              <w:t>5.3.apakšpunktu</w:t>
            </w:r>
            <w:r w:rsidRPr="001330BD">
              <w:t xml:space="preserve"> šādā redakcijā: </w:t>
            </w:r>
          </w:p>
          <w:p w14:paraId="5C99DCFF" w14:textId="77777777" w:rsidR="00816C1B" w:rsidRPr="001330BD" w:rsidRDefault="00816C1B" w:rsidP="00E923B6">
            <w:pPr>
              <w:spacing w:before="40" w:after="40"/>
              <w:jc w:val="both"/>
              <w:rPr>
                <w:rFonts w:eastAsiaTheme="minorHAnsi"/>
              </w:rPr>
            </w:pPr>
            <w:r w:rsidRPr="001330BD">
              <w:t xml:space="preserve">“5.3. īpaši aizsargājamo sugu un </w:t>
            </w:r>
            <w:r w:rsidRPr="001330BD">
              <w:rPr>
                <w:b/>
                <w:bCs/>
              </w:rPr>
              <w:t>īpaši aizsargājamo</w:t>
            </w:r>
            <w:r w:rsidRPr="001330BD">
              <w:t xml:space="preserve"> biotopu mikroliegumi un teritorijas, kurās aizsargā reti sastopamas, apdraudētas vai izmirstošas ekosistēmas, </w:t>
            </w:r>
            <w:r w:rsidRPr="001330BD">
              <w:rPr>
                <w:b/>
                <w:bCs/>
              </w:rPr>
              <w:t>biotopus</w:t>
            </w:r>
            <w:r w:rsidRPr="001330BD">
              <w:t xml:space="preserve"> vai sugas, kas par tādām ir </w:t>
            </w:r>
            <w:r w:rsidRPr="001330BD">
              <w:rPr>
                <w:b/>
                <w:bCs/>
              </w:rPr>
              <w:t>atzīti</w:t>
            </w:r>
            <w:r w:rsidRPr="001330BD">
              <w:t xml:space="preserve"> starptautiskos nolīgumos vai ir </w:t>
            </w:r>
            <w:r w:rsidRPr="001330BD">
              <w:rPr>
                <w:b/>
                <w:bCs/>
              </w:rPr>
              <w:t>iekļauti</w:t>
            </w:r>
            <w:r w:rsidRPr="001330BD">
              <w:t xml:space="preserve"> starpvaldību organizāciju vai Starptautiskās dabas aizsardzības organizācijas sastādītos sarakstos, un par </w:t>
            </w:r>
            <w:r w:rsidRPr="001330BD">
              <w:rPr>
                <w:b/>
                <w:bCs/>
              </w:rPr>
              <w:t xml:space="preserve">aizsargājamiem tie </w:t>
            </w:r>
            <w:r w:rsidRPr="001330BD">
              <w:t xml:space="preserve">ir </w:t>
            </w:r>
            <w:r w:rsidRPr="001330BD">
              <w:rPr>
                <w:b/>
                <w:bCs/>
              </w:rPr>
              <w:t xml:space="preserve">atzīti </w:t>
            </w:r>
            <w:r w:rsidRPr="001330BD">
              <w:t xml:space="preserve">ar Eiropas </w:t>
            </w:r>
            <w:r w:rsidRPr="001330BD">
              <w:rPr>
                <w:b/>
                <w:bCs/>
              </w:rPr>
              <w:t>Savienības</w:t>
            </w:r>
            <w:r w:rsidRPr="001330BD">
              <w:t xml:space="preserve"> vai Latvijas normatīvajiem aktiem;”.</w:t>
            </w:r>
          </w:p>
          <w:p w14:paraId="15C00911" w14:textId="77777777" w:rsidR="00816C1B" w:rsidRPr="001330BD" w:rsidRDefault="00816C1B" w:rsidP="00E923B6">
            <w:pPr>
              <w:spacing w:before="40" w:after="40"/>
              <w:jc w:val="both"/>
              <w:rPr>
                <w:i/>
                <w:iCs/>
              </w:rPr>
            </w:pPr>
          </w:p>
          <w:p w14:paraId="03289045" w14:textId="77777777" w:rsidR="00816C1B" w:rsidRPr="001330BD" w:rsidRDefault="00816C1B" w:rsidP="00E923B6">
            <w:pPr>
              <w:spacing w:before="40" w:after="40"/>
              <w:jc w:val="both"/>
            </w:pPr>
            <w:r w:rsidRPr="001330BD">
              <w:rPr>
                <w:i/>
                <w:iCs/>
              </w:rPr>
              <w:t>Pamatojums:</w:t>
            </w:r>
            <w:r w:rsidRPr="001330BD">
              <w:t xml:space="preserve"> Nepieciešams redakcionāli precizēt, tiesiskās skaidrības nodrošināšanai, ka norma attiecas uz īpaši aizsargājamo biotopu aizsardzībai izveidotiem mikroliegumiem, un ka palīgteikums attiecas ne tikai uz sugām, bet uz visu minēto kopumā – ekosistēmām, biotopiem, sugām, kas tiek aizsargāti </w:t>
            </w:r>
            <w:r w:rsidRPr="001330BD">
              <w:lastRenderedPageBreak/>
              <w:t>starptautiski, Eiropas Savienības vai nacionālā līmenī.</w:t>
            </w:r>
          </w:p>
        </w:tc>
        <w:tc>
          <w:tcPr>
            <w:tcW w:w="2899" w:type="dxa"/>
            <w:tcBorders>
              <w:top w:val="single" w:sz="6" w:space="0" w:color="000000"/>
              <w:left w:val="single" w:sz="6" w:space="0" w:color="000000"/>
              <w:bottom w:val="single" w:sz="6" w:space="0" w:color="000000"/>
              <w:right w:val="single" w:sz="6" w:space="0" w:color="000000"/>
            </w:tcBorders>
          </w:tcPr>
          <w:p w14:paraId="4633584B" w14:textId="77777777" w:rsidR="00816C1B" w:rsidRPr="001330BD" w:rsidRDefault="00816C1B" w:rsidP="00E923B6">
            <w:pPr>
              <w:spacing w:before="40" w:after="40"/>
              <w:jc w:val="center"/>
              <w:rPr>
                <w:b/>
                <w:iCs/>
              </w:rPr>
            </w:pPr>
            <w:r w:rsidRPr="001330BD">
              <w:rPr>
                <w:b/>
                <w:iCs/>
              </w:rPr>
              <w:lastRenderedPageBreak/>
              <w:t>Ņemts vērā</w:t>
            </w:r>
          </w:p>
        </w:tc>
        <w:tc>
          <w:tcPr>
            <w:tcW w:w="4368" w:type="dxa"/>
            <w:tcBorders>
              <w:top w:val="single" w:sz="4" w:space="0" w:color="auto"/>
              <w:left w:val="single" w:sz="4" w:space="0" w:color="auto"/>
              <w:bottom w:val="single" w:sz="4" w:space="0" w:color="auto"/>
            </w:tcBorders>
          </w:tcPr>
          <w:p w14:paraId="3ACF1C0D" w14:textId="77777777" w:rsidR="00816C1B" w:rsidRPr="001330BD" w:rsidRDefault="00816C1B" w:rsidP="00E923B6">
            <w:pPr>
              <w:pStyle w:val="naisc"/>
              <w:spacing w:before="40" w:after="40"/>
              <w:jc w:val="both"/>
            </w:pPr>
            <w:r w:rsidRPr="001330BD">
              <w:t>Noteikumu projekta 5.punktā izteiktais Noteikumu Nr.545 5.3.apakšpunkts:</w:t>
            </w:r>
          </w:p>
          <w:p w14:paraId="3673F14B" w14:textId="77777777" w:rsidR="00816C1B" w:rsidRPr="001330BD" w:rsidRDefault="00816C1B" w:rsidP="00E923B6">
            <w:pPr>
              <w:spacing w:before="40" w:after="40"/>
            </w:pPr>
            <w:r w:rsidRPr="001330BD">
              <w:t>“5.3. īpaši aizsargājamo sugu un īpaši aizsargājamo biotopu mikroliegumi un teritorijas, kurās aizsargā reti sastopamas, apdraudētas vai izmirstošas ekosistēmas, biotopus vai sugas, kas par tādām ir atzīti starptautiskos nolīgumos vai ir iekļauti starpvaldību organizāciju vai Starptautiskās dabas aizsardzības organizācijas sastādītos sarakstos, un par aizsargājamiem tie ir atzīti ar Eiropas Savienības vai Latvijas normatīvajiem aktiem;”</w:t>
            </w:r>
          </w:p>
          <w:p w14:paraId="18FCAA88" w14:textId="77777777" w:rsidR="00816C1B" w:rsidRPr="001330BD" w:rsidRDefault="00816C1B" w:rsidP="00E923B6">
            <w:pPr>
              <w:pStyle w:val="naisc"/>
              <w:spacing w:before="40" w:after="40"/>
              <w:jc w:val="both"/>
            </w:pPr>
          </w:p>
        </w:tc>
      </w:tr>
      <w:tr w:rsidR="007027AF" w:rsidRPr="001330BD" w14:paraId="106A499B" w14:textId="77777777" w:rsidTr="00B67450">
        <w:trPr>
          <w:jc w:val="center"/>
        </w:trPr>
        <w:tc>
          <w:tcPr>
            <w:tcW w:w="637" w:type="dxa"/>
            <w:vMerge w:val="restart"/>
            <w:tcBorders>
              <w:top w:val="single" w:sz="6" w:space="0" w:color="000000"/>
              <w:left w:val="single" w:sz="6" w:space="0" w:color="000000"/>
              <w:right w:val="single" w:sz="6" w:space="0" w:color="000000"/>
            </w:tcBorders>
          </w:tcPr>
          <w:p w14:paraId="1AE5A2DE" w14:textId="33BB3803" w:rsidR="007027AF" w:rsidRPr="001330BD" w:rsidRDefault="00B67450" w:rsidP="007027AF">
            <w:pPr>
              <w:pStyle w:val="naisc"/>
              <w:spacing w:before="40" w:after="40"/>
              <w:rPr>
                <w:b/>
              </w:rPr>
            </w:pPr>
            <w:r w:rsidRPr="001330BD">
              <w:rPr>
                <w:b/>
              </w:rPr>
              <w:t>12</w:t>
            </w:r>
          </w:p>
        </w:tc>
        <w:tc>
          <w:tcPr>
            <w:tcW w:w="3041" w:type="dxa"/>
            <w:vMerge w:val="restart"/>
            <w:tcBorders>
              <w:top w:val="single" w:sz="6" w:space="0" w:color="000000"/>
              <w:left w:val="single" w:sz="6" w:space="0" w:color="000000"/>
              <w:right w:val="single" w:sz="6" w:space="0" w:color="000000"/>
            </w:tcBorders>
          </w:tcPr>
          <w:p w14:paraId="7B752519" w14:textId="77777777" w:rsidR="007027AF" w:rsidRPr="001330BD" w:rsidRDefault="007027AF" w:rsidP="007027AF">
            <w:pPr>
              <w:shd w:val="clear" w:color="auto" w:fill="FFFFFF"/>
              <w:spacing w:before="60" w:after="60"/>
              <w:jc w:val="both"/>
              <w:rPr>
                <w:color w:val="000000" w:themeColor="text1"/>
              </w:rPr>
            </w:pPr>
            <w:r w:rsidRPr="001330BD">
              <w:rPr>
                <w:color w:val="000000" w:themeColor="text1"/>
              </w:rPr>
              <w:t>Noteikumu Nr.545 15.punkts:</w:t>
            </w:r>
          </w:p>
          <w:p w14:paraId="581D2C2A" w14:textId="77777777" w:rsidR="007027AF" w:rsidRPr="001330BD" w:rsidRDefault="007027AF" w:rsidP="007027AF">
            <w:pPr>
              <w:shd w:val="clear" w:color="auto" w:fill="FFFFFF"/>
              <w:spacing w:before="60" w:after="60"/>
              <w:jc w:val="both"/>
              <w:rPr>
                <w:color w:val="000000" w:themeColor="text1"/>
              </w:rPr>
            </w:pPr>
            <w:r w:rsidRPr="001330BD">
              <w:rPr>
                <w:color w:val="000000" w:themeColor="text1"/>
              </w:rPr>
              <w:t>“15. Apliecinājumu par Latvijas Republikas teritorijā iegūtas lauksaimniecības un mežsaimniecības izcelsmes biomasas atbilstību ilgtspējības kritērijiem, tas ir, apliecinājumu, ka izejvielas nav iegūtas no zemes platībām ar augstu bioloģisko daudzveidību un zemes platībām ar augstu oglekļa koncentrāciju, izejvielu audzētājam izsniedz Lauku atbalsta dienests.</w:t>
            </w:r>
          </w:p>
          <w:p w14:paraId="7234194D" w14:textId="77777777" w:rsidR="007027AF" w:rsidRPr="001330BD" w:rsidRDefault="007027AF" w:rsidP="007027AF">
            <w:pPr>
              <w:shd w:val="clear" w:color="auto" w:fill="FFFFFF"/>
              <w:spacing w:before="60" w:after="60"/>
              <w:jc w:val="both"/>
              <w:rPr>
                <w:color w:val="000000" w:themeColor="text1"/>
              </w:rPr>
            </w:pPr>
          </w:p>
          <w:p w14:paraId="53BB9B34" w14:textId="77777777" w:rsidR="007027AF" w:rsidRPr="001330BD" w:rsidRDefault="007027AF" w:rsidP="007027AF">
            <w:pPr>
              <w:shd w:val="clear" w:color="auto" w:fill="FFFFFF"/>
              <w:spacing w:before="60" w:after="60"/>
              <w:jc w:val="both"/>
              <w:rPr>
                <w:color w:val="000000" w:themeColor="text1"/>
              </w:rPr>
            </w:pPr>
            <w:r w:rsidRPr="001330BD">
              <w:rPr>
                <w:color w:val="000000" w:themeColor="text1"/>
              </w:rPr>
              <w:t>Noteikumu projekta 13.punkts:</w:t>
            </w:r>
          </w:p>
          <w:p w14:paraId="76A5D831" w14:textId="5F3DFA06" w:rsidR="007027AF" w:rsidRPr="001330BD" w:rsidRDefault="007027AF" w:rsidP="007027AF">
            <w:pPr>
              <w:pStyle w:val="naisc"/>
              <w:spacing w:before="40" w:after="40"/>
              <w:jc w:val="both"/>
            </w:pPr>
            <w:r w:rsidRPr="001330BD">
              <w:rPr>
                <w:color w:val="000000" w:themeColor="text1"/>
              </w:rPr>
              <w:t xml:space="preserve">“13. </w:t>
            </w:r>
            <w:r w:rsidRPr="001330BD">
              <w:rPr>
                <w:rFonts w:eastAsia="Calibri"/>
                <w:lang w:eastAsia="en-US"/>
              </w:rPr>
              <w:t>Papildināt 15. punktu aiz vārdiem “ar augstu oglekļa koncentrāciju,” ar vārdiem “tai skaitā, kūdrājiem”.”</w:t>
            </w:r>
          </w:p>
        </w:tc>
        <w:tc>
          <w:tcPr>
            <w:tcW w:w="4047" w:type="dxa"/>
            <w:tcBorders>
              <w:top w:val="single" w:sz="6" w:space="0" w:color="000000"/>
              <w:left w:val="single" w:sz="6" w:space="0" w:color="000000"/>
              <w:bottom w:val="single" w:sz="6" w:space="0" w:color="000000"/>
              <w:right w:val="single" w:sz="6" w:space="0" w:color="000000"/>
            </w:tcBorders>
          </w:tcPr>
          <w:p w14:paraId="67AD93BD" w14:textId="77777777" w:rsidR="007027AF" w:rsidRPr="001330BD" w:rsidRDefault="007027AF" w:rsidP="007027AF">
            <w:pPr>
              <w:widowControl w:val="0"/>
              <w:spacing w:before="60" w:after="60"/>
              <w:jc w:val="center"/>
              <w:rPr>
                <w:b/>
              </w:rPr>
            </w:pPr>
            <w:r w:rsidRPr="001330BD">
              <w:rPr>
                <w:b/>
              </w:rPr>
              <w:t>Lauku atbalsta dienesta viedoklis</w:t>
            </w:r>
          </w:p>
          <w:p w14:paraId="0909B884" w14:textId="77777777" w:rsidR="007027AF" w:rsidRPr="001330BD" w:rsidRDefault="007027AF" w:rsidP="007027AF">
            <w:pPr>
              <w:widowControl w:val="0"/>
              <w:spacing w:before="60" w:after="60"/>
              <w:jc w:val="center"/>
              <w:rPr>
                <w:b/>
              </w:rPr>
            </w:pPr>
            <w:r w:rsidRPr="001330BD">
              <w:rPr>
                <w:b/>
              </w:rPr>
              <w:t>(2018.gada 22.novembris)</w:t>
            </w:r>
          </w:p>
          <w:p w14:paraId="5363BCD2" w14:textId="54F86749" w:rsidR="007027AF" w:rsidRPr="001330BD" w:rsidRDefault="007027AF" w:rsidP="007027AF">
            <w:pPr>
              <w:widowControl w:val="0"/>
              <w:spacing w:before="40" w:after="40"/>
              <w:rPr>
                <w:b/>
              </w:rPr>
            </w:pPr>
            <w:r w:rsidRPr="001330BD">
              <w:t>2.</w:t>
            </w:r>
            <w:r w:rsidRPr="001330BD">
              <w:tab/>
              <w:t>Ierosinām, ka apliecinājumu par esošo noteikumu 5.  un 15. punktā minēto mežu zemju platībās iegūto biomasu nesniedz Lauku atbalsta dienests, bet gan Valsts meža dienests. Kopš 2011. gada, kad tika izstrādāta sākotnējā MK noteikumu redakcija, Valsts mežu dienests ir veicis būtiskus uzlabojumus savās iekšējās sistēmās un datubāzes un līdz ar to būtu kompetentāks sniegt šādu pieprasīto informāciju. Līdz ar to nepieciešams paredzēt pieteikšanās sistēmu Valsts meža dienestā, kā arī veikt attiecīgus grozījumus citos MK noteikumu punktos.</w:t>
            </w:r>
          </w:p>
        </w:tc>
        <w:tc>
          <w:tcPr>
            <w:tcW w:w="2899" w:type="dxa"/>
            <w:vMerge w:val="restart"/>
            <w:tcBorders>
              <w:top w:val="single" w:sz="6" w:space="0" w:color="000000"/>
              <w:left w:val="single" w:sz="6" w:space="0" w:color="000000"/>
              <w:right w:val="single" w:sz="6" w:space="0" w:color="000000"/>
            </w:tcBorders>
          </w:tcPr>
          <w:p w14:paraId="589F325C" w14:textId="085EB7F7" w:rsidR="007027AF" w:rsidRPr="001330BD" w:rsidRDefault="007027AF" w:rsidP="007027AF">
            <w:pPr>
              <w:spacing w:before="60" w:after="60"/>
              <w:jc w:val="center"/>
              <w:rPr>
                <w:b/>
                <w:iCs/>
              </w:rPr>
            </w:pPr>
            <w:r w:rsidRPr="001330BD">
              <w:rPr>
                <w:b/>
                <w:iCs/>
              </w:rPr>
              <w:t>Ņemts vērā</w:t>
            </w:r>
          </w:p>
          <w:p w14:paraId="6E5BE144" w14:textId="77777777" w:rsidR="007027AF" w:rsidRPr="001330BD" w:rsidRDefault="007027AF" w:rsidP="007027AF">
            <w:pPr>
              <w:spacing w:before="60" w:after="60"/>
              <w:rPr>
                <w:b/>
                <w:iCs/>
              </w:rPr>
            </w:pPr>
          </w:p>
          <w:p w14:paraId="55DDD27B" w14:textId="77777777" w:rsidR="007027AF" w:rsidRPr="001330BD" w:rsidRDefault="007027AF" w:rsidP="007027AF">
            <w:pPr>
              <w:pStyle w:val="naisc"/>
              <w:spacing w:before="60" w:after="60"/>
              <w:jc w:val="both"/>
            </w:pPr>
            <w:r w:rsidRPr="001330BD">
              <w:t>Saskaņā ar Valsts pārvaldes iekārtas likuma 10. panta astoto daļu un Administratīvā procesa likuma 59. panta otro daļu informāciju, kura nepieciešama pārvaldes lēmuma pieņemšanai un kura ir citas institūcijas rīcībā, iestāde iegūst pati sadarbojoties ar citām iestādēm.</w:t>
            </w:r>
          </w:p>
          <w:p w14:paraId="39E09E5D" w14:textId="77777777" w:rsidR="007027AF" w:rsidRPr="001330BD" w:rsidRDefault="007027AF" w:rsidP="007027AF">
            <w:pPr>
              <w:pStyle w:val="naisc"/>
              <w:spacing w:before="60" w:after="60"/>
              <w:jc w:val="both"/>
            </w:pPr>
          </w:p>
          <w:p w14:paraId="79281BEA" w14:textId="77777777" w:rsidR="007027AF" w:rsidRPr="001330BD" w:rsidRDefault="007027AF" w:rsidP="007027AF">
            <w:pPr>
              <w:pStyle w:val="naisc"/>
              <w:spacing w:before="60" w:after="60"/>
              <w:jc w:val="both"/>
            </w:pPr>
            <w:r w:rsidRPr="001330BD">
              <w:t xml:space="preserve">Valsts kancelejas izstrādātā Valsts pārvaldes reformu plānā 2020 kā viens no šajā plānā noteiktā mērķa sasniegšanai pasākumiem ir noteikts: “4. Centralizēt atbalsta funkcijas, izvērtējot radniecisko funkciju apvienošanas iespējas, kā arī mazo iestāžu darbības lietderību”, kur ir noteikts “jāpieņem lēmums par ekonomiskāko pakalpojumu sniegšanas modeli, veidojot vienotos </w:t>
            </w:r>
            <w:r w:rsidRPr="001330BD">
              <w:lastRenderedPageBreak/>
              <w:t>pakalpojumu centrus visas valsts pārvaldes vai vismaz viena resora ietvaros”.</w:t>
            </w:r>
          </w:p>
          <w:p w14:paraId="12C3E0D0" w14:textId="77777777" w:rsidR="007027AF" w:rsidRPr="001330BD" w:rsidRDefault="007027AF" w:rsidP="007027AF">
            <w:pPr>
              <w:pStyle w:val="naisc"/>
              <w:spacing w:before="60" w:after="60"/>
              <w:jc w:val="both"/>
              <w:rPr>
                <w:iCs/>
              </w:rPr>
            </w:pPr>
            <w:r w:rsidRPr="001330BD">
              <w:t>Līdz ar to ir secināms, ka arī Valsts kancelejas noteiktajā plānā netiek atbalstīts nosacījums, ka vienāds pakalpojums tiek piedāvāts vairākās valsts pārvaldes iestādēs.</w:t>
            </w:r>
          </w:p>
          <w:p w14:paraId="7F944853" w14:textId="77777777" w:rsidR="007027AF" w:rsidRPr="001330BD" w:rsidRDefault="007027AF" w:rsidP="007027AF">
            <w:pPr>
              <w:spacing w:before="60" w:after="60"/>
              <w:rPr>
                <w:iCs/>
              </w:rPr>
            </w:pPr>
          </w:p>
          <w:p w14:paraId="76A7A444" w14:textId="77777777" w:rsidR="007027AF" w:rsidRPr="001330BD" w:rsidRDefault="007027AF" w:rsidP="007027AF">
            <w:pPr>
              <w:spacing w:before="60" w:after="60"/>
              <w:rPr>
                <w:iCs/>
              </w:rPr>
            </w:pPr>
            <w:r w:rsidRPr="001330BD">
              <w:rPr>
                <w:iCs/>
              </w:rPr>
              <w:t>Šobrīd ar Noteikumiem Nr.545 ir noteikta viena iestāde, kas izsniedz apliecinājumu par atbilstību ilgtspējas kritērijiem Latvijas nacionālās sertificēšanas shēmas ietvaros – Lauku atbalsta dienests.</w:t>
            </w:r>
          </w:p>
          <w:p w14:paraId="1855B852" w14:textId="77777777" w:rsidR="007027AF" w:rsidRPr="001330BD" w:rsidRDefault="007027AF" w:rsidP="007027AF">
            <w:pPr>
              <w:spacing w:before="60" w:after="60"/>
              <w:rPr>
                <w:iCs/>
              </w:rPr>
            </w:pPr>
            <w:r w:rsidRPr="001330BD">
              <w:rPr>
                <w:iCs/>
              </w:rPr>
              <w:t>Lauku atbalsta dienestam ir iespējas pieprasīt visu nepieciešamo informāciju no Valsts meža dienesta saskaņā ar Administratīvā procesa likumu, ja apliecinājums ir jāizsniedz par Noteikumos Nr.545 un Noteikumu projektā minētajām meža zemes platībām.</w:t>
            </w:r>
          </w:p>
          <w:p w14:paraId="2B8CDFC2" w14:textId="77777777" w:rsidR="007027AF" w:rsidRPr="001330BD" w:rsidRDefault="007027AF" w:rsidP="007027AF">
            <w:pPr>
              <w:spacing w:before="60" w:after="60"/>
              <w:rPr>
                <w:iCs/>
              </w:rPr>
            </w:pPr>
          </w:p>
          <w:p w14:paraId="5670D145" w14:textId="77777777" w:rsidR="007027AF" w:rsidRPr="001330BD" w:rsidRDefault="007027AF" w:rsidP="007027AF">
            <w:pPr>
              <w:spacing w:before="60" w:after="60"/>
              <w:rPr>
                <w:iCs/>
              </w:rPr>
            </w:pPr>
            <w:r w:rsidRPr="001330BD">
              <w:rPr>
                <w:iCs/>
              </w:rPr>
              <w:lastRenderedPageBreak/>
              <w:t>Savukārt, ja tiks noteiktas vairākas šādas iestādes, tad tas varētu palielināt administratīvo, birokrātisko un arī fizisko slogu tiem biodegvielu izejvielas audzētājiem, kuriem šie apliecinājumi būs nepieciešami, kā arī radīs sajukumu šobrīd izveidotā sistēmā.</w:t>
            </w:r>
          </w:p>
          <w:p w14:paraId="41191BF5" w14:textId="77777777" w:rsidR="007027AF" w:rsidRPr="001330BD" w:rsidRDefault="007027AF" w:rsidP="007027AF">
            <w:pPr>
              <w:spacing w:before="60" w:after="60"/>
              <w:rPr>
                <w:iCs/>
              </w:rPr>
            </w:pPr>
          </w:p>
          <w:p w14:paraId="344FA938" w14:textId="7B526250" w:rsidR="007027AF" w:rsidRPr="001330BD" w:rsidRDefault="007027AF" w:rsidP="007027AF">
            <w:pPr>
              <w:spacing w:before="40" w:after="40"/>
              <w:rPr>
                <w:b/>
                <w:iCs/>
              </w:rPr>
            </w:pPr>
            <w:r w:rsidRPr="001330BD">
              <w:rPr>
                <w:iCs/>
              </w:rPr>
              <w:t xml:space="preserve">Papildus norādām, ka 5.punkts neattiecas uz meža biomasu, bet uz biodegvielas vai bioloģiskā šķidrā kurināmā ražošanai nepieciešamām izejvielām, kas ir iegūtas zemēs, kurām bija (vai joprojām ir – attiecībā uz Noteikumu Nr.545 5.punktu) oficiālais statuss “pirmatnējie meži un citas mežu zemes” vai “pastāvīgi apmežotas platības” vai platības ar noteiktu teritorijas lielumu vai koku augstumu, t.i., biodegvielu izejvielas var tikt audzētas platībās, kurās meža vairs nav (attiecībā uz “pirmatnējie meži un citas mežu zemes” kategoriju - </w:t>
            </w:r>
            <w:r w:rsidRPr="001330BD">
              <w:rPr>
                <w:iCs/>
              </w:rPr>
              <w:lastRenderedPageBreak/>
              <w:t>kurām nav grozīts statuss “meža zeme”). Līdz ar to ir secinājums, ka Lauku atbalsta dienestam būs jāsniedz atzinums par lauksaimniecības produktiem, kas ir iegūti no lauksaimniecībā izmantotajām platībām, kuras iepriekš bija mežsaimniecībā izmantotās platības</w:t>
            </w:r>
          </w:p>
        </w:tc>
        <w:tc>
          <w:tcPr>
            <w:tcW w:w="4368" w:type="dxa"/>
            <w:vMerge w:val="restart"/>
            <w:tcBorders>
              <w:top w:val="single" w:sz="4" w:space="0" w:color="auto"/>
              <w:left w:val="single" w:sz="4" w:space="0" w:color="auto"/>
            </w:tcBorders>
          </w:tcPr>
          <w:p w14:paraId="59BF7731" w14:textId="77777777" w:rsidR="007027AF" w:rsidRPr="001330BD" w:rsidRDefault="007027AF" w:rsidP="007027AF">
            <w:pPr>
              <w:tabs>
                <w:tab w:val="left" w:pos="3195"/>
              </w:tabs>
              <w:spacing w:before="60" w:after="60"/>
              <w:jc w:val="both"/>
            </w:pPr>
            <w:r w:rsidRPr="001330BD">
              <w:lastRenderedPageBreak/>
              <w:t>Noteikumu projekta 13.punkts:</w:t>
            </w:r>
          </w:p>
          <w:p w14:paraId="214C891D" w14:textId="77777777" w:rsidR="007027AF" w:rsidRPr="001330BD" w:rsidRDefault="007027AF" w:rsidP="007027AF">
            <w:pPr>
              <w:pStyle w:val="norm"/>
              <w:shd w:val="clear" w:color="auto" w:fill="FFFFFF"/>
              <w:tabs>
                <w:tab w:val="left" w:pos="1134"/>
              </w:tabs>
              <w:spacing w:before="60" w:beforeAutospacing="0" w:after="60" w:afterAutospacing="0"/>
              <w:jc w:val="both"/>
              <w:textAlignment w:val="baseline"/>
              <w:rPr>
                <w:rFonts w:eastAsia="Calibri"/>
                <w:lang w:eastAsia="en-US"/>
              </w:rPr>
            </w:pPr>
            <w:r w:rsidRPr="001330BD">
              <w:t xml:space="preserve">“13. </w:t>
            </w:r>
            <w:r w:rsidRPr="001330BD">
              <w:rPr>
                <w:rFonts w:eastAsia="Calibri"/>
                <w:lang w:eastAsia="en-US"/>
              </w:rPr>
              <w:t>Izteikt 15.punktu šādā redakcijā:</w:t>
            </w:r>
          </w:p>
          <w:p w14:paraId="6F1B9684" w14:textId="1034F01C" w:rsidR="007027AF" w:rsidRPr="001330BD" w:rsidRDefault="007027AF" w:rsidP="007027AF">
            <w:pPr>
              <w:pStyle w:val="naisc"/>
              <w:spacing w:before="40" w:after="40"/>
              <w:jc w:val="both"/>
            </w:pPr>
            <w:r w:rsidRPr="001330BD">
              <w:rPr>
                <w:rFonts w:eastAsia="Calibri"/>
                <w:lang w:eastAsia="en-US"/>
              </w:rPr>
              <w:t>“15. Apliecinājumu par biodegvielas un bioloģiskā šķidrā kurināmā ražošanā izmantoto Latvijas Republikas teritorijā iegūto izejvielu atbilstību ilgtspējas kritērijiem, tas ir, apliecinājumu, ka izejvielas nav iegūtas no zemes platībām ar augstu bioloģisko daudzveidību, zemes platībām ar augstu oglekļa koncentrāciju un šo noteikumu 8</w:t>
            </w:r>
            <w:r w:rsidRPr="001330BD">
              <w:rPr>
                <w:rFonts w:eastAsia="Calibri"/>
                <w:vertAlign w:val="superscript"/>
                <w:lang w:eastAsia="en-US"/>
              </w:rPr>
              <w:t>1</w:t>
            </w:r>
            <w:r w:rsidRPr="001330BD">
              <w:rPr>
                <w:rFonts w:eastAsia="Calibri"/>
                <w:lang w:eastAsia="en-US"/>
              </w:rPr>
              <w:t xml:space="preserve"> punktā minētajām zemes platībām, izejvielu audzētājam izsniedz Lauku atbalsta dienests. Apliecinājumā tiek iekļauta šāda informācija: klienta nosaukums, Lauku atbalsta dienesta klienta numurs, bloka numurs, lauka numurs kārtējā gada vienotajā iesniegumā, platība, kultūraugs, un pazīme par kultūrauga ieguvi kurināmā ražošanai.”.”</w:t>
            </w:r>
          </w:p>
        </w:tc>
      </w:tr>
      <w:tr w:rsidR="007027AF" w:rsidRPr="001330BD" w14:paraId="303D175D" w14:textId="77777777" w:rsidTr="00B67450">
        <w:trPr>
          <w:jc w:val="center"/>
        </w:trPr>
        <w:tc>
          <w:tcPr>
            <w:tcW w:w="637" w:type="dxa"/>
            <w:vMerge/>
            <w:tcBorders>
              <w:left w:val="single" w:sz="6" w:space="0" w:color="000000"/>
              <w:right w:val="single" w:sz="6" w:space="0" w:color="000000"/>
            </w:tcBorders>
          </w:tcPr>
          <w:p w14:paraId="50D05496" w14:textId="77777777" w:rsidR="007027AF" w:rsidRPr="001330BD" w:rsidRDefault="007027AF" w:rsidP="007027AF">
            <w:pPr>
              <w:pStyle w:val="naisc"/>
              <w:spacing w:before="40" w:after="40"/>
              <w:rPr>
                <w:b/>
              </w:rPr>
            </w:pPr>
          </w:p>
        </w:tc>
        <w:tc>
          <w:tcPr>
            <w:tcW w:w="3041" w:type="dxa"/>
            <w:vMerge/>
            <w:tcBorders>
              <w:left w:val="single" w:sz="6" w:space="0" w:color="000000"/>
              <w:right w:val="single" w:sz="6" w:space="0" w:color="000000"/>
            </w:tcBorders>
          </w:tcPr>
          <w:p w14:paraId="6349DFE6" w14:textId="77777777" w:rsidR="007027AF" w:rsidRPr="001330BD" w:rsidRDefault="007027AF" w:rsidP="007027AF">
            <w:pPr>
              <w:shd w:val="clear" w:color="auto" w:fill="FFFFFF"/>
              <w:spacing w:before="60" w:after="60"/>
              <w:jc w:val="both"/>
              <w:rPr>
                <w:color w:val="000000" w:themeColor="text1"/>
              </w:rPr>
            </w:pPr>
          </w:p>
        </w:tc>
        <w:tc>
          <w:tcPr>
            <w:tcW w:w="4047" w:type="dxa"/>
            <w:tcBorders>
              <w:top w:val="single" w:sz="6" w:space="0" w:color="000000"/>
              <w:left w:val="single" w:sz="6" w:space="0" w:color="000000"/>
              <w:bottom w:val="single" w:sz="6" w:space="0" w:color="000000"/>
              <w:right w:val="single" w:sz="6" w:space="0" w:color="000000"/>
            </w:tcBorders>
          </w:tcPr>
          <w:p w14:paraId="4DDB3B66" w14:textId="77777777" w:rsidR="007027AF" w:rsidRPr="001330BD" w:rsidRDefault="007027AF" w:rsidP="007027AF">
            <w:pPr>
              <w:widowControl w:val="0"/>
              <w:spacing w:before="60" w:after="60"/>
              <w:jc w:val="center"/>
              <w:rPr>
                <w:b/>
              </w:rPr>
            </w:pPr>
            <w:r w:rsidRPr="001330BD">
              <w:rPr>
                <w:b/>
              </w:rPr>
              <w:t>Zemkopības ministrija</w:t>
            </w:r>
          </w:p>
          <w:p w14:paraId="6E8293FD" w14:textId="77777777" w:rsidR="007027AF" w:rsidRPr="001330BD" w:rsidRDefault="007027AF" w:rsidP="007027AF">
            <w:pPr>
              <w:widowControl w:val="0"/>
              <w:spacing w:before="60" w:after="60"/>
              <w:jc w:val="center"/>
              <w:rPr>
                <w:b/>
              </w:rPr>
            </w:pPr>
            <w:r w:rsidRPr="001330BD">
              <w:rPr>
                <w:b/>
              </w:rPr>
              <w:t>(2018.gada 11.decembra atzinums)</w:t>
            </w:r>
          </w:p>
          <w:p w14:paraId="241F597E" w14:textId="230F45F3" w:rsidR="007027AF" w:rsidRPr="001330BD" w:rsidRDefault="007027AF" w:rsidP="007027AF">
            <w:pPr>
              <w:widowControl w:val="0"/>
              <w:spacing w:before="60" w:after="60"/>
              <w:rPr>
                <w:b/>
              </w:rPr>
            </w:pPr>
            <w:r w:rsidRPr="001330BD">
              <w:t xml:space="preserve">2. Zemkopības ministrija saglabā viedokli, ka apliecinājumu par Ministru kabineta 2011. gada 5. jūlija noteikumu Nr. 545 “Noteikumi par biodegvielu un bioloģisko šķidro kurināmo ilgtspējas kritērijiem, to ieviešanas mehānismu un uzraudzības un kontroles kārtību”” (turpmāk – noteikumi) 5.  un 15. punktā minēto mežu zemju platībās iegūto biomasu nevar sniegt Lauku </w:t>
            </w:r>
            <w:r w:rsidRPr="001330BD">
              <w:lastRenderedPageBreak/>
              <w:t xml:space="preserve">atbalsta dienests. </w:t>
            </w:r>
          </w:p>
        </w:tc>
        <w:tc>
          <w:tcPr>
            <w:tcW w:w="2899" w:type="dxa"/>
            <w:vMerge/>
            <w:tcBorders>
              <w:left w:val="single" w:sz="6" w:space="0" w:color="000000"/>
              <w:right w:val="single" w:sz="6" w:space="0" w:color="000000"/>
            </w:tcBorders>
          </w:tcPr>
          <w:p w14:paraId="61B8EF91" w14:textId="77777777" w:rsidR="007027AF" w:rsidRPr="001330BD" w:rsidRDefault="007027AF" w:rsidP="007027AF">
            <w:pPr>
              <w:spacing w:before="60" w:after="60"/>
              <w:jc w:val="center"/>
              <w:rPr>
                <w:b/>
                <w:iCs/>
              </w:rPr>
            </w:pPr>
          </w:p>
        </w:tc>
        <w:tc>
          <w:tcPr>
            <w:tcW w:w="4368" w:type="dxa"/>
            <w:vMerge/>
            <w:tcBorders>
              <w:left w:val="single" w:sz="4" w:space="0" w:color="auto"/>
            </w:tcBorders>
          </w:tcPr>
          <w:p w14:paraId="0ECB81BE" w14:textId="77777777" w:rsidR="007027AF" w:rsidRPr="001330BD" w:rsidRDefault="007027AF" w:rsidP="007027AF">
            <w:pPr>
              <w:pStyle w:val="naisc"/>
              <w:spacing w:before="40" w:after="40"/>
              <w:jc w:val="both"/>
            </w:pPr>
          </w:p>
        </w:tc>
      </w:tr>
      <w:tr w:rsidR="007027AF" w:rsidRPr="001330BD" w14:paraId="6687B6B1" w14:textId="77777777" w:rsidTr="00B67450">
        <w:trPr>
          <w:jc w:val="center"/>
        </w:trPr>
        <w:tc>
          <w:tcPr>
            <w:tcW w:w="637" w:type="dxa"/>
            <w:vMerge/>
            <w:tcBorders>
              <w:left w:val="single" w:sz="6" w:space="0" w:color="000000"/>
              <w:bottom w:val="single" w:sz="6" w:space="0" w:color="000000"/>
              <w:right w:val="single" w:sz="6" w:space="0" w:color="000000"/>
            </w:tcBorders>
          </w:tcPr>
          <w:p w14:paraId="5AFFD252" w14:textId="77777777" w:rsidR="007027AF" w:rsidRPr="001330BD" w:rsidRDefault="007027AF" w:rsidP="007027AF">
            <w:pPr>
              <w:pStyle w:val="naisc"/>
              <w:spacing w:before="40" w:after="40"/>
              <w:rPr>
                <w:b/>
              </w:rPr>
            </w:pPr>
          </w:p>
        </w:tc>
        <w:tc>
          <w:tcPr>
            <w:tcW w:w="3041" w:type="dxa"/>
            <w:vMerge/>
            <w:tcBorders>
              <w:left w:val="single" w:sz="6" w:space="0" w:color="000000"/>
              <w:bottom w:val="single" w:sz="6" w:space="0" w:color="000000"/>
              <w:right w:val="single" w:sz="6" w:space="0" w:color="000000"/>
            </w:tcBorders>
          </w:tcPr>
          <w:p w14:paraId="23346BAF" w14:textId="77777777" w:rsidR="007027AF" w:rsidRPr="001330BD" w:rsidRDefault="007027AF" w:rsidP="007027AF">
            <w:pPr>
              <w:shd w:val="clear" w:color="auto" w:fill="FFFFFF"/>
              <w:spacing w:before="60" w:after="60"/>
              <w:jc w:val="both"/>
              <w:rPr>
                <w:color w:val="000000" w:themeColor="text1"/>
              </w:rPr>
            </w:pPr>
          </w:p>
        </w:tc>
        <w:tc>
          <w:tcPr>
            <w:tcW w:w="4047" w:type="dxa"/>
            <w:tcBorders>
              <w:top w:val="single" w:sz="6" w:space="0" w:color="000000"/>
              <w:left w:val="single" w:sz="6" w:space="0" w:color="000000"/>
              <w:bottom w:val="single" w:sz="6" w:space="0" w:color="000000"/>
              <w:right w:val="single" w:sz="6" w:space="0" w:color="000000"/>
            </w:tcBorders>
          </w:tcPr>
          <w:p w14:paraId="629DBFC3" w14:textId="77777777" w:rsidR="007027AF" w:rsidRPr="001330BD" w:rsidRDefault="007027AF" w:rsidP="007027AF">
            <w:pPr>
              <w:widowControl w:val="0"/>
              <w:spacing w:before="60" w:after="60"/>
              <w:jc w:val="center"/>
              <w:rPr>
                <w:b/>
              </w:rPr>
            </w:pPr>
            <w:r w:rsidRPr="001330BD">
              <w:rPr>
                <w:b/>
              </w:rPr>
              <w:t>Lauku atbalsta dienests</w:t>
            </w:r>
          </w:p>
          <w:p w14:paraId="58D2827E" w14:textId="77777777" w:rsidR="007027AF" w:rsidRPr="001330BD" w:rsidRDefault="007027AF" w:rsidP="007027AF">
            <w:pPr>
              <w:widowControl w:val="0"/>
              <w:spacing w:before="60" w:after="60"/>
              <w:jc w:val="center"/>
              <w:rPr>
                <w:b/>
              </w:rPr>
            </w:pPr>
            <w:r w:rsidRPr="001330BD">
              <w:rPr>
                <w:b/>
              </w:rPr>
              <w:t>(2018.gada 11.decembra viedoklis)</w:t>
            </w:r>
          </w:p>
          <w:p w14:paraId="2D13CE86" w14:textId="1EE4EFC5" w:rsidR="007027AF" w:rsidRPr="001330BD" w:rsidRDefault="007027AF" w:rsidP="007027AF">
            <w:pPr>
              <w:widowControl w:val="0"/>
              <w:spacing w:before="60" w:after="60"/>
              <w:rPr>
                <w:b/>
              </w:rPr>
            </w:pPr>
            <w:r w:rsidRPr="001330BD">
              <w:t xml:space="preserve">Lauku atbalsta dienests uztur spēkā iebildumu, ka nevaram sniegt atzinumus par mežsaimniecības produktiem. </w:t>
            </w:r>
          </w:p>
        </w:tc>
        <w:tc>
          <w:tcPr>
            <w:tcW w:w="2899" w:type="dxa"/>
            <w:vMerge/>
            <w:tcBorders>
              <w:left w:val="single" w:sz="6" w:space="0" w:color="000000"/>
              <w:bottom w:val="single" w:sz="6" w:space="0" w:color="000000"/>
              <w:right w:val="single" w:sz="6" w:space="0" w:color="000000"/>
            </w:tcBorders>
          </w:tcPr>
          <w:p w14:paraId="6BE6BC20" w14:textId="77777777" w:rsidR="007027AF" w:rsidRPr="001330BD" w:rsidRDefault="007027AF" w:rsidP="007027AF">
            <w:pPr>
              <w:spacing w:before="60" w:after="60"/>
              <w:jc w:val="center"/>
              <w:rPr>
                <w:b/>
                <w:iCs/>
              </w:rPr>
            </w:pPr>
          </w:p>
        </w:tc>
        <w:tc>
          <w:tcPr>
            <w:tcW w:w="4368" w:type="dxa"/>
            <w:vMerge/>
            <w:tcBorders>
              <w:left w:val="single" w:sz="4" w:space="0" w:color="auto"/>
              <w:bottom w:val="single" w:sz="4" w:space="0" w:color="auto"/>
            </w:tcBorders>
          </w:tcPr>
          <w:p w14:paraId="0DCC027A" w14:textId="77777777" w:rsidR="007027AF" w:rsidRPr="001330BD" w:rsidRDefault="007027AF" w:rsidP="007027AF">
            <w:pPr>
              <w:pStyle w:val="naisc"/>
              <w:spacing w:before="40" w:after="40"/>
              <w:jc w:val="both"/>
            </w:pPr>
          </w:p>
        </w:tc>
      </w:tr>
      <w:tr w:rsidR="007027AF" w:rsidRPr="001330BD" w14:paraId="3615EB9B" w14:textId="77777777" w:rsidTr="00A3355C">
        <w:trPr>
          <w:jc w:val="center"/>
        </w:trPr>
        <w:tc>
          <w:tcPr>
            <w:tcW w:w="637" w:type="dxa"/>
            <w:vMerge w:val="restart"/>
            <w:tcBorders>
              <w:top w:val="single" w:sz="6" w:space="0" w:color="000000"/>
              <w:left w:val="single" w:sz="6" w:space="0" w:color="000000"/>
              <w:right w:val="single" w:sz="6" w:space="0" w:color="000000"/>
            </w:tcBorders>
          </w:tcPr>
          <w:p w14:paraId="5F6732BE" w14:textId="7753CFCA" w:rsidR="007027AF" w:rsidRPr="001330BD" w:rsidRDefault="00B67450" w:rsidP="007027AF">
            <w:pPr>
              <w:pStyle w:val="naisc"/>
              <w:spacing w:before="40" w:after="40"/>
              <w:rPr>
                <w:b/>
              </w:rPr>
            </w:pPr>
            <w:r w:rsidRPr="001330BD">
              <w:rPr>
                <w:b/>
              </w:rPr>
              <w:lastRenderedPageBreak/>
              <w:t>13</w:t>
            </w:r>
          </w:p>
        </w:tc>
        <w:tc>
          <w:tcPr>
            <w:tcW w:w="3041" w:type="dxa"/>
            <w:vMerge w:val="restart"/>
            <w:tcBorders>
              <w:top w:val="single" w:sz="6" w:space="0" w:color="000000"/>
              <w:left w:val="single" w:sz="6" w:space="0" w:color="000000"/>
              <w:right w:val="single" w:sz="6" w:space="0" w:color="000000"/>
            </w:tcBorders>
          </w:tcPr>
          <w:p w14:paraId="15129178" w14:textId="77777777" w:rsidR="007027AF" w:rsidRPr="001330BD" w:rsidRDefault="007027AF" w:rsidP="007027AF">
            <w:pPr>
              <w:shd w:val="clear" w:color="auto" w:fill="FFFFFF"/>
              <w:spacing w:before="40" w:after="40"/>
            </w:pPr>
            <w:r w:rsidRPr="001330BD">
              <w:t>Noteikumu Nr.545 6.punkts:</w:t>
            </w:r>
          </w:p>
          <w:p w14:paraId="04637865" w14:textId="77777777" w:rsidR="007027AF" w:rsidRPr="001330BD" w:rsidRDefault="007027AF" w:rsidP="007027AF">
            <w:pPr>
              <w:shd w:val="clear" w:color="auto" w:fill="FFFFFF"/>
              <w:spacing w:before="40" w:after="40"/>
            </w:pPr>
            <w:r w:rsidRPr="001330BD">
              <w:t xml:space="preserve">“6. Lauksaimniecības un mežsaimniecības izcelsmes biomasu var iegūt no šo noteikumu 5.2. un 5.3.apakšpunktā minētajām zemes platībām, ja tās ieguve nav pretrunā ar īpaši aizsargājamās dabas teritorijas vai mikroliegumus regulējošiem normatīvajiem aktiem. Dabas aizsardzības pārvalde pēc Lauku atbalsta dienesta pieprasījuma iesniedz Lauku atbalsta dienestā informāciju par zemes platībām, kuras atrodas </w:t>
            </w:r>
            <w:bookmarkStart w:id="5" w:name="_Hlk530690544"/>
            <w:r w:rsidRPr="001330BD">
              <w:t>šo noteikumu 5.2. un 5.3.apakšpunktā minētajās teritorijās.</w:t>
            </w:r>
            <w:bookmarkEnd w:id="5"/>
            <w:r w:rsidRPr="001330BD">
              <w:t>”</w:t>
            </w:r>
          </w:p>
        </w:tc>
        <w:tc>
          <w:tcPr>
            <w:tcW w:w="4047" w:type="dxa"/>
            <w:tcBorders>
              <w:top w:val="single" w:sz="6" w:space="0" w:color="000000"/>
              <w:left w:val="single" w:sz="6" w:space="0" w:color="000000"/>
              <w:bottom w:val="single" w:sz="6" w:space="0" w:color="000000"/>
              <w:right w:val="single" w:sz="6" w:space="0" w:color="000000"/>
            </w:tcBorders>
          </w:tcPr>
          <w:p w14:paraId="770E7F53" w14:textId="77777777" w:rsidR="007027AF" w:rsidRPr="001330BD" w:rsidRDefault="007027AF" w:rsidP="007027AF">
            <w:pPr>
              <w:widowControl w:val="0"/>
              <w:spacing w:before="40" w:after="40"/>
              <w:jc w:val="center"/>
              <w:rPr>
                <w:b/>
              </w:rPr>
            </w:pPr>
            <w:r w:rsidRPr="001330BD">
              <w:rPr>
                <w:b/>
              </w:rPr>
              <w:t>Lauku atbalsta dienesta viedoklis</w:t>
            </w:r>
          </w:p>
          <w:p w14:paraId="02377BAE" w14:textId="77777777" w:rsidR="007027AF" w:rsidRPr="001330BD" w:rsidRDefault="007027AF" w:rsidP="007027AF">
            <w:pPr>
              <w:widowControl w:val="0"/>
              <w:spacing w:before="40" w:after="40"/>
              <w:jc w:val="center"/>
              <w:rPr>
                <w:b/>
              </w:rPr>
            </w:pPr>
            <w:r w:rsidRPr="001330BD">
              <w:rPr>
                <w:b/>
              </w:rPr>
              <w:t>(2018.gada 22.novembris)</w:t>
            </w:r>
          </w:p>
          <w:p w14:paraId="259084AD" w14:textId="77777777" w:rsidR="007027AF" w:rsidRPr="001330BD" w:rsidRDefault="007027AF" w:rsidP="007027AF">
            <w:pPr>
              <w:spacing w:before="40" w:after="40"/>
              <w:jc w:val="both"/>
              <w:rPr>
                <w:b/>
              </w:rPr>
            </w:pPr>
            <w:r w:rsidRPr="001330BD">
              <w:t>1. Nepieciešams papildināt esošo MK noteikumu 6. punktu, ka Dabas aizsardzības pārvalde sniedz informāciju par 5.4 punktā minētajām: “kas ir iekļautas Eiropas nozīmes aizsargājamo dabas teritoriju sarakstā (</w:t>
            </w:r>
            <w:proofErr w:type="spellStart"/>
            <w:r w:rsidRPr="001330BD">
              <w:t>Natura</w:t>
            </w:r>
            <w:proofErr w:type="spellEnd"/>
            <w:r w:rsidRPr="001330BD">
              <w:t xml:space="preserve"> 2000)”</w:t>
            </w:r>
          </w:p>
        </w:tc>
        <w:tc>
          <w:tcPr>
            <w:tcW w:w="2899" w:type="dxa"/>
            <w:vMerge w:val="restart"/>
            <w:tcBorders>
              <w:top w:val="single" w:sz="6" w:space="0" w:color="000000"/>
              <w:left w:val="single" w:sz="6" w:space="0" w:color="000000"/>
              <w:right w:val="single" w:sz="6" w:space="0" w:color="000000"/>
            </w:tcBorders>
          </w:tcPr>
          <w:p w14:paraId="343E98BF" w14:textId="77777777" w:rsidR="007027AF" w:rsidRPr="001330BD" w:rsidRDefault="007027AF" w:rsidP="007027AF">
            <w:pPr>
              <w:spacing w:before="40" w:after="40"/>
              <w:jc w:val="center"/>
              <w:rPr>
                <w:b/>
                <w:iCs/>
              </w:rPr>
            </w:pPr>
            <w:r w:rsidRPr="001330BD">
              <w:rPr>
                <w:b/>
                <w:iCs/>
              </w:rPr>
              <w:t>Ņemts vērā</w:t>
            </w:r>
          </w:p>
        </w:tc>
        <w:tc>
          <w:tcPr>
            <w:tcW w:w="4368" w:type="dxa"/>
            <w:vMerge w:val="restart"/>
            <w:tcBorders>
              <w:top w:val="single" w:sz="4" w:space="0" w:color="auto"/>
              <w:left w:val="single" w:sz="4" w:space="0" w:color="auto"/>
            </w:tcBorders>
          </w:tcPr>
          <w:p w14:paraId="6076B532" w14:textId="77777777" w:rsidR="007027AF" w:rsidRPr="001330BD" w:rsidRDefault="007027AF" w:rsidP="007027AF">
            <w:pPr>
              <w:shd w:val="clear" w:color="auto" w:fill="FFFFFF"/>
              <w:spacing w:before="40" w:after="40"/>
            </w:pPr>
            <w:r w:rsidRPr="001330BD">
              <w:t>Noteikumu projekta 6.punkts:</w:t>
            </w:r>
          </w:p>
          <w:p w14:paraId="37D0551A" w14:textId="21BF315D" w:rsidR="007027AF" w:rsidRPr="001330BD" w:rsidRDefault="007027AF" w:rsidP="007027AF">
            <w:pPr>
              <w:tabs>
                <w:tab w:val="left" w:pos="1134"/>
              </w:tabs>
              <w:spacing w:before="120" w:after="120"/>
              <w:jc w:val="both"/>
            </w:pPr>
            <w:r w:rsidRPr="001330BD">
              <w:t>“6. Izteikt 6.punktu šādā redakcijā:</w:t>
            </w:r>
          </w:p>
          <w:p w14:paraId="6C8E9C7A" w14:textId="32F98228" w:rsidR="007027AF" w:rsidRPr="001330BD" w:rsidRDefault="007027AF" w:rsidP="007027AF">
            <w:pPr>
              <w:spacing w:after="120"/>
            </w:pPr>
            <w:r w:rsidRPr="001330BD">
              <w:t>“6. Šo noteikumu 5.punktā minētās izejvielas var iegūt no zemes platībām, kas atrodas šo noteikumu 5.2., 5.3. un 5.4. apakšpunktā minētajās teritorijās, ja tās ieguve nav pretrunā ar īpaši aizsargājamās dabas teritorijas vai mikroliegumus regulējošiem normatīvajiem aktiem un ir nepieciešama bioloģiskās daudzveidības uzturēšanai šajās teritorijās. Dabas aizsardzības pārvalde nodrošina atvērtos ģeotelpiskos datus par šo noteikumu 5.2., 5.3. un 5.4. apakšpunktā minētajām teritorijām un iesniedz to Lauku atbalsta dienestā pēc pieprasījuma.”.”</w:t>
            </w:r>
          </w:p>
        </w:tc>
      </w:tr>
      <w:tr w:rsidR="007027AF" w:rsidRPr="001330BD" w14:paraId="43F4EF6E" w14:textId="77777777" w:rsidTr="00EA50E3">
        <w:trPr>
          <w:jc w:val="center"/>
        </w:trPr>
        <w:tc>
          <w:tcPr>
            <w:tcW w:w="637" w:type="dxa"/>
            <w:vMerge/>
            <w:tcBorders>
              <w:left w:val="single" w:sz="6" w:space="0" w:color="000000"/>
              <w:right w:val="single" w:sz="6" w:space="0" w:color="000000"/>
            </w:tcBorders>
          </w:tcPr>
          <w:p w14:paraId="01FC79BF" w14:textId="77777777" w:rsidR="007027AF" w:rsidRPr="001330BD" w:rsidRDefault="007027AF" w:rsidP="007027AF">
            <w:pPr>
              <w:pStyle w:val="naisc"/>
              <w:spacing w:before="40" w:after="40"/>
              <w:rPr>
                <w:b/>
              </w:rPr>
            </w:pPr>
          </w:p>
        </w:tc>
        <w:tc>
          <w:tcPr>
            <w:tcW w:w="3041" w:type="dxa"/>
            <w:vMerge/>
            <w:tcBorders>
              <w:left w:val="single" w:sz="6" w:space="0" w:color="000000"/>
              <w:right w:val="single" w:sz="6" w:space="0" w:color="000000"/>
            </w:tcBorders>
          </w:tcPr>
          <w:p w14:paraId="4DD73F18" w14:textId="77777777" w:rsidR="007027AF" w:rsidRPr="001330BD" w:rsidRDefault="007027AF" w:rsidP="007027AF">
            <w:pPr>
              <w:pStyle w:val="naisc"/>
              <w:spacing w:before="40" w:after="40"/>
              <w:jc w:val="both"/>
            </w:pPr>
          </w:p>
        </w:tc>
        <w:tc>
          <w:tcPr>
            <w:tcW w:w="4047" w:type="dxa"/>
            <w:tcBorders>
              <w:top w:val="single" w:sz="6" w:space="0" w:color="000000"/>
              <w:left w:val="single" w:sz="6" w:space="0" w:color="000000"/>
              <w:bottom w:val="single" w:sz="6" w:space="0" w:color="000000"/>
              <w:right w:val="single" w:sz="6" w:space="0" w:color="000000"/>
            </w:tcBorders>
          </w:tcPr>
          <w:p w14:paraId="559C6A17" w14:textId="77777777" w:rsidR="007027AF" w:rsidRPr="001330BD" w:rsidRDefault="007027AF" w:rsidP="007027AF">
            <w:pPr>
              <w:widowControl w:val="0"/>
              <w:spacing w:before="40" w:after="40"/>
              <w:jc w:val="center"/>
              <w:rPr>
                <w:b/>
              </w:rPr>
            </w:pPr>
            <w:r w:rsidRPr="001330BD">
              <w:rPr>
                <w:b/>
              </w:rPr>
              <w:t>Dabas aizsardzības pārvaldes viedoklis</w:t>
            </w:r>
          </w:p>
          <w:p w14:paraId="6C9ED430" w14:textId="77777777" w:rsidR="007027AF" w:rsidRPr="001330BD" w:rsidRDefault="007027AF" w:rsidP="007027AF">
            <w:pPr>
              <w:widowControl w:val="0"/>
              <w:spacing w:before="40" w:after="40"/>
              <w:jc w:val="center"/>
              <w:rPr>
                <w:b/>
              </w:rPr>
            </w:pPr>
            <w:r w:rsidRPr="001330BD">
              <w:rPr>
                <w:b/>
              </w:rPr>
              <w:t>(2018.gada 29.novembris)</w:t>
            </w:r>
          </w:p>
          <w:p w14:paraId="243F1B7E" w14:textId="77777777" w:rsidR="007027AF" w:rsidRPr="001330BD" w:rsidRDefault="007027AF" w:rsidP="007027AF">
            <w:pPr>
              <w:spacing w:before="40" w:after="40"/>
              <w:jc w:val="both"/>
            </w:pPr>
            <w:r w:rsidRPr="001330BD">
              <w:t xml:space="preserve">2. Izteikt noteikumu </w:t>
            </w:r>
            <w:r w:rsidRPr="001330BD">
              <w:rPr>
                <w:bCs/>
              </w:rPr>
              <w:t>6.punktu</w:t>
            </w:r>
            <w:r w:rsidRPr="001330BD">
              <w:t xml:space="preserve"> šādā redakcijā:</w:t>
            </w:r>
          </w:p>
          <w:p w14:paraId="240E7389" w14:textId="77777777" w:rsidR="007027AF" w:rsidRPr="001330BD" w:rsidRDefault="007027AF" w:rsidP="007027AF">
            <w:pPr>
              <w:spacing w:before="40" w:after="40"/>
              <w:jc w:val="both"/>
              <w:rPr>
                <w:rFonts w:eastAsiaTheme="minorHAnsi"/>
              </w:rPr>
            </w:pPr>
            <w:r w:rsidRPr="001330BD">
              <w:t xml:space="preserve">“6. Lauksaimniecības un mežsaimniecības izcelsmes biomasu var iegūt no </w:t>
            </w:r>
            <w:r w:rsidRPr="001330BD">
              <w:rPr>
                <w:b/>
                <w:bCs/>
              </w:rPr>
              <w:t>zemes platībām, kas atrodas</w:t>
            </w:r>
            <w:r w:rsidRPr="001330BD">
              <w:t xml:space="preserve"> šo noteikumu 5.2., 5.3. un 5.4.apakšpunktā minētajās teritorijās, ja tās ieguve nav pretrunā ar īpaši </w:t>
            </w:r>
            <w:r w:rsidRPr="001330BD">
              <w:lastRenderedPageBreak/>
              <w:t xml:space="preserve">aizsargājamās dabas teritorijas vai mikroliegumus regulējošiem normatīvajiem aktiem </w:t>
            </w:r>
            <w:bookmarkStart w:id="6" w:name="_Hlk531531690"/>
            <w:r w:rsidRPr="001330BD">
              <w:rPr>
                <w:b/>
                <w:bCs/>
              </w:rPr>
              <w:t>un ir nepieciešama bioloģiskās daudzveidības uzturēšanai šajās teritorijās</w:t>
            </w:r>
            <w:r w:rsidRPr="001330BD">
              <w:t xml:space="preserve">. </w:t>
            </w:r>
            <w:bookmarkStart w:id="7" w:name="_Hlk531531725"/>
            <w:bookmarkEnd w:id="6"/>
            <w:r w:rsidRPr="001330BD">
              <w:rPr>
                <w:b/>
                <w:bCs/>
              </w:rPr>
              <w:t>Dabas aizsardzības pārvalde nodrošina atvērtos ģeotelpiskos datus par šo noteikumu 5.2., 5.3. un 5.4. apakšpunktā minētajām teritorijām</w:t>
            </w:r>
            <w:r w:rsidRPr="001330BD">
              <w:t>.”.</w:t>
            </w:r>
            <w:bookmarkEnd w:id="7"/>
          </w:p>
          <w:p w14:paraId="5973228A" w14:textId="77777777" w:rsidR="007027AF" w:rsidRPr="001330BD" w:rsidRDefault="007027AF" w:rsidP="007027AF">
            <w:pPr>
              <w:pStyle w:val="Header"/>
              <w:spacing w:before="40" w:after="40"/>
              <w:jc w:val="both"/>
            </w:pPr>
          </w:p>
          <w:p w14:paraId="3100E4D2" w14:textId="77777777" w:rsidR="007027AF" w:rsidRPr="001330BD" w:rsidRDefault="007027AF" w:rsidP="007027AF">
            <w:pPr>
              <w:pStyle w:val="Header"/>
              <w:spacing w:before="40" w:after="40"/>
              <w:jc w:val="both"/>
            </w:pPr>
            <w:r w:rsidRPr="001330BD">
              <w:rPr>
                <w:i/>
                <w:iCs/>
              </w:rPr>
              <w:t>Pamatojums:</w:t>
            </w:r>
            <w:r w:rsidRPr="001330BD">
              <w:t xml:space="preserve"> Lai uzturētu dabas bioloģisko daudzveidību dažādos atklāta tipa īpaši aizsargājamos biotopos (piemēram, zālājos un purvos, pelēkās kāpās, virsājos u.c.) un īpaši aizsargājamo sugu dzīvotnēs, kas norādīti noteikumu 5.2. - 5.4.apakšpunktā, ir nepieciešams novākt biomasu no šiem biotopiem un sugu dzīvotnēm. Ja biomasas ieguve ir nepieciešama, lai šīs dabas vērtības saglabātu, tad uzskatāms, ka šāda biomasa ir ilgtspējīga un tās ieguve nerada apdraudējumu dabas un vides vērtībām, bet tieši otrādi – veicina to saglabāšanu. </w:t>
            </w:r>
          </w:p>
          <w:p w14:paraId="0A571A38" w14:textId="77777777" w:rsidR="007027AF" w:rsidRPr="001330BD" w:rsidRDefault="007027AF" w:rsidP="007027AF">
            <w:pPr>
              <w:pStyle w:val="Header"/>
              <w:spacing w:before="40" w:after="40"/>
              <w:jc w:val="both"/>
            </w:pPr>
            <w:r w:rsidRPr="001330BD">
              <w:t xml:space="preserve">2017.gadā ir izstrādāta un izdota Eiropas Savienības nozīmes biotopu aizsardzības un apsaimniekošanas vadlīniju rokasgrāmata, kas ir pieejama tīmekļa vietnē: </w:t>
            </w:r>
          </w:p>
          <w:p w14:paraId="4A958639" w14:textId="77777777" w:rsidR="007027AF" w:rsidRPr="001330BD" w:rsidRDefault="001164E7" w:rsidP="007027AF">
            <w:pPr>
              <w:pStyle w:val="Header"/>
              <w:spacing w:before="40" w:after="40"/>
              <w:jc w:val="both"/>
            </w:pPr>
            <w:hyperlink r:id="rId13" w:anchor="vadlinijas" w:history="1">
              <w:r w:rsidR="007027AF" w:rsidRPr="001330BD">
                <w:rPr>
                  <w:rStyle w:val="Hyperlink"/>
                </w:rPr>
                <w:t>https://nat-programme.daba.gov.lv/public/lat/publikacijas_un_dokumenti/#vadlinijas</w:t>
              </w:r>
            </w:hyperlink>
            <w:r w:rsidR="007027AF" w:rsidRPr="001330BD">
              <w:t xml:space="preserve">, kurā ir noteikts, kāda veida darbības veicamas, lai saglabātu vai uzlabotu biotopa kvalitāti. Attiecībā uz zālāju apsaimniekošanu šīs vadlīnijas jau tiek izmantotas, apmācot lauksaimniekus, kas saņem </w:t>
            </w:r>
            <w:proofErr w:type="spellStart"/>
            <w:r w:rsidR="007027AF" w:rsidRPr="001330BD">
              <w:t>Agrovides</w:t>
            </w:r>
            <w:proofErr w:type="spellEnd"/>
            <w:r w:rsidR="007027AF" w:rsidRPr="001330BD">
              <w:t xml:space="preserve"> atbalsta maksājumus. Ja atbilstoši šīm vadlīnijām tiek apsaimniekots biotops, kā rezultātā tiek iegūta biomasa, tad tas atbilst ilgtspējības principiem. Pārvalde jau vairākkārt un dažādos politikas plānošanas dokumentos ir uzsvērusi, ka ir jāveicina biomasas izmantošana no zālājiem un citiem biotopu veidiem, kuru saglabāšanai nepieciešama ekstensīva cilvēka saimnieciskā darbība, jo pretējā gadījumā īpaši aizsargājamie biotopi aizaug (attiecīgi samazinās to kvalitāte vai tie izzūd) un biomasa uzkrājas, bet tā netiek izmantota un tādējādi netiek veicināta īpaši aizsargājamo dabas teritoriju un mikroliegumu ilgtspējīga apsaimniekošana. Ja tiek noteikts, ka šāda biomasa nav ilgtspējīga, palielinās risks, ka arī nākotnē šādas teritorijas netiks apsaimniekotas un no tām netiks gūti papildus ekonomiskie ieguvumi un vienlaikus samazināsies arī bioloģiskā daudzveidība. </w:t>
            </w:r>
          </w:p>
          <w:p w14:paraId="654B152B" w14:textId="09DA94BB" w:rsidR="007027AF" w:rsidRPr="001330BD" w:rsidRDefault="007027AF" w:rsidP="007027AF">
            <w:pPr>
              <w:pStyle w:val="Header"/>
              <w:spacing w:before="40" w:after="40"/>
              <w:jc w:val="both"/>
            </w:pPr>
            <w:r w:rsidRPr="001330BD">
              <w:lastRenderedPageBreak/>
              <w:t>Ministru kabineta 2015.gada 10.marta noteikumu Nr.126 “Tiešo maksājumu piešķiršanas kārtība lauksaimniekiem” 106. un 106.</w:t>
            </w:r>
            <w:r w:rsidRPr="001330BD">
              <w:rPr>
                <w:vertAlign w:val="superscript"/>
              </w:rPr>
              <w:t>1</w:t>
            </w:r>
            <w:r w:rsidRPr="001330BD">
              <w:t>punkts paredz, ka Eiropas Parlamenta un Padomes 2013.gada 17.decembra Regulas Nr.1307/2013 (ar ko izveido noteikumus par lauksaimniekiem paredzētiem tiešajiem maksājumiem, kurus veic saskaņā ar kopējās lauksaimniecības politikas atbalsta shēmām) 45.panta nosacījumus piemēro tām aizsargājamām ekoloģiski jutīgo ilggadīgo zālāju platībām, kas pēc stāvokļa iepriekšējā gada 31.decembrī ir kartogrāfiski identificētas Lauku atbalsta dienesta (turpmāk – LAD) lauku bloku identifikācijas sistēmas lauku bloku kartē, izmantojot Pārvaldes dabas datu pārvaldības sistēmas "Ozols" datus, par kuriem Pārvalde iesniedz informāciju LAD līdz kārtējā gada 1.februārim. Attiecīgi noteikumu 5.4.apakšpunktā norādītās platības, kas deklarētas atbalstam pasākuma "</w:t>
            </w:r>
            <w:proofErr w:type="spellStart"/>
            <w:r w:rsidRPr="001330BD">
              <w:t>Agrovides</w:t>
            </w:r>
            <w:proofErr w:type="spellEnd"/>
            <w:r w:rsidRPr="001330BD">
              <w:t xml:space="preserve"> maksājumi" </w:t>
            </w:r>
            <w:proofErr w:type="spellStart"/>
            <w:r w:rsidRPr="001330BD">
              <w:t>apakšpasākumā</w:t>
            </w:r>
            <w:proofErr w:type="spellEnd"/>
            <w:r w:rsidRPr="001330BD">
              <w:t xml:space="preserve"> "Bioloģiskās daudzveidības uzturēšana zālājos" ir tās pašas, par kurām Pārvalde iesniedz informāciju LAD līdz kārtējā gada 1.februārim, līdz ar to nav nepieciešams šo nosacījumu dublēt šajos noteikumos.  Attiecībā uz noteikumu 5.2. un 5.3.apakšpunktā norādītajām </w:t>
            </w:r>
            <w:r w:rsidRPr="001330BD">
              <w:lastRenderedPageBreak/>
              <w:t>teritorijām Pārvalde regulāri uztur un atjauno datus dabas datu pārvaldības sistēmā “Ozols”, ņemot vērā veiktās izmaiņas normatīvajos aktos vai pieņemtajos lēmumos par mikroliegumiem. Līdz ar to jebkurā brīdī ir pieejami aktuāli atvērtie ģeotelpiskie dati un nav nepieciešams noteikt datu aktualizēšanas termiņu.</w:t>
            </w:r>
          </w:p>
        </w:tc>
        <w:tc>
          <w:tcPr>
            <w:tcW w:w="2899" w:type="dxa"/>
            <w:vMerge/>
            <w:tcBorders>
              <w:left w:val="single" w:sz="6" w:space="0" w:color="000000"/>
              <w:right w:val="single" w:sz="6" w:space="0" w:color="000000"/>
            </w:tcBorders>
          </w:tcPr>
          <w:p w14:paraId="0C77F202" w14:textId="77777777" w:rsidR="007027AF" w:rsidRPr="001330BD" w:rsidRDefault="007027AF" w:rsidP="007027AF">
            <w:pPr>
              <w:spacing w:before="40" w:after="40"/>
              <w:jc w:val="center"/>
              <w:rPr>
                <w:b/>
                <w:iCs/>
              </w:rPr>
            </w:pPr>
          </w:p>
        </w:tc>
        <w:tc>
          <w:tcPr>
            <w:tcW w:w="4368" w:type="dxa"/>
            <w:vMerge/>
            <w:tcBorders>
              <w:left w:val="single" w:sz="4" w:space="0" w:color="auto"/>
            </w:tcBorders>
          </w:tcPr>
          <w:p w14:paraId="708BF2F7" w14:textId="77777777" w:rsidR="007027AF" w:rsidRPr="001330BD" w:rsidRDefault="007027AF" w:rsidP="007027AF">
            <w:pPr>
              <w:pStyle w:val="naisc"/>
              <w:spacing w:before="40" w:after="40"/>
              <w:jc w:val="both"/>
            </w:pPr>
          </w:p>
        </w:tc>
      </w:tr>
      <w:tr w:rsidR="007027AF" w:rsidRPr="001330BD" w14:paraId="4663A9F7" w14:textId="77777777" w:rsidTr="00EA50E3">
        <w:trPr>
          <w:jc w:val="center"/>
        </w:trPr>
        <w:tc>
          <w:tcPr>
            <w:tcW w:w="637" w:type="dxa"/>
            <w:vMerge/>
            <w:tcBorders>
              <w:left w:val="single" w:sz="6" w:space="0" w:color="000000"/>
              <w:bottom w:val="single" w:sz="6" w:space="0" w:color="000000"/>
              <w:right w:val="single" w:sz="6" w:space="0" w:color="000000"/>
            </w:tcBorders>
          </w:tcPr>
          <w:p w14:paraId="2C342741" w14:textId="77777777" w:rsidR="007027AF" w:rsidRPr="001330BD" w:rsidRDefault="007027AF" w:rsidP="007027AF">
            <w:pPr>
              <w:pStyle w:val="naisc"/>
              <w:spacing w:before="40" w:after="40"/>
              <w:rPr>
                <w:b/>
              </w:rPr>
            </w:pPr>
          </w:p>
        </w:tc>
        <w:tc>
          <w:tcPr>
            <w:tcW w:w="3041" w:type="dxa"/>
            <w:vMerge/>
            <w:tcBorders>
              <w:left w:val="single" w:sz="6" w:space="0" w:color="000000"/>
              <w:bottom w:val="single" w:sz="6" w:space="0" w:color="000000"/>
              <w:right w:val="single" w:sz="6" w:space="0" w:color="000000"/>
            </w:tcBorders>
          </w:tcPr>
          <w:p w14:paraId="67D2ABD2" w14:textId="77777777" w:rsidR="007027AF" w:rsidRPr="001330BD" w:rsidRDefault="007027AF" w:rsidP="007027AF">
            <w:pPr>
              <w:pStyle w:val="naisc"/>
              <w:spacing w:before="40" w:after="40"/>
              <w:jc w:val="both"/>
            </w:pPr>
          </w:p>
        </w:tc>
        <w:tc>
          <w:tcPr>
            <w:tcW w:w="4047" w:type="dxa"/>
            <w:tcBorders>
              <w:top w:val="single" w:sz="6" w:space="0" w:color="000000"/>
              <w:left w:val="single" w:sz="6" w:space="0" w:color="000000"/>
              <w:bottom w:val="single" w:sz="6" w:space="0" w:color="000000"/>
              <w:right w:val="single" w:sz="6" w:space="0" w:color="000000"/>
            </w:tcBorders>
          </w:tcPr>
          <w:p w14:paraId="29BDEE39" w14:textId="77777777" w:rsidR="007027AF" w:rsidRPr="001330BD" w:rsidRDefault="007027AF" w:rsidP="007027AF">
            <w:pPr>
              <w:widowControl w:val="0"/>
              <w:spacing w:before="40" w:after="40"/>
              <w:jc w:val="center"/>
              <w:rPr>
                <w:b/>
              </w:rPr>
            </w:pPr>
            <w:r w:rsidRPr="001330BD">
              <w:rPr>
                <w:b/>
              </w:rPr>
              <w:t>Dabas aizsardzības pārvaldes viedoklis</w:t>
            </w:r>
          </w:p>
          <w:p w14:paraId="7668B84D" w14:textId="4152B904" w:rsidR="007027AF" w:rsidRPr="001330BD" w:rsidRDefault="007027AF" w:rsidP="007027AF">
            <w:pPr>
              <w:widowControl w:val="0"/>
              <w:spacing w:before="40" w:after="40"/>
              <w:jc w:val="center"/>
              <w:rPr>
                <w:b/>
              </w:rPr>
            </w:pPr>
            <w:r w:rsidRPr="001330BD">
              <w:rPr>
                <w:b/>
              </w:rPr>
              <w:t>(2018.gada 11.decembriss)</w:t>
            </w:r>
          </w:p>
          <w:p w14:paraId="77D2CFC0" w14:textId="77777777" w:rsidR="007027AF" w:rsidRPr="001330BD" w:rsidRDefault="007027AF" w:rsidP="007027AF">
            <w:pPr>
              <w:jc w:val="both"/>
            </w:pPr>
            <w:r w:rsidRPr="001330BD">
              <w:t xml:space="preserve">Noteikumu projekta 6.punkta 1.teikumā noteikts “Lauksaimniecības un mežsaimniecības izcelsmes biomasu var iegūt no zemes platībām, kas atrodas šo noteikumu </w:t>
            </w:r>
            <w:r w:rsidRPr="001330BD">
              <w:rPr>
                <w:u w:val="single"/>
              </w:rPr>
              <w:t>5.2. un 5.3.apakšpunktā minētajās teritorijās</w:t>
            </w:r>
            <w:r w:rsidRPr="001330BD">
              <w:t>, ja tās ieguve nav pretrunā ar īpaši aizsargājamās dabas teritorijas vai mikroliegumus regulējošiem normatīvajiem aktiem un ir nepieciešama bioloģiskās daudzveidības uzturēšanai šajās teritorijās.”</w:t>
            </w:r>
          </w:p>
          <w:p w14:paraId="6D78E65E" w14:textId="77777777" w:rsidR="007027AF" w:rsidRPr="001330BD" w:rsidRDefault="007027AF" w:rsidP="007027AF">
            <w:pPr>
              <w:jc w:val="both"/>
            </w:pPr>
            <w:r w:rsidRPr="001330BD">
              <w:t xml:space="preserve">Savukārt anotācijā ir norādīts, ka “Lai uzturētu dabas bioloģisko daudzveidību dažādos atklāta tipa īpaši aizsargājamos biotopos (piemēram, zālājos un purvos, pelēkās kāpās, virsājos u.c.) un īpaši aizsargājamo sugu dzīvotnēs, kas norādīti Noteikumu Nr.545 5.2., 5.3. </w:t>
            </w:r>
            <w:r w:rsidRPr="001330BD">
              <w:rPr>
                <w:u w:val="single"/>
              </w:rPr>
              <w:t>un 5.4.apakšpunktā</w:t>
            </w:r>
            <w:r w:rsidRPr="001330BD">
              <w:t xml:space="preserve">, ir nepieciešams </w:t>
            </w:r>
            <w:r w:rsidRPr="001330BD">
              <w:lastRenderedPageBreak/>
              <w:t>novākt biomasu no šiem biotopiem un sugu dzīvotnēm.”</w:t>
            </w:r>
          </w:p>
          <w:p w14:paraId="522A9A76" w14:textId="77777777" w:rsidR="007027AF" w:rsidRPr="001330BD" w:rsidRDefault="007027AF" w:rsidP="007027AF">
            <w:pPr>
              <w:jc w:val="both"/>
            </w:pPr>
            <w:r w:rsidRPr="001330BD">
              <w:t xml:space="preserve">Ņemot vērā minēto un lai novērstu pretrunas starp Noteikumu projektu un anotāciju, lūdzam Noteikumu projekta 6.punkta 1.teikumu papildināt ar atsauci uz Noteikumu projektā iekļauto 5.4.apakšpunktu, izsakot Noteikumu projekta 6.punkta 1.teikumu šādā redakcijā: </w:t>
            </w:r>
          </w:p>
          <w:p w14:paraId="181694DF" w14:textId="6F249AA2" w:rsidR="007027AF" w:rsidRPr="001330BD" w:rsidRDefault="007027AF" w:rsidP="007027AF">
            <w:pPr>
              <w:jc w:val="both"/>
              <w:rPr>
                <w:b/>
              </w:rPr>
            </w:pPr>
            <w:r w:rsidRPr="001330BD">
              <w:t xml:space="preserve">“6. Lauksaimniecības un mežsaimniecības izcelsmes biomasu var iegūt no zemes platībām, kas atrodas šo noteikumu 5.2., 5.3. </w:t>
            </w:r>
            <w:r w:rsidRPr="001330BD">
              <w:rPr>
                <w:u w:val="single"/>
              </w:rPr>
              <w:t>un 5.4.apakšpunktā</w:t>
            </w:r>
            <w:r w:rsidRPr="001330BD">
              <w:t xml:space="preserve"> minētajās teritorijās, ja tās ieguve nav pretrunā ar īpaši aizsargājamās dabas teritorijas vai mikroliegumus regulējošiem normatīvajiem aktiem un ir nepieciešama bioloģiskās daudzveidības uzturēšanai šajās teritorijās.”</w:t>
            </w:r>
          </w:p>
        </w:tc>
        <w:tc>
          <w:tcPr>
            <w:tcW w:w="2899" w:type="dxa"/>
            <w:vMerge/>
            <w:tcBorders>
              <w:left w:val="single" w:sz="6" w:space="0" w:color="000000"/>
              <w:bottom w:val="single" w:sz="6" w:space="0" w:color="000000"/>
              <w:right w:val="single" w:sz="6" w:space="0" w:color="000000"/>
            </w:tcBorders>
          </w:tcPr>
          <w:p w14:paraId="3559F2F9" w14:textId="77777777" w:rsidR="007027AF" w:rsidRPr="001330BD" w:rsidRDefault="007027AF" w:rsidP="007027AF">
            <w:pPr>
              <w:spacing w:before="40" w:after="40"/>
              <w:jc w:val="center"/>
              <w:rPr>
                <w:b/>
                <w:iCs/>
              </w:rPr>
            </w:pPr>
          </w:p>
        </w:tc>
        <w:tc>
          <w:tcPr>
            <w:tcW w:w="4368" w:type="dxa"/>
            <w:vMerge/>
            <w:tcBorders>
              <w:left w:val="single" w:sz="4" w:space="0" w:color="auto"/>
              <w:bottom w:val="single" w:sz="4" w:space="0" w:color="auto"/>
            </w:tcBorders>
          </w:tcPr>
          <w:p w14:paraId="56CB0AA1" w14:textId="77777777" w:rsidR="007027AF" w:rsidRPr="001330BD" w:rsidRDefault="007027AF" w:rsidP="007027AF">
            <w:pPr>
              <w:pStyle w:val="naisc"/>
              <w:spacing w:before="40" w:after="40"/>
              <w:jc w:val="both"/>
            </w:pPr>
          </w:p>
        </w:tc>
      </w:tr>
      <w:tr w:rsidR="005E4178" w:rsidRPr="001330BD" w14:paraId="0C3A8105"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tcPr>
          <w:p w14:paraId="181EFD5E" w14:textId="63B209AB" w:rsidR="005E4178" w:rsidRPr="001330BD" w:rsidRDefault="00B67450" w:rsidP="007027AF">
            <w:pPr>
              <w:pStyle w:val="naisc"/>
              <w:spacing w:before="40" w:after="40"/>
              <w:rPr>
                <w:b/>
              </w:rPr>
            </w:pPr>
            <w:r w:rsidRPr="001330BD">
              <w:rPr>
                <w:b/>
              </w:rPr>
              <w:t>14</w:t>
            </w:r>
          </w:p>
        </w:tc>
        <w:tc>
          <w:tcPr>
            <w:tcW w:w="3041" w:type="dxa"/>
            <w:tcBorders>
              <w:top w:val="single" w:sz="6" w:space="0" w:color="000000"/>
              <w:left w:val="single" w:sz="6" w:space="0" w:color="000000"/>
              <w:bottom w:val="single" w:sz="6" w:space="0" w:color="000000"/>
              <w:right w:val="single" w:sz="6" w:space="0" w:color="000000"/>
            </w:tcBorders>
          </w:tcPr>
          <w:p w14:paraId="3EAB2C56" w14:textId="77777777" w:rsidR="005E4178" w:rsidRPr="001330BD" w:rsidRDefault="005E4178" w:rsidP="007027AF">
            <w:pPr>
              <w:pStyle w:val="naisc"/>
              <w:spacing w:before="40" w:after="40"/>
              <w:jc w:val="both"/>
            </w:pPr>
            <w:r w:rsidRPr="001330BD">
              <w:t>Noteikumu projekta 7.punktā izteiktais Noteikumu Nr.545 7.3.apakšpunkts:</w:t>
            </w:r>
          </w:p>
          <w:p w14:paraId="3B50C025" w14:textId="31E5C87A" w:rsidR="005E4178" w:rsidRPr="001330BD" w:rsidRDefault="005E4178" w:rsidP="005E4178">
            <w:pPr>
              <w:spacing w:after="120"/>
            </w:pPr>
            <w:r w:rsidRPr="001330BD">
              <w:t>“7. Papildināt punktu ar 7.3. apakšpunktu šādā redakcijā:</w:t>
            </w:r>
          </w:p>
          <w:p w14:paraId="77EACF9E" w14:textId="362D55A8" w:rsidR="005E4178" w:rsidRPr="001330BD" w:rsidRDefault="005E4178" w:rsidP="005E4178">
            <w:pPr>
              <w:spacing w:after="120"/>
              <w:ind w:firstLine="709"/>
            </w:pPr>
            <w:r w:rsidRPr="001330BD">
              <w:t>“7.3. mitrāji, kas ir zeme, ko klāj ūdens vai kas ir piesātināta ar ūdeni nepārtraukti vai ievērojamu gada daļu;”.”</w:t>
            </w:r>
          </w:p>
        </w:tc>
        <w:tc>
          <w:tcPr>
            <w:tcW w:w="4047" w:type="dxa"/>
            <w:tcBorders>
              <w:top w:val="single" w:sz="6" w:space="0" w:color="000000"/>
              <w:left w:val="single" w:sz="6" w:space="0" w:color="000000"/>
              <w:bottom w:val="single" w:sz="6" w:space="0" w:color="000000"/>
              <w:right w:val="single" w:sz="6" w:space="0" w:color="000000"/>
            </w:tcBorders>
          </w:tcPr>
          <w:p w14:paraId="1867272C" w14:textId="77777777" w:rsidR="005E4178" w:rsidRPr="001330BD" w:rsidRDefault="005E4178" w:rsidP="007027AF">
            <w:pPr>
              <w:widowControl w:val="0"/>
              <w:spacing w:before="40" w:after="40"/>
              <w:jc w:val="center"/>
              <w:rPr>
                <w:b/>
              </w:rPr>
            </w:pPr>
            <w:r w:rsidRPr="001330BD">
              <w:rPr>
                <w:b/>
              </w:rPr>
              <w:t>Tieslietu ministrija</w:t>
            </w:r>
          </w:p>
          <w:p w14:paraId="2E4E3599" w14:textId="77777777" w:rsidR="005E4178" w:rsidRPr="001330BD" w:rsidRDefault="005E4178" w:rsidP="007027AF">
            <w:pPr>
              <w:widowControl w:val="0"/>
              <w:spacing w:before="40" w:after="40"/>
              <w:jc w:val="center"/>
              <w:rPr>
                <w:b/>
              </w:rPr>
            </w:pPr>
            <w:r w:rsidRPr="001330BD">
              <w:rPr>
                <w:b/>
              </w:rPr>
              <w:t>(2019.gada 7.janvāra atzinums)</w:t>
            </w:r>
          </w:p>
          <w:p w14:paraId="062BE3C0" w14:textId="1F7F57CC" w:rsidR="005E4178" w:rsidRPr="001330BD" w:rsidRDefault="005E4178" w:rsidP="005E4178">
            <w:r w:rsidRPr="001330BD">
              <w:t>2. Lūdzam izvērtēt projekta 7. punktā izteiktā 7.3. apakšpunkta redakciju, izvērtējot iespēju precizēt vai skaidrot jēdzienu “ievērojamu gada daļu”. Minētais jēdziens ir tieši pārņemts no direktīvas, tomēr, iespējams, piemērojot minēto 7.3. apakšpunktu, varētu būt neskaidrs jēdziens “ievērojams”.</w:t>
            </w:r>
          </w:p>
        </w:tc>
        <w:tc>
          <w:tcPr>
            <w:tcW w:w="2899" w:type="dxa"/>
            <w:tcBorders>
              <w:top w:val="single" w:sz="6" w:space="0" w:color="000000"/>
              <w:left w:val="single" w:sz="6" w:space="0" w:color="000000"/>
              <w:bottom w:val="single" w:sz="6" w:space="0" w:color="000000"/>
              <w:right w:val="single" w:sz="6" w:space="0" w:color="000000"/>
            </w:tcBorders>
          </w:tcPr>
          <w:p w14:paraId="5CCD0042" w14:textId="2698E267" w:rsidR="005E4178" w:rsidRPr="001330BD" w:rsidRDefault="00B67450" w:rsidP="007027AF">
            <w:pPr>
              <w:spacing w:before="40" w:after="40"/>
              <w:jc w:val="center"/>
              <w:rPr>
                <w:b/>
                <w:iCs/>
              </w:rPr>
            </w:pPr>
            <w:r w:rsidRPr="001330BD">
              <w:rPr>
                <w:b/>
                <w:iCs/>
              </w:rPr>
              <w:t>Ņemts vērā</w:t>
            </w:r>
          </w:p>
        </w:tc>
        <w:tc>
          <w:tcPr>
            <w:tcW w:w="4368" w:type="dxa"/>
            <w:tcBorders>
              <w:top w:val="single" w:sz="4" w:space="0" w:color="auto"/>
              <w:left w:val="single" w:sz="4" w:space="0" w:color="auto"/>
              <w:bottom w:val="single" w:sz="4" w:space="0" w:color="auto"/>
            </w:tcBorders>
          </w:tcPr>
          <w:p w14:paraId="1C383CAD" w14:textId="77777777" w:rsidR="005E4178" w:rsidRPr="001330BD" w:rsidRDefault="005E4178" w:rsidP="007027AF">
            <w:pPr>
              <w:pStyle w:val="naisc"/>
              <w:spacing w:before="40" w:after="40"/>
              <w:jc w:val="both"/>
            </w:pPr>
            <w:r w:rsidRPr="001330BD">
              <w:t>Noteikumu projekta 7.punktā izteiktais Noteikumu Nr.545 7.3.apakšpunkts:</w:t>
            </w:r>
          </w:p>
          <w:p w14:paraId="26E9A015" w14:textId="4D1B3540" w:rsidR="00162F39" w:rsidRPr="001330BD" w:rsidRDefault="00B67450" w:rsidP="00B67450">
            <w:pPr>
              <w:spacing w:after="120"/>
            </w:pPr>
            <w:bookmarkStart w:id="8" w:name="_Hlk534703633"/>
            <w:r w:rsidRPr="001330BD">
              <w:t xml:space="preserve">“7.3. mitrāji, kas ir zeme, ko klāj ūdens vai kas ir piesātināta ar ūdeni nepārtraukti vai </w:t>
            </w:r>
            <w:bookmarkStart w:id="9" w:name="_Hlk534956775"/>
            <w:r w:rsidRPr="001330BD">
              <w:t>ievērojamu gada daļu</w:t>
            </w:r>
            <w:bookmarkEnd w:id="9"/>
            <w:r w:rsidRPr="001330BD">
              <w:t>;”.</w:t>
            </w:r>
            <w:bookmarkEnd w:id="8"/>
          </w:p>
          <w:p w14:paraId="7955012E" w14:textId="77777777" w:rsidR="00B67450" w:rsidRPr="001330BD" w:rsidRDefault="00B67450" w:rsidP="00B67450">
            <w:pPr>
              <w:spacing w:after="120"/>
              <w:ind w:firstLine="709"/>
            </w:pPr>
          </w:p>
          <w:p w14:paraId="3F8FD711" w14:textId="508ED818" w:rsidR="00162F39" w:rsidRPr="001330BD" w:rsidRDefault="00162F39" w:rsidP="007027AF">
            <w:pPr>
              <w:pStyle w:val="naisc"/>
              <w:spacing w:before="40" w:after="40"/>
              <w:jc w:val="both"/>
            </w:pPr>
            <w:r w:rsidRPr="001330BD">
              <w:t>Noteikumu projekta anotācijas I daļas 2.punkts.</w:t>
            </w:r>
          </w:p>
        </w:tc>
      </w:tr>
      <w:tr w:rsidR="007027AF" w:rsidRPr="001330BD" w14:paraId="0CB97F77"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tcPr>
          <w:p w14:paraId="269238FD" w14:textId="28449425" w:rsidR="007027AF" w:rsidRPr="001330BD" w:rsidRDefault="00B67450" w:rsidP="007027AF">
            <w:pPr>
              <w:pStyle w:val="naisc"/>
              <w:spacing w:before="40" w:after="40"/>
              <w:rPr>
                <w:b/>
              </w:rPr>
            </w:pPr>
            <w:r w:rsidRPr="001330BD">
              <w:rPr>
                <w:b/>
              </w:rPr>
              <w:lastRenderedPageBreak/>
              <w:t>15</w:t>
            </w:r>
          </w:p>
        </w:tc>
        <w:tc>
          <w:tcPr>
            <w:tcW w:w="3041" w:type="dxa"/>
            <w:tcBorders>
              <w:top w:val="single" w:sz="6" w:space="0" w:color="000000"/>
              <w:left w:val="single" w:sz="6" w:space="0" w:color="000000"/>
              <w:bottom w:val="single" w:sz="6" w:space="0" w:color="000000"/>
              <w:right w:val="single" w:sz="6" w:space="0" w:color="000000"/>
            </w:tcBorders>
          </w:tcPr>
          <w:p w14:paraId="52A0F636" w14:textId="77777777" w:rsidR="007027AF" w:rsidRPr="001330BD" w:rsidRDefault="007027AF" w:rsidP="007027AF">
            <w:pPr>
              <w:pStyle w:val="naisc"/>
              <w:spacing w:before="40" w:after="40"/>
              <w:jc w:val="both"/>
            </w:pPr>
            <w:r w:rsidRPr="001330BD">
              <w:t>Noteikumu projekta 7.punktā izteiktais Noteikumu Nr.545 jaunais 8.</w:t>
            </w:r>
            <w:r w:rsidRPr="001330BD">
              <w:rPr>
                <w:vertAlign w:val="superscript"/>
              </w:rPr>
              <w:t>1</w:t>
            </w:r>
            <w:r w:rsidRPr="001330BD">
              <w:t xml:space="preserve"> punkts:</w:t>
            </w:r>
          </w:p>
          <w:p w14:paraId="04124738" w14:textId="77777777" w:rsidR="007027AF" w:rsidRPr="001330BD" w:rsidRDefault="007027AF" w:rsidP="007027AF">
            <w:pPr>
              <w:spacing w:before="40" w:after="40"/>
            </w:pPr>
            <w:r w:rsidRPr="001330BD">
              <w:t>“8.</w:t>
            </w:r>
            <w:r w:rsidRPr="001330BD">
              <w:rPr>
                <w:vertAlign w:val="superscript"/>
              </w:rPr>
              <w:t>1</w:t>
            </w:r>
            <w:r w:rsidRPr="001330BD">
              <w:t xml:space="preserve"> Biodegvielas, kas tiek izmantotas Transporta enerģijas likumā noteiktā valsts mērķa sasniegšanā vai kas tiek izmantotas likumā “Par piesārņojumu” noteiktā transporta enerģijas aprites cikla siltumnīcefekta gāzu emisiju samazinājumā, un bioloģiskā šķidrā kurināmā ražošanā izmantotā lauksaimniecības un mežsaimniecības izcelsmes biomasa nedrīkst būt iegūta no zemes platībām, kuras 2008. gada janvārī bija kūdrājs, ja vien nav pierādīts, ka šīs izejvielas audzēšanas un novākšanas laikā nenotiek iepriekš nenosusinātas zemes nosusināšana.”</w:t>
            </w:r>
          </w:p>
        </w:tc>
        <w:tc>
          <w:tcPr>
            <w:tcW w:w="4047" w:type="dxa"/>
            <w:tcBorders>
              <w:top w:val="single" w:sz="6" w:space="0" w:color="000000"/>
              <w:left w:val="single" w:sz="6" w:space="0" w:color="000000"/>
              <w:bottom w:val="single" w:sz="6" w:space="0" w:color="000000"/>
              <w:right w:val="single" w:sz="6" w:space="0" w:color="000000"/>
            </w:tcBorders>
          </w:tcPr>
          <w:p w14:paraId="4C42DB67" w14:textId="77777777" w:rsidR="007027AF" w:rsidRPr="001330BD" w:rsidRDefault="007027AF" w:rsidP="007027AF">
            <w:pPr>
              <w:widowControl w:val="0"/>
              <w:spacing w:before="40" w:after="40"/>
              <w:jc w:val="center"/>
              <w:rPr>
                <w:b/>
              </w:rPr>
            </w:pPr>
            <w:r w:rsidRPr="001330BD">
              <w:rPr>
                <w:b/>
              </w:rPr>
              <w:t>Tieslietu ministrija</w:t>
            </w:r>
          </w:p>
          <w:p w14:paraId="3BE7D0C4" w14:textId="77777777" w:rsidR="007027AF" w:rsidRPr="001330BD" w:rsidRDefault="007027AF" w:rsidP="007027AF">
            <w:pPr>
              <w:widowControl w:val="0"/>
              <w:spacing w:before="40" w:after="40"/>
              <w:jc w:val="center"/>
              <w:rPr>
                <w:b/>
              </w:rPr>
            </w:pPr>
            <w:r w:rsidRPr="001330BD">
              <w:rPr>
                <w:b/>
              </w:rPr>
              <w:t>(2018.gada 18.oktobra atzinums)</w:t>
            </w:r>
          </w:p>
          <w:p w14:paraId="4740BA95" w14:textId="77777777" w:rsidR="007027AF" w:rsidRPr="001330BD" w:rsidRDefault="007027AF" w:rsidP="007027AF">
            <w:pPr>
              <w:tabs>
                <w:tab w:val="left" w:pos="709"/>
                <w:tab w:val="left" w:pos="2742"/>
              </w:tabs>
              <w:spacing w:before="40" w:after="40"/>
              <w:rPr>
                <w:bCs/>
                <w:iCs/>
              </w:rPr>
            </w:pPr>
            <w:r w:rsidRPr="001330BD">
              <w:rPr>
                <w:bCs/>
                <w:iCs/>
              </w:rPr>
              <w:t>6. Lūdzam izvērtēt nepieciešamību precizēt projekta 7. punktā izteikto 8.</w:t>
            </w:r>
            <w:r w:rsidRPr="001330BD">
              <w:rPr>
                <w:bCs/>
                <w:iCs/>
                <w:vertAlign w:val="superscript"/>
              </w:rPr>
              <w:t>1</w:t>
            </w:r>
            <w:r w:rsidRPr="001330BD">
              <w:rPr>
                <w:bCs/>
                <w:iCs/>
              </w:rPr>
              <w:t> punktu, aizstājot vārdu “iegūta” ar vārdiem “</w:t>
            </w:r>
            <w:bookmarkStart w:id="10" w:name="_Hlk527708831"/>
            <w:r w:rsidRPr="001330BD">
              <w:rPr>
                <w:bCs/>
                <w:iCs/>
              </w:rPr>
              <w:t>ražota no izejvielām, kas iegūtas</w:t>
            </w:r>
            <w:bookmarkEnd w:id="10"/>
            <w:r w:rsidRPr="001330BD">
              <w:rPr>
                <w:bCs/>
                <w:iCs/>
              </w:rPr>
              <w:t>”, tā ņemot vērā Direktīvas 2009/30/EK 1. panta 6. punktā izteikto Direktīvas 98/70/EK 7.b panta 5. punktu.</w:t>
            </w:r>
          </w:p>
        </w:tc>
        <w:tc>
          <w:tcPr>
            <w:tcW w:w="2899" w:type="dxa"/>
            <w:tcBorders>
              <w:top w:val="single" w:sz="6" w:space="0" w:color="000000"/>
              <w:left w:val="single" w:sz="6" w:space="0" w:color="000000"/>
              <w:bottom w:val="single" w:sz="6" w:space="0" w:color="000000"/>
              <w:right w:val="single" w:sz="6" w:space="0" w:color="000000"/>
            </w:tcBorders>
          </w:tcPr>
          <w:p w14:paraId="1942B5A1" w14:textId="77777777" w:rsidR="007027AF" w:rsidRPr="001330BD" w:rsidRDefault="007027AF" w:rsidP="007027AF">
            <w:pPr>
              <w:spacing w:before="40" w:after="40"/>
              <w:jc w:val="center"/>
              <w:rPr>
                <w:b/>
                <w:iCs/>
              </w:rPr>
            </w:pPr>
            <w:r w:rsidRPr="001330BD">
              <w:rPr>
                <w:b/>
                <w:iCs/>
              </w:rPr>
              <w:t>Ņemts vērā</w:t>
            </w:r>
          </w:p>
        </w:tc>
        <w:tc>
          <w:tcPr>
            <w:tcW w:w="4368" w:type="dxa"/>
            <w:tcBorders>
              <w:top w:val="single" w:sz="4" w:space="0" w:color="auto"/>
              <w:left w:val="single" w:sz="4" w:space="0" w:color="auto"/>
              <w:bottom w:val="single" w:sz="4" w:space="0" w:color="auto"/>
            </w:tcBorders>
          </w:tcPr>
          <w:p w14:paraId="2F3EB09D" w14:textId="77777777" w:rsidR="007027AF" w:rsidRPr="001330BD" w:rsidRDefault="007027AF" w:rsidP="007027AF">
            <w:pPr>
              <w:pStyle w:val="naisc"/>
              <w:spacing w:before="40" w:after="40"/>
              <w:jc w:val="both"/>
            </w:pPr>
            <w:r w:rsidRPr="001330BD">
              <w:t>Noteikumu projekta 8.punktā izteiktais Noteikumu Nr.545 jaunais 8.</w:t>
            </w:r>
            <w:r w:rsidRPr="001330BD">
              <w:rPr>
                <w:vertAlign w:val="superscript"/>
              </w:rPr>
              <w:t>1</w:t>
            </w:r>
            <w:r w:rsidRPr="001330BD">
              <w:t xml:space="preserve"> punkts:</w:t>
            </w:r>
          </w:p>
          <w:p w14:paraId="130A49AF" w14:textId="77777777" w:rsidR="007027AF" w:rsidRPr="001330BD" w:rsidRDefault="007027AF" w:rsidP="007027AF">
            <w:pPr>
              <w:spacing w:before="40" w:after="40"/>
            </w:pPr>
            <w:r w:rsidRPr="001330BD">
              <w:t>“8.</w:t>
            </w:r>
            <w:r w:rsidRPr="001330BD">
              <w:rPr>
                <w:vertAlign w:val="superscript"/>
              </w:rPr>
              <w:t>1</w:t>
            </w:r>
            <w:r w:rsidRPr="001330BD">
              <w:t xml:space="preserve"> Biodegvielas, kas tiek izmantotas valsts mērķa sasniegšanā vai kas tiek izmantotas likumā “Par piesārņojumu” noteiktā transporta enerģijas aprites cikla siltumnīcefekta gāzu emisiju samazinājumā, un bioloģiskā šķidrā kurināmā ražošanā izmantotā lauksaimniecības un mežsaimniecības izcelsmes biomasa nedrīkst būt ražota no izejvielām, kas iegūtas no zemes platībām, kuras 2008. gada janvārī bija kūdrājs, ja vien nav pierādīts, ka šīs izejvielas audzēšanas un novākšanas laikā nenotiek iepriekš nenosusinātas zemes nosusināšana.”</w:t>
            </w:r>
          </w:p>
        </w:tc>
      </w:tr>
      <w:tr w:rsidR="007027AF" w:rsidRPr="001330BD" w14:paraId="32BCC35C"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shd w:val="clear" w:color="auto" w:fill="auto"/>
          </w:tcPr>
          <w:p w14:paraId="435BB73F" w14:textId="4B4F0BE4" w:rsidR="007027AF" w:rsidRPr="001330BD" w:rsidRDefault="00B67450" w:rsidP="007027AF">
            <w:pPr>
              <w:pStyle w:val="naisc"/>
              <w:spacing w:before="40" w:after="40"/>
              <w:rPr>
                <w:b/>
              </w:rPr>
            </w:pPr>
            <w:r w:rsidRPr="001330BD">
              <w:rPr>
                <w:b/>
              </w:rPr>
              <w:t>16</w:t>
            </w:r>
          </w:p>
        </w:tc>
        <w:tc>
          <w:tcPr>
            <w:tcW w:w="3041" w:type="dxa"/>
            <w:tcBorders>
              <w:top w:val="single" w:sz="6" w:space="0" w:color="000000"/>
              <w:left w:val="single" w:sz="6" w:space="0" w:color="000000"/>
              <w:bottom w:val="single" w:sz="6" w:space="0" w:color="000000"/>
              <w:right w:val="single" w:sz="6" w:space="0" w:color="000000"/>
            </w:tcBorders>
            <w:shd w:val="clear" w:color="auto" w:fill="auto"/>
          </w:tcPr>
          <w:p w14:paraId="3091BC83" w14:textId="77777777" w:rsidR="007027AF" w:rsidRPr="001330BD" w:rsidRDefault="007027AF" w:rsidP="007027AF">
            <w:pPr>
              <w:pStyle w:val="ListParagraph"/>
              <w:shd w:val="clear" w:color="auto" w:fill="FFFFFF"/>
              <w:spacing w:before="40" w:after="40" w:line="240" w:lineRule="auto"/>
              <w:ind w:left="0"/>
              <w:contextualSpacing w:val="0"/>
              <w:jc w:val="both"/>
              <w:rPr>
                <w:rFonts w:ascii="Times New Roman" w:hAnsi="Times New Roman"/>
                <w:color w:val="000000" w:themeColor="text1"/>
                <w:sz w:val="24"/>
                <w:szCs w:val="24"/>
                <w:lang w:eastAsia="lv-LV"/>
              </w:rPr>
            </w:pPr>
            <w:r w:rsidRPr="001330BD">
              <w:rPr>
                <w:rFonts w:ascii="Times New Roman" w:hAnsi="Times New Roman"/>
                <w:color w:val="000000" w:themeColor="text1"/>
                <w:sz w:val="24"/>
                <w:szCs w:val="24"/>
                <w:lang w:eastAsia="lv-LV"/>
              </w:rPr>
              <w:t>Noteikumu projekta 8.punkts:</w:t>
            </w:r>
          </w:p>
          <w:p w14:paraId="61F9B226" w14:textId="77777777" w:rsidR="007027AF" w:rsidRPr="001330BD" w:rsidRDefault="007027AF" w:rsidP="007027AF">
            <w:pPr>
              <w:tabs>
                <w:tab w:val="left" w:pos="993"/>
              </w:tabs>
              <w:spacing w:before="40" w:after="40"/>
              <w:jc w:val="both"/>
            </w:pPr>
            <w:r w:rsidRPr="001330BD">
              <w:rPr>
                <w:color w:val="000000" w:themeColor="text1"/>
              </w:rPr>
              <w:t xml:space="preserve">“8. </w:t>
            </w:r>
            <w:r w:rsidRPr="001330BD">
              <w:t>Izteikt 10. punktu šādā redakcijā:</w:t>
            </w:r>
          </w:p>
          <w:p w14:paraId="43343D5D" w14:textId="77777777" w:rsidR="007027AF" w:rsidRPr="001330BD" w:rsidRDefault="007027AF" w:rsidP="007027AF">
            <w:pPr>
              <w:pStyle w:val="norm"/>
              <w:shd w:val="clear" w:color="auto" w:fill="FFFFFF"/>
              <w:spacing w:before="40" w:beforeAutospacing="0" w:after="40" w:afterAutospacing="0"/>
              <w:jc w:val="both"/>
              <w:textAlignment w:val="baseline"/>
              <w:rPr>
                <w:rFonts w:eastAsia="Calibri"/>
                <w:lang w:eastAsia="en-US"/>
              </w:rPr>
            </w:pPr>
            <w:r w:rsidRPr="001330BD">
              <w:t xml:space="preserve">“10. </w:t>
            </w:r>
            <w:r w:rsidRPr="001330BD">
              <w:rPr>
                <w:rFonts w:eastAsia="Calibri"/>
                <w:lang w:eastAsia="en-US"/>
              </w:rPr>
              <w:t xml:space="preserve">Emisiju samazinājumam, ko nodrošina, izmantojot </w:t>
            </w:r>
            <w:r w:rsidRPr="001330BD">
              <w:rPr>
                <w:rFonts w:eastAsia="Calibri"/>
                <w:lang w:eastAsia="en-US"/>
              </w:rPr>
              <w:lastRenderedPageBreak/>
              <w:t>biodegvielu un bioloģisko šķidro kurināmo, ir jābūt 60 % attiecībā uz biodegvielām un bioloģisko šķidro kurināmo, ko ražo iekārtās, kuru ekspluatācija – ir notikusi fiziska biodegvielas vai bioloģiskā šķidrā kurināmā ražošana, sākta pēc 2015. gada 5. oktobra. Attiecībā uz iekārtām, kas atradās ekspluatācijā 2015. gada 5. oktobrī vai pirms minētās dienas, emisiju samazinājumam, ko nodrošina, izmantojot biodegvielu, ir jābūt vismaz 50 % no 2018. gada 1. janvāra.”.</w:t>
            </w:r>
          </w:p>
          <w:p w14:paraId="4622DF4B" w14:textId="77777777" w:rsidR="007027AF" w:rsidRPr="001330BD" w:rsidRDefault="007027AF" w:rsidP="007027AF">
            <w:pPr>
              <w:pStyle w:val="ListParagraph"/>
              <w:shd w:val="clear" w:color="auto" w:fill="FFFFFF"/>
              <w:spacing w:before="40" w:after="40" w:line="240" w:lineRule="auto"/>
              <w:ind w:left="0"/>
              <w:contextualSpacing w:val="0"/>
              <w:jc w:val="both"/>
              <w:rPr>
                <w:rFonts w:ascii="Times New Roman" w:hAnsi="Times New Roman"/>
                <w:color w:val="000000" w:themeColor="text1"/>
                <w:sz w:val="24"/>
                <w:szCs w:val="24"/>
                <w:lang w:eastAsia="lv-LV"/>
              </w:rPr>
            </w:pPr>
          </w:p>
        </w:tc>
        <w:tc>
          <w:tcPr>
            <w:tcW w:w="4047" w:type="dxa"/>
            <w:tcBorders>
              <w:top w:val="single" w:sz="6" w:space="0" w:color="000000"/>
              <w:left w:val="single" w:sz="6" w:space="0" w:color="000000"/>
              <w:bottom w:val="single" w:sz="6" w:space="0" w:color="000000"/>
              <w:right w:val="single" w:sz="6" w:space="0" w:color="000000"/>
            </w:tcBorders>
            <w:shd w:val="clear" w:color="auto" w:fill="auto"/>
          </w:tcPr>
          <w:p w14:paraId="42DD172A" w14:textId="77777777" w:rsidR="007027AF" w:rsidRPr="001330BD" w:rsidRDefault="007027AF" w:rsidP="007027AF">
            <w:pPr>
              <w:widowControl w:val="0"/>
              <w:spacing w:before="40" w:after="40"/>
              <w:jc w:val="center"/>
              <w:rPr>
                <w:b/>
              </w:rPr>
            </w:pPr>
            <w:r w:rsidRPr="001330BD">
              <w:rPr>
                <w:b/>
              </w:rPr>
              <w:lastRenderedPageBreak/>
              <w:t>Tieslietu ministrija</w:t>
            </w:r>
          </w:p>
          <w:p w14:paraId="36CE74B5" w14:textId="77777777" w:rsidR="007027AF" w:rsidRPr="001330BD" w:rsidRDefault="007027AF" w:rsidP="007027AF">
            <w:pPr>
              <w:widowControl w:val="0"/>
              <w:spacing w:before="40" w:after="40"/>
              <w:jc w:val="center"/>
              <w:rPr>
                <w:b/>
              </w:rPr>
            </w:pPr>
            <w:r w:rsidRPr="001330BD">
              <w:rPr>
                <w:b/>
              </w:rPr>
              <w:t>(2018.gada 18.oktobra atzinums)</w:t>
            </w:r>
          </w:p>
          <w:p w14:paraId="2960246A" w14:textId="77777777" w:rsidR="007027AF" w:rsidRPr="001330BD" w:rsidRDefault="007027AF" w:rsidP="007027AF">
            <w:pPr>
              <w:tabs>
                <w:tab w:val="left" w:pos="709"/>
                <w:tab w:val="left" w:pos="2742"/>
              </w:tabs>
              <w:spacing w:before="40" w:after="40"/>
              <w:rPr>
                <w:bCs/>
                <w:iCs/>
              </w:rPr>
            </w:pPr>
            <w:r w:rsidRPr="001330BD">
              <w:rPr>
                <w:bCs/>
                <w:iCs/>
              </w:rPr>
              <w:t xml:space="preserve">8. Lūdzam precizēt projekta 8. punktā izteikto 10. punktu, izsakot tā redakciju viennozīmīgi skaidri, vārdus “ir notikusi fiziska biodegvielas vai bioloģiskā šķidrā kurināmā ražošana” </w:t>
            </w:r>
            <w:r w:rsidRPr="001330BD">
              <w:rPr>
                <w:bCs/>
                <w:iCs/>
              </w:rPr>
              <w:lastRenderedPageBreak/>
              <w:t xml:space="preserve">izsakot atsevišķā teikumā līdzīgi </w:t>
            </w:r>
            <w:r w:rsidRPr="001330BD">
              <w:rPr>
                <w:bCs/>
                <w:iCs/>
                <w:u w:val="single"/>
              </w:rPr>
              <w:t>Direktīvas 2015/1513 2. panta 5. punktā</w:t>
            </w:r>
            <w:r w:rsidRPr="001330BD">
              <w:rPr>
                <w:bCs/>
                <w:iCs/>
              </w:rPr>
              <w:t xml:space="preserve"> izteiktajam teikumam: “</w:t>
            </w:r>
            <w:bookmarkStart w:id="11" w:name="_Hlk527709017"/>
            <w:r w:rsidRPr="001330BD">
              <w:rPr>
                <w:bCs/>
                <w:iCs/>
              </w:rPr>
              <w:t>Uzskata, ka iekārta “atrodas ekspluatācijā”, ja ir notikusi fiziska biodegvielas vai bioloģiskā šķidrā kurināmā ražošana.”</w:t>
            </w:r>
            <w:bookmarkEnd w:id="11"/>
          </w:p>
        </w:tc>
        <w:tc>
          <w:tcPr>
            <w:tcW w:w="2899" w:type="dxa"/>
            <w:tcBorders>
              <w:top w:val="single" w:sz="6" w:space="0" w:color="000000"/>
              <w:left w:val="single" w:sz="6" w:space="0" w:color="000000"/>
              <w:bottom w:val="single" w:sz="6" w:space="0" w:color="000000"/>
              <w:right w:val="single" w:sz="6" w:space="0" w:color="000000"/>
            </w:tcBorders>
            <w:shd w:val="clear" w:color="auto" w:fill="auto"/>
          </w:tcPr>
          <w:p w14:paraId="6861B61F" w14:textId="77777777" w:rsidR="007027AF" w:rsidRPr="001330BD" w:rsidRDefault="007027AF" w:rsidP="007027AF">
            <w:pPr>
              <w:spacing w:before="40" w:after="40"/>
              <w:jc w:val="center"/>
              <w:rPr>
                <w:b/>
                <w:iCs/>
              </w:rPr>
            </w:pPr>
            <w:r w:rsidRPr="001330BD">
              <w:rPr>
                <w:b/>
                <w:iCs/>
              </w:rPr>
              <w:lastRenderedPageBreak/>
              <w:t>Ņemts vērā</w:t>
            </w:r>
          </w:p>
        </w:tc>
        <w:tc>
          <w:tcPr>
            <w:tcW w:w="4368" w:type="dxa"/>
            <w:tcBorders>
              <w:top w:val="single" w:sz="4" w:space="0" w:color="auto"/>
              <w:left w:val="single" w:sz="4" w:space="0" w:color="auto"/>
              <w:bottom w:val="single" w:sz="4" w:space="0" w:color="auto"/>
            </w:tcBorders>
            <w:shd w:val="clear" w:color="auto" w:fill="auto"/>
          </w:tcPr>
          <w:p w14:paraId="0794A546" w14:textId="77777777" w:rsidR="007027AF" w:rsidRPr="001330BD" w:rsidRDefault="007027AF" w:rsidP="007027AF">
            <w:pPr>
              <w:pStyle w:val="ListParagraph"/>
              <w:shd w:val="clear" w:color="auto" w:fill="FFFFFF"/>
              <w:spacing w:before="40" w:after="40" w:line="240" w:lineRule="auto"/>
              <w:ind w:left="0"/>
              <w:contextualSpacing w:val="0"/>
              <w:jc w:val="both"/>
              <w:rPr>
                <w:rFonts w:ascii="Times New Roman" w:hAnsi="Times New Roman"/>
                <w:sz w:val="24"/>
                <w:szCs w:val="24"/>
                <w:lang w:eastAsia="lv-LV"/>
              </w:rPr>
            </w:pPr>
            <w:r w:rsidRPr="001330BD">
              <w:rPr>
                <w:rFonts w:ascii="Times New Roman" w:hAnsi="Times New Roman"/>
                <w:sz w:val="24"/>
                <w:szCs w:val="24"/>
                <w:lang w:eastAsia="lv-LV"/>
              </w:rPr>
              <w:t>Noteikumu projekta 9.punkts:</w:t>
            </w:r>
          </w:p>
          <w:p w14:paraId="6C951205" w14:textId="77777777" w:rsidR="007027AF" w:rsidRPr="001330BD" w:rsidRDefault="007027AF" w:rsidP="007027AF">
            <w:pPr>
              <w:tabs>
                <w:tab w:val="left" w:pos="993"/>
              </w:tabs>
              <w:spacing w:before="40" w:after="40"/>
              <w:jc w:val="both"/>
            </w:pPr>
            <w:r w:rsidRPr="001330BD">
              <w:t>“8. Izteikt 10. punktu šādā redakcijā:</w:t>
            </w:r>
          </w:p>
          <w:p w14:paraId="2DE12E5F" w14:textId="77777777" w:rsidR="007027AF" w:rsidRPr="001330BD" w:rsidRDefault="007027AF" w:rsidP="007027AF">
            <w:pPr>
              <w:pStyle w:val="norm"/>
              <w:shd w:val="clear" w:color="auto" w:fill="FFFFFF"/>
              <w:spacing w:before="40" w:beforeAutospacing="0" w:after="40" w:afterAutospacing="0"/>
              <w:jc w:val="both"/>
              <w:textAlignment w:val="baseline"/>
              <w:rPr>
                <w:rFonts w:eastAsia="Calibri"/>
                <w:lang w:eastAsia="en-US"/>
              </w:rPr>
            </w:pPr>
            <w:r w:rsidRPr="001330BD">
              <w:t xml:space="preserve">“10. </w:t>
            </w:r>
            <w:r w:rsidRPr="001330BD">
              <w:rPr>
                <w:rFonts w:eastAsia="Calibri"/>
                <w:lang w:eastAsia="en-US"/>
              </w:rPr>
              <w:t xml:space="preserve">Emisiju samazinājumam, ko nodrošina, izmantojot biodegvielu un bioloģisko šķidro kurināmo, ir jābūt 60 % attiecībā uz biodegvielām un bioloģisko šķidro kurināmo, ko ražo iekārtās, kuru </w:t>
            </w:r>
            <w:r w:rsidRPr="001330BD">
              <w:rPr>
                <w:rFonts w:eastAsia="Calibri"/>
                <w:lang w:eastAsia="en-US"/>
              </w:rPr>
              <w:lastRenderedPageBreak/>
              <w:t>ekspluatācija ir sākta pēc 2015. gada 5. oktobra. Attiecībā uz iekārtām, kas atradās ekspluatācijā 2015. gada 5. oktobrī vai pirms minētās dienas, emisiju samazinājumam, ko nodrošina, izmantojot biodegvielu, ir jābūt vismaz 50 % no 2018. gada 1. janvāra. Iekārta atrodas ekspluatācijā, ja ir notikusi fiziska biodegvielas vai bioloģiskā šķidrā kurināmā ražošana.”.”</w:t>
            </w:r>
          </w:p>
        </w:tc>
      </w:tr>
      <w:tr w:rsidR="007027AF" w:rsidRPr="001330BD" w14:paraId="2BC4DBB3"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tcPr>
          <w:p w14:paraId="0E9F79E4" w14:textId="737A5394" w:rsidR="007027AF" w:rsidRPr="001330BD" w:rsidRDefault="00B67450" w:rsidP="007027AF">
            <w:pPr>
              <w:pStyle w:val="naisc"/>
              <w:spacing w:before="40" w:after="40"/>
              <w:rPr>
                <w:b/>
              </w:rPr>
            </w:pPr>
            <w:r w:rsidRPr="001330BD">
              <w:rPr>
                <w:b/>
              </w:rPr>
              <w:lastRenderedPageBreak/>
              <w:t>17</w:t>
            </w:r>
          </w:p>
        </w:tc>
        <w:tc>
          <w:tcPr>
            <w:tcW w:w="3041" w:type="dxa"/>
            <w:tcBorders>
              <w:top w:val="single" w:sz="6" w:space="0" w:color="000000"/>
              <w:left w:val="single" w:sz="6" w:space="0" w:color="000000"/>
              <w:bottom w:val="single" w:sz="6" w:space="0" w:color="000000"/>
              <w:right w:val="single" w:sz="6" w:space="0" w:color="000000"/>
            </w:tcBorders>
          </w:tcPr>
          <w:p w14:paraId="1713CEA9" w14:textId="77777777" w:rsidR="007027AF" w:rsidRPr="001330BD" w:rsidRDefault="007027AF" w:rsidP="007027AF">
            <w:pPr>
              <w:tabs>
                <w:tab w:val="left" w:pos="3195"/>
              </w:tabs>
              <w:spacing w:before="40" w:after="40"/>
              <w:jc w:val="both"/>
            </w:pPr>
            <w:r w:rsidRPr="001330BD">
              <w:t>Noteikumu projekta 10.punktā izteiktais noteikumu Nr.545 jaunais 13.</w:t>
            </w:r>
            <w:r w:rsidRPr="001330BD">
              <w:rPr>
                <w:vertAlign w:val="superscript"/>
              </w:rPr>
              <w:t>1</w:t>
            </w:r>
            <w:r w:rsidRPr="001330BD">
              <w:t xml:space="preserve"> punkts:</w:t>
            </w:r>
          </w:p>
          <w:p w14:paraId="6DEBF106" w14:textId="77777777" w:rsidR="007027AF" w:rsidRPr="001330BD" w:rsidRDefault="007027AF" w:rsidP="007027AF">
            <w:pPr>
              <w:pStyle w:val="norm"/>
              <w:shd w:val="clear" w:color="auto" w:fill="FFFFFF"/>
              <w:tabs>
                <w:tab w:val="left" w:pos="1134"/>
              </w:tabs>
              <w:spacing w:before="40" w:beforeAutospacing="0" w:after="40" w:afterAutospacing="0"/>
              <w:jc w:val="both"/>
              <w:textAlignment w:val="baseline"/>
              <w:rPr>
                <w:rFonts w:eastAsia="Calibri"/>
                <w:lang w:eastAsia="en-US"/>
              </w:rPr>
            </w:pPr>
            <w:r w:rsidRPr="001330BD">
              <w:rPr>
                <w:rFonts w:eastAsia="Calibri"/>
                <w:lang w:eastAsia="en-US"/>
              </w:rPr>
              <w:t>“13.</w:t>
            </w:r>
            <w:r w:rsidRPr="001330BD">
              <w:rPr>
                <w:rFonts w:eastAsia="Calibri"/>
                <w:vertAlign w:val="superscript"/>
                <w:lang w:eastAsia="en-US"/>
              </w:rPr>
              <w:t>1</w:t>
            </w:r>
            <w:r w:rsidRPr="001330BD">
              <w:rPr>
                <w:rFonts w:eastAsia="Calibri"/>
                <w:lang w:eastAsia="en-US"/>
              </w:rPr>
              <w:t xml:space="preserve"> Izejvielu vai starpproduktu audzētājs, pirmais savācējs, pārstrādātājs, </w:t>
            </w:r>
            <w:proofErr w:type="spellStart"/>
            <w:r w:rsidRPr="001330BD">
              <w:rPr>
                <w:rFonts w:eastAsia="Calibri"/>
                <w:lang w:eastAsia="en-US"/>
              </w:rPr>
              <w:t>pašpārstrādātājs</w:t>
            </w:r>
            <w:proofErr w:type="spellEnd"/>
            <w:r w:rsidRPr="001330BD">
              <w:rPr>
                <w:rFonts w:eastAsia="Calibri"/>
                <w:lang w:eastAsia="en-US"/>
              </w:rPr>
              <w:t xml:space="preserve"> vai piegādātājs izmanto masas bilances sistēmu, kurā ir iespējams apvienot sūtījumu partijas ar atšķirīgām </w:t>
            </w:r>
            <w:r w:rsidRPr="001330BD">
              <w:rPr>
                <w:rFonts w:eastAsia="Calibri"/>
                <w:lang w:eastAsia="en-US"/>
              </w:rPr>
              <w:lastRenderedPageBreak/>
              <w:t>izejvielu vai biodegvielu ilgtspējības īpašībām un attiecīgi pieprasīt informāciju par šo apvienoto sūtījumu partiju ilgtspējības īpašībām un apjomiem, kam aizvien jābūt atkarīgiem no maisījuma, un kurā ir iespējams nodrošināt, ka visu no maisījumiem izņemto sūtījumu partiju summai ir tādas pašas ilgtspējības īpašības un tās ir tādos pašos daudzumos kā attiecīgajai visu maisījumam pievienoto sūtījumu partiju summai.”</w:t>
            </w:r>
          </w:p>
        </w:tc>
        <w:tc>
          <w:tcPr>
            <w:tcW w:w="4047" w:type="dxa"/>
            <w:tcBorders>
              <w:top w:val="single" w:sz="6" w:space="0" w:color="000000"/>
              <w:left w:val="single" w:sz="6" w:space="0" w:color="000000"/>
              <w:bottom w:val="single" w:sz="6" w:space="0" w:color="000000"/>
              <w:right w:val="single" w:sz="6" w:space="0" w:color="000000"/>
            </w:tcBorders>
          </w:tcPr>
          <w:p w14:paraId="0F8A65E6" w14:textId="77777777" w:rsidR="007027AF" w:rsidRPr="001330BD" w:rsidRDefault="007027AF" w:rsidP="007027AF">
            <w:pPr>
              <w:widowControl w:val="0"/>
              <w:spacing w:before="40" w:after="40"/>
              <w:jc w:val="center"/>
              <w:rPr>
                <w:b/>
              </w:rPr>
            </w:pPr>
            <w:r w:rsidRPr="001330BD">
              <w:rPr>
                <w:b/>
              </w:rPr>
              <w:lastRenderedPageBreak/>
              <w:t>Tieslietu ministrija</w:t>
            </w:r>
          </w:p>
          <w:p w14:paraId="4B73DFA0" w14:textId="77777777" w:rsidR="007027AF" w:rsidRPr="001330BD" w:rsidRDefault="007027AF" w:rsidP="007027AF">
            <w:pPr>
              <w:widowControl w:val="0"/>
              <w:spacing w:before="40" w:after="40"/>
              <w:jc w:val="center"/>
              <w:rPr>
                <w:b/>
              </w:rPr>
            </w:pPr>
            <w:r w:rsidRPr="001330BD">
              <w:rPr>
                <w:b/>
              </w:rPr>
              <w:t>(2018.gada 18.oktobra atzinums)</w:t>
            </w:r>
          </w:p>
          <w:p w14:paraId="3756EA5F" w14:textId="77777777" w:rsidR="007027AF" w:rsidRPr="001330BD" w:rsidRDefault="007027AF" w:rsidP="007027AF">
            <w:pPr>
              <w:tabs>
                <w:tab w:val="left" w:pos="709"/>
                <w:tab w:val="left" w:pos="2742"/>
              </w:tabs>
              <w:spacing w:before="40" w:after="40"/>
              <w:rPr>
                <w:bCs/>
                <w:iCs/>
              </w:rPr>
            </w:pPr>
            <w:r w:rsidRPr="001330BD">
              <w:rPr>
                <w:bCs/>
                <w:iCs/>
              </w:rPr>
              <w:t>9. Lūdzam izvērtēt un precizēt projekta 10. punktā izteikto 13.</w:t>
            </w:r>
            <w:r w:rsidRPr="001330BD">
              <w:rPr>
                <w:bCs/>
                <w:iCs/>
                <w:vertAlign w:val="superscript"/>
              </w:rPr>
              <w:t>1</w:t>
            </w:r>
            <w:r w:rsidRPr="001330BD">
              <w:rPr>
                <w:bCs/>
                <w:iCs/>
              </w:rPr>
              <w:t xml:space="preserve"> punktu, izsakot tā redakciju viennozīmīgi skaidri, nepieciešamības gadījumā iedalot minēto punktu apakšpunktos, ņemot vērā, ka tajā ir ietverts uzskaitījums.</w:t>
            </w:r>
          </w:p>
        </w:tc>
        <w:tc>
          <w:tcPr>
            <w:tcW w:w="2899" w:type="dxa"/>
            <w:tcBorders>
              <w:top w:val="single" w:sz="6" w:space="0" w:color="000000"/>
              <w:left w:val="single" w:sz="6" w:space="0" w:color="000000"/>
              <w:bottom w:val="single" w:sz="6" w:space="0" w:color="000000"/>
              <w:right w:val="single" w:sz="6" w:space="0" w:color="000000"/>
            </w:tcBorders>
          </w:tcPr>
          <w:p w14:paraId="1C6A11E9" w14:textId="77777777" w:rsidR="007027AF" w:rsidRPr="001330BD" w:rsidRDefault="007027AF" w:rsidP="007027AF">
            <w:pPr>
              <w:spacing w:before="40" w:after="40"/>
              <w:jc w:val="center"/>
              <w:rPr>
                <w:b/>
                <w:iCs/>
              </w:rPr>
            </w:pPr>
            <w:r w:rsidRPr="001330BD">
              <w:rPr>
                <w:b/>
                <w:iCs/>
              </w:rPr>
              <w:t>Ņemts vērā</w:t>
            </w:r>
          </w:p>
        </w:tc>
        <w:tc>
          <w:tcPr>
            <w:tcW w:w="4368" w:type="dxa"/>
            <w:tcBorders>
              <w:top w:val="single" w:sz="4" w:space="0" w:color="auto"/>
              <w:left w:val="single" w:sz="4" w:space="0" w:color="auto"/>
              <w:bottom w:val="single" w:sz="4" w:space="0" w:color="auto"/>
            </w:tcBorders>
          </w:tcPr>
          <w:p w14:paraId="2C3DD17E" w14:textId="77777777" w:rsidR="007027AF" w:rsidRPr="001330BD" w:rsidRDefault="007027AF" w:rsidP="007027AF">
            <w:pPr>
              <w:tabs>
                <w:tab w:val="left" w:pos="3195"/>
              </w:tabs>
              <w:spacing w:before="40" w:after="40"/>
              <w:jc w:val="both"/>
            </w:pPr>
            <w:r w:rsidRPr="001330BD">
              <w:t>Noteikumu projekta 11.punktā izteiktais noteikumu Nr.545 jaunais 13.</w:t>
            </w:r>
            <w:r w:rsidRPr="001330BD">
              <w:rPr>
                <w:vertAlign w:val="superscript"/>
              </w:rPr>
              <w:t>1</w:t>
            </w:r>
            <w:r w:rsidRPr="001330BD">
              <w:t xml:space="preserve"> punkts:</w:t>
            </w:r>
          </w:p>
          <w:p w14:paraId="5A9A8AF1" w14:textId="77777777" w:rsidR="007027AF" w:rsidRPr="001330BD" w:rsidRDefault="007027AF" w:rsidP="007027AF">
            <w:pPr>
              <w:pStyle w:val="norm"/>
              <w:shd w:val="clear" w:color="auto" w:fill="FFFFFF"/>
              <w:spacing w:before="40" w:beforeAutospacing="0" w:after="40" w:afterAutospacing="0"/>
              <w:jc w:val="both"/>
              <w:textAlignment w:val="baseline"/>
              <w:rPr>
                <w:rFonts w:eastAsia="Calibri"/>
                <w:lang w:eastAsia="en-US"/>
              </w:rPr>
            </w:pPr>
            <w:r w:rsidRPr="001330BD">
              <w:rPr>
                <w:rFonts w:eastAsia="Calibri"/>
                <w:lang w:eastAsia="en-US"/>
              </w:rPr>
              <w:t>“13.</w:t>
            </w:r>
            <w:r w:rsidRPr="001330BD">
              <w:rPr>
                <w:rFonts w:eastAsia="Calibri"/>
                <w:vertAlign w:val="superscript"/>
                <w:lang w:eastAsia="en-US"/>
              </w:rPr>
              <w:t>1</w:t>
            </w:r>
            <w:r w:rsidRPr="001330BD">
              <w:rPr>
                <w:rFonts w:eastAsia="Calibri"/>
                <w:lang w:eastAsia="en-US"/>
              </w:rPr>
              <w:t xml:space="preserve"> Izejvielu vai starpproduktu audzētājs, pirmais savācējs, pārstrādātājs, </w:t>
            </w:r>
            <w:proofErr w:type="spellStart"/>
            <w:r w:rsidRPr="001330BD">
              <w:rPr>
                <w:rFonts w:eastAsia="Calibri"/>
                <w:lang w:eastAsia="en-US"/>
              </w:rPr>
              <w:t>pašpārstrādātājs</w:t>
            </w:r>
            <w:proofErr w:type="spellEnd"/>
            <w:r w:rsidRPr="001330BD">
              <w:rPr>
                <w:rFonts w:eastAsia="Calibri"/>
                <w:lang w:eastAsia="en-US"/>
              </w:rPr>
              <w:t xml:space="preserve"> vai piegādātājs, lai pamatotu piegādes ķēdes, kas ietver visus biodegvielas aprites posmus, sākot no izejvielu ieguves līdz biodegvielas piejaukšanai degvielai un tās nodošanai </w:t>
            </w:r>
            <w:proofErr w:type="spellStart"/>
            <w:r w:rsidRPr="001330BD">
              <w:rPr>
                <w:rFonts w:eastAsia="Calibri"/>
                <w:lang w:eastAsia="en-US"/>
              </w:rPr>
              <w:t>galapatēriņam</w:t>
            </w:r>
            <w:proofErr w:type="spellEnd"/>
            <w:r w:rsidRPr="001330BD">
              <w:rPr>
                <w:rFonts w:eastAsia="Calibri"/>
                <w:lang w:eastAsia="en-US"/>
              </w:rPr>
              <w:t xml:space="preserve"> transportā, atbilstību ilgtspējas kritērijiem, izmanto masas bilances sistēmu, kurā ir iespējams:</w:t>
            </w:r>
          </w:p>
          <w:p w14:paraId="75D113EB" w14:textId="77777777" w:rsidR="007027AF" w:rsidRPr="001330BD" w:rsidRDefault="007027AF" w:rsidP="007027AF">
            <w:pPr>
              <w:pStyle w:val="norm"/>
              <w:shd w:val="clear" w:color="auto" w:fill="FFFFFF"/>
              <w:spacing w:before="40" w:beforeAutospacing="0" w:after="40" w:afterAutospacing="0"/>
              <w:ind w:firstLine="709"/>
              <w:jc w:val="both"/>
              <w:textAlignment w:val="baseline"/>
              <w:rPr>
                <w:rFonts w:eastAsia="Calibri"/>
                <w:lang w:eastAsia="en-US"/>
              </w:rPr>
            </w:pPr>
            <w:r w:rsidRPr="001330BD">
              <w:rPr>
                <w:rFonts w:eastAsia="Calibri"/>
                <w:lang w:eastAsia="en-US"/>
              </w:rPr>
              <w:lastRenderedPageBreak/>
              <w:t>13.</w:t>
            </w:r>
            <w:r w:rsidRPr="001330BD">
              <w:rPr>
                <w:rFonts w:eastAsia="Calibri"/>
                <w:vertAlign w:val="superscript"/>
                <w:lang w:eastAsia="en-US"/>
              </w:rPr>
              <w:t>1</w:t>
            </w:r>
            <w:r w:rsidRPr="001330BD">
              <w:rPr>
                <w:rFonts w:eastAsia="Calibri"/>
                <w:lang w:eastAsia="en-US"/>
              </w:rPr>
              <w:t xml:space="preserve"> 1. apvienot sūtījumu partijas ar atšķirīgām izejvielu vai biodegvielu ilgtspējības īpašībām;</w:t>
            </w:r>
          </w:p>
          <w:p w14:paraId="70F60C70" w14:textId="77777777" w:rsidR="007027AF" w:rsidRPr="001330BD" w:rsidRDefault="007027AF" w:rsidP="007027AF">
            <w:pPr>
              <w:pStyle w:val="norm"/>
              <w:shd w:val="clear" w:color="auto" w:fill="FFFFFF"/>
              <w:spacing w:before="40" w:beforeAutospacing="0" w:after="40" w:afterAutospacing="0"/>
              <w:ind w:firstLine="709"/>
              <w:jc w:val="both"/>
              <w:textAlignment w:val="baseline"/>
              <w:rPr>
                <w:rFonts w:eastAsia="Calibri"/>
                <w:lang w:eastAsia="en-US"/>
              </w:rPr>
            </w:pPr>
            <w:r w:rsidRPr="001330BD">
              <w:rPr>
                <w:rFonts w:eastAsia="Calibri"/>
                <w:lang w:eastAsia="en-US"/>
              </w:rPr>
              <w:t>13.</w:t>
            </w:r>
            <w:r w:rsidRPr="001330BD">
              <w:rPr>
                <w:rFonts w:eastAsia="Calibri"/>
                <w:vertAlign w:val="superscript"/>
                <w:lang w:eastAsia="en-US"/>
              </w:rPr>
              <w:t>1</w:t>
            </w:r>
            <w:r w:rsidRPr="001330BD">
              <w:rPr>
                <w:rFonts w:eastAsia="Calibri"/>
                <w:lang w:eastAsia="en-US"/>
              </w:rPr>
              <w:t xml:space="preserve"> 2 pieprasīt informāciju par šo apvienoto sūtījumu partiju ilgtspējas īpašībām un apjomiem, kam aizvien jābūt atkarīgiem no maisījuma;</w:t>
            </w:r>
          </w:p>
          <w:p w14:paraId="2A481E73" w14:textId="77777777" w:rsidR="007027AF" w:rsidRPr="001330BD" w:rsidRDefault="007027AF" w:rsidP="007027AF">
            <w:pPr>
              <w:pStyle w:val="norm"/>
              <w:shd w:val="clear" w:color="auto" w:fill="FFFFFF"/>
              <w:spacing w:before="40" w:beforeAutospacing="0" w:after="40" w:afterAutospacing="0"/>
              <w:ind w:firstLine="709"/>
              <w:jc w:val="both"/>
              <w:textAlignment w:val="baseline"/>
              <w:rPr>
                <w:rFonts w:eastAsia="Calibri"/>
                <w:lang w:eastAsia="en-US"/>
              </w:rPr>
            </w:pPr>
            <w:r w:rsidRPr="001330BD">
              <w:rPr>
                <w:rFonts w:eastAsia="Calibri"/>
                <w:lang w:eastAsia="en-US"/>
              </w:rPr>
              <w:t>13.</w:t>
            </w:r>
            <w:r w:rsidRPr="001330BD">
              <w:rPr>
                <w:rFonts w:eastAsia="Calibri"/>
                <w:vertAlign w:val="superscript"/>
                <w:lang w:eastAsia="en-US"/>
              </w:rPr>
              <w:t>1</w:t>
            </w:r>
            <w:r w:rsidRPr="001330BD">
              <w:rPr>
                <w:rFonts w:eastAsia="Calibri"/>
                <w:lang w:eastAsia="en-US"/>
              </w:rPr>
              <w:t xml:space="preserve"> 3 nodrošināt, ka visu no maisījumiem izņemto sūtījumu partiju summai ir tādas pašas ilgtspējības īpašības un tās ir tādos pašos daudzumos kā attiecīgajai visu maisījumam pievienoto sūtījumu partiju summai.”</w:t>
            </w:r>
          </w:p>
        </w:tc>
      </w:tr>
      <w:tr w:rsidR="007027AF" w:rsidRPr="001330BD" w14:paraId="71828A88"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tcPr>
          <w:p w14:paraId="3A2D252A" w14:textId="0E82EEAF" w:rsidR="007027AF" w:rsidRPr="001330BD" w:rsidRDefault="00B67450" w:rsidP="007027AF">
            <w:pPr>
              <w:pStyle w:val="naisc"/>
              <w:spacing w:before="40" w:after="40"/>
              <w:rPr>
                <w:b/>
              </w:rPr>
            </w:pPr>
            <w:r w:rsidRPr="001330BD">
              <w:rPr>
                <w:b/>
              </w:rPr>
              <w:lastRenderedPageBreak/>
              <w:t>18</w:t>
            </w:r>
          </w:p>
        </w:tc>
        <w:tc>
          <w:tcPr>
            <w:tcW w:w="3041" w:type="dxa"/>
            <w:tcBorders>
              <w:top w:val="single" w:sz="6" w:space="0" w:color="000000"/>
              <w:left w:val="single" w:sz="6" w:space="0" w:color="000000"/>
              <w:bottom w:val="single" w:sz="6" w:space="0" w:color="000000"/>
              <w:right w:val="single" w:sz="6" w:space="0" w:color="000000"/>
            </w:tcBorders>
          </w:tcPr>
          <w:p w14:paraId="70F78C81" w14:textId="77777777" w:rsidR="007027AF" w:rsidRPr="001330BD" w:rsidRDefault="007027AF" w:rsidP="007027AF">
            <w:pPr>
              <w:shd w:val="clear" w:color="auto" w:fill="FFFFFF"/>
              <w:spacing w:before="40" w:after="40"/>
              <w:jc w:val="both"/>
              <w:rPr>
                <w:color w:val="000000" w:themeColor="text1"/>
              </w:rPr>
            </w:pPr>
            <w:r w:rsidRPr="001330BD">
              <w:rPr>
                <w:color w:val="000000" w:themeColor="text1"/>
              </w:rPr>
              <w:t>Noteikumu Nr.545 15.punkts:</w:t>
            </w:r>
          </w:p>
          <w:p w14:paraId="63D61F4E" w14:textId="77777777" w:rsidR="007027AF" w:rsidRPr="001330BD" w:rsidRDefault="007027AF" w:rsidP="007027AF">
            <w:pPr>
              <w:shd w:val="clear" w:color="auto" w:fill="FFFFFF"/>
              <w:spacing w:before="40" w:after="40"/>
              <w:jc w:val="both"/>
              <w:rPr>
                <w:color w:val="000000" w:themeColor="text1"/>
              </w:rPr>
            </w:pPr>
            <w:r w:rsidRPr="001330BD">
              <w:rPr>
                <w:color w:val="000000" w:themeColor="text1"/>
              </w:rPr>
              <w:t>“15. Apliecinājumu par Latvijas Republikas teritorijā iegūtas lauksaimniecības un mežsaimniecības izcelsmes biomasas atbilstību ilgtspējības kritērijiem, tas ir, apliecinājumu, ka izejvielas nav iegūtas no zemes platībām ar augstu bioloģisko daudzveidību un zemes platībām ar augstu oglekļa koncentrāciju, izejvielu audzētājam izsniedz Lauku atbalsta dienests.</w:t>
            </w:r>
          </w:p>
          <w:p w14:paraId="287BE9A6" w14:textId="77777777" w:rsidR="007027AF" w:rsidRPr="001330BD" w:rsidRDefault="007027AF" w:rsidP="007027AF">
            <w:pPr>
              <w:shd w:val="clear" w:color="auto" w:fill="FFFFFF"/>
              <w:spacing w:before="40" w:after="40"/>
              <w:jc w:val="both"/>
              <w:rPr>
                <w:color w:val="000000" w:themeColor="text1"/>
              </w:rPr>
            </w:pPr>
          </w:p>
          <w:p w14:paraId="34BF57E0" w14:textId="77777777" w:rsidR="007027AF" w:rsidRPr="001330BD" w:rsidRDefault="007027AF" w:rsidP="007027AF">
            <w:pPr>
              <w:shd w:val="clear" w:color="auto" w:fill="FFFFFF"/>
              <w:spacing w:before="40" w:after="40"/>
              <w:jc w:val="both"/>
              <w:rPr>
                <w:color w:val="000000" w:themeColor="text1"/>
              </w:rPr>
            </w:pPr>
            <w:r w:rsidRPr="001330BD">
              <w:rPr>
                <w:color w:val="000000" w:themeColor="text1"/>
              </w:rPr>
              <w:lastRenderedPageBreak/>
              <w:t>Noteikumu projekta 13.punkts:</w:t>
            </w:r>
          </w:p>
          <w:p w14:paraId="2B9B0CA9" w14:textId="77777777" w:rsidR="007027AF" w:rsidRPr="001330BD" w:rsidRDefault="007027AF" w:rsidP="007027AF">
            <w:pPr>
              <w:pStyle w:val="norm"/>
              <w:shd w:val="clear" w:color="auto" w:fill="FFFFFF"/>
              <w:tabs>
                <w:tab w:val="left" w:pos="1134"/>
              </w:tabs>
              <w:spacing w:before="40" w:beforeAutospacing="0" w:after="40" w:afterAutospacing="0"/>
              <w:jc w:val="both"/>
              <w:textAlignment w:val="baseline"/>
              <w:rPr>
                <w:rFonts w:eastAsia="Calibri"/>
                <w:lang w:eastAsia="en-US"/>
              </w:rPr>
            </w:pPr>
            <w:r w:rsidRPr="001330BD">
              <w:rPr>
                <w:color w:val="000000" w:themeColor="text1"/>
              </w:rPr>
              <w:t xml:space="preserve">“13. </w:t>
            </w:r>
            <w:r w:rsidRPr="001330BD">
              <w:rPr>
                <w:rFonts w:eastAsia="Calibri"/>
                <w:lang w:eastAsia="en-US"/>
              </w:rPr>
              <w:t>Papildināt 15. punktu aiz vārdiem “ar augstu oglekļa koncentrāciju,” ar vārdiem “tai skaitā, kūdrājiem”.”</w:t>
            </w:r>
          </w:p>
        </w:tc>
        <w:tc>
          <w:tcPr>
            <w:tcW w:w="4047" w:type="dxa"/>
            <w:tcBorders>
              <w:top w:val="single" w:sz="6" w:space="0" w:color="000000"/>
              <w:left w:val="single" w:sz="6" w:space="0" w:color="000000"/>
              <w:bottom w:val="single" w:sz="6" w:space="0" w:color="000000"/>
              <w:right w:val="single" w:sz="6" w:space="0" w:color="000000"/>
            </w:tcBorders>
          </w:tcPr>
          <w:p w14:paraId="76417287" w14:textId="77777777" w:rsidR="007027AF" w:rsidRPr="001330BD" w:rsidRDefault="007027AF" w:rsidP="007027AF">
            <w:pPr>
              <w:widowControl w:val="0"/>
              <w:spacing w:before="40" w:after="40"/>
              <w:jc w:val="center"/>
              <w:rPr>
                <w:b/>
              </w:rPr>
            </w:pPr>
            <w:r w:rsidRPr="001330BD">
              <w:rPr>
                <w:b/>
              </w:rPr>
              <w:lastRenderedPageBreak/>
              <w:t>Lauku atbalsta dienesta viedoklis</w:t>
            </w:r>
          </w:p>
          <w:p w14:paraId="47D39BA8" w14:textId="77777777" w:rsidR="007027AF" w:rsidRPr="001330BD" w:rsidRDefault="007027AF" w:rsidP="007027AF">
            <w:pPr>
              <w:widowControl w:val="0"/>
              <w:spacing w:before="40" w:after="40"/>
              <w:jc w:val="center"/>
              <w:rPr>
                <w:b/>
              </w:rPr>
            </w:pPr>
            <w:r w:rsidRPr="001330BD">
              <w:rPr>
                <w:b/>
              </w:rPr>
              <w:t>(2018.gada 22.novembris)</w:t>
            </w:r>
          </w:p>
          <w:p w14:paraId="1C074431" w14:textId="77777777" w:rsidR="007027AF" w:rsidRPr="001330BD" w:rsidRDefault="007027AF" w:rsidP="007027AF">
            <w:pPr>
              <w:widowControl w:val="0"/>
              <w:spacing w:before="40" w:after="40"/>
            </w:pPr>
            <w:r w:rsidRPr="001330BD">
              <w:t xml:space="preserve">4. Labojumu 15. punktā lūdzam norādīt minimālo informāciju kāda ir nepieciešama atzinumā: klienta nosaukums, LAD klienta numurs, bloka numurs, lauka numurs kārtējā gada vienotajā iesniegumā, platība, kultūraugs, un pazīme par kultūrauga ieguvi kurināmā ražošanai.  </w:t>
            </w:r>
          </w:p>
        </w:tc>
        <w:tc>
          <w:tcPr>
            <w:tcW w:w="2899" w:type="dxa"/>
            <w:tcBorders>
              <w:top w:val="single" w:sz="6" w:space="0" w:color="000000"/>
              <w:left w:val="single" w:sz="6" w:space="0" w:color="000000"/>
              <w:bottom w:val="single" w:sz="6" w:space="0" w:color="000000"/>
              <w:right w:val="single" w:sz="6" w:space="0" w:color="000000"/>
            </w:tcBorders>
          </w:tcPr>
          <w:p w14:paraId="5DCFBC34" w14:textId="77777777" w:rsidR="007027AF" w:rsidRPr="001330BD" w:rsidRDefault="007027AF" w:rsidP="007027AF">
            <w:pPr>
              <w:spacing w:before="40" w:after="40"/>
              <w:jc w:val="center"/>
              <w:rPr>
                <w:b/>
                <w:iCs/>
              </w:rPr>
            </w:pPr>
            <w:r w:rsidRPr="001330BD">
              <w:rPr>
                <w:b/>
                <w:iCs/>
              </w:rPr>
              <w:t>Ņemts vērā</w:t>
            </w:r>
          </w:p>
        </w:tc>
        <w:tc>
          <w:tcPr>
            <w:tcW w:w="4368" w:type="dxa"/>
            <w:tcBorders>
              <w:top w:val="single" w:sz="4" w:space="0" w:color="auto"/>
              <w:left w:val="single" w:sz="4" w:space="0" w:color="auto"/>
              <w:bottom w:val="single" w:sz="4" w:space="0" w:color="auto"/>
            </w:tcBorders>
          </w:tcPr>
          <w:p w14:paraId="0573FDC5" w14:textId="77777777" w:rsidR="007027AF" w:rsidRPr="001330BD" w:rsidRDefault="007027AF" w:rsidP="007027AF">
            <w:pPr>
              <w:tabs>
                <w:tab w:val="left" w:pos="3195"/>
              </w:tabs>
              <w:spacing w:before="40" w:after="40"/>
              <w:jc w:val="both"/>
            </w:pPr>
            <w:r w:rsidRPr="001330BD">
              <w:t>Noteikumu projekta 13.punkts:</w:t>
            </w:r>
          </w:p>
          <w:p w14:paraId="4DDB311A" w14:textId="77777777" w:rsidR="007027AF" w:rsidRPr="001330BD" w:rsidRDefault="007027AF" w:rsidP="007027AF">
            <w:pPr>
              <w:pStyle w:val="norm"/>
              <w:shd w:val="clear" w:color="auto" w:fill="FFFFFF"/>
              <w:tabs>
                <w:tab w:val="left" w:pos="1134"/>
              </w:tabs>
              <w:spacing w:before="40" w:beforeAutospacing="0" w:after="40" w:afterAutospacing="0"/>
              <w:jc w:val="both"/>
              <w:textAlignment w:val="baseline"/>
              <w:rPr>
                <w:rFonts w:eastAsia="Calibri"/>
                <w:lang w:eastAsia="en-US"/>
              </w:rPr>
            </w:pPr>
            <w:r w:rsidRPr="001330BD">
              <w:t xml:space="preserve">“13. </w:t>
            </w:r>
            <w:r w:rsidRPr="001330BD">
              <w:rPr>
                <w:rFonts w:eastAsia="Calibri"/>
                <w:lang w:eastAsia="en-US"/>
              </w:rPr>
              <w:t>Izteikt 15.punktu šādā redakcijā:</w:t>
            </w:r>
          </w:p>
          <w:p w14:paraId="6CF797AC" w14:textId="2F3E0FF5" w:rsidR="007027AF" w:rsidRPr="001330BD" w:rsidRDefault="007027AF" w:rsidP="007027AF">
            <w:pPr>
              <w:pStyle w:val="norm"/>
              <w:shd w:val="clear" w:color="auto" w:fill="FFFFFF"/>
              <w:tabs>
                <w:tab w:val="left" w:pos="1134"/>
              </w:tabs>
              <w:spacing w:before="120" w:beforeAutospacing="0" w:after="120" w:afterAutospacing="0"/>
              <w:jc w:val="both"/>
              <w:textAlignment w:val="baseline"/>
              <w:rPr>
                <w:rFonts w:eastAsia="Calibri"/>
                <w:lang w:eastAsia="en-US"/>
              </w:rPr>
            </w:pPr>
            <w:r w:rsidRPr="001330BD">
              <w:rPr>
                <w:rFonts w:eastAsia="Calibri"/>
                <w:lang w:eastAsia="en-US"/>
              </w:rPr>
              <w:t>“15. Apliecinājumu par biodegvielas un bioloģiskā šķidrā kurināmā ražošanā izmantoto Latvijas Republikas teritorijā iegūto izejvielu atbilstību ilgtspējas kritērijiem, tas ir, apliecinājumu, ka izejvielas nav iegūtas no zemes platībām ar augstu bioloģisko daudzveidību, zemes platībām ar augstu oglekļa koncentrāciju un šo noteikumu 8</w:t>
            </w:r>
            <w:r w:rsidRPr="001330BD">
              <w:rPr>
                <w:rFonts w:eastAsia="Calibri"/>
                <w:vertAlign w:val="superscript"/>
                <w:lang w:eastAsia="en-US"/>
              </w:rPr>
              <w:t>1</w:t>
            </w:r>
            <w:r w:rsidRPr="001330BD">
              <w:rPr>
                <w:rFonts w:eastAsia="Calibri"/>
                <w:lang w:eastAsia="en-US"/>
              </w:rPr>
              <w:t xml:space="preserve"> punktā minētajām zemes platībām, izejvielu audzētājam izsniedz Lauku atbalsta dienests. Apliecinājumā tiek iekļauta šāda informācija: klienta nosaukums, Lauku atbalsta dienesta klienta numurs, bloka numurs, lauka numurs </w:t>
            </w:r>
            <w:r w:rsidRPr="001330BD">
              <w:rPr>
                <w:rFonts w:eastAsia="Calibri"/>
                <w:lang w:eastAsia="en-US"/>
              </w:rPr>
              <w:lastRenderedPageBreak/>
              <w:t>kārtējā gada vienotajā iesniegumā, platība, kultūraugs, un pazīme par kultūrauga ieguvi kurināmā ražošanai.”.</w:t>
            </w:r>
          </w:p>
        </w:tc>
      </w:tr>
      <w:tr w:rsidR="007027AF" w:rsidRPr="001330BD" w14:paraId="092FFFF1"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tcPr>
          <w:p w14:paraId="41A6D1B0" w14:textId="2EE55625" w:rsidR="007027AF" w:rsidRPr="001330BD" w:rsidRDefault="00B67450" w:rsidP="007027AF">
            <w:pPr>
              <w:pStyle w:val="naisc"/>
              <w:spacing w:before="40" w:after="40"/>
              <w:rPr>
                <w:b/>
              </w:rPr>
            </w:pPr>
            <w:r w:rsidRPr="001330BD">
              <w:rPr>
                <w:b/>
              </w:rPr>
              <w:lastRenderedPageBreak/>
              <w:t>19</w:t>
            </w:r>
          </w:p>
        </w:tc>
        <w:tc>
          <w:tcPr>
            <w:tcW w:w="3041" w:type="dxa"/>
            <w:tcBorders>
              <w:top w:val="single" w:sz="6" w:space="0" w:color="000000"/>
              <w:left w:val="single" w:sz="6" w:space="0" w:color="000000"/>
              <w:bottom w:val="single" w:sz="6" w:space="0" w:color="000000"/>
              <w:right w:val="single" w:sz="6" w:space="0" w:color="000000"/>
            </w:tcBorders>
          </w:tcPr>
          <w:p w14:paraId="58878F91" w14:textId="77777777" w:rsidR="007027AF" w:rsidRPr="001330BD" w:rsidRDefault="007027AF" w:rsidP="007027AF">
            <w:pPr>
              <w:shd w:val="clear" w:color="auto" w:fill="FFFFFF"/>
              <w:spacing w:before="40" w:after="40"/>
              <w:jc w:val="both"/>
              <w:rPr>
                <w:color w:val="000000" w:themeColor="text1"/>
              </w:rPr>
            </w:pPr>
            <w:r w:rsidRPr="001330BD">
              <w:rPr>
                <w:color w:val="000000" w:themeColor="text1"/>
              </w:rPr>
              <w:t>Noteikumu projekta 13.punkts:</w:t>
            </w:r>
          </w:p>
          <w:p w14:paraId="77EC76D2" w14:textId="7F6FEB44" w:rsidR="007027AF" w:rsidRPr="001330BD" w:rsidRDefault="007027AF" w:rsidP="007027AF">
            <w:pPr>
              <w:shd w:val="clear" w:color="auto" w:fill="FFFFFF"/>
              <w:spacing w:before="40" w:after="40"/>
              <w:jc w:val="both"/>
              <w:rPr>
                <w:color w:val="000000" w:themeColor="text1"/>
              </w:rPr>
            </w:pPr>
            <w:r w:rsidRPr="001330BD">
              <w:rPr>
                <w:color w:val="000000" w:themeColor="text1"/>
              </w:rPr>
              <w:t>“13.</w:t>
            </w:r>
            <w:r w:rsidRPr="001330BD">
              <w:rPr>
                <w:color w:val="000000" w:themeColor="text1"/>
              </w:rPr>
              <w:tab/>
              <w:t>Izteikt 15.punktu šādā redakcijā:</w:t>
            </w:r>
          </w:p>
          <w:p w14:paraId="37C724E7" w14:textId="45974269" w:rsidR="007027AF" w:rsidRPr="001330BD" w:rsidRDefault="007027AF" w:rsidP="007027AF">
            <w:pPr>
              <w:shd w:val="clear" w:color="auto" w:fill="FFFFFF"/>
              <w:spacing w:before="40" w:after="40"/>
              <w:jc w:val="both"/>
              <w:rPr>
                <w:color w:val="000000" w:themeColor="text1"/>
              </w:rPr>
            </w:pPr>
            <w:r w:rsidRPr="001330BD">
              <w:rPr>
                <w:rFonts w:eastAsia="Calibri"/>
                <w:lang w:eastAsia="en-US"/>
              </w:rPr>
              <w:t xml:space="preserve">15. Apliecinājumu par Latvijas Republikas teritorijā iegūtas lauksaimniecības un mežsaimniecības izcelsmes biomasas atbilstību ilgtspējības kritērijiem, tas ir, apliecinājumu, ka izejvielas nav iegūtas no zemes platībām ar augstu bioloģisko daudzveidību un zemes platībām ar augstu oglekļa koncentrāciju, tai skaitā, kūdrājiem, izejvielu audzētājam izsniedz Lauku atbalsta dienests. Apliecinājumā tiek iekļauta šāda informācija: klienta nosaukums, Lauku atbalsta dienesta klienta numurs, bloka numurs, lauka numurs kārtējā gada vienotajā iesniegumā, platība, kultūraugs, un pazīme par </w:t>
            </w:r>
            <w:r w:rsidRPr="001330BD">
              <w:rPr>
                <w:rFonts w:eastAsia="Calibri"/>
                <w:lang w:eastAsia="en-US"/>
              </w:rPr>
              <w:lastRenderedPageBreak/>
              <w:t>kultūrauga ieguvi kurināmā ražošanai.”.”</w:t>
            </w:r>
          </w:p>
        </w:tc>
        <w:tc>
          <w:tcPr>
            <w:tcW w:w="4047" w:type="dxa"/>
            <w:tcBorders>
              <w:top w:val="single" w:sz="6" w:space="0" w:color="000000"/>
              <w:left w:val="single" w:sz="6" w:space="0" w:color="000000"/>
              <w:bottom w:val="single" w:sz="6" w:space="0" w:color="000000"/>
              <w:right w:val="single" w:sz="6" w:space="0" w:color="000000"/>
            </w:tcBorders>
          </w:tcPr>
          <w:p w14:paraId="68883939" w14:textId="7E33D0B8" w:rsidR="007027AF" w:rsidRPr="001330BD" w:rsidRDefault="007027AF" w:rsidP="007027AF">
            <w:pPr>
              <w:jc w:val="center"/>
              <w:rPr>
                <w:b/>
              </w:rPr>
            </w:pPr>
            <w:r w:rsidRPr="001330BD">
              <w:rPr>
                <w:b/>
              </w:rPr>
              <w:lastRenderedPageBreak/>
              <w:t>Zemkopības ministrija</w:t>
            </w:r>
          </w:p>
          <w:p w14:paraId="24DB121D" w14:textId="2659CF7C" w:rsidR="007027AF" w:rsidRPr="001330BD" w:rsidRDefault="007027AF" w:rsidP="007027AF">
            <w:pPr>
              <w:jc w:val="center"/>
              <w:rPr>
                <w:b/>
              </w:rPr>
            </w:pPr>
            <w:r w:rsidRPr="001330BD">
              <w:rPr>
                <w:b/>
              </w:rPr>
              <w:t>(2018.gada 11.decembra atzinums)</w:t>
            </w:r>
          </w:p>
          <w:p w14:paraId="117A76BA" w14:textId="5D58FB41" w:rsidR="007027AF" w:rsidRPr="001330BD" w:rsidRDefault="007027AF" w:rsidP="007027AF">
            <w:r w:rsidRPr="001330BD">
              <w:t xml:space="preserve">1. Lūdzam svītrot noteikumu projekta 13.punktā prasību, ka apliecinājumu par Latvijas Republikas teritorijā iegūtas lauksaimniecības un mežsaimniecības izcelsmes biomasas atbilstību ilgtspējības kritērijiem jāsniedz par kūdrājiem, jo pašreiz pieejamās vēsturiskās lauksaimniecības zemes augšņu kartes ir apmēram 50 gadus vecas un nesatur aktuālu informāciju. Tās ir pieejamas digitālā formātā, bet to izmantošanai ir šādi ierobežojumi: </w:t>
            </w:r>
          </w:p>
          <w:p w14:paraId="22297D90" w14:textId="77777777" w:rsidR="007027AF" w:rsidRPr="001330BD" w:rsidRDefault="007027AF" w:rsidP="007027AF">
            <w:pPr>
              <w:pStyle w:val="ListParagraph"/>
              <w:numPr>
                <w:ilvl w:val="0"/>
                <w:numId w:val="30"/>
              </w:numPr>
              <w:spacing w:after="0" w:line="240" w:lineRule="auto"/>
              <w:ind w:left="227" w:hanging="227"/>
              <w:contextualSpacing w:val="0"/>
              <w:rPr>
                <w:rFonts w:ascii="Times New Roman" w:hAnsi="Times New Roman"/>
                <w:sz w:val="24"/>
                <w:szCs w:val="24"/>
              </w:rPr>
            </w:pPr>
            <w:r w:rsidRPr="001330BD">
              <w:rPr>
                <w:rFonts w:ascii="Times New Roman" w:hAnsi="Times New Roman"/>
                <w:sz w:val="24"/>
                <w:szCs w:val="24"/>
              </w:rPr>
              <w:t xml:space="preserve">Vēsturisko karšu sagatavošanas precizitāte, vērtējot pēc mūsdienu kritērijiem, ir nosacīta. Tā var būt neatbilstoša maksājumu administrēšanas vajadzībām. </w:t>
            </w:r>
          </w:p>
          <w:p w14:paraId="2CC2B56F" w14:textId="77777777" w:rsidR="007027AF" w:rsidRPr="001330BD" w:rsidRDefault="007027AF" w:rsidP="007027AF">
            <w:pPr>
              <w:pStyle w:val="ListParagraph"/>
              <w:numPr>
                <w:ilvl w:val="0"/>
                <w:numId w:val="30"/>
              </w:numPr>
              <w:spacing w:after="0" w:line="240" w:lineRule="auto"/>
              <w:ind w:left="227" w:hanging="227"/>
              <w:contextualSpacing w:val="0"/>
              <w:rPr>
                <w:rFonts w:ascii="Times New Roman" w:hAnsi="Times New Roman"/>
                <w:sz w:val="24"/>
                <w:szCs w:val="24"/>
              </w:rPr>
            </w:pPr>
            <w:r w:rsidRPr="001330BD">
              <w:rPr>
                <w:rFonts w:ascii="Times New Roman" w:hAnsi="Times New Roman"/>
                <w:sz w:val="24"/>
                <w:szCs w:val="24"/>
              </w:rPr>
              <w:t xml:space="preserve">Vēsturiskais augsnes karšu materiāls satur informāciju par kūdras augsnēm, bet teritorijas nosusināšanas/drenēšanas, kultūrtehnisko darbu veikšanas, kaļķošanas un mēslošanas rezultātā organisko vielu saturs kūdras </w:t>
            </w:r>
            <w:r w:rsidRPr="001330BD">
              <w:rPr>
                <w:rFonts w:ascii="Times New Roman" w:hAnsi="Times New Roman"/>
                <w:sz w:val="24"/>
                <w:szCs w:val="24"/>
              </w:rPr>
              <w:lastRenderedPageBreak/>
              <w:t xml:space="preserve">augsnēs pakāpeniski samazinās, un augsnes virskārta saplok. Rezultātā augsne mineralizējas, ar laiku mainās tās vieta klasifikācijas sistēmā un augsnes kartēs reģistrētais augsnes tips vairs neatbilst situācijai dabā. </w:t>
            </w:r>
          </w:p>
          <w:p w14:paraId="44B73F09" w14:textId="77777777" w:rsidR="007027AF" w:rsidRPr="001330BD" w:rsidRDefault="007027AF" w:rsidP="007027AF">
            <w:pPr>
              <w:pStyle w:val="ListParagraph"/>
              <w:numPr>
                <w:ilvl w:val="0"/>
                <w:numId w:val="30"/>
              </w:numPr>
              <w:spacing w:after="0" w:line="240" w:lineRule="auto"/>
              <w:ind w:left="227" w:hanging="227"/>
              <w:contextualSpacing w:val="0"/>
              <w:rPr>
                <w:rFonts w:ascii="Times New Roman" w:hAnsi="Times New Roman"/>
                <w:sz w:val="24"/>
                <w:szCs w:val="24"/>
              </w:rPr>
            </w:pPr>
            <w:r w:rsidRPr="001330BD">
              <w:rPr>
                <w:rFonts w:ascii="Times New Roman" w:hAnsi="Times New Roman"/>
                <w:sz w:val="24"/>
                <w:szCs w:val="24"/>
              </w:rPr>
              <w:t xml:space="preserve">Latvijas apstākļos šādi mineralizācijas procesi notiek salīdzinoši ātri (dažu </w:t>
            </w:r>
            <w:proofErr w:type="spellStart"/>
            <w:r w:rsidRPr="001330BD">
              <w:rPr>
                <w:rFonts w:ascii="Times New Roman" w:hAnsi="Times New Roman"/>
                <w:sz w:val="24"/>
                <w:szCs w:val="24"/>
              </w:rPr>
              <w:t>desmitgažu</w:t>
            </w:r>
            <w:proofErr w:type="spellEnd"/>
            <w:r w:rsidRPr="001330BD">
              <w:rPr>
                <w:rFonts w:ascii="Times New Roman" w:hAnsi="Times New Roman"/>
                <w:sz w:val="24"/>
                <w:szCs w:val="24"/>
              </w:rPr>
              <w:t xml:space="preserve"> laikā), līdz ar to Latvijas augsnes zinātnieki uzsver, ka kādreizējās kūdras jeb </w:t>
            </w:r>
            <w:proofErr w:type="spellStart"/>
            <w:r w:rsidRPr="001330BD">
              <w:rPr>
                <w:rFonts w:ascii="Times New Roman" w:hAnsi="Times New Roman"/>
                <w:sz w:val="24"/>
                <w:szCs w:val="24"/>
              </w:rPr>
              <w:t>hidromorfās</w:t>
            </w:r>
            <w:proofErr w:type="spellEnd"/>
            <w:r w:rsidRPr="001330BD">
              <w:rPr>
                <w:rFonts w:ascii="Times New Roman" w:hAnsi="Times New Roman"/>
                <w:sz w:val="24"/>
                <w:szCs w:val="24"/>
              </w:rPr>
              <w:t xml:space="preserve"> augsnes, tagad vairs šiem kritērijiem neatbilst. Tas kur, un kāda ir šī neatbilstība, šobrīd nav zināms. Ir bijuši daži parauglaukumu bāzes pētījumi, kas apliecina mineralizācijas procesus, bet aktuāla informācija lauka līmenī šobrīd nav pieejama.  </w:t>
            </w:r>
          </w:p>
          <w:p w14:paraId="44FA22B2" w14:textId="77777777" w:rsidR="007027AF" w:rsidRPr="001330BD" w:rsidRDefault="007027AF" w:rsidP="007027AF">
            <w:pPr>
              <w:pStyle w:val="ListParagraph"/>
              <w:numPr>
                <w:ilvl w:val="0"/>
                <w:numId w:val="30"/>
              </w:numPr>
              <w:spacing w:after="0" w:line="240" w:lineRule="auto"/>
              <w:ind w:left="227" w:hanging="227"/>
              <w:contextualSpacing w:val="0"/>
              <w:rPr>
                <w:rFonts w:ascii="Times New Roman" w:hAnsi="Times New Roman"/>
                <w:sz w:val="24"/>
                <w:szCs w:val="24"/>
              </w:rPr>
            </w:pPr>
            <w:r w:rsidRPr="001330BD">
              <w:rPr>
                <w:rFonts w:ascii="Times New Roman" w:hAnsi="Times New Roman"/>
                <w:sz w:val="24"/>
                <w:szCs w:val="24"/>
              </w:rPr>
              <w:t xml:space="preserve">Maksājumu administrēšanai izmantojot vēsturisko augšņu karšu informāciju par kūdras augsnēm, var tikt radītas situācijas, kad tiek noteikti nepamatoti ierobežojumi vai veikti nepamatoti maksājumi. </w:t>
            </w:r>
          </w:p>
          <w:p w14:paraId="6DDF9532" w14:textId="62AD1A11" w:rsidR="007027AF" w:rsidRPr="001330BD" w:rsidRDefault="007027AF" w:rsidP="007027AF">
            <w:pPr>
              <w:pStyle w:val="ListParagraph"/>
              <w:numPr>
                <w:ilvl w:val="0"/>
                <w:numId w:val="29"/>
              </w:numPr>
              <w:spacing w:after="0" w:line="240" w:lineRule="auto"/>
              <w:ind w:left="227" w:hanging="227"/>
              <w:contextualSpacing w:val="0"/>
              <w:rPr>
                <w:rFonts w:ascii="Times New Roman" w:hAnsi="Times New Roman"/>
                <w:sz w:val="24"/>
                <w:szCs w:val="24"/>
              </w:rPr>
            </w:pPr>
            <w:r w:rsidRPr="001330BD">
              <w:rPr>
                <w:rFonts w:ascii="Times New Roman" w:hAnsi="Times New Roman"/>
                <w:sz w:val="24"/>
                <w:szCs w:val="24"/>
              </w:rPr>
              <w:t xml:space="preserve">Informācija par kūdras augšņu izplatības telpisko datu slāni būs pieejama 2024.gadā, kad EEZ/Norvēģijas finanšu instrumenta 2014-2021 ietvaros Latvijā līdz 2023. gada beigām tiks aktualizēta kūdras jeb </w:t>
            </w:r>
            <w:proofErr w:type="spellStart"/>
            <w:r w:rsidRPr="001330BD">
              <w:rPr>
                <w:rFonts w:ascii="Times New Roman" w:hAnsi="Times New Roman"/>
                <w:sz w:val="24"/>
                <w:szCs w:val="24"/>
              </w:rPr>
              <w:t>hidromorfo</w:t>
            </w:r>
            <w:proofErr w:type="spellEnd"/>
            <w:r w:rsidRPr="001330BD">
              <w:rPr>
                <w:rFonts w:ascii="Times New Roman" w:hAnsi="Times New Roman"/>
                <w:sz w:val="24"/>
                <w:szCs w:val="24"/>
              </w:rPr>
              <w:t xml:space="preserve"> augšņu izplatības karte lauksaimniecības </w:t>
            </w:r>
            <w:r w:rsidRPr="001330BD">
              <w:rPr>
                <w:rFonts w:ascii="Times New Roman" w:hAnsi="Times New Roman"/>
                <w:sz w:val="24"/>
                <w:szCs w:val="24"/>
              </w:rPr>
              <w:lastRenderedPageBreak/>
              <w:t xml:space="preserve">zemēs. Uz vēsturisko karšu materiālu pamata tiks veikti mērījumi dabā un iegūta precīza informācija. </w:t>
            </w:r>
          </w:p>
        </w:tc>
        <w:tc>
          <w:tcPr>
            <w:tcW w:w="2899" w:type="dxa"/>
            <w:tcBorders>
              <w:top w:val="single" w:sz="6" w:space="0" w:color="000000"/>
              <w:left w:val="single" w:sz="6" w:space="0" w:color="000000"/>
              <w:bottom w:val="single" w:sz="6" w:space="0" w:color="000000"/>
              <w:right w:val="single" w:sz="6" w:space="0" w:color="000000"/>
            </w:tcBorders>
          </w:tcPr>
          <w:p w14:paraId="48682EE6" w14:textId="77777777" w:rsidR="007027AF" w:rsidRPr="001330BD" w:rsidRDefault="007027AF" w:rsidP="007027AF">
            <w:pPr>
              <w:spacing w:before="40" w:after="40"/>
              <w:jc w:val="center"/>
              <w:rPr>
                <w:b/>
                <w:iCs/>
              </w:rPr>
            </w:pPr>
            <w:r w:rsidRPr="001330BD">
              <w:rPr>
                <w:b/>
                <w:iCs/>
              </w:rPr>
              <w:lastRenderedPageBreak/>
              <w:t>Daļēji ņemts vērā</w:t>
            </w:r>
          </w:p>
          <w:p w14:paraId="1B468240" w14:textId="77777777" w:rsidR="007027AF" w:rsidRPr="001330BD" w:rsidRDefault="007027AF" w:rsidP="007027AF">
            <w:pPr>
              <w:spacing w:before="40" w:after="40"/>
              <w:rPr>
                <w:b/>
                <w:iCs/>
              </w:rPr>
            </w:pPr>
          </w:p>
          <w:p w14:paraId="2FB651CB" w14:textId="6CC78B68" w:rsidR="007027AF" w:rsidRPr="001330BD" w:rsidRDefault="007027AF" w:rsidP="007027AF">
            <w:pPr>
              <w:spacing w:before="40" w:after="40"/>
              <w:rPr>
                <w:iCs/>
              </w:rPr>
            </w:pPr>
            <w:r w:rsidRPr="001330BD">
              <w:rPr>
                <w:iCs/>
              </w:rPr>
              <w:t>Tā kā nosacījumi attiecībā uz kūdrājos iegūto biodegvielu atbilstību ilgtspējas kritērijiem, ir noteikti Eiropas Parlamenta un Padomes direktīvā Nr.98/70/EK un 2009/28/EK, tad šo nosacījumu nedrīkst netransponēt.</w:t>
            </w:r>
          </w:p>
          <w:p w14:paraId="356B92DB" w14:textId="683D177F" w:rsidR="007027AF" w:rsidRPr="001330BD" w:rsidRDefault="007027AF" w:rsidP="007027AF">
            <w:pPr>
              <w:spacing w:before="40" w:after="40"/>
              <w:rPr>
                <w:b/>
                <w:iCs/>
              </w:rPr>
            </w:pPr>
            <w:r w:rsidRPr="001330BD">
              <w:rPr>
                <w:iCs/>
              </w:rPr>
              <w:t>Tomēr ņemot vērā Zemkopības ministrijas atzinumu, ar Noteikumu projektu tiek piedāvāts papildināt Noteikumu Nr.545 ar jaunu 35.punktu, kas noteic pārejas periodu nosacījumiem attiecībā uz kūdrājiem – tiek piedāvāts noteikt, ka šis nosacījums stājas spēkā 2024.gada 1.janvārī.</w:t>
            </w:r>
          </w:p>
        </w:tc>
        <w:tc>
          <w:tcPr>
            <w:tcW w:w="4368" w:type="dxa"/>
            <w:tcBorders>
              <w:top w:val="single" w:sz="4" w:space="0" w:color="auto"/>
              <w:left w:val="single" w:sz="4" w:space="0" w:color="auto"/>
              <w:bottom w:val="single" w:sz="4" w:space="0" w:color="auto"/>
            </w:tcBorders>
          </w:tcPr>
          <w:p w14:paraId="4640F977" w14:textId="77777777" w:rsidR="007027AF" w:rsidRPr="001330BD" w:rsidRDefault="007027AF" w:rsidP="007027AF">
            <w:pPr>
              <w:tabs>
                <w:tab w:val="left" w:pos="3195"/>
              </w:tabs>
              <w:spacing w:before="40" w:after="40"/>
              <w:jc w:val="both"/>
            </w:pPr>
            <w:r w:rsidRPr="001330BD">
              <w:t>Noteikumu projekta 13.punkts:</w:t>
            </w:r>
          </w:p>
          <w:p w14:paraId="1A3CD142" w14:textId="59B03851" w:rsidR="007027AF" w:rsidRPr="001330BD" w:rsidRDefault="007027AF" w:rsidP="007027AF">
            <w:pPr>
              <w:pStyle w:val="norm"/>
              <w:shd w:val="clear" w:color="auto" w:fill="FFFFFF"/>
              <w:tabs>
                <w:tab w:val="left" w:pos="1134"/>
              </w:tabs>
              <w:spacing w:before="120" w:beforeAutospacing="0" w:after="120" w:afterAutospacing="0"/>
              <w:jc w:val="both"/>
              <w:textAlignment w:val="baseline"/>
              <w:rPr>
                <w:rFonts w:eastAsia="Calibri"/>
                <w:lang w:eastAsia="en-US"/>
              </w:rPr>
            </w:pPr>
            <w:r w:rsidRPr="001330BD">
              <w:t xml:space="preserve">“13. </w:t>
            </w:r>
            <w:r w:rsidRPr="001330BD">
              <w:rPr>
                <w:rFonts w:eastAsia="Calibri"/>
                <w:lang w:eastAsia="en-US"/>
              </w:rPr>
              <w:t>Izteikt 15.punktu šādā redakcijā:</w:t>
            </w:r>
          </w:p>
          <w:p w14:paraId="18348AB0" w14:textId="2183514B" w:rsidR="007027AF" w:rsidRPr="001330BD" w:rsidRDefault="007027AF" w:rsidP="007027AF">
            <w:pPr>
              <w:pStyle w:val="norm"/>
              <w:shd w:val="clear" w:color="auto" w:fill="FFFFFF"/>
              <w:tabs>
                <w:tab w:val="left" w:pos="1134"/>
              </w:tabs>
              <w:spacing w:before="120" w:beforeAutospacing="0" w:after="120" w:afterAutospacing="0"/>
              <w:jc w:val="both"/>
              <w:textAlignment w:val="baseline"/>
              <w:rPr>
                <w:rFonts w:eastAsia="Calibri"/>
                <w:lang w:eastAsia="en-US"/>
              </w:rPr>
            </w:pPr>
            <w:r w:rsidRPr="001330BD">
              <w:rPr>
                <w:rFonts w:eastAsia="Calibri"/>
                <w:lang w:eastAsia="en-US"/>
              </w:rPr>
              <w:t>“15. Apliecinājumu par biodegvielas un bioloģiskā šķidrā kurināmā ražošanā izmantoto Latvijas Republikas teritorijā iegūto izejvielu atbilstību ilgtspējas kritērijiem, tas ir, apliecinājumu, ka izejvielas nav iegūtas no zemes platībām ar augstu bioloģisko daudzveidību, zemes platībām ar augstu oglekļa koncentrāciju un šo noteikumu 8</w:t>
            </w:r>
            <w:r w:rsidRPr="001330BD">
              <w:rPr>
                <w:rFonts w:eastAsia="Calibri"/>
                <w:vertAlign w:val="superscript"/>
                <w:lang w:eastAsia="en-US"/>
              </w:rPr>
              <w:t>1</w:t>
            </w:r>
            <w:r w:rsidRPr="001330BD">
              <w:rPr>
                <w:rFonts w:eastAsia="Calibri"/>
                <w:lang w:eastAsia="en-US"/>
              </w:rPr>
              <w:t xml:space="preserve"> punktā minētajām zemes platībām, izejvielu audzētājam izsniedz Lauku atbalsta dienests. Apliecinājumā tiek iekļauta šāda informācija: klienta nosaukums, Lauku atbalsta dienesta klienta numurs, bloka numurs, lauka numurs kārtējā gada vienotajā iesniegumā, platība, kultūraugs, un pazīme par kultūrauga ieguvi kurināmā ražošanai.”.</w:t>
            </w:r>
          </w:p>
          <w:p w14:paraId="08D81770" w14:textId="2E783F5B" w:rsidR="007027AF" w:rsidRPr="001330BD" w:rsidRDefault="007027AF" w:rsidP="007027AF">
            <w:pPr>
              <w:pStyle w:val="norm"/>
              <w:shd w:val="clear" w:color="auto" w:fill="FFFFFF"/>
              <w:tabs>
                <w:tab w:val="left" w:pos="1134"/>
              </w:tabs>
              <w:spacing w:before="120" w:beforeAutospacing="0" w:after="120" w:afterAutospacing="0"/>
              <w:jc w:val="both"/>
              <w:textAlignment w:val="baseline"/>
              <w:rPr>
                <w:rFonts w:eastAsia="Calibri"/>
                <w:lang w:eastAsia="en-US"/>
              </w:rPr>
            </w:pPr>
            <w:r w:rsidRPr="001330BD">
              <w:rPr>
                <w:rFonts w:eastAsia="Calibri"/>
                <w:lang w:eastAsia="en-US"/>
              </w:rPr>
              <w:t>Noteikumu projekta 18.punkts:</w:t>
            </w:r>
          </w:p>
          <w:p w14:paraId="7586DA25" w14:textId="057A136F" w:rsidR="007027AF" w:rsidRPr="001330BD" w:rsidRDefault="007027AF" w:rsidP="007027AF">
            <w:pPr>
              <w:pStyle w:val="norm"/>
              <w:shd w:val="clear" w:color="auto" w:fill="FFFFFF"/>
              <w:tabs>
                <w:tab w:val="left" w:pos="993"/>
              </w:tabs>
              <w:spacing w:before="120" w:beforeAutospacing="0" w:after="120" w:afterAutospacing="0"/>
              <w:jc w:val="both"/>
              <w:textAlignment w:val="baseline"/>
              <w:rPr>
                <w:rFonts w:eastAsia="Calibri"/>
                <w:lang w:eastAsia="en-US"/>
              </w:rPr>
            </w:pPr>
            <w:r w:rsidRPr="001330BD">
              <w:rPr>
                <w:rFonts w:eastAsia="Calibri"/>
                <w:lang w:eastAsia="en-US"/>
              </w:rPr>
              <w:t>“18. Papildināt noteikumus ar jaunu 35.punktu šādā redakcijā:</w:t>
            </w:r>
          </w:p>
          <w:p w14:paraId="516BB015" w14:textId="77777777" w:rsidR="007027AF" w:rsidRPr="001330BD" w:rsidRDefault="007027AF" w:rsidP="007027AF">
            <w:pPr>
              <w:pStyle w:val="norm"/>
              <w:shd w:val="clear" w:color="auto" w:fill="FFFFFF"/>
              <w:tabs>
                <w:tab w:val="left" w:pos="993"/>
              </w:tabs>
              <w:spacing w:before="120" w:beforeAutospacing="0" w:after="120" w:afterAutospacing="0"/>
              <w:jc w:val="both"/>
              <w:textAlignment w:val="baseline"/>
              <w:rPr>
                <w:rFonts w:eastAsia="Calibri"/>
                <w:lang w:eastAsia="en-US"/>
              </w:rPr>
            </w:pPr>
            <w:r w:rsidRPr="001330BD">
              <w:rPr>
                <w:rFonts w:eastAsia="Calibri"/>
                <w:lang w:eastAsia="en-US"/>
              </w:rPr>
              <w:t>“35. Šo noteikumu 8</w:t>
            </w:r>
            <w:r w:rsidRPr="001330BD">
              <w:rPr>
                <w:rFonts w:eastAsia="Calibri"/>
                <w:vertAlign w:val="superscript"/>
                <w:lang w:eastAsia="en-US"/>
              </w:rPr>
              <w:t>1</w:t>
            </w:r>
            <w:r w:rsidRPr="001330BD">
              <w:rPr>
                <w:rFonts w:eastAsia="Calibri"/>
                <w:lang w:eastAsia="en-US"/>
              </w:rPr>
              <w:t xml:space="preserve"> punkts stājas spēkā 2024. gada 1. janvārī.”.</w:t>
            </w:r>
          </w:p>
          <w:p w14:paraId="56234213" w14:textId="59B71A64" w:rsidR="007027AF" w:rsidRPr="001330BD" w:rsidRDefault="007027AF" w:rsidP="007027AF">
            <w:pPr>
              <w:pStyle w:val="norm"/>
              <w:shd w:val="clear" w:color="auto" w:fill="FFFFFF"/>
              <w:tabs>
                <w:tab w:val="left" w:pos="1134"/>
              </w:tabs>
              <w:spacing w:before="120" w:beforeAutospacing="0" w:after="120" w:afterAutospacing="0"/>
              <w:jc w:val="both"/>
              <w:textAlignment w:val="baseline"/>
              <w:rPr>
                <w:rFonts w:eastAsia="Calibri"/>
                <w:lang w:eastAsia="en-US"/>
              </w:rPr>
            </w:pPr>
          </w:p>
          <w:p w14:paraId="7AEDA06A" w14:textId="65D70E2F" w:rsidR="007027AF" w:rsidRPr="001330BD" w:rsidRDefault="007027AF" w:rsidP="007027AF">
            <w:pPr>
              <w:tabs>
                <w:tab w:val="left" w:pos="3195"/>
              </w:tabs>
              <w:spacing w:before="40" w:after="40"/>
              <w:jc w:val="both"/>
            </w:pPr>
          </w:p>
        </w:tc>
      </w:tr>
      <w:tr w:rsidR="007027AF" w:rsidRPr="001330BD" w14:paraId="406C7355"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shd w:val="clear" w:color="auto" w:fill="auto"/>
          </w:tcPr>
          <w:p w14:paraId="380976B9" w14:textId="094AE2AA" w:rsidR="007027AF" w:rsidRPr="001330BD" w:rsidRDefault="00B67450" w:rsidP="007027AF">
            <w:pPr>
              <w:pStyle w:val="naisc"/>
              <w:spacing w:before="40" w:after="40"/>
              <w:rPr>
                <w:b/>
              </w:rPr>
            </w:pPr>
            <w:r w:rsidRPr="001330BD">
              <w:rPr>
                <w:b/>
              </w:rPr>
              <w:lastRenderedPageBreak/>
              <w:t>20</w:t>
            </w:r>
          </w:p>
        </w:tc>
        <w:tc>
          <w:tcPr>
            <w:tcW w:w="3041" w:type="dxa"/>
            <w:tcBorders>
              <w:top w:val="single" w:sz="6" w:space="0" w:color="000000"/>
              <w:left w:val="single" w:sz="6" w:space="0" w:color="000000"/>
              <w:bottom w:val="single" w:sz="6" w:space="0" w:color="000000"/>
              <w:right w:val="single" w:sz="6" w:space="0" w:color="000000"/>
            </w:tcBorders>
            <w:shd w:val="clear" w:color="auto" w:fill="auto"/>
          </w:tcPr>
          <w:p w14:paraId="5E1C5FA9" w14:textId="77777777" w:rsidR="007027AF" w:rsidRPr="001330BD" w:rsidRDefault="007027AF" w:rsidP="007027AF">
            <w:pPr>
              <w:tabs>
                <w:tab w:val="left" w:pos="3195"/>
              </w:tabs>
              <w:spacing w:before="40" w:after="40"/>
              <w:jc w:val="both"/>
            </w:pPr>
            <w:r w:rsidRPr="001330BD">
              <w:t>Noteikumu projekta 14.punktā izteiktais Noteikumu Nr.545 jaunais 28.</w:t>
            </w:r>
            <w:r w:rsidRPr="001330BD">
              <w:rPr>
                <w:vertAlign w:val="superscript"/>
              </w:rPr>
              <w:t>4</w:t>
            </w:r>
            <w:r w:rsidRPr="001330BD">
              <w:t xml:space="preserve"> punkts:</w:t>
            </w:r>
          </w:p>
          <w:p w14:paraId="018EC90A" w14:textId="77777777" w:rsidR="007027AF" w:rsidRPr="001330BD" w:rsidRDefault="007027AF" w:rsidP="007027AF">
            <w:pPr>
              <w:pStyle w:val="norm"/>
              <w:shd w:val="clear" w:color="auto" w:fill="FFFFFF"/>
              <w:spacing w:before="40" w:beforeAutospacing="0" w:after="40" w:afterAutospacing="0"/>
              <w:jc w:val="both"/>
              <w:textAlignment w:val="baseline"/>
            </w:pPr>
            <w:r w:rsidRPr="001330BD">
              <w:rPr>
                <w:rFonts w:eastAsia="Calibri"/>
                <w:lang w:eastAsia="en-US"/>
              </w:rPr>
              <w:t>“28.</w:t>
            </w:r>
            <w:r w:rsidRPr="001330BD">
              <w:rPr>
                <w:rFonts w:eastAsia="Calibri"/>
                <w:vertAlign w:val="superscript"/>
                <w:lang w:eastAsia="en-US"/>
              </w:rPr>
              <w:t>4</w:t>
            </w:r>
            <w:r w:rsidRPr="001330BD">
              <w:t xml:space="preserve"> Ja degvielas piegādātājs vispārīgās ziņošanas pienākuma ietvaros kopā ar šo noteikumu 28.</w:t>
            </w:r>
            <w:r w:rsidRPr="001330BD">
              <w:rPr>
                <w:rFonts w:eastAsia="Calibri"/>
                <w:vertAlign w:val="superscript"/>
              </w:rPr>
              <w:t>1</w:t>
            </w:r>
            <w:r w:rsidRPr="001330BD">
              <w:rPr>
                <w:rFonts w:eastAsia="Calibri"/>
                <w:lang w:eastAsia="en-US"/>
              </w:rPr>
              <w:t xml:space="preserve"> </w:t>
            </w:r>
            <w:r w:rsidRPr="001330BD">
              <w:t>1., 28.</w:t>
            </w:r>
            <w:r w:rsidRPr="001330BD">
              <w:rPr>
                <w:rFonts w:eastAsia="Calibri"/>
                <w:vertAlign w:val="superscript"/>
                <w:lang w:eastAsia="en-US"/>
              </w:rPr>
              <w:t>1</w:t>
            </w:r>
            <w:r w:rsidRPr="001330BD">
              <w:rPr>
                <w:rFonts w:eastAsia="Calibri"/>
                <w:lang w:eastAsia="en-US"/>
              </w:rPr>
              <w:t xml:space="preserve"> </w:t>
            </w:r>
            <w:r w:rsidRPr="001330BD">
              <w:t>2., 28.</w:t>
            </w:r>
            <w:r w:rsidRPr="001330BD">
              <w:rPr>
                <w:rFonts w:eastAsia="Calibri"/>
                <w:vertAlign w:val="superscript"/>
                <w:lang w:eastAsia="en-US"/>
              </w:rPr>
              <w:t>1</w:t>
            </w:r>
            <w:r w:rsidRPr="001330BD">
              <w:rPr>
                <w:rFonts w:eastAsia="Calibri"/>
                <w:lang w:eastAsia="en-US"/>
              </w:rPr>
              <w:t xml:space="preserve"> </w:t>
            </w:r>
            <w:r w:rsidRPr="001330BD">
              <w:t>3., 28.</w:t>
            </w:r>
            <w:r w:rsidRPr="001330BD">
              <w:rPr>
                <w:rFonts w:eastAsia="Calibri"/>
                <w:vertAlign w:val="superscript"/>
                <w:lang w:eastAsia="en-US"/>
              </w:rPr>
              <w:t>1</w:t>
            </w:r>
            <w:r w:rsidRPr="001330BD">
              <w:rPr>
                <w:rFonts w:eastAsia="Calibri"/>
                <w:lang w:eastAsia="en-US"/>
              </w:rPr>
              <w:t xml:space="preserve"> </w:t>
            </w:r>
            <w:r w:rsidRPr="001330BD">
              <w:t>4. un 28.</w:t>
            </w:r>
            <w:r w:rsidRPr="001330BD">
              <w:rPr>
                <w:rFonts w:eastAsia="Calibri"/>
                <w:vertAlign w:val="superscript"/>
                <w:lang w:eastAsia="en-US"/>
              </w:rPr>
              <w:t>1</w:t>
            </w:r>
            <w:r w:rsidRPr="001330BD">
              <w:rPr>
                <w:rFonts w:eastAsia="Calibri"/>
                <w:lang w:eastAsia="en-US"/>
              </w:rPr>
              <w:t xml:space="preserve"> </w:t>
            </w:r>
            <w:r w:rsidRPr="001330BD">
              <w:t xml:space="preserve">5. apakšpunktā minēto informāciju iesniedz pierādījumus vai informāciju par biodegvielas vai bioloģiskā šķidrā kurināmā atbilstību ilgtspējas kritērijiem, kas iegūti saskaņā ar šo noteikumu 12.1. apakšpunktā minēto līgumu vai šo noteikumu 12.2. apakšpunktā minēto brīvprātīgo shēmu, par kuras atbilstību ticamības, </w:t>
            </w:r>
            <w:proofErr w:type="spellStart"/>
            <w:r w:rsidRPr="001330BD">
              <w:t>paredzamības</w:t>
            </w:r>
            <w:proofErr w:type="spellEnd"/>
            <w:r w:rsidRPr="001330BD">
              <w:t xml:space="preserve"> un neatkarīga audita standartiem Eiropas Komisija ir pieņēmusi attiecīgu lēmumu, tad šim degvielas piegādātājam nav jāiesniedz pierādījumi vai informācija, kas minēti šo noteikumu 5., 6., 7., 8</w:t>
            </w:r>
            <w:r w:rsidRPr="001330BD">
              <w:rPr>
                <w:vertAlign w:val="superscript"/>
              </w:rPr>
              <w:t>1</w:t>
            </w:r>
            <w:r w:rsidRPr="001330BD">
              <w:t xml:space="preserve"> un </w:t>
            </w:r>
            <w:r w:rsidRPr="001330BD">
              <w:lastRenderedPageBreak/>
              <w:t>10.punktā noteikti ilgtspējas kritēriju  ievērošanu, un nav jāinformē par šo noteikumu V nodaļā minētajiem pasākumiem.”.</w:t>
            </w:r>
          </w:p>
        </w:tc>
        <w:tc>
          <w:tcPr>
            <w:tcW w:w="4047" w:type="dxa"/>
            <w:tcBorders>
              <w:top w:val="single" w:sz="6" w:space="0" w:color="000000"/>
              <w:left w:val="single" w:sz="6" w:space="0" w:color="000000"/>
              <w:bottom w:val="single" w:sz="6" w:space="0" w:color="000000"/>
              <w:right w:val="single" w:sz="6" w:space="0" w:color="000000"/>
            </w:tcBorders>
            <w:shd w:val="clear" w:color="auto" w:fill="auto"/>
          </w:tcPr>
          <w:p w14:paraId="5DC334A9" w14:textId="77777777" w:rsidR="007027AF" w:rsidRPr="001330BD" w:rsidRDefault="007027AF" w:rsidP="007027AF">
            <w:pPr>
              <w:widowControl w:val="0"/>
              <w:spacing w:before="40" w:after="40"/>
              <w:jc w:val="center"/>
              <w:rPr>
                <w:b/>
              </w:rPr>
            </w:pPr>
            <w:r w:rsidRPr="001330BD">
              <w:rPr>
                <w:b/>
              </w:rPr>
              <w:lastRenderedPageBreak/>
              <w:t>Tieslietu ministrija</w:t>
            </w:r>
          </w:p>
          <w:p w14:paraId="24C821CC" w14:textId="77777777" w:rsidR="007027AF" w:rsidRPr="001330BD" w:rsidRDefault="007027AF" w:rsidP="007027AF">
            <w:pPr>
              <w:widowControl w:val="0"/>
              <w:spacing w:before="40" w:after="40"/>
              <w:jc w:val="center"/>
              <w:rPr>
                <w:b/>
              </w:rPr>
            </w:pPr>
            <w:r w:rsidRPr="001330BD">
              <w:rPr>
                <w:b/>
              </w:rPr>
              <w:t>(2018.gada 18.oktobra atzinums)</w:t>
            </w:r>
          </w:p>
          <w:p w14:paraId="2CC54B5A" w14:textId="77777777" w:rsidR="007027AF" w:rsidRPr="001330BD" w:rsidRDefault="007027AF" w:rsidP="007027AF">
            <w:pPr>
              <w:tabs>
                <w:tab w:val="left" w:pos="709"/>
                <w:tab w:val="left" w:pos="2742"/>
              </w:tabs>
              <w:spacing w:before="40" w:after="40"/>
              <w:rPr>
                <w:bCs/>
                <w:iCs/>
              </w:rPr>
            </w:pPr>
            <w:r w:rsidRPr="001330BD">
              <w:rPr>
                <w:bCs/>
                <w:iCs/>
              </w:rPr>
              <w:t>10. Lūdzam precizēt projekta 14. punktā izteiktā 28.</w:t>
            </w:r>
            <w:r w:rsidRPr="001330BD">
              <w:rPr>
                <w:bCs/>
                <w:iCs/>
                <w:vertAlign w:val="superscript"/>
              </w:rPr>
              <w:t>4</w:t>
            </w:r>
            <w:r w:rsidRPr="001330BD">
              <w:rPr>
                <w:bCs/>
                <w:iCs/>
              </w:rPr>
              <w:t xml:space="preserve"> punkta redakciju, izsakot to viennozīmīgi skaidri un precīzi, izklāstot to loģiskā secībā.</w:t>
            </w:r>
          </w:p>
        </w:tc>
        <w:tc>
          <w:tcPr>
            <w:tcW w:w="2899" w:type="dxa"/>
            <w:tcBorders>
              <w:top w:val="single" w:sz="6" w:space="0" w:color="000000"/>
              <w:left w:val="single" w:sz="6" w:space="0" w:color="000000"/>
              <w:bottom w:val="single" w:sz="6" w:space="0" w:color="000000"/>
              <w:right w:val="single" w:sz="6" w:space="0" w:color="000000"/>
            </w:tcBorders>
            <w:shd w:val="clear" w:color="auto" w:fill="auto"/>
          </w:tcPr>
          <w:p w14:paraId="27E89709" w14:textId="77777777" w:rsidR="007027AF" w:rsidRPr="001330BD" w:rsidRDefault="007027AF" w:rsidP="007027AF">
            <w:pPr>
              <w:spacing w:before="40" w:after="40"/>
              <w:jc w:val="center"/>
              <w:rPr>
                <w:b/>
                <w:iCs/>
              </w:rPr>
            </w:pPr>
            <w:r w:rsidRPr="001330BD">
              <w:rPr>
                <w:b/>
                <w:iCs/>
              </w:rPr>
              <w:t>Ņemts vērā</w:t>
            </w:r>
          </w:p>
        </w:tc>
        <w:tc>
          <w:tcPr>
            <w:tcW w:w="4368" w:type="dxa"/>
            <w:tcBorders>
              <w:top w:val="single" w:sz="4" w:space="0" w:color="auto"/>
              <w:left w:val="single" w:sz="4" w:space="0" w:color="auto"/>
              <w:bottom w:val="single" w:sz="4" w:space="0" w:color="auto"/>
            </w:tcBorders>
            <w:shd w:val="clear" w:color="auto" w:fill="auto"/>
          </w:tcPr>
          <w:p w14:paraId="20F6F7DB" w14:textId="77777777" w:rsidR="007027AF" w:rsidRPr="001330BD" w:rsidRDefault="007027AF" w:rsidP="007027AF">
            <w:pPr>
              <w:tabs>
                <w:tab w:val="left" w:pos="3195"/>
              </w:tabs>
              <w:spacing w:before="40" w:after="40"/>
              <w:jc w:val="both"/>
            </w:pPr>
            <w:r w:rsidRPr="001330BD">
              <w:t>Noteikumu projekta 15.punktā izteiktais Noteikumu Nr.545 jaunais 28.</w:t>
            </w:r>
            <w:r w:rsidRPr="001330BD">
              <w:rPr>
                <w:vertAlign w:val="superscript"/>
              </w:rPr>
              <w:t>4</w:t>
            </w:r>
            <w:r w:rsidRPr="001330BD">
              <w:t xml:space="preserve"> punkts:</w:t>
            </w:r>
          </w:p>
          <w:p w14:paraId="3D8F6041" w14:textId="77777777" w:rsidR="007027AF" w:rsidRPr="001330BD" w:rsidRDefault="007027AF" w:rsidP="007027AF">
            <w:pPr>
              <w:pStyle w:val="norm"/>
              <w:shd w:val="clear" w:color="auto" w:fill="FFFFFF"/>
              <w:spacing w:before="40" w:beforeAutospacing="0" w:after="40" w:afterAutospacing="0"/>
              <w:jc w:val="both"/>
              <w:textAlignment w:val="baseline"/>
              <w:rPr>
                <w:rFonts w:eastAsia="Calibri"/>
                <w:lang w:eastAsia="en-US"/>
              </w:rPr>
            </w:pPr>
            <w:r w:rsidRPr="001330BD">
              <w:rPr>
                <w:rFonts w:eastAsia="Calibri"/>
                <w:lang w:eastAsia="en-US"/>
              </w:rPr>
              <w:t>“28.</w:t>
            </w:r>
            <w:r w:rsidRPr="001330BD">
              <w:rPr>
                <w:rFonts w:eastAsia="Calibri"/>
                <w:vertAlign w:val="superscript"/>
                <w:lang w:eastAsia="en-US"/>
              </w:rPr>
              <w:t>4</w:t>
            </w:r>
            <w:r w:rsidRPr="001330BD">
              <w:t xml:space="preserve"> Degvielas piegādātājs šo noteikumu 28.</w:t>
            </w:r>
            <w:r w:rsidRPr="001330BD">
              <w:rPr>
                <w:vertAlign w:val="superscript"/>
              </w:rPr>
              <w:t>1</w:t>
            </w:r>
            <w:r w:rsidRPr="001330BD">
              <w:t xml:space="preserve"> punktā noteiktās vispārīgās ziņošanas pienākuma ietvaros neiesniedz šo noteikumu 28.</w:t>
            </w:r>
            <w:r w:rsidRPr="001330BD">
              <w:rPr>
                <w:vertAlign w:val="superscript"/>
              </w:rPr>
              <w:t>1</w:t>
            </w:r>
            <w:r w:rsidRPr="001330BD">
              <w:t xml:space="preserve"> 6.punktā minētos dokumentus un neinformē par šo noteikumu V nodaļā minētajiem pasākumiem, ja tas iesniedz tādus pierādījumus vai informāciju par biodegvielas vai bioloģiskā šķidrā kurināmā atbilstību ilgtspējas kritērijiem, kas iegūti saskaņā ar šo noteikumu 12.1. apakšpunktā minēto līgumu vai šo noteikumu 12.2. apakšpunktā minēto brīvprātīgo shēmu, par kuras atbilstību ticamības, </w:t>
            </w:r>
            <w:proofErr w:type="spellStart"/>
            <w:r w:rsidRPr="001330BD">
              <w:t>paredzamības</w:t>
            </w:r>
            <w:proofErr w:type="spellEnd"/>
            <w:r w:rsidRPr="001330BD">
              <w:t xml:space="preserve"> un neatkarīga audita standartiem Eiropas Komisija ir pieņēmusi attiecīgu lēmumu.”.”</w:t>
            </w:r>
          </w:p>
        </w:tc>
      </w:tr>
      <w:tr w:rsidR="007027AF" w:rsidRPr="001330BD" w14:paraId="49E972B5" w14:textId="77777777" w:rsidTr="00EA50E3">
        <w:trPr>
          <w:jc w:val="center"/>
        </w:trPr>
        <w:tc>
          <w:tcPr>
            <w:tcW w:w="637" w:type="dxa"/>
            <w:vMerge w:val="restart"/>
            <w:tcBorders>
              <w:top w:val="single" w:sz="6" w:space="0" w:color="000000"/>
              <w:left w:val="single" w:sz="6" w:space="0" w:color="000000"/>
              <w:right w:val="single" w:sz="6" w:space="0" w:color="000000"/>
            </w:tcBorders>
          </w:tcPr>
          <w:p w14:paraId="1B9155EE" w14:textId="15AFB90C" w:rsidR="007027AF" w:rsidRPr="001330BD" w:rsidRDefault="00B67450" w:rsidP="007027AF">
            <w:pPr>
              <w:pStyle w:val="naisc"/>
              <w:spacing w:before="40" w:after="40"/>
              <w:rPr>
                <w:b/>
              </w:rPr>
            </w:pPr>
            <w:r w:rsidRPr="001330BD">
              <w:rPr>
                <w:b/>
              </w:rPr>
              <w:t>21</w:t>
            </w:r>
          </w:p>
        </w:tc>
        <w:tc>
          <w:tcPr>
            <w:tcW w:w="3041" w:type="dxa"/>
            <w:vMerge w:val="restart"/>
            <w:tcBorders>
              <w:top w:val="single" w:sz="6" w:space="0" w:color="000000"/>
              <w:left w:val="single" w:sz="6" w:space="0" w:color="000000"/>
              <w:right w:val="single" w:sz="6" w:space="0" w:color="000000"/>
            </w:tcBorders>
          </w:tcPr>
          <w:p w14:paraId="319A3AF7" w14:textId="77777777" w:rsidR="007027AF" w:rsidRPr="001330BD" w:rsidRDefault="007027AF" w:rsidP="007027AF">
            <w:pPr>
              <w:spacing w:before="40" w:after="40"/>
              <w:rPr>
                <w:color w:val="000000" w:themeColor="text1"/>
              </w:rPr>
            </w:pPr>
            <w:r w:rsidRPr="001330BD">
              <w:rPr>
                <w:color w:val="000000" w:themeColor="text1"/>
              </w:rPr>
              <w:t>Noteikumu projekta 14.punkts:</w:t>
            </w:r>
          </w:p>
          <w:p w14:paraId="04D4F5B8" w14:textId="77777777" w:rsidR="007027AF" w:rsidRPr="001330BD" w:rsidRDefault="007027AF" w:rsidP="007027AF">
            <w:pPr>
              <w:pStyle w:val="norm"/>
              <w:shd w:val="clear" w:color="auto" w:fill="FFFFFF"/>
              <w:tabs>
                <w:tab w:val="left" w:pos="1134"/>
              </w:tabs>
              <w:spacing w:before="40" w:beforeAutospacing="0" w:after="40" w:afterAutospacing="0"/>
              <w:jc w:val="both"/>
              <w:textAlignment w:val="baseline"/>
              <w:rPr>
                <w:rFonts w:eastAsia="Calibri"/>
                <w:lang w:eastAsia="en-US"/>
              </w:rPr>
            </w:pPr>
            <w:r w:rsidRPr="001330BD">
              <w:rPr>
                <w:color w:val="000000" w:themeColor="text1"/>
              </w:rPr>
              <w:t xml:space="preserve">“14. </w:t>
            </w:r>
            <w:r w:rsidRPr="001330BD">
              <w:rPr>
                <w:rFonts w:eastAsia="Calibri"/>
                <w:lang w:eastAsia="en-US"/>
              </w:rPr>
              <w:t>Papildināt noteikumus ar jaunu V</w:t>
            </w:r>
            <w:r w:rsidRPr="001330BD">
              <w:rPr>
                <w:rFonts w:eastAsia="Calibri"/>
                <w:vertAlign w:val="superscript"/>
                <w:lang w:eastAsia="en-US"/>
              </w:rPr>
              <w:t>1</w:t>
            </w:r>
            <w:r w:rsidRPr="001330BD">
              <w:rPr>
                <w:rFonts w:eastAsia="Calibri"/>
                <w:lang w:eastAsia="en-US"/>
              </w:rPr>
              <w:t xml:space="preserve"> nodaļu šādā redakcijā:</w:t>
            </w:r>
          </w:p>
          <w:p w14:paraId="78E33B1A" w14:textId="77777777" w:rsidR="007027AF" w:rsidRPr="001330BD" w:rsidRDefault="007027AF" w:rsidP="007027AF">
            <w:pPr>
              <w:pStyle w:val="norm"/>
              <w:shd w:val="clear" w:color="auto" w:fill="FFFFFF"/>
              <w:spacing w:before="40" w:beforeAutospacing="0" w:after="40" w:afterAutospacing="0"/>
              <w:jc w:val="both"/>
              <w:textAlignment w:val="baseline"/>
              <w:rPr>
                <w:rFonts w:eastAsia="Calibri"/>
                <w:lang w:eastAsia="en-US"/>
              </w:rPr>
            </w:pPr>
            <w:r w:rsidRPr="001330BD">
              <w:rPr>
                <w:rFonts w:eastAsia="Calibri"/>
                <w:lang w:eastAsia="en-US"/>
              </w:rPr>
              <w:t>“</w:t>
            </w:r>
            <w:r w:rsidRPr="001330BD">
              <w:rPr>
                <w:rFonts w:eastAsia="Calibri"/>
                <w:b/>
                <w:lang w:eastAsia="en-US"/>
              </w:rPr>
              <w:t>V</w:t>
            </w:r>
            <w:r w:rsidRPr="001330BD">
              <w:rPr>
                <w:rFonts w:eastAsia="Calibri"/>
                <w:b/>
                <w:vertAlign w:val="superscript"/>
                <w:lang w:eastAsia="en-US"/>
              </w:rPr>
              <w:t>1</w:t>
            </w:r>
            <w:r w:rsidRPr="001330BD">
              <w:rPr>
                <w:rFonts w:eastAsia="Calibri"/>
                <w:b/>
                <w:lang w:eastAsia="en-US"/>
              </w:rPr>
              <w:t xml:space="preserve"> Piegādātāja ziņojuma sagatavošana un iesniegšana</w:t>
            </w:r>
            <w:r w:rsidRPr="001330BD">
              <w:rPr>
                <w:rFonts w:eastAsia="Calibri"/>
                <w:lang w:eastAsia="en-US"/>
              </w:rPr>
              <w:t xml:space="preserve"> </w:t>
            </w:r>
          </w:p>
          <w:p w14:paraId="405F5B8B" w14:textId="77777777" w:rsidR="007027AF" w:rsidRPr="001330BD" w:rsidRDefault="007027AF" w:rsidP="007027AF">
            <w:pPr>
              <w:pStyle w:val="norm"/>
              <w:shd w:val="clear" w:color="auto" w:fill="FFFFFF"/>
              <w:tabs>
                <w:tab w:val="left" w:pos="993"/>
              </w:tabs>
              <w:spacing w:before="40" w:beforeAutospacing="0" w:after="40" w:afterAutospacing="0"/>
              <w:jc w:val="both"/>
              <w:textAlignment w:val="baseline"/>
              <w:rPr>
                <w:rFonts w:eastAsia="Calibri"/>
                <w:lang w:eastAsia="en-US"/>
              </w:rPr>
            </w:pPr>
            <w:r w:rsidRPr="001330BD">
              <w:rPr>
                <w:rFonts w:eastAsia="Calibri"/>
                <w:lang w:eastAsia="en-US"/>
              </w:rPr>
              <w:t>“28.</w:t>
            </w:r>
            <w:r w:rsidRPr="001330BD">
              <w:rPr>
                <w:rFonts w:eastAsia="Calibri"/>
                <w:vertAlign w:val="superscript"/>
                <w:lang w:eastAsia="en-US"/>
              </w:rPr>
              <w:t>1</w:t>
            </w:r>
            <w:r w:rsidRPr="001330BD">
              <w:rPr>
                <w:rFonts w:eastAsia="Calibri"/>
                <w:lang w:eastAsia="en-US"/>
              </w:rPr>
              <w:t xml:space="preserve"> Piegādātājs katru gadu vispārīgā ziņošanas pienākuma ietvaros sagatavo, ievērojot šo noteikumu 13.</w:t>
            </w:r>
            <w:r w:rsidRPr="001330BD">
              <w:rPr>
                <w:rFonts w:eastAsia="Calibri"/>
                <w:vertAlign w:val="superscript"/>
                <w:lang w:eastAsia="en-US"/>
              </w:rPr>
              <w:t>1</w:t>
            </w:r>
            <w:r w:rsidRPr="001330BD">
              <w:rPr>
                <w:rFonts w:eastAsia="Calibri"/>
                <w:lang w:eastAsia="en-US"/>
              </w:rPr>
              <w:t xml:space="preserve"> punktā minētās prasības, un kopā ar informāciju par tā iepriekšējā gadā piegādāto biodegvielu un bioloģisko šķidro kurināmo atbilstību ilgtspējības prasībām informāciju par:</w:t>
            </w:r>
          </w:p>
          <w:p w14:paraId="2547AA28" w14:textId="77777777" w:rsidR="007027AF" w:rsidRPr="001330BD" w:rsidRDefault="007027AF" w:rsidP="007027AF">
            <w:pPr>
              <w:pStyle w:val="norm"/>
              <w:shd w:val="clear" w:color="auto" w:fill="FFFFFF"/>
              <w:tabs>
                <w:tab w:val="left" w:pos="993"/>
              </w:tabs>
              <w:spacing w:before="40" w:beforeAutospacing="0" w:after="40" w:afterAutospacing="0"/>
              <w:jc w:val="both"/>
              <w:textAlignment w:val="baseline"/>
              <w:rPr>
                <w:rFonts w:eastAsia="Calibri"/>
                <w:lang w:eastAsia="en-US"/>
              </w:rPr>
            </w:pPr>
            <w:r w:rsidRPr="001330BD">
              <w:rPr>
                <w:rFonts w:eastAsia="Calibri"/>
                <w:lang w:eastAsia="en-US"/>
              </w:rPr>
              <w:t>28.</w:t>
            </w:r>
            <w:r w:rsidRPr="001330BD">
              <w:rPr>
                <w:rFonts w:eastAsia="Calibri"/>
                <w:vertAlign w:val="superscript"/>
              </w:rPr>
              <w:t>1</w:t>
            </w:r>
            <w:r w:rsidRPr="001330BD">
              <w:rPr>
                <w:rFonts w:eastAsia="Calibri"/>
                <w:lang w:eastAsia="en-US"/>
              </w:rPr>
              <w:t xml:space="preserve"> 1. biodegvielas ražošanas paņēmienu, </w:t>
            </w:r>
          </w:p>
          <w:p w14:paraId="49577F05" w14:textId="77777777" w:rsidR="007027AF" w:rsidRPr="001330BD" w:rsidRDefault="007027AF" w:rsidP="007027AF">
            <w:pPr>
              <w:pStyle w:val="norm"/>
              <w:shd w:val="clear" w:color="auto" w:fill="FFFFFF"/>
              <w:tabs>
                <w:tab w:val="left" w:pos="993"/>
              </w:tabs>
              <w:spacing w:before="40" w:beforeAutospacing="0" w:after="40" w:afterAutospacing="0"/>
              <w:jc w:val="both"/>
              <w:textAlignment w:val="baseline"/>
              <w:rPr>
                <w:rFonts w:eastAsia="Calibri"/>
                <w:lang w:eastAsia="en-US"/>
              </w:rPr>
            </w:pPr>
            <w:r w:rsidRPr="001330BD">
              <w:rPr>
                <w:rFonts w:eastAsia="Calibri"/>
                <w:lang w:eastAsia="en-US"/>
              </w:rPr>
              <w:t>28.</w:t>
            </w:r>
            <w:r w:rsidRPr="001330BD">
              <w:rPr>
                <w:rFonts w:eastAsia="Calibri"/>
                <w:vertAlign w:val="superscript"/>
                <w:lang w:eastAsia="en-US"/>
              </w:rPr>
              <w:t>1</w:t>
            </w:r>
            <w:r w:rsidRPr="001330BD">
              <w:rPr>
                <w:rFonts w:eastAsia="Calibri"/>
                <w:lang w:eastAsia="en-US"/>
              </w:rPr>
              <w:t xml:space="preserve"> 2. biodegvielas apjomu, kas iegūts no izejvielām, kuras ir iedalītas šādās kategorijās – labība un citi cieti saturoši augi, cukuri, eļļas augi, </w:t>
            </w:r>
          </w:p>
          <w:p w14:paraId="3CB0CF63" w14:textId="77777777" w:rsidR="007027AF" w:rsidRPr="001330BD" w:rsidRDefault="007027AF" w:rsidP="007027AF">
            <w:pPr>
              <w:pStyle w:val="norm"/>
              <w:shd w:val="clear" w:color="auto" w:fill="FFFFFF"/>
              <w:tabs>
                <w:tab w:val="left" w:pos="993"/>
              </w:tabs>
              <w:spacing w:before="40" w:beforeAutospacing="0" w:after="40" w:afterAutospacing="0"/>
              <w:jc w:val="both"/>
              <w:textAlignment w:val="baseline"/>
              <w:rPr>
                <w:rFonts w:eastAsia="Calibri"/>
                <w:lang w:eastAsia="en-US"/>
              </w:rPr>
            </w:pPr>
            <w:r w:rsidRPr="001330BD">
              <w:rPr>
                <w:rFonts w:eastAsia="Calibri"/>
                <w:lang w:eastAsia="en-US"/>
              </w:rPr>
              <w:lastRenderedPageBreak/>
              <w:t>28.</w:t>
            </w:r>
            <w:r w:rsidRPr="001330BD">
              <w:rPr>
                <w:rFonts w:eastAsia="Calibri"/>
                <w:vertAlign w:val="superscript"/>
                <w:lang w:eastAsia="en-US"/>
              </w:rPr>
              <w:t>1</w:t>
            </w:r>
            <w:r w:rsidRPr="001330BD">
              <w:rPr>
                <w:rFonts w:eastAsia="Calibri"/>
                <w:lang w:eastAsia="en-US"/>
              </w:rPr>
              <w:t xml:space="preserve"> 3. biodegvielas apjomu, kas iegūts no izejvielām, kuras ražotas no atkritumiem, atlikumiem, nepārtikas celulozes materiāla un </w:t>
            </w:r>
            <w:proofErr w:type="spellStart"/>
            <w:r w:rsidRPr="001330BD">
              <w:rPr>
                <w:rFonts w:eastAsia="Calibri"/>
                <w:lang w:eastAsia="en-US"/>
              </w:rPr>
              <w:t>lignocelulozes</w:t>
            </w:r>
            <w:proofErr w:type="spellEnd"/>
            <w:r w:rsidRPr="001330BD">
              <w:rPr>
                <w:rFonts w:eastAsia="Calibri"/>
                <w:lang w:eastAsia="en-US"/>
              </w:rPr>
              <w:t xml:space="preserve"> materiāla,</w:t>
            </w:r>
          </w:p>
          <w:p w14:paraId="6610EA5F" w14:textId="77777777" w:rsidR="007027AF" w:rsidRPr="001330BD" w:rsidRDefault="007027AF" w:rsidP="007027AF">
            <w:pPr>
              <w:pStyle w:val="norm"/>
              <w:shd w:val="clear" w:color="auto" w:fill="FFFFFF"/>
              <w:tabs>
                <w:tab w:val="left" w:pos="993"/>
              </w:tabs>
              <w:spacing w:before="40" w:beforeAutospacing="0" w:after="40" w:afterAutospacing="0"/>
              <w:jc w:val="both"/>
              <w:textAlignment w:val="baseline"/>
              <w:rPr>
                <w:rFonts w:eastAsia="Calibri"/>
                <w:lang w:eastAsia="en-US"/>
              </w:rPr>
            </w:pPr>
            <w:r w:rsidRPr="001330BD">
              <w:rPr>
                <w:rFonts w:eastAsia="Calibri"/>
                <w:lang w:eastAsia="en-US"/>
              </w:rPr>
              <w:t>28.</w:t>
            </w:r>
            <w:r w:rsidRPr="001330BD">
              <w:rPr>
                <w:rFonts w:eastAsia="Calibri"/>
                <w:vertAlign w:val="superscript"/>
                <w:lang w:eastAsia="en-US"/>
              </w:rPr>
              <w:t>1</w:t>
            </w:r>
            <w:r w:rsidRPr="001330BD">
              <w:rPr>
                <w:rFonts w:eastAsia="Calibri"/>
                <w:lang w:eastAsia="en-US"/>
              </w:rPr>
              <w:t xml:space="preserve"> 4. šo noteikumu 10. pielikumā minētās degvielas apjomu un biodegvielas apjomu, kas iegūts no izejvielām, kuras ražotas no šo noteikumu 10. pielikumā minētajām izejvielām;</w:t>
            </w:r>
          </w:p>
          <w:p w14:paraId="31FC1D72" w14:textId="77777777" w:rsidR="007027AF" w:rsidRPr="001330BD" w:rsidRDefault="007027AF" w:rsidP="007027AF">
            <w:pPr>
              <w:pStyle w:val="norm"/>
              <w:shd w:val="clear" w:color="auto" w:fill="FFFFFF"/>
              <w:tabs>
                <w:tab w:val="left" w:pos="993"/>
              </w:tabs>
              <w:spacing w:before="40" w:beforeAutospacing="0" w:after="40" w:afterAutospacing="0"/>
              <w:jc w:val="both"/>
              <w:textAlignment w:val="baseline"/>
              <w:rPr>
                <w:rFonts w:eastAsia="Calibri"/>
                <w:lang w:eastAsia="en-US"/>
              </w:rPr>
            </w:pPr>
            <w:r w:rsidRPr="001330BD">
              <w:rPr>
                <w:rFonts w:eastAsia="Calibri"/>
                <w:lang w:eastAsia="en-US"/>
              </w:rPr>
              <w:t>28.</w:t>
            </w:r>
            <w:r w:rsidRPr="001330BD">
              <w:rPr>
                <w:rFonts w:eastAsia="Calibri"/>
                <w:vertAlign w:val="superscript"/>
                <w:lang w:eastAsia="en-US"/>
              </w:rPr>
              <w:t>1</w:t>
            </w:r>
            <w:r w:rsidRPr="001330BD">
              <w:rPr>
                <w:rFonts w:eastAsia="Calibri"/>
                <w:lang w:eastAsia="en-US"/>
              </w:rPr>
              <w:t xml:space="preserve"> 5. biodegvielas aprites cikla siltumnīcefekta gāzu emisijām uz enerģijas vienību, ieskaitot par aplēsto netiešas zemes izmantošanas maiņas emisiju no biodegvielām aptuvenām vidējām vērtībām.</w:t>
            </w:r>
          </w:p>
          <w:p w14:paraId="30027D93" w14:textId="77777777" w:rsidR="007027AF" w:rsidRPr="001330BD" w:rsidRDefault="007027AF" w:rsidP="007027AF">
            <w:pPr>
              <w:pStyle w:val="norm"/>
              <w:shd w:val="clear" w:color="auto" w:fill="FFFFFF"/>
              <w:tabs>
                <w:tab w:val="left" w:pos="993"/>
              </w:tabs>
              <w:spacing w:before="40" w:beforeAutospacing="0" w:after="40" w:afterAutospacing="0"/>
              <w:jc w:val="both"/>
              <w:textAlignment w:val="baseline"/>
              <w:rPr>
                <w:rFonts w:eastAsia="Calibri"/>
                <w:lang w:eastAsia="en-US"/>
              </w:rPr>
            </w:pPr>
            <w:r w:rsidRPr="001330BD">
              <w:rPr>
                <w:rFonts w:eastAsia="Calibri"/>
                <w:lang w:eastAsia="en-US"/>
              </w:rPr>
              <w:t>28.</w:t>
            </w:r>
            <w:r w:rsidRPr="001330BD">
              <w:rPr>
                <w:rFonts w:eastAsia="Calibri"/>
                <w:vertAlign w:val="superscript"/>
                <w:lang w:eastAsia="en-US"/>
              </w:rPr>
              <w:t>2</w:t>
            </w:r>
            <w:r w:rsidRPr="001330BD">
              <w:rPr>
                <w:rFonts w:eastAsia="Calibri"/>
                <w:lang w:eastAsia="en-US"/>
              </w:rPr>
              <w:t xml:space="preserve"> Šo noteikumu 28.</w:t>
            </w:r>
            <w:r w:rsidRPr="001330BD">
              <w:rPr>
                <w:rFonts w:eastAsia="Calibri"/>
                <w:vertAlign w:val="superscript"/>
                <w:lang w:eastAsia="en-US"/>
              </w:rPr>
              <w:t>1</w:t>
            </w:r>
            <w:r w:rsidRPr="001330BD">
              <w:rPr>
                <w:rFonts w:eastAsia="Calibri"/>
                <w:lang w:eastAsia="en-US"/>
              </w:rPr>
              <w:t xml:space="preserve"> punktā minētās informācijas pārbaude tiek veikta vispārējās ziņošanas prasību ietvaros saskaņā ar normatīvajiem aktiem par Noteikumi par transporta enerģijas kvalitātes prasībām, atbilstības novērtēšanu, tirgus uzraudzību, patērētājiem sniedzamo informāciju un vispārīgajām </w:t>
            </w:r>
            <w:r w:rsidRPr="001330BD">
              <w:rPr>
                <w:rFonts w:eastAsia="Calibri"/>
                <w:lang w:eastAsia="en-US"/>
              </w:rPr>
              <w:lastRenderedPageBreak/>
              <w:t>ziņošanas prasībām degvielas piegādātājiem.</w:t>
            </w:r>
          </w:p>
          <w:p w14:paraId="6A983E1A" w14:textId="77777777" w:rsidR="007027AF" w:rsidRPr="001330BD" w:rsidRDefault="007027AF" w:rsidP="007027AF">
            <w:pPr>
              <w:pStyle w:val="norm"/>
              <w:shd w:val="clear" w:color="auto" w:fill="FFFFFF"/>
              <w:tabs>
                <w:tab w:val="left" w:pos="993"/>
              </w:tabs>
              <w:spacing w:before="40" w:beforeAutospacing="0" w:after="40" w:afterAutospacing="0"/>
              <w:jc w:val="both"/>
              <w:textAlignment w:val="baseline"/>
              <w:rPr>
                <w:rFonts w:eastAsia="Calibri"/>
                <w:lang w:eastAsia="en-US"/>
              </w:rPr>
            </w:pPr>
            <w:r w:rsidRPr="001330BD">
              <w:rPr>
                <w:rFonts w:eastAsia="Calibri"/>
                <w:lang w:eastAsia="en-US"/>
              </w:rPr>
              <w:t>28.</w:t>
            </w:r>
            <w:r w:rsidRPr="001330BD">
              <w:rPr>
                <w:rFonts w:eastAsia="Calibri"/>
                <w:vertAlign w:val="superscript"/>
                <w:lang w:eastAsia="en-US"/>
              </w:rPr>
              <w:t>3</w:t>
            </w:r>
            <w:r w:rsidRPr="001330BD">
              <w:rPr>
                <w:rFonts w:eastAsia="Calibri"/>
                <w:lang w:eastAsia="en-US"/>
              </w:rPr>
              <w:t xml:space="preserve"> Piegādātājs šo noteikumu 28.</w:t>
            </w:r>
            <w:r w:rsidRPr="001330BD">
              <w:rPr>
                <w:rFonts w:eastAsia="Calibri"/>
                <w:vertAlign w:val="superscript"/>
                <w:lang w:eastAsia="en-US"/>
              </w:rPr>
              <w:t>1</w:t>
            </w:r>
            <w:r w:rsidRPr="001330BD">
              <w:rPr>
                <w:rFonts w:eastAsia="Calibri"/>
                <w:lang w:eastAsia="en-US"/>
              </w:rPr>
              <w:t xml:space="preserve"> punktā minēto informāciju iesniedz vispārīgās ziņošanas prasību ietvaros.</w:t>
            </w:r>
          </w:p>
          <w:p w14:paraId="6D935325" w14:textId="77777777" w:rsidR="007027AF" w:rsidRPr="001330BD" w:rsidRDefault="007027AF" w:rsidP="007027AF">
            <w:pPr>
              <w:pStyle w:val="norm"/>
              <w:shd w:val="clear" w:color="auto" w:fill="FFFFFF"/>
              <w:spacing w:before="40" w:beforeAutospacing="0" w:after="40" w:afterAutospacing="0"/>
              <w:jc w:val="both"/>
              <w:textAlignment w:val="baseline"/>
            </w:pPr>
            <w:r w:rsidRPr="001330BD">
              <w:rPr>
                <w:rFonts w:eastAsia="Calibri"/>
                <w:lang w:eastAsia="en-US"/>
              </w:rPr>
              <w:t>28.</w:t>
            </w:r>
            <w:r w:rsidRPr="001330BD">
              <w:rPr>
                <w:rFonts w:eastAsia="Calibri"/>
                <w:vertAlign w:val="superscript"/>
                <w:lang w:eastAsia="en-US"/>
              </w:rPr>
              <w:t>4</w:t>
            </w:r>
            <w:r w:rsidRPr="001330BD">
              <w:t xml:space="preserve"> Ja degvielas piegādātājs vispārīgās ziņošanas pienākuma ietvaros kopā ar šo noteikumu 28.</w:t>
            </w:r>
            <w:r w:rsidRPr="001330BD">
              <w:rPr>
                <w:rFonts w:eastAsia="Calibri"/>
                <w:vertAlign w:val="superscript"/>
              </w:rPr>
              <w:t>1</w:t>
            </w:r>
            <w:r w:rsidRPr="001330BD">
              <w:rPr>
                <w:rFonts w:eastAsia="Calibri"/>
                <w:lang w:eastAsia="en-US"/>
              </w:rPr>
              <w:t xml:space="preserve"> </w:t>
            </w:r>
            <w:r w:rsidRPr="001330BD">
              <w:t>1., 28.</w:t>
            </w:r>
            <w:r w:rsidRPr="001330BD">
              <w:rPr>
                <w:rFonts w:eastAsia="Calibri"/>
                <w:vertAlign w:val="superscript"/>
                <w:lang w:eastAsia="en-US"/>
              </w:rPr>
              <w:t>1</w:t>
            </w:r>
            <w:r w:rsidRPr="001330BD">
              <w:rPr>
                <w:rFonts w:eastAsia="Calibri"/>
                <w:lang w:eastAsia="en-US"/>
              </w:rPr>
              <w:t xml:space="preserve"> </w:t>
            </w:r>
            <w:r w:rsidRPr="001330BD">
              <w:t>2., 28.</w:t>
            </w:r>
            <w:r w:rsidRPr="001330BD">
              <w:rPr>
                <w:rFonts w:eastAsia="Calibri"/>
                <w:vertAlign w:val="superscript"/>
                <w:lang w:eastAsia="en-US"/>
              </w:rPr>
              <w:t>1</w:t>
            </w:r>
            <w:r w:rsidRPr="001330BD">
              <w:rPr>
                <w:rFonts w:eastAsia="Calibri"/>
                <w:lang w:eastAsia="en-US"/>
              </w:rPr>
              <w:t xml:space="preserve"> </w:t>
            </w:r>
            <w:r w:rsidRPr="001330BD">
              <w:t>3., 28.</w:t>
            </w:r>
            <w:r w:rsidRPr="001330BD">
              <w:rPr>
                <w:rFonts w:eastAsia="Calibri"/>
                <w:vertAlign w:val="superscript"/>
                <w:lang w:eastAsia="en-US"/>
              </w:rPr>
              <w:t>1</w:t>
            </w:r>
            <w:r w:rsidRPr="001330BD">
              <w:rPr>
                <w:rFonts w:eastAsia="Calibri"/>
                <w:lang w:eastAsia="en-US"/>
              </w:rPr>
              <w:t xml:space="preserve"> </w:t>
            </w:r>
            <w:r w:rsidRPr="001330BD">
              <w:t>4. un 28.</w:t>
            </w:r>
            <w:r w:rsidRPr="001330BD">
              <w:rPr>
                <w:rFonts w:eastAsia="Calibri"/>
                <w:vertAlign w:val="superscript"/>
                <w:lang w:eastAsia="en-US"/>
              </w:rPr>
              <w:t>1</w:t>
            </w:r>
            <w:r w:rsidRPr="001330BD">
              <w:rPr>
                <w:rFonts w:eastAsia="Calibri"/>
                <w:lang w:eastAsia="en-US"/>
              </w:rPr>
              <w:t xml:space="preserve"> </w:t>
            </w:r>
            <w:r w:rsidRPr="001330BD">
              <w:t xml:space="preserve">5. apakšpunktā minēto informāciju iesniedz pierādījumus vai informāciju par biodegvielas vai bioloģiskā šķidrā kurināmā atbilstību ilgtspējas kritērijiem, kas iegūti saskaņā ar šo noteikumu 12.1. apakšpunktā minēto līgumu vai šo noteikumu 12.2. apakšpunktā minēto brīvprātīgo shēmu, par kuras atbilstību ticamības, </w:t>
            </w:r>
            <w:proofErr w:type="spellStart"/>
            <w:r w:rsidRPr="001330BD">
              <w:t>paredzamības</w:t>
            </w:r>
            <w:proofErr w:type="spellEnd"/>
            <w:r w:rsidRPr="001330BD">
              <w:t xml:space="preserve"> un neatkarīga audita standartiem Eiropas Komisija ir pieņēmusi attiecīgu lēmumu, tad šim degvielas piegādātājam nav jāiesniedz pierādījumi vai informācija, kas minēti šo </w:t>
            </w:r>
            <w:r w:rsidRPr="001330BD">
              <w:lastRenderedPageBreak/>
              <w:t>noteikumu 5., 6., 7., 8</w:t>
            </w:r>
            <w:r w:rsidRPr="001330BD">
              <w:rPr>
                <w:vertAlign w:val="superscript"/>
              </w:rPr>
              <w:t>1</w:t>
            </w:r>
            <w:r w:rsidRPr="001330BD">
              <w:t xml:space="preserve"> un 10.punktā noteikti ilgtspējas kritēriju  ievērošanu, un nav jāinformē par šo noteikumu V nodaļā minētajiem pasākumiem.”.”</w:t>
            </w:r>
          </w:p>
          <w:p w14:paraId="47E99B44" w14:textId="77777777" w:rsidR="007027AF" w:rsidRPr="001330BD" w:rsidRDefault="007027AF" w:rsidP="007027AF">
            <w:pPr>
              <w:pStyle w:val="norm"/>
              <w:shd w:val="clear" w:color="auto" w:fill="FFFFFF"/>
              <w:spacing w:before="40" w:beforeAutospacing="0" w:after="40" w:afterAutospacing="0"/>
              <w:jc w:val="both"/>
              <w:textAlignment w:val="baseline"/>
            </w:pPr>
          </w:p>
          <w:p w14:paraId="67F65E09" w14:textId="77777777" w:rsidR="007027AF" w:rsidRPr="001330BD" w:rsidRDefault="007027AF" w:rsidP="007027AF">
            <w:pPr>
              <w:pStyle w:val="norm"/>
              <w:shd w:val="clear" w:color="auto" w:fill="FFFFFF"/>
              <w:spacing w:before="40" w:beforeAutospacing="0" w:after="40" w:afterAutospacing="0"/>
              <w:jc w:val="both"/>
              <w:textAlignment w:val="baseline"/>
            </w:pPr>
            <w:r w:rsidRPr="001330BD">
              <w:t>Noteikumu projekta anotācija</w:t>
            </w:r>
          </w:p>
        </w:tc>
        <w:tc>
          <w:tcPr>
            <w:tcW w:w="4047" w:type="dxa"/>
            <w:tcBorders>
              <w:top w:val="single" w:sz="6" w:space="0" w:color="000000"/>
              <w:left w:val="single" w:sz="6" w:space="0" w:color="000000"/>
              <w:bottom w:val="single" w:sz="6" w:space="0" w:color="000000"/>
              <w:right w:val="single" w:sz="6" w:space="0" w:color="000000"/>
            </w:tcBorders>
          </w:tcPr>
          <w:p w14:paraId="71827368" w14:textId="77777777" w:rsidR="007027AF" w:rsidRPr="001330BD" w:rsidRDefault="007027AF" w:rsidP="007027AF">
            <w:pPr>
              <w:widowControl w:val="0"/>
              <w:spacing w:before="40" w:after="40"/>
              <w:jc w:val="center"/>
              <w:rPr>
                <w:b/>
              </w:rPr>
            </w:pPr>
            <w:r w:rsidRPr="001330BD">
              <w:rPr>
                <w:b/>
              </w:rPr>
              <w:lastRenderedPageBreak/>
              <w:t>Vides aizsardzības un reģionālās attīstības ministrija</w:t>
            </w:r>
          </w:p>
          <w:p w14:paraId="34924B74" w14:textId="77777777" w:rsidR="007027AF" w:rsidRPr="001330BD" w:rsidRDefault="007027AF" w:rsidP="007027AF">
            <w:pPr>
              <w:widowControl w:val="0"/>
              <w:spacing w:before="40" w:after="40"/>
              <w:jc w:val="center"/>
              <w:rPr>
                <w:b/>
              </w:rPr>
            </w:pPr>
            <w:r w:rsidRPr="001330BD">
              <w:rPr>
                <w:b/>
              </w:rPr>
              <w:t>(2018.gada 19.oktobra atzinums)</w:t>
            </w:r>
          </w:p>
          <w:p w14:paraId="6B655F8E" w14:textId="77777777" w:rsidR="007027AF" w:rsidRPr="001330BD" w:rsidRDefault="007027AF" w:rsidP="007027AF">
            <w:pPr>
              <w:widowControl w:val="0"/>
              <w:spacing w:before="40" w:after="40"/>
              <w:jc w:val="both"/>
            </w:pPr>
            <w:r w:rsidRPr="001330BD">
              <w:t xml:space="preserve">6. Šobrīd saskaņā ar MK 05.07.2011. noteikumu Nr.545 </w:t>
            </w:r>
            <w:r w:rsidRPr="001330BD">
              <w:rPr>
                <w:noProof/>
              </w:rPr>
              <w:t xml:space="preserve">„Noteikumi par biodegvielu un bioloģisko šķidro kurināmo ilgtspējas kritērijiem, to ieviešanas mehānismu un uzraudzības un kontroles kārtību” </w:t>
            </w:r>
            <w:r w:rsidRPr="001330BD">
              <w:t>28.punktu ziņojumus par saražoto biodegvielu un bioloģisko šķidro kurināmo atbilstību ilgtspējības prasībām jāiesniedz Ekonomikas ministrijā. Noteikumu projekta anotācijā minēts, ka šie ziņojumi turpmāk būs jāiesniedz Valsts vides dienestā (turpmāk – VVD), taču noteikumu projektā par to nekas nav norādīts.</w:t>
            </w:r>
          </w:p>
          <w:p w14:paraId="2B0FB031" w14:textId="77777777" w:rsidR="007027AF" w:rsidRPr="001330BD" w:rsidRDefault="007027AF" w:rsidP="007027AF">
            <w:pPr>
              <w:widowControl w:val="0"/>
              <w:spacing w:before="40" w:after="40"/>
              <w:jc w:val="both"/>
            </w:pPr>
            <w:r w:rsidRPr="001330BD">
              <w:t xml:space="preserve">Iebilstam pret MK noteikumu projekta anotācijā noteikto jauno VVD funkciju. Netieši </w:t>
            </w:r>
            <w:r w:rsidRPr="001330BD">
              <w:rPr>
                <w:bCs/>
              </w:rPr>
              <w:t>VVD tiek noteikta arī funkcija pārbaudīt ziņojuma atbilstību MK noteikumu Nr. 545 izvirzītajām prasībām</w:t>
            </w:r>
            <w:r w:rsidRPr="001330BD">
              <w:t xml:space="preserve">. Ņemot vērā to, ka VVD tiks iesniegta informācija MK noteikumu projektā noteiktā ziņojuma ietvaros, </w:t>
            </w:r>
            <w:r w:rsidRPr="001330BD">
              <w:rPr>
                <w:iCs/>
              </w:rPr>
              <w:t xml:space="preserve">tad VVD dati būs jāapkopo un pēc pieprasījuma jāsniedz citām valsts </w:t>
            </w:r>
            <w:r w:rsidRPr="001330BD">
              <w:rPr>
                <w:iCs/>
              </w:rPr>
              <w:lastRenderedPageBreak/>
              <w:t>institūcijām (piemēram, Ekonomikas ministrijai, Lauku atbalsta dienestam);</w:t>
            </w:r>
          </w:p>
          <w:p w14:paraId="13E706F8" w14:textId="77777777" w:rsidR="007027AF" w:rsidRPr="001330BD" w:rsidRDefault="007027AF" w:rsidP="007027AF">
            <w:pPr>
              <w:spacing w:before="40" w:after="40"/>
              <w:jc w:val="both"/>
              <w:rPr>
                <w:bCs/>
                <w:color w:val="000000"/>
              </w:rPr>
            </w:pPr>
            <w:r w:rsidRPr="001330BD">
              <w:t xml:space="preserve">7. Vēršam uzmanību, ka saskaņā ar MK 2018. gada 25. septembra noteikumiem Nr. 597 </w:t>
            </w:r>
            <w:r w:rsidRPr="001330BD">
              <w:rPr>
                <w:bCs/>
              </w:rPr>
              <w:t>„Transporta enerģijas aprites cikla siltumnīcefekta gāzu emisiju daudzuma un tā samazinājuma aprēķināšanas un ziņošanas kārtība</w:t>
            </w:r>
            <w:r w:rsidRPr="001330BD">
              <w:t xml:space="preserve">i” (turpmāk – MK noteikumi Nr. 597) 4.punktu, šajos noteikumos iekļautie nosacījumi par emisiju aprēķinu neattiecas uz </w:t>
            </w:r>
            <w:proofErr w:type="spellStart"/>
            <w:r w:rsidRPr="001330BD">
              <w:t>galapatēriņam</w:t>
            </w:r>
            <w:proofErr w:type="spellEnd"/>
            <w:r w:rsidRPr="001330BD">
              <w:t xml:space="preserve"> transportā nodoto normatīvajos aktos par transporta enerģiju minēto biodegvielu, kuru emisiju aprēķins ir jāveic saskaņā ar normatīvajiem aktiem par </w:t>
            </w:r>
            <w:r w:rsidRPr="001330BD">
              <w:rPr>
                <w:color w:val="000000"/>
              </w:rPr>
              <w:t>biodegvielu un bioloģiski šķidro kurināmo ilgtspējības kritērijiem;</w:t>
            </w:r>
          </w:p>
          <w:p w14:paraId="2103104B" w14:textId="77777777" w:rsidR="007027AF" w:rsidRPr="001330BD" w:rsidRDefault="007027AF" w:rsidP="007027AF">
            <w:pPr>
              <w:spacing w:before="40" w:after="40"/>
              <w:jc w:val="both"/>
              <w:rPr>
                <w:bCs/>
                <w:color w:val="000000" w:themeColor="text1"/>
              </w:rPr>
            </w:pPr>
            <w:r w:rsidRPr="001330BD">
              <w:rPr>
                <w:bCs/>
                <w:color w:val="000000" w:themeColor="text1"/>
              </w:rPr>
              <w:t xml:space="preserve">8. Saskaņā ar likuma „Par piesārņojumu” 55. un 56. pantu (turpmāk - Likums), kā arī saskaņā ar MK noteikumiem Nr. 597, VVD funkcijas neietver ziņojuma par </w:t>
            </w:r>
            <w:r w:rsidRPr="001330BD">
              <w:rPr>
                <w:color w:val="000000" w:themeColor="text1"/>
              </w:rPr>
              <w:t>biodegvielu un bioloģiskā šķidrā kurināmā atbilstības ilgtspējas kritērijiem ietveros sniegto datu apkopošanu.</w:t>
            </w:r>
          </w:p>
          <w:p w14:paraId="0D94C991" w14:textId="77777777" w:rsidR="007027AF" w:rsidRPr="001330BD" w:rsidRDefault="007027AF" w:rsidP="007027AF">
            <w:pPr>
              <w:spacing w:before="40" w:after="40"/>
              <w:jc w:val="both"/>
              <w:rPr>
                <w:bCs/>
                <w:color w:val="000000" w:themeColor="text1"/>
              </w:rPr>
            </w:pPr>
            <w:r w:rsidRPr="001330BD">
              <w:rPr>
                <w:bCs/>
                <w:color w:val="000000" w:themeColor="text1"/>
              </w:rPr>
              <w:t xml:space="preserve">Likumā un MK noteikumos Nr. 597 noteiktās funkcijas atteicas tikai uz </w:t>
            </w:r>
            <w:r w:rsidRPr="001330BD">
              <w:rPr>
                <w:color w:val="000000" w:themeColor="text1"/>
              </w:rPr>
              <w:t xml:space="preserve">transporta enerģijas aprites cikla siltumnīcefekta gāzu emisiju daudzumu un to samazinājumu un </w:t>
            </w:r>
            <w:proofErr w:type="spellStart"/>
            <w:r w:rsidRPr="001330BD">
              <w:rPr>
                <w:color w:val="000000" w:themeColor="text1"/>
              </w:rPr>
              <w:t>augšposma</w:t>
            </w:r>
            <w:proofErr w:type="spellEnd"/>
            <w:r w:rsidRPr="001330BD">
              <w:rPr>
                <w:color w:val="000000" w:themeColor="text1"/>
              </w:rPr>
              <w:t xml:space="preserve"> emisiju samazinājumu, kas atspoguļots </w:t>
            </w:r>
            <w:r w:rsidRPr="001330BD">
              <w:rPr>
                <w:color w:val="000000" w:themeColor="text1"/>
              </w:rPr>
              <w:lastRenderedPageBreak/>
              <w:t>degvielas piegādātāja ziņojuma ietvaros.</w:t>
            </w:r>
            <w:r w:rsidRPr="001330BD">
              <w:rPr>
                <w:bCs/>
                <w:color w:val="000000" w:themeColor="text1"/>
              </w:rPr>
              <w:t xml:space="preserve"> Degvielas piegādātāja ziņojuma ietvaros iesniegtie un apkopotie dati veido tikai daļu no ziņojuma par </w:t>
            </w:r>
            <w:r w:rsidRPr="001330BD">
              <w:rPr>
                <w:color w:val="000000" w:themeColor="text1"/>
              </w:rPr>
              <w:t>biodegvielu un bioloģiskā šķidrā kurināmā atbilstības ilgtspējas kritērijiem ietvertajiem datiem</w:t>
            </w:r>
            <w:r w:rsidRPr="001330BD">
              <w:rPr>
                <w:bCs/>
                <w:color w:val="000000" w:themeColor="text1"/>
              </w:rPr>
              <w:t xml:space="preserve">. Līdz ar to </w:t>
            </w:r>
            <w:r w:rsidRPr="001330BD">
              <w:t>MK noteikumu projekta anotācijā ir jāsvītro VVD kā iestāde, kurai ir jāiesniedz ziņojums par biodegvielu un bioloģiskā šķidrā kurināmā atbilstības ilgtspējas kritērijiem un kurai ir jāapkopo ziņojuma ietvaros sniegtie dati;</w:t>
            </w:r>
          </w:p>
          <w:p w14:paraId="20057B9F" w14:textId="77777777" w:rsidR="007027AF" w:rsidRPr="001330BD" w:rsidRDefault="007027AF" w:rsidP="007027AF">
            <w:pPr>
              <w:spacing w:before="40" w:after="40"/>
              <w:jc w:val="both"/>
              <w:rPr>
                <w:iCs/>
              </w:rPr>
            </w:pPr>
            <w:r w:rsidRPr="001330BD">
              <w:t xml:space="preserve">9. Biodegvielu un bioloģisko šķidro kurināmo atbilstību ilgtspējības prasībām uzraudzība un kontrole nav VVD kompetence. Saskaņā ar </w:t>
            </w:r>
            <w:r w:rsidRPr="001330BD">
              <w:rPr>
                <w:color w:val="414142"/>
                <w:shd w:val="clear" w:color="auto" w:fill="FFFFFF"/>
              </w:rPr>
              <w:t> </w:t>
            </w:r>
            <w:r w:rsidRPr="001330BD">
              <w:rPr>
                <w:shd w:val="clear" w:color="auto" w:fill="FFFFFF"/>
              </w:rPr>
              <w:t xml:space="preserve">2004. gada 23. novembra </w:t>
            </w:r>
            <w:r w:rsidRPr="001330BD">
              <w:rPr>
                <w:bCs/>
                <w:shd w:val="clear" w:color="auto" w:fill="FFFFFF"/>
              </w:rPr>
              <w:t xml:space="preserve">MK noteikumiem Nr.962 „Valsts vides dienesta nolikums”, </w:t>
            </w:r>
            <w:r w:rsidRPr="001330BD">
              <w:rPr>
                <w:bCs/>
                <w:u w:val="single"/>
                <w:shd w:val="clear" w:color="auto" w:fill="FFFFFF"/>
              </w:rPr>
              <w:t xml:space="preserve">VVD noteiktas </w:t>
            </w:r>
            <w:r w:rsidRPr="001330BD">
              <w:rPr>
                <w:u w:val="single"/>
              </w:rPr>
              <w:t>kontroles</w:t>
            </w:r>
            <w:r w:rsidRPr="001330BD">
              <w:rPr>
                <w:bCs/>
                <w:u w:val="single"/>
                <w:shd w:val="clear" w:color="auto" w:fill="FFFFFF"/>
              </w:rPr>
              <w:t xml:space="preserve"> funkcijas vides piesārņojuma jomā</w:t>
            </w:r>
            <w:r w:rsidRPr="001330BD">
              <w:rPr>
                <w:bCs/>
                <w:shd w:val="clear" w:color="auto" w:fill="FFFFFF"/>
              </w:rPr>
              <w:t xml:space="preserve"> par </w:t>
            </w:r>
            <w:r w:rsidRPr="001330BD">
              <w:t xml:space="preserve">dabas resursu ieguvi un to izmantošanu, dabas aizsardzību, piesārņojošo vielu emisiju vidē, bīstamo un sadzīves atkritumu apsaimniekošanu, izlietotā iepakojuma apsaimniekošanu, noteikto prasību ievērošanu darbībām ar ķīmiskajām vielām un ķīmiskajiem produktiem, kā arī izdot un saskaņot atļaujas (licences), tehniskos noteikumus, citus administratīvos aktus dabas resursu </w:t>
            </w:r>
            <w:r w:rsidRPr="001330BD">
              <w:lastRenderedPageBreak/>
              <w:t>izmantošanai un piesārņojošo darbību veikšanai;</w:t>
            </w:r>
          </w:p>
          <w:p w14:paraId="0D64423B" w14:textId="77777777" w:rsidR="007027AF" w:rsidRPr="001330BD" w:rsidRDefault="007027AF" w:rsidP="007027AF">
            <w:pPr>
              <w:spacing w:before="40" w:after="40"/>
              <w:jc w:val="both"/>
              <w:rPr>
                <w:iCs/>
              </w:rPr>
            </w:pPr>
            <w:r w:rsidRPr="001330BD">
              <w:t xml:space="preserve">10. MK noteikumu projektā VVD noteiktās funkcijas būs jāveic vienlaicīgi ar MK noteikumos Nr. 597 noteiktajām funkcijām (t.i. MK noteikumu projektā ziņojums tiks iesniegtas vienlaicīgi ar ziņojumu par iepriekšējā kalendāra gadā </w:t>
            </w:r>
            <w:proofErr w:type="spellStart"/>
            <w:r w:rsidRPr="001330BD">
              <w:t>galapatēriņam</w:t>
            </w:r>
            <w:proofErr w:type="spellEnd"/>
            <w:r w:rsidRPr="001330BD">
              <w:t xml:space="preserve"> transportā Latvijā piegādātās transporta enerģijas daudzumu un siltumnīcefekta gāzu emisiju intensitāti tajā), kā rezultātā VVD vajadzēs pārbaudīt divus </w:t>
            </w:r>
            <w:r w:rsidRPr="001330BD">
              <w:rPr>
                <w:u w:val="single"/>
              </w:rPr>
              <w:t>dažāda satura</w:t>
            </w:r>
            <w:r w:rsidRPr="001330BD">
              <w:t xml:space="preserve"> ziņojumus;</w:t>
            </w:r>
          </w:p>
          <w:p w14:paraId="5A4D7F23" w14:textId="77777777" w:rsidR="007027AF" w:rsidRPr="001330BD" w:rsidRDefault="007027AF" w:rsidP="007027AF">
            <w:pPr>
              <w:spacing w:before="40" w:after="40"/>
              <w:jc w:val="both"/>
            </w:pPr>
            <w:r w:rsidRPr="001330BD">
              <w:t xml:space="preserve">11. MK noteikumu projekta anotācijā tiek sniegta informācija, ka attiecībā uz VVD palielināsies administratīvais slogs, jo informāciju par biodegvielu un bioloģiskā šķidrā kurināmā atbilstības ilgtspējas kritērijiem būs jāiesniedz VVD. Papildus MK noteikumu projekta anotācijas II. nodaļas 2., 3. un 4. punktā sniegta informācija attiecībā uz administratīva sloga palielināšanos un monetāro </w:t>
            </w:r>
            <w:proofErr w:type="spellStart"/>
            <w:r w:rsidRPr="001330BD">
              <w:t>izvērtējumu</w:t>
            </w:r>
            <w:proofErr w:type="spellEnd"/>
            <w:r w:rsidRPr="001330BD">
              <w:t xml:space="preserve">, ka informācija par administratīvā sloga palielinājumu, kā arī administratīvo izmaksu monetārs novērtējums un atbilstības izmaksu monetārs novērtējums tiek izvērtēts Transporta enerģijas likumā noteiktās vispārīgās ziņošanas sistēmas izveidošanas ietvaros, un tiks noteikts </w:t>
            </w:r>
            <w:r w:rsidRPr="001330BD">
              <w:lastRenderedPageBreak/>
              <w:t xml:space="preserve">kopā visiem pienākumiem, kas izriet no Transporta enerģijas likumā noteiktajiem nosacījumiem. </w:t>
            </w:r>
          </w:p>
          <w:p w14:paraId="6A135A46" w14:textId="77777777" w:rsidR="007027AF" w:rsidRPr="001330BD" w:rsidRDefault="007027AF" w:rsidP="007027AF">
            <w:pPr>
              <w:spacing w:before="40" w:after="40"/>
              <w:jc w:val="both"/>
            </w:pPr>
            <w:r w:rsidRPr="001330BD">
              <w:t xml:space="preserve">Likumprojekta „Transporta enerģijas likums” (VSS-1216; TA-904) anotācijā (pieejama Valsts kancelejas tīmekļa vietnē </w:t>
            </w:r>
            <w:hyperlink r:id="rId14" w:history="1">
              <w:r w:rsidRPr="001330BD">
                <w:rPr>
                  <w:rStyle w:val="Hyperlink"/>
                </w:rPr>
                <w:t>http://tap.mk.gov.lv/lv/mk/tap/?pid=40441568</w:t>
              </w:r>
            </w:hyperlink>
            <w:r w:rsidRPr="001330BD">
              <w:t xml:space="preserve">; skatīts 09.10.2018.) II. nodaļā nav sniegts </w:t>
            </w:r>
            <w:proofErr w:type="spellStart"/>
            <w:r w:rsidRPr="001330BD">
              <w:t>izvērtējums</w:t>
            </w:r>
            <w:proofErr w:type="spellEnd"/>
            <w:r w:rsidRPr="001330BD">
              <w:t xml:space="preserve"> par administratīvā sloga palielināšanos un </w:t>
            </w:r>
            <w:r w:rsidRPr="001330BD">
              <w:rPr>
                <w:color w:val="000000"/>
              </w:rPr>
              <w:t>administratīvo izmaksu monetārs novērtējums</w:t>
            </w:r>
            <w:r w:rsidRPr="001330BD">
              <w:t xml:space="preserve"> attiecībā uz MK noteikumu projektā VVD papildus noteikto funkciju;</w:t>
            </w:r>
          </w:p>
          <w:p w14:paraId="037B133D" w14:textId="77777777" w:rsidR="007027AF" w:rsidRPr="001330BD" w:rsidRDefault="007027AF" w:rsidP="007027AF">
            <w:pPr>
              <w:widowControl w:val="0"/>
              <w:spacing w:before="40" w:after="40"/>
              <w:jc w:val="both"/>
            </w:pPr>
            <w:r w:rsidRPr="001330BD">
              <w:t xml:space="preserve">12. Ierosinām minēto funkciju saglabāt Ekonomikas ministrijas kompetencē, ņemot vērā to, ka atbilstoši MK noteikumu </w:t>
            </w:r>
            <w:r w:rsidRPr="001330BD">
              <w:rPr>
                <w:color w:val="000000" w:themeColor="text1"/>
              </w:rPr>
              <w:t>Nr. 545 28.</w:t>
            </w:r>
            <w:r w:rsidRPr="001330BD">
              <w:t xml:space="preserve"> punktam, šī funkcija jau ir noteikta Ekonomikas ministrijas kompetencē;</w:t>
            </w:r>
          </w:p>
          <w:p w14:paraId="239DBC8A" w14:textId="77777777" w:rsidR="007027AF" w:rsidRPr="001330BD" w:rsidRDefault="007027AF" w:rsidP="007027AF">
            <w:pPr>
              <w:spacing w:before="40" w:after="40"/>
              <w:jc w:val="both"/>
            </w:pPr>
            <w:r w:rsidRPr="001330BD">
              <w:rPr>
                <w:spacing w:val="-3"/>
              </w:rPr>
              <w:t xml:space="preserve">13. Papildus vēršam uzmanību, ka funkciju ietvaros, kas VVD ir noteiktas </w:t>
            </w:r>
            <w:r w:rsidRPr="001330BD">
              <w:rPr>
                <w:bCs/>
                <w:color w:val="000000"/>
              </w:rPr>
              <w:t xml:space="preserve">saskaņā ar Likumu un </w:t>
            </w:r>
            <w:r w:rsidRPr="001330BD">
              <w:rPr>
                <w:bCs/>
              </w:rPr>
              <w:t>MK noteikumiem Nr. 597</w:t>
            </w:r>
            <w:r w:rsidRPr="001330BD">
              <w:rPr>
                <w:bCs/>
                <w:color w:val="000000"/>
              </w:rPr>
              <w:t xml:space="preserve">, </w:t>
            </w:r>
            <w:r w:rsidRPr="001330BD">
              <w:rPr>
                <w:iCs/>
              </w:rPr>
              <w:t xml:space="preserve">nav paredzēts veidot informācijas sistēmu vai datu bāzi iesniegto datu apkopošanai un uzturēšanai. Informāciju par </w:t>
            </w:r>
            <w:r w:rsidRPr="001330BD">
              <w:t xml:space="preserve">transporta enerģijas aprites cikla siltumnīcefekta gāzu emisiju daudzumu un to samazinājumu un </w:t>
            </w:r>
            <w:proofErr w:type="spellStart"/>
            <w:r w:rsidRPr="001330BD">
              <w:t>augšposma</w:t>
            </w:r>
            <w:proofErr w:type="spellEnd"/>
            <w:r w:rsidRPr="001330BD">
              <w:t xml:space="preserve"> emisiju samazinājumu VVD apkopos </w:t>
            </w:r>
            <w:r w:rsidRPr="001330BD">
              <w:rPr>
                <w:i/>
              </w:rPr>
              <w:t>MS Excel</w:t>
            </w:r>
            <w:r w:rsidRPr="001330BD">
              <w:t xml:space="preserve"> </w:t>
            </w:r>
            <w:r w:rsidRPr="001330BD">
              <w:lastRenderedPageBreak/>
              <w:t>datnes formātā (t.i., noteiktajā Eiropas Komisijas ziņojuma veidlapas formā);</w:t>
            </w:r>
          </w:p>
          <w:p w14:paraId="7556C881" w14:textId="77777777" w:rsidR="007027AF" w:rsidRPr="001330BD" w:rsidRDefault="007027AF" w:rsidP="007027AF">
            <w:pPr>
              <w:spacing w:before="40" w:after="40"/>
              <w:jc w:val="both"/>
              <w:rPr>
                <w:b/>
              </w:rPr>
            </w:pPr>
            <w:r w:rsidRPr="001330BD">
              <w:rPr>
                <w:spacing w:val="-3"/>
              </w:rPr>
              <w:t xml:space="preserve">14. Ierosinām, ka informāciju par </w:t>
            </w:r>
            <w:proofErr w:type="spellStart"/>
            <w:r w:rsidRPr="001330BD">
              <w:t>galapatēriņam</w:t>
            </w:r>
            <w:proofErr w:type="spellEnd"/>
            <w:r w:rsidRPr="001330BD">
              <w:t xml:space="preserve"> transportā nodoto normatīvajos aktos par transporta enerģiju minēto biodegvielu</w:t>
            </w:r>
            <w:r w:rsidRPr="001330BD">
              <w:rPr>
                <w:spacing w:val="-3"/>
              </w:rPr>
              <w:t xml:space="preserve">, VVD var iesniegt Ekonomikas ministrijai apkopotā veidā </w:t>
            </w:r>
            <w:r w:rsidRPr="001330BD">
              <w:rPr>
                <w:i/>
              </w:rPr>
              <w:t>MS Excel</w:t>
            </w:r>
            <w:r w:rsidRPr="001330BD">
              <w:t xml:space="preserve"> datnes formātā</w:t>
            </w:r>
            <w:r w:rsidRPr="001330BD">
              <w:rPr>
                <w:spacing w:val="-3"/>
              </w:rPr>
              <w:t xml:space="preserve">. Šo informāciju VVD apkopos saskaņā ar </w:t>
            </w:r>
            <w:r w:rsidRPr="001330BD">
              <w:rPr>
                <w:bCs/>
              </w:rPr>
              <w:t>MK noteikumiem Nr. 597</w:t>
            </w:r>
            <w:r w:rsidRPr="001330BD">
              <w:rPr>
                <w:spacing w:val="-3"/>
              </w:rPr>
              <w:t>.</w:t>
            </w:r>
          </w:p>
        </w:tc>
        <w:tc>
          <w:tcPr>
            <w:tcW w:w="2899" w:type="dxa"/>
            <w:vMerge w:val="restart"/>
            <w:tcBorders>
              <w:top w:val="single" w:sz="6" w:space="0" w:color="000000"/>
              <w:left w:val="single" w:sz="6" w:space="0" w:color="000000"/>
              <w:right w:val="single" w:sz="6" w:space="0" w:color="000000"/>
            </w:tcBorders>
          </w:tcPr>
          <w:p w14:paraId="1D56FCEB" w14:textId="77777777" w:rsidR="007027AF" w:rsidRPr="001330BD" w:rsidRDefault="007027AF" w:rsidP="007027AF">
            <w:pPr>
              <w:spacing w:before="40" w:after="40"/>
              <w:jc w:val="center"/>
              <w:rPr>
                <w:b/>
                <w:iCs/>
              </w:rPr>
            </w:pPr>
            <w:r w:rsidRPr="001330BD">
              <w:rPr>
                <w:b/>
                <w:iCs/>
              </w:rPr>
              <w:lastRenderedPageBreak/>
              <w:t>Ņemts vērā</w:t>
            </w:r>
          </w:p>
        </w:tc>
        <w:tc>
          <w:tcPr>
            <w:tcW w:w="4368" w:type="dxa"/>
            <w:vMerge w:val="restart"/>
            <w:tcBorders>
              <w:top w:val="single" w:sz="4" w:space="0" w:color="auto"/>
              <w:left w:val="single" w:sz="4" w:space="0" w:color="auto"/>
            </w:tcBorders>
          </w:tcPr>
          <w:p w14:paraId="2D31872F" w14:textId="02EE0334" w:rsidR="007027AF" w:rsidRPr="001330BD" w:rsidRDefault="007027AF" w:rsidP="007027AF">
            <w:pPr>
              <w:spacing w:before="40" w:after="40"/>
              <w:rPr>
                <w:color w:val="000000" w:themeColor="text1"/>
              </w:rPr>
            </w:pPr>
            <w:r w:rsidRPr="001330BD">
              <w:rPr>
                <w:color w:val="000000" w:themeColor="text1"/>
              </w:rPr>
              <w:t>Noteikumu projekta 17.punkts:</w:t>
            </w:r>
          </w:p>
          <w:p w14:paraId="40FB11F8" w14:textId="4D28FAE2" w:rsidR="007027AF" w:rsidRPr="001330BD" w:rsidRDefault="007027AF" w:rsidP="007027AF">
            <w:pPr>
              <w:spacing w:after="120"/>
            </w:pPr>
            <w:r w:rsidRPr="001330BD">
              <w:rPr>
                <w:rFonts w:eastAsia="Calibri"/>
                <w:lang w:eastAsia="en-US"/>
              </w:rPr>
              <w:t>“17. Papildināt noteikumus ar jaunu V</w:t>
            </w:r>
            <w:r w:rsidRPr="001330BD">
              <w:rPr>
                <w:rFonts w:eastAsia="Calibri"/>
                <w:vertAlign w:val="superscript"/>
                <w:lang w:eastAsia="en-US"/>
              </w:rPr>
              <w:t>1</w:t>
            </w:r>
            <w:r w:rsidRPr="001330BD">
              <w:rPr>
                <w:rFonts w:eastAsia="Calibri"/>
                <w:lang w:eastAsia="en-US"/>
              </w:rPr>
              <w:t xml:space="preserve"> nodaļu šādā redakcijā:</w:t>
            </w:r>
          </w:p>
          <w:p w14:paraId="7AED2744" w14:textId="77777777" w:rsidR="007027AF" w:rsidRPr="001330BD" w:rsidRDefault="007027AF" w:rsidP="007027AF">
            <w:pPr>
              <w:pStyle w:val="norm"/>
              <w:shd w:val="clear" w:color="auto" w:fill="FFFFFF"/>
              <w:spacing w:before="120" w:beforeAutospacing="0" w:after="120" w:afterAutospacing="0"/>
              <w:jc w:val="both"/>
              <w:textAlignment w:val="baseline"/>
              <w:rPr>
                <w:rFonts w:eastAsia="Calibri"/>
                <w:lang w:eastAsia="en-US"/>
              </w:rPr>
            </w:pPr>
            <w:r w:rsidRPr="001330BD">
              <w:rPr>
                <w:rFonts w:eastAsia="Calibri"/>
                <w:lang w:eastAsia="en-US"/>
              </w:rPr>
              <w:t>“</w:t>
            </w:r>
            <w:r w:rsidRPr="001330BD">
              <w:rPr>
                <w:rFonts w:eastAsia="Calibri"/>
                <w:b/>
                <w:lang w:eastAsia="en-US"/>
              </w:rPr>
              <w:t>V</w:t>
            </w:r>
            <w:r w:rsidRPr="001330BD">
              <w:rPr>
                <w:rFonts w:eastAsia="Calibri"/>
                <w:b/>
                <w:vertAlign w:val="superscript"/>
                <w:lang w:eastAsia="en-US"/>
              </w:rPr>
              <w:t>1</w:t>
            </w:r>
            <w:r w:rsidRPr="001330BD">
              <w:rPr>
                <w:rFonts w:eastAsia="Calibri"/>
                <w:b/>
                <w:lang w:eastAsia="en-US"/>
              </w:rPr>
              <w:t xml:space="preserve"> Piegādātāja ziņojuma sagatavošana un iesniegšana</w:t>
            </w:r>
            <w:r w:rsidRPr="001330BD">
              <w:rPr>
                <w:rFonts w:eastAsia="Calibri"/>
                <w:lang w:eastAsia="en-US"/>
              </w:rPr>
              <w:t xml:space="preserve"> </w:t>
            </w:r>
          </w:p>
          <w:p w14:paraId="50CB5310" w14:textId="50C31744" w:rsidR="007027AF" w:rsidRPr="001330BD" w:rsidRDefault="007027AF" w:rsidP="007027AF">
            <w:pPr>
              <w:pStyle w:val="norm"/>
              <w:shd w:val="clear" w:color="auto" w:fill="FFFFFF"/>
              <w:tabs>
                <w:tab w:val="left" w:pos="993"/>
              </w:tabs>
              <w:spacing w:before="120" w:beforeAutospacing="0" w:after="120" w:afterAutospacing="0"/>
              <w:jc w:val="both"/>
              <w:textAlignment w:val="baseline"/>
              <w:rPr>
                <w:rFonts w:eastAsia="Calibri"/>
                <w:lang w:eastAsia="en-US"/>
              </w:rPr>
            </w:pPr>
            <w:r w:rsidRPr="001330BD">
              <w:rPr>
                <w:rFonts w:eastAsia="Calibri"/>
                <w:lang w:eastAsia="en-US"/>
              </w:rPr>
              <w:t>“28.</w:t>
            </w:r>
            <w:r w:rsidRPr="001330BD">
              <w:rPr>
                <w:rFonts w:eastAsia="Calibri"/>
                <w:vertAlign w:val="superscript"/>
                <w:lang w:eastAsia="en-US"/>
              </w:rPr>
              <w:t>1</w:t>
            </w:r>
            <w:r w:rsidRPr="001330BD">
              <w:rPr>
                <w:rFonts w:eastAsia="Calibri"/>
                <w:lang w:eastAsia="en-US"/>
              </w:rPr>
              <w:t xml:space="preserve"> Piegādātājs, ievērojot šo noteikumu 13.</w:t>
            </w:r>
            <w:r w:rsidRPr="001330BD">
              <w:rPr>
                <w:rFonts w:eastAsia="Calibri"/>
                <w:vertAlign w:val="superscript"/>
                <w:lang w:eastAsia="en-US"/>
              </w:rPr>
              <w:t>1</w:t>
            </w:r>
            <w:r w:rsidRPr="001330BD">
              <w:rPr>
                <w:rFonts w:eastAsia="Calibri"/>
                <w:lang w:eastAsia="en-US"/>
              </w:rPr>
              <w:t xml:space="preserve"> punktā minētās prasības, katru gadu vispārīgās ziņošanas kārtības ietvaros sagatavo un informāciju par:</w:t>
            </w:r>
          </w:p>
          <w:p w14:paraId="233E738B" w14:textId="77777777" w:rsidR="007027AF" w:rsidRPr="001330BD" w:rsidRDefault="007027AF" w:rsidP="007027AF">
            <w:pPr>
              <w:pStyle w:val="norm"/>
              <w:shd w:val="clear" w:color="auto" w:fill="FFFFFF"/>
              <w:tabs>
                <w:tab w:val="left" w:pos="993"/>
              </w:tabs>
              <w:spacing w:before="120" w:beforeAutospacing="0" w:after="120" w:afterAutospacing="0"/>
              <w:ind w:firstLine="567"/>
              <w:jc w:val="both"/>
              <w:textAlignment w:val="baseline"/>
              <w:rPr>
                <w:rFonts w:eastAsia="Calibri"/>
                <w:lang w:eastAsia="en-US"/>
              </w:rPr>
            </w:pPr>
            <w:r w:rsidRPr="001330BD">
              <w:rPr>
                <w:rFonts w:eastAsia="Calibri"/>
                <w:lang w:eastAsia="en-US"/>
              </w:rPr>
              <w:t>28.</w:t>
            </w:r>
            <w:r w:rsidRPr="001330BD">
              <w:rPr>
                <w:rFonts w:eastAsia="Calibri"/>
                <w:vertAlign w:val="superscript"/>
              </w:rPr>
              <w:t>1</w:t>
            </w:r>
            <w:r w:rsidRPr="001330BD">
              <w:rPr>
                <w:rFonts w:eastAsia="Calibri"/>
                <w:lang w:eastAsia="en-US"/>
              </w:rPr>
              <w:t xml:space="preserve"> 1. biodegvielas ražošanas paņēmienu, </w:t>
            </w:r>
          </w:p>
          <w:p w14:paraId="2DE35019" w14:textId="77777777" w:rsidR="007027AF" w:rsidRPr="001330BD" w:rsidRDefault="007027AF" w:rsidP="007027AF">
            <w:pPr>
              <w:pStyle w:val="norm"/>
              <w:shd w:val="clear" w:color="auto" w:fill="FFFFFF"/>
              <w:tabs>
                <w:tab w:val="left" w:pos="993"/>
              </w:tabs>
              <w:spacing w:before="120" w:beforeAutospacing="0" w:after="120" w:afterAutospacing="0"/>
              <w:ind w:firstLine="567"/>
              <w:jc w:val="both"/>
              <w:textAlignment w:val="baseline"/>
              <w:rPr>
                <w:rFonts w:eastAsia="Calibri"/>
                <w:lang w:eastAsia="en-US"/>
              </w:rPr>
            </w:pPr>
            <w:r w:rsidRPr="001330BD">
              <w:rPr>
                <w:rFonts w:eastAsia="Calibri"/>
                <w:lang w:eastAsia="en-US"/>
              </w:rPr>
              <w:t>28.</w:t>
            </w:r>
            <w:r w:rsidRPr="001330BD">
              <w:rPr>
                <w:rFonts w:eastAsia="Calibri"/>
                <w:vertAlign w:val="superscript"/>
                <w:lang w:eastAsia="en-US"/>
              </w:rPr>
              <w:t>1</w:t>
            </w:r>
            <w:r w:rsidRPr="001330BD">
              <w:rPr>
                <w:rFonts w:eastAsia="Calibri"/>
                <w:lang w:eastAsia="en-US"/>
              </w:rPr>
              <w:t xml:space="preserve"> 2. biodegvielas apjomu, kas iegūts no izejvielām, kuras ir iedalītas šādās kategorijās – labība un citi cieti saturoši augi, cukuri, eļļas augi, </w:t>
            </w:r>
          </w:p>
          <w:p w14:paraId="04849631" w14:textId="77777777" w:rsidR="007027AF" w:rsidRPr="001330BD" w:rsidRDefault="007027AF" w:rsidP="007027AF">
            <w:pPr>
              <w:pStyle w:val="norm"/>
              <w:shd w:val="clear" w:color="auto" w:fill="FFFFFF"/>
              <w:tabs>
                <w:tab w:val="left" w:pos="993"/>
              </w:tabs>
              <w:spacing w:before="120" w:beforeAutospacing="0" w:after="120" w:afterAutospacing="0"/>
              <w:ind w:firstLine="567"/>
              <w:jc w:val="both"/>
              <w:textAlignment w:val="baseline"/>
              <w:rPr>
                <w:rFonts w:eastAsia="Calibri"/>
                <w:lang w:eastAsia="en-US"/>
              </w:rPr>
            </w:pPr>
            <w:r w:rsidRPr="001330BD">
              <w:rPr>
                <w:rFonts w:eastAsia="Calibri"/>
                <w:lang w:eastAsia="en-US"/>
              </w:rPr>
              <w:t>28.</w:t>
            </w:r>
            <w:r w:rsidRPr="001330BD">
              <w:rPr>
                <w:rFonts w:eastAsia="Calibri"/>
                <w:vertAlign w:val="superscript"/>
                <w:lang w:eastAsia="en-US"/>
              </w:rPr>
              <w:t>1</w:t>
            </w:r>
            <w:r w:rsidRPr="001330BD">
              <w:rPr>
                <w:rFonts w:eastAsia="Calibri"/>
                <w:lang w:eastAsia="en-US"/>
              </w:rPr>
              <w:t xml:space="preserve"> 3. biodegvielas apjomu, kas iegūts no izejvielām, kuras ražotas no atkritumiem, atlikumiem, nepārtikas celulozes materiāla un </w:t>
            </w:r>
            <w:proofErr w:type="spellStart"/>
            <w:r w:rsidRPr="001330BD">
              <w:rPr>
                <w:rFonts w:eastAsia="Calibri"/>
                <w:lang w:eastAsia="en-US"/>
              </w:rPr>
              <w:t>lignocelulozes</w:t>
            </w:r>
            <w:proofErr w:type="spellEnd"/>
            <w:r w:rsidRPr="001330BD">
              <w:rPr>
                <w:rFonts w:eastAsia="Calibri"/>
                <w:lang w:eastAsia="en-US"/>
              </w:rPr>
              <w:t xml:space="preserve"> materiāla,</w:t>
            </w:r>
          </w:p>
          <w:p w14:paraId="6D8297BC" w14:textId="77777777" w:rsidR="007027AF" w:rsidRPr="001330BD" w:rsidRDefault="007027AF" w:rsidP="007027AF">
            <w:pPr>
              <w:pStyle w:val="norm"/>
              <w:shd w:val="clear" w:color="auto" w:fill="FFFFFF"/>
              <w:tabs>
                <w:tab w:val="left" w:pos="993"/>
              </w:tabs>
              <w:spacing w:before="120" w:beforeAutospacing="0" w:after="120" w:afterAutospacing="0"/>
              <w:ind w:firstLine="567"/>
              <w:jc w:val="both"/>
              <w:textAlignment w:val="baseline"/>
              <w:rPr>
                <w:rFonts w:eastAsia="Calibri"/>
                <w:lang w:eastAsia="en-US"/>
              </w:rPr>
            </w:pPr>
            <w:r w:rsidRPr="001330BD">
              <w:rPr>
                <w:rFonts w:eastAsia="Calibri"/>
                <w:lang w:eastAsia="en-US"/>
              </w:rPr>
              <w:t>28.</w:t>
            </w:r>
            <w:r w:rsidRPr="001330BD">
              <w:rPr>
                <w:rFonts w:eastAsia="Calibri"/>
                <w:vertAlign w:val="superscript"/>
                <w:lang w:eastAsia="en-US"/>
              </w:rPr>
              <w:t>1</w:t>
            </w:r>
            <w:r w:rsidRPr="001330BD">
              <w:rPr>
                <w:rFonts w:eastAsia="Calibri"/>
                <w:lang w:eastAsia="en-US"/>
              </w:rPr>
              <w:t xml:space="preserve"> 4. šo noteikumu 10. pielikumā minētās degvielas apjomu un biodegvielas apjomu, kas iegūts no izejvielām, kuras ražotas no šo noteikumu 10. pielikumā minētajām izejvielām;</w:t>
            </w:r>
          </w:p>
          <w:p w14:paraId="46040181" w14:textId="77777777" w:rsidR="007027AF" w:rsidRPr="001330BD" w:rsidRDefault="007027AF" w:rsidP="007027AF">
            <w:pPr>
              <w:pStyle w:val="norm"/>
              <w:shd w:val="clear" w:color="auto" w:fill="FFFFFF"/>
              <w:tabs>
                <w:tab w:val="left" w:pos="993"/>
              </w:tabs>
              <w:spacing w:before="120" w:beforeAutospacing="0" w:after="120" w:afterAutospacing="0"/>
              <w:ind w:firstLine="567"/>
              <w:jc w:val="both"/>
              <w:textAlignment w:val="baseline"/>
              <w:rPr>
                <w:rFonts w:eastAsia="Calibri"/>
                <w:lang w:eastAsia="en-US"/>
              </w:rPr>
            </w:pPr>
            <w:r w:rsidRPr="001330BD">
              <w:rPr>
                <w:rFonts w:eastAsia="Calibri"/>
                <w:lang w:eastAsia="en-US"/>
              </w:rPr>
              <w:lastRenderedPageBreak/>
              <w:t>28.</w:t>
            </w:r>
            <w:r w:rsidRPr="001330BD">
              <w:rPr>
                <w:rFonts w:eastAsia="Calibri"/>
                <w:vertAlign w:val="superscript"/>
                <w:lang w:eastAsia="en-US"/>
              </w:rPr>
              <w:t>1</w:t>
            </w:r>
            <w:r w:rsidRPr="001330BD">
              <w:rPr>
                <w:rFonts w:eastAsia="Calibri"/>
                <w:lang w:eastAsia="en-US"/>
              </w:rPr>
              <w:t xml:space="preserve"> 5. biodegvielas aprites cikla siltumnīcefekta gāzu emisijām uz enerģijas vienību, ieskaitot par aplēsto netiešas zemes izmantošanas maiņas emisiju no biodegvielām aptuvenām vidējām vērtībām.</w:t>
            </w:r>
          </w:p>
          <w:p w14:paraId="22BA9598" w14:textId="77777777" w:rsidR="007027AF" w:rsidRPr="001330BD" w:rsidRDefault="007027AF" w:rsidP="007027AF">
            <w:pPr>
              <w:pStyle w:val="norm"/>
              <w:shd w:val="clear" w:color="auto" w:fill="FFFFFF"/>
              <w:tabs>
                <w:tab w:val="left" w:pos="993"/>
              </w:tabs>
              <w:spacing w:before="120" w:beforeAutospacing="0" w:after="120" w:afterAutospacing="0"/>
              <w:ind w:firstLine="567"/>
              <w:jc w:val="both"/>
              <w:textAlignment w:val="baseline"/>
              <w:rPr>
                <w:rFonts w:eastAsia="Calibri"/>
                <w:lang w:eastAsia="en-US"/>
              </w:rPr>
            </w:pPr>
            <w:r w:rsidRPr="001330BD">
              <w:rPr>
                <w:rFonts w:eastAsia="Calibri"/>
                <w:lang w:eastAsia="en-US"/>
              </w:rPr>
              <w:t>28.</w:t>
            </w:r>
            <w:r w:rsidRPr="001330BD">
              <w:rPr>
                <w:rFonts w:eastAsia="Calibri"/>
                <w:vertAlign w:val="superscript"/>
                <w:lang w:eastAsia="en-US"/>
              </w:rPr>
              <w:t>1</w:t>
            </w:r>
            <w:r w:rsidRPr="001330BD">
              <w:rPr>
                <w:rFonts w:eastAsia="Calibri"/>
                <w:lang w:eastAsia="en-US"/>
              </w:rPr>
              <w:t xml:space="preserve"> 6. dokumentus, kas pamato un pierāda biodegvielas atbilstību </w:t>
            </w:r>
            <w:r w:rsidRPr="001330BD">
              <w:t>šo noteikumu 5., 6., 7., 8</w:t>
            </w:r>
            <w:r w:rsidRPr="001330BD">
              <w:rPr>
                <w:vertAlign w:val="superscript"/>
              </w:rPr>
              <w:t>1</w:t>
            </w:r>
            <w:r w:rsidRPr="001330BD">
              <w:t>, 8</w:t>
            </w:r>
            <w:r w:rsidRPr="001330BD">
              <w:rPr>
                <w:vertAlign w:val="superscript"/>
              </w:rPr>
              <w:t>2</w:t>
            </w:r>
            <w:r w:rsidRPr="001330BD">
              <w:t xml:space="preserve"> un 10.punktā noteiktajiem ilgtspējas kritērij</w:t>
            </w:r>
            <w:r w:rsidRPr="001330BD">
              <w:rPr>
                <w:rFonts w:eastAsia="Calibri"/>
                <w:lang w:eastAsia="en-US"/>
              </w:rPr>
              <w:t>iem.</w:t>
            </w:r>
          </w:p>
          <w:p w14:paraId="6B09B8FD" w14:textId="77777777" w:rsidR="007027AF" w:rsidRPr="001330BD" w:rsidRDefault="007027AF" w:rsidP="007027AF">
            <w:pPr>
              <w:pStyle w:val="norm"/>
              <w:shd w:val="clear" w:color="auto" w:fill="FFFFFF"/>
              <w:tabs>
                <w:tab w:val="left" w:pos="993"/>
              </w:tabs>
              <w:spacing w:before="120" w:beforeAutospacing="0" w:after="120" w:afterAutospacing="0"/>
              <w:ind w:firstLine="567"/>
              <w:jc w:val="both"/>
              <w:textAlignment w:val="baseline"/>
              <w:rPr>
                <w:rFonts w:eastAsia="Calibri"/>
                <w:lang w:eastAsia="en-US"/>
              </w:rPr>
            </w:pPr>
          </w:p>
          <w:p w14:paraId="6F0ABAC4" w14:textId="77777777" w:rsidR="007027AF" w:rsidRPr="001330BD" w:rsidRDefault="007027AF" w:rsidP="007027AF">
            <w:pPr>
              <w:pStyle w:val="norm"/>
              <w:shd w:val="clear" w:color="auto" w:fill="FFFFFF"/>
              <w:tabs>
                <w:tab w:val="left" w:pos="993"/>
              </w:tabs>
              <w:spacing w:before="120" w:beforeAutospacing="0" w:after="120" w:afterAutospacing="0"/>
              <w:ind w:firstLine="567"/>
              <w:jc w:val="both"/>
              <w:textAlignment w:val="baseline"/>
              <w:rPr>
                <w:rFonts w:eastAsia="Calibri"/>
                <w:lang w:eastAsia="en-US"/>
              </w:rPr>
            </w:pPr>
            <w:r w:rsidRPr="001330BD">
              <w:rPr>
                <w:rFonts w:eastAsia="Calibri"/>
                <w:lang w:eastAsia="en-US"/>
              </w:rPr>
              <w:t>28.</w:t>
            </w:r>
            <w:r w:rsidRPr="001330BD">
              <w:rPr>
                <w:rFonts w:eastAsia="Calibri"/>
                <w:vertAlign w:val="superscript"/>
                <w:lang w:eastAsia="en-US"/>
              </w:rPr>
              <w:t>2</w:t>
            </w:r>
            <w:r w:rsidRPr="001330BD">
              <w:rPr>
                <w:rFonts w:eastAsia="Calibri"/>
                <w:lang w:eastAsia="en-US"/>
              </w:rPr>
              <w:t xml:space="preserve"> Šo noteikumu 28.</w:t>
            </w:r>
            <w:r w:rsidRPr="001330BD">
              <w:rPr>
                <w:rFonts w:eastAsia="Calibri"/>
                <w:vertAlign w:val="superscript"/>
                <w:lang w:eastAsia="en-US"/>
              </w:rPr>
              <w:t>1</w:t>
            </w:r>
            <w:r w:rsidRPr="001330BD">
              <w:rPr>
                <w:rFonts w:eastAsia="Calibri"/>
                <w:lang w:eastAsia="en-US"/>
              </w:rPr>
              <w:t xml:space="preserve"> punktā minētās informācijas pārbaude tiek veikta vispārējās ziņošanas kārtības ietvaros saskaņā ar normatīvajiem aktiem par transporta enerģijas kvalitātes prasībām, tirgus uzraudzību, patērētājiem sniedzamo informāciju un vispārīgo ziņošanas kārtību degvielas piegādātājiem.</w:t>
            </w:r>
          </w:p>
          <w:p w14:paraId="09ABF0F6" w14:textId="77777777" w:rsidR="007027AF" w:rsidRPr="001330BD" w:rsidRDefault="007027AF" w:rsidP="007027AF">
            <w:pPr>
              <w:pStyle w:val="norm"/>
              <w:shd w:val="clear" w:color="auto" w:fill="FFFFFF"/>
              <w:tabs>
                <w:tab w:val="left" w:pos="993"/>
              </w:tabs>
              <w:spacing w:before="120" w:beforeAutospacing="0" w:after="120" w:afterAutospacing="0"/>
              <w:ind w:firstLine="567"/>
              <w:jc w:val="both"/>
              <w:textAlignment w:val="baseline"/>
              <w:rPr>
                <w:rFonts w:eastAsia="Calibri"/>
                <w:lang w:eastAsia="en-US"/>
              </w:rPr>
            </w:pPr>
          </w:p>
          <w:p w14:paraId="2447B54E" w14:textId="77777777" w:rsidR="007027AF" w:rsidRPr="001330BD" w:rsidRDefault="007027AF" w:rsidP="007027AF">
            <w:pPr>
              <w:pStyle w:val="norm"/>
              <w:shd w:val="clear" w:color="auto" w:fill="FFFFFF"/>
              <w:tabs>
                <w:tab w:val="left" w:pos="993"/>
              </w:tabs>
              <w:spacing w:before="120" w:beforeAutospacing="0" w:after="120" w:afterAutospacing="0"/>
              <w:ind w:firstLine="567"/>
              <w:jc w:val="both"/>
              <w:textAlignment w:val="baseline"/>
              <w:rPr>
                <w:rFonts w:eastAsia="Calibri"/>
                <w:lang w:eastAsia="en-US"/>
              </w:rPr>
            </w:pPr>
            <w:r w:rsidRPr="001330BD">
              <w:rPr>
                <w:rFonts w:eastAsia="Calibri"/>
                <w:lang w:eastAsia="en-US"/>
              </w:rPr>
              <w:t>28.</w:t>
            </w:r>
            <w:r w:rsidRPr="001330BD">
              <w:rPr>
                <w:rFonts w:eastAsia="Calibri"/>
                <w:vertAlign w:val="superscript"/>
                <w:lang w:eastAsia="en-US"/>
              </w:rPr>
              <w:t>3</w:t>
            </w:r>
            <w:r w:rsidRPr="001330BD">
              <w:rPr>
                <w:rFonts w:eastAsia="Calibri"/>
                <w:lang w:eastAsia="en-US"/>
              </w:rPr>
              <w:t xml:space="preserve"> Piegādātājs šo noteikumu 28.</w:t>
            </w:r>
            <w:r w:rsidRPr="001330BD">
              <w:rPr>
                <w:rFonts w:eastAsia="Calibri"/>
                <w:vertAlign w:val="superscript"/>
                <w:lang w:eastAsia="en-US"/>
              </w:rPr>
              <w:t>1</w:t>
            </w:r>
            <w:r w:rsidRPr="001330BD">
              <w:rPr>
                <w:rFonts w:eastAsia="Calibri"/>
                <w:lang w:eastAsia="en-US"/>
              </w:rPr>
              <w:t xml:space="preserve"> punktā minēto informāciju vispārīgās ziņošanas kārtības ietvaros kopā ar informāciju par tā iepriekšējā gadā piegādāto biodegvielu un bioloģisko šķidro kurināmo atbilstību ilgtspējas prasībām iesniedz Ekonomikas ministrijā.</w:t>
            </w:r>
          </w:p>
          <w:p w14:paraId="6E03440E" w14:textId="77777777" w:rsidR="007027AF" w:rsidRPr="001330BD" w:rsidRDefault="007027AF" w:rsidP="007027AF">
            <w:pPr>
              <w:pStyle w:val="norm"/>
              <w:shd w:val="clear" w:color="auto" w:fill="FFFFFF"/>
              <w:spacing w:before="120" w:beforeAutospacing="0" w:after="120" w:afterAutospacing="0"/>
              <w:ind w:firstLine="567"/>
              <w:jc w:val="both"/>
              <w:textAlignment w:val="baseline"/>
              <w:rPr>
                <w:rFonts w:eastAsia="Calibri"/>
                <w:lang w:eastAsia="en-US"/>
              </w:rPr>
            </w:pPr>
          </w:p>
          <w:p w14:paraId="0E56BB4F" w14:textId="77777777" w:rsidR="007027AF" w:rsidRPr="001330BD" w:rsidRDefault="007027AF" w:rsidP="007027AF">
            <w:pPr>
              <w:pStyle w:val="norm"/>
              <w:shd w:val="clear" w:color="auto" w:fill="FFFFFF"/>
              <w:spacing w:before="120" w:beforeAutospacing="0" w:after="120" w:afterAutospacing="0"/>
              <w:ind w:firstLine="567"/>
              <w:jc w:val="both"/>
              <w:textAlignment w:val="baseline"/>
            </w:pPr>
            <w:r w:rsidRPr="001330BD">
              <w:rPr>
                <w:rFonts w:eastAsia="Calibri"/>
                <w:lang w:eastAsia="en-US"/>
              </w:rPr>
              <w:t>28.</w:t>
            </w:r>
            <w:r w:rsidRPr="001330BD">
              <w:rPr>
                <w:rFonts w:eastAsia="Calibri"/>
                <w:vertAlign w:val="superscript"/>
                <w:lang w:eastAsia="en-US"/>
              </w:rPr>
              <w:t>4</w:t>
            </w:r>
            <w:r w:rsidRPr="001330BD">
              <w:t xml:space="preserve"> Piegādātājs šo noteikumu 28.</w:t>
            </w:r>
            <w:r w:rsidRPr="001330BD">
              <w:rPr>
                <w:vertAlign w:val="superscript"/>
              </w:rPr>
              <w:t>1</w:t>
            </w:r>
            <w:r w:rsidRPr="001330BD">
              <w:t xml:space="preserve"> punktā noteiktās vispārīgās ziņošanas </w:t>
            </w:r>
            <w:r w:rsidRPr="001330BD">
              <w:lastRenderedPageBreak/>
              <w:t>kārtības ietvaros neiesniedz šo noteikumu 28.</w:t>
            </w:r>
            <w:r w:rsidRPr="001330BD">
              <w:rPr>
                <w:vertAlign w:val="superscript"/>
              </w:rPr>
              <w:t>1</w:t>
            </w:r>
            <w:r w:rsidRPr="001330BD">
              <w:t xml:space="preserve"> 6.punktā minētos dokumentus un neinformē par šo noteikumu V nodaļā minētajiem pasākumiem, ja tas iesniedz tādus pierādījumus vai informāciju par biodegvielas vai bioloģiskā šķidrā kurināmā atbilstību ilgtspējas kritērijiem, kas iegūti saskaņā ar šo noteikumu 12.1. apakšpunktā minēto līgumu vai šo noteikumu 12.2. apakšpunktā minēto brīvprātīgo shēmu, par kuras atbilstību ticamības, </w:t>
            </w:r>
            <w:proofErr w:type="spellStart"/>
            <w:r w:rsidRPr="001330BD">
              <w:t>paredzamības</w:t>
            </w:r>
            <w:proofErr w:type="spellEnd"/>
            <w:r w:rsidRPr="001330BD">
              <w:t xml:space="preserve"> un neatkarīga audita standartiem Eiropas Komisija ir pieņēmusi attiecīgu lēmumu.</w:t>
            </w:r>
          </w:p>
          <w:p w14:paraId="305C80AB" w14:textId="77777777" w:rsidR="007027AF" w:rsidRPr="001330BD" w:rsidRDefault="007027AF" w:rsidP="007027AF">
            <w:pPr>
              <w:pStyle w:val="norm"/>
              <w:shd w:val="clear" w:color="auto" w:fill="FFFFFF"/>
              <w:spacing w:before="120" w:beforeAutospacing="0" w:after="120" w:afterAutospacing="0"/>
              <w:ind w:firstLine="567"/>
              <w:jc w:val="both"/>
              <w:textAlignment w:val="baseline"/>
            </w:pPr>
          </w:p>
          <w:p w14:paraId="318D6F51" w14:textId="765FB581" w:rsidR="007027AF" w:rsidRPr="001330BD" w:rsidRDefault="007027AF" w:rsidP="007027AF">
            <w:pPr>
              <w:pStyle w:val="norm"/>
              <w:shd w:val="clear" w:color="auto" w:fill="FFFFFF"/>
              <w:spacing w:before="120" w:beforeAutospacing="0" w:after="120" w:afterAutospacing="0"/>
              <w:ind w:firstLine="567"/>
              <w:jc w:val="both"/>
              <w:textAlignment w:val="baseline"/>
            </w:pPr>
            <w:r w:rsidRPr="001330BD">
              <w:t>28.</w:t>
            </w:r>
            <w:r w:rsidRPr="001330BD">
              <w:rPr>
                <w:vertAlign w:val="superscript"/>
              </w:rPr>
              <w:t>5</w:t>
            </w:r>
            <w:r w:rsidRPr="001330BD">
              <w:t xml:space="preserve"> Piegādātājs vismaz desmit gadus uzglabā visus attiecīgos šajos noteikumos noteiktos datus un informāciju.”.”</w:t>
            </w:r>
          </w:p>
          <w:p w14:paraId="19F43D89" w14:textId="77777777" w:rsidR="007027AF" w:rsidRPr="001330BD" w:rsidRDefault="007027AF" w:rsidP="007027AF">
            <w:pPr>
              <w:spacing w:before="40" w:after="40"/>
              <w:jc w:val="center"/>
              <w:rPr>
                <w:b/>
              </w:rPr>
            </w:pPr>
          </w:p>
        </w:tc>
      </w:tr>
      <w:tr w:rsidR="007027AF" w:rsidRPr="001330BD" w14:paraId="0474D08B" w14:textId="77777777" w:rsidTr="00EA50E3">
        <w:trPr>
          <w:jc w:val="center"/>
        </w:trPr>
        <w:tc>
          <w:tcPr>
            <w:tcW w:w="637" w:type="dxa"/>
            <w:vMerge/>
            <w:tcBorders>
              <w:left w:val="single" w:sz="6" w:space="0" w:color="000000"/>
              <w:bottom w:val="single" w:sz="6" w:space="0" w:color="000000"/>
              <w:right w:val="single" w:sz="6" w:space="0" w:color="000000"/>
            </w:tcBorders>
          </w:tcPr>
          <w:p w14:paraId="6FE9D066" w14:textId="77777777" w:rsidR="007027AF" w:rsidRPr="001330BD" w:rsidRDefault="007027AF" w:rsidP="007027AF">
            <w:pPr>
              <w:pStyle w:val="naisc"/>
              <w:spacing w:before="40" w:after="40"/>
              <w:rPr>
                <w:b/>
              </w:rPr>
            </w:pPr>
          </w:p>
        </w:tc>
        <w:tc>
          <w:tcPr>
            <w:tcW w:w="3041" w:type="dxa"/>
            <w:vMerge/>
            <w:tcBorders>
              <w:left w:val="single" w:sz="6" w:space="0" w:color="000000"/>
              <w:bottom w:val="single" w:sz="6" w:space="0" w:color="000000"/>
              <w:right w:val="single" w:sz="6" w:space="0" w:color="000000"/>
            </w:tcBorders>
          </w:tcPr>
          <w:p w14:paraId="77ECCE77" w14:textId="77777777" w:rsidR="007027AF" w:rsidRPr="001330BD" w:rsidRDefault="007027AF" w:rsidP="007027AF">
            <w:pPr>
              <w:spacing w:before="40" w:after="40"/>
              <w:rPr>
                <w:color w:val="000000" w:themeColor="text1"/>
              </w:rPr>
            </w:pPr>
          </w:p>
        </w:tc>
        <w:tc>
          <w:tcPr>
            <w:tcW w:w="4047" w:type="dxa"/>
            <w:tcBorders>
              <w:top w:val="single" w:sz="6" w:space="0" w:color="000000"/>
              <w:left w:val="single" w:sz="6" w:space="0" w:color="000000"/>
              <w:bottom w:val="single" w:sz="6" w:space="0" w:color="000000"/>
              <w:right w:val="single" w:sz="6" w:space="0" w:color="000000"/>
            </w:tcBorders>
          </w:tcPr>
          <w:p w14:paraId="6DACE79B" w14:textId="77777777" w:rsidR="007027AF" w:rsidRPr="001330BD" w:rsidRDefault="007027AF" w:rsidP="007027AF">
            <w:pPr>
              <w:widowControl w:val="0"/>
              <w:spacing w:before="40" w:after="40"/>
              <w:jc w:val="center"/>
              <w:rPr>
                <w:b/>
              </w:rPr>
            </w:pPr>
            <w:r w:rsidRPr="001330BD">
              <w:rPr>
                <w:b/>
              </w:rPr>
              <w:t>Vides aizsardzības un reģionālās attīstības ministrija</w:t>
            </w:r>
          </w:p>
          <w:p w14:paraId="1D3E1CBF" w14:textId="77777777" w:rsidR="007027AF" w:rsidRPr="001330BD" w:rsidRDefault="007027AF" w:rsidP="007027AF">
            <w:pPr>
              <w:widowControl w:val="0"/>
              <w:spacing w:before="40" w:after="40"/>
              <w:jc w:val="center"/>
              <w:rPr>
                <w:b/>
              </w:rPr>
            </w:pPr>
            <w:r w:rsidRPr="001330BD">
              <w:rPr>
                <w:b/>
              </w:rPr>
              <w:t>(2018.gada 12.decembra atzinums)</w:t>
            </w:r>
          </w:p>
          <w:p w14:paraId="636E5BE5" w14:textId="77777777" w:rsidR="007027AF" w:rsidRPr="001330BD" w:rsidRDefault="007027AF" w:rsidP="007027AF">
            <w:pPr>
              <w:widowControl w:val="0"/>
              <w:spacing w:before="40" w:after="40"/>
            </w:pPr>
            <w:r w:rsidRPr="001330BD">
              <w:t>2.</w:t>
            </w:r>
            <w:r w:rsidRPr="001330BD">
              <w:tab/>
              <w:t>Iebilstam pret MK noteikumu projektā 28.3 punktā un anotācijā VVD noteikto jauno funkciju, proti, ka 28.1 punktā minēto informāciju vispārīgās ziņošanas prasību ietvaros kopā ar informāciju par tā iepriekšējā gadā piegādāto biodegvielu un bioloģisko šķidro kurināmo atbilstību ilgtspējības prasībām iesniedz ne tikai Ekonomikas ministrijā, bet arī VVD.</w:t>
            </w:r>
          </w:p>
          <w:p w14:paraId="1BC8535C" w14:textId="77777777" w:rsidR="007027AF" w:rsidRPr="001330BD" w:rsidRDefault="007027AF" w:rsidP="007027AF">
            <w:pPr>
              <w:widowControl w:val="0"/>
              <w:spacing w:before="40" w:after="40"/>
            </w:pPr>
            <w:r w:rsidRPr="001330BD">
              <w:t>Netieši VVD tiek noteikta arī funkcija pārbaudīt ziņojuma atbilstību šo MK noteikumu izvirzītajām prasībām, VVD dati būs jāapkopo un pēc pieprasījuma jāsniedz citām valsts institūcijām (piemēram, Ekonomikas ministrijai, Lauku atbalsta dienestam).</w:t>
            </w:r>
          </w:p>
          <w:p w14:paraId="05D1D434" w14:textId="77777777" w:rsidR="007027AF" w:rsidRPr="001330BD" w:rsidRDefault="007027AF" w:rsidP="007027AF">
            <w:pPr>
              <w:widowControl w:val="0"/>
              <w:spacing w:before="40" w:after="40"/>
            </w:pPr>
            <w:r w:rsidRPr="001330BD">
              <w:t>3.</w:t>
            </w:r>
            <w:r w:rsidRPr="001330BD">
              <w:tab/>
              <w:t xml:space="preserve">Atkārtoti norādām, ka saskaņā ar likuma „Par piesārņojumu” 55. un </w:t>
            </w:r>
            <w:r w:rsidRPr="001330BD">
              <w:lastRenderedPageBreak/>
              <w:t xml:space="preserve">56. pantu (turpmāk – Likums), kā arī saskaņā ar Ministru kabineta 2018. gada 25. septembra noteikumiem Nr. 597 „Transporta enerģijas aprites cikla siltumnīcefekta gāzu emisiju daudzuma un tā samazinājuma aprēķināšanas un ziņošanas kārtībai” (turpmāk – MK noteikumi Nr. 597), VVD funkcijas neietver ziņojuma par biodegvielu un bioloģiskā šķidrā kurināmā atbilstības ilgtspējas kritērijiem ietvaros sniegto datu apkopošanu. </w:t>
            </w:r>
          </w:p>
          <w:p w14:paraId="5DC6825D" w14:textId="77777777" w:rsidR="007027AF" w:rsidRPr="001330BD" w:rsidRDefault="007027AF" w:rsidP="007027AF">
            <w:pPr>
              <w:widowControl w:val="0"/>
              <w:spacing w:before="40" w:after="40"/>
            </w:pPr>
            <w:r w:rsidRPr="001330BD">
              <w:t xml:space="preserve">Uzsveram, ka Likumā un MK noteikumos Nr. 597 noteiktās funkcijas atteicas tikai uz transporta enerģijas aprites cikla siltumnīcefekta gāzu emisiju daudzumu un to samazinājumu un </w:t>
            </w:r>
            <w:proofErr w:type="spellStart"/>
            <w:r w:rsidRPr="001330BD">
              <w:t>augšposma</w:t>
            </w:r>
            <w:proofErr w:type="spellEnd"/>
            <w:r w:rsidRPr="001330BD">
              <w:t xml:space="preserve"> emisiju samazinājumu, kas atspoguļots degvielas piegādātāja ziņojuma ietvaros. Papildus uzsveram, ka degvielas piegādātāja ziņojuma ietvaros iesniegtie un apkopotie dati veido tikai daļu no ziņojuma par biodegvielu un bioloģiskā šķidrā kurināmā atbilstības ilgtspējas kritērijiem ietvertajiem datiem. Likumā un MK noteikumos Nr. 597 noteiktās funkcijas ietvaros VVD tiks iesniegta informācija tikai par biodegvielu (nevis par bioloģisko šķidro kurināmo).</w:t>
            </w:r>
          </w:p>
          <w:p w14:paraId="238421D3" w14:textId="77777777" w:rsidR="007027AF" w:rsidRPr="001330BD" w:rsidRDefault="007027AF" w:rsidP="007027AF">
            <w:pPr>
              <w:widowControl w:val="0"/>
              <w:spacing w:before="40" w:after="40"/>
            </w:pPr>
            <w:r w:rsidRPr="001330BD">
              <w:t xml:space="preserve">Ņemot vērā iepriekš minēto, MK noteikumu projektā un tā anotācijā ir jāsvītro VVD kā iestāde, kurai ir </w:t>
            </w:r>
            <w:r w:rsidRPr="001330BD">
              <w:lastRenderedPageBreak/>
              <w:t>jāiesniedz ziņojums par biodegvielu un bioloģiskā šķidrā kurināmā atbilstības ilgtspējas kritērijiem, un kurai ir jāapkopo ziņojuma ietvaros sniegtie dati.</w:t>
            </w:r>
          </w:p>
          <w:p w14:paraId="1C613770" w14:textId="77777777" w:rsidR="007027AF" w:rsidRPr="001330BD" w:rsidRDefault="007027AF" w:rsidP="007027AF">
            <w:pPr>
              <w:widowControl w:val="0"/>
              <w:spacing w:before="40" w:after="40"/>
            </w:pPr>
            <w:r w:rsidRPr="001330BD">
              <w:t>4.</w:t>
            </w:r>
            <w:r w:rsidRPr="001330BD">
              <w:tab/>
              <w:t xml:space="preserve">MK noteikumu projekta anotācijas II. nodaļas 2. punktā sniegta informācija, ka dati, ko VVD saņems atbilstoši MK noteikumu projektā noteiktajam, palīdzēs veikt MK noteikumos Nr. 597 noteikto izvērtēšanu. Vēršam uzmanību, ka saskaņā ar MK noteikumu Nr. 597 9. punktu degvielas piegādātājs transporta enerģijas aprites cikla emisiju intensitātes samazinājumā ieskaita tikai tādu biodegvielas izmantošanu, kas atbilst normatīvajos aktos par ilgtspēju noteiktajiem ilgtspējas kritērijiem. Savukārt MK noteikumu Nr. 597 19. punktā noteikts, ka degvielas piegādātājs nodrošina, lai degvielas piegādātāja ziņojumā aprēķinos izmantotie dati un veiktie aprēķini būtu pilnībā saskaņoti ar normatīvo aktu par transporta enerģijas kvalitātes prasībām, normatīvo aktu par ilgtspēju un normatīvo aktu par līdzdalības mehānismu ietvaros iesniegtajiem datiem un informāciju. Papildus MK noteikumu Nr. 597 27.punktā noteikts, ka degvielas piegādātājs degvielas piegādātāja ziņojumu un neatkarīgas </w:t>
            </w:r>
            <w:r w:rsidRPr="001330BD">
              <w:lastRenderedPageBreak/>
              <w:t>inspicēšanas institūcijas atzinumu, un, ja tiek izmantota biodegviela, arī biodegvielas ilgtspējas kritērija izpildi pamatojošus dokumentus, iesniedz VVD.</w:t>
            </w:r>
          </w:p>
          <w:p w14:paraId="58988F70" w14:textId="77777777" w:rsidR="007027AF" w:rsidRPr="001330BD" w:rsidRDefault="007027AF" w:rsidP="007027AF">
            <w:pPr>
              <w:widowControl w:val="0"/>
              <w:spacing w:before="40" w:after="40"/>
            </w:pPr>
            <w:r w:rsidRPr="001330BD">
              <w:t xml:space="preserve">Norādām, ka MK noteikumos Nr. 597 noteikto funkciju veikšanai, VVD nav nepieciešama MK noteikumu projektā norādītā informācija, jo atbilstoši MK noteikumu Nr. 597 prasībām, degvielas piegādātājs iesniegs visu nepieciešamo informāciju, kā arī attiecīgos dokumentus, kas nodrošinās VVD noteikto funkciju izpildi, kā arī apstiprinās biodegvielas atbilstību ilgtspējas kritērijiem. </w:t>
            </w:r>
          </w:p>
          <w:p w14:paraId="6FC3AE07" w14:textId="77777777" w:rsidR="007027AF" w:rsidRPr="001330BD" w:rsidRDefault="007027AF" w:rsidP="007027AF">
            <w:pPr>
              <w:widowControl w:val="0"/>
              <w:spacing w:before="40" w:after="40"/>
            </w:pPr>
            <w:r w:rsidRPr="001330BD">
              <w:t xml:space="preserve">Vēršam uzmanību, ka saskaņā ar MK noteikumu projektu, VVD tiks iesniegta dublējoša informācija, kas VVD nav nepieciešama MK noteikumos Nr. 597 funkciju izpildē. Papildus norādām, ka šādas informācijas iesniegšana ne tikai radīs papildu slogu VVD un degvielas piegādātājiem, bet arī radīs papildu apjukumu degvielas piegādātājiem, jo viņiem viens un tas pats ziņojums būs jāiesniedz gan VVD, gan Ekonomikas ministrijā. Degvielas piegādātājiem var rasties neizpratne, kādu atgriezenisko saiti gaidīt no VVD un Ekonomikas ministrijas attiecībā uz iesniegto ziņojumu. </w:t>
            </w:r>
          </w:p>
          <w:p w14:paraId="0A73E132" w14:textId="77777777" w:rsidR="007027AF" w:rsidRPr="001330BD" w:rsidRDefault="007027AF" w:rsidP="007027AF">
            <w:pPr>
              <w:widowControl w:val="0"/>
              <w:spacing w:before="40" w:after="40"/>
            </w:pPr>
            <w:r w:rsidRPr="001330BD">
              <w:lastRenderedPageBreak/>
              <w:t>5.</w:t>
            </w:r>
            <w:r w:rsidRPr="001330BD">
              <w:tab/>
              <w:t>Vēršam uzmanību, ka biodegvielu un bioloģisko šķidro kurināmo atbilstību ilgtspējības prasībām uzraudzība un kontrole nav VVD kompetence. Saskaņā ar  2004. gada 23. novembra Ministru kabineta noteikumiem Nr. 962 „Valsts vides dienesta nolikums”, VVD noteiktas kontroles funkcijas vides piesārņojuma jomā par dabas resursu ieguvi un to izmantošanu, dabas aizsardzību, piesārņojošo vielu emisiju vidē, bīstamo un sadzīves atkritumu apsaimniekošanu, izlietotā iepakojuma apsaimniekošanu, noteikto prasību ievērošanu darbībām ar ķīmiskajām vielām un ķīmiskajiem produktiem, kā arī izdot un saskaņot atļaujas (licences), tehniskos noteikumus, citus administratīvos aktus dabas resursu izmantošanai un piesārņojošo darbību veikšanai.</w:t>
            </w:r>
          </w:p>
          <w:p w14:paraId="12443678" w14:textId="77777777" w:rsidR="007027AF" w:rsidRPr="001330BD" w:rsidRDefault="007027AF" w:rsidP="007027AF">
            <w:pPr>
              <w:widowControl w:val="0"/>
              <w:spacing w:before="40" w:after="40"/>
            </w:pPr>
            <w:r w:rsidRPr="001330BD">
              <w:t>6.</w:t>
            </w:r>
            <w:r w:rsidRPr="001330BD">
              <w:tab/>
              <w:t xml:space="preserve">Norādām, ka MK noteikumu projektā, VVD noteiktās funkcijas būs jāveic vienlaicīgi ar MK noteikumos Nr. 597 noteiktajām funkcijām (t.i. MK noteikumu projektā noteiktais ziņojums tiks iesniegtas vienlaicīgi ar ziņojumu par iepriekšējā kalendāra gadā </w:t>
            </w:r>
            <w:proofErr w:type="spellStart"/>
            <w:r w:rsidRPr="001330BD">
              <w:t>galapatēriņam</w:t>
            </w:r>
            <w:proofErr w:type="spellEnd"/>
            <w:r w:rsidRPr="001330BD">
              <w:t xml:space="preserve"> transportā Latvijā piegādātās transporta enerģijas daudzumu un siltumnīcefekta gāzu emisiju intensitāti tajā), kā rezultātā </w:t>
            </w:r>
            <w:r w:rsidRPr="001330BD">
              <w:lastRenderedPageBreak/>
              <w:t>VVD vajadzēs pārbaudīt divus dažāda satura ziņojumus.</w:t>
            </w:r>
          </w:p>
          <w:p w14:paraId="00AF9C4F" w14:textId="77777777" w:rsidR="007027AF" w:rsidRPr="001330BD" w:rsidRDefault="007027AF" w:rsidP="007027AF">
            <w:pPr>
              <w:widowControl w:val="0"/>
              <w:spacing w:before="40" w:after="40"/>
            </w:pPr>
            <w:r w:rsidRPr="001330BD">
              <w:t>7.</w:t>
            </w:r>
            <w:r w:rsidRPr="001330BD">
              <w:tab/>
              <w:t xml:space="preserve">Saskaņā ar Likumā un MK noteikumos Nr. 597 noteikto funkciju VVD tiks iesniegta informācija, tai skaitā arī par biodegvielu un nav paredzēts, ka šīs funkcijas ietvaros VVD tiks iesniegti dati par bioloģisko šķidro kurināmu, kurus būs arī jāapkopo. Attiecīgi apgalvojums, kas izteikts MK noteikumu projekta anotācijas II. nodaļas 2.punktā, ka attiecībā uz VVD slogs palielināsies nelielā apjomā, nav pamatots. Nav sniegts </w:t>
            </w:r>
            <w:proofErr w:type="spellStart"/>
            <w:r w:rsidRPr="001330BD">
              <w:t>izvērtējums</w:t>
            </w:r>
            <w:proofErr w:type="spellEnd"/>
            <w:r w:rsidRPr="001330BD">
              <w:t xml:space="preserve"> par administratīvā sloga palielināšanos un administratīvo izmaksu monetārs novērtējums attiecībā uz MK noteikumu projektā VVD papildus noteikto funkciju.</w:t>
            </w:r>
          </w:p>
          <w:p w14:paraId="6C0C3F3D" w14:textId="77777777" w:rsidR="007027AF" w:rsidRPr="001330BD" w:rsidRDefault="007027AF" w:rsidP="007027AF">
            <w:pPr>
              <w:widowControl w:val="0"/>
              <w:spacing w:before="40" w:after="40"/>
            </w:pPr>
            <w:r w:rsidRPr="001330BD">
              <w:t xml:space="preserve">Vēršam uzmanību, ka atbilstoši likuma „Grozījumi likumā „Par piesārņojumu”” (stājās spēkā 2018. gada 6. martā) anotācijā sniegtajai informācijai: </w:t>
            </w:r>
          </w:p>
          <w:p w14:paraId="2CE2FE60" w14:textId="77777777" w:rsidR="007027AF" w:rsidRPr="001330BD" w:rsidRDefault="007027AF" w:rsidP="007027AF">
            <w:pPr>
              <w:widowControl w:val="0"/>
              <w:spacing w:before="40" w:after="40"/>
            </w:pPr>
            <w:r w:rsidRPr="001330BD">
              <w:t>-</w:t>
            </w:r>
            <w:r w:rsidRPr="001330BD">
              <w:tab/>
              <w:t xml:space="preserve">Likumā un MK noteikumos Nr. 597 noteikto funkciju VVD paredzēts veikt tikai konkrētu laika periodu – sākot ar 2018. gadu līdz 2020. gadam, kā arī 2021. gadā būs jāizvērtē degvielas piegādātājiem noteikto pienākumu izpilde. </w:t>
            </w:r>
          </w:p>
          <w:p w14:paraId="1B456798" w14:textId="77777777" w:rsidR="007027AF" w:rsidRPr="001330BD" w:rsidRDefault="007027AF" w:rsidP="007027AF">
            <w:pPr>
              <w:widowControl w:val="0"/>
              <w:spacing w:before="40" w:after="40"/>
            </w:pPr>
            <w:r w:rsidRPr="001330BD">
              <w:t>-</w:t>
            </w:r>
            <w:r w:rsidRPr="001330BD">
              <w:tab/>
              <w:t xml:space="preserve">VVD piešķirtais finansējums attiecas tikai uz Likumā un MK </w:t>
            </w:r>
            <w:r w:rsidRPr="001330BD">
              <w:lastRenderedPageBreak/>
              <w:t>noteikumos Nr. 597 noteiktās funkcijas izpildi laika posmā no 2018. gada līdz 2021. gadam.</w:t>
            </w:r>
          </w:p>
          <w:p w14:paraId="3AE08D23" w14:textId="77777777" w:rsidR="007027AF" w:rsidRPr="001330BD" w:rsidRDefault="007027AF" w:rsidP="007027AF">
            <w:pPr>
              <w:widowControl w:val="0"/>
              <w:spacing w:before="40" w:after="40"/>
            </w:pPr>
            <w:r w:rsidRPr="001330BD">
              <w:t>8.</w:t>
            </w:r>
            <w:r w:rsidRPr="001330BD">
              <w:tab/>
              <w:t xml:space="preserve">Lai mazinātu administratīvo slogu un vienkāršotu ziņojuma iesniegšanas kārtību degvielas piegādātājiem, būtu rekomendējams noteikt to, ka ziņojums ir jāiesniedz vienā institūcijā. Attiecīgi ierosinām minēto funkciju pilnā apmērā (tajā skaitā arī ziņojumā par biodegvielu un bioloģiskā šķidrā kurināmā atbilstības ilgtspējas kritērijiem iesniegto datu apkopošanu) saglabāt Ekonomikas ministrijas kompetencē, ņemot vērā to, ka atbilstoši MK noteikumu Nr. 545 28. punktam, šī funkcija ir noteikta Ekonomikas ministrijas kompetencē. </w:t>
            </w:r>
          </w:p>
          <w:p w14:paraId="569B1B86" w14:textId="77777777" w:rsidR="007027AF" w:rsidRPr="001330BD" w:rsidRDefault="007027AF" w:rsidP="007027AF">
            <w:pPr>
              <w:widowControl w:val="0"/>
              <w:spacing w:before="40" w:after="40"/>
            </w:pPr>
            <w:r w:rsidRPr="001330BD">
              <w:t>9.</w:t>
            </w:r>
            <w:r w:rsidRPr="001330BD">
              <w:tab/>
              <w:t xml:space="preserve">Papildus vēršam uzmanību, ka funkciju ietvaros, kas VVD ir noteiktas saskaņā ar Likumu un MK noteikumiem Nr. 597, nav paredzēts veidot informācijas sistēmu vai datu bāzi iesniegto datu apkopošanai un uzturēšanai. Informāciju par transporta enerģijas aprites cikla siltumnīcefekta gāzu emisiju daudzumu un to samazinājumu un </w:t>
            </w:r>
            <w:proofErr w:type="spellStart"/>
            <w:r w:rsidRPr="001330BD">
              <w:t>augšposma</w:t>
            </w:r>
            <w:proofErr w:type="spellEnd"/>
            <w:r w:rsidRPr="001330BD">
              <w:t xml:space="preserve"> emisiju samazinājumu VVD apkopos MS Office Excel datnes formātā (t.i., noteiktajā Eiropas Komisijas ziņojuma veidlapas formā).</w:t>
            </w:r>
          </w:p>
          <w:p w14:paraId="018CC435" w14:textId="77777777" w:rsidR="007027AF" w:rsidRPr="001330BD" w:rsidRDefault="007027AF" w:rsidP="007027AF">
            <w:pPr>
              <w:widowControl w:val="0"/>
              <w:spacing w:before="40" w:after="40"/>
            </w:pPr>
            <w:r w:rsidRPr="001330BD">
              <w:t>10.</w:t>
            </w:r>
            <w:r w:rsidRPr="001330BD">
              <w:tab/>
              <w:t xml:space="preserve">Papildus ierosinām, ka </w:t>
            </w:r>
            <w:r w:rsidRPr="001330BD">
              <w:lastRenderedPageBreak/>
              <w:t xml:space="preserve">informāciju par </w:t>
            </w:r>
            <w:proofErr w:type="spellStart"/>
            <w:r w:rsidRPr="001330BD">
              <w:t>galapatēriņam</w:t>
            </w:r>
            <w:proofErr w:type="spellEnd"/>
            <w:r w:rsidRPr="001330BD">
              <w:t xml:space="preserve"> transportā nodoto normatīvajos aktos par transporta enerģiju minēto biodegvielu, VVD var iesniegt Ekonomikas ministrijai apkopotā veidā MS Office Excel datnes formātā. Šo informāciju VVD apkopos saskaņā ar MK noteikumiem Nr. 597.</w:t>
            </w:r>
          </w:p>
          <w:p w14:paraId="624E6EB3" w14:textId="77777777" w:rsidR="007027AF" w:rsidRPr="001330BD" w:rsidRDefault="007027AF" w:rsidP="007027AF">
            <w:pPr>
              <w:widowControl w:val="0"/>
              <w:spacing w:before="40" w:after="40"/>
            </w:pPr>
            <w:r w:rsidRPr="001330BD">
              <w:t>11.</w:t>
            </w:r>
            <w:r w:rsidRPr="001330BD">
              <w:tab/>
              <w:t xml:space="preserve">MK noteikumu projekta izziņā par atzinumos sniegtajiem iebildumiem 17. punktā sniegti VVD iebildumi, kurus savukārt Ekonomikas ministrijai iesniedz Vides aizsardzības un reģionālās attīstības ministrija. Minētie iebildumi ir ievietoti izziņas sadaļā pie jautājumiem, par kuriem saskaņošanā vienošanās ir panākta. Nav atbilstoši šos iebildumus likt šajā sadaļā, jo vienošanās starp institūcijām starpinstitūciju sanāksmē nav panākta. </w:t>
            </w:r>
          </w:p>
          <w:p w14:paraId="07FEFCC9" w14:textId="77777777" w:rsidR="007027AF" w:rsidRPr="001330BD" w:rsidRDefault="007027AF" w:rsidP="007027AF">
            <w:pPr>
              <w:widowControl w:val="0"/>
              <w:spacing w:before="40" w:after="40"/>
            </w:pPr>
            <w:r w:rsidRPr="001330BD">
              <w:t>12.</w:t>
            </w:r>
            <w:r w:rsidRPr="001330BD">
              <w:tab/>
              <w:t xml:space="preserve">MK noteikumu projekta izziņā par atzinumos sniegtajiem iebildumiem 2. punktā ir sniegts Lauku atbalsta dienesta viedoklis par to, ka no Ekonomikas ministrijas sniegtās prezentācijas noprotams, ka datus vāks Valsts ieņēmumu dienests un VVD. Nav saprotams, kādēļ Ekonomikas ministrija prezentēja informāciju, ka VVD apkopos MK noteikumu projektā noteiktos datus, ja vēl nav panākta vienošanās par to. </w:t>
            </w:r>
          </w:p>
          <w:p w14:paraId="52B99D58" w14:textId="5C346E61" w:rsidR="007027AF" w:rsidRPr="001330BD" w:rsidRDefault="007027AF" w:rsidP="007027AF">
            <w:pPr>
              <w:widowControl w:val="0"/>
              <w:spacing w:before="40" w:after="40"/>
            </w:pPr>
            <w:r w:rsidRPr="001330BD">
              <w:t xml:space="preserve">Gadījumā, ja turpmāk ir paredzētas </w:t>
            </w:r>
            <w:r w:rsidRPr="001330BD">
              <w:lastRenderedPageBreak/>
              <w:t>sanāksmes, un informācijas prezentācijas attiecība uz MK noteikumu projektu un tajā noteiktajām funkcijām, lūdzam ņemt vērā VVD izteikto vēlmi piedalīties šajās sanāksmēs.</w:t>
            </w:r>
          </w:p>
        </w:tc>
        <w:tc>
          <w:tcPr>
            <w:tcW w:w="2899" w:type="dxa"/>
            <w:vMerge/>
            <w:tcBorders>
              <w:left w:val="single" w:sz="6" w:space="0" w:color="000000"/>
              <w:bottom w:val="single" w:sz="6" w:space="0" w:color="000000"/>
              <w:right w:val="single" w:sz="6" w:space="0" w:color="000000"/>
            </w:tcBorders>
          </w:tcPr>
          <w:p w14:paraId="35D62B63" w14:textId="77777777" w:rsidR="007027AF" w:rsidRPr="001330BD" w:rsidRDefault="007027AF" w:rsidP="007027AF">
            <w:pPr>
              <w:spacing w:before="40" w:after="40"/>
              <w:jc w:val="center"/>
              <w:rPr>
                <w:b/>
                <w:iCs/>
              </w:rPr>
            </w:pPr>
          </w:p>
        </w:tc>
        <w:tc>
          <w:tcPr>
            <w:tcW w:w="4368" w:type="dxa"/>
            <w:vMerge/>
            <w:tcBorders>
              <w:left w:val="single" w:sz="4" w:space="0" w:color="auto"/>
              <w:bottom w:val="single" w:sz="4" w:space="0" w:color="auto"/>
            </w:tcBorders>
          </w:tcPr>
          <w:p w14:paraId="744B3673" w14:textId="77777777" w:rsidR="007027AF" w:rsidRPr="001330BD" w:rsidRDefault="007027AF" w:rsidP="007027AF">
            <w:pPr>
              <w:spacing w:before="40" w:after="40"/>
              <w:rPr>
                <w:color w:val="000000" w:themeColor="text1"/>
              </w:rPr>
            </w:pPr>
          </w:p>
        </w:tc>
      </w:tr>
      <w:tr w:rsidR="007027AF" w:rsidRPr="001330BD" w14:paraId="53E7FC93"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tcPr>
          <w:p w14:paraId="2283EF1D" w14:textId="28E3EC29" w:rsidR="007027AF" w:rsidRPr="001330BD" w:rsidRDefault="00B67450" w:rsidP="007027AF">
            <w:pPr>
              <w:pStyle w:val="naisc"/>
              <w:spacing w:before="40" w:after="40"/>
              <w:rPr>
                <w:b/>
              </w:rPr>
            </w:pPr>
            <w:r w:rsidRPr="001330BD">
              <w:rPr>
                <w:b/>
              </w:rPr>
              <w:lastRenderedPageBreak/>
              <w:t>22</w:t>
            </w:r>
          </w:p>
        </w:tc>
        <w:tc>
          <w:tcPr>
            <w:tcW w:w="3041" w:type="dxa"/>
            <w:tcBorders>
              <w:top w:val="single" w:sz="6" w:space="0" w:color="000000"/>
              <w:left w:val="single" w:sz="6" w:space="0" w:color="000000"/>
              <w:bottom w:val="single" w:sz="6" w:space="0" w:color="000000"/>
              <w:right w:val="single" w:sz="6" w:space="0" w:color="000000"/>
            </w:tcBorders>
          </w:tcPr>
          <w:p w14:paraId="54C5E66A" w14:textId="77777777" w:rsidR="007027AF" w:rsidRPr="001330BD" w:rsidRDefault="007027AF" w:rsidP="007027AF">
            <w:pPr>
              <w:spacing w:before="40" w:after="40"/>
              <w:rPr>
                <w:color w:val="000000" w:themeColor="text1"/>
              </w:rPr>
            </w:pPr>
            <w:r w:rsidRPr="001330BD">
              <w:rPr>
                <w:color w:val="000000" w:themeColor="text1"/>
              </w:rPr>
              <w:t>Noteikumu projekta 21.punktā izteiktā Noteikumu Nr.545 10.pielikuma 1.2.apakšpunkts:</w:t>
            </w:r>
          </w:p>
          <w:p w14:paraId="3A79023A" w14:textId="13A6238C" w:rsidR="007027AF" w:rsidRPr="001330BD" w:rsidRDefault="007027AF" w:rsidP="007027AF">
            <w:pPr>
              <w:pStyle w:val="norm"/>
              <w:shd w:val="clear" w:color="auto" w:fill="FFFFFF"/>
              <w:tabs>
                <w:tab w:val="left" w:pos="993"/>
              </w:tabs>
              <w:spacing w:before="120" w:beforeAutospacing="0" w:after="120" w:afterAutospacing="0"/>
              <w:jc w:val="both"/>
              <w:textAlignment w:val="baseline"/>
              <w:rPr>
                <w:rFonts w:eastAsia="Calibri"/>
                <w:lang w:eastAsia="en-US"/>
              </w:rPr>
            </w:pPr>
            <w:r w:rsidRPr="001330BD">
              <w:rPr>
                <w:color w:val="000000" w:themeColor="text1"/>
              </w:rPr>
              <w:t>“</w:t>
            </w:r>
            <w:r w:rsidRPr="001330BD">
              <w:rPr>
                <w:rFonts w:eastAsia="Calibri"/>
                <w:lang w:eastAsia="en-US"/>
              </w:rPr>
              <w:t>1.2. jauktu sadzīves atkritumu biomasas frakcija, bet tas neattiecas uz dalītiem sadzīves atkritumiem, attiecībā uz kuriem jāievēro Atkritumu apsaimniekošanas valsts plānā 2013.–2020. gadam noteiktie pārstrādes mērķi;”</w:t>
            </w:r>
          </w:p>
        </w:tc>
        <w:tc>
          <w:tcPr>
            <w:tcW w:w="4047" w:type="dxa"/>
            <w:tcBorders>
              <w:top w:val="single" w:sz="6" w:space="0" w:color="000000"/>
              <w:left w:val="single" w:sz="6" w:space="0" w:color="000000"/>
              <w:bottom w:val="single" w:sz="6" w:space="0" w:color="000000"/>
              <w:right w:val="single" w:sz="6" w:space="0" w:color="000000"/>
            </w:tcBorders>
          </w:tcPr>
          <w:p w14:paraId="1AF404F5" w14:textId="77777777" w:rsidR="007027AF" w:rsidRPr="001330BD" w:rsidRDefault="007027AF" w:rsidP="007027AF">
            <w:pPr>
              <w:widowControl w:val="0"/>
              <w:spacing w:before="40" w:after="40"/>
              <w:jc w:val="center"/>
              <w:rPr>
                <w:b/>
              </w:rPr>
            </w:pPr>
            <w:r w:rsidRPr="001330BD">
              <w:rPr>
                <w:b/>
              </w:rPr>
              <w:t>Vides aizsardzības un reģionālās attīstības ministrija</w:t>
            </w:r>
          </w:p>
          <w:p w14:paraId="1E6EE2E7" w14:textId="171E7596" w:rsidR="007027AF" w:rsidRPr="001330BD" w:rsidRDefault="007027AF" w:rsidP="007027AF">
            <w:pPr>
              <w:widowControl w:val="0"/>
              <w:spacing w:before="40" w:after="40"/>
              <w:jc w:val="center"/>
              <w:rPr>
                <w:b/>
              </w:rPr>
            </w:pPr>
            <w:r w:rsidRPr="001330BD">
              <w:rPr>
                <w:b/>
              </w:rPr>
              <w:t>(2018.gada 12.decembra atzinums)</w:t>
            </w:r>
          </w:p>
          <w:p w14:paraId="4F574AFA" w14:textId="587F93BD" w:rsidR="007027AF" w:rsidRPr="001330BD" w:rsidRDefault="007027AF" w:rsidP="007027AF">
            <w:pPr>
              <w:jc w:val="both"/>
              <w:rPr>
                <w:b/>
              </w:rPr>
            </w:pPr>
            <w:r w:rsidRPr="001330BD">
              <w:t>1. Lūdzam 10.pielikuma 1.2.apakšpunktā aizstāt vārdus „Atkritumu apsaimniekošanas valsts plānā 2013.–2020. gadam noteiktie pārstrādes mērķi;” ar vārdiem „</w:t>
            </w:r>
            <w:bookmarkStart w:id="12" w:name="_Hlk532457363"/>
            <w:r w:rsidRPr="001330BD">
              <w:t>jāievēro normatīvajos aktos par atkritumu apsaimniekošanu noteiktie pārstrādes mērķi</w:t>
            </w:r>
            <w:bookmarkEnd w:id="12"/>
            <w:r w:rsidRPr="001330BD">
              <w:t>”, tā kā normatīvajos aktos noteiktie mērķi ir juridiski saistoši un ir noteikti atbildīgie par šo mērķu sasniegšanu.</w:t>
            </w:r>
          </w:p>
        </w:tc>
        <w:tc>
          <w:tcPr>
            <w:tcW w:w="2899" w:type="dxa"/>
            <w:tcBorders>
              <w:top w:val="single" w:sz="6" w:space="0" w:color="000000"/>
              <w:left w:val="single" w:sz="6" w:space="0" w:color="000000"/>
              <w:bottom w:val="single" w:sz="6" w:space="0" w:color="000000"/>
              <w:right w:val="single" w:sz="6" w:space="0" w:color="000000"/>
            </w:tcBorders>
          </w:tcPr>
          <w:p w14:paraId="62E445D7" w14:textId="151380A3" w:rsidR="007027AF" w:rsidRPr="001330BD" w:rsidRDefault="007027AF" w:rsidP="007027AF">
            <w:pPr>
              <w:spacing w:before="40" w:after="40"/>
              <w:jc w:val="center"/>
              <w:rPr>
                <w:b/>
                <w:iCs/>
              </w:rPr>
            </w:pPr>
            <w:r w:rsidRPr="001330BD">
              <w:rPr>
                <w:b/>
                <w:iCs/>
              </w:rPr>
              <w:t>Ņemts vērā</w:t>
            </w:r>
          </w:p>
        </w:tc>
        <w:tc>
          <w:tcPr>
            <w:tcW w:w="4368" w:type="dxa"/>
            <w:tcBorders>
              <w:top w:val="single" w:sz="4" w:space="0" w:color="auto"/>
              <w:left w:val="single" w:sz="4" w:space="0" w:color="auto"/>
              <w:bottom w:val="single" w:sz="4" w:space="0" w:color="auto"/>
            </w:tcBorders>
          </w:tcPr>
          <w:p w14:paraId="2758B297" w14:textId="77777777" w:rsidR="007027AF" w:rsidRPr="001330BD" w:rsidRDefault="007027AF" w:rsidP="007027AF">
            <w:pPr>
              <w:spacing w:before="40" w:after="40"/>
              <w:rPr>
                <w:color w:val="000000" w:themeColor="text1"/>
              </w:rPr>
            </w:pPr>
            <w:r w:rsidRPr="001330BD">
              <w:rPr>
                <w:color w:val="000000" w:themeColor="text1"/>
              </w:rPr>
              <w:t>Noteikumu projekta 21.punktā izteiktā Noteikumu Nr.545 10.pielikuma 1.2.apakšpunkts:</w:t>
            </w:r>
          </w:p>
          <w:p w14:paraId="6A582DF5" w14:textId="166C3AD5" w:rsidR="007027AF" w:rsidRPr="001330BD" w:rsidRDefault="007027AF" w:rsidP="007027AF">
            <w:pPr>
              <w:pStyle w:val="norm"/>
              <w:shd w:val="clear" w:color="auto" w:fill="FFFFFF"/>
              <w:tabs>
                <w:tab w:val="left" w:pos="993"/>
              </w:tabs>
              <w:spacing w:before="120" w:beforeAutospacing="0" w:after="120" w:afterAutospacing="0"/>
              <w:jc w:val="both"/>
              <w:textAlignment w:val="baseline"/>
              <w:rPr>
                <w:rFonts w:eastAsia="Calibri"/>
                <w:lang w:eastAsia="en-US"/>
              </w:rPr>
            </w:pPr>
            <w:r w:rsidRPr="001330BD">
              <w:rPr>
                <w:color w:val="000000" w:themeColor="text1"/>
              </w:rPr>
              <w:t>“</w:t>
            </w:r>
            <w:r w:rsidRPr="001330BD">
              <w:rPr>
                <w:rFonts w:eastAsia="Calibri"/>
                <w:lang w:eastAsia="en-US"/>
              </w:rPr>
              <w:t>1.2. jauktu sadzīves atkritumu biomasas frakcija, bet tas neattiecas uz dalītiem sadzīves atkritumiem, attiecībā uz kuriem jāievēro normatīvajos aktos par atkritumu apsaimniekošanu noteiktie pārstrādes mērķi;”</w:t>
            </w:r>
          </w:p>
        </w:tc>
      </w:tr>
      <w:tr w:rsidR="007027AF" w:rsidRPr="001330BD" w14:paraId="000C2FA8" w14:textId="77777777" w:rsidTr="00EA50E3">
        <w:trPr>
          <w:jc w:val="center"/>
        </w:trPr>
        <w:tc>
          <w:tcPr>
            <w:tcW w:w="637" w:type="dxa"/>
            <w:vMerge w:val="restart"/>
            <w:tcBorders>
              <w:top w:val="single" w:sz="6" w:space="0" w:color="000000"/>
              <w:left w:val="single" w:sz="6" w:space="0" w:color="000000"/>
              <w:right w:val="single" w:sz="6" w:space="0" w:color="000000"/>
            </w:tcBorders>
          </w:tcPr>
          <w:p w14:paraId="4C41B641" w14:textId="29719BC3" w:rsidR="007027AF" w:rsidRPr="001330BD" w:rsidRDefault="00B67450" w:rsidP="007027AF">
            <w:pPr>
              <w:pStyle w:val="naisc"/>
              <w:spacing w:before="40" w:after="40"/>
              <w:rPr>
                <w:b/>
              </w:rPr>
            </w:pPr>
            <w:r w:rsidRPr="001330BD">
              <w:rPr>
                <w:b/>
              </w:rPr>
              <w:t>23</w:t>
            </w:r>
          </w:p>
        </w:tc>
        <w:tc>
          <w:tcPr>
            <w:tcW w:w="3041" w:type="dxa"/>
            <w:vMerge w:val="restart"/>
            <w:tcBorders>
              <w:top w:val="single" w:sz="6" w:space="0" w:color="000000"/>
              <w:left w:val="single" w:sz="6" w:space="0" w:color="000000"/>
              <w:right w:val="single" w:sz="6" w:space="0" w:color="000000"/>
            </w:tcBorders>
          </w:tcPr>
          <w:p w14:paraId="0FF9BA07" w14:textId="77777777" w:rsidR="007027AF" w:rsidRPr="001330BD" w:rsidRDefault="007027AF" w:rsidP="007027AF">
            <w:pPr>
              <w:spacing w:before="40" w:after="40"/>
              <w:rPr>
                <w:color w:val="000000" w:themeColor="text1"/>
              </w:rPr>
            </w:pPr>
          </w:p>
        </w:tc>
        <w:tc>
          <w:tcPr>
            <w:tcW w:w="4047" w:type="dxa"/>
            <w:tcBorders>
              <w:top w:val="single" w:sz="6" w:space="0" w:color="000000"/>
              <w:left w:val="single" w:sz="6" w:space="0" w:color="000000"/>
              <w:bottom w:val="single" w:sz="6" w:space="0" w:color="000000"/>
              <w:right w:val="single" w:sz="6" w:space="0" w:color="000000"/>
            </w:tcBorders>
          </w:tcPr>
          <w:p w14:paraId="2C5F4AA2" w14:textId="77777777" w:rsidR="007027AF" w:rsidRPr="001330BD" w:rsidRDefault="007027AF" w:rsidP="007027AF">
            <w:pPr>
              <w:widowControl w:val="0"/>
              <w:spacing w:before="60" w:after="60"/>
              <w:jc w:val="center"/>
              <w:rPr>
                <w:b/>
              </w:rPr>
            </w:pPr>
            <w:r w:rsidRPr="001330BD">
              <w:rPr>
                <w:b/>
              </w:rPr>
              <w:t>Lauku atbalsta dienesta viedoklis</w:t>
            </w:r>
          </w:p>
          <w:p w14:paraId="5EBEFFEB" w14:textId="77777777" w:rsidR="007027AF" w:rsidRPr="001330BD" w:rsidRDefault="007027AF" w:rsidP="007027AF">
            <w:pPr>
              <w:widowControl w:val="0"/>
              <w:spacing w:before="60" w:after="60"/>
              <w:jc w:val="center"/>
              <w:rPr>
                <w:b/>
              </w:rPr>
            </w:pPr>
            <w:r w:rsidRPr="001330BD">
              <w:rPr>
                <w:b/>
              </w:rPr>
              <w:t>(2018.gada 22.novembris)</w:t>
            </w:r>
          </w:p>
          <w:p w14:paraId="7A624CEC" w14:textId="606CB6C2" w:rsidR="007027AF" w:rsidRPr="001330BD" w:rsidRDefault="007027AF" w:rsidP="007027AF">
            <w:pPr>
              <w:widowControl w:val="0"/>
              <w:spacing w:before="40" w:after="40"/>
              <w:rPr>
                <w:b/>
              </w:rPr>
            </w:pPr>
            <w:r w:rsidRPr="001330BD">
              <w:t>5.</w:t>
            </w:r>
            <w:r w:rsidRPr="001330BD">
              <w:tab/>
              <w:t>Nav skaidrs par esošās redakcijas 18. punktā minētās atskaitīšanās kārtību. No EM sniegtās prezentācijas noprotams, ka datus vāks Valsts ieņēmumu dienests un Valsts vides dienests.</w:t>
            </w:r>
          </w:p>
        </w:tc>
        <w:tc>
          <w:tcPr>
            <w:tcW w:w="2899" w:type="dxa"/>
            <w:vMerge w:val="restart"/>
            <w:tcBorders>
              <w:top w:val="single" w:sz="6" w:space="0" w:color="000000"/>
              <w:left w:val="single" w:sz="6" w:space="0" w:color="000000"/>
              <w:right w:val="single" w:sz="6" w:space="0" w:color="000000"/>
            </w:tcBorders>
          </w:tcPr>
          <w:p w14:paraId="35AD3626" w14:textId="33973B79" w:rsidR="007027AF" w:rsidRPr="001330BD" w:rsidRDefault="007027AF" w:rsidP="007027AF">
            <w:pPr>
              <w:spacing w:before="60" w:after="60"/>
              <w:jc w:val="center"/>
              <w:rPr>
                <w:b/>
                <w:iCs/>
              </w:rPr>
            </w:pPr>
            <w:r w:rsidRPr="001330BD">
              <w:rPr>
                <w:b/>
                <w:iCs/>
              </w:rPr>
              <w:t>Ņemts vērā</w:t>
            </w:r>
          </w:p>
          <w:p w14:paraId="4BD1694D" w14:textId="71CD9838" w:rsidR="007027AF" w:rsidRPr="001330BD" w:rsidRDefault="007027AF" w:rsidP="007027AF">
            <w:pPr>
              <w:spacing w:before="60" w:after="60"/>
              <w:jc w:val="center"/>
              <w:rPr>
                <w:b/>
                <w:iCs/>
              </w:rPr>
            </w:pPr>
            <w:r w:rsidRPr="001330BD">
              <w:rPr>
                <w:b/>
                <w:iCs/>
              </w:rPr>
              <w:t>Pamatojums zemāk labots</w:t>
            </w:r>
          </w:p>
          <w:p w14:paraId="06FD2EE0" w14:textId="77777777" w:rsidR="007027AF" w:rsidRPr="001330BD" w:rsidRDefault="007027AF" w:rsidP="007027AF">
            <w:pPr>
              <w:spacing w:before="60" w:after="60"/>
              <w:rPr>
                <w:iCs/>
              </w:rPr>
            </w:pPr>
            <w:r w:rsidRPr="001330BD">
              <w:rPr>
                <w:iCs/>
              </w:rPr>
              <w:t xml:space="preserve">Noteikumu Nr.545 18.punkts attiecas uz informāciju, kas tiek iesniegta nacionālās sertificēšanas shēmas ietvaros, kuras reģistrē Lauku atbalsta dienests un arī apliecinājumus par </w:t>
            </w:r>
            <w:r w:rsidRPr="001330BD">
              <w:rPr>
                <w:iCs/>
              </w:rPr>
              <w:lastRenderedPageBreak/>
              <w:t>Latvijā ražotās biodegvielas vai bioloģiskā šķidrā kurināmā izejvielu atbilstību ilgtspējas kritērijiem izsniedz Lauku atbalsta dienests.</w:t>
            </w:r>
          </w:p>
          <w:p w14:paraId="282DE449" w14:textId="39FBEEA3" w:rsidR="007027AF" w:rsidRPr="001330BD" w:rsidRDefault="007027AF" w:rsidP="007027AF">
            <w:pPr>
              <w:spacing w:before="40" w:after="40"/>
              <w:rPr>
                <w:b/>
                <w:iCs/>
              </w:rPr>
            </w:pPr>
            <w:r w:rsidRPr="001330BD">
              <w:rPr>
                <w:iCs/>
              </w:rPr>
              <w:t>Noteikumu Nr.545 18.punkts, kas ir spēkā no 2011.gada nosaka, ka nacionālās sertificēšanas shēmas ietvaros Lauku atbalsta dienesta elektroniskā pieteikumu sistēmā reģistrējušies klienti iesniedz informāciju par katru veikto darījumu, lai nacionālās sertificēšanas sistēmas ietvaros būtu iespējams izsekot biodegvielu un biodegvielu izejvielu aprites ķēdei.</w:t>
            </w:r>
          </w:p>
        </w:tc>
        <w:tc>
          <w:tcPr>
            <w:tcW w:w="4368" w:type="dxa"/>
            <w:vMerge w:val="restart"/>
            <w:tcBorders>
              <w:top w:val="single" w:sz="4" w:space="0" w:color="auto"/>
              <w:left w:val="single" w:sz="4" w:space="0" w:color="auto"/>
            </w:tcBorders>
          </w:tcPr>
          <w:p w14:paraId="039B8363" w14:textId="77777777" w:rsidR="007027AF" w:rsidRPr="001330BD" w:rsidRDefault="007027AF" w:rsidP="007027AF">
            <w:pPr>
              <w:spacing w:before="40" w:after="40"/>
              <w:rPr>
                <w:color w:val="000000" w:themeColor="text1"/>
              </w:rPr>
            </w:pPr>
          </w:p>
        </w:tc>
      </w:tr>
      <w:tr w:rsidR="007027AF" w:rsidRPr="001330BD" w14:paraId="56CFBD32" w14:textId="77777777" w:rsidTr="00EA50E3">
        <w:trPr>
          <w:jc w:val="center"/>
        </w:trPr>
        <w:tc>
          <w:tcPr>
            <w:tcW w:w="637" w:type="dxa"/>
            <w:vMerge/>
            <w:tcBorders>
              <w:left w:val="single" w:sz="6" w:space="0" w:color="000000"/>
              <w:bottom w:val="single" w:sz="6" w:space="0" w:color="000000"/>
              <w:right w:val="single" w:sz="6" w:space="0" w:color="000000"/>
            </w:tcBorders>
          </w:tcPr>
          <w:p w14:paraId="6666C7AF" w14:textId="77777777" w:rsidR="007027AF" w:rsidRPr="001330BD" w:rsidRDefault="007027AF" w:rsidP="007027AF">
            <w:pPr>
              <w:pStyle w:val="naisc"/>
              <w:spacing w:before="40" w:after="40"/>
              <w:rPr>
                <w:b/>
              </w:rPr>
            </w:pPr>
          </w:p>
        </w:tc>
        <w:tc>
          <w:tcPr>
            <w:tcW w:w="3041" w:type="dxa"/>
            <w:vMerge/>
            <w:tcBorders>
              <w:left w:val="single" w:sz="6" w:space="0" w:color="000000"/>
              <w:bottom w:val="single" w:sz="6" w:space="0" w:color="000000"/>
              <w:right w:val="single" w:sz="6" w:space="0" w:color="000000"/>
            </w:tcBorders>
          </w:tcPr>
          <w:p w14:paraId="100774BF" w14:textId="77777777" w:rsidR="007027AF" w:rsidRPr="001330BD" w:rsidRDefault="007027AF" w:rsidP="007027AF">
            <w:pPr>
              <w:spacing w:before="40" w:after="40"/>
              <w:rPr>
                <w:color w:val="000000" w:themeColor="text1"/>
              </w:rPr>
            </w:pPr>
          </w:p>
        </w:tc>
        <w:tc>
          <w:tcPr>
            <w:tcW w:w="4047" w:type="dxa"/>
            <w:tcBorders>
              <w:top w:val="single" w:sz="6" w:space="0" w:color="000000"/>
              <w:left w:val="single" w:sz="6" w:space="0" w:color="000000"/>
              <w:bottom w:val="single" w:sz="6" w:space="0" w:color="000000"/>
              <w:right w:val="single" w:sz="6" w:space="0" w:color="000000"/>
            </w:tcBorders>
          </w:tcPr>
          <w:p w14:paraId="45AC08E4" w14:textId="77777777" w:rsidR="007027AF" w:rsidRPr="001330BD" w:rsidRDefault="007027AF" w:rsidP="007027AF">
            <w:pPr>
              <w:widowControl w:val="0"/>
              <w:spacing w:before="60" w:after="60"/>
              <w:jc w:val="center"/>
              <w:rPr>
                <w:b/>
              </w:rPr>
            </w:pPr>
            <w:r w:rsidRPr="001330BD">
              <w:rPr>
                <w:b/>
              </w:rPr>
              <w:t>Zemkopības ministrija</w:t>
            </w:r>
          </w:p>
          <w:p w14:paraId="73DDF98D" w14:textId="77777777" w:rsidR="007027AF" w:rsidRPr="001330BD" w:rsidRDefault="007027AF" w:rsidP="007027AF">
            <w:pPr>
              <w:widowControl w:val="0"/>
              <w:spacing w:before="60" w:after="60"/>
              <w:jc w:val="center"/>
              <w:rPr>
                <w:b/>
              </w:rPr>
            </w:pPr>
            <w:r w:rsidRPr="001330BD">
              <w:rPr>
                <w:b/>
              </w:rPr>
              <w:t>(2018.gada 11.decembra atzinums)</w:t>
            </w:r>
          </w:p>
          <w:p w14:paraId="091673A5" w14:textId="25BB978D" w:rsidR="007027AF" w:rsidRPr="001330BD" w:rsidRDefault="007027AF" w:rsidP="007027AF">
            <w:pPr>
              <w:widowControl w:val="0"/>
              <w:spacing w:before="40" w:after="40"/>
              <w:rPr>
                <w:b/>
              </w:rPr>
            </w:pPr>
            <w:r w:rsidRPr="001330BD">
              <w:t xml:space="preserve">1. Attiecībā uz noteikumu 18.punktā </w:t>
            </w:r>
            <w:r w:rsidRPr="001330BD">
              <w:lastRenderedPageBreak/>
              <w:t xml:space="preserve">minētajiem darījumiem ar biomasu, Lauku atbalsta dienests var apliecināt Latvijā ražotās izejvielas atbilstību ilgtspējas kritērijiem, bet nevar sniegt atzinumu par saražoto biodegvielu. </w:t>
            </w:r>
          </w:p>
        </w:tc>
        <w:tc>
          <w:tcPr>
            <w:tcW w:w="2899" w:type="dxa"/>
            <w:vMerge/>
            <w:tcBorders>
              <w:left w:val="single" w:sz="6" w:space="0" w:color="000000"/>
              <w:bottom w:val="single" w:sz="6" w:space="0" w:color="000000"/>
              <w:right w:val="single" w:sz="6" w:space="0" w:color="000000"/>
            </w:tcBorders>
          </w:tcPr>
          <w:p w14:paraId="3D5F3385" w14:textId="77777777" w:rsidR="007027AF" w:rsidRPr="001330BD" w:rsidRDefault="007027AF" w:rsidP="007027AF">
            <w:pPr>
              <w:spacing w:before="40" w:after="40"/>
              <w:jc w:val="center"/>
              <w:rPr>
                <w:b/>
                <w:iCs/>
              </w:rPr>
            </w:pPr>
          </w:p>
        </w:tc>
        <w:tc>
          <w:tcPr>
            <w:tcW w:w="4368" w:type="dxa"/>
            <w:vMerge/>
            <w:tcBorders>
              <w:left w:val="single" w:sz="4" w:space="0" w:color="auto"/>
              <w:bottom w:val="single" w:sz="4" w:space="0" w:color="auto"/>
            </w:tcBorders>
          </w:tcPr>
          <w:p w14:paraId="08484019" w14:textId="77777777" w:rsidR="007027AF" w:rsidRPr="001330BD" w:rsidRDefault="007027AF" w:rsidP="007027AF">
            <w:pPr>
              <w:spacing w:before="40" w:after="40"/>
              <w:rPr>
                <w:color w:val="000000" w:themeColor="text1"/>
              </w:rPr>
            </w:pPr>
          </w:p>
        </w:tc>
      </w:tr>
      <w:tr w:rsidR="007027AF" w:rsidRPr="001330BD" w14:paraId="54589C59" w14:textId="77777777" w:rsidTr="00B67450">
        <w:trPr>
          <w:jc w:val="center"/>
        </w:trPr>
        <w:tc>
          <w:tcPr>
            <w:tcW w:w="637" w:type="dxa"/>
            <w:tcBorders>
              <w:top w:val="single" w:sz="6" w:space="0" w:color="000000"/>
              <w:left w:val="single" w:sz="6" w:space="0" w:color="000000"/>
              <w:bottom w:val="single" w:sz="6" w:space="0" w:color="000000"/>
              <w:right w:val="single" w:sz="6" w:space="0" w:color="000000"/>
            </w:tcBorders>
          </w:tcPr>
          <w:p w14:paraId="6BAEB92F" w14:textId="258FEF5C" w:rsidR="007027AF" w:rsidRPr="001330BD" w:rsidRDefault="00AF210A" w:rsidP="007027AF">
            <w:pPr>
              <w:pStyle w:val="naisc"/>
              <w:spacing w:before="40" w:after="40"/>
              <w:rPr>
                <w:b/>
              </w:rPr>
            </w:pPr>
            <w:r w:rsidRPr="001330BD">
              <w:rPr>
                <w:b/>
              </w:rPr>
              <w:t>24</w:t>
            </w:r>
          </w:p>
        </w:tc>
        <w:tc>
          <w:tcPr>
            <w:tcW w:w="3041" w:type="dxa"/>
            <w:tcBorders>
              <w:top w:val="single" w:sz="6" w:space="0" w:color="000000"/>
              <w:left w:val="single" w:sz="6" w:space="0" w:color="000000"/>
              <w:bottom w:val="single" w:sz="6" w:space="0" w:color="000000"/>
              <w:right w:val="single" w:sz="6" w:space="0" w:color="000000"/>
            </w:tcBorders>
          </w:tcPr>
          <w:p w14:paraId="56D9BD2B" w14:textId="77777777" w:rsidR="007027AF" w:rsidRPr="001330BD" w:rsidRDefault="007027AF" w:rsidP="007027AF">
            <w:pPr>
              <w:shd w:val="clear" w:color="auto" w:fill="FFFFFF"/>
              <w:spacing w:before="40" w:after="40"/>
            </w:pPr>
            <w:r w:rsidRPr="001330BD">
              <w:t>Noteikumu projekta 4.punkts:</w:t>
            </w:r>
          </w:p>
          <w:p w14:paraId="5B63753B" w14:textId="3B7CAB41" w:rsidR="007027AF" w:rsidRPr="001330BD" w:rsidRDefault="007027AF" w:rsidP="007027AF">
            <w:pPr>
              <w:tabs>
                <w:tab w:val="left" w:pos="993"/>
              </w:tabs>
              <w:spacing w:before="120" w:after="120"/>
              <w:jc w:val="both"/>
            </w:pPr>
            <w:r w:rsidRPr="001330BD">
              <w:t>“4. Izteikt 3.punkta ievaddaļu šādā redakcijā:</w:t>
            </w:r>
          </w:p>
          <w:p w14:paraId="29033364" w14:textId="2518BDBC" w:rsidR="007027AF" w:rsidRPr="001330BD" w:rsidRDefault="007027AF" w:rsidP="007027AF">
            <w:pPr>
              <w:tabs>
                <w:tab w:val="left" w:pos="993"/>
              </w:tabs>
              <w:spacing w:after="120"/>
            </w:pPr>
            <w:r w:rsidRPr="001330BD">
              <w:t xml:space="preserve">“3. Biodegvielas un bioloģiskais šķidrais kurināmais, kas tiek iegūts Latvijas Republikā, ievests patēriņam Latvijas Republikā no citas Eiropas Savienības dalībvalsts vai </w:t>
            </w:r>
            <w:r w:rsidRPr="001330BD">
              <w:lastRenderedPageBreak/>
              <w:t>importēts no trešajām valstīm un kas var tikt izmantots valsts mērķa sasniegšanā vai likumā “Par piesārņojumu” noteiktā transporta enerģijas aprites cikla siltumnīcefekta gāzu emisiju samazinājumā, atbilst ilgtspējas kritērijiem, ja tiek izpildīti šādi nosacījumi:”.</w:t>
            </w:r>
          </w:p>
        </w:tc>
        <w:tc>
          <w:tcPr>
            <w:tcW w:w="4047" w:type="dxa"/>
            <w:tcBorders>
              <w:top w:val="single" w:sz="6" w:space="0" w:color="000000"/>
              <w:left w:val="single" w:sz="6" w:space="0" w:color="000000"/>
              <w:bottom w:val="single" w:sz="6" w:space="0" w:color="000000"/>
              <w:right w:val="single" w:sz="6" w:space="0" w:color="000000"/>
            </w:tcBorders>
          </w:tcPr>
          <w:p w14:paraId="7AD74BC8" w14:textId="77777777" w:rsidR="007027AF" w:rsidRPr="001330BD" w:rsidRDefault="007027AF" w:rsidP="007027AF">
            <w:pPr>
              <w:widowControl w:val="0"/>
              <w:spacing w:before="40" w:after="40"/>
              <w:jc w:val="center"/>
              <w:rPr>
                <w:b/>
              </w:rPr>
            </w:pPr>
            <w:r w:rsidRPr="001330BD">
              <w:rPr>
                <w:b/>
              </w:rPr>
              <w:lastRenderedPageBreak/>
              <w:t>Tieslietu ministrija</w:t>
            </w:r>
          </w:p>
          <w:p w14:paraId="30832A4C" w14:textId="77777777" w:rsidR="007027AF" w:rsidRPr="001330BD" w:rsidRDefault="007027AF" w:rsidP="007027AF">
            <w:pPr>
              <w:widowControl w:val="0"/>
              <w:spacing w:before="40" w:after="40"/>
              <w:jc w:val="center"/>
              <w:rPr>
                <w:b/>
              </w:rPr>
            </w:pPr>
            <w:r w:rsidRPr="001330BD">
              <w:rPr>
                <w:b/>
              </w:rPr>
              <w:t>(2018.gada 14.decembra atzinums)</w:t>
            </w:r>
          </w:p>
          <w:p w14:paraId="4E79B624" w14:textId="1DA6DA7D" w:rsidR="007027AF" w:rsidRPr="001330BD" w:rsidRDefault="007027AF" w:rsidP="007027AF">
            <w:r w:rsidRPr="001330BD">
              <w:t xml:space="preserve">2. Norādām, ka projekta 4., 5., 7., 8., 11. punktā un 21. punktā izteiktajā 10. pielikumā ir lietots jēdziens “valsts mērķis”, kas nav viennozīmīgi skaidrs un nav skaidrots projektā vai projekta izdošanas tiesiskajā pamatojumā. Valsts mērķis transportā ir skaidrots likumprojektā, tādējādi lūdzam precizēt minētos projekta punktus, svītrojot tajā </w:t>
            </w:r>
            <w:r w:rsidRPr="001330BD">
              <w:lastRenderedPageBreak/>
              <w:t xml:space="preserve">minēto jēdzienu vai papildinot minētos punktus ar skaidrojumu par valsts mērķi, vienlaikus nodrošinot atbilstošu Eiropas Parlamenta un Padomes 2015. gada 9.septembra direktīvas 2015/1513, ar kuru groza Direktīvu 98/70/EK, kas attiecas uz benzīna un dīzeļdegvielu kvalitāti, un Direktīvu 2009/28/EK par atjaunojamo energoresursu izmantošanas veicināšanu, pārņemšanu. </w:t>
            </w:r>
          </w:p>
        </w:tc>
        <w:tc>
          <w:tcPr>
            <w:tcW w:w="2899" w:type="dxa"/>
            <w:tcBorders>
              <w:top w:val="single" w:sz="6" w:space="0" w:color="000000"/>
              <w:left w:val="single" w:sz="6" w:space="0" w:color="000000"/>
              <w:bottom w:val="single" w:sz="6" w:space="0" w:color="000000"/>
              <w:right w:val="single" w:sz="6" w:space="0" w:color="000000"/>
            </w:tcBorders>
          </w:tcPr>
          <w:p w14:paraId="1E543E62" w14:textId="77777777" w:rsidR="007027AF" w:rsidRPr="001330BD" w:rsidRDefault="007027AF" w:rsidP="007027AF">
            <w:pPr>
              <w:spacing w:before="40" w:after="40"/>
              <w:jc w:val="center"/>
              <w:rPr>
                <w:b/>
                <w:iCs/>
              </w:rPr>
            </w:pPr>
            <w:r w:rsidRPr="001330BD">
              <w:rPr>
                <w:b/>
                <w:iCs/>
              </w:rPr>
              <w:lastRenderedPageBreak/>
              <w:t>Ņemts vērā</w:t>
            </w:r>
          </w:p>
          <w:p w14:paraId="48911695" w14:textId="77777777" w:rsidR="007027AF" w:rsidRPr="001330BD" w:rsidRDefault="007027AF" w:rsidP="007027AF">
            <w:pPr>
              <w:spacing w:before="40" w:after="40"/>
              <w:rPr>
                <w:b/>
                <w:iCs/>
              </w:rPr>
            </w:pPr>
          </w:p>
          <w:p w14:paraId="2E4D51FB" w14:textId="7A5718A3" w:rsidR="007027AF" w:rsidRPr="001330BD" w:rsidRDefault="007027AF" w:rsidP="007027AF">
            <w:pPr>
              <w:spacing w:before="40" w:after="40"/>
              <w:rPr>
                <w:iCs/>
              </w:rPr>
            </w:pPr>
            <w:r w:rsidRPr="001330BD">
              <w:rPr>
                <w:iCs/>
              </w:rPr>
              <w:t>Valsts mērķis ir definēts kā “</w:t>
            </w:r>
            <w:r w:rsidRPr="001330BD">
              <w:t>Enerģētikas attīstības pamatnostādnēs 2016.-2020.gadam noteiktais enerģijas, kas ražota no AER, īpatsvara enerģijas bruto gala patēriņā transportā mērķis”.</w:t>
            </w:r>
          </w:p>
        </w:tc>
        <w:tc>
          <w:tcPr>
            <w:tcW w:w="4368" w:type="dxa"/>
            <w:tcBorders>
              <w:top w:val="single" w:sz="4" w:space="0" w:color="auto"/>
              <w:left w:val="single" w:sz="4" w:space="0" w:color="auto"/>
              <w:bottom w:val="single" w:sz="4" w:space="0" w:color="auto"/>
            </w:tcBorders>
          </w:tcPr>
          <w:p w14:paraId="41F667C8" w14:textId="495D5650" w:rsidR="007027AF" w:rsidRPr="001330BD" w:rsidRDefault="007027AF" w:rsidP="007027AF">
            <w:pPr>
              <w:tabs>
                <w:tab w:val="left" w:pos="993"/>
              </w:tabs>
              <w:spacing w:before="120" w:after="120"/>
              <w:jc w:val="both"/>
            </w:pPr>
            <w:r w:rsidRPr="001330BD">
              <w:t>Noteikumu projekta 4.punkts:</w:t>
            </w:r>
          </w:p>
          <w:p w14:paraId="3CD567BA" w14:textId="4E0F1BF4" w:rsidR="007027AF" w:rsidRPr="001330BD" w:rsidRDefault="007027AF" w:rsidP="007027AF">
            <w:pPr>
              <w:tabs>
                <w:tab w:val="left" w:pos="993"/>
              </w:tabs>
              <w:spacing w:before="120" w:after="120"/>
              <w:jc w:val="both"/>
            </w:pPr>
            <w:r w:rsidRPr="001330BD">
              <w:t>“4. Izteikt 3.punkta ievaddaļu šādā redakcijā:</w:t>
            </w:r>
          </w:p>
          <w:p w14:paraId="61F90F94" w14:textId="77777777" w:rsidR="007027AF" w:rsidRPr="001330BD" w:rsidRDefault="007027AF" w:rsidP="007027AF">
            <w:pPr>
              <w:tabs>
                <w:tab w:val="left" w:pos="993"/>
              </w:tabs>
              <w:spacing w:after="120"/>
            </w:pPr>
            <w:r w:rsidRPr="001330BD">
              <w:t xml:space="preserve">“3. Biodegvielas un bioloģiskais šķidrais kurināmais, kas tiek iegūts Latvijas Republikā, ievests patēriņam Latvijas Republikā no citas Eiropas Savienības dalībvalsts vai importēts no trešajām valstīm un kas var tikt izmantots Enerģētikas attīstības pamatnostādnēs 2016.-2020.gadam noteiktā enerģijas, kas </w:t>
            </w:r>
            <w:r w:rsidRPr="001330BD">
              <w:lastRenderedPageBreak/>
              <w:t>ražota no AER, īpatsvara enerģijas bruto gala patēriņā transportā mērķa (turpmāk – valsts mērķis) sasniegšanā vai likumā “Par piesārņojumu” noteiktā transporta enerģijas aprites cikla siltumnīcefekta gāzu emisiju samazinājumā, atbilst ilgtspējas kritērijiem, ja tiek izpildīti šādi nosacījumi:”.</w:t>
            </w:r>
          </w:p>
          <w:p w14:paraId="674EC7EC" w14:textId="77777777" w:rsidR="007027AF" w:rsidRPr="001330BD" w:rsidRDefault="007027AF" w:rsidP="007027AF">
            <w:pPr>
              <w:shd w:val="clear" w:color="auto" w:fill="FFFFFF"/>
              <w:spacing w:before="40" w:after="40"/>
            </w:pPr>
          </w:p>
        </w:tc>
      </w:tr>
      <w:tr w:rsidR="007027AF" w:rsidRPr="001330BD" w14:paraId="4B8EEB8B" w14:textId="77777777" w:rsidTr="00B67450">
        <w:trPr>
          <w:jc w:val="center"/>
        </w:trPr>
        <w:tc>
          <w:tcPr>
            <w:tcW w:w="637" w:type="dxa"/>
            <w:tcBorders>
              <w:top w:val="single" w:sz="6" w:space="0" w:color="000000"/>
              <w:left w:val="single" w:sz="6" w:space="0" w:color="000000"/>
              <w:bottom w:val="single" w:sz="6" w:space="0" w:color="000000"/>
              <w:right w:val="single" w:sz="6" w:space="0" w:color="000000"/>
            </w:tcBorders>
          </w:tcPr>
          <w:p w14:paraId="1E1A72BC" w14:textId="78215464" w:rsidR="007027AF" w:rsidRPr="001330BD" w:rsidRDefault="00AF210A" w:rsidP="007027AF">
            <w:pPr>
              <w:pStyle w:val="naisc"/>
              <w:spacing w:before="40" w:after="40"/>
              <w:rPr>
                <w:b/>
              </w:rPr>
            </w:pPr>
            <w:r w:rsidRPr="001330BD">
              <w:rPr>
                <w:b/>
              </w:rPr>
              <w:lastRenderedPageBreak/>
              <w:t>25</w:t>
            </w:r>
          </w:p>
        </w:tc>
        <w:tc>
          <w:tcPr>
            <w:tcW w:w="3041" w:type="dxa"/>
            <w:tcBorders>
              <w:top w:val="single" w:sz="6" w:space="0" w:color="000000"/>
              <w:left w:val="single" w:sz="6" w:space="0" w:color="000000"/>
              <w:bottom w:val="single" w:sz="6" w:space="0" w:color="000000"/>
              <w:right w:val="single" w:sz="6" w:space="0" w:color="000000"/>
            </w:tcBorders>
          </w:tcPr>
          <w:p w14:paraId="77B06365" w14:textId="77777777" w:rsidR="007027AF" w:rsidRPr="001330BD" w:rsidRDefault="007027AF" w:rsidP="007027AF">
            <w:pPr>
              <w:shd w:val="clear" w:color="auto" w:fill="FFFFFF"/>
              <w:spacing w:before="40" w:after="40"/>
            </w:pPr>
          </w:p>
        </w:tc>
        <w:tc>
          <w:tcPr>
            <w:tcW w:w="4047" w:type="dxa"/>
            <w:tcBorders>
              <w:top w:val="single" w:sz="6" w:space="0" w:color="000000"/>
              <w:left w:val="single" w:sz="6" w:space="0" w:color="000000"/>
              <w:bottom w:val="single" w:sz="6" w:space="0" w:color="000000"/>
              <w:right w:val="single" w:sz="6" w:space="0" w:color="000000"/>
            </w:tcBorders>
          </w:tcPr>
          <w:p w14:paraId="48A51505" w14:textId="77777777" w:rsidR="007027AF" w:rsidRPr="001330BD" w:rsidRDefault="007027AF" w:rsidP="007027AF">
            <w:pPr>
              <w:widowControl w:val="0"/>
              <w:spacing w:before="60" w:after="60"/>
              <w:jc w:val="center"/>
              <w:rPr>
                <w:b/>
              </w:rPr>
            </w:pPr>
            <w:r w:rsidRPr="001330BD">
              <w:rPr>
                <w:b/>
              </w:rPr>
              <w:t>Zemkopības ministrija</w:t>
            </w:r>
          </w:p>
          <w:p w14:paraId="00244706" w14:textId="77777777" w:rsidR="007027AF" w:rsidRPr="001330BD" w:rsidRDefault="007027AF" w:rsidP="007027AF">
            <w:pPr>
              <w:widowControl w:val="0"/>
              <w:spacing w:before="60" w:after="60"/>
              <w:jc w:val="center"/>
              <w:rPr>
                <w:b/>
              </w:rPr>
            </w:pPr>
            <w:r w:rsidRPr="001330BD">
              <w:rPr>
                <w:b/>
              </w:rPr>
              <w:t>(2018.gada 11.decembra atzinums)</w:t>
            </w:r>
          </w:p>
          <w:p w14:paraId="0AC55B5E" w14:textId="77777777" w:rsidR="007027AF" w:rsidRPr="001330BD" w:rsidRDefault="007027AF" w:rsidP="007027AF">
            <w:pPr>
              <w:spacing w:before="60" w:after="60"/>
            </w:pPr>
            <w:r w:rsidRPr="001330BD">
              <w:t xml:space="preserve">4. Lūdzam papildināt noteikumu 3.pielikumu ar auzu un tritikāles gala produktiem un to standarta siltumnīcu gāzu emisijām. </w:t>
            </w:r>
          </w:p>
          <w:p w14:paraId="504EE2BE" w14:textId="77777777" w:rsidR="007027AF" w:rsidRPr="001330BD" w:rsidRDefault="007027AF" w:rsidP="007027AF">
            <w:pPr>
              <w:spacing w:before="60" w:after="60"/>
            </w:pPr>
            <w:r w:rsidRPr="001330BD">
              <w:t xml:space="preserve">5. Lūdzam papildināt noteikumu 7.pielikumu, minot tajā cukurbietes, sojas pupiņas un kukurūzu. </w:t>
            </w:r>
          </w:p>
          <w:p w14:paraId="44E2165F" w14:textId="77777777" w:rsidR="007027AF" w:rsidRPr="001330BD" w:rsidRDefault="007027AF" w:rsidP="007027AF">
            <w:pPr>
              <w:widowControl w:val="0"/>
              <w:spacing w:before="40" w:after="40"/>
              <w:jc w:val="center"/>
              <w:rPr>
                <w:b/>
              </w:rPr>
            </w:pPr>
          </w:p>
        </w:tc>
        <w:tc>
          <w:tcPr>
            <w:tcW w:w="2899" w:type="dxa"/>
            <w:tcBorders>
              <w:top w:val="single" w:sz="6" w:space="0" w:color="000000"/>
              <w:left w:val="single" w:sz="6" w:space="0" w:color="000000"/>
              <w:bottom w:val="single" w:sz="6" w:space="0" w:color="000000"/>
              <w:right w:val="single" w:sz="6" w:space="0" w:color="000000"/>
            </w:tcBorders>
          </w:tcPr>
          <w:p w14:paraId="7D5D60B6" w14:textId="2CAB9C35" w:rsidR="007027AF" w:rsidRPr="001330BD" w:rsidRDefault="007027AF" w:rsidP="007027AF">
            <w:pPr>
              <w:spacing w:before="60" w:after="60"/>
              <w:jc w:val="center"/>
              <w:rPr>
                <w:b/>
                <w:iCs/>
              </w:rPr>
            </w:pPr>
            <w:proofErr w:type="spellStart"/>
            <w:r w:rsidRPr="001330BD">
              <w:rPr>
                <w:b/>
                <w:iCs/>
              </w:rPr>
              <w:t>Nemts</w:t>
            </w:r>
            <w:proofErr w:type="spellEnd"/>
            <w:r w:rsidRPr="001330BD">
              <w:rPr>
                <w:b/>
                <w:iCs/>
              </w:rPr>
              <w:t xml:space="preserve"> vērā</w:t>
            </w:r>
          </w:p>
          <w:p w14:paraId="025424E6" w14:textId="77777777" w:rsidR="007027AF" w:rsidRPr="001330BD" w:rsidRDefault="007027AF" w:rsidP="007027AF">
            <w:pPr>
              <w:spacing w:before="60" w:after="60"/>
              <w:rPr>
                <w:iCs/>
              </w:rPr>
            </w:pPr>
          </w:p>
          <w:p w14:paraId="71184BEA" w14:textId="77777777" w:rsidR="007027AF" w:rsidRPr="001330BD" w:rsidRDefault="007027AF" w:rsidP="007027AF">
            <w:pPr>
              <w:spacing w:before="60" w:after="60"/>
              <w:rPr>
                <w:iCs/>
              </w:rPr>
            </w:pPr>
            <w:r w:rsidRPr="001330BD">
              <w:rPr>
                <w:iCs/>
              </w:rPr>
              <w:t>Norādām, ka Noteikumu Nr.545 3.pielikumā ir iekļauti tie biodegvielas vai bioloģiskā šķidrā kurināmā ražošanas paņēmieni, kas ir noteikti Eiropas Parlamenta un Padomes direktīvā Nr.98/70/EK (konsolidētā versija) un Nr.2009/28/EK (konsolidētā versija). Ekonomikas ministrija nebija iecerējusi paplašināt minēto direktīvu aptvērumu, jo minētās direktīvas nosaka, ka ir jāievēro tie nosacījumi, kas ir ietverti to pielikumos.</w:t>
            </w:r>
          </w:p>
          <w:p w14:paraId="4C255156" w14:textId="77777777" w:rsidR="007027AF" w:rsidRPr="001330BD" w:rsidRDefault="007027AF" w:rsidP="007027AF">
            <w:pPr>
              <w:spacing w:before="60" w:after="60"/>
              <w:rPr>
                <w:iCs/>
              </w:rPr>
            </w:pPr>
          </w:p>
          <w:p w14:paraId="4EAE2E6D" w14:textId="77777777" w:rsidR="007027AF" w:rsidRPr="001330BD" w:rsidRDefault="007027AF" w:rsidP="007027AF">
            <w:pPr>
              <w:spacing w:before="60" w:after="60"/>
              <w:rPr>
                <w:iCs/>
              </w:rPr>
            </w:pPr>
            <w:r w:rsidRPr="001330BD">
              <w:rPr>
                <w:iCs/>
              </w:rPr>
              <w:lastRenderedPageBreak/>
              <w:t>Ja Zemkopības ministrija (Lauku atbalsta dienests) vēlas paplašināt šo direktīvu aptvērumu, tad Ekonomikas ministrija lūdz Zemkopības ministriju iesniegt:</w:t>
            </w:r>
          </w:p>
          <w:p w14:paraId="0B37F1CE" w14:textId="77777777" w:rsidR="007027AF" w:rsidRPr="001330BD" w:rsidRDefault="007027AF" w:rsidP="007027AF">
            <w:pPr>
              <w:pStyle w:val="ListParagraph"/>
              <w:numPr>
                <w:ilvl w:val="0"/>
                <w:numId w:val="32"/>
              </w:numPr>
              <w:spacing w:before="60" w:after="60" w:line="240" w:lineRule="auto"/>
              <w:ind w:left="227" w:hanging="227"/>
              <w:contextualSpacing w:val="0"/>
              <w:rPr>
                <w:rFonts w:ascii="Times New Roman" w:hAnsi="Times New Roman"/>
                <w:iCs/>
                <w:sz w:val="24"/>
                <w:szCs w:val="24"/>
              </w:rPr>
            </w:pPr>
            <w:r w:rsidRPr="001330BD">
              <w:rPr>
                <w:rFonts w:ascii="Times New Roman" w:hAnsi="Times New Roman"/>
                <w:iCs/>
                <w:sz w:val="24"/>
                <w:szCs w:val="24"/>
              </w:rPr>
              <w:t>Auzu un tritikāles gala produktu standarta siltumnīcefekta gāzu emisiju vērtības;</w:t>
            </w:r>
          </w:p>
          <w:p w14:paraId="7C441604" w14:textId="77777777" w:rsidR="007027AF" w:rsidRPr="001330BD" w:rsidRDefault="007027AF" w:rsidP="007027AF">
            <w:pPr>
              <w:pStyle w:val="ListParagraph"/>
              <w:numPr>
                <w:ilvl w:val="0"/>
                <w:numId w:val="32"/>
              </w:numPr>
              <w:spacing w:before="60" w:after="60" w:line="240" w:lineRule="auto"/>
              <w:ind w:left="227" w:hanging="227"/>
              <w:contextualSpacing w:val="0"/>
              <w:rPr>
                <w:rFonts w:ascii="Times New Roman" w:hAnsi="Times New Roman"/>
                <w:iCs/>
                <w:sz w:val="24"/>
                <w:szCs w:val="24"/>
              </w:rPr>
            </w:pPr>
            <w:r w:rsidRPr="001330BD">
              <w:rPr>
                <w:rFonts w:ascii="Times New Roman" w:hAnsi="Times New Roman"/>
                <w:iCs/>
                <w:sz w:val="24"/>
                <w:szCs w:val="24"/>
              </w:rPr>
              <w:t>Cukurbiešu, sojas pupiņu un kukurūzas kā biodegvielas ražošanas izejvielu maksimālās ražības (t/ha) vērtības un nepieciešamo izejvielas apjomu 1 litra biodegvielas ražošanas vērtības.</w:t>
            </w:r>
          </w:p>
          <w:p w14:paraId="5B0DA1C5" w14:textId="77777777" w:rsidR="007027AF" w:rsidRPr="001330BD" w:rsidRDefault="007027AF" w:rsidP="007027AF">
            <w:pPr>
              <w:spacing w:before="60" w:after="60"/>
              <w:rPr>
                <w:iCs/>
              </w:rPr>
            </w:pPr>
          </w:p>
          <w:p w14:paraId="3503E865" w14:textId="77777777" w:rsidR="007027AF" w:rsidRPr="001330BD" w:rsidRDefault="007027AF" w:rsidP="007027AF">
            <w:pPr>
              <w:spacing w:before="60" w:after="60"/>
              <w:rPr>
                <w:iCs/>
              </w:rPr>
            </w:pPr>
            <w:r w:rsidRPr="001330BD">
              <w:rPr>
                <w:iCs/>
              </w:rPr>
              <w:t>Kā arī Ekonomikas ministrija lūdz Zemkopības ministriju iesniegt pamatojumu Direktīvu 98/70/EK un 2009/28/EK tvēruma paplašināšanai šīs informācijas iekļaušanai Noteikumu projekta anotācijā.</w:t>
            </w:r>
          </w:p>
          <w:p w14:paraId="71F73EC2" w14:textId="77777777" w:rsidR="007027AF" w:rsidRPr="001330BD" w:rsidRDefault="007027AF" w:rsidP="007027AF">
            <w:pPr>
              <w:spacing w:before="60" w:after="60"/>
              <w:rPr>
                <w:iCs/>
              </w:rPr>
            </w:pPr>
          </w:p>
          <w:p w14:paraId="352F910A" w14:textId="77777777" w:rsidR="007027AF" w:rsidRPr="001330BD" w:rsidRDefault="007027AF" w:rsidP="007027AF">
            <w:pPr>
              <w:spacing w:before="60" w:after="60"/>
              <w:rPr>
                <w:iCs/>
              </w:rPr>
            </w:pPr>
            <w:r w:rsidRPr="001330BD">
              <w:rPr>
                <w:iCs/>
              </w:rPr>
              <w:lastRenderedPageBreak/>
              <w:t>Ekonomikas ministrija norāda, ka Ekonomikas ministrija nav kompetentā iestāde Latvijā attiecībā uz lauksaimniecības produkciju un to kvalitātes vai sastāva rādītājiem, kā arī lauksaimniecības ražības jautājumiem.</w:t>
            </w:r>
          </w:p>
          <w:p w14:paraId="30811DF1" w14:textId="7CDBEA25" w:rsidR="007027AF" w:rsidRPr="001330BD" w:rsidRDefault="007027AF" w:rsidP="007027AF">
            <w:pPr>
              <w:spacing w:before="40" w:after="40"/>
              <w:rPr>
                <w:b/>
                <w:iCs/>
              </w:rPr>
            </w:pPr>
            <w:r w:rsidRPr="001330BD">
              <w:rPr>
                <w:iCs/>
              </w:rPr>
              <w:t>Tieši Zemkopības ministrija saskaņā ar 2003.gada 29.aprīļa noteikumiem Nr.245 “Zemkopības ministrijas nolikums” ir vadošā valsts pārvaldes iestāde lauksaimniecības nozarē, līdz ar to tieši Zemkopība ministrijai ir jābūt pieejamiem minētajām vērtībām. Saskaņā ar Noteikumu Nr.245 5.9.2.apakšpuktu tieši Zemkopības ministrija izstrādā politiku atjaunojamo enerģijas resursu (meža un lauksaimniecības biomasas) ilgtspējīgas pieejamības, ieguves un izmantošanas jomā.</w:t>
            </w:r>
          </w:p>
        </w:tc>
        <w:tc>
          <w:tcPr>
            <w:tcW w:w="4368" w:type="dxa"/>
            <w:tcBorders>
              <w:top w:val="single" w:sz="4" w:space="0" w:color="auto"/>
              <w:left w:val="single" w:sz="4" w:space="0" w:color="auto"/>
              <w:bottom w:val="single" w:sz="4" w:space="0" w:color="auto"/>
            </w:tcBorders>
          </w:tcPr>
          <w:p w14:paraId="7ECFD659" w14:textId="7D687E1B" w:rsidR="007027AF" w:rsidRPr="001330BD" w:rsidRDefault="007027AF" w:rsidP="007027AF">
            <w:pPr>
              <w:tabs>
                <w:tab w:val="left" w:pos="993"/>
              </w:tabs>
              <w:spacing w:before="120" w:after="120"/>
              <w:jc w:val="both"/>
            </w:pPr>
            <w:r w:rsidRPr="001330BD">
              <w:lastRenderedPageBreak/>
              <w:t>Noteikumu projekta 22.punkts:</w:t>
            </w:r>
          </w:p>
          <w:p w14:paraId="065F11EA" w14:textId="503F1372" w:rsidR="007027AF" w:rsidRPr="001330BD" w:rsidRDefault="007027AF" w:rsidP="007027AF">
            <w:pPr>
              <w:pStyle w:val="norm"/>
              <w:shd w:val="clear" w:color="auto" w:fill="FFFFFF"/>
              <w:tabs>
                <w:tab w:val="left" w:pos="993"/>
              </w:tabs>
              <w:spacing w:before="120" w:beforeAutospacing="0" w:after="120" w:afterAutospacing="0"/>
              <w:jc w:val="both"/>
              <w:textAlignment w:val="baseline"/>
              <w:rPr>
                <w:rFonts w:eastAsia="Calibri"/>
                <w:lang w:eastAsia="en-US"/>
              </w:rPr>
            </w:pPr>
            <w:r w:rsidRPr="001330BD">
              <w:rPr>
                <w:rFonts w:eastAsia="Calibri"/>
                <w:lang w:eastAsia="en-US"/>
              </w:rPr>
              <w:t>“22. 7.pielikumā:</w:t>
            </w:r>
          </w:p>
          <w:p w14:paraId="083F01F9" w14:textId="77777777" w:rsidR="007027AF" w:rsidRPr="001330BD" w:rsidRDefault="007027AF" w:rsidP="007027AF">
            <w:pPr>
              <w:pStyle w:val="norm"/>
              <w:shd w:val="clear" w:color="auto" w:fill="FFFFFF"/>
              <w:tabs>
                <w:tab w:val="left" w:pos="993"/>
              </w:tabs>
              <w:spacing w:before="120" w:beforeAutospacing="0" w:after="120" w:afterAutospacing="0"/>
              <w:ind w:firstLine="709"/>
              <w:jc w:val="both"/>
              <w:textAlignment w:val="baseline"/>
              <w:rPr>
                <w:rFonts w:eastAsia="Calibri"/>
                <w:lang w:eastAsia="en-US"/>
              </w:rPr>
            </w:pPr>
            <w:r w:rsidRPr="001330BD">
              <w:rPr>
                <w:rFonts w:eastAsia="Calibri"/>
                <w:lang w:eastAsia="en-US"/>
              </w:rPr>
              <w:t>Svītrot 1.tabulas 1.4. un 2.3.apakšpunktu</w:t>
            </w:r>
          </w:p>
          <w:p w14:paraId="743B5744" w14:textId="77777777" w:rsidR="007027AF" w:rsidRPr="001330BD" w:rsidRDefault="007027AF" w:rsidP="007027AF">
            <w:pPr>
              <w:pStyle w:val="norm"/>
              <w:shd w:val="clear" w:color="auto" w:fill="FFFFFF"/>
              <w:tabs>
                <w:tab w:val="left" w:pos="993"/>
              </w:tabs>
              <w:spacing w:before="120" w:beforeAutospacing="0" w:after="120" w:afterAutospacing="0"/>
              <w:ind w:firstLine="709"/>
              <w:jc w:val="both"/>
              <w:textAlignment w:val="baseline"/>
              <w:rPr>
                <w:rFonts w:eastAsia="Calibri"/>
                <w:lang w:eastAsia="en-US"/>
              </w:rPr>
            </w:pPr>
          </w:p>
          <w:p w14:paraId="238FB32E" w14:textId="01F5A9FE" w:rsidR="007027AF" w:rsidRPr="001330BD" w:rsidRDefault="007027AF" w:rsidP="007027AF">
            <w:pPr>
              <w:pStyle w:val="norm"/>
              <w:shd w:val="clear" w:color="auto" w:fill="FFFFFF"/>
              <w:tabs>
                <w:tab w:val="left" w:pos="993"/>
              </w:tabs>
              <w:spacing w:before="120" w:beforeAutospacing="0" w:after="120" w:afterAutospacing="0"/>
              <w:ind w:firstLine="709"/>
              <w:jc w:val="both"/>
              <w:textAlignment w:val="baseline"/>
              <w:rPr>
                <w:rFonts w:eastAsia="Calibri"/>
                <w:lang w:eastAsia="en-US"/>
              </w:rPr>
            </w:pPr>
            <w:r w:rsidRPr="001330BD">
              <w:rPr>
                <w:rFonts w:eastAsia="Calibri"/>
                <w:lang w:eastAsia="en-US"/>
              </w:rPr>
              <w:t>Svītrot 2.tabulas 4. un 5.punktu.”</w:t>
            </w:r>
          </w:p>
          <w:p w14:paraId="646681D0" w14:textId="41908216" w:rsidR="007027AF" w:rsidRPr="001330BD" w:rsidRDefault="007027AF" w:rsidP="007027AF">
            <w:pPr>
              <w:tabs>
                <w:tab w:val="left" w:pos="993"/>
              </w:tabs>
              <w:spacing w:before="120" w:after="120"/>
              <w:jc w:val="both"/>
            </w:pPr>
          </w:p>
        </w:tc>
      </w:tr>
      <w:tr w:rsidR="007027AF" w:rsidRPr="001330BD" w14:paraId="562D9A3C" w14:textId="77777777" w:rsidTr="00892E4B">
        <w:trPr>
          <w:jc w:val="center"/>
        </w:trPr>
        <w:tc>
          <w:tcPr>
            <w:tcW w:w="14992" w:type="dxa"/>
            <w:gridSpan w:val="5"/>
            <w:tcBorders>
              <w:top w:val="single" w:sz="6" w:space="0" w:color="000000"/>
              <w:left w:val="single" w:sz="6" w:space="0" w:color="000000"/>
              <w:bottom w:val="single" w:sz="6" w:space="0" w:color="000000"/>
            </w:tcBorders>
          </w:tcPr>
          <w:p w14:paraId="1BE25D9A" w14:textId="77777777" w:rsidR="007027AF" w:rsidRPr="001330BD" w:rsidRDefault="007027AF" w:rsidP="007027AF">
            <w:pPr>
              <w:spacing w:before="40" w:after="40"/>
              <w:jc w:val="center"/>
              <w:rPr>
                <w:b/>
                <w:iCs/>
              </w:rPr>
            </w:pPr>
            <w:r w:rsidRPr="001330BD">
              <w:rPr>
                <w:b/>
                <w:iCs/>
              </w:rPr>
              <w:lastRenderedPageBreak/>
              <w:t>IEBILDUMI ATTIECĪBĀ UZ NOTEIKUMU PROJEKTA ANOTĀCIJU</w:t>
            </w:r>
          </w:p>
        </w:tc>
      </w:tr>
      <w:tr w:rsidR="007027AF" w:rsidRPr="001330BD" w14:paraId="5A44273B"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shd w:val="clear" w:color="auto" w:fill="auto"/>
          </w:tcPr>
          <w:p w14:paraId="2E82DFF7" w14:textId="6E3F10FD" w:rsidR="007027AF" w:rsidRPr="001330BD" w:rsidRDefault="00AF210A" w:rsidP="007027AF">
            <w:pPr>
              <w:pStyle w:val="naisc"/>
              <w:spacing w:before="40" w:after="40"/>
              <w:rPr>
                <w:b/>
              </w:rPr>
            </w:pPr>
            <w:r w:rsidRPr="001330BD">
              <w:rPr>
                <w:b/>
              </w:rPr>
              <w:lastRenderedPageBreak/>
              <w:t>26</w:t>
            </w:r>
          </w:p>
        </w:tc>
        <w:tc>
          <w:tcPr>
            <w:tcW w:w="3041" w:type="dxa"/>
            <w:tcBorders>
              <w:top w:val="single" w:sz="6" w:space="0" w:color="000000"/>
              <w:left w:val="single" w:sz="6" w:space="0" w:color="000000"/>
              <w:bottom w:val="single" w:sz="6" w:space="0" w:color="000000"/>
              <w:right w:val="single" w:sz="6" w:space="0" w:color="000000"/>
            </w:tcBorders>
            <w:shd w:val="clear" w:color="auto" w:fill="auto"/>
          </w:tcPr>
          <w:p w14:paraId="6DD6DD58" w14:textId="77777777" w:rsidR="007027AF" w:rsidRPr="001330BD" w:rsidRDefault="007027AF" w:rsidP="007027AF">
            <w:pPr>
              <w:pStyle w:val="ListParagraph"/>
              <w:shd w:val="clear" w:color="auto" w:fill="FFFFFF"/>
              <w:spacing w:before="40" w:after="40" w:line="240" w:lineRule="auto"/>
              <w:ind w:left="0"/>
              <w:contextualSpacing w:val="0"/>
              <w:jc w:val="both"/>
              <w:rPr>
                <w:rFonts w:ascii="Times New Roman" w:hAnsi="Times New Roman"/>
                <w:color w:val="000000" w:themeColor="text1"/>
                <w:sz w:val="24"/>
                <w:szCs w:val="24"/>
                <w:lang w:eastAsia="lv-LV"/>
              </w:rPr>
            </w:pPr>
            <w:r w:rsidRPr="001330BD">
              <w:rPr>
                <w:rFonts w:ascii="Times New Roman" w:hAnsi="Times New Roman"/>
                <w:color w:val="000000" w:themeColor="text1"/>
                <w:sz w:val="24"/>
                <w:szCs w:val="24"/>
                <w:lang w:eastAsia="lv-LV"/>
              </w:rPr>
              <w:t>Noteikumu projekta anotācijas 2.punkts</w:t>
            </w:r>
          </w:p>
        </w:tc>
        <w:tc>
          <w:tcPr>
            <w:tcW w:w="4047" w:type="dxa"/>
            <w:tcBorders>
              <w:top w:val="single" w:sz="6" w:space="0" w:color="000000"/>
              <w:left w:val="single" w:sz="6" w:space="0" w:color="000000"/>
              <w:bottom w:val="single" w:sz="6" w:space="0" w:color="000000"/>
              <w:right w:val="single" w:sz="6" w:space="0" w:color="000000"/>
            </w:tcBorders>
            <w:shd w:val="clear" w:color="auto" w:fill="auto"/>
          </w:tcPr>
          <w:p w14:paraId="66F67845" w14:textId="77777777" w:rsidR="007027AF" w:rsidRPr="001330BD" w:rsidRDefault="007027AF" w:rsidP="007027AF">
            <w:pPr>
              <w:widowControl w:val="0"/>
              <w:spacing w:before="40" w:after="40"/>
              <w:jc w:val="center"/>
              <w:rPr>
                <w:b/>
              </w:rPr>
            </w:pPr>
            <w:r w:rsidRPr="001330BD">
              <w:rPr>
                <w:b/>
              </w:rPr>
              <w:t>Vides aizsardzības un reģionālās attīstības ministrija</w:t>
            </w:r>
          </w:p>
          <w:p w14:paraId="1870E049" w14:textId="77777777" w:rsidR="007027AF" w:rsidRPr="001330BD" w:rsidRDefault="007027AF" w:rsidP="007027AF">
            <w:pPr>
              <w:widowControl w:val="0"/>
              <w:spacing w:before="40" w:after="40"/>
              <w:jc w:val="center"/>
              <w:rPr>
                <w:b/>
              </w:rPr>
            </w:pPr>
            <w:r w:rsidRPr="001330BD">
              <w:rPr>
                <w:b/>
              </w:rPr>
              <w:t>(2018.gada 19.oktobra atzinums)</w:t>
            </w:r>
          </w:p>
          <w:p w14:paraId="3D59159B" w14:textId="77777777" w:rsidR="007027AF" w:rsidRPr="001330BD" w:rsidRDefault="007027AF" w:rsidP="007027AF">
            <w:pPr>
              <w:widowControl w:val="0"/>
              <w:spacing w:before="40" w:after="40"/>
              <w:jc w:val="both"/>
              <w:rPr>
                <w:b/>
              </w:rPr>
            </w:pPr>
            <w:r w:rsidRPr="001330BD">
              <w:t>5. Noteikumu projekta anotācijas 2.punktā novērst dublēšanos (tiešu atkārtošanos), aprakstot tiesiskā regulējuma mērķi un būtību;</w:t>
            </w:r>
          </w:p>
        </w:tc>
        <w:tc>
          <w:tcPr>
            <w:tcW w:w="2899" w:type="dxa"/>
            <w:tcBorders>
              <w:top w:val="single" w:sz="6" w:space="0" w:color="000000"/>
              <w:left w:val="single" w:sz="6" w:space="0" w:color="000000"/>
              <w:bottom w:val="single" w:sz="6" w:space="0" w:color="000000"/>
              <w:right w:val="single" w:sz="6" w:space="0" w:color="000000"/>
            </w:tcBorders>
            <w:shd w:val="clear" w:color="auto" w:fill="auto"/>
          </w:tcPr>
          <w:p w14:paraId="1D9EA0EB" w14:textId="77777777" w:rsidR="007027AF" w:rsidRPr="001330BD" w:rsidRDefault="007027AF" w:rsidP="007027AF">
            <w:pPr>
              <w:spacing w:before="40" w:after="40"/>
              <w:jc w:val="center"/>
              <w:rPr>
                <w:b/>
                <w:iCs/>
              </w:rPr>
            </w:pPr>
            <w:r w:rsidRPr="001330BD">
              <w:rPr>
                <w:b/>
                <w:iCs/>
              </w:rPr>
              <w:t>Ņemts vērā</w:t>
            </w:r>
          </w:p>
        </w:tc>
        <w:tc>
          <w:tcPr>
            <w:tcW w:w="4368" w:type="dxa"/>
            <w:tcBorders>
              <w:top w:val="single" w:sz="4" w:space="0" w:color="auto"/>
              <w:left w:val="single" w:sz="4" w:space="0" w:color="auto"/>
              <w:bottom w:val="single" w:sz="4" w:space="0" w:color="auto"/>
            </w:tcBorders>
            <w:shd w:val="clear" w:color="auto" w:fill="auto"/>
          </w:tcPr>
          <w:p w14:paraId="69902764" w14:textId="77777777" w:rsidR="007027AF" w:rsidRPr="001330BD" w:rsidRDefault="007027AF" w:rsidP="007027AF">
            <w:pPr>
              <w:pStyle w:val="ListParagraph"/>
              <w:shd w:val="clear" w:color="auto" w:fill="FFFFFF"/>
              <w:spacing w:before="40" w:after="40" w:line="240" w:lineRule="auto"/>
              <w:ind w:left="0"/>
              <w:contextualSpacing w:val="0"/>
              <w:jc w:val="both"/>
              <w:rPr>
                <w:rFonts w:ascii="Times New Roman" w:hAnsi="Times New Roman"/>
                <w:sz w:val="24"/>
                <w:szCs w:val="24"/>
                <w:lang w:eastAsia="lv-LV"/>
              </w:rPr>
            </w:pPr>
            <w:r w:rsidRPr="001330BD">
              <w:rPr>
                <w:rFonts w:ascii="Times New Roman" w:hAnsi="Times New Roman"/>
                <w:sz w:val="24"/>
                <w:szCs w:val="24"/>
                <w:lang w:eastAsia="lv-LV"/>
              </w:rPr>
              <w:t>Noteikumu projekta anotācijas 2.punkts ir precizēts</w:t>
            </w:r>
          </w:p>
        </w:tc>
      </w:tr>
      <w:tr w:rsidR="007027AF" w:rsidRPr="001330BD" w14:paraId="0916C9C5" w14:textId="77777777" w:rsidTr="00D57698">
        <w:trPr>
          <w:jc w:val="center"/>
        </w:trPr>
        <w:tc>
          <w:tcPr>
            <w:tcW w:w="637" w:type="dxa"/>
            <w:vMerge w:val="restart"/>
            <w:tcBorders>
              <w:top w:val="single" w:sz="6" w:space="0" w:color="000000"/>
              <w:left w:val="single" w:sz="6" w:space="0" w:color="000000"/>
              <w:right w:val="single" w:sz="6" w:space="0" w:color="000000"/>
            </w:tcBorders>
            <w:shd w:val="clear" w:color="auto" w:fill="auto"/>
          </w:tcPr>
          <w:p w14:paraId="03A1DE99" w14:textId="065478D5" w:rsidR="007027AF" w:rsidRPr="001330BD" w:rsidRDefault="00AF210A" w:rsidP="007027AF">
            <w:pPr>
              <w:pStyle w:val="naisc"/>
              <w:spacing w:before="40" w:after="40"/>
              <w:rPr>
                <w:b/>
              </w:rPr>
            </w:pPr>
            <w:r w:rsidRPr="001330BD">
              <w:rPr>
                <w:b/>
              </w:rPr>
              <w:t>27</w:t>
            </w:r>
          </w:p>
        </w:tc>
        <w:tc>
          <w:tcPr>
            <w:tcW w:w="3041" w:type="dxa"/>
            <w:vMerge w:val="restart"/>
            <w:tcBorders>
              <w:top w:val="single" w:sz="6" w:space="0" w:color="000000"/>
              <w:left w:val="single" w:sz="6" w:space="0" w:color="000000"/>
              <w:right w:val="single" w:sz="6" w:space="0" w:color="000000"/>
            </w:tcBorders>
            <w:shd w:val="clear" w:color="auto" w:fill="auto"/>
          </w:tcPr>
          <w:p w14:paraId="73E55717" w14:textId="77777777" w:rsidR="007027AF" w:rsidRPr="001330BD" w:rsidRDefault="007027AF" w:rsidP="007027AF">
            <w:pPr>
              <w:pStyle w:val="ListParagraph"/>
              <w:shd w:val="clear" w:color="auto" w:fill="FFFFFF"/>
              <w:spacing w:before="40" w:after="40" w:line="240" w:lineRule="auto"/>
              <w:ind w:left="0"/>
              <w:contextualSpacing w:val="0"/>
              <w:jc w:val="both"/>
              <w:rPr>
                <w:rFonts w:ascii="Times New Roman" w:hAnsi="Times New Roman"/>
                <w:color w:val="000000" w:themeColor="text1"/>
                <w:sz w:val="24"/>
                <w:szCs w:val="24"/>
                <w:lang w:eastAsia="lv-LV"/>
              </w:rPr>
            </w:pPr>
            <w:r w:rsidRPr="001330BD">
              <w:rPr>
                <w:rFonts w:ascii="Times New Roman" w:hAnsi="Times New Roman"/>
                <w:color w:val="000000" w:themeColor="text1"/>
                <w:sz w:val="24"/>
                <w:szCs w:val="24"/>
                <w:lang w:eastAsia="lv-LV"/>
              </w:rPr>
              <w:t>Anotācijas II sadaļas 3.punkts</w:t>
            </w:r>
          </w:p>
        </w:tc>
        <w:tc>
          <w:tcPr>
            <w:tcW w:w="4047" w:type="dxa"/>
            <w:tcBorders>
              <w:top w:val="single" w:sz="6" w:space="0" w:color="000000"/>
              <w:left w:val="single" w:sz="6" w:space="0" w:color="000000"/>
              <w:bottom w:val="single" w:sz="6" w:space="0" w:color="000000"/>
              <w:right w:val="single" w:sz="6" w:space="0" w:color="000000"/>
            </w:tcBorders>
            <w:shd w:val="clear" w:color="auto" w:fill="auto"/>
          </w:tcPr>
          <w:p w14:paraId="404B0072" w14:textId="77777777" w:rsidR="007027AF" w:rsidRPr="001330BD" w:rsidRDefault="007027AF" w:rsidP="007027AF">
            <w:pPr>
              <w:widowControl w:val="0"/>
              <w:spacing w:before="40" w:after="40"/>
              <w:jc w:val="center"/>
              <w:rPr>
                <w:b/>
              </w:rPr>
            </w:pPr>
            <w:r w:rsidRPr="001330BD">
              <w:rPr>
                <w:b/>
              </w:rPr>
              <w:t>Lauku atbalsta dienesta viedoklis</w:t>
            </w:r>
          </w:p>
          <w:p w14:paraId="185CEF41" w14:textId="77777777" w:rsidR="007027AF" w:rsidRPr="001330BD" w:rsidRDefault="007027AF" w:rsidP="007027AF">
            <w:pPr>
              <w:widowControl w:val="0"/>
              <w:spacing w:before="40" w:after="40"/>
              <w:jc w:val="center"/>
              <w:rPr>
                <w:b/>
              </w:rPr>
            </w:pPr>
            <w:r w:rsidRPr="001330BD">
              <w:rPr>
                <w:b/>
              </w:rPr>
              <w:t>(2018.gada 22.novembris)</w:t>
            </w:r>
          </w:p>
          <w:p w14:paraId="40536249" w14:textId="77777777" w:rsidR="007027AF" w:rsidRPr="001330BD" w:rsidRDefault="007027AF" w:rsidP="007027AF">
            <w:pPr>
              <w:widowControl w:val="0"/>
              <w:spacing w:before="40" w:after="40"/>
              <w:jc w:val="both"/>
              <w:rPr>
                <w:b/>
              </w:rPr>
            </w:pPr>
            <w:r w:rsidRPr="001330BD">
              <w:t>6. Nepieciešams precizējums anotācijā. Saskaņā ar Lauku atbalsta dienesta līgumu ar IT izstrādātāju, tad vienas darba stundas izmaksas ir 40 EUR. Nav saprotams kādā veidā EM nonākusi pie aprēķina 160 darba stundas programmēšanas.</w:t>
            </w:r>
          </w:p>
        </w:tc>
        <w:tc>
          <w:tcPr>
            <w:tcW w:w="2899" w:type="dxa"/>
            <w:vMerge w:val="restart"/>
            <w:tcBorders>
              <w:top w:val="single" w:sz="6" w:space="0" w:color="000000"/>
              <w:left w:val="single" w:sz="6" w:space="0" w:color="000000"/>
              <w:right w:val="single" w:sz="6" w:space="0" w:color="000000"/>
            </w:tcBorders>
            <w:shd w:val="clear" w:color="auto" w:fill="auto"/>
          </w:tcPr>
          <w:p w14:paraId="59EE63E8" w14:textId="77777777" w:rsidR="007027AF" w:rsidRPr="001330BD" w:rsidRDefault="007027AF" w:rsidP="007027AF">
            <w:pPr>
              <w:spacing w:before="40" w:after="40"/>
              <w:jc w:val="center"/>
              <w:rPr>
                <w:b/>
                <w:iCs/>
              </w:rPr>
            </w:pPr>
            <w:r w:rsidRPr="001330BD">
              <w:rPr>
                <w:b/>
                <w:iCs/>
              </w:rPr>
              <w:t>Ņemts vērā</w:t>
            </w:r>
          </w:p>
        </w:tc>
        <w:tc>
          <w:tcPr>
            <w:tcW w:w="4368" w:type="dxa"/>
            <w:vMerge w:val="restart"/>
            <w:tcBorders>
              <w:top w:val="single" w:sz="4" w:space="0" w:color="auto"/>
              <w:left w:val="single" w:sz="4" w:space="0" w:color="auto"/>
            </w:tcBorders>
            <w:shd w:val="clear" w:color="auto" w:fill="auto"/>
          </w:tcPr>
          <w:p w14:paraId="297BAFDF" w14:textId="77777777" w:rsidR="007027AF" w:rsidRPr="001330BD" w:rsidRDefault="007027AF" w:rsidP="007027AF">
            <w:pPr>
              <w:pStyle w:val="ListParagraph"/>
              <w:shd w:val="clear" w:color="auto" w:fill="FFFFFF"/>
              <w:spacing w:before="40" w:after="40" w:line="240" w:lineRule="auto"/>
              <w:ind w:left="0"/>
              <w:contextualSpacing w:val="0"/>
              <w:jc w:val="both"/>
              <w:rPr>
                <w:rFonts w:ascii="Times New Roman" w:hAnsi="Times New Roman"/>
                <w:sz w:val="24"/>
                <w:szCs w:val="24"/>
                <w:lang w:eastAsia="lv-LV"/>
              </w:rPr>
            </w:pPr>
            <w:r w:rsidRPr="001330BD">
              <w:rPr>
                <w:rFonts w:ascii="Times New Roman" w:hAnsi="Times New Roman"/>
                <w:sz w:val="24"/>
                <w:szCs w:val="24"/>
                <w:lang w:eastAsia="lv-LV"/>
              </w:rPr>
              <w:t>Anotācijas II sadaļas 3.punkts ir precizēts</w:t>
            </w:r>
          </w:p>
        </w:tc>
      </w:tr>
      <w:tr w:rsidR="007027AF" w:rsidRPr="001330BD" w14:paraId="781C9267" w14:textId="77777777" w:rsidTr="00D57698">
        <w:trPr>
          <w:jc w:val="center"/>
        </w:trPr>
        <w:tc>
          <w:tcPr>
            <w:tcW w:w="637" w:type="dxa"/>
            <w:vMerge/>
            <w:tcBorders>
              <w:left w:val="single" w:sz="6" w:space="0" w:color="000000"/>
              <w:bottom w:val="single" w:sz="6" w:space="0" w:color="000000"/>
              <w:right w:val="single" w:sz="6" w:space="0" w:color="000000"/>
            </w:tcBorders>
            <w:shd w:val="clear" w:color="auto" w:fill="auto"/>
          </w:tcPr>
          <w:p w14:paraId="4A47302E" w14:textId="77777777" w:rsidR="007027AF" w:rsidRPr="001330BD" w:rsidRDefault="007027AF" w:rsidP="007027AF">
            <w:pPr>
              <w:pStyle w:val="naisc"/>
              <w:spacing w:before="40" w:after="40"/>
              <w:rPr>
                <w:b/>
              </w:rPr>
            </w:pPr>
          </w:p>
        </w:tc>
        <w:tc>
          <w:tcPr>
            <w:tcW w:w="3041" w:type="dxa"/>
            <w:vMerge/>
            <w:tcBorders>
              <w:left w:val="single" w:sz="6" w:space="0" w:color="000000"/>
              <w:bottom w:val="single" w:sz="6" w:space="0" w:color="000000"/>
              <w:right w:val="single" w:sz="6" w:space="0" w:color="000000"/>
            </w:tcBorders>
            <w:shd w:val="clear" w:color="auto" w:fill="auto"/>
          </w:tcPr>
          <w:p w14:paraId="28103598" w14:textId="77777777" w:rsidR="007027AF" w:rsidRPr="001330BD" w:rsidRDefault="007027AF" w:rsidP="007027AF">
            <w:pPr>
              <w:pStyle w:val="ListParagraph"/>
              <w:shd w:val="clear" w:color="auto" w:fill="FFFFFF"/>
              <w:spacing w:before="40" w:after="40" w:line="240" w:lineRule="auto"/>
              <w:ind w:left="0"/>
              <w:contextualSpacing w:val="0"/>
              <w:jc w:val="both"/>
              <w:rPr>
                <w:rFonts w:ascii="Times New Roman" w:hAnsi="Times New Roman"/>
                <w:color w:val="000000" w:themeColor="text1"/>
                <w:sz w:val="24"/>
                <w:szCs w:val="24"/>
                <w:lang w:eastAsia="lv-LV"/>
              </w:rPr>
            </w:pPr>
          </w:p>
        </w:tc>
        <w:tc>
          <w:tcPr>
            <w:tcW w:w="4047" w:type="dxa"/>
            <w:tcBorders>
              <w:top w:val="single" w:sz="6" w:space="0" w:color="000000"/>
              <w:left w:val="single" w:sz="6" w:space="0" w:color="000000"/>
              <w:bottom w:val="single" w:sz="6" w:space="0" w:color="000000"/>
              <w:right w:val="single" w:sz="6" w:space="0" w:color="000000"/>
            </w:tcBorders>
            <w:shd w:val="clear" w:color="auto" w:fill="auto"/>
          </w:tcPr>
          <w:p w14:paraId="10E4DCBE" w14:textId="77777777" w:rsidR="007027AF" w:rsidRPr="001330BD" w:rsidRDefault="007027AF" w:rsidP="007027AF">
            <w:pPr>
              <w:widowControl w:val="0"/>
              <w:spacing w:before="40" w:after="40"/>
              <w:jc w:val="center"/>
              <w:rPr>
                <w:b/>
              </w:rPr>
            </w:pPr>
            <w:r w:rsidRPr="001330BD">
              <w:rPr>
                <w:b/>
              </w:rPr>
              <w:t>Lauku atbalsta dienesta viedoklis</w:t>
            </w:r>
          </w:p>
          <w:p w14:paraId="36F5144E" w14:textId="77777777" w:rsidR="007027AF" w:rsidRPr="001330BD" w:rsidRDefault="007027AF" w:rsidP="007027AF">
            <w:pPr>
              <w:widowControl w:val="0"/>
              <w:spacing w:before="40" w:after="40"/>
              <w:jc w:val="center"/>
              <w:rPr>
                <w:b/>
              </w:rPr>
            </w:pPr>
            <w:r w:rsidRPr="001330BD">
              <w:rPr>
                <w:b/>
              </w:rPr>
              <w:t>(2018.gada 22.novembris)</w:t>
            </w:r>
          </w:p>
          <w:p w14:paraId="7318BF69" w14:textId="77777777" w:rsidR="007027AF" w:rsidRPr="001330BD" w:rsidRDefault="007027AF" w:rsidP="007027AF">
            <w:pPr>
              <w:widowControl w:val="0"/>
              <w:spacing w:before="40" w:after="40"/>
              <w:rPr>
                <w:b/>
              </w:rPr>
            </w:pPr>
            <w:r w:rsidRPr="001330BD">
              <w:t>7. Tiklīdz būs skaidrība par galīgo ieviešanas shēmu tā Lauku atbalsta dienestam būs jāizvērtē vai ir nepieciešamas izmaiņas IT sistēmā. Līdz ar to varētu precizēties anotācijas redakcija.</w:t>
            </w:r>
          </w:p>
        </w:tc>
        <w:tc>
          <w:tcPr>
            <w:tcW w:w="2899" w:type="dxa"/>
            <w:vMerge/>
            <w:tcBorders>
              <w:left w:val="single" w:sz="6" w:space="0" w:color="000000"/>
              <w:bottom w:val="single" w:sz="6" w:space="0" w:color="000000"/>
              <w:right w:val="single" w:sz="6" w:space="0" w:color="000000"/>
            </w:tcBorders>
            <w:shd w:val="clear" w:color="auto" w:fill="auto"/>
          </w:tcPr>
          <w:p w14:paraId="17741F80" w14:textId="77777777" w:rsidR="007027AF" w:rsidRPr="001330BD" w:rsidRDefault="007027AF" w:rsidP="007027AF">
            <w:pPr>
              <w:spacing w:before="40" w:after="40"/>
              <w:jc w:val="center"/>
              <w:rPr>
                <w:b/>
                <w:iCs/>
              </w:rPr>
            </w:pPr>
          </w:p>
        </w:tc>
        <w:tc>
          <w:tcPr>
            <w:tcW w:w="4368" w:type="dxa"/>
            <w:vMerge/>
            <w:tcBorders>
              <w:left w:val="single" w:sz="4" w:space="0" w:color="auto"/>
              <w:bottom w:val="single" w:sz="4" w:space="0" w:color="auto"/>
            </w:tcBorders>
            <w:shd w:val="clear" w:color="auto" w:fill="auto"/>
          </w:tcPr>
          <w:p w14:paraId="5CE92AD2" w14:textId="77777777" w:rsidR="007027AF" w:rsidRPr="001330BD" w:rsidRDefault="007027AF" w:rsidP="007027AF">
            <w:pPr>
              <w:pStyle w:val="ListParagraph"/>
              <w:shd w:val="clear" w:color="auto" w:fill="FFFFFF"/>
              <w:spacing w:before="40" w:after="40" w:line="240" w:lineRule="auto"/>
              <w:ind w:left="0"/>
              <w:contextualSpacing w:val="0"/>
              <w:jc w:val="both"/>
              <w:rPr>
                <w:rFonts w:ascii="Times New Roman" w:hAnsi="Times New Roman"/>
                <w:sz w:val="24"/>
                <w:szCs w:val="24"/>
                <w:lang w:eastAsia="lv-LV"/>
              </w:rPr>
            </w:pPr>
          </w:p>
        </w:tc>
      </w:tr>
      <w:tr w:rsidR="007027AF" w:rsidRPr="001330BD" w14:paraId="049A6609"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shd w:val="clear" w:color="auto" w:fill="auto"/>
          </w:tcPr>
          <w:p w14:paraId="7B119B53" w14:textId="78B0FC5A" w:rsidR="007027AF" w:rsidRPr="001330BD" w:rsidRDefault="00AF210A" w:rsidP="007027AF">
            <w:pPr>
              <w:pStyle w:val="naisc"/>
              <w:spacing w:before="40" w:after="40"/>
              <w:rPr>
                <w:b/>
              </w:rPr>
            </w:pPr>
            <w:r w:rsidRPr="001330BD">
              <w:rPr>
                <w:b/>
              </w:rPr>
              <w:t>28</w:t>
            </w:r>
          </w:p>
        </w:tc>
        <w:tc>
          <w:tcPr>
            <w:tcW w:w="3041" w:type="dxa"/>
            <w:tcBorders>
              <w:top w:val="single" w:sz="6" w:space="0" w:color="000000"/>
              <w:left w:val="single" w:sz="6" w:space="0" w:color="000000"/>
              <w:bottom w:val="single" w:sz="6" w:space="0" w:color="000000"/>
              <w:right w:val="single" w:sz="6" w:space="0" w:color="000000"/>
            </w:tcBorders>
            <w:shd w:val="clear" w:color="auto" w:fill="auto"/>
          </w:tcPr>
          <w:p w14:paraId="6D80C86B" w14:textId="77777777" w:rsidR="007027AF" w:rsidRPr="001330BD" w:rsidRDefault="007027AF" w:rsidP="007027AF">
            <w:pPr>
              <w:pStyle w:val="ListParagraph"/>
              <w:shd w:val="clear" w:color="auto" w:fill="FFFFFF"/>
              <w:spacing w:before="40" w:after="40" w:line="240" w:lineRule="auto"/>
              <w:ind w:left="0"/>
              <w:contextualSpacing w:val="0"/>
              <w:jc w:val="both"/>
              <w:rPr>
                <w:rFonts w:ascii="Times New Roman" w:hAnsi="Times New Roman"/>
                <w:color w:val="000000" w:themeColor="text1"/>
                <w:sz w:val="24"/>
                <w:szCs w:val="24"/>
                <w:lang w:eastAsia="lv-LV"/>
              </w:rPr>
            </w:pPr>
          </w:p>
        </w:tc>
        <w:tc>
          <w:tcPr>
            <w:tcW w:w="4047" w:type="dxa"/>
            <w:tcBorders>
              <w:top w:val="single" w:sz="6" w:space="0" w:color="000000"/>
              <w:left w:val="single" w:sz="6" w:space="0" w:color="000000"/>
              <w:bottom w:val="single" w:sz="6" w:space="0" w:color="000000"/>
              <w:right w:val="single" w:sz="6" w:space="0" w:color="000000"/>
            </w:tcBorders>
            <w:shd w:val="clear" w:color="auto" w:fill="auto"/>
          </w:tcPr>
          <w:p w14:paraId="3F05CCC3" w14:textId="77777777" w:rsidR="007027AF" w:rsidRPr="001330BD" w:rsidRDefault="007027AF" w:rsidP="007027AF">
            <w:pPr>
              <w:widowControl w:val="0"/>
              <w:spacing w:before="40" w:after="40"/>
              <w:jc w:val="center"/>
              <w:rPr>
                <w:b/>
              </w:rPr>
            </w:pPr>
            <w:r w:rsidRPr="001330BD">
              <w:rPr>
                <w:b/>
              </w:rPr>
              <w:t>Tieslietu ministrija</w:t>
            </w:r>
          </w:p>
          <w:p w14:paraId="5C8D228A" w14:textId="77777777" w:rsidR="007027AF" w:rsidRPr="001330BD" w:rsidRDefault="007027AF" w:rsidP="007027AF">
            <w:pPr>
              <w:widowControl w:val="0"/>
              <w:spacing w:before="40" w:after="40"/>
              <w:jc w:val="center"/>
              <w:rPr>
                <w:b/>
              </w:rPr>
            </w:pPr>
            <w:r w:rsidRPr="001330BD">
              <w:rPr>
                <w:b/>
              </w:rPr>
              <w:t>(2018.gada 14.decembra atzinums)</w:t>
            </w:r>
          </w:p>
          <w:p w14:paraId="0095A816" w14:textId="4133A459" w:rsidR="007027AF" w:rsidRPr="001330BD" w:rsidRDefault="007027AF" w:rsidP="007027AF">
            <w:pPr>
              <w:rPr>
                <w:b/>
              </w:rPr>
            </w:pPr>
            <w:r w:rsidRPr="001330BD">
              <w:t xml:space="preserve">1. Norādām, ka projektam pievienotais </w:t>
            </w:r>
            <w:proofErr w:type="spellStart"/>
            <w:r w:rsidRPr="001330BD">
              <w:t>protokollēmums</w:t>
            </w:r>
            <w:proofErr w:type="spellEnd"/>
            <w:r w:rsidRPr="001330BD">
              <w:t xml:space="preserve"> šajā gadījumā un šādā redakcijā nav nepieciešams (tas satur tikai vienu punktu un neparedz kādu konkrētu pienākumu). Pienākums izdot </w:t>
            </w:r>
            <w:r w:rsidRPr="001330BD">
              <w:lastRenderedPageBreak/>
              <w:t>jaunus Ministru kabineta noteikumus, kas nosaka biodegvielas ilgtspējības kritērijus, to ieviešanas mehānismu, kā arī uzraudzības un kontroles kārtību, izrietēs no pieņemtā likumprojekta “Transporta enerģijas likums” (turpmāk - likumprojekts). Tādējādi lūdzam precizēt projekta anotācijas IV sadaļu, iekļaujot tajā izziņā norādīto skaidrojumu par Transporta enerģijas likumu un tajā paredzēto deleģējumu izdot jaunus minētos Ministru kabineta noteikumus.</w:t>
            </w:r>
          </w:p>
        </w:tc>
        <w:tc>
          <w:tcPr>
            <w:tcW w:w="2899" w:type="dxa"/>
            <w:tcBorders>
              <w:top w:val="single" w:sz="6" w:space="0" w:color="000000"/>
              <w:left w:val="single" w:sz="6" w:space="0" w:color="000000"/>
              <w:bottom w:val="single" w:sz="6" w:space="0" w:color="000000"/>
              <w:right w:val="single" w:sz="6" w:space="0" w:color="000000"/>
            </w:tcBorders>
            <w:shd w:val="clear" w:color="auto" w:fill="auto"/>
          </w:tcPr>
          <w:p w14:paraId="0237561A" w14:textId="7B9AC917" w:rsidR="007027AF" w:rsidRPr="001330BD" w:rsidRDefault="007027AF" w:rsidP="007027AF">
            <w:pPr>
              <w:spacing w:before="40" w:after="40"/>
              <w:jc w:val="center"/>
              <w:rPr>
                <w:b/>
                <w:iCs/>
              </w:rPr>
            </w:pPr>
            <w:r w:rsidRPr="001330BD">
              <w:rPr>
                <w:b/>
                <w:iCs/>
              </w:rPr>
              <w:lastRenderedPageBreak/>
              <w:t>Ņemts vērā</w:t>
            </w:r>
          </w:p>
          <w:p w14:paraId="00164369" w14:textId="4402DA12" w:rsidR="007027AF" w:rsidRPr="001330BD" w:rsidRDefault="007027AF" w:rsidP="007027AF">
            <w:pPr>
              <w:spacing w:before="40" w:after="40"/>
              <w:rPr>
                <w:iCs/>
              </w:rPr>
            </w:pPr>
            <w:r w:rsidRPr="001330BD">
              <w:rPr>
                <w:iCs/>
              </w:rPr>
              <w:t xml:space="preserve">Noteikumu projekta </w:t>
            </w:r>
            <w:proofErr w:type="spellStart"/>
            <w:r w:rsidRPr="001330BD">
              <w:rPr>
                <w:iCs/>
              </w:rPr>
              <w:t>protokollēmums</w:t>
            </w:r>
            <w:proofErr w:type="spellEnd"/>
            <w:r w:rsidRPr="001330BD">
              <w:rPr>
                <w:iCs/>
              </w:rPr>
              <w:t xml:space="preserve"> ir svītrots.</w:t>
            </w:r>
          </w:p>
          <w:p w14:paraId="3C74C439" w14:textId="669896D2" w:rsidR="007027AF" w:rsidRPr="001330BD" w:rsidRDefault="007027AF" w:rsidP="007027AF">
            <w:pPr>
              <w:spacing w:before="40" w:after="40"/>
              <w:rPr>
                <w:iCs/>
              </w:rPr>
            </w:pPr>
          </w:p>
          <w:p w14:paraId="30642B50" w14:textId="77777777" w:rsidR="007027AF" w:rsidRPr="001330BD" w:rsidRDefault="007027AF" w:rsidP="007027AF">
            <w:pPr>
              <w:spacing w:before="40" w:after="40"/>
              <w:jc w:val="both"/>
              <w:rPr>
                <w:iCs/>
              </w:rPr>
            </w:pPr>
            <w:r w:rsidRPr="001330BD">
              <w:rPr>
                <w:iCs/>
              </w:rPr>
              <w:t xml:space="preserve">Noteikumu projekts tiks virzīts apstiprināšanai Ministru kabinetā ar </w:t>
            </w:r>
            <w:r w:rsidRPr="001330BD">
              <w:rPr>
                <w:iCs/>
              </w:rPr>
              <w:lastRenderedPageBreak/>
              <w:t>līdzšinējos Ministru kabineta noteikumu Nr.545 deleģējumu.</w:t>
            </w:r>
          </w:p>
          <w:p w14:paraId="085E072C" w14:textId="24917F61" w:rsidR="007027AF" w:rsidRPr="001330BD" w:rsidRDefault="007027AF" w:rsidP="007027AF">
            <w:pPr>
              <w:spacing w:before="40" w:after="40"/>
              <w:rPr>
                <w:iCs/>
              </w:rPr>
            </w:pPr>
            <w:r w:rsidRPr="001330BD">
              <w:rPr>
                <w:iCs/>
              </w:rPr>
              <w:t>Pēc Transporta enerģijas likuma spēkā stāšanās tiks sagatavots noteikumu projekts par Ministru kabineta noteikumu Nr.545 grozījumiem, lai attiecīgi veiktu papildinājumus Ministru kabineta noteikumu Nr.545 deleģējumā.</w:t>
            </w:r>
          </w:p>
        </w:tc>
        <w:tc>
          <w:tcPr>
            <w:tcW w:w="4368" w:type="dxa"/>
            <w:tcBorders>
              <w:top w:val="single" w:sz="4" w:space="0" w:color="auto"/>
              <w:left w:val="single" w:sz="4" w:space="0" w:color="auto"/>
              <w:bottom w:val="single" w:sz="4" w:space="0" w:color="auto"/>
            </w:tcBorders>
            <w:shd w:val="clear" w:color="auto" w:fill="auto"/>
          </w:tcPr>
          <w:p w14:paraId="1A45D8C9" w14:textId="7FD835B6" w:rsidR="007027AF" w:rsidRPr="001330BD" w:rsidRDefault="007027AF" w:rsidP="007027AF">
            <w:pPr>
              <w:pStyle w:val="ListParagraph"/>
              <w:shd w:val="clear" w:color="auto" w:fill="FFFFFF"/>
              <w:spacing w:before="40" w:after="40" w:line="240" w:lineRule="auto"/>
              <w:ind w:left="0"/>
              <w:contextualSpacing w:val="0"/>
              <w:jc w:val="both"/>
              <w:rPr>
                <w:rFonts w:ascii="Times New Roman" w:hAnsi="Times New Roman"/>
                <w:sz w:val="24"/>
                <w:szCs w:val="24"/>
                <w:lang w:eastAsia="lv-LV"/>
              </w:rPr>
            </w:pPr>
            <w:r w:rsidRPr="001330BD">
              <w:rPr>
                <w:rFonts w:ascii="Times New Roman" w:hAnsi="Times New Roman"/>
                <w:sz w:val="24"/>
                <w:szCs w:val="24"/>
                <w:lang w:eastAsia="lv-LV"/>
              </w:rPr>
              <w:lastRenderedPageBreak/>
              <w:t>Noteikumu projekta anotācijas IV sadaļa ir attiecīgi papildināta.</w:t>
            </w:r>
          </w:p>
        </w:tc>
      </w:tr>
      <w:tr w:rsidR="007027AF" w:rsidRPr="001330BD" w14:paraId="2D3BFA42"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shd w:val="clear" w:color="auto" w:fill="auto"/>
          </w:tcPr>
          <w:p w14:paraId="7B296AA2" w14:textId="082FECD6" w:rsidR="007027AF" w:rsidRPr="001330BD" w:rsidRDefault="00AF210A" w:rsidP="007027AF">
            <w:pPr>
              <w:pStyle w:val="naisc"/>
              <w:spacing w:before="40" w:after="40"/>
              <w:rPr>
                <w:b/>
              </w:rPr>
            </w:pPr>
            <w:r w:rsidRPr="001330BD">
              <w:rPr>
                <w:b/>
              </w:rPr>
              <w:t>29</w:t>
            </w:r>
          </w:p>
        </w:tc>
        <w:tc>
          <w:tcPr>
            <w:tcW w:w="3041" w:type="dxa"/>
            <w:tcBorders>
              <w:top w:val="single" w:sz="6" w:space="0" w:color="000000"/>
              <w:left w:val="single" w:sz="6" w:space="0" w:color="000000"/>
              <w:bottom w:val="single" w:sz="6" w:space="0" w:color="000000"/>
              <w:right w:val="single" w:sz="6" w:space="0" w:color="000000"/>
            </w:tcBorders>
            <w:shd w:val="clear" w:color="auto" w:fill="auto"/>
          </w:tcPr>
          <w:p w14:paraId="7EECB45F" w14:textId="77777777" w:rsidR="007027AF" w:rsidRPr="001330BD" w:rsidRDefault="007027AF" w:rsidP="007027AF">
            <w:pPr>
              <w:pStyle w:val="ListParagraph"/>
              <w:shd w:val="clear" w:color="auto" w:fill="FFFFFF"/>
              <w:spacing w:before="40" w:after="40" w:line="240" w:lineRule="auto"/>
              <w:ind w:left="0"/>
              <w:contextualSpacing w:val="0"/>
              <w:jc w:val="both"/>
              <w:rPr>
                <w:rFonts w:ascii="Times New Roman" w:hAnsi="Times New Roman"/>
                <w:color w:val="000000" w:themeColor="text1"/>
                <w:sz w:val="24"/>
                <w:szCs w:val="24"/>
                <w:lang w:eastAsia="lv-LV"/>
              </w:rPr>
            </w:pPr>
          </w:p>
        </w:tc>
        <w:tc>
          <w:tcPr>
            <w:tcW w:w="4047" w:type="dxa"/>
            <w:tcBorders>
              <w:top w:val="single" w:sz="6" w:space="0" w:color="000000"/>
              <w:left w:val="single" w:sz="6" w:space="0" w:color="000000"/>
              <w:bottom w:val="single" w:sz="6" w:space="0" w:color="000000"/>
              <w:right w:val="single" w:sz="6" w:space="0" w:color="000000"/>
            </w:tcBorders>
            <w:shd w:val="clear" w:color="auto" w:fill="auto"/>
          </w:tcPr>
          <w:p w14:paraId="59D09387" w14:textId="77777777" w:rsidR="007027AF" w:rsidRPr="001330BD" w:rsidRDefault="007027AF" w:rsidP="007027AF">
            <w:pPr>
              <w:widowControl w:val="0"/>
              <w:spacing w:before="40" w:after="40"/>
              <w:jc w:val="center"/>
              <w:rPr>
                <w:b/>
              </w:rPr>
            </w:pPr>
            <w:r w:rsidRPr="001330BD">
              <w:rPr>
                <w:b/>
              </w:rPr>
              <w:t>Tieslietu ministrija</w:t>
            </w:r>
          </w:p>
          <w:p w14:paraId="31B874FD" w14:textId="77777777" w:rsidR="007027AF" w:rsidRPr="001330BD" w:rsidRDefault="007027AF" w:rsidP="007027AF">
            <w:pPr>
              <w:widowControl w:val="0"/>
              <w:spacing w:before="40" w:after="40"/>
              <w:jc w:val="center"/>
              <w:rPr>
                <w:b/>
              </w:rPr>
            </w:pPr>
            <w:r w:rsidRPr="001330BD">
              <w:rPr>
                <w:b/>
              </w:rPr>
              <w:t>(2018.gada 18.oktobra atzinums)</w:t>
            </w:r>
          </w:p>
          <w:p w14:paraId="0C6CEAAD" w14:textId="77777777" w:rsidR="007027AF" w:rsidRPr="001330BD" w:rsidRDefault="007027AF" w:rsidP="007027AF">
            <w:pPr>
              <w:tabs>
                <w:tab w:val="left" w:pos="709"/>
                <w:tab w:val="left" w:pos="2742"/>
              </w:tabs>
              <w:spacing w:before="40" w:after="40"/>
              <w:rPr>
                <w:bCs/>
                <w:iCs/>
              </w:rPr>
            </w:pPr>
            <w:r w:rsidRPr="001330BD">
              <w:rPr>
                <w:bCs/>
                <w:iCs/>
              </w:rPr>
              <w:t>7. Ņemot vērā, ka projekta 7. punktā izteiktajā 8.</w:t>
            </w:r>
            <w:r w:rsidRPr="001330BD">
              <w:rPr>
                <w:bCs/>
                <w:iCs/>
                <w:vertAlign w:val="superscript"/>
              </w:rPr>
              <w:t>2</w:t>
            </w:r>
            <w:r w:rsidRPr="001330BD">
              <w:rPr>
                <w:bCs/>
                <w:iCs/>
              </w:rPr>
              <w:t xml:space="preserve"> punktā ir ieviestas</w:t>
            </w:r>
            <w:r w:rsidRPr="001330BD">
              <w:t xml:space="preserve"> </w:t>
            </w:r>
            <w:r w:rsidRPr="001330BD">
              <w:rPr>
                <w:bCs/>
                <w:iCs/>
              </w:rPr>
              <w:t>Eiropas Parlamenta un Padomes 2013. gada 17. decembra Regulas (ES) Nr. 1306/2013 par kopējās lauksaimniecības politikas finansēšanu, pārvaldību un uzraudzību un Padomes Regulu (EEK) Nr. 352/78, (EK) Nr. 165/94, (EK) Nr. 2799/98, (EK) Nr. 814/2000, (EK) Nr. 1290/2005 un (EK) Nr. 485/2008 atcelšanu (turpmāk – Regula Nr. 1306/2013) normas, lūdzam papildināt projekta anotācijas V sadaļas 1. tabulu ar informāciju par projektā ieviestajām Regulas Nr. 1306/2013 normām.</w:t>
            </w:r>
          </w:p>
        </w:tc>
        <w:tc>
          <w:tcPr>
            <w:tcW w:w="2899" w:type="dxa"/>
            <w:tcBorders>
              <w:top w:val="single" w:sz="6" w:space="0" w:color="000000"/>
              <w:left w:val="single" w:sz="6" w:space="0" w:color="000000"/>
              <w:bottom w:val="single" w:sz="6" w:space="0" w:color="000000"/>
              <w:right w:val="single" w:sz="6" w:space="0" w:color="000000"/>
            </w:tcBorders>
            <w:shd w:val="clear" w:color="auto" w:fill="auto"/>
          </w:tcPr>
          <w:p w14:paraId="49739D61" w14:textId="77777777" w:rsidR="007027AF" w:rsidRPr="001330BD" w:rsidRDefault="007027AF" w:rsidP="007027AF">
            <w:pPr>
              <w:spacing w:before="40" w:after="40"/>
              <w:jc w:val="center"/>
              <w:rPr>
                <w:iCs/>
              </w:rPr>
            </w:pPr>
            <w:r w:rsidRPr="001330BD">
              <w:rPr>
                <w:b/>
                <w:iCs/>
              </w:rPr>
              <w:t>Ņemts vērā</w:t>
            </w:r>
          </w:p>
        </w:tc>
        <w:tc>
          <w:tcPr>
            <w:tcW w:w="4368" w:type="dxa"/>
            <w:tcBorders>
              <w:top w:val="single" w:sz="4" w:space="0" w:color="auto"/>
              <w:left w:val="single" w:sz="4" w:space="0" w:color="auto"/>
              <w:bottom w:val="single" w:sz="4" w:space="0" w:color="auto"/>
            </w:tcBorders>
            <w:shd w:val="clear" w:color="auto" w:fill="auto"/>
          </w:tcPr>
          <w:p w14:paraId="7369645B" w14:textId="77777777" w:rsidR="007027AF" w:rsidRPr="001330BD" w:rsidRDefault="007027AF" w:rsidP="007027AF">
            <w:pPr>
              <w:pStyle w:val="ListParagraph"/>
              <w:shd w:val="clear" w:color="auto" w:fill="FFFFFF"/>
              <w:spacing w:before="40" w:after="40" w:line="240" w:lineRule="auto"/>
              <w:ind w:left="0"/>
              <w:contextualSpacing w:val="0"/>
              <w:jc w:val="both"/>
              <w:rPr>
                <w:rFonts w:ascii="Times New Roman" w:hAnsi="Times New Roman"/>
                <w:sz w:val="24"/>
                <w:szCs w:val="24"/>
                <w:lang w:eastAsia="lv-LV"/>
              </w:rPr>
            </w:pPr>
            <w:r w:rsidRPr="001330BD">
              <w:rPr>
                <w:rFonts w:ascii="Times New Roman" w:hAnsi="Times New Roman"/>
                <w:sz w:val="24"/>
                <w:szCs w:val="24"/>
                <w:lang w:eastAsia="lv-LV"/>
              </w:rPr>
              <w:t>Noteikumu projekta V sadaļas 1.tabula ir precizēta</w:t>
            </w:r>
          </w:p>
        </w:tc>
      </w:tr>
      <w:tr w:rsidR="007027AF" w:rsidRPr="001330BD" w14:paraId="1276E041"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tcPr>
          <w:p w14:paraId="70FC91E9" w14:textId="61F10852" w:rsidR="007027AF" w:rsidRPr="001330BD" w:rsidRDefault="00AF210A" w:rsidP="007027AF">
            <w:pPr>
              <w:pStyle w:val="naisc"/>
              <w:spacing w:before="40" w:after="40"/>
              <w:rPr>
                <w:b/>
              </w:rPr>
            </w:pPr>
            <w:r w:rsidRPr="001330BD">
              <w:rPr>
                <w:b/>
              </w:rPr>
              <w:t>30</w:t>
            </w:r>
          </w:p>
        </w:tc>
        <w:tc>
          <w:tcPr>
            <w:tcW w:w="3041" w:type="dxa"/>
            <w:tcBorders>
              <w:top w:val="single" w:sz="6" w:space="0" w:color="000000"/>
              <w:left w:val="single" w:sz="6" w:space="0" w:color="000000"/>
              <w:bottom w:val="single" w:sz="6" w:space="0" w:color="000000"/>
              <w:right w:val="single" w:sz="6" w:space="0" w:color="000000"/>
            </w:tcBorders>
          </w:tcPr>
          <w:p w14:paraId="247692FB" w14:textId="77777777" w:rsidR="007027AF" w:rsidRPr="001330BD" w:rsidRDefault="007027AF" w:rsidP="007027AF">
            <w:pPr>
              <w:shd w:val="clear" w:color="auto" w:fill="FFFFFF"/>
              <w:spacing w:before="40" w:after="40"/>
              <w:jc w:val="both"/>
              <w:rPr>
                <w:color w:val="000000" w:themeColor="text1"/>
              </w:rPr>
            </w:pPr>
            <w:r w:rsidRPr="001330BD">
              <w:rPr>
                <w:color w:val="000000" w:themeColor="text1"/>
              </w:rPr>
              <w:t>Noteikumu projekta anotācijas V sadaļas 1.tabula</w:t>
            </w:r>
          </w:p>
        </w:tc>
        <w:tc>
          <w:tcPr>
            <w:tcW w:w="4047" w:type="dxa"/>
            <w:tcBorders>
              <w:top w:val="single" w:sz="6" w:space="0" w:color="000000"/>
              <w:left w:val="single" w:sz="6" w:space="0" w:color="000000"/>
              <w:bottom w:val="single" w:sz="6" w:space="0" w:color="000000"/>
              <w:right w:val="single" w:sz="6" w:space="0" w:color="000000"/>
            </w:tcBorders>
          </w:tcPr>
          <w:p w14:paraId="73F15A0F" w14:textId="77777777" w:rsidR="007027AF" w:rsidRPr="001330BD" w:rsidRDefault="007027AF" w:rsidP="007027AF">
            <w:pPr>
              <w:widowControl w:val="0"/>
              <w:spacing w:before="40" w:after="40"/>
              <w:jc w:val="center"/>
              <w:rPr>
                <w:b/>
              </w:rPr>
            </w:pPr>
            <w:r w:rsidRPr="001330BD">
              <w:rPr>
                <w:b/>
              </w:rPr>
              <w:t>Tieslietu ministrija</w:t>
            </w:r>
          </w:p>
          <w:p w14:paraId="0D18D81B" w14:textId="77777777" w:rsidR="007027AF" w:rsidRPr="001330BD" w:rsidRDefault="007027AF" w:rsidP="007027AF">
            <w:pPr>
              <w:widowControl w:val="0"/>
              <w:spacing w:before="40" w:after="40"/>
              <w:jc w:val="center"/>
              <w:rPr>
                <w:b/>
              </w:rPr>
            </w:pPr>
            <w:r w:rsidRPr="001330BD">
              <w:rPr>
                <w:b/>
              </w:rPr>
              <w:t>(2018.gada 18.oktobra atzinums)</w:t>
            </w:r>
          </w:p>
          <w:p w14:paraId="0D273198" w14:textId="77777777" w:rsidR="007027AF" w:rsidRPr="001330BD" w:rsidRDefault="007027AF" w:rsidP="007027AF">
            <w:pPr>
              <w:tabs>
                <w:tab w:val="left" w:pos="709"/>
                <w:tab w:val="left" w:pos="993"/>
              </w:tabs>
              <w:spacing w:before="40" w:after="40"/>
              <w:rPr>
                <w:bCs/>
                <w:iCs/>
              </w:rPr>
            </w:pPr>
            <w:r w:rsidRPr="001330BD">
              <w:rPr>
                <w:bCs/>
                <w:iCs/>
              </w:rPr>
              <w:lastRenderedPageBreak/>
              <w:t>4. Projekta anotācijas V sadaļas 1. tabulā norādīts, ka projekta 3. punktā izteiktajā 2.2. apakšpunktā, kas nosaka terminu “bioloģiskais šķidrais kurināmais”, ir pārņemts Eiropas Parlamenta un Padomes 2015. gada 9. septembra direktīvas (ES) 2015/1513, ar kuru groza direktīvu 98/70/EK, kas attiecas uz benzīna un dīzeļdegvielu kvalitāti, un direktīvu 2009/28/EK par atjaunojamo energoresursu izmantošanas veicināšanu (turpmāk – Direktīva 2015/1513) 1. panta 1. punkts. Direktīvas 1. panta 1. punktā Direktīvas 98/70/EK 2. pants papildināts ar 10. punktu, kas nosaka terminu  - “no atjaunojamiem energoresursiem ražota nebioloģiskas izcelsmes šķidrā vai gāzveida transporta degviela”, nosakot, ka tā “ir šķidrā vai gāzveida degviela, kura nav biodegviela un kuras energoietilpību rada atjaunojamie energoresursi, izņemot biomasu, un kuru izmanto transportā”.</w:t>
            </w:r>
          </w:p>
          <w:p w14:paraId="33A64705" w14:textId="77777777" w:rsidR="007027AF" w:rsidRPr="001330BD" w:rsidRDefault="007027AF" w:rsidP="007027AF">
            <w:pPr>
              <w:tabs>
                <w:tab w:val="left" w:pos="709"/>
                <w:tab w:val="left" w:pos="2742"/>
              </w:tabs>
              <w:spacing w:before="40" w:after="40"/>
              <w:rPr>
                <w:bCs/>
                <w:iCs/>
              </w:rPr>
            </w:pPr>
            <w:r w:rsidRPr="001330BD">
              <w:rPr>
                <w:bCs/>
                <w:iCs/>
              </w:rPr>
              <w:t xml:space="preserve">Tādējādi lūdzam precizēt projekta 3. punktā izteikto 2.2. apakšpunktu, nodrošinot tā atbilstību Direktīvas 2015/1513 1. panta 1. punktam, vai arī skaidrot projekta anotācijā minētajā projekta 2.2. apakšpunktā izteiktā termina “bioloģiskais šķidrais </w:t>
            </w:r>
            <w:r w:rsidRPr="001330BD">
              <w:rPr>
                <w:bCs/>
                <w:iCs/>
              </w:rPr>
              <w:lastRenderedPageBreak/>
              <w:t>kurināmais” un tā skaidrojuma pamatotību un norādīt Eiropas Savienības direktīvu, kuras nosacījumi ir pārņemti minētajā 2.2. apakšpunktā.</w:t>
            </w:r>
          </w:p>
        </w:tc>
        <w:tc>
          <w:tcPr>
            <w:tcW w:w="2899" w:type="dxa"/>
            <w:tcBorders>
              <w:top w:val="single" w:sz="6" w:space="0" w:color="000000"/>
              <w:left w:val="single" w:sz="6" w:space="0" w:color="000000"/>
              <w:bottom w:val="single" w:sz="6" w:space="0" w:color="000000"/>
              <w:right w:val="single" w:sz="6" w:space="0" w:color="000000"/>
            </w:tcBorders>
          </w:tcPr>
          <w:p w14:paraId="0CFF6A81" w14:textId="77777777" w:rsidR="007027AF" w:rsidRPr="001330BD" w:rsidRDefault="007027AF" w:rsidP="007027AF">
            <w:pPr>
              <w:spacing w:before="40" w:after="40"/>
              <w:jc w:val="center"/>
              <w:rPr>
                <w:b/>
                <w:iCs/>
              </w:rPr>
            </w:pPr>
            <w:r w:rsidRPr="001330BD">
              <w:rPr>
                <w:b/>
                <w:iCs/>
              </w:rPr>
              <w:lastRenderedPageBreak/>
              <w:t>Ņemts vērā</w:t>
            </w:r>
          </w:p>
        </w:tc>
        <w:tc>
          <w:tcPr>
            <w:tcW w:w="4368" w:type="dxa"/>
            <w:tcBorders>
              <w:top w:val="single" w:sz="4" w:space="0" w:color="auto"/>
              <w:left w:val="single" w:sz="4" w:space="0" w:color="auto"/>
              <w:bottom w:val="single" w:sz="4" w:space="0" w:color="auto"/>
            </w:tcBorders>
          </w:tcPr>
          <w:p w14:paraId="3DA5889E" w14:textId="77777777" w:rsidR="007027AF" w:rsidRPr="001330BD" w:rsidRDefault="007027AF" w:rsidP="007027AF">
            <w:pPr>
              <w:shd w:val="clear" w:color="auto" w:fill="FFFFFF"/>
              <w:spacing w:before="40" w:after="40"/>
              <w:jc w:val="both"/>
            </w:pPr>
            <w:r w:rsidRPr="001330BD">
              <w:rPr>
                <w:color w:val="000000" w:themeColor="text1"/>
              </w:rPr>
              <w:t>Noteikumu projekta anotācijas V sadaļas 1.tabula ir precizēta</w:t>
            </w:r>
          </w:p>
        </w:tc>
      </w:tr>
      <w:tr w:rsidR="007027AF" w:rsidRPr="001330BD" w14:paraId="74A48B25"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tcPr>
          <w:p w14:paraId="7585E2B2" w14:textId="5EFC46A9" w:rsidR="007027AF" w:rsidRPr="001330BD" w:rsidRDefault="00AF210A" w:rsidP="007027AF">
            <w:pPr>
              <w:pStyle w:val="naisc"/>
              <w:spacing w:before="40" w:after="40"/>
              <w:rPr>
                <w:b/>
              </w:rPr>
            </w:pPr>
            <w:r w:rsidRPr="001330BD">
              <w:rPr>
                <w:b/>
              </w:rPr>
              <w:lastRenderedPageBreak/>
              <w:t>31</w:t>
            </w:r>
          </w:p>
        </w:tc>
        <w:tc>
          <w:tcPr>
            <w:tcW w:w="3041" w:type="dxa"/>
            <w:tcBorders>
              <w:top w:val="single" w:sz="6" w:space="0" w:color="000000"/>
              <w:left w:val="single" w:sz="6" w:space="0" w:color="000000"/>
              <w:bottom w:val="single" w:sz="6" w:space="0" w:color="000000"/>
              <w:right w:val="single" w:sz="6" w:space="0" w:color="000000"/>
            </w:tcBorders>
          </w:tcPr>
          <w:p w14:paraId="2C56B2A3" w14:textId="77777777" w:rsidR="007027AF" w:rsidRPr="001330BD" w:rsidRDefault="007027AF" w:rsidP="007027AF">
            <w:pPr>
              <w:pStyle w:val="naisc"/>
              <w:spacing w:before="40" w:after="40"/>
              <w:jc w:val="both"/>
              <w:rPr>
                <w:color w:val="000000" w:themeColor="text1"/>
              </w:rPr>
            </w:pPr>
            <w:r w:rsidRPr="001330BD">
              <w:rPr>
                <w:color w:val="000000" w:themeColor="text1"/>
              </w:rPr>
              <w:t>Noteikumu projekta anotācijas V sadaļas 1.tabula</w:t>
            </w:r>
          </w:p>
          <w:p w14:paraId="150FE751" w14:textId="77777777" w:rsidR="007027AF" w:rsidRPr="001330BD" w:rsidRDefault="007027AF" w:rsidP="007027AF">
            <w:pPr>
              <w:pStyle w:val="naisc"/>
              <w:spacing w:before="40" w:after="40"/>
              <w:jc w:val="both"/>
              <w:rPr>
                <w:color w:val="000000" w:themeColor="text1"/>
              </w:rPr>
            </w:pPr>
          </w:p>
          <w:p w14:paraId="1E29C893" w14:textId="77777777" w:rsidR="007027AF" w:rsidRPr="001330BD" w:rsidRDefault="007027AF" w:rsidP="007027AF">
            <w:pPr>
              <w:pStyle w:val="naisc"/>
              <w:spacing w:before="40" w:after="40"/>
              <w:jc w:val="both"/>
              <w:rPr>
                <w:color w:val="000000" w:themeColor="text1"/>
              </w:rPr>
            </w:pPr>
            <w:r w:rsidRPr="001330BD">
              <w:rPr>
                <w:color w:val="000000" w:themeColor="text1"/>
              </w:rPr>
              <w:t>Noteikumu projekta 4.punktā izteiktais Noteikumu Nr.545 2.16.apakšpunkts:</w:t>
            </w:r>
          </w:p>
          <w:p w14:paraId="44006114" w14:textId="77777777" w:rsidR="007027AF" w:rsidRPr="001330BD" w:rsidRDefault="007027AF" w:rsidP="007027AF">
            <w:pPr>
              <w:spacing w:before="40" w:after="40"/>
            </w:pPr>
            <w:r w:rsidRPr="001330BD">
              <w:rPr>
                <w:color w:val="000000" w:themeColor="text1"/>
              </w:rPr>
              <w:t>“</w:t>
            </w:r>
            <w:r w:rsidRPr="001330BD">
              <w:rPr>
                <w:shd w:val="clear" w:color="auto" w:fill="FFFFFF"/>
              </w:rPr>
              <w:t>2.16. n</w:t>
            </w:r>
            <w:r w:rsidRPr="001330BD">
              <w:t>eliela netiešas zemes izmantošanas maiņas riska biodegviela un bioloģiskais šķidrais kurināmais – biodegviela un bioloģiskais šķidrais kurināmais, kuru izejvielas ir iegūtas vai ražotas tādās shēmās, kas samazina ražošanas pārvietošanu citiem nolūkiem, kuri nav biodegvielas un bioloģiskā šķidrā kurināmā ražošana, un kas ir ražotas saskaņā ar šajos noteikumos noteiktajiem biodegvielas un bioloģiskā šķidrā kurināmā ilgtspējas kritērijiem;”</w:t>
            </w:r>
          </w:p>
        </w:tc>
        <w:tc>
          <w:tcPr>
            <w:tcW w:w="4047" w:type="dxa"/>
            <w:tcBorders>
              <w:top w:val="single" w:sz="6" w:space="0" w:color="000000"/>
              <w:left w:val="single" w:sz="6" w:space="0" w:color="000000"/>
              <w:bottom w:val="single" w:sz="6" w:space="0" w:color="000000"/>
              <w:right w:val="single" w:sz="6" w:space="0" w:color="000000"/>
            </w:tcBorders>
          </w:tcPr>
          <w:p w14:paraId="5D992683" w14:textId="77777777" w:rsidR="007027AF" w:rsidRPr="001330BD" w:rsidRDefault="007027AF" w:rsidP="007027AF">
            <w:pPr>
              <w:widowControl w:val="0"/>
              <w:spacing w:before="40" w:after="40"/>
              <w:jc w:val="center"/>
              <w:rPr>
                <w:b/>
              </w:rPr>
            </w:pPr>
            <w:r w:rsidRPr="001330BD">
              <w:rPr>
                <w:b/>
              </w:rPr>
              <w:t>Tieslietu ministrija</w:t>
            </w:r>
          </w:p>
          <w:p w14:paraId="57675F28" w14:textId="77777777" w:rsidR="007027AF" w:rsidRPr="001330BD" w:rsidRDefault="007027AF" w:rsidP="007027AF">
            <w:pPr>
              <w:widowControl w:val="0"/>
              <w:spacing w:before="40" w:after="40"/>
              <w:jc w:val="center"/>
              <w:rPr>
                <w:b/>
              </w:rPr>
            </w:pPr>
            <w:r w:rsidRPr="001330BD">
              <w:rPr>
                <w:b/>
              </w:rPr>
              <w:t>(2018.gada 18.oktobra atzinums)</w:t>
            </w:r>
          </w:p>
          <w:p w14:paraId="33BA6D21" w14:textId="77777777" w:rsidR="007027AF" w:rsidRPr="001330BD" w:rsidRDefault="007027AF" w:rsidP="007027AF">
            <w:pPr>
              <w:tabs>
                <w:tab w:val="left" w:pos="709"/>
                <w:tab w:val="left" w:pos="2742"/>
              </w:tabs>
              <w:spacing w:before="40" w:after="40"/>
              <w:rPr>
                <w:bCs/>
                <w:iCs/>
              </w:rPr>
            </w:pPr>
            <w:r w:rsidRPr="001330BD">
              <w:rPr>
                <w:bCs/>
                <w:iCs/>
              </w:rPr>
              <w:t>5. Lūdzam precizēt projekta anotācijas V sadaļas 1. tabulas A aili, norādot atbilstošas Direktīvas 2015/1513 normas, kurās ir izteikti grozījumi Direktīva 2009/28/EK, kas ir pārņemti projekta 3. punktā izteiktajā 2.16. apakšpunktā. Vēršam uzmanību, ka termins “neliela netiešas zemes izmantošanas maiņas riska biodegviela un bioloģiskais šķidrais kurināmais” ir izteikts Direktīvas 2015/1513 2. pantā.</w:t>
            </w:r>
          </w:p>
          <w:p w14:paraId="11F95E89" w14:textId="77777777" w:rsidR="007027AF" w:rsidRPr="001330BD" w:rsidRDefault="007027AF" w:rsidP="007027AF">
            <w:pPr>
              <w:tabs>
                <w:tab w:val="left" w:pos="709"/>
                <w:tab w:val="left" w:pos="2742"/>
              </w:tabs>
              <w:spacing w:before="40" w:after="40"/>
              <w:rPr>
                <w:bCs/>
                <w:iCs/>
              </w:rPr>
            </w:pPr>
            <w:r w:rsidRPr="001330BD">
              <w:rPr>
                <w:bCs/>
                <w:iCs/>
              </w:rPr>
              <w:t>Vienlaikus lūdzam izvērtēt nepieciešamību svītrot minētajā 2.16. apakšpunktā vārdu “iegūtas”, ņemot vērā, ka Direktīvas 2015/1513 2. pantā izteiktajā Direktīvas 2009/28/EK 2. panta otrās daļas “w” apakšpunktā un Direktīvas 2015/1513 preambulā attiecībā uz izejvielām ir lietots jēdziens “ražotas”.</w:t>
            </w:r>
          </w:p>
          <w:p w14:paraId="26AC758D" w14:textId="77777777" w:rsidR="007027AF" w:rsidRPr="001330BD" w:rsidRDefault="007027AF" w:rsidP="007027AF">
            <w:pPr>
              <w:tabs>
                <w:tab w:val="left" w:pos="709"/>
                <w:tab w:val="left" w:pos="2742"/>
              </w:tabs>
              <w:spacing w:before="40" w:after="40"/>
              <w:rPr>
                <w:bCs/>
                <w:iCs/>
              </w:rPr>
            </w:pPr>
            <w:r w:rsidRPr="001330BD">
              <w:rPr>
                <w:bCs/>
                <w:iCs/>
              </w:rPr>
              <w:t xml:space="preserve">Lūdzam izvērtēt un precizēt projekta anotācijas V sadaļas 1. tabulas A aili un B aili, norādot atbilstošas ES direktīvu vienības, kas tiek pārņemtas projektā un projekta vienības, kurās ir pārņemtas ES direktīvu prasības, </w:t>
            </w:r>
            <w:r w:rsidRPr="001330BD">
              <w:rPr>
                <w:bCs/>
                <w:iCs/>
              </w:rPr>
              <w:lastRenderedPageBreak/>
              <w:t>atbilstoši Ministru kabineta 2009. gada 15. decembra instrukcijas Nr.19 “Tiesību akta projekta sākotnējās ietekmes izvērtēšanas kārtība” (turpmāk - instrukcija) 56.2. apakšpunktam.</w:t>
            </w:r>
          </w:p>
        </w:tc>
        <w:tc>
          <w:tcPr>
            <w:tcW w:w="2899" w:type="dxa"/>
            <w:tcBorders>
              <w:top w:val="single" w:sz="6" w:space="0" w:color="000000"/>
              <w:left w:val="single" w:sz="6" w:space="0" w:color="000000"/>
              <w:bottom w:val="single" w:sz="6" w:space="0" w:color="000000"/>
              <w:right w:val="single" w:sz="6" w:space="0" w:color="000000"/>
            </w:tcBorders>
          </w:tcPr>
          <w:p w14:paraId="41267C83" w14:textId="77777777" w:rsidR="007027AF" w:rsidRPr="001330BD" w:rsidRDefault="007027AF" w:rsidP="007027AF">
            <w:pPr>
              <w:spacing w:before="40" w:after="40"/>
              <w:jc w:val="center"/>
              <w:rPr>
                <w:b/>
                <w:iCs/>
              </w:rPr>
            </w:pPr>
            <w:r w:rsidRPr="001330BD">
              <w:rPr>
                <w:b/>
                <w:iCs/>
              </w:rPr>
              <w:lastRenderedPageBreak/>
              <w:t>Ņemts vērā</w:t>
            </w:r>
          </w:p>
        </w:tc>
        <w:tc>
          <w:tcPr>
            <w:tcW w:w="4368" w:type="dxa"/>
            <w:tcBorders>
              <w:top w:val="single" w:sz="4" w:space="0" w:color="auto"/>
              <w:left w:val="single" w:sz="4" w:space="0" w:color="auto"/>
              <w:bottom w:val="single" w:sz="4" w:space="0" w:color="auto"/>
            </w:tcBorders>
          </w:tcPr>
          <w:p w14:paraId="7C8382B4" w14:textId="77777777" w:rsidR="007027AF" w:rsidRPr="001330BD" w:rsidRDefault="007027AF" w:rsidP="007027AF">
            <w:pPr>
              <w:shd w:val="clear" w:color="auto" w:fill="FFFFFF"/>
              <w:spacing w:before="40" w:after="40"/>
              <w:jc w:val="both"/>
              <w:rPr>
                <w:color w:val="000000" w:themeColor="text1"/>
              </w:rPr>
            </w:pPr>
            <w:r w:rsidRPr="001330BD">
              <w:rPr>
                <w:color w:val="000000" w:themeColor="text1"/>
              </w:rPr>
              <w:t>Noteikumu projekta anotācijas V sadaļas 1.tabula ir precizēta</w:t>
            </w:r>
          </w:p>
          <w:p w14:paraId="5C3A40C7" w14:textId="77777777" w:rsidR="007027AF" w:rsidRPr="001330BD" w:rsidRDefault="007027AF" w:rsidP="007027AF">
            <w:pPr>
              <w:shd w:val="clear" w:color="auto" w:fill="FFFFFF"/>
              <w:spacing w:before="40" w:after="40"/>
              <w:jc w:val="both"/>
              <w:rPr>
                <w:color w:val="000000" w:themeColor="text1"/>
              </w:rPr>
            </w:pPr>
          </w:p>
          <w:p w14:paraId="41D40934" w14:textId="77777777" w:rsidR="007027AF" w:rsidRPr="001330BD" w:rsidRDefault="007027AF" w:rsidP="007027AF">
            <w:pPr>
              <w:pStyle w:val="naisc"/>
              <w:spacing w:before="40" w:after="40"/>
              <w:jc w:val="both"/>
              <w:rPr>
                <w:color w:val="000000" w:themeColor="text1"/>
              </w:rPr>
            </w:pPr>
            <w:r w:rsidRPr="001330BD">
              <w:rPr>
                <w:color w:val="000000" w:themeColor="text1"/>
              </w:rPr>
              <w:t>Noteikumu projekta 4.punktā izteiktais Noteikumu Nr.545 2.16.apakšpunkts:</w:t>
            </w:r>
          </w:p>
          <w:p w14:paraId="7E71F3D7" w14:textId="77777777" w:rsidR="007027AF" w:rsidRPr="001330BD" w:rsidRDefault="007027AF" w:rsidP="007027AF">
            <w:pPr>
              <w:spacing w:before="40" w:after="40"/>
            </w:pPr>
            <w:r w:rsidRPr="001330BD">
              <w:rPr>
                <w:shd w:val="clear" w:color="auto" w:fill="FFFFFF"/>
              </w:rPr>
              <w:t>“2.16. n</w:t>
            </w:r>
            <w:r w:rsidRPr="001330BD">
              <w:t>eliela netiešas zemes izmantošanas maiņas riska biodegviela un bioloģiskais šķidrais kurināmais – biodegviela un bioloģiskais šķidrais kurināmais, kuru izejvielas ir ražotas tādās shēmās, kas samazina ražošanas pārvietošanu citiem nolūkiem, kuri nav biodegvielas un bioloģiskā šķidrā kurināmā ražošana, un kas ir ražotas saskaņā ar šajos noteikumos noteiktajiem biodegvielas un bioloģiskā šķidrā kurināmā ilgtspējas kritērijiem;”</w:t>
            </w:r>
          </w:p>
        </w:tc>
      </w:tr>
      <w:tr w:rsidR="007027AF" w:rsidRPr="001330BD" w14:paraId="5A1170AF"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shd w:val="clear" w:color="auto" w:fill="auto"/>
          </w:tcPr>
          <w:p w14:paraId="677AF703" w14:textId="7296C278" w:rsidR="007027AF" w:rsidRPr="001330BD" w:rsidRDefault="00AF210A" w:rsidP="007027AF">
            <w:pPr>
              <w:pStyle w:val="naisc"/>
              <w:spacing w:before="40" w:after="40"/>
              <w:rPr>
                <w:b/>
              </w:rPr>
            </w:pPr>
            <w:r w:rsidRPr="001330BD">
              <w:rPr>
                <w:b/>
              </w:rPr>
              <w:t>32</w:t>
            </w:r>
          </w:p>
        </w:tc>
        <w:tc>
          <w:tcPr>
            <w:tcW w:w="3041" w:type="dxa"/>
            <w:tcBorders>
              <w:top w:val="single" w:sz="6" w:space="0" w:color="000000"/>
              <w:left w:val="single" w:sz="6" w:space="0" w:color="000000"/>
              <w:bottom w:val="single" w:sz="6" w:space="0" w:color="000000"/>
              <w:right w:val="single" w:sz="6" w:space="0" w:color="000000"/>
            </w:tcBorders>
            <w:shd w:val="clear" w:color="auto" w:fill="auto"/>
          </w:tcPr>
          <w:p w14:paraId="73630F92" w14:textId="77777777" w:rsidR="007027AF" w:rsidRPr="001330BD" w:rsidRDefault="007027AF" w:rsidP="007027AF">
            <w:pPr>
              <w:pStyle w:val="naisc"/>
              <w:spacing w:before="40" w:after="40"/>
              <w:jc w:val="both"/>
              <w:rPr>
                <w:color w:val="000000" w:themeColor="text1"/>
              </w:rPr>
            </w:pPr>
            <w:r w:rsidRPr="001330BD">
              <w:rPr>
                <w:color w:val="000000" w:themeColor="text1"/>
              </w:rPr>
              <w:t>Noteikumu projekta anotācijas V sadaļas 1.tabula</w:t>
            </w:r>
          </w:p>
          <w:p w14:paraId="3A5939F1" w14:textId="77777777" w:rsidR="007027AF" w:rsidRPr="001330BD" w:rsidRDefault="007027AF" w:rsidP="007027AF">
            <w:pPr>
              <w:pStyle w:val="naisc"/>
              <w:spacing w:before="40" w:after="40"/>
              <w:jc w:val="both"/>
            </w:pPr>
          </w:p>
        </w:tc>
        <w:tc>
          <w:tcPr>
            <w:tcW w:w="4047" w:type="dxa"/>
            <w:tcBorders>
              <w:top w:val="single" w:sz="6" w:space="0" w:color="000000"/>
              <w:left w:val="single" w:sz="6" w:space="0" w:color="000000"/>
              <w:bottom w:val="single" w:sz="6" w:space="0" w:color="000000"/>
              <w:right w:val="single" w:sz="6" w:space="0" w:color="000000"/>
            </w:tcBorders>
            <w:shd w:val="clear" w:color="auto" w:fill="auto"/>
          </w:tcPr>
          <w:p w14:paraId="0C10AD98" w14:textId="77777777" w:rsidR="007027AF" w:rsidRPr="001330BD" w:rsidRDefault="007027AF" w:rsidP="007027AF">
            <w:pPr>
              <w:widowControl w:val="0"/>
              <w:spacing w:before="40" w:after="40"/>
              <w:jc w:val="center"/>
              <w:rPr>
                <w:b/>
              </w:rPr>
            </w:pPr>
            <w:r w:rsidRPr="001330BD">
              <w:rPr>
                <w:b/>
              </w:rPr>
              <w:t>Tieslietu ministrija</w:t>
            </w:r>
          </w:p>
          <w:p w14:paraId="76E047ED" w14:textId="77777777" w:rsidR="007027AF" w:rsidRPr="001330BD" w:rsidRDefault="007027AF" w:rsidP="007027AF">
            <w:pPr>
              <w:widowControl w:val="0"/>
              <w:spacing w:before="40" w:after="40"/>
              <w:jc w:val="center"/>
              <w:rPr>
                <w:b/>
              </w:rPr>
            </w:pPr>
            <w:r w:rsidRPr="001330BD">
              <w:rPr>
                <w:b/>
              </w:rPr>
              <w:t>(2018.gada 18.oktobra atzinums)</w:t>
            </w:r>
          </w:p>
          <w:p w14:paraId="153459A5" w14:textId="77777777" w:rsidR="007027AF" w:rsidRPr="001330BD" w:rsidRDefault="007027AF" w:rsidP="007027AF">
            <w:pPr>
              <w:tabs>
                <w:tab w:val="left" w:pos="709"/>
                <w:tab w:val="left" w:pos="2742"/>
              </w:tabs>
              <w:spacing w:before="40" w:after="40"/>
              <w:rPr>
                <w:bCs/>
                <w:iCs/>
              </w:rPr>
            </w:pPr>
            <w:r w:rsidRPr="001330BD">
              <w:rPr>
                <w:bCs/>
                <w:iCs/>
              </w:rPr>
              <w:t>11. Lūdzam norādīt projekta anotācijas V sadaļas 1. tabulas A ailē atbilstošas ES direktīvas normas, kas tiek pārņemtas projekta 9. punktā izteiktajā 11. punktā, lai būtu iespējams izvērtēt atbilstošu direktīvas prasību pārņemšanu.</w:t>
            </w:r>
          </w:p>
        </w:tc>
        <w:tc>
          <w:tcPr>
            <w:tcW w:w="2899" w:type="dxa"/>
            <w:tcBorders>
              <w:top w:val="single" w:sz="6" w:space="0" w:color="000000"/>
              <w:left w:val="single" w:sz="6" w:space="0" w:color="000000"/>
              <w:bottom w:val="single" w:sz="6" w:space="0" w:color="000000"/>
              <w:right w:val="single" w:sz="6" w:space="0" w:color="000000"/>
            </w:tcBorders>
            <w:shd w:val="clear" w:color="auto" w:fill="auto"/>
          </w:tcPr>
          <w:p w14:paraId="145FBCE0" w14:textId="77777777" w:rsidR="007027AF" w:rsidRPr="001330BD" w:rsidRDefault="007027AF" w:rsidP="007027AF">
            <w:pPr>
              <w:spacing w:before="40" w:after="40"/>
              <w:jc w:val="center"/>
              <w:rPr>
                <w:b/>
                <w:iCs/>
              </w:rPr>
            </w:pPr>
            <w:r w:rsidRPr="001330BD">
              <w:rPr>
                <w:b/>
                <w:iCs/>
              </w:rPr>
              <w:t>Ņemts vērā</w:t>
            </w:r>
          </w:p>
        </w:tc>
        <w:tc>
          <w:tcPr>
            <w:tcW w:w="4368" w:type="dxa"/>
            <w:tcBorders>
              <w:top w:val="single" w:sz="4" w:space="0" w:color="auto"/>
              <w:left w:val="single" w:sz="4" w:space="0" w:color="auto"/>
              <w:bottom w:val="single" w:sz="4" w:space="0" w:color="auto"/>
            </w:tcBorders>
            <w:shd w:val="clear" w:color="auto" w:fill="auto"/>
          </w:tcPr>
          <w:p w14:paraId="37DD9E1D" w14:textId="77777777" w:rsidR="007027AF" w:rsidRPr="001330BD" w:rsidRDefault="007027AF" w:rsidP="007027AF">
            <w:pPr>
              <w:shd w:val="clear" w:color="auto" w:fill="FFFFFF"/>
              <w:spacing w:before="40" w:after="40"/>
              <w:jc w:val="both"/>
              <w:rPr>
                <w:color w:val="000000" w:themeColor="text1"/>
              </w:rPr>
            </w:pPr>
            <w:r w:rsidRPr="001330BD">
              <w:rPr>
                <w:color w:val="000000" w:themeColor="text1"/>
              </w:rPr>
              <w:t>Noteikumu projekta anotācijas V sadaļas 1.tabula ir precizēta</w:t>
            </w:r>
          </w:p>
          <w:p w14:paraId="4C0795FA" w14:textId="77777777" w:rsidR="007027AF" w:rsidRPr="001330BD" w:rsidRDefault="007027AF" w:rsidP="007027AF">
            <w:pPr>
              <w:pStyle w:val="ListParagraph"/>
              <w:shd w:val="clear" w:color="auto" w:fill="FFFFFF"/>
              <w:spacing w:before="40" w:after="40" w:line="240" w:lineRule="auto"/>
              <w:ind w:left="0"/>
              <w:contextualSpacing w:val="0"/>
              <w:jc w:val="both"/>
              <w:rPr>
                <w:rFonts w:ascii="Times New Roman" w:hAnsi="Times New Roman"/>
                <w:sz w:val="24"/>
                <w:szCs w:val="24"/>
                <w:lang w:eastAsia="lv-LV"/>
              </w:rPr>
            </w:pPr>
          </w:p>
        </w:tc>
      </w:tr>
      <w:tr w:rsidR="007027AF" w:rsidRPr="001330BD" w14:paraId="257F8F3B"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tcPr>
          <w:p w14:paraId="6A1CD3BF" w14:textId="7DF3B4C1" w:rsidR="007027AF" w:rsidRPr="001330BD" w:rsidRDefault="00AF210A" w:rsidP="007027AF">
            <w:pPr>
              <w:pStyle w:val="naisc"/>
              <w:spacing w:before="40" w:after="40"/>
              <w:rPr>
                <w:b/>
              </w:rPr>
            </w:pPr>
            <w:r w:rsidRPr="001330BD">
              <w:rPr>
                <w:b/>
              </w:rPr>
              <w:t>33</w:t>
            </w:r>
          </w:p>
        </w:tc>
        <w:tc>
          <w:tcPr>
            <w:tcW w:w="3041" w:type="dxa"/>
            <w:tcBorders>
              <w:top w:val="single" w:sz="6" w:space="0" w:color="000000"/>
              <w:left w:val="single" w:sz="6" w:space="0" w:color="000000"/>
              <w:bottom w:val="single" w:sz="6" w:space="0" w:color="000000"/>
              <w:right w:val="single" w:sz="6" w:space="0" w:color="000000"/>
            </w:tcBorders>
          </w:tcPr>
          <w:p w14:paraId="6EF42EFC" w14:textId="77777777" w:rsidR="007027AF" w:rsidRPr="001330BD" w:rsidRDefault="007027AF" w:rsidP="007027AF">
            <w:pPr>
              <w:pStyle w:val="naisc"/>
              <w:spacing w:before="40" w:after="40"/>
              <w:jc w:val="both"/>
              <w:rPr>
                <w:color w:val="000000" w:themeColor="text1"/>
              </w:rPr>
            </w:pPr>
            <w:r w:rsidRPr="001330BD">
              <w:rPr>
                <w:color w:val="000000" w:themeColor="text1"/>
              </w:rPr>
              <w:t>Noteikumu projekta anotācijas V sadaļas 1.tabula</w:t>
            </w:r>
          </w:p>
          <w:p w14:paraId="28BB6944" w14:textId="77777777" w:rsidR="007027AF" w:rsidRPr="001330BD" w:rsidRDefault="007027AF" w:rsidP="007027AF">
            <w:pPr>
              <w:pStyle w:val="naisc"/>
              <w:spacing w:before="40" w:after="40"/>
              <w:jc w:val="both"/>
            </w:pPr>
          </w:p>
        </w:tc>
        <w:tc>
          <w:tcPr>
            <w:tcW w:w="4047" w:type="dxa"/>
            <w:tcBorders>
              <w:top w:val="single" w:sz="6" w:space="0" w:color="000000"/>
              <w:left w:val="single" w:sz="6" w:space="0" w:color="000000"/>
              <w:bottom w:val="single" w:sz="6" w:space="0" w:color="000000"/>
              <w:right w:val="single" w:sz="6" w:space="0" w:color="000000"/>
            </w:tcBorders>
          </w:tcPr>
          <w:p w14:paraId="38C228F3" w14:textId="77777777" w:rsidR="007027AF" w:rsidRPr="001330BD" w:rsidRDefault="007027AF" w:rsidP="007027AF">
            <w:pPr>
              <w:widowControl w:val="0"/>
              <w:spacing w:before="40" w:after="40"/>
              <w:jc w:val="center"/>
              <w:rPr>
                <w:b/>
              </w:rPr>
            </w:pPr>
            <w:r w:rsidRPr="001330BD">
              <w:rPr>
                <w:b/>
              </w:rPr>
              <w:t>Tieslietu ministrija</w:t>
            </w:r>
          </w:p>
          <w:p w14:paraId="0BA9C48D" w14:textId="77777777" w:rsidR="007027AF" w:rsidRPr="001330BD" w:rsidRDefault="007027AF" w:rsidP="007027AF">
            <w:pPr>
              <w:widowControl w:val="0"/>
              <w:spacing w:before="40" w:after="40"/>
              <w:jc w:val="center"/>
              <w:rPr>
                <w:b/>
              </w:rPr>
            </w:pPr>
            <w:r w:rsidRPr="001330BD">
              <w:rPr>
                <w:b/>
              </w:rPr>
              <w:t>(2018.gada 18.oktobra atzinums)</w:t>
            </w:r>
          </w:p>
          <w:p w14:paraId="0AE619A3" w14:textId="77777777" w:rsidR="007027AF" w:rsidRPr="001330BD" w:rsidRDefault="007027AF" w:rsidP="007027AF">
            <w:pPr>
              <w:tabs>
                <w:tab w:val="left" w:pos="709"/>
                <w:tab w:val="left" w:pos="2742"/>
              </w:tabs>
              <w:spacing w:before="40" w:after="40"/>
              <w:rPr>
                <w:bCs/>
                <w:iCs/>
              </w:rPr>
            </w:pPr>
            <w:r w:rsidRPr="001330BD">
              <w:rPr>
                <w:bCs/>
                <w:iCs/>
              </w:rPr>
              <w:t>12. Lūdzam projekta anotācijas V sadaļas 1. tabulas A ailē norādīt atbilstošu Direktīvas 2015/1513 normu, kas tiek pārņemta projekta 16. punktā izteiktajā 35. punktā.</w:t>
            </w:r>
          </w:p>
        </w:tc>
        <w:tc>
          <w:tcPr>
            <w:tcW w:w="2899" w:type="dxa"/>
            <w:tcBorders>
              <w:top w:val="single" w:sz="6" w:space="0" w:color="000000"/>
              <w:left w:val="single" w:sz="6" w:space="0" w:color="000000"/>
              <w:bottom w:val="single" w:sz="6" w:space="0" w:color="000000"/>
              <w:right w:val="single" w:sz="6" w:space="0" w:color="000000"/>
            </w:tcBorders>
          </w:tcPr>
          <w:p w14:paraId="38722F79" w14:textId="77777777" w:rsidR="007027AF" w:rsidRPr="001330BD" w:rsidRDefault="007027AF" w:rsidP="007027AF">
            <w:pPr>
              <w:spacing w:before="40" w:after="40"/>
              <w:jc w:val="center"/>
              <w:rPr>
                <w:b/>
                <w:iCs/>
              </w:rPr>
            </w:pPr>
            <w:r w:rsidRPr="001330BD">
              <w:rPr>
                <w:b/>
                <w:iCs/>
              </w:rPr>
              <w:t>Ņemts vērā</w:t>
            </w:r>
          </w:p>
        </w:tc>
        <w:tc>
          <w:tcPr>
            <w:tcW w:w="4368" w:type="dxa"/>
            <w:tcBorders>
              <w:top w:val="single" w:sz="4" w:space="0" w:color="auto"/>
              <w:left w:val="single" w:sz="4" w:space="0" w:color="auto"/>
              <w:bottom w:val="single" w:sz="4" w:space="0" w:color="auto"/>
            </w:tcBorders>
          </w:tcPr>
          <w:p w14:paraId="0F9403B6" w14:textId="77777777" w:rsidR="007027AF" w:rsidRPr="001330BD" w:rsidRDefault="007027AF" w:rsidP="007027AF">
            <w:pPr>
              <w:shd w:val="clear" w:color="auto" w:fill="FFFFFF"/>
              <w:spacing w:before="40" w:after="40"/>
              <w:jc w:val="both"/>
              <w:rPr>
                <w:color w:val="000000" w:themeColor="text1"/>
              </w:rPr>
            </w:pPr>
            <w:r w:rsidRPr="001330BD">
              <w:rPr>
                <w:color w:val="000000" w:themeColor="text1"/>
              </w:rPr>
              <w:t>Noteikumu projekta anotācijas V sadaļas 1.tabula ir precizēta</w:t>
            </w:r>
          </w:p>
          <w:p w14:paraId="3C5F0CEC" w14:textId="77777777" w:rsidR="007027AF" w:rsidRPr="001330BD" w:rsidRDefault="007027AF" w:rsidP="007027AF">
            <w:pPr>
              <w:shd w:val="clear" w:color="auto" w:fill="FFFFFF"/>
              <w:spacing w:before="40" w:after="40"/>
            </w:pPr>
          </w:p>
        </w:tc>
      </w:tr>
      <w:tr w:rsidR="007027AF" w:rsidRPr="001330BD" w14:paraId="3AF09EF4"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tcPr>
          <w:p w14:paraId="29A68794" w14:textId="430A3217" w:rsidR="007027AF" w:rsidRPr="001330BD" w:rsidRDefault="00AF210A" w:rsidP="007027AF">
            <w:pPr>
              <w:pStyle w:val="naisc"/>
              <w:spacing w:before="40" w:after="40"/>
              <w:rPr>
                <w:b/>
              </w:rPr>
            </w:pPr>
            <w:r w:rsidRPr="001330BD">
              <w:rPr>
                <w:b/>
              </w:rPr>
              <w:t>34</w:t>
            </w:r>
          </w:p>
        </w:tc>
        <w:tc>
          <w:tcPr>
            <w:tcW w:w="3041" w:type="dxa"/>
            <w:tcBorders>
              <w:top w:val="single" w:sz="6" w:space="0" w:color="000000"/>
              <w:left w:val="single" w:sz="6" w:space="0" w:color="000000"/>
              <w:bottom w:val="single" w:sz="6" w:space="0" w:color="000000"/>
              <w:right w:val="single" w:sz="6" w:space="0" w:color="000000"/>
            </w:tcBorders>
          </w:tcPr>
          <w:p w14:paraId="74ABF4A1" w14:textId="77777777" w:rsidR="007027AF" w:rsidRPr="001330BD" w:rsidRDefault="007027AF" w:rsidP="007027AF">
            <w:pPr>
              <w:pStyle w:val="naisc"/>
              <w:spacing w:before="40" w:after="40"/>
              <w:jc w:val="both"/>
              <w:rPr>
                <w:color w:val="000000" w:themeColor="text1"/>
              </w:rPr>
            </w:pPr>
            <w:r w:rsidRPr="001330BD">
              <w:rPr>
                <w:color w:val="000000" w:themeColor="text1"/>
              </w:rPr>
              <w:t>Noteikumu projekta anotācijas V sadaļas 1.tabula</w:t>
            </w:r>
          </w:p>
          <w:p w14:paraId="03D4C9B7" w14:textId="77777777" w:rsidR="007027AF" w:rsidRPr="001330BD" w:rsidRDefault="007027AF" w:rsidP="007027AF">
            <w:pPr>
              <w:shd w:val="clear" w:color="auto" w:fill="FFFFFF"/>
              <w:spacing w:before="40" w:after="40"/>
              <w:jc w:val="both"/>
              <w:rPr>
                <w:color w:val="000000" w:themeColor="text1"/>
              </w:rPr>
            </w:pPr>
          </w:p>
        </w:tc>
        <w:tc>
          <w:tcPr>
            <w:tcW w:w="4047" w:type="dxa"/>
            <w:tcBorders>
              <w:top w:val="single" w:sz="6" w:space="0" w:color="000000"/>
              <w:left w:val="single" w:sz="6" w:space="0" w:color="000000"/>
              <w:bottom w:val="single" w:sz="6" w:space="0" w:color="000000"/>
              <w:right w:val="single" w:sz="6" w:space="0" w:color="000000"/>
            </w:tcBorders>
          </w:tcPr>
          <w:p w14:paraId="154B2376" w14:textId="77777777" w:rsidR="007027AF" w:rsidRPr="001330BD" w:rsidRDefault="007027AF" w:rsidP="007027AF">
            <w:pPr>
              <w:widowControl w:val="0"/>
              <w:spacing w:before="40" w:after="40"/>
              <w:jc w:val="center"/>
              <w:rPr>
                <w:b/>
              </w:rPr>
            </w:pPr>
            <w:r w:rsidRPr="001330BD">
              <w:rPr>
                <w:b/>
              </w:rPr>
              <w:t>Tieslietu ministrija</w:t>
            </w:r>
          </w:p>
          <w:p w14:paraId="7E9C1F42" w14:textId="77777777" w:rsidR="007027AF" w:rsidRPr="001330BD" w:rsidRDefault="007027AF" w:rsidP="007027AF">
            <w:pPr>
              <w:widowControl w:val="0"/>
              <w:spacing w:before="40" w:after="40"/>
              <w:jc w:val="center"/>
              <w:rPr>
                <w:b/>
              </w:rPr>
            </w:pPr>
            <w:r w:rsidRPr="001330BD">
              <w:rPr>
                <w:b/>
              </w:rPr>
              <w:t>(2018.gada 18.oktobra atzinums)</w:t>
            </w:r>
          </w:p>
          <w:p w14:paraId="46682C6C" w14:textId="77777777" w:rsidR="007027AF" w:rsidRPr="001330BD" w:rsidRDefault="007027AF" w:rsidP="007027AF">
            <w:pPr>
              <w:tabs>
                <w:tab w:val="left" w:pos="709"/>
                <w:tab w:val="left" w:pos="2742"/>
              </w:tabs>
              <w:spacing w:before="40" w:after="40"/>
              <w:rPr>
                <w:bCs/>
                <w:iCs/>
              </w:rPr>
            </w:pPr>
            <w:r w:rsidRPr="001330BD">
              <w:rPr>
                <w:bCs/>
                <w:iCs/>
              </w:rPr>
              <w:t xml:space="preserve">13. Projekta anotācijas V sadaļas 1. tabulas sadaļā par rīcības brīvību dalībvalstīm norādīts, ka Direktīvas 98/70/EK 7.b panta 8. punkts un Direktīvas 2009/28/EK 17. panta 8. punkts noteic rīcības brīvību dalībvalstij. Norādām, ka minētās </w:t>
            </w:r>
            <w:r w:rsidRPr="001330BD">
              <w:rPr>
                <w:bCs/>
                <w:iCs/>
              </w:rPr>
              <w:lastRenderedPageBreak/>
              <w:t>direktīvu normas neparedz rīcības brīvību dalībvalstij, līdz ar to lūdzam tās pārņemt projektā un attiecīgi precizēt projekta anotācijas V sadaļas 1. tabulu.</w:t>
            </w:r>
          </w:p>
        </w:tc>
        <w:tc>
          <w:tcPr>
            <w:tcW w:w="2899" w:type="dxa"/>
            <w:tcBorders>
              <w:top w:val="single" w:sz="6" w:space="0" w:color="000000"/>
              <w:left w:val="single" w:sz="6" w:space="0" w:color="000000"/>
              <w:bottom w:val="single" w:sz="6" w:space="0" w:color="000000"/>
              <w:right w:val="single" w:sz="6" w:space="0" w:color="000000"/>
            </w:tcBorders>
          </w:tcPr>
          <w:p w14:paraId="257D1868" w14:textId="77777777" w:rsidR="007027AF" w:rsidRPr="001330BD" w:rsidRDefault="007027AF" w:rsidP="007027AF">
            <w:pPr>
              <w:spacing w:before="40" w:after="40"/>
              <w:jc w:val="center"/>
              <w:rPr>
                <w:b/>
                <w:iCs/>
              </w:rPr>
            </w:pPr>
            <w:r w:rsidRPr="001330BD">
              <w:rPr>
                <w:b/>
                <w:iCs/>
              </w:rPr>
              <w:lastRenderedPageBreak/>
              <w:t>Ņemts vērā</w:t>
            </w:r>
          </w:p>
        </w:tc>
        <w:tc>
          <w:tcPr>
            <w:tcW w:w="4368" w:type="dxa"/>
            <w:tcBorders>
              <w:top w:val="single" w:sz="4" w:space="0" w:color="auto"/>
              <w:left w:val="single" w:sz="4" w:space="0" w:color="auto"/>
              <w:bottom w:val="single" w:sz="4" w:space="0" w:color="auto"/>
            </w:tcBorders>
          </w:tcPr>
          <w:p w14:paraId="4B1E1A35" w14:textId="77777777" w:rsidR="007027AF" w:rsidRPr="001330BD" w:rsidRDefault="007027AF" w:rsidP="007027AF">
            <w:pPr>
              <w:shd w:val="clear" w:color="auto" w:fill="FFFFFF"/>
              <w:spacing w:before="40" w:after="40"/>
              <w:jc w:val="both"/>
              <w:rPr>
                <w:color w:val="000000" w:themeColor="text1"/>
              </w:rPr>
            </w:pPr>
            <w:r w:rsidRPr="001330BD">
              <w:rPr>
                <w:color w:val="000000" w:themeColor="text1"/>
              </w:rPr>
              <w:t>Noteikumu projekta anotācijas V sadaļas 1.tabula ir precizēta</w:t>
            </w:r>
          </w:p>
          <w:p w14:paraId="5CE04795" w14:textId="77777777" w:rsidR="007027AF" w:rsidRPr="001330BD" w:rsidRDefault="007027AF" w:rsidP="007027AF">
            <w:pPr>
              <w:shd w:val="clear" w:color="auto" w:fill="FFFFFF"/>
              <w:spacing w:before="40" w:after="40"/>
              <w:jc w:val="both"/>
              <w:rPr>
                <w:color w:val="000000" w:themeColor="text1"/>
              </w:rPr>
            </w:pPr>
          </w:p>
          <w:p w14:paraId="23270149" w14:textId="77777777" w:rsidR="007027AF" w:rsidRPr="001330BD" w:rsidRDefault="007027AF" w:rsidP="007027AF">
            <w:pPr>
              <w:shd w:val="clear" w:color="auto" w:fill="FFFFFF"/>
              <w:spacing w:before="40" w:after="40"/>
              <w:jc w:val="both"/>
              <w:rPr>
                <w:color w:val="000000" w:themeColor="text1"/>
              </w:rPr>
            </w:pPr>
            <w:r w:rsidRPr="001330BD">
              <w:rPr>
                <w:color w:val="000000" w:themeColor="text1"/>
              </w:rPr>
              <w:t>Noteikumu projekta 10.punkts:</w:t>
            </w:r>
          </w:p>
          <w:p w14:paraId="2A692569" w14:textId="77777777" w:rsidR="007027AF" w:rsidRPr="001330BD" w:rsidRDefault="007027AF" w:rsidP="007027AF">
            <w:pPr>
              <w:pStyle w:val="norm"/>
              <w:shd w:val="clear" w:color="auto" w:fill="FFFFFF"/>
              <w:spacing w:before="40" w:beforeAutospacing="0" w:after="40" w:afterAutospacing="0"/>
              <w:jc w:val="both"/>
              <w:textAlignment w:val="baseline"/>
              <w:rPr>
                <w:rFonts w:eastAsia="Calibri"/>
                <w:lang w:eastAsia="en-US"/>
              </w:rPr>
            </w:pPr>
            <w:r w:rsidRPr="001330BD">
              <w:rPr>
                <w:color w:val="000000" w:themeColor="text1"/>
              </w:rPr>
              <w:t xml:space="preserve">“10. </w:t>
            </w:r>
            <w:r w:rsidRPr="001330BD">
              <w:rPr>
                <w:rFonts w:eastAsia="Calibri"/>
                <w:lang w:eastAsia="en-US"/>
              </w:rPr>
              <w:t>Papildināt noteikumus ar 12.</w:t>
            </w:r>
            <w:r w:rsidRPr="001330BD">
              <w:rPr>
                <w:rFonts w:eastAsia="Calibri"/>
                <w:vertAlign w:val="superscript"/>
                <w:lang w:eastAsia="en-US"/>
              </w:rPr>
              <w:t>1</w:t>
            </w:r>
            <w:r w:rsidRPr="001330BD">
              <w:rPr>
                <w:rFonts w:eastAsia="Calibri"/>
                <w:lang w:eastAsia="en-US"/>
              </w:rPr>
              <w:t xml:space="preserve"> punktu šādā redakcijā:</w:t>
            </w:r>
          </w:p>
          <w:p w14:paraId="1ECD0975" w14:textId="77777777" w:rsidR="007027AF" w:rsidRPr="001330BD" w:rsidRDefault="007027AF" w:rsidP="007027AF">
            <w:pPr>
              <w:pStyle w:val="norm"/>
              <w:shd w:val="clear" w:color="auto" w:fill="FFFFFF"/>
              <w:spacing w:before="40" w:beforeAutospacing="0" w:after="40" w:afterAutospacing="0"/>
              <w:jc w:val="both"/>
              <w:textAlignment w:val="baseline"/>
              <w:rPr>
                <w:rFonts w:eastAsia="Calibri"/>
                <w:lang w:eastAsia="en-US"/>
              </w:rPr>
            </w:pPr>
            <w:r w:rsidRPr="001330BD">
              <w:rPr>
                <w:rFonts w:eastAsia="Calibri"/>
                <w:lang w:eastAsia="en-US"/>
              </w:rPr>
              <w:t>“12.</w:t>
            </w:r>
            <w:r w:rsidRPr="001330BD">
              <w:rPr>
                <w:rFonts w:eastAsia="Calibri"/>
                <w:vertAlign w:val="superscript"/>
                <w:lang w:eastAsia="en-US"/>
              </w:rPr>
              <w:t>1</w:t>
            </w:r>
            <w:r w:rsidRPr="001330BD">
              <w:rPr>
                <w:rFonts w:eastAsia="Calibri"/>
                <w:lang w:eastAsia="en-US"/>
              </w:rPr>
              <w:t xml:space="preserve"> </w:t>
            </w:r>
            <w:r w:rsidRPr="001330BD">
              <w:t xml:space="preserve">Biodegvielas un bioloģiskais šķidrais kurināmais, kas iegūts saskaņā ar šajos noteikumos noteiktajiem nosacījumiem, </w:t>
            </w:r>
            <w:r w:rsidRPr="001330BD">
              <w:lastRenderedPageBreak/>
              <w:t>var tikt izmantots valsts mērķa sasniegšanā vai likumā “Par piesārņojumu” noteiktā transporta enerģijas aprites cikla siltumnīcefekta gāzu emisiju samazinājumā arī pamatojoties uz citiem šajos noteikumos nenoteiktajiem pierādījumiem par to atbilstību ilgtspējas kritērijiem.”.”</w:t>
            </w:r>
          </w:p>
        </w:tc>
      </w:tr>
      <w:tr w:rsidR="007027AF" w:rsidRPr="001330BD" w14:paraId="3CFC31B5"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tcPr>
          <w:p w14:paraId="3C0EBB20" w14:textId="367DBAD9" w:rsidR="007027AF" w:rsidRPr="001330BD" w:rsidRDefault="00AF210A" w:rsidP="007027AF">
            <w:pPr>
              <w:pStyle w:val="naisc"/>
              <w:spacing w:before="40" w:after="40"/>
              <w:rPr>
                <w:b/>
              </w:rPr>
            </w:pPr>
            <w:r w:rsidRPr="001330BD">
              <w:rPr>
                <w:b/>
              </w:rPr>
              <w:lastRenderedPageBreak/>
              <w:t>35</w:t>
            </w:r>
          </w:p>
        </w:tc>
        <w:tc>
          <w:tcPr>
            <w:tcW w:w="3041" w:type="dxa"/>
            <w:tcBorders>
              <w:top w:val="single" w:sz="6" w:space="0" w:color="000000"/>
              <w:left w:val="single" w:sz="6" w:space="0" w:color="000000"/>
              <w:bottom w:val="single" w:sz="6" w:space="0" w:color="000000"/>
              <w:right w:val="single" w:sz="6" w:space="0" w:color="000000"/>
            </w:tcBorders>
          </w:tcPr>
          <w:p w14:paraId="1C2D9537" w14:textId="77777777" w:rsidR="007027AF" w:rsidRPr="001330BD" w:rsidRDefault="007027AF" w:rsidP="007027AF">
            <w:pPr>
              <w:pStyle w:val="naisc"/>
              <w:spacing w:before="40" w:after="40"/>
              <w:jc w:val="both"/>
              <w:rPr>
                <w:color w:val="000000" w:themeColor="text1"/>
              </w:rPr>
            </w:pPr>
          </w:p>
        </w:tc>
        <w:tc>
          <w:tcPr>
            <w:tcW w:w="4047" w:type="dxa"/>
            <w:tcBorders>
              <w:top w:val="single" w:sz="6" w:space="0" w:color="000000"/>
              <w:left w:val="single" w:sz="6" w:space="0" w:color="000000"/>
              <w:bottom w:val="single" w:sz="6" w:space="0" w:color="000000"/>
              <w:right w:val="single" w:sz="6" w:space="0" w:color="000000"/>
            </w:tcBorders>
          </w:tcPr>
          <w:p w14:paraId="1BC2299D" w14:textId="5D5BF591" w:rsidR="007027AF" w:rsidRPr="001330BD" w:rsidRDefault="007027AF" w:rsidP="007027AF">
            <w:pPr>
              <w:widowControl w:val="0"/>
              <w:spacing w:before="40" w:after="40"/>
              <w:jc w:val="center"/>
              <w:rPr>
                <w:b/>
              </w:rPr>
            </w:pPr>
            <w:r w:rsidRPr="001330BD">
              <w:rPr>
                <w:b/>
              </w:rPr>
              <w:t>Dabas aizsardzības pārvalde</w:t>
            </w:r>
          </w:p>
          <w:p w14:paraId="02C31C38" w14:textId="04067BAE" w:rsidR="007027AF" w:rsidRPr="001330BD" w:rsidRDefault="007027AF" w:rsidP="007027AF">
            <w:pPr>
              <w:widowControl w:val="0"/>
              <w:spacing w:before="40" w:after="40"/>
              <w:jc w:val="center"/>
              <w:rPr>
                <w:b/>
              </w:rPr>
            </w:pPr>
            <w:r w:rsidRPr="001330BD">
              <w:rPr>
                <w:b/>
              </w:rPr>
              <w:t>(2018.gada 29.novembra viedoklis)</w:t>
            </w:r>
          </w:p>
          <w:p w14:paraId="121E3BF5" w14:textId="77777777" w:rsidR="007027AF" w:rsidRPr="001330BD" w:rsidRDefault="007027AF" w:rsidP="007027AF">
            <w:pPr>
              <w:pStyle w:val="Header"/>
              <w:tabs>
                <w:tab w:val="clear" w:pos="4153"/>
                <w:tab w:val="clear" w:pos="8306"/>
              </w:tabs>
              <w:spacing w:before="40" w:after="40"/>
              <w:jc w:val="both"/>
              <w:rPr>
                <w:b/>
              </w:rPr>
            </w:pPr>
            <w:r w:rsidRPr="001330BD">
              <w:t xml:space="preserve">“3. Ņemot vērā iepriekš minēto, lūdzam papildināt </w:t>
            </w:r>
            <w:r w:rsidRPr="001330BD">
              <w:rPr>
                <w:b/>
                <w:bCs/>
              </w:rPr>
              <w:t xml:space="preserve">anotāciju </w:t>
            </w:r>
            <w:r w:rsidRPr="001330BD">
              <w:t>ar skaidrojumu par noteikumu 5. un 6.punktu.”</w:t>
            </w:r>
          </w:p>
        </w:tc>
        <w:tc>
          <w:tcPr>
            <w:tcW w:w="2899" w:type="dxa"/>
            <w:tcBorders>
              <w:top w:val="single" w:sz="6" w:space="0" w:color="000000"/>
              <w:left w:val="single" w:sz="6" w:space="0" w:color="000000"/>
              <w:bottom w:val="single" w:sz="6" w:space="0" w:color="000000"/>
              <w:right w:val="single" w:sz="6" w:space="0" w:color="000000"/>
            </w:tcBorders>
          </w:tcPr>
          <w:p w14:paraId="2CEECE8B" w14:textId="77777777" w:rsidR="007027AF" w:rsidRPr="001330BD" w:rsidRDefault="007027AF" w:rsidP="007027AF">
            <w:pPr>
              <w:spacing w:before="40" w:after="40"/>
              <w:jc w:val="center"/>
              <w:rPr>
                <w:b/>
                <w:iCs/>
              </w:rPr>
            </w:pPr>
            <w:r w:rsidRPr="001330BD">
              <w:rPr>
                <w:b/>
                <w:iCs/>
              </w:rPr>
              <w:t>Ņemts vērā</w:t>
            </w:r>
          </w:p>
        </w:tc>
        <w:tc>
          <w:tcPr>
            <w:tcW w:w="4368" w:type="dxa"/>
            <w:tcBorders>
              <w:top w:val="single" w:sz="4" w:space="0" w:color="auto"/>
              <w:left w:val="single" w:sz="4" w:space="0" w:color="auto"/>
              <w:bottom w:val="single" w:sz="4" w:space="0" w:color="auto"/>
            </w:tcBorders>
          </w:tcPr>
          <w:p w14:paraId="60767F3D" w14:textId="77777777" w:rsidR="007027AF" w:rsidRPr="001330BD" w:rsidRDefault="007027AF" w:rsidP="007027AF">
            <w:pPr>
              <w:shd w:val="clear" w:color="auto" w:fill="FFFFFF"/>
              <w:spacing w:before="40" w:after="40"/>
              <w:jc w:val="both"/>
              <w:rPr>
                <w:color w:val="000000" w:themeColor="text1"/>
              </w:rPr>
            </w:pPr>
            <w:r w:rsidRPr="001330BD">
              <w:rPr>
                <w:color w:val="000000" w:themeColor="text1"/>
              </w:rPr>
              <w:t>Anotācijas I sadaļas 2.punkts un II sadaļas 2.punkts ir attiecīgi papildināti</w:t>
            </w:r>
          </w:p>
        </w:tc>
      </w:tr>
      <w:tr w:rsidR="007027AF" w:rsidRPr="001330BD" w14:paraId="27DD819B" w14:textId="77777777" w:rsidTr="00F1199A">
        <w:trPr>
          <w:jc w:val="center"/>
        </w:trPr>
        <w:tc>
          <w:tcPr>
            <w:tcW w:w="637" w:type="dxa"/>
            <w:tcBorders>
              <w:top w:val="single" w:sz="6" w:space="0" w:color="000000"/>
              <w:left w:val="single" w:sz="6" w:space="0" w:color="000000"/>
              <w:bottom w:val="single" w:sz="6" w:space="0" w:color="000000"/>
              <w:right w:val="single" w:sz="6" w:space="0" w:color="000000"/>
            </w:tcBorders>
          </w:tcPr>
          <w:p w14:paraId="111A81A0" w14:textId="76DC7C76" w:rsidR="007027AF" w:rsidRPr="001330BD" w:rsidRDefault="00AF210A" w:rsidP="007027AF">
            <w:pPr>
              <w:pStyle w:val="naisc"/>
              <w:spacing w:before="40" w:after="40"/>
              <w:rPr>
                <w:b/>
              </w:rPr>
            </w:pPr>
            <w:r w:rsidRPr="001330BD">
              <w:rPr>
                <w:b/>
              </w:rPr>
              <w:t>36</w:t>
            </w:r>
          </w:p>
        </w:tc>
        <w:tc>
          <w:tcPr>
            <w:tcW w:w="3041" w:type="dxa"/>
            <w:tcBorders>
              <w:top w:val="single" w:sz="6" w:space="0" w:color="000000"/>
              <w:left w:val="single" w:sz="6" w:space="0" w:color="000000"/>
              <w:bottom w:val="single" w:sz="6" w:space="0" w:color="000000"/>
              <w:right w:val="single" w:sz="6" w:space="0" w:color="000000"/>
            </w:tcBorders>
          </w:tcPr>
          <w:p w14:paraId="40EB9B16" w14:textId="77777777" w:rsidR="007027AF" w:rsidRPr="001330BD" w:rsidRDefault="007027AF" w:rsidP="007027AF">
            <w:pPr>
              <w:pStyle w:val="naisc"/>
              <w:spacing w:before="40" w:after="40"/>
              <w:jc w:val="both"/>
              <w:rPr>
                <w:color w:val="000000" w:themeColor="text1"/>
              </w:rPr>
            </w:pPr>
          </w:p>
        </w:tc>
        <w:tc>
          <w:tcPr>
            <w:tcW w:w="4047" w:type="dxa"/>
            <w:tcBorders>
              <w:top w:val="single" w:sz="6" w:space="0" w:color="000000"/>
              <w:left w:val="single" w:sz="6" w:space="0" w:color="000000"/>
              <w:bottom w:val="single" w:sz="6" w:space="0" w:color="000000"/>
              <w:right w:val="single" w:sz="6" w:space="0" w:color="000000"/>
            </w:tcBorders>
          </w:tcPr>
          <w:p w14:paraId="4A23C5A1" w14:textId="77777777" w:rsidR="007027AF" w:rsidRPr="001330BD" w:rsidRDefault="007027AF" w:rsidP="007027AF">
            <w:pPr>
              <w:widowControl w:val="0"/>
              <w:spacing w:before="40" w:after="40"/>
              <w:jc w:val="center"/>
              <w:rPr>
                <w:b/>
              </w:rPr>
            </w:pPr>
            <w:r w:rsidRPr="001330BD">
              <w:rPr>
                <w:b/>
              </w:rPr>
              <w:t>Lauku atbalsts dienests</w:t>
            </w:r>
            <w:r w:rsidRPr="001330BD">
              <w:rPr>
                <w:b/>
              </w:rPr>
              <w:br/>
              <w:t>(2018.gada 11.decembra viedoklis)</w:t>
            </w:r>
          </w:p>
          <w:p w14:paraId="29A96B2B" w14:textId="619011B5" w:rsidR="007027AF" w:rsidRPr="001330BD" w:rsidRDefault="007027AF" w:rsidP="007027AF">
            <w:r w:rsidRPr="001330BD">
              <w:t xml:space="preserve">3.            Informējam, ka par noteikumu projekta anotācijā minēto ietekmi uz budžetu Lauku atbalsta dienests varēs sniegt viedokli tikai pēc noteikumu projekta gala redakcijas apstiprināšanas. Ņemot vērā būtiskas Lauku atbalsta dienesta funkciju izmaiņas, var rasties nepieciešamība veidot būtiskas izmaiņas IT sistēmās, piemēram, ja Lauku atbalsta dienestam jāsniedz izziņa par mežsaimniecības izcelsmes produktiem. </w:t>
            </w:r>
          </w:p>
        </w:tc>
        <w:tc>
          <w:tcPr>
            <w:tcW w:w="2899" w:type="dxa"/>
            <w:tcBorders>
              <w:top w:val="single" w:sz="6" w:space="0" w:color="000000"/>
              <w:left w:val="single" w:sz="6" w:space="0" w:color="000000"/>
              <w:bottom w:val="single" w:sz="6" w:space="0" w:color="000000"/>
              <w:right w:val="single" w:sz="6" w:space="0" w:color="000000"/>
            </w:tcBorders>
          </w:tcPr>
          <w:p w14:paraId="638111BB" w14:textId="6BC1A4A1" w:rsidR="007027AF" w:rsidRPr="001330BD" w:rsidRDefault="007027AF" w:rsidP="007027AF">
            <w:pPr>
              <w:spacing w:before="40" w:after="40"/>
              <w:jc w:val="center"/>
              <w:rPr>
                <w:b/>
                <w:iCs/>
              </w:rPr>
            </w:pPr>
            <w:r w:rsidRPr="001330BD">
              <w:rPr>
                <w:b/>
                <w:iCs/>
              </w:rPr>
              <w:t>Ņemts vērā</w:t>
            </w:r>
          </w:p>
        </w:tc>
        <w:tc>
          <w:tcPr>
            <w:tcW w:w="4368" w:type="dxa"/>
            <w:tcBorders>
              <w:top w:val="single" w:sz="4" w:space="0" w:color="auto"/>
              <w:left w:val="single" w:sz="4" w:space="0" w:color="auto"/>
              <w:bottom w:val="single" w:sz="4" w:space="0" w:color="auto"/>
            </w:tcBorders>
          </w:tcPr>
          <w:p w14:paraId="69922D37" w14:textId="77777777" w:rsidR="007027AF" w:rsidRPr="001330BD" w:rsidRDefault="007027AF" w:rsidP="007027AF">
            <w:pPr>
              <w:shd w:val="clear" w:color="auto" w:fill="FFFFFF"/>
              <w:spacing w:before="40" w:after="40"/>
              <w:jc w:val="both"/>
              <w:rPr>
                <w:color w:val="000000" w:themeColor="text1"/>
              </w:rPr>
            </w:pPr>
          </w:p>
        </w:tc>
      </w:tr>
    </w:tbl>
    <w:p w14:paraId="320BD1D5" w14:textId="77777777" w:rsidR="00D473EB" w:rsidRDefault="00D473EB" w:rsidP="00D473EB">
      <w:pPr>
        <w:pStyle w:val="naisf"/>
        <w:spacing w:before="0" w:after="0"/>
        <w:ind w:firstLine="0"/>
        <w:jc w:val="left"/>
        <w:rPr>
          <w:sz w:val="22"/>
          <w:szCs w:val="22"/>
        </w:rPr>
      </w:pPr>
    </w:p>
    <w:p w14:paraId="0A7DB37F" w14:textId="77777777" w:rsidR="00D473EB" w:rsidRPr="008A5BD5" w:rsidRDefault="0064499E" w:rsidP="00D473EB">
      <w:pPr>
        <w:pStyle w:val="naisf"/>
        <w:spacing w:before="0" w:after="0"/>
        <w:ind w:firstLine="0"/>
        <w:jc w:val="left"/>
        <w:rPr>
          <w:sz w:val="22"/>
          <w:szCs w:val="22"/>
        </w:rPr>
      </w:pPr>
      <w:r>
        <w:rPr>
          <w:sz w:val="22"/>
          <w:szCs w:val="22"/>
        </w:rPr>
        <w:t>Helēna Rimša</w:t>
      </w:r>
    </w:p>
    <w:tbl>
      <w:tblPr>
        <w:tblpPr w:leftFromText="180" w:rightFromText="180" w:vertAnchor="text" w:horzAnchor="margin" w:tblpY="127"/>
        <w:tblW w:w="14627" w:type="dxa"/>
        <w:tblLook w:val="00A0" w:firstRow="1" w:lastRow="0" w:firstColumn="1" w:lastColumn="0" w:noHBand="0" w:noVBand="0"/>
      </w:tblPr>
      <w:tblGrid>
        <w:gridCol w:w="14627"/>
      </w:tblGrid>
      <w:tr w:rsidR="00D473EB" w:rsidRPr="00620E92" w14:paraId="7A16CA23" w14:textId="77777777" w:rsidTr="00A34D63">
        <w:trPr>
          <w:trHeight w:val="344"/>
        </w:trPr>
        <w:tc>
          <w:tcPr>
            <w:tcW w:w="14627" w:type="dxa"/>
            <w:tcBorders>
              <w:top w:val="single" w:sz="4" w:space="0" w:color="000000"/>
            </w:tcBorders>
          </w:tcPr>
          <w:p w14:paraId="135BBDD2" w14:textId="77777777" w:rsidR="00D473EB" w:rsidRDefault="00D473EB" w:rsidP="00A34D63">
            <w:pPr>
              <w:jc w:val="center"/>
              <w:rPr>
                <w:sz w:val="22"/>
                <w:szCs w:val="22"/>
              </w:rPr>
            </w:pPr>
            <w:r w:rsidRPr="00620E92">
              <w:rPr>
                <w:sz w:val="22"/>
                <w:szCs w:val="22"/>
              </w:rPr>
              <w:t>(par projektu atbildīgās amatpersonas vārds un uzvārds)</w:t>
            </w:r>
          </w:p>
          <w:p w14:paraId="418DDAFC" w14:textId="77777777" w:rsidR="00D473EB" w:rsidRPr="00A14B3B" w:rsidRDefault="00D473EB" w:rsidP="00A34D63">
            <w:pPr>
              <w:jc w:val="center"/>
              <w:rPr>
                <w:sz w:val="8"/>
                <w:szCs w:val="8"/>
              </w:rPr>
            </w:pPr>
          </w:p>
        </w:tc>
      </w:tr>
      <w:tr w:rsidR="00D473EB" w:rsidRPr="00620E92" w14:paraId="0B758443" w14:textId="77777777" w:rsidTr="00A34D63">
        <w:trPr>
          <w:trHeight w:val="94"/>
        </w:trPr>
        <w:tc>
          <w:tcPr>
            <w:tcW w:w="14627" w:type="dxa"/>
            <w:tcBorders>
              <w:bottom w:val="single" w:sz="4" w:space="0" w:color="000000"/>
            </w:tcBorders>
          </w:tcPr>
          <w:p w14:paraId="5755A3B0" w14:textId="77777777" w:rsidR="00D473EB" w:rsidRPr="00620E92" w:rsidRDefault="00DC3A80" w:rsidP="00D473EB">
            <w:r>
              <w:t xml:space="preserve">Ekonomikas ministrijas </w:t>
            </w:r>
            <w:r w:rsidR="00954136" w:rsidRPr="00954136">
              <w:t>Ilgtspējīgas enerģētikas politikas departam</w:t>
            </w:r>
            <w:r w:rsidR="00954136">
              <w:t>ent</w:t>
            </w:r>
            <w:r>
              <w:t>a vecākā eksperte</w:t>
            </w:r>
          </w:p>
        </w:tc>
      </w:tr>
      <w:tr w:rsidR="00D473EB" w:rsidRPr="00620E92" w14:paraId="10498FB2" w14:textId="77777777" w:rsidTr="00A34D63">
        <w:trPr>
          <w:trHeight w:val="239"/>
        </w:trPr>
        <w:tc>
          <w:tcPr>
            <w:tcW w:w="14627" w:type="dxa"/>
            <w:tcBorders>
              <w:top w:val="single" w:sz="4" w:space="0" w:color="000000"/>
            </w:tcBorders>
          </w:tcPr>
          <w:p w14:paraId="365FB257" w14:textId="77777777" w:rsidR="00D473EB" w:rsidRPr="00620E92" w:rsidRDefault="00D473EB" w:rsidP="00A34D63">
            <w:pPr>
              <w:jc w:val="center"/>
            </w:pPr>
            <w:r w:rsidRPr="00620E92">
              <w:rPr>
                <w:sz w:val="22"/>
                <w:szCs w:val="22"/>
              </w:rPr>
              <w:t>(amats)</w:t>
            </w:r>
          </w:p>
        </w:tc>
      </w:tr>
      <w:tr w:rsidR="00D473EB" w:rsidRPr="00620E92" w14:paraId="1B502E1B" w14:textId="77777777" w:rsidTr="00A34D63">
        <w:trPr>
          <w:trHeight w:val="254"/>
        </w:trPr>
        <w:tc>
          <w:tcPr>
            <w:tcW w:w="14627" w:type="dxa"/>
            <w:tcBorders>
              <w:bottom w:val="single" w:sz="4" w:space="0" w:color="000000"/>
            </w:tcBorders>
          </w:tcPr>
          <w:p w14:paraId="711A5C34" w14:textId="77777777" w:rsidR="00D473EB" w:rsidRPr="00620E92" w:rsidRDefault="00DC3A80" w:rsidP="00A34D63">
            <w:pPr>
              <w:tabs>
                <w:tab w:val="left" w:pos="5207"/>
              </w:tabs>
            </w:pPr>
            <w:r>
              <w:rPr>
                <w:sz w:val="22"/>
                <w:szCs w:val="22"/>
              </w:rPr>
              <w:t>67013244</w:t>
            </w:r>
            <w:r w:rsidR="00D473EB">
              <w:rPr>
                <w:sz w:val="22"/>
                <w:szCs w:val="22"/>
              </w:rPr>
              <w:tab/>
            </w:r>
          </w:p>
        </w:tc>
      </w:tr>
      <w:tr w:rsidR="00D473EB" w:rsidRPr="00620E92" w14:paraId="6265C3B5" w14:textId="77777777" w:rsidTr="00A34D63">
        <w:trPr>
          <w:trHeight w:val="239"/>
        </w:trPr>
        <w:tc>
          <w:tcPr>
            <w:tcW w:w="14627" w:type="dxa"/>
            <w:tcBorders>
              <w:top w:val="single" w:sz="4" w:space="0" w:color="000000"/>
            </w:tcBorders>
          </w:tcPr>
          <w:p w14:paraId="6E0574FB" w14:textId="77777777" w:rsidR="00D473EB" w:rsidRPr="00620E92" w:rsidRDefault="00D473EB" w:rsidP="00A34D63">
            <w:pPr>
              <w:jc w:val="center"/>
            </w:pPr>
            <w:r w:rsidRPr="00620E92">
              <w:rPr>
                <w:sz w:val="22"/>
                <w:szCs w:val="22"/>
              </w:rPr>
              <w:lastRenderedPageBreak/>
              <w:t>(tālruņa un faksa numurs)</w:t>
            </w:r>
          </w:p>
        </w:tc>
      </w:tr>
      <w:tr w:rsidR="00D473EB" w:rsidRPr="00620E92" w14:paraId="49E90CF5" w14:textId="77777777" w:rsidTr="00A34D63">
        <w:trPr>
          <w:trHeight w:val="254"/>
        </w:trPr>
        <w:tc>
          <w:tcPr>
            <w:tcW w:w="14627" w:type="dxa"/>
            <w:tcBorders>
              <w:bottom w:val="single" w:sz="4" w:space="0" w:color="000000"/>
            </w:tcBorders>
          </w:tcPr>
          <w:p w14:paraId="7511E0C6" w14:textId="77777777" w:rsidR="00D473EB" w:rsidRPr="00620E92" w:rsidRDefault="00D473EB" w:rsidP="00D473EB">
            <w:r>
              <w:rPr>
                <w:sz w:val="22"/>
                <w:szCs w:val="22"/>
              </w:rPr>
              <w:t xml:space="preserve"> </w:t>
            </w:r>
            <w:hyperlink r:id="rId15" w:history="1">
              <w:r w:rsidR="00954136" w:rsidRPr="00712060">
                <w:rPr>
                  <w:rStyle w:val="Hyperlink"/>
                  <w:sz w:val="22"/>
                  <w:szCs w:val="22"/>
                </w:rPr>
                <w:t>Helena.Rimsa@em.gov.lv</w:t>
              </w:r>
            </w:hyperlink>
            <w:r w:rsidR="00954136">
              <w:rPr>
                <w:sz w:val="22"/>
                <w:szCs w:val="22"/>
              </w:rPr>
              <w:t xml:space="preserve"> </w:t>
            </w:r>
          </w:p>
        </w:tc>
      </w:tr>
      <w:tr w:rsidR="00D473EB" w:rsidRPr="00620E92" w14:paraId="602E7A1B" w14:textId="77777777" w:rsidTr="00A34D63">
        <w:trPr>
          <w:trHeight w:val="254"/>
        </w:trPr>
        <w:tc>
          <w:tcPr>
            <w:tcW w:w="14627" w:type="dxa"/>
            <w:tcBorders>
              <w:top w:val="single" w:sz="4" w:space="0" w:color="000000"/>
            </w:tcBorders>
          </w:tcPr>
          <w:p w14:paraId="0CA2E4C1" w14:textId="77777777" w:rsidR="00D473EB" w:rsidRPr="00620E92" w:rsidRDefault="00D473EB" w:rsidP="00A34D63">
            <w:pPr>
              <w:jc w:val="center"/>
            </w:pPr>
            <w:r w:rsidRPr="00620E92">
              <w:rPr>
                <w:sz w:val="22"/>
                <w:szCs w:val="22"/>
              </w:rPr>
              <w:t>(e-pasta adrese)</w:t>
            </w:r>
          </w:p>
        </w:tc>
      </w:tr>
    </w:tbl>
    <w:p w14:paraId="720F4E46" w14:textId="77777777" w:rsidR="007116C7" w:rsidRDefault="007116C7" w:rsidP="00D473EB">
      <w:pPr>
        <w:pStyle w:val="naisf"/>
        <w:tabs>
          <w:tab w:val="left" w:pos="6840"/>
        </w:tabs>
        <w:spacing w:before="0" w:after="0"/>
        <w:ind w:firstLine="720"/>
        <w:rPr>
          <w:sz w:val="28"/>
          <w:szCs w:val="28"/>
        </w:rPr>
      </w:pPr>
    </w:p>
    <w:sectPr w:rsidR="007116C7" w:rsidSect="00DC3A80">
      <w:headerReference w:type="first" r:id="rId16"/>
      <w:pgSz w:w="16838" w:h="11906" w:orient="landscape" w:code="9"/>
      <w:pgMar w:top="1418" w:right="1134"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C067A" w14:textId="77777777" w:rsidR="00B67450" w:rsidRDefault="00B67450">
      <w:r>
        <w:separator/>
      </w:r>
    </w:p>
  </w:endnote>
  <w:endnote w:type="continuationSeparator" w:id="0">
    <w:p w14:paraId="7DC5E864" w14:textId="77777777" w:rsidR="00B67450" w:rsidRDefault="00B6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0A297" w14:textId="0321321C" w:rsidR="00B67450" w:rsidRPr="0064499E" w:rsidRDefault="00B67450" w:rsidP="0060493C">
    <w:pPr>
      <w:pStyle w:val="Footer"/>
      <w:rPr>
        <w:sz w:val="20"/>
        <w:szCs w:val="20"/>
      </w:rPr>
    </w:pPr>
    <w:r w:rsidRPr="0064499E">
      <w:rPr>
        <w:sz w:val="20"/>
        <w:szCs w:val="20"/>
      </w:rPr>
      <w:fldChar w:fldCharType="begin"/>
    </w:r>
    <w:r w:rsidRPr="0064499E">
      <w:rPr>
        <w:sz w:val="20"/>
        <w:szCs w:val="20"/>
      </w:rPr>
      <w:instrText xml:space="preserve"> FILENAME   \* MERGEFORMAT </w:instrText>
    </w:r>
    <w:r w:rsidRPr="0064499E">
      <w:rPr>
        <w:sz w:val="20"/>
        <w:szCs w:val="20"/>
      </w:rPr>
      <w:fldChar w:fldCharType="separate"/>
    </w:r>
    <w:r w:rsidR="001164E7">
      <w:rPr>
        <w:noProof/>
        <w:sz w:val="20"/>
        <w:szCs w:val="20"/>
      </w:rPr>
      <w:t>EMIzz_150119_Groz545.docx</w:t>
    </w:r>
    <w:r w:rsidRPr="0064499E">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47E4" w14:textId="38E7E96E" w:rsidR="00B67450" w:rsidRPr="0064499E" w:rsidRDefault="00B67450" w:rsidP="0060493C">
    <w:pPr>
      <w:pStyle w:val="Footer"/>
      <w:rPr>
        <w:sz w:val="20"/>
        <w:szCs w:val="20"/>
      </w:rPr>
    </w:pPr>
    <w:r w:rsidRPr="0064499E">
      <w:rPr>
        <w:sz w:val="20"/>
        <w:szCs w:val="20"/>
      </w:rPr>
      <w:fldChar w:fldCharType="begin"/>
    </w:r>
    <w:r w:rsidRPr="0064499E">
      <w:rPr>
        <w:sz w:val="20"/>
        <w:szCs w:val="20"/>
      </w:rPr>
      <w:instrText xml:space="preserve"> FILENAME   \* MERGEFORMAT </w:instrText>
    </w:r>
    <w:r w:rsidRPr="0064499E">
      <w:rPr>
        <w:sz w:val="20"/>
        <w:szCs w:val="20"/>
      </w:rPr>
      <w:fldChar w:fldCharType="separate"/>
    </w:r>
    <w:r w:rsidR="0043420E">
      <w:rPr>
        <w:noProof/>
        <w:sz w:val="20"/>
        <w:szCs w:val="20"/>
      </w:rPr>
      <w:t>EMIzz_150119_Groz545.docx</w:t>
    </w:r>
    <w:r w:rsidRPr="0064499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4C8F2" w14:textId="77777777" w:rsidR="00B67450" w:rsidRDefault="00B67450">
      <w:r>
        <w:separator/>
      </w:r>
    </w:p>
  </w:footnote>
  <w:footnote w:type="continuationSeparator" w:id="0">
    <w:p w14:paraId="7C28F26B" w14:textId="77777777" w:rsidR="00B67450" w:rsidRDefault="00B67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750476"/>
      <w:docPartObj>
        <w:docPartGallery w:val="Page Numbers (Top of Page)"/>
        <w:docPartUnique/>
      </w:docPartObj>
    </w:sdtPr>
    <w:sdtEndPr>
      <w:rPr>
        <w:noProof/>
      </w:rPr>
    </w:sdtEndPr>
    <w:sdtContent>
      <w:p w14:paraId="0E735D32" w14:textId="77777777" w:rsidR="00B67450" w:rsidRDefault="00B67450">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7ACB0859" w14:textId="77777777" w:rsidR="00B67450" w:rsidRDefault="00B67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468900"/>
      <w:docPartObj>
        <w:docPartGallery w:val="Page Numbers (Top of Page)"/>
        <w:docPartUnique/>
      </w:docPartObj>
    </w:sdtPr>
    <w:sdtEndPr>
      <w:rPr>
        <w:noProof/>
        <w:sz w:val="4"/>
        <w:szCs w:val="4"/>
      </w:rPr>
    </w:sdtEndPr>
    <w:sdtContent>
      <w:p w14:paraId="22F01DB5" w14:textId="77777777" w:rsidR="00B67450" w:rsidRDefault="00B67450" w:rsidP="00DC3A80">
        <w:pPr>
          <w:pStyle w:val="Header"/>
          <w:jc w:val="center"/>
          <w:rPr>
            <w:noProof/>
          </w:rPr>
        </w:pPr>
        <w:r>
          <w:fldChar w:fldCharType="begin"/>
        </w:r>
        <w:r>
          <w:instrText xml:space="preserve"> PAGE   \* MERGEFORMAT </w:instrText>
        </w:r>
        <w:r>
          <w:fldChar w:fldCharType="separate"/>
        </w:r>
        <w:r>
          <w:rPr>
            <w:noProof/>
          </w:rPr>
          <w:t>4</w:t>
        </w:r>
        <w:r>
          <w:rPr>
            <w:noProof/>
          </w:rPr>
          <w:fldChar w:fldCharType="end"/>
        </w:r>
      </w:p>
      <w:p w14:paraId="70B075C7" w14:textId="77777777" w:rsidR="00B67450" w:rsidRPr="00DC3A80" w:rsidRDefault="00B67450" w:rsidP="00DC3A80">
        <w:pPr>
          <w:pStyle w:val="Header"/>
          <w:rPr>
            <w:noProof/>
            <w:sz w:val="4"/>
            <w:szCs w:val="4"/>
          </w:rPr>
        </w:pPr>
      </w:p>
      <w:p w14:paraId="3CA34901" w14:textId="77777777" w:rsidR="00B67450" w:rsidRPr="00BF4DEC" w:rsidRDefault="001164E7">
        <w:pPr>
          <w:pStyle w:val="Header"/>
          <w:jc w:val="center"/>
          <w:rPr>
            <w:sz w:val="4"/>
            <w:szCs w:val="4"/>
          </w:rPr>
        </w:pPr>
      </w:p>
    </w:sdtContent>
  </w:sdt>
  <w:p w14:paraId="5F3492FD" w14:textId="77777777" w:rsidR="00B67450" w:rsidRPr="0008467A" w:rsidRDefault="00B67450" w:rsidP="0008467A">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A5EA" w14:textId="77777777" w:rsidR="00B67450" w:rsidRDefault="00B67450">
    <w:pPr>
      <w:pStyle w:val="Header"/>
      <w:jc w:val="center"/>
    </w:pPr>
  </w:p>
  <w:p w14:paraId="47EBF6D2" w14:textId="77777777" w:rsidR="00B67450" w:rsidRDefault="00B674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968900"/>
      <w:docPartObj>
        <w:docPartGallery w:val="Page Numbers (Top of Page)"/>
        <w:docPartUnique/>
      </w:docPartObj>
    </w:sdtPr>
    <w:sdtEndPr>
      <w:rPr>
        <w:noProof/>
      </w:rPr>
    </w:sdtEndPr>
    <w:sdtContent>
      <w:p w14:paraId="4F25F6B2" w14:textId="77777777" w:rsidR="00B67450" w:rsidRDefault="00B6745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75EF37" w14:textId="77777777" w:rsidR="00B67450" w:rsidRDefault="00B67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FB2"/>
    <w:multiLevelType w:val="hybridMultilevel"/>
    <w:tmpl w:val="6B4245BE"/>
    <w:lvl w:ilvl="0" w:tplc="0426000F">
      <w:start w:val="5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F3F89"/>
    <w:multiLevelType w:val="hybridMultilevel"/>
    <w:tmpl w:val="837CD02C"/>
    <w:lvl w:ilvl="0" w:tplc="9E9C5F3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143DC1"/>
    <w:multiLevelType w:val="hybridMultilevel"/>
    <w:tmpl w:val="BB86B6BC"/>
    <w:lvl w:ilvl="0" w:tplc="821C1078">
      <w:start w:val="1"/>
      <w:numFmt w:val="decimal"/>
      <w:lvlText w:val="%1."/>
      <w:lvlJc w:val="left"/>
      <w:pPr>
        <w:ind w:left="1287" w:hanging="360"/>
      </w:pPr>
    </w:lvl>
    <w:lvl w:ilvl="1" w:tplc="17B25700">
      <w:start w:val="1"/>
      <w:numFmt w:val="lowerLetter"/>
      <w:lvlText w:val="%2."/>
      <w:lvlJc w:val="left"/>
      <w:pPr>
        <w:ind w:left="2007" w:hanging="360"/>
      </w:pPr>
    </w:lvl>
    <w:lvl w:ilvl="2" w:tplc="28BC27E4">
      <w:start w:val="1"/>
      <w:numFmt w:val="lowerRoman"/>
      <w:lvlText w:val="%3."/>
      <w:lvlJc w:val="right"/>
      <w:pPr>
        <w:ind w:left="2727" w:hanging="180"/>
      </w:pPr>
    </w:lvl>
    <w:lvl w:ilvl="3" w:tplc="D7E05344">
      <w:start w:val="1"/>
      <w:numFmt w:val="decimal"/>
      <w:lvlText w:val="%4."/>
      <w:lvlJc w:val="left"/>
      <w:pPr>
        <w:ind w:left="3447" w:hanging="360"/>
      </w:pPr>
    </w:lvl>
    <w:lvl w:ilvl="4" w:tplc="C1985DC0">
      <w:start w:val="1"/>
      <w:numFmt w:val="lowerLetter"/>
      <w:lvlText w:val="%5."/>
      <w:lvlJc w:val="left"/>
      <w:pPr>
        <w:ind w:left="4167" w:hanging="360"/>
      </w:pPr>
    </w:lvl>
    <w:lvl w:ilvl="5" w:tplc="0F7ED710">
      <w:start w:val="1"/>
      <w:numFmt w:val="lowerRoman"/>
      <w:lvlText w:val="%6."/>
      <w:lvlJc w:val="right"/>
      <w:pPr>
        <w:ind w:left="4887" w:hanging="180"/>
      </w:pPr>
    </w:lvl>
    <w:lvl w:ilvl="6" w:tplc="02D644DC">
      <w:start w:val="1"/>
      <w:numFmt w:val="decimal"/>
      <w:lvlText w:val="%7."/>
      <w:lvlJc w:val="left"/>
      <w:pPr>
        <w:ind w:left="5607" w:hanging="360"/>
      </w:pPr>
    </w:lvl>
    <w:lvl w:ilvl="7" w:tplc="25C4531A">
      <w:start w:val="1"/>
      <w:numFmt w:val="lowerLetter"/>
      <w:lvlText w:val="%8."/>
      <w:lvlJc w:val="left"/>
      <w:pPr>
        <w:ind w:left="6327" w:hanging="360"/>
      </w:pPr>
    </w:lvl>
    <w:lvl w:ilvl="8" w:tplc="8B6897C6">
      <w:start w:val="1"/>
      <w:numFmt w:val="lowerRoman"/>
      <w:lvlText w:val="%9."/>
      <w:lvlJc w:val="right"/>
      <w:pPr>
        <w:ind w:left="7047" w:hanging="180"/>
      </w:pPr>
    </w:lvl>
  </w:abstractNum>
  <w:abstractNum w:abstractNumId="3" w15:restartNumberingAfterBreak="1">
    <w:nsid w:val="07945A12"/>
    <w:multiLevelType w:val="hybridMultilevel"/>
    <w:tmpl w:val="72E89964"/>
    <w:lvl w:ilvl="0" w:tplc="009A8020">
      <w:start w:val="1"/>
      <w:numFmt w:val="bullet"/>
      <w:lvlText w:val=""/>
      <w:lvlJc w:val="left"/>
      <w:pPr>
        <w:ind w:left="720" w:hanging="360"/>
      </w:pPr>
      <w:rPr>
        <w:rFonts w:ascii="Wingdings" w:hAnsi="Wingdings" w:hint="default"/>
      </w:rPr>
    </w:lvl>
    <w:lvl w:ilvl="1" w:tplc="CB88D23E" w:tentative="1">
      <w:start w:val="1"/>
      <w:numFmt w:val="bullet"/>
      <w:lvlText w:val="o"/>
      <w:lvlJc w:val="left"/>
      <w:pPr>
        <w:ind w:left="1440" w:hanging="360"/>
      </w:pPr>
      <w:rPr>
        <w:rFonts w:ascii="Courier New" w:hAnsi="Courier New" w:cs="Courier New" w:hint="default"/>
      </w:rPr>
    </w:lvl>
    <w:lvl w:ilvl="2" w:tplc="19DC577A" w:tentative="1">
      <w:start w:val="1"/>
      <w:numFmt w:val="bullet"/>
      <w:lvlText w:val=""/>
      <w:lvlJc w:val="left"/>
      <w:pPr>
        <w:ind w:left="2160" w:hanging="360"/>
      </w:pPr>
      <w:rPr>
        <w:rFonts w:ascii="Wingdings" w:hAnsi="Wingdings" w:hint="default"/>
      </w:rPr>
    </w:lvl>
    <w:lvl w:ilvl="3" w:tplc="3E7ECDAE" w:tentative="1">
      <w:start w:val="1"/>
      <w:numFmt w:val="bullet"/>
      <w:lvlText w:val=""/>
      <w:lvlJc w:val="left"/>
      <w:pPr>
        <w:ind w:left="2880" w:hanging="360"/>
      </w:pPr>
      <w:rPr>
        <w:rFonts w:ascii="Symbol" w:hAnsi="Symbol" w:hint="default"/>
      </w:rPr>
    </w:lvl>
    <w:lvl w:ilvl="4" w:tplc="00D068AE" w:tentative="1">
      <w:start w:val="1"/>
      <w:numFmt w:val="bullet"/>
      <w:lvlText w:val="o"/>
      <w:lvlJc w:val="left"/>
      <w:pPr>
        <w:ind w:left="3600" w:hanging="360"/>
      </w:pPr>
      <w:rPr>
        <w:rFonts w:ascii="Courier New" w:hAnsi="Courier New" w:cs="Courier New" w:hint="default"/>
      </w:rPr>
    </w:lvl>
    <w:lvl w:ilvl="5" w:tplc="7A36042A" w:tentative="1">
      <w:start w:val="1"/>
      <w:numFmt w:val="bullet"/>
      <w:lvlText w:val=""/>
      <w:lvlJc w:val="left"/>
      <w:pPr>
        <w:ind w:left="4320" w:hanging="360"/>
      </w:pPr>
      <w:rPr>
        <w:rFonts w:ascii="Wingdings" w:hAnsi="Wingdings" w:hint="default"/>
      </w:rPr>
    </w:lvl>
    <w:lvl w:ilvl="6" w:tplc="FCACDB2A" w:tentative="1">
      <w:start w:val="1"/>
      <w:numFmt w:val="bullet"/>
      <w:lvlText w:val=""/>
      <w:lvlJc w:val="left"/>
      <w:pPr>
        <w:ind w:left="5040" w:hanging="360"/>
      </w:pPr>
      <w:rPr>
        <w:rFonts w:ascii="Symbol" w:hAnsi="Symbol" w:hint="default"/>
      </w:rPr>
    </w:lvl>
    <w:lvl w:ilvl="7" w:tplc="8AFE9C0A" w:tentative="1">
      <w:start w:val="1"/>
      <w:numFmt w:val="bullet"/>
      <w:lvlText w:val="o"/>
      <w:lvlJc w:val="left"/>
      <w:pPr>
        <w:ind w:left="5760" w:hanging="360"/>
      </w:pPr>
      <w:rPr>
        <w:rFonts w:ascii="Courier New" w:hAnsi="Courier New" w:cs="Courier New" w:hint="default"/>
      </w:rPr>
    </w:lvl>
    <w:lvl w:ilvl="8" w:tplc="C1CEB3F0" w:tentative="1">
      <w:start w:val="1"/>
      <w:numFmt w:val="bullet"/>
      <w:lvlText w:val=""/>
      <w:lvlJc w:val="left"/>
      <w:pPr>
        <w:ind w:left="6480" w:hanging="360"/>
      </w:pPr>
      <w:rPr>
        <w:rFonts w:ascii="Wingdings" w:hAnsi="Wingdings" w:hint="default"/>
      </w:rPr>
    </w:lvl>
  </w:abstractNum>
  <w:abstractNum w:abstractNumId="4" w15:restartNumberingAfterBreak="0">
    <w:nsid w:val="150A4419"/>
    <w:multiLevelType w:val="hybridMultilevel"/>
    <w:tmpl w:val="A5F432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9686D52"/>
    <w:multiLevelType w:val="hybridMultilevel"/>
    <w:tmpl w:val="687E329A"/>
    <w:lvl w:ilvl="0" w:tplc="04260001">
      <w:start w:val="1"/>
      <w:numFmt w:val="bullet"/>
      <w:lvlText w:val=""/>
      <w:lvlJc w:val="left"/>
      <w:pPr>
        <w:ind w:left="720" w:hanging="360"/>
      </w:pPr>
      <w:rPr>
        <w:rFonts w:ascii="Symbol" w:hAnsi="Symbol"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BE01F8B"/>
    <w:multiLevelType w:val="hybridMultilevel"/>
    <w:tmpl w:val="BB86B6BC"/>
    <w:lvl w:ilvl="0" w:tplc="821C1078">
      <w:start w:val="1"/>
      <w:numFmt w:val="decimal"/>
      <w:lvlText w:val="%1."/>
      <w:lvlJc w:val="left"/>
      <w:pPr>
        <w:ind w:left="1287" w:hanging="360"/>
      </w:pPr>
    </w:lvl>
    <w:lvl w:ilvl="1" w:tplc="17B25700">
      <w:start w:val="1"/>
      <w:numFmt w:val="lowerLetter"/>
      <w:lvlText w:val="%2."/>
      <w:lvlJc w:val="left"/>
      <w:pPr>
        <w:ind w:left="2007" w:hanging="360"/>
      </w:pPr>
    </w:lvl>
    <w:lvl w:ilvl="2" w:tplc="28BC27E4">
      <w:start w:val="1"/>
      <w:numFmt w:val="lowerRoman"/>
      <w:lvlText w:val="%3."/>
      <w:lvlJc w:val="right"/>
      <w:pPr>
        <w:ind w:left="2727" w:hanging="180"/>
      </w:pPr>
    </w:lvl>
    <w:lvl w:ilvl="3" w:tplc="D7E05344">
      <w:start w:val="1"/>
      <w:numFmt w:val="decimal"/>
      <w:lvlText w:val="%4."/>
      <w:lvlJc w:val="left"/>
      <w:pPr>
        <w:ind w:left="3447" w:hanging="360"/>
      </w:pPr>
    </w:lvl>
    <w:lvl w:ilvl="4" w:tplc="C1985DC0">
      <w:start w:val="1"/>
      <w:numFmt w:val="lowerLetter"/>
      <w:lvlText w:val="%5."/>
      <w:lvlJc w:val="left"/>
      <w:pPr>
        <w:ind w:left="4167" w:hanging="360"/>
      </w:pPr>
    </w:lvl>
    <w:lvl w:ilvl="5" w:tplc="0F7ED710">
      <w:start w:val="1"/>
      <w:numFmt w:val="lowerRoman"/>
      <w:lvlText w:val="%6."/>
      <w:lvlJc w:val="right"/>
      <w:pPr>
        <w:ind w:left="4887" w:hanging="180"/>
      </w:pPr>
    </w:lvl>
    <w:lvl w:ilvl="6" w:tplc="02D644DC">
      <w:start w:val="1"/>
      <w:numFmt w:val="decimal"/>
      <w:lvlText w:val="%7."/>
      <w:lvlJc w:val="left"/>
      <w:pPr>
        <w:ind w:left="5607" w:hanging="360"/>
      </w:pPr>
    </w:lvl>
    <w:lvl w:ilvl="7" w:tplc="25C4531A">
      <w:start w:val="1"/>
      <w:numFmt w:val="lowerLetter"/>
      <w:lvlText w:val="%8."/>
      <w:lvlJc w:val="left"/>
      <w:pPr>
        <w:ind w:left="6327" w:hanging="360"/>
      </w:pPr>
    </w:lvl>
    <w:lvl w:ilvl="8" w:tplc="8B6897C6">
      <w:start w:val="1"/>
      <w:numFmt w:val="lowerRoman"/>
      <w:lvlText w:val="%9."/>
      <w:lvlJc w:val="right"/>
      <w:pPr>
        <w:ind w:left="7047" w:hanging="180"/>
      </w:pPr>
    </w:lvl>
  </w:abstractNum>
  <w:abstractNum w:abstractNumId="7" w15:restartNumberingAfterBreak="0">
    <w:nsid w:val="29207B7D"/>
    <w:multiLevelType w:val="hybridMultilevel"/>
    <w:tmpl w:val="63508596"/>
    <w:lvl w:ilvl="0" w:tplc="80107E7E">
      <w:start w:val="1"/>
      <w:numFmt w:val="bullet"/>
      <w:lvlText w:val=""/>
      <w:lvlJc w:val="left"/>
      <w:pPr>
        <w:ind w:left="720" w:hanging="360"/>
      </w:pPr>
      <w:rPr>
        <w:rFonts w:ascii="Symbol" w:hAnsi="Symbol" w:hint="default"/>
      </w:rPr>
    </w:lvl>
    <w:lvl w:ilvl="1" w:tplc="22D837A2" w:tentative="1">
      <w:start w:val="1"/>
      <w:numFmt w:val="bullet"/>
      <w:lvlText w:val="o"/>
      <w:lvlJc w:val="left"/>
      <w:pPr>
        <w:ind w:left="1440" w:hanging="360"/>
      </w:pPr>
      <w:rPr>
        <w:rFonts w:ascii="Courier New" w:hAnsi="Courier New" w:cs="Courier New" w:hint="default"/>
      </w:rPr>
    </w:lvl>
    <w:lvl w:ilvl="2" w:tplc="C53E8D96" w:tentative="1">
      <w:start w:val="1"/>
      <w:numFmt w:val="bullet"/>
      <w:lvlText w:val=""/>
      <w:lvlJc w:val="left"/>
      <w:pPr>
        <w:ind w:left="2160" w:hanging="360"/>
      </w:pPr>
      <w:rPr>
        <w:rFonts w:ascii="Wingdings" w:hAnsi="Wingdings" w:hint="default"/>
      </w:rPr>
    </w:lvl>
    <w:lvl w:ilvl="3" w:tplc="571C3F3A" w:tentative="1">
      <w:start w:val="1"/>
      <w:numFmt w:val="bullet"/>
      <w:lvlText w:val=""/>
      <w:lvlJc w:val="left"/>
      <w:pPr>
        <w:ind w:left="2880" w:hanging="360"/>
      </w:pPr>
      <w:rPr>
        <w:rFonts w:ascii="Symbol" w:hAnsi="Symbol" w:hint="default"/>
      </w:rPr>
    </w:lvl>
    <w:lvl w:ilvl="4" w:tplc="0E3440C0" w:tentative="1">
      <w:start w:val="1"/>
      <w:numFmt w:val="bullet"/>
      <w:lvlText w:val="o"/>
      <w:lvlJc w:val="left"/>
      <w:pPr>
        <w:ind w:left="3600" w:hanging="360"/>
      </w:pPr>
      <w:rPr>
        <w:rFonts w:ascii="Courier New" w:hAnsi="Courier New" w:cs="Courier New" w:hint="default"/>
      </w:rPr>
    </w:lvl>
    <w:lvl w:ilvl="5" w:tplc="8ECC9BBA" w:tentative="1">
      <w:start w:val="1"/>
      <w:numFmt w:val="bullet"/>
      <w:lvlText w:val=""/>
      <w:lvlJc w:val="left"/>
      <w:pPr>
        <w:ind w:left="4320" w:hanging="360"/>
      </w:pPr>
      <w:rPr>
        <w:rFonts w:ascii="Wingdings" w:hAnsi="Wingdings" w:hint="default"/>
      </w:rPr>
    </w:lvl>
    <w:lvl w:ilvl="6" w:tplc="D4CE5A64" w:tentative="1">
      <w:start w:val="1"/>
      <w:numFmt w:val="bullet"/>
      <w:lvlText w:val=""/>
      <w:lvlJc w:val="left"/>
      <w:pPr>
        <w:ind w:left="5040" w:hanging="360"/>
      </w:pPr>
      <w:rPr>
        <w:rFonts w:ascii="Symbol" w:hAnsi="Symbol" w:hint="default"/>
      </w:rPr>
    </w:lvl>
    <w:lvl w:ilvl="7" w:tplc="2228CEB8" w:tentative="1">
      <w:start w:val="1"/>
      <w:numFmt w:val="bullet"/>
      <w:lvlText w:val="o"/>
      <w:lvlJc w:val="left"/>
      <w:pPr>
        <w:ind w:left="5760" w:hanging="360"/>
      </w:pPr>
      <w:rPr>
        <w:rFonts w:ascii="Courier New" w:hAnsi="Courier New" w:cs="Courier New" w:hint="default"/>
      </w:rPr>
    </w:lvl>
    <w:lvl w:ilvl="8" w:tplc="21E84A04" w:tentative="1">
      <w:start w:val="1"/>
      <w:numFmt w:val="bullet"/>
      <w:lvlText w:val=""/>
      <w:lvlJc w:val="left"/>
      <w:pPr>
        <w:ind w:left="6480" w:hanging="360"/>
      </w:pPr>
      <w:rPr>
        <w:rFonts w:ascii="Wingdings" w:hAnsi="Wingdings" w:hint="default"/>
      </w:rPr>
    </w:lvl>
  </w:abstractNum>
  <w:abstractNum w:abstractNumId="8" w15:restartNumberingAfterBreak="0">
    <w:nsid w:val="2FFE4E65"/>
    <w:multiLevelType w:val="hybridMultilevel"/>
    <w:tmpl w:val="A552DED8"/>
    <w:lvl w:ilvl="0" w:tplc="D8B05E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51A718B"/>
    <w:multiLevelType w:val="hybridMultilevel"/>
    <w:tmpl w:val="911694C6"/>
    <w:lvl w:ilvl="0" w:tplc="920EB35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B05C4B"/>
    <w:multiLevelType w:val="hybridMultilevel"/>
    <w:tmpl w:val="E1341350"/>
    <w:lvl w:ilvl="0" w:tplc="114851E2">
      <w:start w:val="1"/>
      <w:numFmt w:val="decimal"/>
      <w:lvlText w:val="%1."/>
      <w:lvlJc w:val="left"/>
      <w:pPr>
        <w:ind w:left="1065" w:hanging="360"/>
      </w:pPr>
    </w:lvl>
    <w:lvl w:ilvl="1" w:tplc="04260019">
      <w:start w:val="1"/>
      <w:numFmt w:val="lowerLetter"/>
      <w:lvlText w:val="%2."/>
      <w:lvlJc w:val="left"/>
      <w:pPr>
        <w:ind w:left="1785" w:hanging="360"/>
      </w:pPr>
    </w:lvl>
    <w:lvl w:ilvl="2" w:tplc="0426001B">
      <w:start w:val="1"/>
      <w:numFmt w:val="lowerRoman"/>
      <w:lvlText w:val="%3."/>
      <w:lvlJc w:val="right"/>
      <w:pPr>
        <w:ind w:left="2505" w:hanging="180"/>
      </w:pPr>
    </w:lvl>
    <w:lvl w:ilvl="3" w:tplc="0426000F">
      <w:start w:val="1"/>
      <w:numFmt w:val="decimal"/>
      <w:lvlText w:val="%4."/>
      <w:lvlJc w:val="left"/>
      <w:pPr>
        <w:ind w:left="3225" w:hanging="360"/>
      </w:pPr>
    </w:lvl>
    <w:lvl w:ilvl="4" w:tplc="04260019">
      <w:start w:val="1"/>
      <w:numFmt w:val="lowerLetter"/>
      <w:lvlText w:val="%5."/>
      <w:lvlJc w:val="left"/>
      <w:pPr>
        <w:ind w:left="3945" w:hanging="360"/>
      </w:pPr>
    </w:lvl>
    <w:lvl w:ilvl="5" w:tplc="0426001B">
      <w:start w:val="1"/>
      <w:numFmt w:val="lowerRoman"/>
      <w:lvlText w:val="%6."/>
      <w:lvlJc w:val="right"/>
      <w:pPr>
        <w:ind w:left="4665" w:hanging="180"/>
      </w:pPr>
    </w:lvl>
    <w:lvl w:ilvl="6" w:tplc="0426000F">
      <w:start w:val="1"/>
      <w:numFmt w:val="decimal"/>
      <w:lvlText w:val="%7."/>
      <w:lvlJc w:val="left"/>
      <w:pPr>
        <w:ind w:left="5385" w:hanging="360"/>
      </w:pPr>
    </w:lvl>
    <w:lvl w:ilvl="7" w:tplc="04260019">
      <w:start w:val="1"/>
      <w:numFmt w:val="lowerLetter"/>
      <w:lvlText w:val="%8."/>
      <w:lvlJc w:val="left"/>
      <w:pPr>
        <w:ind w:left="6105" w:hanging="360"/>
      </w:pPr>
    </w:lvl>
    <w:lvl w:ilvl="8" w:tplc="0426001B">
      <w:start w:val="1"/>
      <w:numFmt w:val="lowerRoman"/>
      <w:lvlText w:val="%9."/>
      <w:lvlJc w:val="right"/>
      <w:pPr>
        <w:ind w:left="6825" w:hanging="180"/>
      </w:pPr>
    </w:lvl>
  </w:abstractNum>
  <w:abstractNum w:abstractNumId="11" w15:restartNumberingAfterBreak="1">
    <w:nsid w:val="3D6B7501"/>
    <w:multiLevelType w:val="hybridMultilevel"/>
    <w:tmpl w:val="C980ECDE"/>
    <w:lvl w:ilvl="0" w:tplc="04B6FDF8">
      <w:start w:val="1"/>
      <w:numFmt w:val="lowerLetter"/>
      <w:lvlText w:val="%1)"/>
      <w:lvlJc w:val="left"/>
      <w:pPr>
        <w:ind w:left="720" w:hanging="360"/>
      </w:pPr>
      <w:rPr>
        <w:rFonts w:hint="default"/>
        <w:b/>
      </w:rPr>
    </w:lvl>
    <w:lvl w:ilvl="1" w:tplc="ABD211DC" w:tentative="1">
      <w:start w:val="1"/>
      <w:numFmt w:val="lowerLetter"/>
      <w:lvlText w:val="%2."/>
      <w:lvlJc w:val="left"/>
      <w:pPr>
        <w:ind w:left="1440" w:hanging="360"/>
      </w:pPr>
    </w:lvl>
    <w:lvl w:ilvl="2" w:tplc="609CDF6C" w:tentative="1">
      <w:start w:val="1"/>
      <w:numFmt w:val="lowerRoman"/>
      <w:lvlText w:val="%3."/>
      <w:lvlJc w:val="right"/>
      <w:pPr>
        <w:ind w:left="2160" w:hanging="180"/>
      </w:pPr>
    </w:lvl>
    <w:lvl w:ilvl="3" w:tplc="CBD64D36" w:tentative="1">
      <w:start w:val="1"/>
      <w:numFmt w:val="decimal"/>
      <w:lvlText w:val="%4."/>
      <w:lvlJc w:val="left"/>
      <w:pPr>
        <w:ind w:left="2880" w:hanging="360"/>
      </w:pPr>
    </w:lvl>
    <w:lvl w:ilvl="4" w:tplc="76F030C0" w:tentative="1">
      <w:start w:val="1"/>
      <w:numFmt w:val="lowerLetter"/>
      <w:lvlText w:val="%5."/>
      <w:lvlJc w:val="left"/>
      <w:pPr>
        <w:ind w:left="3600" w:hanging="360"/>
      </w:pPr>
    </w:lvl>
    <w:lvl w:ilvl="5" w:tplc="96329322" w:tentative="1">
      <w:start w:val="1"/>
      <w:numFmt w:val="lowerRoman"/>
      <w:lvlText w:val="%6."/>
      <w:lvlJc w:val="right"/>
      <w:pPr>
        <w:ind w:left="4320" w:hanging="180"/>
      </w:pPr>
    </w:lvl>
    <w:lvl w:ilvl="6" w:tplc="FB92D964" w:tentative="1">
      <w:start w:val="1"/>
      <w:numFmt w:val="decimal"/>
      <w:lvlText w:val="%7."/>
      <w:lvlJc w:val="left"/>
      <w:pPr>
        <w:ind w:left="5040" w:hanging="360"/>
      </w:pPr>
    </w:lvl>
    <w:lvl w:ilvl="7" w:tplc="83806F9E" w:tentative="1">
      <w:start w:val="1"/>
      <w:numFmt w:val="lowerLetter"/>
      <w:lvlText w:val="%8."/>
      <w:lvlJc w:val="left"/>
      <w:pPr>
        <w:ind w:left="5760" w:hanging="360"/>
      </w:pPr>
    </w:lvl>
    <w:lvl w:ilvl="8" w:tplc="943895FE" w:tentative="1">
      <w:start w:val="1"/>
      <w:numFmt w:val="lowerRoman"/>
      <w:lvlText w:val="%9."/>
      <w:lvlJc w:val="right"/>
      <w:pPr>
        <w:ind w:left="6480" w:hanging="180"/>
      </w:pPr>
    </w:lvl>
  </w:abstractNum>
  <w:abstractNum w:abstractNumId="12" w15:restartNumberingAfterBreak="0">
    <w:nsid w:val="3DEA0C1B"/>
    <w:multiLevelType w:val="hybridMultilevel"/>
    <w:tmpl w:val="EA323DDC"/>
    <w:lvl w:ilvl="0" w:tplc="A5FADD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01120BC"/>
    <w:multiLevelType w:val="hybridMultilevel"/>
    <w:tmpl w:val="F060521C"/>
    <w:lvl w:ilvl="0" w:tplc="E17E2F5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0166036"/>
    <w:multiLevelType w:val="multilevel"/>
    <w:tmpl w:val="2F647DD4"/>
    <w:lvl w:ilvl="0">
      <w:start w:val="1"/>
      <w:numFmt w:val="decimal"/>
      <w:pStyle w:val="Punkts1Lmenis"/>
      <w:lvlText w:val="%1."/>
      <w:lvlJc w:val="left"/>
      <w:pPr>
        <w:tabs>
          <w:tab w:val="num" w:pos="1815"/>
        </w:tabs>
        <w:ind w:left="851" w:firstLine="0"/>
      </w:pPr>
      <w:rPr>
        <w:rFonts w:cs="Times New Roman" w:hint="default"/>
        <w:sz w:val="28"/>
        <w:szCs w:val="28"/>
      </w:rPr>
    </w:lvl>
    <w:lvl w:ilvl="1">
      <w:start w:val="1"/>
      <w:numFmt w:val="decimal"/>
      <w:pStyle w:val="Punkts2Lmenis"/>
      <w:isLgl/>
      <w:lvlText w:val="%1.%2."/>
      <w:lvlJc w:val="left"/>
      <w:pPr>
        <w:tabs>
          <w:tab w:val="num" w:pos="2468"/>
        </w:tabs>
        <w:ind w:left="1277" w:firstLine="0"/>
      </w:pPr>
      <w:rPr>
        <w:rFonts w:cs="Times New Roman" w:hint="default"/>
        <w:b w:val="0"/>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15" w15:restartNumberingAfterBreak="1">
    <w:nsid w:val="41BE5EFC"/>
    <w:multiLevelType w:val="hybridMultilevel"/>
    <w:tmpl w:val="7D8856A4"/>
    <w:lvl w:ilvl="0" w:tplc="3CB8DC36">
      <w:start w:val="1"/>
      <w:numFmt w:val="decimal"/>
      <w:lvlText w:val="%1."/>
      <w:lvlJc w:val="left"/>
      <w:pPr>
        <w:ind w:left="720" w:hanging="360"/>
      </w:pPr>
    </w:lvl>
    <w:lvl w:ilvl="1" w:tplc="B96E3A58">
      <w:start w:val="1"/>
      <w:numFmt w:val="lowerLetter"/>
      <w:lvlText w:val="%2."/>
      <w:lvlJc w:val="left"/>
      <w:pPr>
        <w:ind w:left="1440" w:hanging="360"/>
      </w:pPr>
    </w:lvl>
    <w:lvl w:ilvl="2" w:tplc="BCAA6BD6" w:tentative="1">
      <w:start w:val="1"/>
      <w:numFmt w:val="lowerRoman"/>
      <w:lvlText w:val="%3."/>
      <w:lvlJc w:val="right"/>
      <w:pPr>
        <w:ind w:left="2160" w:hanging="180"/>
      </w:pPr>
    </w:lvl>
    <w:lvl w:ilvl="3" w:tplc="7206AB28" w:tentative="1">
      <w:start w:val="1"/>
      <w:numFmt w:val="decimal"/>
      <w:lvlText w:val="%4."/>
      <w:lvlJc w:val="left"/>
      <w:pPr>
        <w:ind w:left="2880" w:hanging="360"/>
      </w:pPr>
    </w:lvl>
    <w:lvl w:ilvl="4" w:tplc="BF70D412" w:tentative="1">
      <w:start w:val="1"/>
      <w:numFmt w:val="lowerLetter"/>
      <w:lvlText w:val="%5."/>
      <w:lvlJc w:val="left"/>
      <w:pPr>
        <w:ind w:left="3600" w:hanging="360"/>
      </w:pPr>
    </w:lvl>
    <w:lvl w:ilvl="5" w:tplc="6BCE253E" w:tentative="1">
      <w:start w:val="1"/>
      <w:numFmt w:val="lowerRoman"/>
      <w:lvlText w:val="%6."/>
      <w:lvlJc w:val="right"/>
      <w:pPr>
        <w:ind w:left="4320" w:hanging="180"/>
      </w:pPr>
    </w:lvl>
    <w:lvl w:ilvl="6" w:tplc="330E1A0A" w:tentative="1">
      <w:start w:val="1"/>
      <w:numFmt w:val="decimal"/>
      <w:lvlText w:val="%7."/>
      <w:lvlJc w:val="left"/>
      <w:pPr>
        <w:ind w:left="5040" w:hanging="360"/>
      </w:pPr>
    </w:lvl>
    <w:lvl w:ilvl="7" w:tplc="7480CB14" w:tentative="1">
      <w:start w:val="1"/>
      <w:numFmt w:val="lowerLetter"/>
      <w:lvlText w:val="%8."/>
      <w:lvlJc w:val="left"/>
      <w:pPr>
        <w:ind w:left="5760" w:hanging="360"/>
      </w:pPr>
    </w:lvl>
    <w:lvl w:ilvl="8" w:tplc="5CE2BB14" w:tentative="1">
      <w:start w:val="1"/>
      <w:numFmt w:val="lowerRoman"/>
      <w:lvlText w:val="%9."/>
      <w:lvlJc w:val="right"/>
      <w:pPr>
        <w:ind w:left="6480" w:hanging="180"/>
      </w:pPr>
    </w:lvl>
  </w:abstractNum>
  <w:abstractNum w:abstractNumId="16" w15:restartNumberingAfterBreak="0">
    <w:nsid w:val="442C0E61"/>
    <w:multiLevelType w:val="hybridMultilevel"/>
    <w:tmpl w:val="A4AE4DB0"/>
    <w:lvl w:ilvl="0" w:tplc="F184D69C">
      <w:start w:val="5"/>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5092646"/>
    <w:multiLevelType w:val="hybridMultilevel"/>
    <w:tmpl w:val="BB86B6BC"/>
    <w:lvl w:ilvl="0" w:tplc="821C1078">
      <w:start w:val="1"/>
      <w:numFmt w:val="decimal"/>
      <w:lvlText w:val="%1."/>
      <w:lvlJc w:val="left"/>
      <w:pPr>
        <w:ind w:left="1287" w:hanging="360"/>
      </w:pPr>
    </w:lvl>
    <w:lvl w:ilvl="1" w:tplc="17B25700">
      <w:start w:val="1"/>
      <w:numFmt w:val="lowerLetter"/>
      <w:lvlText w:val="%2."/>
      <w:lvlJc w:val="left"/>
      <w:pPr>
        <w:ind w:left="2007" w:hanging="360"/>
      </w:pPr>
    </w:lvl>
    <w:lvl w:ilvl="2" w:tplc="28BC27E4">
      <w:start w:val="1"/>
      <w:numFmt w:val="lowerRoman"/>
      <w:lvlText w:val="%3."/>
      <w:lvlJc w:val="right"/>
      <w:pPr>
        <w:ind w:left="2727" w:hanging="180"/>
      </w:pPr>
    </w:lvl>
    <w:lvl w:ilvl="3" w:tplc="D7E05344">
      <w:start w:val="1"/>
      <w:numFmt w:val="decimal"/>
      <w:lvlText w:val="%4."/>
      <w:lvlJc w:val="left"/>
      <w:pPr>
        <w:ind w:left="3447" w:hanging="360"/>
      </w:pPr>
    </w:lvl>
    <w:lvl w:ilvl="4" w:tplc="C1985DC0">
      <w:start w:val="1"/>
      <w:numFmt w:val="lowerLetter"/>
      <w:lvlText w:val="%5."/>
      <w:lvlJc w:val="left"/>
      <w:pPr>
        <w:ind w:left="4167" w:hanging="360"/>
      </w:pPr>
    </w:lvl>
    <w:lvl w:ilvl="5" w:tplc="0F7ED710">
      <w:start w:val="1"/>
      <w:numFmt w:val="lowerRoman"/>
      <w:lvlText w:val="%6."/>
      <w:lvlJc w:val="right"/>
      <w:pPr>
        <w:ind w:left="4887" w:hanging="180"/>
      </w:pPr>
    </w:lvl>
    <w:lvl w:ilvl="6" w:tplc="02D644DC">
      <w:start w:val="1"/>
      <w:numFmt w:val="decimal"/>
      <w:lvlText w:val="%7."/>
      <w:lvlJc w:val="left"/>
      <w:pPr>
        <w:ind w:left="5607" w:hanging="360"/>
      </w:pPr>
    </w:lvl>
    <w:lvl w:ilvl="7" w:tplc="25C4531A">
      <w:start w:val="1"/>
      <w:numFmt w:val="lowerLetter"/>
      <w:lvlText w:val="%8."/>
      <w:lvlJc w:val="left"/>
      <w:pPr>
        <w:ind w:left="6327" w:hanging="360"/>
      </w:pPr>
    </w:lvl>
    <w:lvl w:ilvl="8" w:tplc="8B6897C6">
      <w:start w:val="1"/>
      <w:numFmt w:val="lowerRoman"/>
      <w:lvlText w:val="%9."/>
      <w:lvlJc w:val="right"/>
      <w:pPr>
        <w:ind w:left="7047" w:hanging="180"/>
      </w:pPr>
    </w:lvl>
  </w:abstractNum>
  <w:abstractNum w:abstractNumId="18" w15:restartNumberingAfterBreak="0">
    <w:nsid w:val="478E4AB1"/>
    <w:multiLevelType w:val="hybridMultilevel"/>
    <w:tmpl w:val="57B40FDA"/>
    <w:lvl w:ilvl="0" w:tplc="6DA4A332">
      <w:start w:val="1"/>
      <w:numFmt w:val="decimal"/>
      <w:lvlText w:val="%1."/>
      <w:lvlJc w:val="left"/>
      <w:pPr>
        <w:ind w:left="1211" w:hanging="360"/>
      </w:p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19" w15:restartNumberingAfterBreak="0">
    <w:nsid w:val="48C8663C"/>
    <w:multiLevelType w:val="hybridMultilevel"/>
    <w:tmpl w:val="BC50FDC6"/>
    <w:lvl w:ilvl="0" w:tplc="6DA83918">
      <w:start w:val="1"/>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B67EC3"/>
    <w:multiLevelType w:val="hybridMultilevel"/>
    <w:tmpl w:val="BB86B6BC"/>
    <w:lvl w:ilvl="0" w:tplc="821C1078">
      <w:start w:val="1"/>
      <w:numFmt w:val="decimal"/>
      <w:lvlText w:val="%1."/>
      <w:lvlJc w:val="left"/>
      <w:pPr>
        <w:ind w:left="1287" w:hanging="360"/>
      </w:pPr>
    </w:lvl>
    <w:lvl w:ilvl="1" w:tplc="17B25700">
      <w:start w:val="1"/>
      <w:numFmt w:val="lowerLetter"/>
      <w:lvlText w:val="%2."/>
      <w:lvlJc w:val="left"/>
      <w:pPr>
        <w:ind w:left="2007" w:hanging="360"/>
      </w:pPr>
    </w:lvl>
    <w:lvl w:ilvl="2" w:tplc="28BC27E4">
      <w:start w:val="1"/>
      <w:numFmt w:val="lowerRoman"/>
      <w:lvlText w:val="%3."/>
      <w:lvlJc w:val="right"/>
      <w:pPr>
        <w:ind w:left="2727" w:hanging="180"/>
      </w:pPr>
    </w:lvl>
    <w:lvl w:ilvl="3" w:tplc="D7E05344">
      <w:start w:val="1"/>
      <w:numFmt w:val="decimal"/>
      <w:lvlText w:val="%4."/>
      <w:lvlJc w:val="left"/>
      <w:pPr>
        <w:ind w:left="3447" w:hanging="360"/>
      </w:pPr>
    </w:lvl>
    <w:lvl w:ilvl="4" w:tplc="C1985DC0">
      <w:start w:val="1"/>
      <w:numFmt w:val="lowerLetter"/>
      <w:lvlText w:val="%5."/>
      <w:lvlJc w:val="left"/>
      <w:pPr>
        <w:ind w:left="4167" w:hanging="360"/>
      </w:pPr>
    </w:lvl>
    <w:lvl w:ilvl="5" w:tplc="0F7ED710">
      <w:start w:val="1"/>
      <w:numFmt w:val="lowerRoman"/>
      <w:lvlText w:val="%6."/>
      <w:lvlJc w:val="right"/>
      <w:pPr>
        <w:ind w:left="4887" w:hanging="180"/>
      </w:pPr>
    </w:lvl>
    <w:lvl w:ilvl="6" w:tplc="02D644DC">
      <w:start w:val="1"/>
      <w:numFmt w:val="decimal"/>
      <w:lvlText w:val="%7."/>
      <w:lvlJc w:val="left"/>
      <w:pPr>
        <w:ind w:left="5607" w:hanging="360"/>
      </w:pPr>
    </w:lvl>
    <w:lvl w:ilvl="7" w:tplc="25C4531A">
      <w:start w:val="1"/>
      <w:numFmt w:val="lowerLetter"/>
      <w:lvlText w:val="%8."/>
      <w:lvlJc w:val="left"/>
      <w:pPr>
        <w:ind w:left="6327" w:hanging="360"/>
      </w:pPr>
    </w:lvl>
    <w:lvl w:ilvl="8" w:tplc="8B6897C6">
      <w:start w:val="1"/>
      <w:numFmt w:val="lowerRoman"/>
      <w:lvlText w:val="%9."/>
      <w:lvlJc w:val="right"/>
      <w:pPr>
        <w:ind w:left="7047" w:hanging="180"/>
      </w:pPr>
    </w:lvl>
  </w:abstractNum>
  <w:abstractNum w:abstractNumId="2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12724E"/>
    <w:multiLevelType w:val="hybridMultilevel"/>
    <w:tmpl w:val="C1BE43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1">
    <w:nsid w:val="67334BBC"/>
    <w:multiLevelType w:val="hybridMultilevel"/>
    <w:tmpl w:val="804EBC26"/>
    <w:lvl w:ilvl="0" w:tplc="35380CB8">
      <w:start w:val="1"/>
      <w:numFmt w:val="decimal"/>
      <w:lvlText w:val="%1."/>
      <w:lvlJc w:val="left"/>
      <w:pPr>
        <w:ind w:left="720" w:hanging="360"/>
      </w:pPr>
      <w:rPr>
        <w:rFonts w:hint="default"/>
      </w:rPr>
    </w:lvl>
    <w:lvl w:ilvl="1" w:tplc="70D4DF26" w:tentative="1">
      <w:start w:val="1"/>
      <w:numFmt w:val="lowerLetter"/>
      <w:lvlText w:val="%2."/>
      <w:lvlJc w:val="left"/>
      <w:pPr>
        <w:ind w:left="1440" w:hanging="360"/>
      </w:pPr>
    </w:lvl>
    <w:lvl w:ilvl="2" w:tplc="65A28234" w:tentative="1">
      <w:start w:val="1"/>
      <w:numFmt w:val="lowerRoman"/>
      <w:lvlText w:val="%3."/>
      <w:lvlJc w:val="right"/>
      <w:pPr>
        <w:ind w:left="2160" w:hanging="180"/>
      </w:pPr>
    </w:lvl>
    <w:lvl w:ilvl="3" w:tplc="65C22144" w:tentative="1">
      <w:start w:val="1"/>
      <w:numFmt w:val="decimal"/>
      <w:lvlText w:val="%4."/>
      <w:lvlJc w:val="left"/>
      <w:pPr>
        <w:ind w:left="2880" w:hanging="360"/>
      </w:pPr>
    </w:lvl>
    <w:lvl w:ilvl="4" w:tplc="76BA3740" w:tentative="1">
      <w:start w:val="1"/>
      <w:numFmt w:val="lowerLetter"/>
      <w:lvlText w:val="%5."/>
      <w:lvlJc w:val="left"/>
      <w:pPr>
        <w:ind w:left="3600" w:hanging="360"/>
      </w:pPr>
    </w:lvl>
    <w:lvl w:ilvl="5" w:tplc="1D4656D8" w:tentative="1">
      <w:start w:val="1"/>
      <w:numFmt w:val="lowerRoman"/>
      <w:lvlText w:val="%6."/>
      <w:lvlJc w:val="right"/>
      <w:pPr>
        <w:ind w:left="4320" w:hanging="180"/>
      </w:pPr>
    </w:lvl>
    <w:lvl w:ilvl="6" w:tplc="FED02B42" w:tentative="1">
      <w:start w:val="1"/>
      <w:numFmt w:val="decimal"/>
      <w:lvlText w:val="%7."/>
      <w:lvlJc w:val="left"/>
      <w:pPr>
        <w:ind w:left="5040" w:hanging="360"/>
      </w:pPr>
    </w:lvl>
    <w:lvl w:ilvl="7" w:tplc="C9A6943E" w:tentative="1">
      <w:start w:val="1"/>
      <w:numFmt w:val="lowerLetter"/>
      <w:lvlText w:val="%8."/>
      <w:lvlJc w:val="left"/>
      <w:pPr>
        <w:ind w:left="5760" w:hanging="360"/>
      </w:pPr>
    </w:lvl>
    <w:lvl w:ilvl="8" w:tplc="BC2EB992" w:tentative="1">
      <w:start w:val="1"/>
      <w:numFmt w:val="lowerRoman"/>
      <w:lvlText w:val="%9."/>
      <w:lvlJc w:val="right"/>
      <w:pPr>
        <w:ind w:left="6480" w:hanging="180"/>
      </w:pPr>
    </w:lvl>
  </w:abstractNum>
  <w:abstractNum w:abstractNumId="26" w15:restartNumberingAfterBreak="0">
    <w:nsid w:val="6B5A2D74"/>
    <w:multiLevelType w:val="hybridMultilevel"/>
    <w:tmpl w:val="1E866D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BC947ED"/>
    <w:multiLevelType w:val="hybridMultilevel"/>
    <w:tmpl w:val="76B8D7DA"/>
    <w:lvl w:ilvl="0" w:tplc="E83009F6">
      <w:start w:val="1"/>
      <w:numFmt w:val="decimal"/>
      <w:lvlText w:val="%1."/>
      <w:lvlJc w:val="left"/>
      <w:pPr>
        <w:ind w:left="390" w:hanging="39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14B17A8"/>
    <w:multiLevelType w:val="hybridMultilevel"/>
    <w:tmpl w:val="41C6C3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1D9612E"/>
    <w:multiLevelType w:val="hybridMultilevel"/>
    <w:tmpl w:val="E2522A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21F4E15"/>
    <w:multiLevelType w:val="hybridMultilevel"/>
    <w:tmpl w:val="BD061788"/>
    <w:lvl w:ilvl="0" w:tplc="4F68AB64">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1"/>
  </w:num>
  <w:num w:numId="3">
    <w:abstractNumId w:val="24"/>
  </w:num>
  <w:num w:numId="4">
    <w:abstractNumId w:val="22"/>
  </w:num>
  <w:num w:numId="5">
    <w:abstractNumId w:val="20"/>
  </w:num>
  <w:num w:numId="6">
    <w:abstractNumId w:val="7"/>
  </w:num>
  <w:num w:numId="7">
    <w:abstractNumId w:val="28"/>
  </w:num>
  <w:num w:numId="8">
    <w:abstractNumId w:val="12"/>
  </w:num>
  <w:num w:numId="9">
    <w:abstractNumId w:val="13"/>
  </w:num>
  <w:num w:numId="10">
    <w:abstractNumId w:val="1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23"/>
  </w:num>
  <w:num w:numId="15">
    <w:abstractNumId w:val="11"/>
  </w:num>
  <w:num w:numId="16">
    <w:abstractNumId w:val="27"/>
  </w:num>
  <w:num w:numId="17">
    <w:abstractNumId w:val="25"/>
  </w:num>
  <w:num w:numId="18">
    <w:abstractNumId w:val="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6"/>
  </w:num>
  <w:num w:numId="23">
    <w:abstractNumId w:val="17"/>
  </w:num>
  <w:num w:numId="24">
    <w:abstractNumId w:val="21"/>
  </w:num>
  <w:num w:numId="25">
    <w:abstractNumId w:val="3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9"/>
  </w:num>
  <w:num w:numId="30">
    <w:abstractNumId w:val="1"/>
  </w:num>
  <w:num w:numId="31">
    <w:abstractNumId w:val="16"/>
  </w:num>
  <w:num w:numId="32">
    <w:abstractNumId w:val="5"/>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17AE8"/>
    <w:rsid w:val="00017D5C"/>
    <w:rsid w:val="00020249"/>
    <w:rsid w:val="00021782"/>
    <w:rsid w:val="00022338"/>
    <w:rsid w:val="0002296A"/>
    <w:rsid w:val="00022B0F"/>
    <w:rsid w:val="00022B9A"/>
    <w:rsid w:val="00023FD6"/>
    <w:rsid w:val="0002416A"/>
    <w:rsid w:val="00024BE4"/>
    <w:rsid w:val="00024CCD"/>
    <w:rsid w:val="00024D20"/>
    <w:rsid w:val="000253DB"/>
    <w:rsid w:val="000278E7"/>
    <w:rsid w:val="00027A63"/>
    <w:rsid w:val="00027F9D"/>
    <w:rsid w:val="000307B5"/>
    <w:rsid w:val="00032457"/>
    <w:rsid w:val="00032BD4"/>
    <w:rsid w:val="0003413A"/>
    <w:rsid w:val="000349CA"/>
    <w:rsid w:val="0003557A"/>
    <w:rsid w:val="00035C06"/>
    <w:rsid w:val="000366DF"/>
    <w:rsid w:val="000376CD"/>
    <w:rsid w:val="00040A5C"/>
    <w:rsid w:val="00043005"/>
    <w:rsid w:val="0004345F"/>
    <w:rsid w:val="00043A64"/>
    <w:rsid w:val="00044026"/>
    <w:rsid w:val="00046075"/>
    <w:rsid w:val="00046CAD"/>
    <w:rsid w:val="00046F5C"/>
    <w:rsid w:val="00047385"/>
    <w:rsid w:val="00050554"/>
    <w:rsid w:val="00051359"/>
    <w:rsid w:val="00052EBE"/>
    <w:rsid w:val="00053706"/>
    <w:rsid w:val="00053817"/>
    <w:rsid w:val="00053E04"/>
    <w:rsid w:val="000579E6"/>
    <w:rsid w:val="00060E03"/>
    <w:rsid w:val="0006232B"/>
    <w:rsid w:val="00063935"/>
    <w:rsid w:val="000641CE"/>
    <w:rsid w:val="00064C88"/>
    <w:rsid w:val="00064DB7"/>
    <w:rsid w:val="00065271"/>
    <w:rsid w:val="00066176"/>
    <w:rsid w:val="0006618D"/>
    <w:rsid w:val="00066885"/>
    <w:rsid w:val="0006694E"/>
    <w:rsid w:val="00066A37"/>
    <w:rsid w:val="00066F05"/>
    <w:rsid w:val="00070BD5"/>
    <w:rsid w:val="00072628"/>
    <w:rsid w:val="000728ED"/>
    <w:rsid w:val="000733F5"/>
    <w:rsid w:val="000733FF"/>
    <w:rsid w:val="000744A5"/>
    <w:rsid w:val="0007577A"/>
    <w:rsid w:val="00076581"/>
    <w:rsid w:val="000775D0"/>
    <w:rsid w:val="00077892"/>
    <w:rsid w:val="000816CE"/>
    <w:rsid w:val="00081B0F"/>
    <w:rsid w:val="0008283D"/>
    <w:rsid w:val="00083090"/>
    <w:rsid w:val="00083214"/>
    <w:rsid w:val="00083B8F"/>
    <w:rsid w:val="0008467A"/>
    <w:rsid w:val="00084B11"/>
    <w:rsid w:val="00085322"/>
    <w:rsid w:val="0008656F"/>
    <w:rsid w:val="00086AB9"/>
    <w:rsid w:val="00086BCE"/>
    <w:rsid w:val="00086F36"/>
    <w:rsid w:val="00090168"/>
    <w:rsid w:val="00090C76"/>
    <w:rsid w:val="00091033"/>
    <w:rsid w:val="00091F10"/>
    <w:rsid w:val="00092D8F"/>
    <w:rsid w:val="0009302B"/>
    <w:rsid w:val="00093EC2"/>
    <w:rsid w:val="000958A2"/>
    <w:rsid w:val="000965E7"/>
    <w:rsid w:val="000A0041"/>
    <w:rsid w:val="000A06FC"/>
    <w:rsid w:val="000A07BC"/>
    <w:rsid w:val="000A1A02"/>
    <w:rsid w:val="000A26A6"/>
    <w:rsid w:val="000A2F83"/>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187"/>
    <w:rsid w:val="000C0AE6"/>
    <w:rsid w:val="000C0D0D"/>
    <w:rsid w:val="000C2555"/>
    <w:rsid w:val="000C3545"/>
    <w:rsid w:val="000C498A"/>
    <w:rsid w:val="000C4C16"/>
    <w:rsid w:val="000C56FC"/>
    <w:rsid w:val="000C6047"/>
    <w:rsid w:val="000C7907"/>
    <w:rsid w:val="000C7A11"/>
    <w:rsid w:val="000C7F5E"/>
    <w:rsid w:val="000D00AC"/>
    <w:rsid w:val="000D0AED"/>
    <w:rsid w:val="000D1D7C"/>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E7992"/>
    <w:rsid w:val="000F054F"/>
    <w:rsid w:val="000F079D"/>
    <w:rsid w:val="000F0D9D"/>
    <w:rsid w:val="000F17DD"/>
    <w:rsid w:val="000F1D56"/>
    <w:rsid w:val="000F2534"/>
    <w:rsid w:val="000F28D9"/>
    <w:rsid w:val="000F2D43"/>
    <w:rsid w:val="000F2F9A"/>
    <w:rsid w:val="000F3AA0"/>
    <w:rsid w:val="000F4AEB"/>
    <w:rsid w:val="000F4B40"/>
    <w:rsid w:val="000F4C3B"/>
    <w:rsid w:val="000F4E7B"/>
    <w:rsid w:val="000F57C3"/>
    <w:rsid w:val="000F5C37"/>
    <w:rsid w:val="000F5DF0"/>
    <w:rsid w:val="000F5FB1"/>
    <w:rsid w:val="000F6A0B"/>
    <w:rsid w:val="000F7695"/>
    <w:rsid w:val="001012E3"/>
    <w:rsid w:val="00101EEB"/>
    <w:rsid w:val="00101F4C"/>
    <w:rsid w:val="0010375A"/>
    <w:rsid w:val="00103879"/>
    <w:rsid w:val="001038ED"/>
    <w:rsid w:val="00103911"/>
    <w:rsid w:val="001042B0"/>
    <w:rsid w:val="00106F4F"/>
    <w:rsid w:val="001071D3"/>
    <w:rsid w:val="001075A8"/>
    <w:rsid w:val="00110259"/>
    <w:rsid w:val="00110AA9"/>
    <w:rsid w:val="0011254D"/>
    <w:rsid w:val="001139C2"/>
    <w:rsid w:val="00114559"/>
    <w:rsid w:val="00114EA9"/>
    <w:rsid w:val="001158F6"/>
    <w:rsid w:val="00115ED0"/>
    <w:rsid w:val="001164E7"/>
    <w:rsid w:val="0011683C"/>
    <w:rsid w:val="001173C0"/>
    <w:rsid w:val="001179E8"/>
    <w:rsid w:val="0012021B"/>
    <w:rsid w:val="0012222D"/>
    <w:rsid w:val="001255E6"/>
    <w:rsid w:val="0013053A"/>
    <w:rsid w:val="0013066A"/>
    <w:rsid w:val="001315EF"/>
    <w:rsid w:val="00131F39"/>
    <w:rsid w:val="00132375"/>
    <w:rsid w:val="00132E73"/>
    <w:rsid w:val="00133025"/>
    <w:rsid w:val="001330BD"/>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11B1"/>
    <w:rsid w:val="00152718"/>
    <w:rsid w:val="001530CF"/>
    <w:rsid w:val="00153F12"/>
    <w:rsid w:val="001543DB"/>
    <w:rsid w:val="00155473"/>
    <w:rsid w:val="00155DC2"/>
    <w:rsid w:val="00156D90"/>
    <w:rsid w:val="00156E9F"/>
    <w:rsid w:val="00157A57"/>
    <w:rsid w:val="00157DB6"/>
    <w:rsid w:val="00157EC2"/>
    <w:rsid w:val="00162573"/>
    <w:rsid w:val="00162A68"/>
    <w:rsid w:val="00162E08"/>
    <w:rsid w:val="00162F39"/>
    <w:rsid w:val="001633F1"/>
    <w:rsid w:val="0016531E"/>
    <w:rsid w:val="0016565C"/>
    <w:rsid w:val="00166314"/>
    <w:rsid w:val="00166746"/>
    <w:rsid w:val="00167590"/>
    <w:rsid w:val="00167918"/>
    <w:rsid w:val="00167C1E"/>
    <w:rsid w:val="00167DE7"/>
    <w:rsid w:val="0017043B"/>
    <w:rsid w:val="00170636"/>
    <w:rsid w:val="001706A1"/>
    <w:rsid w:val="00170914"/>
    <w:rsid w:val="00170DF2"/>
    <w:rsid w:val="00174841"/>
    <w:rsid w:val="001760D7"/>
    <w:rsid w:val="001761FD"/>
    <w:rsid w:val="00177D61"/>
    <w:rsid w:val="00180125"/>
    <w:rsid w:val="001808CA"/>
    <w:rsid w:val="00180923"/>
    <w:rsid w:val="00180CE5"/>
    <w:rsid w:val="00181886"/>
    <w:rsid w:val="00181BAA"/>
    <w:rsid w:val="00181D2D"/>
    <w:rsid w:val="00181FA1"/>
    <w:rsid w:val="0018210A"/>
    <w:rsid w:val="00182DE0"/>
    <w:rsid w:val="0018386C"/>
    <w:rsid w:val="00184479"/>
    <w:rsid w:val="0018472C"/>
    <w:rsid w:val="00184838"/>
    <w:rsid w:val="00185755"/>
    <w:rsid w:val="00187398"/>
    <w:rsid w:val="00187F73"/>
    <w:rsid w:val="00187FB0"/>
    <w:rsid w:val="001902E9"/>
    <w:rsid w:val="00190327"/>
    <w:rsid w:val="00190A0A"/>
    <w:rsid w:val="00192175"/>
    <w:rsid w:val="001926F2"/>
    <w:rsid w:val="00193BCE"/>
    <w:rsid w:val="00194B87"/>
    <w:rsid w:val="0019569A"/>
    <w:rsid w:val="00195962"/>
    <w:rsid w:val="00197533"/>
    <w:rsid w:val="001977E7"/>
    <w:rsid w:val="00197CCA"/>
    <w:rsid w:val="001A0D8A"/>
    <w:rsid w:val="001A192D"/>
    <w:rsid w:val="001A59C2"/>
    <w:rsid w:val="001A5E4C"/>
    <w:rsid w:val="001A6ACB"/>
    <w:rsid w:val="001A7C72"/>
    <w:rsid w:val="001B084B"/>
    <w:rsid w:val="001B0CEC"/>
    <w:rsid w:val="001B0EC0"/>
    <w:rsid w:val="001B0FFC"/>
    <w:rsid w:val="001B1CF2"/>
    <w:rsid w:val="001B3CF8"/>
    <w:rsid w:val="001B4388"/>
    <w:rsid w:val="001B463E"/>
    <w:rsid w:val="001B49E0"/>
    <w:rsid w:val="001B5009"/>
    <w:rsid w:val="001B5066"/>
    <w:rsid w:val="001B5377"/>
    <w:rsid w:val="001B6553"/>
    <w:rsid w:val="001B6647"/>
    <w:rsid w:val="001B6A47"/>
    <w:rsid w:val="001B6B0A"/>
    <w:rsid w:val="001B6C3C"/>
    <w:rsid w:val="001B7FAB"/>
    <w:rsid w:val="001C0824"/>
    <w:rsid w:val="001C0B83"/>
    <w:rsid w:val="001C1510"/>
    <w:rsid w:val="001C1989"/>
    <w:rsid w:val="001C28FD"/>
    <w:rsid w:val="001C3349"/>
    <w:rsid w:val="001C3419"/>
    <w:rsid w:val="001C4ABA"/>
    <w:rsid w:val="001C546B"/>
    <w:rsid w:val="001C5EA2"/>
    <w:rsid w:val="001C6608"/>
    <w:rsid w:val="001C6C7D"/>
    <w:rsid w:val="001D09FB"/>
    <w:rsid w:val="001D123A"/>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3EA5"/>
    <w:rsid w:val="001E4456"/>
    <w:rsid w:val="001E4DDC"/>
    <w:rsid w:val="001E774F"/>
    <w:rsid w:val="001E7C1D"/>
    <w:rsid w:val="001E7E13"/>
    <w:rsid w:val="001F073F"/>
    <w:rsid w:val="001F20D3"/>
    <w:rsid w:val="001F2C77"/>
    <w:rsid w:val="001F3009"/>
    <w:rsid w:val="001F3358"/>
    <w:rsid w:val="001F35CB"/>
    <w:rsid w:val="001F390F"/>
    <w:rsid w:val="001F5CD1"/>
    <w:rsid w:val="001F7257"/>
    <w:rsid w:val="001F7739"/>
    <w:rsid w:val="0020011B"/>
    <w:rsid w:val="00201045"/>
    <w:rsid w:val="0020187E"/>
    <w:rsid w:val="00201DC6"/>
    <w:rsid w:val="00202375"/>
    <w:rsid w:val="002025EA"/>
    <w:rsid w:val="00202884"/>
    <w:rsid w:val="00202E44"/>
    <w:rsid w:val="00203556"/>
    <w:rsid w:val="00204D0F"/>
    <w:rsid w:val="00204DB6"/>
    <w:rsid w:val="002056ED"/>
    <w:rsid w:val="00205C3A"/>
    <w:rsid w:val="00207B5F"/>
    <w:rsid w:val="00211793"/>
    <w:rsid w:val="00211C11"/>
    <w:rsid w:val="00212345"/>
    <w:rsid w:val="00214809"/>
    <w:rsid w:val="002149A1"/>
    <w:rsid w:val="00214E7A"/>
    <w:rsid w:val="00215BFE"/>
    <w:rsid w:val="00215C44"/>
    <w:rsid w:val="00216E73"/>
    <w:rsid w:val="0021774C"/>
    <w:rsid w:val="00217CF6"/>
    <w:rsid w:val="00217FF6"/>
    <w:rsid w:val="00221628"/>
    <w:rsid w:val="00222386"/>
    <w:rsid w:val="00222AB2"/>
    <w:rsid w:val="00222F51"/>
    <w:rsid w:val="00222F96"/>
    <w:rsid w:val="002230E1"/>
    <w:rsid w:val="00223361"/>
    <w:rsid w:val="00223807"/>
    <w:rsid w:val="002244BA"/>
    <w:rsid w:val="002247AA"/>
    <w:rsid w:val="00224DA7"/>
    <w:rsid w:val="002261CB"/>
    <w:rsid w:val="002268BF"/>
    <w:rsid w:val="00227BDE"/>
    <w:rsid w:val="00230045"/>
    <w:rsid w:val="0023014E"/>
    <w:rsid w:val="002308FA"/>
    <w:rsid w:val="0023132F"/>
    <w:rsid w:val="00231AA5"/>
    <w:rsid w:val="00232F90"/>
    <w:rsid w:val="0023339B"/>
    <w:rsid w:val="00234365"/>
    <w:rsid w:val="0023469C"/>
    <w:rsid w:val="00234C71"/>
    <w:rsid w:val="00235511"/>
    <w:rsid w:val="00235F46"/>
    <w:rsid w:val="002366E0"/>
    <w:rsid w:val="00236DE1"/>
    <w:rsid w:val="002372EE"/>
    <w:rsid w:val="002372FD"/>
    <w:rsid w:val="00237555"/>
    <w:rsid w:val="0023764D"/>
    <w:rsid w:val="0024063D"/>
    <w:rsid w:val="002415BC"/>
    <w:rsid w:val="002434B2"/>
    <w:rsid w:val="00243E45"/>
    <w:rsid w:val="002442F4"/>
    <w:rsid w:val="002445EA"/>
    <w:rsid w:val="00244987"/>
    <w:rsid w:val="00244ECE"/>
    <w:rsid w:val="00244FC5"/>
    <w:rsid w:val="00245D1D"/>
    <w:rsid w:val="00250EDA"/>
    <w:rsid w:val="00251502"/>
    <w:rsid w:val="002518E8"/>
    <w:rsid w:val="00251C10"/>
    <w:rsid w:val="00252E1E"/>
    <w:rsid w:val="002538BA"/>
    <w:rsid w:val="0025469D"/>
    <w:rsid w:val="002552B1"/>
    <w:rsid w:val="002559C9"/>
    <w:rsid w:val="00255D01"/>
    <w:rsid w:val="00256E55"/>
    <w:rsid w:val="00257E0E"/>
    <w:rsid w:val="00257FF4"/>
    <w:rsid w:val="00260FCB"/>
    <w:rsid w:val="002615F5"/>
    <w:rsid w:val="002616B9"/>
    <w:rsid w:val="0026217B"/>
    <w:rsid w:val="002629E4"/>
    <w:rsid w:val="00262C4F"/>
    <w:rsid w:val="00263FE3"/>
    <w:rsid w:val="00265593"/>
    <w:rsid w:val="002675EA"/>
    <w:rsid w:val="002676F7"/>
    <w:rsid w:val="00267BC5"/>
    <w:rsid w:val="00267CBE"/>
    <w:rsid w:val="00267E0B"/>
    <w:rsid w:val="00267EF5"/>
    <w:rsid w:val="00270680"/>
    <w:rsid w:val="00271103"/>
    <w:rsid w:val="002721FA"/>
    <w:rsid w:val="0027230C"/>
    <w:rsid w:val="00272B99"/>
    <w:rsid w:val="0027380D"/>
    <w:rsid w:val="00273E44"/>
    <w:rsid w:val="0027468E"/>
    <w:rsid w:val="00274826"/>
    <w:rsid w:val="00275005"/>
    <w:rsid w:val="002752AB"/>
    <w:rsid w:val="002756B1"/>
    <w:rsid w:val="002756D6"/>
    <w:rsid w:val="0027573C"/>
    <w:rsid w:val="002815D0"/>
    <w:rsid w:val="002820A7"/>
    <w:rsid w:val="00283B82"/>
    <w:rsid w:val="00283E13"/>
    <w:rsid w:val="00285A39"/>
    <w:rsid w:val="00286478"/>
    <w:rsid w:val="00287EDD"/>
    <w:rsid w:val="0029141B"/>
    <w:rsid w:val="002927D3"/>
    <w:rsid w:val="002936C9"/>
    <w:rsid w:val="00294BDE"/>
    <w:rsid w:val="00295DB6"/>
    <w:rsid w:val="0029788B"/>
    <w:rsid w:val="00297D1B"/>
    <w:rsid w:val="00297F4D"/>
    <w:rsid w:val="002A0226"/>
    <w:rsid w:val="002A0661"/>
    <w:rsid w:val="002A1CF2"/>
    <w:rsid w:val="002A2ED0"/>
    <w:rsid w:val="002A31DD"/>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835"/>
    <w:rsid w:val="002D1CA4"/>
    <w:rsid w:val="002D1CA8"/>
    <w:rsid w:val="002D2666"/>
    <w:rsid w:val="002D2C09"/>
    <w:rsid w:val="002D2C45"/>
    <w:rsid w:val="002D2F8D"/>
    <w:rsid w:val="002D3C51"/>
    <w:rsid w:val="002D472C"/>
    <w:rsid w:val="002D4969"/>
    <w:rsid w:val="002D4EE1"/>
    <w:rsid w:val="002D4F49"/>
    <w:rsid w:val="002D778E"/>
    <w:rsid w:val="002E04D7"/>
    <w:rsid w:val="002E06DD"/>
    <w:rsid w:val="002E171A"/>
    <w:rsid w:val="002E1D7D"/>
    <w:rsid w:val="002E2A24"/>
    <w:rsid w:val="002E2E68"/>
    <w:rsid w:val="002E3D66"/>
    <w:rsid w:val="002E3F11"/>
    <w:rsid w:val="002E4B11"/>
    <w:rsid w:val="002E4F70"/>
    <w:rsid w:val="002E5886"/>
    <w:rsid w:val="002E5AD3"/>
    <w:rsid w:val="002E635D"/>
    <w:rsid w:val="002E7562"/>
    <w:rsid w:val="002F071F"/>
    <w:rsid w:val="002F16D5"/>
    <w:rsid w:val="002F1A90"/>
    <w:rsid w:val="002F1C2F"/>
    <w:rsid w:val="002F3654"/>
    <w:rsid w:val="002F3D1C"/>
    <w:rsid w:val="002F4EA1"/>
    <w:rsid w:val="002F52DE"/>
    <w:rsid w:val="002F55C1"/>
    <w:rsid w:val="002F55F9"/>
    <w:rsid w:val="002F66CB"/>
    <w:rsid w:val="002F797A"/>
    <w:rsid w:val="00300483"/>
    <w:rsid w:val="00301C91"/>
    <w:rsid w:val="00303F2B"/>
    <w:rsid w:val="00304607"/>
    <w:rsid w:val="0030467A"/>
    <w:rsid w:val="00304BCF"/>
    <w:rsid w:val="00304D4E"/>
    <w:rsid w:val="00304FFD"/>
    <w:rsid w:val="00305608"/>
    <w:rsid w:val="00305B72"/>
    <w:rsid w:val="0030610A"/>
    <w:rsid w:val="00306627"/>
    <w:rsid w:val="003069DD"/>
    <w:rsid w:val="00306CAB"/>
    <w:rsid w:val="00310A44"/>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CB0"/>
    <w:rsid w:val="00316F0A"/>
    <w:rsid w:val="0031761C"/>
    <w:rsid w:val="00317DC7"/>
    <w:rsid w:val="003200F9"/>
    <w:rsid w:val="00320F38"/>
    <w:rsid w:val="00321183"/>
    <w:rsid w:val="00321694"/>
    <w:rsid w:val="00321F0A"/>
    <w:rsid w:val="00322378"/>
    <w:rsid w:val="003223CE"/>
    <w:rsid w:val="00322911"/>
    <w:rsid w:val="00322A2D"/>
    <w:rsid w:val="00322E80"/>
    <w:rsid w:val="00324D5B"/>
    <w:rsid w:val="00325045"/>
    <w:rsid w:val="00325D91"/>
    <w:rsid w:val="003267B4"/>
    <w:rsid w:val="00331193"/>
    <w:rsid w:val="003333D4"/>
    <w:rsid w:val="00334951"/>
    <w:rsid w:val="00336411"/>
    <w:rsid w:val="0033678D"/>
    <w:rsid w:val="0033720D"/>
    <w:rsid w:val="003373E8"/>
    <w:rsid w:val="003411C7"/>
    <w:rsid w:val="00343E66"/>
    <w:rsid w:val="003443DD"/>
    <w:rsid w:val="00344D5A"/>
    <w:rsid w:val="00346EB6"/>
    <w:rsid w:val="00347EDB"/>
    <w:rsid w:val="0035003F"/>
    <w:rsid w:val="00350797"/>
    <w:rsid w:val="00351A85"/>
    <w:rsid w:val="003522E8"/>
    <w:rsid w:val="00353989"/>
    <w:rsid w:val="00355B7A"/>
    <w:rsid w:val="0035617C"/>
    <w:rsid w:val="00356E7E"/>
    <w:rsid w:val="00356EB8"/>
    <w:rsid w:val="00357B83"/>
    <w:rsid w:val="003614A8"/>
    <w:rsid w:val="0036160E"/>
    <w:rsid w:val="00361FDF"/>
    <w:rsid w:val="00362610"/>
    <w:rsid w:val="00363830"/>
    <w:rsid w:val="00363D2D"/>
    <w:rsid w:val="003642AE"/>
    <w:rsid w:val="00364BB6"/>
    <w:rsid w:val="00364D6B"/>
    <w:rsid w:val="00365408"/>
    <w:rsid w:val="00365CC0"/>
    <w:rsid w:val="003668DF"/>
    <w:rsid w:val="00366E0F"/>
    <w:rsid w:val="00367688"/>
    <w:rsid w:val="003715A0"/>
    <w:rsid w:val="00372221"/>
    <w:rsid w:val="00372CF2"/>
    <w:rsid w:val="00374C7E"/>
    <w:rsid w:val="003770A6"/>
    <w:rsid w:val="00377353"/>
    <w:rsid w:val="0037736B"/>
    <w:rsid w:val="00377599"/>
    <w:rsid w:val="00381F57"/>
    <w:rsid w:val="0038216E"/>
    <w:rsid w:val="003822E5"/>
    <w:rsid w:val="003824C5"/>
    <w:rsid w:val="003830B8"/>
    <w:rsid w:val="00383262"/>
    <w:rsid w:val="00390215"/>
    <w:rsid w:val="0039066C"/>
    <w:rsid w:val="00391385"/>
    <w:rsid w:val="0039153A"/>
    <w:rsid w:val="00393A96"/>
    <w:rsid w:val="00394ABB"/>
    <w:rsid w:val="003A157A"/>
    <w:rsid w:val="003A283F"/>
    <w:rsid w:val="003A2A16"/>
    <w:rsid w:val="003A2FDD"/>
    <w:rsid w:val="003A3C43"/>
    <w:rsid w:val="003A5CCC"/>
    <w:rsid w:val="003A70FF"/>
    <w:rsid w:val="003A74D2"/>
    <w:rsid w:val="003A756B"/>
    <w:rsid w:val="003A7902"/>
    <w:rsid w:val="003A7C13"/>
    <w:rsid w:val="003B04E1"/>
    <w:rsid w:val="003B1B28"/>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5E8"/>
    <w:rsid w:val="003C2673"/>
    <w:rsid w:val="003C27A2"/>
    <w:rsid w:val="003C567C"/>
    <w:rsid w:val="003C59B8"/>
    <w:rsid w:val="003C6809"/>
    <w:rsid w:val="003C6CF7"/>
    <w:rsid w:val="003C7422"/>
    <w:rsid w:val="003C7847"/>
    <w:rsid w:val="003C7897"/>
    <w:rsid w:val="003D0937"/>
    <w:rsid w:val="003D17E6"/>
    <w:rsid w:val="003D1A20"/>
    <w:rsid w:val="003D1AC9"/>
    <w:rsid w:val="003D2AC9"/>
    <w:rsid w:val="003D2CD8"/>
    <w:rsid w:val="003D3724"/>
    <w:rsid w:val="003D46A7"/>
    <w:rsid w:val="003D6376"/>
    <w:rsid w:val="003E11DC"/>
    <w:rsid w:val="003E1235"/>
    <w:rsid w:val="003E2A35"/>
    <w:rsid w:val="003E2B56"/>
    <w:rsid w:val="003E2CE1"/>
    <w:rsid w:val="003E2DCB"/>
    <w:rsid w:val="003E4C3F"/>
    <w:rsid w:val="003E4D7C"/>
    <w:rsid w:val="003E5BFA"/>
    <w:rsid w:val="003E5FA8"/>
    <w:rsid w:val="003E6252"/>
    <w:rsid w:val="003F0300"/>
    <w:rsid w:val="003F0328"/>
    <w:rsid w:val="003F1200"/>
    <w:rsid w:val="003F1421"/>
    <w:rsid w:val="003F1844"/>
    <w:rsid w:val="003F241E"/>
    <w:rsid w:val="003F28C0"/>
    <w:rsid w:val="003F52B2"/>
    <w:rsid w:val="003F6A93"/>
    <w:rsid w:val="003F716E"/>
    <w:rsid w:val="00400061"/>
    <w:rsid w:val="0040068A"/>
    <w:rsid w:val="00400813"/>
    <w:rsid w:val="004013AD"/>
    <w:rsid w:val="00401F33"/>
    <w:rsid w:val="00402215"/>
    <w:rsid w:val="00402AB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AE3"/>
    <w:rsid w:val="00410C48"/>
    <w:rsid w:val="00413430"/>
    <w:rsid w:val="00415DCF"/>
    <w:rsid w:val="00416277"/>
    <w:rsid w:val="00416E24"/>
    <w:rsid w:val="0042063D"/>
    <w:rsid w:val="00422B23"/>
    <w:rsid w:val="00423A60"/>
    <w:rsid w:val="0042651C"/>
    <w:rsid w:val="00426E9B"/>
    <w:rsid w:val="00427D55"/>
    <w:rsid w:val="0043233C"/>
    <w:rsid w:val="0043420E"/>
    <w:rsid w:val="004345A6"/>
    <w:rsid w:val="00435934"/>
    <w:rsid w:val="00435B2F"/>
    <w:rsid w:val="00435E03"/>
    <w:rsid w:val="004373E1"/>
    <w:rsid w:val="004374A3"/>
    <w:rsid w:val="00437A7E"/>
    <w:rsid w:val="00437B6C"/>
    <w:rsid w:val="00440144"/>
    <w:rsid w:val="0044064E"/>
    <w:rsid w:val="00440805"/>
    <w:rsid w:val="004412E1"/>
    <w:rsid w:val="00441554"/>
    <w:rsid w:val="00441A13"/>
    <w:rsid w:val="00442E48"/>
    <w:rsid w:val="00443DCD"/>
    <w:rsid w:val="00443E7E"/>
    <w:rsid w:val="00444C06"/>
    <w:rsid w:val="00445120"/>
    <w:rsid w:val="004454DF"/>
    <w:rsid w:val="0044645B"/>
    <w:rsid w:val="00446804"/>
    <w:rsid w:val="004478D4"/>
    <w:rsid w:val="00450380"/>
    <w:rsid w:val="004505C6"/>
    <w:rsid w:val="00450603"/>
    <w:rsid w:val="00451C14"/>
    <w:rsid w:val="004520CD"/>
    <w:rsid w:val="00452366"/>
    <w:rsid w:val="00452DF3"/>
    <w:rsid w:val="004534F5"/>
    <w:rsid w:val="004536FC"/>
    <w:rsid w:val="00453765"/>
    <w:rsid w:val="00454DF4"/>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501"/>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163A"/>
    <w:rsid w:val="00494680"/>
    <w:rsid w:val="00494CC8"/>
    <w:rsid w:val="004954CC"/>
    <w:rsid w:val="004955E7"/>
    <w:rsid w:val="0049589C"/>
    <w:rsid w:val="00495EF1"/>
    <w:rsid w:val="00496573"/>
    <w:rsid w:val="00496ED4"/>
    <w:rsid w:val="00497D4A"/>
    <w:rsid w:val="004A0441"/>
    <w:rsid w:val="004A0679"/>
    <w:rsid w:val="004A084C"/>
    <w:rsid w:val="004A15B3"/>
    <w:rsid w:val="004A1D01"/>
    <w:rsid w:val="004A21DA"/>
    <w:rsid w:val="004A22AE"/>
    <w:rsid w:val="004A2A54"/>
    <w:rsid w:val="004A2EF3"/>
    <w:rsid w:val="004A3A0C"/>
    <w:rsid w:val="004A3B0D"/>
    <w:rsid w:val="004A52F5"/>
    <w:rsid w:val="004A5D3A"/>
    <w:rsid w:val="004A6897"/>
    <w:rsid w:val="004A692B"/>
    <w:rsid w:val="004A6EB6"/>
    <w:rsid w:val="004A794C"/>
    <w:rsid w:val="004B256D"/>
    <w:rsid w:val="004B2949"/>
    <w:rsid w:val="004B3EC7"/>
    <w:rsid w:val="004B5664"/>
    <w:rsid w:val="004C2107"/>
    <w:rsid w:val="004C5FC6"/>
    <w:rsid w:val="004C6435"/>
    <w:rsid w:val="004C649B"/>
    <w:rsid w:val="004C7B9C"/>
    <w:rsid w:val="004C7D55"/>
    <w:rsid w:val="004D089A"/>
    <w:rsid w:val="004D0D43"/>
    <w:rsid w:val="004D3184"/>
    <w:rsid w:val="004D3545"/>
    <w:rsid w:val="004D5030"/>
    <w:rsid w:val="004D5510"/>
    <w:rsid w:val="004D6045"/>
    <w:rsid w:val="004D6FD5"/>
    <w:rsid w:val="004D7546"/>
    <w:rsid w:val="004D7EC5"/>
    <w:rsid w:val="004E01C5"/>
    <w:rsid w:val="004E02B0"/>
    <w:rsid w:val="004E0B29"/>
    <w:rsid w:val="004E0E11"/>
    <w:rsid w:val="004E0F08"/>
    <w:rsid w:val="004E1546"/>
    <w:rsid w:val="004E1626"/>
    <w:rsid w:val="004E19DC"/>
    <w:rsid w:val="004E35E8"/>
    <w:rsid w:val="004E50F0"/>
    <w:rsid w:val="004E6A03"/>
    <w:rsid w:val="004F0070"/>
    <w:rsid w:val="004F0298"/>
    <w:rsid w:val="004F0468"/>
    <w:rsid w:val="004F0C51"/>
    <w:rsid w:val="004F0C54"/>
    <w:rsid w:val="004F263C"/>
    <w:rsid w:val="004F289A"/>
    <w:rsid w:val="004F2BB1"/>
    <w:rsid w:val="004F2EC7"/>
    <w:rsid w:val="004F36F5"/>
    <w:rsid w:val="004F3774"/>
    <w:rsid w:val="004F3CE8"/>
    <w:rsid w:val="004F6BFB"/>
    <w:rsid w:val="004F74D4"/>
    <w:rsid w:val="004F7E4A"/>
    <w:rsid w:val="0050147C"/>
    <w:rsid w:val="0050182B"/>
    <w:rsid w:val="00501E15"/>
    <w:rsid w:val="005021EC"/>
    <w:rsid w:val="00502579"/>
    <w:rsid w:val="005029F7"/>
    <w:rsid w:val="00503D4C"/>
    <w:rsid w:val="0050406F"/>
    <w:rsid w:val="00504C0C"/>
    <w:rsid w:val="00504E48"/>
    <w:rsid w:val="005070FF"/>
    <w:rsid w:val="0050745F"/>
    <w:rsid w:val="00511DB5"/>
    <w:rsid w:val="00512BBC"/>
    <w:rsid w:val="00512D8D"/>
    <w:rsid w:val="005134FB"/>
    <w:rsid w:val="005135FD"/>
    <w:rsid w:val="0051366C"/>
    <w:rsid w:val="0051643B"/>
    <w:rsid w:val="0051684F"/>
    <w:rsid w:val="00516A92"/>
    <w:rsid w:val="00516B9F"/>
    <w:rsid w:val="00517693"/>
    <w:rsid w:val="005205AB"/>
    <w:rsid w:val="00521025"/>
    <w:rsid w:val="005225C1"/>
    <w:rsid w:val="00523298"/>
    <w:rsid w:val="00523378"/>
    <w:rsid w:val="005236C9"/>
    <w:rsid w:val="0052550F"/>
    <w:rsid w:val="00526A97"/>
    <w:rsid w:val="00526C0F"/>
    <w:rsid w:val="0052702A"/>
    <w:rsid w:val="005276CF"/>
    <w:rsid w:val="00530397"/>
    <w:rsid w:val="00530F73"/>
    <w:rsid w:val="00533B8E"/>
    <w:rsid w:val="00535417"/>
    <w:rsid w:val="00535833"/>
    <w:rsid w:val="00536D28"/>
    <w:rsid w:val="005372C5"/>
    <w:rsid w:val="00537A26"/>
    <w:rsid w:val="00540E47"/>
    <w:rsid w:val="00543283"/>
    <w:rsid w:val="0054364C"/>
    <w:rsid w:val="00544F6E"/>
    <w:rsid w:val="00546747"/>
    <w:rsid w:val="00547510"/>
    <w:rsid w:val="005475F1"/>
    <w:rsid w:val="00547ECC"/>
    <w:rsid w:val="00551D5A"/>
    <w:rsid w:val="00551EC3"/>
    <w:rsid w:val="0055212E"/>
    <w:rsid w:val="00552B4D"/>
    <w:rsid w:val="00554A44"/>
    <w:rsid w:val="00554C53"/>
    <w:rsid w:val="00554F18"/>
    <w:rsid w:val="00555220"/>
    <w:rsid w:val="005555F0"/>
    <w:rsid w:val="00555739"/>
    <w:rsid w:val="005568BA"/>
    <w:rsid w:val="00556E75"/>
    <w:rsid w:val="0056069A"/>
    <w:rsid w:val="00560C3B"/>
    <w:rsid w:val="00561EA1"/>
    <w:rsid w:val="00562799"/>
    <w:rsid w:val="00562FCB"/>
    <w:rsid w:val="00564804"/>
    <w:rsid w:val="005650C6"/>
    <w:rsid w:val="00565598"/>
    <w:rsid w:val="00565B5A"/>
    <w:rsid w:val="00567CAC"/>
    <w:rsid w:val="00567E8F"/>
    <w:rsid w:val="005702D6"/>
    <w:rsid w:val="00572588"/>
    <w:rsid w:val="00573A50"/>
    <w:rsid w:val="005746D2"/>
    <w:rsid w:val="00574E8A"/>
    <w:rsid w:val="00575D4F"/>
    <w:rsid w:val="00577775"/>
    <w:rsid w:val="0058121A"/>
    <w:rsid w:val="00581863"/>
    <w:rsid w:val="00581EA3"/>
    <w:rsid w:val="0058205A"/>
    <w:rsid w:val="0058260B"/>
    <w:rsid w:val="00584D1E"/>
    <w:rsid w:val="00584E83"/>
    <w:rsid w:val="00585C33"/>
    <w:rsid w:val="00586795"/>
    <w:rsid w:val="00586B82"/>
    <w:rsid w:val="00587E13"/>
    <w:rsid w:val="00590242"/>
    <w:rsid w:val="0059101C"/>
    <w:rsid w:val="005914A3"/>
    <w:rsid w:val="00591AB8"/>
    <w:rsid w:val="005933AA"/>
    <w:rsid w:val="005940AA"/>
    <w:rsid w:val="00594614"/>
    <w:rsid w:val="00594E10"/>
    <w:rsid w:val="00596306"/>
    <w:rsid w:val="00596487"/>
    <w:rsid w:val="005A0809"/>
    <w:rsid w:val="005A0B91"/>
    <w:rsid w:val="005A1494"/>
    <w:rsid w:val="005A3590"/>
    <w:rsid w:val="005A4A1C"/>
    <w:rsid w:val="005A5965"/>
    <w:rsid w:val="005A5BD8"/>
    <w:rsid w:val="005A5D90"/>
    <w:rsid w:val="005A5F9D"/>
    <w:rsid w:val="005A692A"/>
    <w:rsid w:val="005A6AB8"/>
    <w:rsid w:val="005A7A77"/>
    <w:rsid w:val="005B11C2"/>
    <w:rsid w:val="005B180A"/>
    <w:rsid w:val="005B1B9F"/>
    <w:rsid w:val="005B382C"/>
    <w:rsid w:val="005B3C11"/>
    <w:rsid w:val="005B40DA"/>
    <w:rsid w:val="005B4226"/>
    <w:rsid w:val="005B459C"/>
    <w:rsid w:val="005B5AA4"/>
    <w:rsid w:val="005B611C"/>
    <w:rsid w:val="005B6142"/>
    <w:rsid w:val="005B656B"/>
    <w:rsid w:val="005B69EA"/>
    <w:rsid w:val="005B71B3"/>
    <w:rsid w:val="005B76A4"/>
    <w:rsid w:val="005C04A7"/>
    <w:rsid w:val="005C1607"/>
    <w:rsid w:val="005C17A4"/>
    <w:rsid w:val="005C23DD"/>
    <w:rsid w:val="005C27CC"/>
    <w:rsid w:val="005C370D"/>
    <w:rsid w:val="005C504E"/>
    <w:rsid w:val="005C6153"/>
    <w:rsid w:val="005C78B0"/>
    <w:rsid w:val="005C7B95"/>
    <w:rsid w:val="005D01EB"/>
    <w:rsid w:val="005D0220"/>
    <w:rsid w:val="005D0DFB"/>
    <w:rsid w:val="005D1112"/>
    <w:rsid w:val="005D237C"/>
    <w:rsid w:val="005D25E2"/>
    <w:rsid w:val="005D25FF"/>
    <w:rsid w:val="005D2632"/>
    <w:rsid w:val="005D38E0"/>
    <w:rsid w:val="005D3F32"/>
    <w:rsid w:val="005D4E3E"/>
    <w:rsid w:val="005D5080"/>
    <w:rsid w:val="005D67F7"/>
    <w:rsid w:val="005D7D7E"/>
    <w:rsid w:val="005E0B59"/>
    <w:rsid w:val="005E1105"/>
    <w:rsid w:val="005E162F"/>
    <w:rsid w:val="005E1B78"/>
    <w:rsid w:val="005E2C60"/>
    <w:rsid w:val="005E31F6"/>
    <w:rsid w:val="005E3622"/>
    <w:rsid w:val="005E4178"/>
    <w:rsid w:val="005E60B3"/>
    <w:rsid w:val="005E676C"/>
    <w:rsid w:val="005E6CB9"/>
    <w:rsid w:val="005E6FEF"/>
    <w:rsid w:val="005E7EDC"/>
    <w:rsid w:val="005E7F14"/>
    <w:rsid w:val="005F0154"/>
    <w:rsid w:val="005F0176"/>
    <w:rsid w:val="005F021D"/>
    <w:rsid w:val="005F1D60"/>
    <w:rsid w:val="005F1EAC"/>
    <w:rsid w:val="005F308F"/>
    <w:rsid w:val="005F428B"/>
    <w:rsid w:val="005F4869"/>
    <w:rsid w:val="005F4BFD"/>
    <w:rsid w:val="005F5748"/>
    <w:rsid w:val="005F5834"/>
    <w:rsid w:val="005F5E11"/>
    <w:rsid w:val="006003E5"/>
    <w:rsid w:val="00600E63"/>
    <w:rsid w:val="00601561"/>
    <w:rsid w:val="00601E55"/>
    <w:rsid w:val="00601F32"/>
    <w:rsid w:val="00602037"/>
    <w:rsid w:val="006026EC"/>
    <w:rsid w:val="006029DD"/>
    <w:rsid w:val="00602C6A"/>
    <w:rsid w:val="00603AF5"/>
    <w:rsid w:val="0060493C"/>
    <w:rsid w:val="0060539A"/>
    <w:rsid w:val="00606C66"/>
    <w:rsid w:val="00607D8B"/>
    <w:rsid w:val="00610145"/>
    <w:rsid w:val="00610D1F"/>
    <w:rsid w:val="006123C6"/>
    <w:rsid w:val="00612C02"/>
    <w:rsid w:val="00612CDD"/>
    <w:rsid w:val="0061452D"/>
    <w:rsid w:val="0061562E"/>
    <w:rsid w:val="00616D41"/>
    <w:rsid w:val="00617292"/>
    <w:rsid w:val="006200A9"/>
    <w:rsid w:val="00622206"/>
    <w:rsid w:val="00622225"/>
    <w:rsid w:val="00622D03"/>
    <w:rsid w:val="00622DCD"/>
    <w:rsid w:val="00622F57"/>
    <w:rsid w:val="006237B1"/>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62FD"/>
    <w:rsid w:val="006377AA"/>
    <w:rsid w:val="00637E18"/>
    <w:rsid w:val="0064032E"/>
    <w:rsid w:val="0064038D"/>
    <w:rsid w:val="00641A0B"/>
    <w:rsid w:val="00641D5A"/>
    <w:rsid w:val="00641E06"/>
    <w:rsid w:val="00643007"/>
    <w:rsid w:val="006431D0"/>
    <w:rsid w:val="006432C5"/>
    <w:rsid w:val="006436FA"/>
    <w:rsid w:val="00643852"/>
    <w:rsid w:val="00643C27"/>
    <w:rsid w:val="0064499E"/>
    <w:rsid w:val="006455E7"/>
    <w:rsid w:val="00645758"/>
    <w:rsid w:val="006461A1"/>
    <w:rsid w:val="00646769"/>
    <w:rsid w:val="00646D8A"/>
    <w:rsid w:val="00647422"/>
    <w:rsid w:val="00647E6B"/>
    <w:rsid w:val="00650E84"/>
    <w:rsid w:val="0065198B"/>
    <w:rsid w:val="006525AF"/>
    <w:rsid w:val="0065266A"/>
    <w:rsid w:val="00653F9C"/>
    <w:rsid w:val="00654951"/>
    <w:rsid w:val="00655470"/>
    <w:rsid w:val="00655632"/>
    <w:rsid w:val="0065630D"/>
    <w:rsid w:val="00656FEE"/>
    <w:rsid w:val="0065758F"/>
    <w:rsid w:val="00660897"/>
    <w:rsid w:val="00661028"/>
    <w:rsid w:val="006613F8"/>
    <w:rsid w:val="006617BD"/>
    <w:rsid w:val="0066194D"/>
    <w:rsid w:val="00664695"/>
    <w:rsid w:val="00664840"/>
    <w:rsid w:val="00664B44"/>
    <w:rsid w:val="006652BF"/>
    <w:rsid w:val="0066630C"/>
    <w:rsid w:val="00667BBD"/>
    <w:rsid w:val="00670D2E"/>
    <w:rsid w:val="00671149"/>
    <w:rsid w:val="00671615"/>
    <w:rsid w:val="00671741"/>
    <w:rsid w:val="00671766"/>
    <w:rsid w:val="00672087"/>
    <w:rsid w:val="00672914"/>
    <w:rsid w:val="006744C3"/>
    <w:rsid w:val="0067537F"/>
    <w:rsid w:val="00675CF1"/>
    <w:rsid w:val="00676410"/>
    <w:rsid w:val="00676AAA"/>
    <w:rsid w:val="00680509"/>
    <w:rsid w:val="006805CB"/>
    <w:rsid w:val="00681CC1"/>
    <w:rsid w:val="00681F1B"/>
    <w:rsid w:val="0068233B"/>
    <w:rsid w:val="00682E11"/>
    <w:rsid w:val="00683081"/>
    <w:rsid w:val="00684C95"/>
    <w:rsid w:val="006850D3"/>
    <w:rsid w:val="00685249"/>
    <w:rsid w:val="00685260"/>
    <w:rsid w:val="006856B9"/>
    <w:rsid w:val="00685BDE"/>
    <w:rsid w:val="00686085"/>
    <w:rsid w:val="00687C0D"/>
    <w:rsid w:val="0069070F"/>
    <w:rsid w:val="00691237"/>
    <w:rsid w:val="006920E6"/>
    <w:rsid w:val="00692555"/>
    <w:rsid w:val="006958BE"/>
    <w:rsid w:val="00696566"/>
    <w:rsid w:val="006966BA"/>
    <w:rsid w:val="0069722D"/>
    <w:rsid w:val="00697A80"/>
    <w:rsid w:val="00697FF5"/>
    <w:rsid w:val="006A0052"/>
    <w:rsid w:val="006A0A9E"/>
    <w:rsid w:val="006A1F1C"/>
    <w:rsid w:val="006A3836"/>
    <w:rsid w:val="006A3DD3"/>
    <w:rsid w:val="006A4610"/>
    <w:rsid w:val="006A4625"/>
    <w:rsid w:val="006A47AE"/>
    <w:rsid w:val="006A4A6D"/>
    <w:rsid w:val="006A5B5E"/>
    <w:rsid w:val="006A67CB"/>
    <w:rsid w:val="006B0368"/>
    <w:rsid w:val="006B0F6E"/>
    <w:rsid w:val="006B1D7B"/>
    <w:rsid w:val="006B27D4"/>
    <w:rsid w:val="006B2C9C"/>
    <w:rsid w:val="006B48EB"/>
    <w:rsid w:val="006B4C00"/>
    <w:rsid w:val="006B56FC"/>
    <w:rsid w:val="006B6DDA"/>
    <w:rsid w:val="006B73D9"/>
    <w:rsid w:val="006B7DF0"/>
    <w:rsid w:val="006B7E06"/>
    <w:rsid w:val="006B7E74"/>
    <w:rsid w:val="006C0D75"/>
    <w:rsid w:val="006C1C48"/>
    <w:rsid w:val="006C3821"/>
    <w:rsid w:val="006C3C1D"/>
    <w:rsid w:val="006C41FF"/>
    <w:rsid w:val="006C5145"/>
    <w:rsid w:val="006C65A8"/>
    <w:rsid w:val="006C6798"/>
    <w:rsid w:val="006C6832"/>
    <w:rsid w:val="006C738A"/>
    <w:rsid w:val="006D05AD"/>
    <w:rsid w:val="006D0EC1"/>
    <w:rsid w:val="006D16F8"/>
    <w:rsid w:val="006D1813"/>
    <w:rsid w:val="006D24A9"/>
    <w:rsid w:val="006D2AF3"/>
    <w:rsid w:val="006D4D79"/>
    <w:rsid w:val="006D4FBD"/>
    <w:rsid w:val="006D5879"/>
    <w:rsid w:val="006D63FD"/>
    <w:rsid w:val="006D65B4"/>
    <w:rsid w:val="006D67ED"/>
    <w:rsid w:val="006D754A"/>
    <w:rsid w:val="006D7B9C"/>
    <w:rsid w:val="006E0155"/>
    <w:rsid w:val="006E04C6"/>
    <w:rsid w:val="006E0A31"/>
    <w:rsid w:val="006E0A65"/>
    <w:rsid w:val="006E1B01"/>
    <w:rsid w:val="006E3E3D"/>
    <w:rsid w:val="006E4836"/>
    <w:rsid w:val="006E5DDD"/>
    <w:rsid w:val="006E6315"/>
    <w:rsid w:val="006E7811"/>
    <w:rsid w:val="006F04DA"/>
    <w:rsid w:val="006F0557"/>
    <w:rsid w:val="006F05CD"/>
    <w:rsid w:val="006F0EA3"/>
    <w:rsid w:val="006F1B5D"/>
    <w:rsid w:val="006F212B"/>
    <w:rsid w:val="006F339C"/>
    <w:rsid w:val="006F37F7"/>
    <w:rsid w:val="006F4A61"/>
    <w:rsid w:val="006F4ADC"/>
    <w:rsid w:val="006F5D03"/>
    <w:rsid w:val="006F643D"/>
    <w:rsid w:val="006F675C"/>
    <w:rsid w:val="006F6D13"/>
    <w:rsid w:val="006F7759"/>
    <w:rsid w:val="006F7D95"/>
    <w:rsid w:val="00700D41"/>
    <w:rsid w:val="00701B21"/>
    <w:rsid w:val="00702384"/>
    <w:rsid w:val="007027AF"/>
    <w:rsid w:val="00704BAE"/>
    <w:rsid w:val="00705807"/>
    <w:rsid w:val="00705C74"/>
    <w:rsid w:val="00705C78"/>
    <w:rsid w:val="007060E1"/>
    <w:rsid w:val="00706824"/>
    <w:rsid w:val="00706B85"/>
    <w:rsid w:val="007071FC"/>
    <w:rsid w:val="00707C84"/>
    <w:rsid w:val="00710A59"/>
    <w:rsid w:val="00710FDE"/>
    <w:rsid w:val="00711028"/>
    <w:rsid w:val="007116C7"/>
    <w:rsid w:val="00711C5A"/>
    <w:rsid w:val="007126AA"/>
    <w:rsid w:val="00712B66"/>
    <w:rsid w:val="00713C31"/>
    <w:rsid w:val="0071428D"/>
    <w:rsid w:val="007144C9"/>
    <w:rsid w:val="0071635C"/>
    <w:rsid w:val="00716B3C"/>
    <w:rsid w:val="007170C2"/>
    <w:rsid w:val="00717EE4"/>
    <w:rsid w:val="00717F2D"/>
    <w:rsid w:val="00720453"/>
    <w:rsid w:val="00720853"/>
    <w:rsid w:val="00722129"/>
    <w:rsid w:val="00722EFD"/>
    <w:rsid w:val="00723ED0"/>
    <w:rsid w:val="00724173"/>
    <w:rsid w:val="007259A3"/>
    <w:rsid w:val="00726730"/>
    <w:rsid w:val="00730598"/>
    <w:rsid w:val="00730829"/>
    <w:rsid w:val="00731C24"/>
    <w:rsid w:val="0073257E"/>
    <w:rsid w:val="00732A32"/>
    <w:rsid w:val="00733066"/>
    <w:rsid w:val="0073311F"/>
    <w:rsid w:val="00733469"/>
    <w:rsid w:val="007334ED"/>
    <w:rsid w:val="00733539"/>
    <w:rsid w:val="00735557"/>
    <w:rsid w:val="00735808"/>
    <w:rsid w:val="00737108"/>
    <w:rsid w:val="007379CE"/>
    <w:rsid w:val="007419A7"/>
    <w:rsid w:val="00741B21"/>
    <w:rsid w:val="00741DD8"/>
    <w:rsid w:val="00741E49"/>
    <w:rsid w:val="0074250D"/>
    <w:rsid w:val="007445E2"/>
    <w:rsid w:val="00745496"/>
    <w:rsid w:val="007460DA"/>
    <w:rsid w:val="00746B6D"/>
    <w:rsid w:val="0074705B"/>
    <w:rsid w:val="007470EC"/>
    <w:rsid w:val="0075020B"/>
    <w:rsid w:val="00751017"/>
    <w:rsid w:val="00751960"/>
    <w:rsid w:val="007535C7"/>
    <w:rsid w:val="00754635"/>
    <w:rsid w:val="00756551"/>
    <w:rsid w:val="00757769"/>
    <w:rsid w:val="0076067E"/>
    <w:rsid w:val="00761BFD"/>
    <w:rsid w:val="00761D5C"/>
    <w:rsid w:val="00761FE5"/>
    <w:rsid w:val="00762476"/>
    <w:rsid w:val="00762A18"/>
    <w:rsid w:val="00763AE2"/>
    <w:rsid w:val="0076467D"/>
    <w:rsid w:val="00766245"/>
    <w:rsid w:val="00766D90"/>
    <w:rsid w:val="00766F1E"/>
    <w:rsid w:val="00767C19"/>
    <w:rsid w:val="00767D4E"/>
    <w:rsid w:val="00771067"/>
    <w:rsid w:val="007722ED"/>
    <w:rsid w:val="0077408B"/>
    <w:rsid w:val="00774AF6"/>
    <w:rsid w:val="00774EC8"/>
    <w:rsid w:val="00774F48"/>
    <w:rsid w:val="00776781"/>
    <w:rsid w:val="00776BD1"/>
    <w:rsid w:val="007776CC"/>
    <w:rsid w:val="00777CE9"/>
    <w:rsid w:val="00777E4E"/>
    <w:rsid w:val="00780D05"/>
    <w:rsid w:val="00783C7B"/>
    <w:rsid w:val="0078556C"/>
    <w:rsid w:val="007855C5"/>
    <w:rsid w:val="007856D3"/>
    <w:rsid w:val="00785ABD"/>
    <w:rsid w:val="007860C6"/>
    <w:rsid w:val="00786254"/>
    <w:rsid w:val="007864D0"/>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3826"/>
    <w:rsid w:val="007A4C96"/>
    <w:rsid w:val="007A51A6"/>
    <w:rsid w:val="007A523D"/>
    <w:rsid w:val="007A5629"/>
    <w:rsid w:val="007A56E5"/>
    <w:rsid w:val="007A60CA"/>
    <w:rsid w:val="007A6F0F"/>
    <w:rsid w:val="007A708C"/>
    <w:rsid w:val="007A75B5"/>
    <w:rsid w:val="007A7985"/>
    <w:rsid w:val="007A7ABE"/>
    <w:rsid w:val="007B03C5"/>
    <w:rsid w:val="007B2107"/>
    <w:rsid w:val="007B26E1"/>
    <w:rsid w:val="007B3045"/>
    <w:rsid w:val="007B44AC"/>
    <w:rsid w:val="007B4C0F"/>
    <w:rsid w:val="007B5E25"/>
    <w:rsid w:val="007B6E0E"/>
    <w:rsid w:val="007B72CB"/>
    <w:rsid w:val="007C16FE"/>
    <w:rsid w:val="007C27FB"/>
    <w:rsid w:val="007C2CBB"/>
    <w:rsid w:val="007C309C"/>
    <w:rsid w:val="007C4209"/>
    <w:rsid w:val="007C5EB9"/>
    <w:rsid w:val="007C7449"/>
    <w:rsid w:val="007C7EA5"/>
    <w:rsid w:val="007D1A95"/>
    <w:rsid w:val="007D245E"/>
    <w:rsid w:val="007D3764"/>
    <w:rsid w:val="007D485A"/>
    <w:rsid w:val="007D4B37"/>
    <w:rsid w:val="007D54FF"/>
    <w:rsid w:val="007D57D4"/>
    <w:rsid w:val="007D6315"/>
    <w:rsid w:val="007D7083"/>
    <w:rsid w:val="007D724A"/>
    <w:rsid w:val="007D75A3"/>
    <w:rsid w:val="007D7FFB"/>
    <w:rsid w:val="007E05D0"/>
    <w:rsid w:val="007E16E2"/>
    <w:rsid w:val="007E19FE"/>
    <w:rsid w:val="007E1AAC"/>
    <w:rsid w:val="007E3B9C"/>
    <w:rsid w:val="007E4A2F"/>
    <w:rsid w:val="007E5849"/>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2DD"/>
    <w:rsid w:val="00801404"/>
    <w:rsid w:val="00801434"/>
    <w:rsid w:val="008017AA"/>
    <w:rsid w:val="00801CBA"/>
    <w:rsid w:val="00801D92"/>
    <w:rsid w:val="00804BA2"/>
    <w:rsid w:val="00804BCF"/>
    <w:rsid w:val="00804FA4"/>
    <w:rsid w:val="00805275"/>
    <w:rsid w:val="00806A62"/>
    <w:rsid w:val="00806E55"/>
    <w:rsid w:val="008075CE"/>
    <w:rsid w:val="00812179"/>
    <w:rsid w:val="008124E2"/>
    <w:rsid w:val="00813928"/>
    <w:rsid w:val="00815321"/>
    <w:rsid w:val="008166DB"/>
    <w:rsid w:val="00816753"/>
    <w:rsid w:val="00816C1B"/>
    <w:rsid w:val="008173E0"/>
    <w:rsid w:val="008175C1"/>
    <w:rsid w:val="008200D4"/>
    <w:rsid w:val="00820370"/>
    <w:rsid w:val="00820CC6"/>
    <w:rsid w:val="008225FF"/>
    <w:rsid w:val="00822C41"/>
    <w:rsid w:val="00825043"/>
    <w:rsid w:val="00825267"/>
    <w:rsid w:val="008264EC"/>
    <w:rsid w:val="0082687B"/>
    <w:rsid w:val="00827C0D"/>
    <w:rsid w:val="00830642"/>
    <w:rsid w:val="00831250"/>
    <w:rsid w:val="00831D8D"/>
    <w:rsid w:val="00832F28"/>
    <w:rsid w:val="008333B7"/>
    <w:rsid w:val="00833431"/>
    <w:rsid w:val="008336EC"/>
    <w:rsid w:val="008337B9"/>
    <w:rsid w:val="00833B4B"/>
    <w:rsid w:val="00834FD2"/>
    <w:rsid w:val="00835084"/>
    <w:rsid w:val="00835184"/>
    <w:rsid w:val="00835569"/>
    <w:rsid w:val="00835802"/>
    <w:rsid w:val="00836295"/>
    <w:rsid w:val="008370EE"/>
    <w:rsid w:val="0084093F"/>
    <w:rsid w:val="0084098A"/>
    <w:rsid w:val="00840C5A"/>
    <w:rsid w:val="00840DB0"/>
    <w:rsid w:val="00840EDE"/>
    <w:rsid w:val="008418A5"/>
    <w:rsid w:val="00843548"/>
    <w:rsid w:val="0084383C"/>
    <w:rsid w:val="00843CC0"/>
    <w:rsid w:val="00844ADD"/>
    <w:rsid w:val="0084534E"/>
    <w:rsid w:val="00846062"/>
    <w:rsid w:val="0084640E"/>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72F"/>
    <w:rsid w:val="00861C56"/>
    <w:rsid w:val="00861F29"/>
    <w:rsid w:val="008620A2"/>
    <w:rsid w:val="00862741"/>
    <w:rsid w:val="00862BBD"/>
    <w:rsid w:val="00863C9F"/>
    <w:rsid w:val="00864567"/>
    <w:rsid w:val="008645D6"/>
    <w:rsid w:val="0086552B"/>
    <w:rsid w:val="008655A2"/>
    <w:rsid w:val="0086584F"/>
    <w:rsid w:val="00865A94"/>
    <w:rsid w:val="008671A5"/>
    <w:rsid w:val="008671C7"/>
    <w:rsid w:val="00867EB8"/>
    <w:rsid w:val="00867FCF"/>
    <w:rsid w:val="00870335"/>
    <w:rsid w:val="00870AA2"/>
    <w:rsid w:val="00872022"/>
    <w:rsid w:val="0087372A"/>
    <w:rsid w:val="00873D88"/>
    <w:rsid w:val="0087433B"/>
    <w:rsid w:val="0087621E"/>
    <w:rsid w:val="008767B2"/>
    <w:rsid w:val="00877328"/>
    <w:rsid w:val="0087787A"/>
    <w:rsid w:val="008802F0"/>
    <w:rsid w:val="0088033D"/>
    <w:rsid w:val="00880992"/>
    <w:rsid w:val="00881692"/>
    <w:rsid w:val="00883143"/>
    <w:rsid w:val="00886154"/>
    <w:rsid w:val="00890277"/>
    <w:rsid w:val="0089061A"/>
    <w:rsid w:val="008915C6"/>
    <w:rsid w:val="00891677"/>
    <w:rsid w:val="00892DB5"/>
    <w:rsid w:val="00892E4B"/>
    <w:rsid w:val="00893166"/>
    <w:rsid w:val="00894B61"/>
    <w:rsid w:val="00895255"/>
    <w:rsid w:val="00895DF1"/>
    <w:rsid w:val="00896645"/>
    <w:rsid w:val="008975D2"/>
    <w:rsid w:val="008A035B"/>
    <w:rsid w:val="008A0459"/>
    <w:rsid w:val="008A1183"/>
    <w:rsid w:val="008A1218"/>
    <w:rsid w:val="008A15B6"/>
    <w:rsid w:val="008A1A6E"/>
    <w:rsid w:val="008A202A"/>
    <w:rsid w:val="008A2BC1"/>
    <w:rsid w:val="008A36C9"/>
    <w:rsid w:val="008A5AF9"/>
    <w:rsid w:val="008B05B2"/>
    <w:rsid w:val="008B16DE"/>
    <w:rsid w:val="008B251F"/>
    <w:rsid w:val="008B2602"/>
    <w:rsid w:val="008B2727"/>
    <w:rsid w:val="008B316B"/>
    <w:rsid w:val="008B5059"/>
    <w:rsid w:val="008B56D4"/>
    <w:rsid w:val="008B5BF2"/>
    <w:rsid w:val="008B6934"/>
    <w:rsid w:val="008B6CF8"/>
    <w:rsid w:val="008B72F6"/>
    <w:rsid w:val="008C0BAD"/>
    <w:rsid w:val="008C119E"/>
    <w:rsid w:val="008C1E24"/>
    <w:rsid w:val="008C296B"/>
    <w:rsid w:val="008C2A46"/>
    <w:rsid w:val="008C2D3D"/>
    <w:rsid w:val="008C4278"/>
    <w:rsid w:val="008C520E"/>
    <w:rsid w:val="008C563B"/>
    <w:rsid w:val="008C567E"/>
    <w:rsid w:val="008C5DEE"/>
    <w:rsid w:val="008C6285"/>
    <w:rsid w:val="008C7182"/>
    <w:rsid w:val="008C7268"/>
    <w:rsid w:val="008C7CA5"/>
    <w:rsid w:val="008C7D9D"/>
    <w:rsid w:val="008D0416"/>
    <w:rsid w:val="008D13C6"/>
    <w:rsid w:val="008D1B04"/>
    <w:rsid w:val="008D1CB7"/>
    <w:rsid w:val="008D3235"/>
    <w:rsid w:val="008D33C8"/>
    <w:rsid w:val="008D3893"/>
    <w:rsid w:val="008D45CD"/>
    <w:rsid w:val="008D55F1"/>
    <w:rsid w:val="008D5CD7"/>
    <w:rsid w:val="008D718E"/>
    <w:rsid w:val="008E09C5"/>
    <w:rsid w:val="008E0AA7"/>
    <w:rsid w:val="008E2355"/>
    <w:rsid w:val="008E28CE"/>
    <w:rsid w:val="008E3151"/>
    <w:rsid w:val="008E3386"/>
    <w:rsid w:val="008E5410"/>
    <w:rsid w:val="008E5A3F"/>
    <w:rsid w:val="008E6DF6"/>
    <w:rsid w:val="008E7209"/>
    <w:rsid w:val="008E7448"/>
    <w:rsid w:val="008F11BB"/>
    <w:rsid w:val="008F16FF"/>
    <w:rsid w:val="008F182F"/>
    <w:rsid w:val="008F1E95"/>
    <w:rsid w:val="008F2279"/>
    <w:rsid w:val="008F2304"/>
    <w:rsid w:val="008F57DD"/>
    <w:rsid w:val="008F5AEE"/>
    <w:rsid w:val="008F6BC0"/>
    <w:rsid w:val="008F6EAA"/>
    <w:rsid w:val="008F7800"/>
    <w:rsid w:val="008F7BCA"/>
    <w:rsid w:val="00900F4D"/>
    <w:rsid w:val="0090167B"/>
    <w:rsid w:val="00902696"/>
    <w:rsid w:val="00902D27"/>
    <w:rsid w:val="00902DEC"/>
    <w:rsid w:val="0090342E"/>
    <w:rsid w:val="00903D3A"/>
    <w:rsid w:val="009044B9"/>
    <w:rsid w:val="009047B1"/>
    <w:rsid w:val="00904C86"/>
    <w:rsid w:val="0090680D"/>
    <w:rsid w:val="0091045D"/>
    <w:rsid w:val="0091281A"/>
    <w:rsid w:val="00912B24"/>
    <w:rsid w:val="00913448"/>
    <w:rsid w:val="009138EA"/>
    <w:rsid w:val="009139B5"/>
    <w:rsid w:val="00914514"/>
    <w:rsid w:val="00914549"/>
    <w:rsid w:val="00914C08"/>
    <w:rsid w:val="00914F2F"/>
    <w:rsid w:val="00915136"/>
    <w:rsid w:val="00915981"/>
    <w:rsid w:val="00916057"/>
    <w:rsid w:val="00916AD1"/>
    <w:rsid w:val="00917637"/>
    <w:rsid w:val="00917FEE"/>
    <w:rsid w:val="0092023D"/>
    <w:rsid w:val="00920472"/>
    <w:rsid w:val="00921251"/>
    <w:rsid w:val="00921861"/>
    <w:rsid w:val="0092189E"/>
    <w:rsid w:val="009219FD"/>
    <w:rsid w:val="00921DF7"/>
    <w:rsid w:val="00923311"/>
    <w:rsid w:val="009257B0"/>
    <w:rsid w:val="009258BD"/>
    <w:rsid w:val="00925DEB"/>
    <w:rsid w:val="009263C0"/>
    <w:rsid w:val="009268F3"/>
    <w:rsid w:val="009302D4"/>
    <w:rsid w:val="009307F2"/>
    <w:rsid w:val="00930CEC"/>
    <w:rsid w:val="00930F4A"/>
    <w:rsid w:val="00930FF2"/>
    <w:rsid w:val="0093375E"/>
    <w:rsid w:val="00933BEF"/>
    <w:rsid w:val="00933E4A"/>
    <w:rsid w:val="0093787E"/>
    <w:rsid w:val="00940484"/>
    <w:rsid w:val="009412CC"/>
    <w:rsid w:val="00941600"/>
    <w:rsid w:val="0094388B"/>
    <w:rsid w:val="00943D09"/>
    <w:rsid w:val="0094459B"/>
    <w:rsid w:val="00944826"/>
    <w:rsid w:val="009457A1"/>
    <w:rsid w:val="00947C5D"/>
    <w:rsid w:val="00947CA9"/>
    <w:rsid w:val="009501C4"/>
    <w:rsid w:val="00950478"/>
    <w:rsid w:val="00950888"/>
    <w:rsid w:val="00950AF9"/>
    <w:rsid w:val="00950B5F"/>
    <w:rsid w:val="00950D35"/>
    <w:rsid w:val="0095144C"/>
    <w:rsid w:val="0095165B"/>
    <w:rsid w:val="00951B17"/>
    <w:rsid w:val="00951B8D"/>
    <w:rsid w:val="009536A8"/>
    <w:rsid w:val="00954136"/>
    <w:rsid w:val="009541CE"/>
    <w:rsid w:val="00954383"/>
    <w:rsid w:val="00954596"/>
    <w:rsid w:val="00955851"/>
    <w:rsid w:val="009564E9"/>
    <w:rsid w:val="00956ED2"/>
    <w:rsid w:val="00957E23"/>
    <w:rsid w:val="00961487"/>
    <w:rsid w:val="00961BA7"/>
    <w:rsid w:val="00961CA0"/>
    <w:rsid w:val="00961F01"/>
    <w:rsid w:val="00962162"/>
    <w:rsid w:val="009623BC"/>
    <w:rsid w:val="009628BE"/>
    <w:rsid w:val="009631C8"/>
    <w:rsid w:val="009635FB"/>
    <w:rsid w:val="00963AE4"/>
    <w:rsid w:val="00963C14"/>
    <w:rsid w:val="009645CD"/>
    <w:rsid w:val="00964B8A"/>
    <w:rsid w:val="00964D84"/>
    <w:rsid w:val="00965940"/>
    <w:rsid w:val="00965A4E"/>
    <w:rsid w:val="00966B11"/>
    <w:rsid w:val="00966BE5"/>
    <w:rsid w:val="00966EB0"/>
    <w:rsid w:val="00971116"/>
    <w:rsid w:val="009711DF"/>
    <w:rsid w:val="00972D77"/>
    <w:rsid w:val="00972E28"/>
    <w:rsid w:val="00973030"/>
    <w:rsid w:val="009733F3"/>
    <w:rsid w:val="009748E4"/>
    <w:rsid w:val="00975EC7"/>
    <w:rsid w:val="00975F5F"/>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87F83"/>
    <w:rsid w:val="009906BF"/>
    <w:rsid w:val="009913F3"/>
    <w:rsid w:val="00991DA1"/>
    <w:rsid w:val="009927F1"/>
    <w:rsid w:val="009936C4"/>
    <w:rsid w:val="009948ED"/>
    <w:rsid w:val="00994D38"/>
    <w:rsid w:val="00995ADA"/>
    <w:rsid w:val="0099643A"/>
    <w:rsid w:val="009965D6"/>
    <w:rsid w:val="00997959"/>
    <w:rsid w:val="009A0BAF"/>
    <w:rsid w:val="009A1431"/>
    <w:rsid w:val="009A153D"/>
    <w:rsid w:val="009A1634"/>
    <w:rsid w:val="009A2665"/>
    <w:rsid w:val="009A3A34"/>
    <w:rsid w:val="009A3FE2"/>
    <w:rsid w:val="009A400C"/>
    <w:rsid w:val="009A43D9"/>
    <w:rsid w:val="009A4742"/>
    <w:rsid w:val="009A4B2C"/>
    <w:rsid w:val="009A5592"/>
    <w:rsid w:val="009A59BA"/>
    <w:rsid w:val="009A6417"/>
    <w:rsid w:val="009A6636"/>
    <w:rsid w:val="009A6B13"/>
    <w:rsid w:val="009A6C28"/>
    <w:rsid w:val="009B01DF"/>
    <w:rsid w:val="009B020D"/>
    <w:rsid w:val="009B030D"/>
    <w:rsid w:val="009B072F"/>
    <w:rsid w:val="009B07A1"/>
    <w:rsid w:val="009B09CC"/>
    <w:rsid w:val="009B0AD5"/>
    <w:rsid w:val="009B0B04"/>
    <w:rsid w:val="009B173B"/>
    <w:rsid w:val="009B1A1A"/>
    <w:rsid w:val="009B2608"/>
    <w:rsid w:val="009B292B"/>
    <w:rsid w:val="009B2A71"/>
    <w:rsid w:val="009B4027"/>
    <w:rsid w:val="009B4975"/>
    <w:rsid w:val="009B561F"/>
    <w:rsid w:val="009B5773"/>
    <w:rsid w:val="009B5D2D"/>
    <w:rsid w:val="009C058F"/>
    <w:rsid w:val="009C11F5"/>
    <w:rsid w:val="009C153A"/>
    <w:rsid w:val="009C2B3E"/>
    <w:rsid w:val="009C2EA2"/>
    <w:rsid w:val="009C3721"/>
    <w:rsid w:val="009C4141"/>
    <w:rsid w:val="009C4B55"/>
    <w:rsid w:val="009C5FCC"/>
    <w:rsid w:val="009C61A2"/>
    <w:rsid w:val="009C6DF6"/>
    <w:rsid w:val="009C6E92"/>
    <w:rsid w:val="009D04F7"/>
    <w:rsid w:val="009D1589"/>
    <w:rsid w:val="009D2003"/>
    <w:rsid w:val="009D294C"/>
    <w:rsid w:val="009D38C2"/>
    <w:rsid w:val="009D417F"/>
    <w:rsid w:val="009D45E5"/>
    <w:rsid w:val="009D4B85"/>
    <w:rsid w:val="009D535B"/>
    <w:rsid w:val="009D630B"/>
    <w:rsid w:val="009D6CAA"/>
    <w:rsid w:val="009D6CF6"/>
    <w:rsid w:val="009D6E69"/>
    <w:rsid w:val="009E02DC"/>
    <w:rsid w:val="009E2040"/>
    <w:rsid w:val="009E49AE"/>
    <w:rsid w:val="009E49BE"/>
    <w:rsid w:val="009E4DC7"/>
    <w:rsid w:val="009E5016"/>
    <w:rsid w:val="009E660A"/>
    <w:rsid w:val="009E6B64"/>
    <w:rsid w:val="009E72E5"/>
    <w:rsid w:val="009F3A29"/>
    <w:rsid w:val="009F46C8"/>
    <w:rsid w:val="009F4F2A"/>
    <w:rsid w:val="009F57A4"/>
    <w:rsid w:val="009F660B"/>
    <w:rsid w:val="009F671E"/>
    <w:rsid w:val="009F7ED1"/>
    <w:rsid w:val="00A0149B"/>
    <w:rsid w:val="00A01607"/>
    <w:rsid w:val="00A018D4"/>
    <w:rsid w:val="00A02F9D"/>
    <w:rsid w:val="00A03767"/>
    <w:rsid w:val="00A04834"/>
    <w:rsid w:val="00A052C0"/>
    <w:rsid w:val="00A05628"/>
    <w:rsid w:val="00A07DCF"/>
    <w:rsid w:val="00A10EDE"/>
    <w:rsid w:val="00A11BFC"/>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55C"/>
    <w:rsid w:val="00A33E80"/>
    <w:rsid w:val="00A33EFE"/>
    <w:rsid w:val="00A34D63"/>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00A"/>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393"/>
    <w:rsid w:val="00A726A8"/>
    <w:rsid w:val="00A72951"/>
    <w:rsid w:val="00A73505"/>
    <w:rsid w:val="00A75E02"/>
    <w:rsid w:val="00A76662"/>
    <w:rsid w:val="00A768C1"/>
    <w:rsid w:val="00A76E79"/>
    <w:rsid w:val="00A7771B"/>
    <w:rsid w:val="00A77B53"/>
    <w:rsid w:val="00A80FF4"/>
    <w:rsid w:val="00A811F1"/>
    <w:rsid w:val="00A82887"/>
    <w:rsid w:val="00A83010"/>
    <w:rsid w:val="00A83BF5"/>
    <w:rsid w:val="00A84CD1"/>
    <w:rsid w:val="00A85E2E"/>
    <w:rsid w:val="00A861F3"/>
    <w:rsid w:val="00A8728F"/>
    <w:rsid w:val="00A8756A"/>
    <w:rsid w:val="00A87641"/>
    <w:rsid w:val="00A87F7D"/>
    <w:rsid w:val="00A90221"/>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66F"/>
    <w:rsid w:val="00AA6E05"/>
    <w:rsid w:val="00AA7B0A"/>
    <w:rsid w:val="00AB0262"/>
    <w:rsid w:val="00AB14A1"/>
    <w:rsid w:val="00AB202A"/>
    <w:rsid w:val="00AB5555"/>
    <w:rsid w:val="00AB55AD"/>
    <w:rsid w:val="00AB5D1B"/>
    <w:rsid w:val="00AB5FB0"/>
    <w:rsid w:val="00AB6918"/>
    <w:rsid w:val="00AB6B40"/>
    <w:rsid w:val="00AB740A"/>
    <w:rsid w:val="00AB7508"/>
    <w:rsid w:val="00AC0C79"/>
    <w:rsid w:val="00AC1DA5"/>
    <w:rsid w:val="00AC216B"/>
    <w:rsid w:val="00AC26B1"/>
    <w:rsid w:val="00AC42B8"/>
    <w:rsid w:val="00AC45C5"/>
    <w:rsid w:val="00AC4791"/>
    <w:rsid w:val="00AC4BFE"/>
    <w:rsid w:val="00AC4FB6"/>
    <w:rsid w:val="00AC4FD1"/>
    <w:rsid w:val="00AC5159"/>
    <w:rsid w:val="00AC5FEF"/>
    <w:rsid w:val="00AC6036"/>
    <w:rsid w:val="00AC7781"/>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6F88"/>
    <w:rsid w:val="00AF0157"/>
    <w:rsid w:val="00AF210A"/>
    <w:rsid w:val="00AF2EC7"/>
    <w:rsid w:val="00AF3AC0"/>
    <w:rsid w:val="00AF4F4A"/>
    <w:rsid w:val="00B00C24"/>
    <w:rsid w:val="00B00F93"/>
    <w:rsid w:val="00B01BBE"/>
    <w:rsid w:val="00B028A8"/>
    <w:rsid w:val="00B03F92"/>
    <w:rsid w:val="00B055D8"/>
    <w:rsid w:val="00B06CD6"/>
    <w:rsid w:val="00B06EBC"/>
    <w:rsid w:val="00B10669"/>
    <w:rsid w:val="00B11D2D"/>
    <w:rsid w:val="00B123F0"/>
    <w:rsid w:val="00B12891"/>
    <w:rsid w:val="00B146C1"/>
    <w:rsid w:val="00B146E7"/>
    <w:rsid w:val="00B14F23"/>
    <w:rsid w:val="00B15196"/>
    <w:rsid w:val="00B156DF"/>
    <w:rsid w:val="00B15ABB"/>
    <w:rsid w:val="00B16973"/>
    <w:rsid w:val="00B2030C"/>
    <w:rsid w:val="00B2036A"/>
    <w:rsid w:val="00B21057"/>
    <w:rsid w:val="00B21491"/>
    <w:rsid w:val="00B2202B"/>
    <w:rsid w:val="00B22DB7"/>
    <w:rsid w:val="00B23422"/>
    <w:rsid w:val="00B24948"/>
    <w:rsid w:val="00B24CBD"/>
    <w:rsid w:val="00B25AA0"/>
    <w:rsid w:val="00B25CA3"/>
    <w:rsid w:val="00B30028"/>
    <w:rsid w:val="00B31E8D"/>
    <w:rsid w:val="00B32B33"/>
    <w:rsid w:val="00B3313B"/>
    <w:rsid w:val="00B331E8"/>
    <w:rsid w:val="00B331EA"/>
    <w:rsid w:val="00B34732"/>
    <w:rsid w:val="00B353B8"/>
    <w:rsid w:val="00B35C56"/>
    <w:rsid w:val="00B36F17"/>
    <w:rsid w:val="00B372ED"/>
    <w:rsid w:val="00B40183"/>
    <w:rsid w:val="00B40603"/>
    <w:rsid w:val="00B40AF6"/>
    <w:rsid w:val="00B41071"/>
    <w:rsid w:val="00B41C06"/>
    <w:rsid w:val="00B425C0"/>
    <w:rsid w:val="00B42DB6"/>
    <w:rsid w:val="00B46957"/>
    <w:rsid w:val="00B47B54"/>
    <w:rsid w:val="00B50E99"/>
    <w:rsid w:val="00B51926"/>
    <w:rsid w:val="00B51F9A"/>
    <w:rsid w:val="00B54DA7"/>
    <w:rsid w:val="00B571D6"/>
    <w:rsid w:val="00B600C6"/>
    <w:rsid w:val="00B60167"/>
    <w:rsid w:val="00B60FC0"/>
    <w:rsid w:val="00B61665"/>
    <w:rsid w:val="00B63528"/>
    <w:rsid w:val="00B63DAF"/>
    <w:rsid w:val="00B63E98"/>
    <w:rsid w:val="00B65754"/>
    <w:rsid w:val="00B661AA"/>
    <w:rsid w:val="00B66242"/>
    <w:rsid w:val="00B670D3"/>
    <w:rsid w:val="00B67450"/>
    <w:rsid w:val="00B67958"/>
    <w:rsid w:val="00B67CE7"/>
    <w:rsid w:val="00B701D1"/>
    <w:rsid w:val="00B709B5"/>
    <w:rsid w:val="00B711F4"/>
    <w:rsid w:val="00B716BB"/>
    <w:rsid w:val="00B716FD"/>
    <w:rsid w:val="00B725EF"/>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459B"/>
    <w:rsid w:val="00B95DAD"/>
    <w:rsid w:val="00B96C0C"/>
    <w:rsid w:val="00B9734D"/>
    <w:rsid w:val="00B97732"/>
    <w:rsid w:val="00BA1A51"/>
    <w:rsid w:val="00BA27F4"/>
    <w:rsid w:val="00BA2BE6"/>
    <w:rsid w:val="00BA2E40"/>
    <w:rsid w:val="00BA3CB7"/>
    <w:rsid w:val="00BA41DE"/>
    <w:rsid w:val="00BA4BE4"/>
    <w:rsid w:val="00BA4DF8"/>
    <w:rsid w:val="00BA5249"/>
    <w:rsid w:val="00BA556C"/>
    <w:rsid w:val="00BA6BF3"/>
    <w:rsid w:val="00BB0F31"/>
    <w:rsid w:val="00BB15AB"/>
    <w:rsid w:val="00BB189B"/>
    <w:rsid w:val="00BB1D21"/>
    <w:rsid w:val="00BB2E51"/>
    <w:rsid w:val="00BB4BEA"/>
    <w:rsid w:val="00BB4C1A"/>
    <w:rsid w:val="00BB50AB"/>
    <w:rsid w:val="00BB6664"/>
    <w:rsid w:val="00BC01FC"/>
    <w:rsid w:val="00BC1F79"/>
    <w:rsid w:val="00BC2201"/>
    <w:rsid w:val="00BC3C7A"/>
    <w:rsid w:val="00BC6689"/>
    <w:rsid w:val="00BC7DC6"/>
    <w:rsid w:val="00BD1039"/>
    <w:rsid w:val="00BD13B5"/>
    <w:rsid w:val="00BD2EFC"/>
    <w:rsid w:val="00BD340E"/>
    <w:rsid w:val="00BD60AD"/>
    <w:rsid w:val="00BD6C02"/>
    <w:rsid w:val="00BD7E2D"/>
    <w:rsid w:val="00BE1244"/>
    <w:rsid w:val="00BE165D"/>
    <w:rsid w:val="00BE2394"/>
    <w:rsid w:val="00BE2702"/>
    <w:rsid w:val="00BE4326"/>
    <w:rsid w:val="00BE5F4F"/>
    <w:rsid w:val="00BE5F51"/>
    <w:rsid w:val="00BE60DB"/>
    <w:rsid w:val="00BF0191"/>
    <w:rsid w:val="00BF13EC"/>
    <w:rsid w:val="00BF1904"/>
    <w:rsid w:val="00BF1C07"/>
    <w:rsid w:val="00BF3DEE"/>
    <w:rsid w:val="00BF4DEC"/>
    <w:rsid w:val="00BF54AC"/>
    <w:rsid w:val="00BF54BD"/>
    <w:rsid w:val="00BF595A"/>
    <w:rsid w:val="00BF6B8E"/>
    <w:rsid w:val="00C025A5"/>
    <w:rsid w:val="00C03C78"/>
    <w:rsid w:val="00C04FD3"/>
    <w:rsid w:val="00C06226"/>
    <w:rsid w:val="00C0633D"/>
    <w:rsid w:val="00C065A2"/>
    <w:rsid w:val="00C07919"/>
    <w:rsid w:val="00C103F9"/>
    <w:rsid w:val="00C104AC"/>
    <w:rsid w:val="00C107AD"/>
    <w:rsid w:val="00C110E1"/>
    <w:rsid w:val="00C1198F"/>
    <w:rsid w:val="00C11FA1"/>
    <w:rsid w:val="00C12252"/>
    <w:rsid w:val="00C12E21"/>
    <w:rsid w:val="00C12E65"/>
    <w:rsid w:val="00C13C20"/>
    <w:rsid w:val="00C13F74"/>
    <w:rsid w:val="00C146D3"/>
    <w:rsid w:val="00C16BE0"/>
    <w:rsid w:val="00C21C39"/>
    <w:rsid w:val="00C222A5"/>
    <w:rsid w:val="00C2325C"/>
    <w:rsid w:val="00C239ED"/>
    <w:rsid w:val="00C24D9D"/>
    <w:rsid w:val="00C25CF3"/>
    <w:rsid w:val="00C263E9"/>
    <w:rsid w:val="00C2775A"/>
    <w:rsid w:val="00C3063A"/>
    <w:rsid w:val="00C30BAD"/>
    <w:rsid w:val="00C31E8F"/>
    <w:rsid w:val="00C335DA"/>
    <w:rsid w:val="00C33D3E"/>
    <w:rsid w:val="00C35E1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A6"/>
    <w:rsid w:val="00C50ABF"/>
    <w:rsid w:val="00C50EF2"/>
    <w:rsid w:val="00C51256"/>
    <w:rsid w:val="00C51566"/>
    <w:rsid w:val="00C516B7"/>
    <w:rsid w:val="00C516C4"/>
    <w:rsid w:val="00C51C1F"/>
    <w:rsid w:val="00C52433"/>
    <w:rsid w:val="00C5279F"/>
    <w:rsid w:val="00C52D62"/>
    <w:rsid w:val="00C52DFC"/>
    <w:rsid w:val="00C52EF3"/>
    <w:rsid w:val="00C52F9B"/>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250"/>
    <w:rsid w:val="00C74546"/>
    <w:rsid w:val="00C748E2"/>
    <w:rsid w:val="00C7588E"/>
    <w:rsid w:val="00C7776C"/>
    <w:rsid w:val="00C8398D"/>
    <w:rsid w:val="00C84BC2"/>
    <w:rsid w:val="00C85139"/>
    <w:rsid w:val="00C85657"/>
    <w:rsid w:val="00C85AE4"/>
    <w:rsid w:val="00C9022C"/>
    <w:rsid w:val="00C9135B"/>
    <w:rsid w:val="00C91C88"/>
    <w:rsid w:val="00C9250B"/>
    <w:rsid w:val="00C939C3"/>
    <w:rsid w:val="00C94228"/>
    <w:rsid w:val="00C96D56"/>
    <w:rsid w:val="00C977E6"/>
    <w:rsid w:val="00CA0020"/>
    <w:rsid w:val="00CA0828"/>
    <w:rsid w:val="00CA0B2E"/>
    <w:rsid w:val="00CA18CA"/>
    <w:rsid w:val="00CA2557"/>
    <w:rsid w:val="00CA4952"/>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7EF0"/>
    <w:rsid w:val="00CC152E"/>
    <w:rsid w:val="00CC1FE8"/>
    <w:rsid w:val="00CC2493"/>
    <w:rsid w:val="00CC2CEB"/>
    <w:rsid w:val="00CC2D66"/>
    <w:rsid w:val="00CC3222"/>
    <w:rsid w:val="00CC35F1"/>
    <w:rsid w:val="00CC35FF"/>
    <w:rsid w:val="00CC49EE"/>
    <w:rsid w:val="00CC66C4"/>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50C"/>
    <w:rsid w:val="00CF0769"/>
    <w:rsid w:val="00CF0A4C"/>
    <w:rsid w:val="00CF150A"/>
    <w:rsid w:val="00CF2225"/>
    <w:rsid w:val="00CF22AB"/>
    <w:rsid w:val="00CF25E7"/>
    <w:rsid w:val="00CF3C77"/>
    <w:rsid w:val="00CF41EF"/>
    <w:rsid w:val="00CF45A2"/>
    <w:rsid w:val="00CF52C4"/>
    <w:rsid w:val="00CF52E7"/>
    <w:rsid w:val="00CF5F5D"/>
    <w:rsid w:val="00CF64B5"/>
    <w:rsid w:val="00CF7853"/>
    <w:rsid w:val="00D004ED"/>
    <w:rsid w:val="00D0260F"/>
    <w:rsid w:val="00D03708"/>
    <w:rsid w:val="00D06776"/>
    <w:rsid w:val="00D06853"/>
    <w:rsid w:val="00D06E46"/>
    <w:rsid w:val="00D06F95"/>
    <w:rsid w:val="00D1158C"/>
    <w:rsid w:val="00D11600"/>
    <w:rsid w:val="00D119A2"/>
    <w:rsid w:val="00D12E31"/>
    <w:rsid w:val="00D137F9"/>
    <w:rsid w:val="00D144C2"/>
    <w:rsid w:val="00D1458C"/>
    <w:rsid w:val="00D1620E"/>
    <w:rsid w:val="00D16867"/>
    <w:rsid w:val="00D16EEC"/>
    <w:rsid w:val="00D2047A"/>
    <w:rsid w:val="00D20631"/>
    <w:rsid w:val="00D207FC"/>
    <w:rsid w:val="00D20ADD"/>
    <w:rsid w:val="00D2173B"/>
    <w:rsid w:val="00D21CCD"/>
    <w:rsid w:val="00D2260B"/>
    <w:rsid w:val="00D2291D"/>
    <w:rsid w:val="00D22D49"/>
    <w:rsid w:val="00D23930"/>
    <w:rsid w:val="00D23A23"/>
    <w:rsid w:val="00D24D8A"/>
    <w:rsid w:val="00D24DA4"/>
    <w:rsid w:val="00D25235"/>
    <w:rsid w:val="00D25383"/>
    <w:rsid w:val="00D2552A"/>
    <w:rsid w:val="00D25670"/>
    <w:rsid w:val="00D301FF"/>
    <w:rsid w:val="00D3257F"/>
    <w:rsid w:val="00D33789"/>
    <w:rsid w:val="00D340E2"/>
    <w:rsid w:val="00D35B60"/>
    <w:rsid w:val="00D36887"/>
    <w:rsid w:val="00D36955"/>
    <w:rsid w:val="00D373FE"/>
    <w:rsid w:val="00D37563"/>
    <w:rsid w:val="00D379EB"/>
    <w:rsid w:val="00D37EBE"/>
    <w:rsid w:val="00D400B8"/>
    <w:rsid w:val="00D4022C"/>
    <w:rsid w:val="00D41023"/>
    <w:rsid w:val="00D41C6C"/>
    <w:rsid w:val="00D42465"/>
    <w:rsid w:val="00D42E5B"/>
    <w:rsid w:val="00D4308B"/>
    <w:rsid w:val="00D439D1"/>
    <w:rsid w:val="00D43C68"/>
    <w:rsid w:val="00D4411C"/>
    <w:rsid w:val="00D444B2"/>
    <w:rsid w:val="00D453E4"/>
    <w:rsid w:val="00D47226"/>
    <w:rsid w:val="00D473EB"/>
    <w:rsid w:val="00D50B21"/>
    <w:rsid w:val="00D51349"/>
    <w:rsid w:val="00D527AF"/>
    <w:rsid w:val="00D529E1"/>
    <w:rsid w:val="00D534C2"/>
    <w:rsid w:val="00D5410F"/>
    <w:rsid w:val="00D5539F"/>
    <w:rsid w:val="00D564DF"/>
    <w:rsid w:val="00D57698"/>
    <w:rsid w:val="00D576DD"/>
    <w:rsid w:val="00D57CB4"/>
    <w:rsid w:val="00D61477"/>
    <w:rsid w:val="00D619A5"/>
    <w:rsid w:val="00D619E2"/>
    <w:rsid w:val="00D62036"/>
    <w:rsid w:val="00D620CC"/>
    <w:rsid w:val="00D6215B"/>
    <w:rsid w:val="00D634B8"/>
    <w:rsid w:val="00D63EF3"/>
    <w:rsid w:val="00D64441"/>
    <w:rsid w:val="00D65497"/>
    <w:rsid w:val="00D654DA"/>
    <w:rsid w:val="00D65E94"/>
    <w:rsid w:val="00D6609E"/>
    <w:rsid w:val="00D67A9F"/>
    <w:rsid w:val="00D67C20"/>
    <w:rsid w:val="00D70C1B"/>
    <w:rsid w:val="00D70E5C"/>
    <w:rsid w:val="00D7146C"/>
    <w:rsid w:val="00D718CD"/>
    <w:rsid w:val="00D71EC7"/>
    <w:rsid w:val="00D7416F"/>
    <w:rsid w:val="00D755F2"/>
    <w:rsid w:val="00D762AC"/>
    <w:rsid w:val="00D775E7"/>
    <w:rsid w:val="00D77B9E"/>
    <w:rsid w:val="00D81CA9"/>
    <w:rsid w:val="00D839D8"/>
    <w:rsid w:val="00D83F9E"/>
    <w:rsid w:val="00D840C2"/>
    <w:rsid w:val="00D84562"/>
    <w:rsid w:val="00D85C16"/>
    <w:rsid w:val="00D8604B"/>
    <w:rsid w:val="00D86169"/>
    <w:rsid w:val="00D8676D"/>
    <w:rsid w:val="00D86C2A"/>
    <w:rsid w:val="00D8732E"/>
    <w:rsid w:val="00D91294"/>
    <w:rsid w:val="00D9186A"/>
    <w:rsid w:val="00D92D47"/>
    <w:rsid w:val="00D94213"/>
    <w:rsid w:val="00D94BEB"/>
    <w:rsid w:val="00D94EA5"/>
    <w:rsid w:val="00D9570C"/>
    <w:rsid w:val="00D95A63"/>
    <w:rsid w:val="00D95B84"/>
    <w:rsid w:val="00D95F32"/>
    <w:rsid w:val="00DA024A"/>
    <w:rsid w:val="00DA07EE"/>
    <w:rsid w:val="00DA0A58"/>
    <w:rsid w:val="00DA13BA"/>
    <w:rsid w:val="00DA1C85"/>
    <w:rsid w:val="00DA1CC9"/>
    <w:rsid w:val="00DA2E58"/>
    <w:rsid w:val="00DA328E"/>
    <w:rsid w:val="00DA3AA6"/>
    <w:rsid w:val="00DA46C1"/>
    <w:rsid w:val="00DA70DD"/>
    <w:rsid w:val="00DA7771"/>
    <w:rsid w:val="00DB088F"/>
    <w:rsid w:val="00DB0B4A"/>
    <w:rsid w:val="00DB1487"/>
    <w:rsid w:val="00DB19B4"/>
    <w:rsid w:val="00DB19F1"/>
    <w:rsid w:val="00DB26AE"/>
    <w:rsid w:val="00DB4411"/>
    <w:rsid w:val="00DB466D"/>
    <w:rsid w:val="00DB488A"/>
    <w:rsid w:val="00DB5FD0"/>
    <w:rsid w:val="00DB7395"/>
    <w:rsid w:val="00DB75C2"/>
    <w:rsid w:val="00DB7E2C"/>
    <w:rsid w:val="00DB7EF8"/>
    <w:rsid w:val="00DC0070"/>
    <w:rsid w:val="00DC027B"/>
    <w:rsid w:val="00DC094B"/>
    <w:rsid w:val="00DC0A64"/>
    <w:rsid w:val="00DC0FC4"/>
    <w:rsid w:val="00DC1B9A"/>
    <w:rsid w:val="00DC222E"/>
    <w:rsid w:val="00DC2344"/>
    <w:rsid w:val="00DC2E4F"/>
    <w:rsid w:val="00DC384C"/>
    <w:rsid w:val="00DC3A80"/>
    <w:rsid w:val="00DC40C4"/>
    <w:rsid w:val="00DC4AFD"/>
    <w:rsid w:val="00DC4D87"/>
    <w:rsid w:val="00DC4D8A"/>
    <w:rsid w:val="00DC4ECC"/>
    <w:rsid w:val="00DC6A17"/>
    <w:rsid w:val="00DC6DF6"/>
    <w:rsid w:val="00DC7BFE"/>
    <w:rsid w:val="00DD08C7"/>
    <w:rsid w:val="00DD1A10"/>
    <w:rsid w:val="00DD200D"/>
    <w:rsid w:val="00DD2990"/>
    <w:rsid w:val="00DD2FE9"/>
    <w:rsid w:val="00DD3A7E"/>
    <w:rsid w:val="00DD434E"/>
    <w:rsid w:val="00DD4402"/>
    <w:rsid w:val="00DD5E01"/>
    <w:rsid w:val="00DD60D0"/>
    <w:rsid w:val="00DD6200"/>
    <w:rsid w:val="00DD686C"/>
    <w:rsid w:val="00DD6E86"/>
    <w:rsid w:val="00DE0E5D"/>
    <w:rsid w:val="00DE1AA7"/>
    <w:rsid w:val="00DE447F"/>
    <w:rsid w:val="00DE48F0"/>
    <w:rsid w:val="00DE4A77"/>
    <w:rsid w:val="00DE68EE"/>
    <w:rsid w:val="00DE6D24"/>
    <w:rsid w:val="00DE7285"/>
    <w:rsid w:val="00DE7C40"/>
    <w:rsid w:val="00DF0EA5"/>
    <w:rsid w:val="00DF128E"/>
    <w:rsid w:val="00DF1F1D"/>
    <w:rsid w:val="00DF23A5"/>
    <w:rsid w:val="00DF467F"/>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0EC"/>
    <w:rsid w:val="00E14D83"/>
    <w:rsid w:val="00E14FA6"/>
    <w:rsid w:val="00E15A0D"/>
    <w:rsid w:val="00E16640"/>
    <w:rsid w:val="00E1740F"/>
    <w:rsid w:val="00E178CC"/>
    <w:rsid w:val="00E200CF"/>
    <w:rsid w:val="00E21491"/>
    <w:rsid w:val="00E24287"/>
    <w:rsid w:val="00E27986"/>
    <w:rsid w:val="00E31367"/>
    <w:rsid w:val="00E3181C"/>
    <w:rsid w:val="00E32EF3"/>
    <w:rsid w:val="00E33E21"/>
    <w:rsid w:val="00E34BC4"/>
    <w:rsid w:val="00E3540C"/>
    <w:rsid w:val="00E36187"/>
    <w:rsid w:val="00E36332"/>
    <w:rsid w:val="00E36C9B"/>
    <w:rsid w:val="00E37638"/>
    <w:rsid w:val="00E37BB2"/>
    <w:rsid w:val="00E37E9D"/>
    <w:rsid w:val="00E41B71"/>
    <w:rsid w:val="00E41F76"/>
    <w:rsid w:val="00E42569"/>
    <w:rsid w:val="00E434A0"/>
    <w:rsid w:val="00E44D30"/>
    <w:rsid w:val="00E4597F"/>
    <w:rsid w:val="00E46CB7"/>
    <w:rsid w:val="00E4723D"/>
    <w:rsid w:val="00E5077C"/>
    <w:rsid w:val="00E50EC8"/>
    <w:rsid w:val="00E5159B"/>
    <w:rsid w:val="00E515C6"/>
    <w:rsid w:val="00E51A0D"/>
    <w:rsid w:val="00E52E0D"/>
    <w:rsid w:val="00E52FE2"/>
    <w:rsid w:val="00E54629"/>
    <w:rsid w:val="00E54715"/>
    <w:rsid w:val="00E54D6B"/>
    <w:rsid w:val="00E54E6F"/>
    <w:rsid w:val="00E55338"/>
    <w:rsid w:val="00E569AF"/>
    <w:rsid w:val="00E5774E"/>
    <w:rsid w:val="00E57EEB"/>
    <w:rsid w:val="00E60318"/>
    <w:rsid w:val="00E60BA8"/>
    <w:rsid w:val="00E618A8"/>
    <w:rsid w:val="00E61E25"/>
    <w:rsid w:val="00E61E28"/>
    <w:rsid w:val="00E628E4"/>
    <w:rsid w:val="00E62F58"/>
    <w:rsid w:val="00E647F7"/>
    <w:rsid w:val="00E65FF5"/>
    <w:rsid w:val="00E66857"/>
    <w:rsid w:val="00E67190"/>
    <w:rsid w:val="00E67556"/>
    <w:rsid w:val="00E713BE"/>
    <w:rsid w:val="00E71891"/>
    <w:rsid w:val="00E7252F"/>
    <w:rsid w:val="00E73428"/>
    <w:rsid w:val="00E73FC2"/>
    <w:rsid w:val="00E74481"/>
    <w:rsid w:val="00E74517"/>
    <w:rsid w:val="00E755D7"/>
    <w:rsid w:val="00E7566D"/>
    <w:rsid w:val="00E76E91"/>
    <w:rsid w:val="00E77225"/>
    <w:rsid w:val="00E774B4"/>
    <w:rsid w:val="00E778F5"/>
    <w:rsid w:val="00E80E7C"/>
    <w:rsid w:val="00E81779"/>
    <w:rsid w:val="00E8205B"/>
    <w:rsid w:val="00E82444"/>
    <w:rsid w:val="00E8341C"/>
    <w:rsid w:val="00E8602B"/>
    <w:rsid w:val="00E86B5F"/>
    <w:rsid w:val="00E87D05"/>
    <w:rsid w:val="00E91F96"/>
    <w:rsid w:val="00E923B6"/>
    <w:rsid w:val="00E92E99"/>
    <w:rsid w:val="00E92FE5"/>
    <w:rsid w:val="00E968FD"/>
    <w:rsid w:val="00E96ADC"/>
    <w:rsid w:val="00E96D55"/>
    <w:rsid w:val="00E97784"/>
    <w:rsid w:val="00E97993"/>
    <w:rsid w:val="00EA0D5D"/>
    <w:rsid w:val="00EA0ECF"/>
    <w:rsid w:val="00EA1192"/>
    <w:rsid w:val="00EA153F"/>
    <w:rsid w:val="00EA2788"/>
    <w:rsid w:val="00EA2C6E"/>
    <w:rsid w:val="00EA487C"/>
    <w:rsid w:val="00EA4964"/>
    <w:rsid w:val="00EA4F1A"/>
    <w:rsid w:val="00EA50E3"/>
    <w:rsid w:val="00EA567C"/>
    <w:rsid w:val="00EB02B3"/>
    <w:rsid w:val="00EB02DE"/>
    <w:rsid w:val="00EB0A07"/>
    <w:rsid w:val="00EB1B69"/>
    <w:rsid w:val="00EB1C78"/>
    <w:rsid w:val="00EB2886"/>
    <w:rsid w:val="00EB3B46"/>
    <w:rsid w:val="00EB4F08"/>
    <w:rsid w:val="00EC2E07"/>
    <w:rsid w:val="00EC43C7"/>
    <w:rsid w:val="00EC465D"/>
    <w:rsid w:val="00EC5C89"/>
    <w:rsid w:val="00EC66D2"/>
    <w:rsid w:val="00EC67E7"/>
    <w:rsid w:val="00ED0A1B"/>
    <w:rsid w:val="00ED21BC"/>
    <w:rsid w:val="00ED2FEC"/>
    <w:rsid w:val="00ED3F67"/>
    <w:rsid w:val="00ED4094"/>
    <w:rsid w:val="00ED440A"/>
    <w:rsid w:val="00ED4F83"/>
    <w:rsid w:val="00ED6679"/>
    <w:rsid w:val="00ED7971"/>
    <w:rsid w:val="00EE0748"/>
    <w:rsid w:val="00EE13C5"/>
    <w:rsid w:val="00EE29A0"/>
    <w:rsid w:val="00EE2CEA"/>
    <w:rsid w:val="00EE3365"/>
    <w:rsid w:val="00EE45FF"/>
    <w:rsid w:val="00EE48DF"/>
    <w:rsid w:val="00EE4AB3"/>
    <w:rsid w:val="00EE5A3D"/>
    <w:rsid w:val="00EE7405"/>
    <w:rsid w:val="00EF033E"/>
    <w:rsid w:val="00EF06EC"/>
    <w:rsid w:val="00EF14FF"/>
    <w:rsid w:val="00EF2BFE"/>
    <w:rsid w:val="00EF2D85"/>
    <w:rsid w:val="00EF402C"/>
    <w:rsid w:val="00EF44EE"/>
    <w:rsid w:val="00EF45E0"/>
    <w:rsid w:val="00EF4E6F"/>
    <w:rsid w:val="00EF5C82"/>
    <w:rsid w:val="00EF7A15"/>
    <w:rsid w:val="00F007F0"/>
    <w:rsid w:val="00F00E67"/>
    <w:rsid w:val="00F01F8C"/>
    <w:rsid w:val="00F02F4C"/>
    <w:rsid w:val="00F035A6"/>
    <w:rsid w:val="00F04980"/>
    <w:rsid w:val="00F04AD0"/>
    <w:rsid w:val="00F04CA5"/>
    <w:rsid w:val="00F06916"/>
    <w:rsid w:val="00F10033"/>
    <w:rsid w:val="00F10848"/>
    <w:rsid w:val="00F10B68"/>
    <w:rsid w:val="00F1164C"/>
    <w:rsid w:val="00F1199A"/>
    <w:rsid w:val="00F11F55"/>
    <w:rsid w:val="00F12DEC"/>
    <w:rsid w:val="00F13151"/>
    <w:rsid w:val="00F14C07"/>
    <w:rsid w:val="00F1503B"/>
    <w:rsid w:val="00F15523"/>
    <w:rsid w:val="00F16391"/>
    <w:rsid w:val="00F205C0"/>
    <w:rsid w:val="00F2062B"/>
    <w:rsid w:val="00F21A18"/>
    <w:rsid w:val="00F21E61"/>
    <w:rsid w:val="00F220EA"/>
    <w:rsid w:val="00F222CD"/>
    <w:rsid w:val="00F24EA4"/>
    <w:rsid w:val="00F24F37"/>
    <w:rsid w:val="00F25319"/>
    <w:rsid w:val="00F2625A"/>
    <w:rsid w:val="00F279EC"/>
    <w:rsid w:val="00F31A03"/>
    <w:rsid w:val="00F3283C"/>
    <w:rsid w:val="00F32D0F"/>
    <w:rsid w:val="00F343F0"/>
    <w:rsid w:val="00F34620"/>
    <w:rsid w:val="00F34AAB"/>
    <w:rsid w:val="00F34C4D"/>
    <w:rsid w:val="00F350CF"/>
    <w:rsid w:val="00F35582"/>
    <w:rsid w:val="00F3679D"/>
    <w:rsid w:val="00F37004"/>
    <w:rsid w:val="00F376A1"/>
    <w:rsid w:val="00F37B8E"/>
    <w:rsid w:val="00F40F88"/>
    <w:rsid w:val="00F41746"/>
    <w:rsid w:val="00F41E79"/>
    <w:rsid w:val="00F42AD1"/>
    <w:rsid w:val="00F4315F"/>
    <w:rsid w:val="00F445F6"/>
    <w:rsid w:val="00F4512F"/>
    <w:rsid w:val="00F45763"/>
    <w:rsid w:val="00F45BCF"/>
    <w:rsid w:val="00F45BEA"/>
    <w:rsid w:val="00F45CFE"/>
    <w:rsid w:val="00F46877"/>
    <w:rsid w:val="00F47F3E"/>
    <w:rsid w:val="00F530E6"/>
    <w:rsid w:val="00F532C7"/>
    <w:rsid w:val="00F5428B"/>
    <w:rsid w:val="00F54EE5"/>
    <w:rsid w:val="00F55358"/>
    <w:rsid w:val="00F5603C"/>
    <w:rsid w:val="00F5605C"/>
    <w:rsid w:val="00F560E5"/>
    <w:rsid w:val="00F564B9"/>
    <w:rsid w:val="00F57909"/>
    <w:rsid w:val="00F612D6"/>
    <w:rsid w:val="00F63400"/>
    <w:rsid w:val="00F636C6"/>
    <w:rsid w:val="00F6433D"/>
    <w:rsid w:val="00F6573E"/>
    <w:rsid w:val="00F662EB"/>
    <w:rsid w:val="00F67606"/>
    <w:rsid w:val="00F70057"/>
    <w:rsid w:val="00F70327"/>
    <w:rsid w:val="00F70FEF"/>
    <w:rsid w:val="00F72FA8"/>
    <w:rsid w:val="00F75415"/>
    <w:rsid w:val="00F773F9"/>
    <w:rsid w:val="00F8101C"/>
    <w:rsid w:val="00F81666"/>
    <w:rsid w:val="00F817B9"/>
    <w:rsid w:val="00F81CB7"/>
    <w:rsid w:val="00F82280"/>
    <w:rsid w:val="00F8235F"/>
    <w:rsid w:val="00F83A22"/>
    <w:rsid w:val="00F83A97"/>
    <w:rsid w:val="00F844F0"/>
    <w:rsid w:val="00F84895"/>
    <w:rsid w:val="00F84E9D"/>
    <w:rsid w:val="00F862DF"/>
    <w:rsid w:val="00F8659E"/>
    <w:rsid w:val="00F86CE4"/>
    <w:rsid w:val="00F86F42"/>
    <w:rsid w:val="00F91941"/>
    <w:rsid w:val="00F92E3F"/>
    <w:rsid w:val="00F938D2"/>
    <w:rsid w:val="00F953B6"/>
    <w:rsid w:val="00F96389"/>
    <w:rsid w:val="00F9650E"/>
    <w:rsid w:val="00F96B73"/>
    <w:rsid w:val="00F977C7"/>
    <w:rsid w:val="00FA0890"/>
    <w:rsid w:val="00FA164A"/>
    <w:rsid w:val="00FA3F3E"/>
    <w:rsid w:val="00FA4272"/>
    <w:rsid w:val="00FA4855"/>
    <w:rsid w:val="00FA4ACD"/>
    <w:rsid w:val="00FA4BA5"/>
    <w:rsid w:val="00FA6428"/>
    <w:rsid w:val="00FA7144"/>
    <w:rsid w:val="00FA7184"/>
    <w:rsid w:val="00FB1D9D"/>
    <w:rsid w:val="00FB21B9"/>
    <w:rsid w:val="00FB3304"/>
    <w:rsid w:val="00FB46B8"/>
    <w:rsid w:val="00FB4B38"/>
    <w:rsid w:val="00FB54BB"/>
    <w:rsid w:val="00FB5AC0"/>
    <w:rsid w:val="00FB6A72"/>
    <w:rsid w:val="00FB6C91"/>
    <w:rsid w:val="00FB74E8"/>
    <w:rsid w:val="00FC0263"/>
    <w:rsid w:val="00FC0348"/>
    <w:rsid w:val="00FC0FB5"/>
    <w:rsid w:val="00FC102A"/>
    <w:rsid w:val="00FC154C"/>
    <w:rsid w:val="00FC1DBC"/>
    <w:rsid w:val="00FC2637"/>
    <w:rsid w:val="00FC393B"/>
    <w:rsid w:val="00FC4052"/>
    <w:rsid w:val="00FC4CBF"/>
    <w:rsid w:val="00FC5252"/>
    <w:rsid w:val="00FC6356"/>
    <w:rsid w:val="00FC7D01"/>
    <w:rsid w:val="00FD008D"/>
    <w:rsid w:val="00FD0130"/>
    <w:rsid w:val="00FD0373"/>
    <w:rsid w:val="00FD0582"/>
    <w:rsid w:val="00FD0C93"/>
    <w:rsid w:val="00FD1062"/>
    <w:rsid w:val="00FD2589"/>
    <w:rsid w:val="00FD4876"/>
    <w:rsid w:val="00FD52A3"/>
    <w:rsid w:val="00FD587B"/>
    <w:rsid w:val="00FD68D4"/>
    <w:rsid w:val="00FE00D9"/>
    <w:rsid w:val="00FE0D32"/>
    <w:rsid w:val="00FE1186"/>
    <w:rsid w:val="00FE177A"/>
    <w:rsid w:val="00FE240A"/>
    <w:rsid w:val="00FE299F"/>
    <w:rsid w:val="00FE3E3C"/>
    <w:rsid w:val="00FE43E7"/>
    <w:rsid w:val="00FE4B66"/>
    <w:rsid w:val="00FE4F6E"/>
    <w:rsid w:val="00FE583F"/>
    <w:rsid w:val="00FE5CC4"/>
    <w:rsid w:val="00FE6B13"/>
    <w:rsid w:val="00FE7575"/>
    <w:rsid w:val="00FF1070"/>
    <w:rsid w:val="00FF13E2"/>
    <w:rsid w:val="00FF2237"/>
    <w:rsid w:val="00FF2DFB"/>
    <w:rsid w:val="00FF4953"/>
    <w:rsid w:val="00FF51AA"/>
    <w:rsid w:val="00FF5FA3"/>
    <w:rsid w:val="00FF5FCE"/>
    <w:rsid w:val="00FF6177"/>
    <w:rsid w:val="00FF6AD9"/>
    <w:rsid w:val="00FF6C7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8427AAC"/>
  <w15:docId w15:val="{FE077B15-EA81-45C1-AE0A-A5AD4C13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12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5D508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EA0ECF"/>
    <w:rPr>
      <w:rFonts w:ascii="Calibri" w:eastAsia="Calibri" w:hAnsi="Calibri"/>
      <w:sz w:val="20"/>
      <w:szCs w:val="20"/>
      <w:lang w:eastAsia="en-US"/>
    </w:rPr>
  </w:style>
  <w:style w:type="character" w:customStyle="1" w:styleId="FootnoteTextChar">
    <w:name w:val="Footnote Text Char"/>
    <w:link w:val="FootnoteText"/>
    <w:uiPriority w:val="99"/>
    <w:semiHidden/>
    <w:rsid w:val="00EA0ECF"/>
    <w:rPr>
      <w:rFonts w:ascii="Calibri" w:eastAsia="Calibri" w:hAnsi="Calibri"/>
      <w:lang w:eastAsia="en-US"/>
    </w:rPr>
  </w:style>
  <w:style w:type="character" w:styleId="FootnoteReference">
    <w:name w:val="footnote reference"/>
    <w:uiPriority w:val="99"/>
    <w:semiHidden/>
    <w:unhideWhenUsed/>
    <w:rsid w:val="00EA0ECF"/>
    <w:rPr>
      <w:vertAlign w:val="superscript"/>
    </w:rPr>
  </w:style>
  <w:style w:type="character" w:customStyle="1" w:styleId="ListParagraphChar">
    <w:name w:val="List Paragraph Char"/>
    <w:aliases w:val="2 Char"/>
    <w:link w:val="ListParagraph"/>
    <w:uiPriority w:val="34"/>
    <w:locked/>
    <w:rsid w:val="007E05D0"/>
    <w:rPr>
      <w:rFonts w:ascii="Calibri" w:hAnsi="Calibri"/>
      <w:sz w:val="22"/>
      <w:szCs w:val="22"/>
      <w:lang w:eastAsia="en-US"/>
    </w:rPr>
  </w:style>
  <w:style w:type="paragraph" w:customStyle="1" w:styleId="Punkts1Lmenis">
    <w:name w:val="Punkts 1.Līmenis"/>
    <w:basedOn w:val="Normal"/>
    <w:qFormat/>
    <w:rsid w:val="00064DB7"/>
    <w:pPr>
      <w:keepLines/>
      <w:numPr>
        <w:numId w:val="10"/>
      </w:numPr>
      <w:shd w:val="clear" w:color="auto" w:fill="FFFFFF"/>
      <w:spacing w:after="120"/>
      <w:jc w:val="both"/>
    </w:pPr>
    <w:rPr>
      <w:lang w:val="x-none" w:eastAsia="x-none"/>
    </w:rPr>
  </w:style>
  <w:style w:type="paragraph" w:customStyle="1" w:styleId="Punkts2Lmenis">
    <w:name w:val="Punkts 2.Līmenis"/>
    <w:basedOn w:val="Punkts1Lmenis"/>
    <w:qFormat/>
    <w:rsid w:val="00064DB7"/>
    <w:pPr>
      <w:numPr>
        <w:ilvl w:val="1"/>
      </w:numPr>
    </w:pPr>
  </w:style>
  <w:style w:type="paragraph" w:customStyle="1" w:styleId="Punkts3Lmenis">
    <w:name w:val="Punkts 3.Līmenis"/>
    <w:basedOn w:val="Punkts2Lmenis"/>
    <w:link w:val="Punkts3LmenisChar"/>
    <w:qFormat/>
    <w:rsid w:val="00064DB7"/>
    <w:pPr>
      <w:numPr>
        <w:ilvl w:val="2"/>
      </w:numPr>
    </w:pPr>
    <w:rPr>
      <w:lang w:eastAsia="en-US"/>
    </w:rPr>
  </w:style>
  <w:style w:type="character" w:customStyle="1" w:styleId="Punkts3LmenisChar">
    <w:name w:val="Punkts 3.Līmenis Char"/>
    <w:link w:val="Punkts3Lmenis"/>
    <w:locked/>
    <w:rsid w:val="00064DB7"/>
    <w:rPr>
      <w:sz w:val="24"/>
      <w:szCs w:val="24"/>
      <w:shd w:val="clear" w:color="auto" w:fill="FFFFFF"/>
      <w:lang w:val="x-none" w:eastAsia="en-US"/>
    </w:rPr>
  </w:style>
  <w:style w:type="paragraph" w:customStyle="1" w:styleId="norm">
    <w:name w:val="norm"/>
    <w:basedOn w:val="Normal"/>
    <w:rsid w:val="00A90221"/>
    <w:pPr>
      <w:spacing w:before="100" w:beforeAutospacing="1" w:after="100" w:afterAutospacing="1"/>
    </w:pPr>
  </w:style>
  <w:style w:type="character" w:customStyle="1" w:styleId="Heading3Char">
    <w:name w:val="Heading 3 Char"/>
    <w:basedOn w:val="DefaultParagraphFont"/>
    <w:link w:val="Heading3"/>
    <w:semiHidden/>
    <w:rsid w:val="005D5080"/>
    <w:rPr>
      <w:rFonts w:asciiTheme="majorHAnsi" w:eastAsiaTheme="majorEastAsia" w:hAnsiTheme="majorHAnsi" w:cstheme="majorBidi"/>
      <w:color w:val="243F60" w:themeColor="accent1" w:themeShade="7F"/>
      <w:sz w:val="24"/>
      <w:szCs w:val="24"/>
    </w:rPr>
  </w:style>
  <w:style w:type="character" w:customStyle="1" w:styleId="subscript">
    <w:name w:val="subscript"/>
    <w:basedOn w:val="DefaultParagraphFont"/>
    <w:rsid w:val="0024063D"/>
  </w:style>
  <w:style w:type="character" w:styleId="UnresolvedMention">
    <w:name w:val="Unresolved Mention"/>
    <w:basedOn w:val="DefaultParagraphFont"/>
    <w:uiPriority w:val="99"/>
    <w:semiHidden/>
    <w:unhideWhenUsed/>
    <w:rsid w:val="00954136"/>
    <w:rPr>
      <w:color w:val="808080"/>
      <w:shd w:val="clear" w:color="auto" w:fill="E6E6E6"/>
    </w:rPr>
  </w:style>
  <w:style w:type="paragraph" w:customStyle="1" w:styleId="Normal1">
    <w:name w:val="Normal1"/>
    <w:basedOn w:val="Normal"/>
    <w:rsid w:val="00063935"/>
    <w:pPr>
      <w:spacing w:before="100" w:beforeAutospacing="1" w:after="100" w:afterAutospacing="1"/>
    </w:pPr>
  </w:style>
  <w:style w:type="paragraph" w:customStyle="1" w:styleId="title-gr-seq-level-1">
    <w:name w:val="title-gr-seq-level-1"/>
    <w:basedOn w:val="Normal"/>
    <w:rsid w:val="009A6B13"/>
    <w:pPr>
      <w:spacing w:before="100" w:beforeAutospacing="1" w:after="100" w:afterAutospacing="1"/>
    </w:pPr>
  </w:style>
  <w:style w:type="character" w:customStyle="1" w:styleId="boldface">
    <w:name w:val="boldface"/>
    <w:basedOn w:val="DefaultParagraphFont"/>
    <w:rsid w:val="009A6B13"/>
  </w:style>
  <w:style w:type="character" w:customStyle="1" w:styleId="superscript">
    <w:name w:val="superscript"/>
    <w:basedOn w:val="DefaultParagraphFont"/>
    <w:rsid w:val="009A6B13"/>
  </w:style>
  <w:style w:type="paragraph" w:styleId="NoSpacing">
    <w:name w:val="No Spacing"/>
    <w:uiPriority w:val="1"/>
    <w:qFormat/>
    <w:rsid w:val="003B1B28"/>
    <w:pPr>
      <w:ind w:firstLine="567"/>
      <w:jc w:val="both"/>
    </w:pPr>
    <w:rPr>
      <w:rFonts w:eastAsia="Calibri"/>
      <w:sz w:val="28"/>
      <w:szCs w:val="22"/>
      <w:lang w:eastAsia="en-US"/>
    </w:rPr>
  </w:style>
  <w:style w:type="character" w:customStyle="1" w:styleId="spelle">
    <w:name w:val="spelle"/>
    <w:basedOn w:val="DefaultParagraphFont"/>
    <w:rsid w:val="00975F5F"/>
  </w:style>
  <w:style w:type="paragraph" w:styleId="PlainText">
    <w:name w:val="Plain Text"/>
    <w:basedOn w:val="Normal"/>
    <w:link w:val="PlainTextChar"/>
    <w:uiPriority w:val="99"/>
    <w:unhideWhenUsed/>
    <w:rsid w:val="002D2666"/>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2D2666"/>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449">
      <w:bodyDiv w:val="1"/>
      <w:marLeft w:val="0"/>
      <w:marRight w:val="0"/>
      <w:marTop w:val="0"/>
      <w:marBottom w:val="0"/>
      <w:divBdr>
        <w:top w:val="none" w:sz="0" w:space="0" w:color="auto"/>
        <w:left w:val="none" w:sz="0" w:space="0" w:color="auto"/>
        <w:bottom w:val="none" w:sz="0" w:space="0" w:color="auto"/>
        <w:right w:val="none" w:sz="0" w:space="0" w:color="auto"/>
      </w:divBdr>
    </w:div>
    <w:div w:id="6450861">
      <w:bodyDiv w:val="1"/>
      <w:marLeft w:val="0"/>
      <w:marRight w:val="0"/>
      <w:marTop w:val="0"/>
      <w:marBottom w:val="0"/>
      <w:divBdr>
        <w:top w:val="none" w:sz="0" w:space="0" w:color="auto"/>
        <w:left w:val="none" w:sz="0" w:space="0" w:color="auto"/>
        <w:bottom w:val="none" w:sz="0" w:space="0" w:color="auto"/>
        <w:right w:val="none" w:sz="0" w:space="0" w:color="auto"/>
      </w:divBdr>
    </w:div>
    <w:div w:id="19748356">
      <w:bodyDiv w:val="1"/>
      <w:marLeft w:val="0"/>
      <w:marRight w:val="0"/>
      <w:marTop w:val="0"/>
      <w:marBottom w:val="0"/>
      <w:divBdr>
        <w:top w:val="none" w:sz="0" w:space="0" w:color="auto"/>
        <w:left w:val="none" w:sz="0" w:space="0" w:color="auto"/>
        <w:bottom w:val="none" w:sz="0" w:space="0" w:color="auto"/>
        <w:right w:val="none" w:sz="0" w:space="0" w:color="auto"/>
      </w:divBdr>
    </w:div>
    <w:div w:id="48577443">
      <w:bodyDiv w:val="1"/>
      <w:marLeft w:val="0"/>
      <w:marRight w:val="0"/>
      <w:marTop w:val="0"/>
      <w:marBottom w:val="0"/>
      <w:divBdr>
        <w:top w:val="none" w:sz="0" w:space="0" w:color="auto"/>
        <w:left w:val="none" w:sz="0" w:space="0" w:color="auto"/>
        <w:bottom w:val="none" w:sz="0" w:space="0" w:color="auto"/>
        <w:right w:val="none" w:sz="0" w:space="0" w:color="auto"/>
      </w:divBdr>
    </w:div>
    <w:div w:id="130755277">
      <w:bodyDiv w:val="1"/>
      <w:marLeft w:val="0"/>
      <w:marRight w:val="0"/>
      <w:marTop w:val="0"/>
      <w:marBottom w:val="0"/>
      <w:divBdr>
        <w:top w:val="none" w:sz="0" w:space="0" w:color="auto"/>
        <w:left w:val="none" w:sz="0" w:space="0" w:color="auto"/>
        <w:bottom w:val="none" w:sz="0" w:space="0" w:color="auto"/>
        <w:right w:val="none" w:sz="0" w:space="0" w:color="auto"/>
      </w:divBdr>
    </w:div>
    <w:div w:id="194320305">
      <w:bodyDiv w:val="1"/>
      <w:marLeft w:val="0"/>
      <w:marRight w:val="0"/>
      <w:marTop w:val="0"/>
      <w:marBottom w:val="0"/>
      <w:divBdr>
        <w:top w:val="none" w:sz="0" w:space="0" w:color="auto"/>
        <w:left w:val="none" w:sz="0" w:space="0" w:color="auto"/>
        <w:bottom w:val="none" w:sz="0" w:space="0" w:color="auto"/>
        <w:right w:val="none" w:sz="0" w:space="0" w:color="auto"/>
      </w:divBdr>
    </w:div>
    <w:div w:id="312754978">
      <w:bodyDiv w:val="1"/>
      <w:marLeft w:val="0"/>
      <w:marRight w:val="0"/>
      <w:marTop w:val="0"/>
      <w:marBottom w:val="0"/>
      <w:divBdr>
        <w:top w:val="none" w:sz="0" w:space="0" w:color="auto"/>
        <w:left w:val="none" w:sz="0" w:space="0" w:color="auto"/>
        <w:bottom w:val="none" w:sz="0" w:space="0" w:color="auto"/>
        <w:right w:val="none" w:sz="0" w:space="0" w:color="auto"/>
      </w:divBdr>
    </w:div>
    <w:div w:id="324748158">
      <w:bodyDiv w:val="1"/>
      <w:marLeft w:val="0"/>
      <w:marRight w:val="0"/>
      <w:marTop w:val="0"/>
      <w:marBottom w:val="0"/>
      <w:divBdr>
        <w:top w:val="none" w:sz="0" w:space="0" w:color="auto"/>
        <w:left w:val="none" w:sz="0" w:space="0" w:color="auto"/>
        <w:bottom w:val="none" w:sz="0" w:space="0" w:color="auto"/>
        <w:right w:val="none" w:sz="0" w:space="0" w:color="auto"/>
      </w:divBdr>
    </w:div>
    <w:div w:id="35319114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1000302">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7277411">
      <w:bodyDiv w:val="1"/>
      <w:marLeft w:val="0"/>
      <w:marRight w:val="0"/>
      <w:marTop w:val="0"/>
      <w:marBottom w:val="0"/>
      <w:divBdr>
        <w:top w:val="none" w:sz="0" w:space="0" w:color="auto"/>
        <w:left w:val="none" w:sz="0" w:space="0" w:color="auto"/>
        <w:bottom w:val="none" w:sz="0" w:space="0" w:color="auto"/>
        <w:right w:val="none" w:sz="0" w:space="0" w:color="auto"/>
      </w:divBdr>
    </w:div>
    <w:div w:id="528877536">
      <w:bodyDiv w:val="1"/>
      <w:marLeft w:val="0"/>
      <w:marRight w:val="0"/>
      <w:marTop w:val="0"/>
      <w:marBottom w:val="0"/>
      <w:divBdr>
        <w:top w:val="none" w:sz="0" w:space="0" w:color="auto"/>
        <w:left w:val="none" w:sz="0" w:space="0" w:color="auto"/>
        <w:bottom w:val="none" w:sz="0" w:space="0" w:color="auto"/>
        <w:right w:val="none" w:sz="0" w:space="0" w:color="auto"/>
      </w:divBdr>
    </w:div>
    <w:div w:id="550460297">
      <w:bodyDiv w:val="1"/>
      <w:marLeft w:val="0"/>
      <w:marRight w:val="0"/>
      <w:marTop w:val="0"/>
      <w:marBottom w:val="0"/>
      <w:divBdr>
        <w:top w:val="none" w:sz="0" w:space="0" w:color="auto"/>
        <w:left w:val="none" w:sz="0" w:space="0" w:color="auto"/>
        <w:bottom w:val="none" w:sz="0" w:space="0" w:color="auto"/>
        <w:right w:val="none" w:sz="0" w:space="0" w:color="auto"/>
      </w:divBdr>
    </w:div>
    <w:div w:id="597563857">
      <w:bodyDiv w:val="1"/>
      <w:marLeft w:val="0"/>
      <w:marRight w:val="0"/>
      <w:marTop w:val="0"/>
      <w:marBottom w:val="0"/>
      <w:divBdr>
        <w:top w:val="none" w:sz="0" w:space="0" w:color="auto"/>
        <w:left w:val="none" w:sz="0" w:space="0" w:color="auto"/>
        <w:bottom w:val="none" w:sz="0" w:space="0" w:color="auto"/>
        <w:right w:val="none" w:sz="0" w:space="0" w:color="auto"/>
      </w:divBdr>
    </w:div>
    <w:div w:id="61972857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8514153">
      <w:bodyDiv w:val="1"/>
      <w:marLeft w:val="0"/>
      <w:marRight w:val="0"/>
      <w:marTop w:val="0"/>
      <w:marBottom w:val="0"/>
      <w:divBdr>
        <w:top w:val="none" w:sz="0" w:space="0" w:color="auto"/>
        <w:left w:val="none" w:sz="0" w:space="0" w:color="auto"/>
        <w:bottom w:val="none" w:sz="0" w:space="0" w:color="auto"/>
        <w:right w:val="none" w:sz="0" w:space="0" w:color="auto"/>
      </w:divBdr>
    </w:div>
    <w:div w:id="659238734">
      <w:bodyDiv w:val="1"/>
      <w:marLeft w:val="0"/>
      <w:marRight w:val="0"/>
      <w:marTop w:val="0"/>
      <w:marBottom w:val="0"/>
      <w:divBdr>
        <w:top w:val="none" w:sz="0" w:space="0" w:color="auto"/>
        <w:left w:val="none" w:sz="0" w:space="0" w:color="auto"/>
        <w:bottom w:val="none" w:sz="0" w:space="0" w:color="auto"/>
        <w:right w:val="none" w:sz="0" w:space="0" w:color="auto"/>
      </w:divBdr>
    </w:div>
    <w:div w:id="719211623">
      <w:bodyDiv w:val="1"/>
      <w:marLeft w:val="0"/>
      <w:marRight w:val="0"/>
      <w:marTop w:val="0"/>
      <w:marBottom w:val="0"/>
      <w:divBdr>
        <w:top w:val="none" w:sz="0" w:space="0" w:color="auto"/>
        <w:left w:val="none" w:sz="0" w:space="0" w:color="auto"/>
        <w:bottom w:val="none" w:sz="0" w:space="0" w:color="auto"/>
        <w:right w:val="none" w:sz="0" w:space="0" w:color="auto"/>
      </w:divBdr>
    </w:div>
    <w:div w:id="888495652">
      <w:bodyDiv w:val="1"/>
      <w:marLeft w:val="0"/>
      <w:marRight w:val="0"/>
      <w:marTop w:val="0"/>
      <w:marBottom w:val="0"/>
      <w:divBdr>
        <w:top w:val="none" w:sz="0" w:space="0" w:color="auto"/>
        <w:left w:val="none" w:sz="0" w:space="0" w:color="auto"/>
        <w:bottom w:val="none" w:sz="0" w:space="0" w:color="auto"/>
        <w:right w:val="none" w:sz="0" w:space="0" w:color="auto"/>
      </w:divBdr>
    </w:div>
    <w:div w:id="903443970">
      <w:bodyDiv w:val="1"/>
      <w:marLeft w:val="0"/>
      <w:marRight w:val="0"/>
      <w:marTop w:val="0"/>
      <w:marBottom w:val="0"/>
      <w:divBdr>
        <w:top w:val="none" w:sz="0" w:space="0" w:color="auto"/>
        <w:left w:val="none" w:sz="0" w:space="0" w:color="auto"/>
        <w:bottom w:val="none" w:sz="0" w:space="0" w:color="auto"/>
        <w:right w:val="none" w:sz="0" w:space="0" w:color="auto"/>
      </w:divBdr>
    </w:div>
    <w:div w:id="936399704">
      <w:bodyDiv w:val="1"/>
      <w:marLeft w:val="0"/>
      <w:marRight w:val="0"/>
      <w:marTop w:val="0"/>
      <w:marBottom w:val="0"/>
      <w:divBdr>
        <w:top w:val="none" w:sz="0" w:space="0" w:color="auto"/>
        <w:left w:val="none" w:sz="0" w:space="0" w:color="auto"/>
        <w:bottom w:val="none" w:sz="0" w:space="0" w:color="auto"/>
        <w:right w:val="none" w:sz="0" w:space="0" w:color="auto"/>
      </w:divBdr>
    </w:div>
    <w:div w:id="937952785">
      <w:bodyDiv w:val="1"/>
      <w:marLeft w:val="0"/>
      <w:marRight w:val="0"/>
      <w:marTop w:val="0"/>
      <w:marBottom w:val="0"/>
      <w:divBdr>
        <w:top w:val="none" w:sz="0" w:space="0" w:color="auto"/>
        <w:left w:val="none" w:sz="0" w:space="0" w:color="auto"/>
        <w:bottom w:val="none" w:sz="0" w:space="0" w:color="auto"/>
        <w:right w:val="none" w:sz="0" w:space="0" w:color="auto"/>
      </w:divBdr>
    </w:div>
    <w:div w:id="982806547">
      <w:bodyDiv w:val="1"/>
      <w:marLeft w:val="0"/>
      <w:marRight w:val="0"/>
      <w:marTop w:val="0"/>
      <w:marBottom w:val="0"/>
      <w:divBdr>
        <w:top w:val="none" w:sz="0" w:space="0" w:color="auto"/>
        <w:left w:val="none" w:sz="0" w:space="0" w:color="auto"/>
        <w:bottom w:val="none" w:sz="0" w:space="0" w:color="auto"/>
        <w:right w:val="none" w:sz="0" w:space="0" w:color="auto"/>
      </w:divBdr>
    </w:div>
    <w:div w:id="998267531">
      <w:bodyDiv w:val="1"/>
      <w:marLeft w:val="0"/>
      <w:marRight w:val="0"/>
      <w:marTop w:val="0"/>
      <w:marBottom w:val="0"/>
      <w:divBdr>
        <w:top w:val="none" w:sz="0" w:space="0" w:color="auto"/>
        <w:left w:val="none" w:sz="0" w:space="0" w:color="auto"/>
        <w:bottom w:val="none" w:sz="0" w:space="0" w:color="auto"/>
        <w:right w:val="none" w:sz="0" w:space="0" w:color="auto"/>
      </w:divBdr>
    </w:div>
    <w:div w:id="1064990928">
      <w:bodyDiv w:val="1"/>
      <w:marLeft w:val="0"/>
      <w:marRight w:val="0"/>
      <w:marTop w:val="0"/>
      <w:marBottom w:val="0"/>
      <w:divBdr>
        <w:top w:val="none" w:sz="0" w:space="0" w:color="auto"/>
        <w:left w:val="none" w:sz="0" w:space="0" w:color="auto"/>
        <w:bottom w:val="none" w:sz="0" w:space="0" w:color="auto"/>
        <w:right w:val="none" w:sz="0" w:space="0" w:color="auto"/>
      </w:divBdr>
    </w:div>
    <w:div w:id="1065228009">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74742179">
      <w:bodyDiv w:val="1"/>
      <w:marLeft w:val="0"/>
      <w:marRight w:val="0"/>
      <w:marTop w:val="0"/>
      <w:marBottom w:val="0"/>
      <w:divBdr>
        <w:top w:val="none" w:sz="0" w:space="0" w:color="auto"/>
        <w:left w:val="none" w:sz="0" w:space="0" w:color="auto"/>
        <w:bottom w:val="none" w:sz="0" w:space="0" w:color="auto"/>
        <w:right w:val="none" w:sz="0" w:space="0" w:color="auto"/>
      </w:divBdr>
    </w:div>
    <w:div w:id="1091195588">
      <w:bodyDiv w:val="1"/>
      <w:marLeft w:val="0"/>
      <w:marRight w:val="0"/>
      <w:marTop w:val="0"/>
      <w:marBottom w:val="0"/>
      <w:divBdr>
        <w:top w:val="none" w:sz="0" w:space="0" w:color="auto"/>
        <w:left w:val="none" w:sz="0" w:space="0" w:color="auto"/>
        <w:bottom w:val="none" w:sz="0" w:space="0" w:color="auto"/>
        <w:right w:val="none" w:sz="0" w:space="0" w:color="auto"/>
      </w:divBdr>
    </w:div>
    <w:div w:id="1131051588">
      <w:bodyDiv w:val="1"/>
      <w:marLeft w:val="0"/>
      <w:marRight w:val="0"/>
      <w:marTop w:val="0"/>
      <w:marBottom w:val="0"/>
      <w:divBdr>
        <w:top w:val="none" w:sz="0" w:space="0" w:color="auto"/>
        <w:left w:val="none" w:sz="0" w:space="0" w:color="auto"/>
        <w:bottom w:val="none" w:sz="0" w:space="0" w:color="auto"/>
        <w:right w:val="none" w:sz="0" w:space="0" w:color="auto"/>
      </w:divBdr>
    </w:div>
    <w:div w:id="1137837539">
      <w:bodyDiv w:val="1"/>
      <w:marLeft w:val="0"/>
      <w:marRight w:val="0"/>
      <w:marTop w:val="0"/>
      <w:marBottom w:val="0"/>
      <w:divBdr>
        <w:top w:val="none" w:sz="0" w:space="0" w:color="auto"/>
        <w:left w:val="none" w:sz="0" w:space="0" w:color="auto"/>
        <w:bottom w:val="none" w:sz="0" w:space="0" w:color="auto"/>
        <w:right w:val="none" w:sz="0" w:space="0" w:color="auto"/>
      </w:divBdr>
    </w:div>
    <w:div w:id="1183319298">
      <w:bodyDiv w:val="1"/>
      <w:marLeft w:val="0"/>
      <w:marRight w:val="0"/>
      <w:marTop w:val="0"/>
      <w:marBottom w:val="0"/>
      <w:divBdr>
        <w:top w:val="none" w:sz="0" w:space="0" w:color="auto"/>
        <w:left w:val="none" w:sz="0" w:space="0" w:color="auto"/>
        <w:bottom w:val="none" w:sz="0" w:space="0" w:color="auto"/>
        <w:right w:val="none" w:sz="0" w:space="0" w:color="auto"/>
      </w:divBdr>
    </w:div>
    <w:div w:id="1223175610">
      <w:bodyDiv w:val="1"/>
      <w:marLeft w:val="0"/>
      <w:marRight w:val="0"/>
      <w:marTop w:val="0"/>
      <w:marBottom w:val="0"/>
      <w:divBdr>
        <w:top w:val="none" w:sz="0" w:space="0" w:color="auto"/>
        <w:left w:val="none" w:sz="0" w:space="0" w:color="auto"/>
        <w:bottom w:val="none" w:sz="0" w:space="0" w:color="auto"/>
        <w:right w:val="none" w:sz="0" w:space="0" w:color="auto"/>
      </w:divBdr>
    </w:div>
    <w:div w:id="1249926809">
      <w:bodyDiv w:val="1"/>
      <w:marLeft w:val="0"/>
      <w:marRight w:val="0"/>
      <w:marTop w:val="0"/>
      <w:marBottom w:val="0"/>
      <w:divBdr>
        <w:top w:val="none" w:sz="0" w:space="0" w:color="auto"/>
        <w:left w:val="none" w:sz="0" w:space="0" w:color="auto"/>
        <w:bottom w:val="none" w:sz="0" w:space="0" w:color="auto"/>
        <w:right w:val="none" w:sz="0" w:space="0" w:color="auto"/>
      </w:divBdr>
    </w:div>
    <w:div w:id="1262647514">
      <w:bodyDiv w:val="1"/>
      <w:marLeft w:val="0"/>
      <w:marRight w:val="0"/>
      <w:marTop w:val="0"/>
      <w:marBottom w:val="0"/>
      <w:divBdr>
        <w:top w:val="none" w:sz="0" w:space="0" w:color="auto"/>
        <w:left w:val="none" w:sz="0" w:space="0" w:color="auto"/>
        <w:bottom w:val="none" w:sz="0" w:space="0" w:color="auto"/>
        <w:right w:val="none" w:sz="0" w:space="0" w:color="auto"/>
      </w:divBdr>
    </w:div>
    <w:div w:id="1269773414">
      <w:bodyDiv w:val="1"/>
      <w:marLeft w:val="0"/>
      <w:marRight w:val="0"/>
      <w:marTop w:val="0"/>
      <w:marBottom w:val="0"/>
      <w:divBdr>
        <w:top w:val="none" w:sz="0" w:space="0" w:color="auto"/>
        <w:left w:val="none" w:sz="0" w:space="0" w:color="auto"/>
        <w:bottom w:val="none" w:sz="0" w:space="0" w:color="auto"/>
        <w:right w:val="none" w:sz="0" w:space="0" w:color="auto"/>
      </w:divBdr>
      <w:divsChild>
        <w:div w:id="1199970615">
          <w:marLeft w:val="480"/>
          <w:marRight w:val="0"/>
          <w:marTop w:val="0"/>
          <w:marBottom w:val="0"/>
          <w:divBdr>
            <w:top w:val="none" w:sz="0" w:space="0" w:color="auto"/>
            <w:left w:val="none" w:sz="0" w:space="0" w:color="auto"/>
            <w:bottom w:val="none" w:sz="0" w:space="0" w:color="auto"/>
            <w:right w:val="none" w:sz="0" w:space="0" w:color="auto"/>
          </w:divBdr>
        </w:div>
        <w:div w:id="1646739760">
          <w:marLeft w:val="480"/>
          <w:marRight w:val="0"/>
          <w:marTop w:val="0"/>
          <w:marBottom w:val="0"/>
          <w:divBdr>
            <w:top w:val="none" w:sz="0" w:space="0" w:color="auto"/>
            <w:left w:val="none" w:sz="0" w:space="0" w:color="auto"/>
            <w:bottom w:val="none" w:sz="0" w:space="0" w:color="auto"/>
            <w:right w:val="none" w:sz="0" w:space="0" w:color="auto"/>
          </w:divBdr>
        </w:div>
        <w:div w:id="1786775304">
          <w:marLeft w:val="48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4673512">
      <w:bodyDiv w:val="1"/>
      <w:marLeft w:val="0"/>
      <w:marRight w:val="0"/>
      <w:marTop w:val="0"/>
      <w:marBottom w:val="0"/>
      <w:divBdr>
        <w:top w:val="none" w:sz="0" w:space="0" w:color="auto"/>
        <w:left w:val="none" w:sz="0" w:space="0" w:color="auto"/>
        <w:bottom w:val="none" w:sz="0" w:space="0" w:color="auto"/>
        <w:right w:val="none" w:sz="0" w:space="0" w:color="auto"/>
      </w:divBdr>
    </w:div>
    <w:div w:id="1353022843">
      <w:bodyDiv w:val="1"/>
      <w:marLeft w:val="0"/>
      <w:marRight w:val="0"/>
      <w:marTop w:val="0"/>
      <w:marBottom w:val="0"/>
      <w:divBdr>
        <w:top w:val="none" w:sz="0" w:space="0" w:color="auto"/>
        <w:left w:val="none" w:sz="0" w:space="0" w:color="auto"/>
        <w:bottom w:val="none" w:sz="0" w:space="0" w:color="auto"/>
        <w:right w:val="none" w:sz="0" w:space="0" w:color="auto"/>
      </w:divBdr>
    </w:div>
    <w:div w:id="1367559834">
      <w:bodyDiv w:val="1"/>
      <w:marLeft w:val="0"/>
      <w:marRight w:val="0"/>
      <w:marTop w:val="0"/>
      <w:marBottom w:val="0"/>
      <w:divBdr>
        <w:top w:val="none" w:sz="0" w:space="0" w:color="auto"/>
        <w:left w:val="none" w:sz="0" w:space="0" w:color="auto"/>
        <w:bottom w:val="none" w:sz="0" w:space="0" w:color="auto"/>
        <w:right w:val="none" w:sz="0" w:space="0" w:color="auto"/>
      </w:divBdr>
    </w:div>
    <w:div w:id="1378357719">
      <w:bodyDiv w:val="1"/>
      <w:marLeft w:val="0"/>
      <w:marRight w:val="0"/>
      <w:marTop w:val="0"/>
      <w:marBottom w:val="0"/>
      <w:divBdr>
        <w:top w:val="none" w:sz="0" w:space="0" w:color="auto"/>
        <w:left w:val="none" w:sz="0" w:space="0" w:color="auto"/>
        <w:bottom w:val="none" w:sz="0" w:space="0" w:color="auto"/>
        <w:right w:val="none" w:sz="0" w:space="0" w:color="auto"/>
      </w:divBdr>
    </w:div>
    <w:div w:id="1382634141">
      <w:bodyDiv w:val="1"/>
      <w:marLeft w:val="0"/>
      <w:marRight w:val="0"/>
      <w:marTop w:val="0"/>
      <w:marBottom w:val="0"/>
      <w:divBdr>
        <w:top w:val="none" w:sz="0" w:space="0" w:color="auto"/>
        <w:left w:val="none" w:sz="0" w:space="0" w:color="auto"/>
        <w:bottom w:val="none" w:sz="0" w:space="0" w:color="auto"/>
        <w:right w:val="none" w:sz="0" w:space="0" w:color="auto"/>
      </w:divBdr>
    </w:div>
    <w:div w:id="1387531852">
      <w:bodyDiv w:val="1"/>
      <w:marLeft w:val="0"/>
      <w:marRight w:val="0"/>
      <w:marTop w:val="0"/>
      <w:marBottom w:val="0"/>
      <w:divBdr>
        <w:top w:val="none" w:sz="0" w:space="0" w:color="auto"/>
        <w:left w:val="none" w:sz="0" w:space="0" w:color="auto"/>
        <w:bottom w:val="none" w:sz="0" w:space="0" w:color="auto"/>
        <w:right w:val="none" w:sz="0" w:space="0" w:color="auto"/>
      </w:divBdr>
    </w:div>
    <w:div w:id="1391003019">
      <w:bodyDiv w:val="1"/>
      <w:marLeft w:val="0"/>
      <w:marRight w:val="0"/>
      <w:marTop w:val="0"/>
      <w:marBottom w:val="0"/>
      <w:divBdr>
        <w:top w:val="none" w:sz="0" w:space="0" w:color="auto"/>
        <w:left w:val="none" w:sz="0" w:space="0" w:color="auto"/>
        <w:bottom w:val="none" w:sz="0" w:space="0" w:color="auto"/>
        <w:right w:val="none" w:sz="0" w:space="0" w:color="auto"/>
      </w:divBdr>
    </w:div>
    <w:div w:id="1441994628">
      <w:bodyDiv w:val="1"/>
      <w:marLeft w:val="0"/>
      <w:marRight w:val="0"/>
      <w:marTop w:val="0"/>
      <w:marBottom w:val="0"/>
      <w:divBdr>
        <w:top w:val="none" w:sz="0" w:space="0" w:color="auto"/>
        <w:left w:val="none" w:sz="0" w:space="0" w:color="auto"/>
        <w:bottom w:val="none" w:sz="0" w:space="0" w:color="auto"/>
        <w:right w:val="none" w:sz="0" w:space="0" w:color="auto"/>
      </w:divBdr>
    </w:div>
    <w:div w:id="1466042430">
      <w:bodyDiv w:val="1"/>
      <w:marLeft w:val="0"/>
      <w:marRight w:val="0"/>
      <w:marTop w:val="0"/>
      <w:marBottom w:val="0"/>
      <w:divBdr>
        <w:top w:val="none" w:sz="0" w:space="0" w:color="auto"/>
        <w:left w:val="none" w:sz="0" w:space="0" w:color="auto"/>
        <w:bottom w:val="none" w:sz="0" w:space="0" w:color="auto"/>
        <w:right w:val="none" w:sz="0" w:space="0" w:color="auto"/>
      </w:divBdr>
    </w:div>
    <w:div w:id="1473937202">
      <w:bodyDiv w:val="1"/>
      <w:marLeft w:val="0"/>
      <w:marRight w:val="0"/>
      <w:marTop w:val="0"/>
      <w:marBottom w:val="0"/>
      <w:divBdr>
        <w:top w:val="none" w:sz="0" w:space="0" w:color="auto"/>
        <w:left w:val="none" w:sz="0" w:space="0" w:color="auto"/>
        <w:bottom w:val="none" w:sz="0" w:space="0" w:color="auto"/>
        <w:right w:val="none" w:sz="0" w:space="0" w:color="auto"/>
      </w:divBdr>
    </w:div>
    <w:div w:id="1516723563">
      <w:bodyDiv w:val="1"/>
      <w:marLeft w:val="0"/>
      <w:marRight w:val="0"/>
      <w:marTop w:val="0"/>
      <w:marBottom w:val="0"/>
      <w:divBdr>
        <w:top w:val="none" w:sz="0" w:space="0" w:color="auto"/>
        <w:left w:val="none" w:sz="0" w:space="0" w:color="auto"/>
        <w:bottom w:val="none" w:sz="0" w:space="0" w:color="auto"/>
        <w:right w:val="none" w:sz="0" w:space="0" w:color="auto"/>
      </w:divBdr>
    </w:div>
    <w:div w:id="157057464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8056728">
      <w:bodyDiv w:val="1"/>
      <w:marLeft w:val="0"/>
      <w:marRight w:val="0"/>
      <w:marTop w:val="0"/>
      <w:marBottom w:val="0"/>
      <w:divBdr>
        <w:top w:val="none" w:sz="0" w:space="0" w:color="auto"/>
        <w:left w:val="none" w:sz="0" w:space="0" w:color="auto"/>
        <w:bottom w:val="none" w:sz="0" w:space="0" w:color="auto"/>
        <w:right w:val="none" w:sz="0" w:space="0" w:color="auto"/>
      </w:divBdr>
    </w:div>
    <w:div w:id="1599680410">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2977655">
      <w:bodyDiv w:val="1"/>
      <w:marLeft w:val="0"/>
      <w:marRight w:val="0"/>
      <w:marTop w:val="0"/>
      <w:marBottom w:val="0"/>
      <w:divBdr>
        <w:top w:val="none" w:sz="0" w:space="0" w:color="auto"/>
        <w:left w:val="none" w:sz="0" w:space="0" w:color="auto"/>
        <w:bottom w:val="none" w:sz="0" w:space="0" w:color="auto"/>
        <w:right w:val="none" w:sz="0" w:space="0" w:color="auto"/>
      </w:divBdr>
    </w:div>
    <w:div w:id="1638604907">
      <w:bodyDiv w:val="1"/>
      <w:marLeft w:val="0"/>
      <w:marRight w:val="0"/>
      <w:marTop w:val="0"/>
      <w:marBottom w:val="0"/>
      <w:divBdr>
        <w:top w:val="none" w:sz="0" w:space="0" w:color="auto"/>
        <w:left w:val="none" w:sz="0" w:space="0" w:color="auto"/>
        <w:bottom w:val="none" w:sz="0" w:space="0" w:color="auto"/>
        <w:right w:val="none" w:sz="0" w:space="0" w:color="auto"/>
      </w:divBdr>
    </w:div>
    <w:div w:id="1791824100">
      <w:bodyDiv w:val="1"/>
      <w:marLeft w:val="0"/>
      <w:marRight w:val="0"/>
      <w:marTop w:val="0"/>
      <w:marBottom w:val="0"/>
      <w:divBdr>
        <w:top w:val="none" w:sz="0" w:space="0" w:color="auto"/>
        <w:left w:val="none" w:sz="0" w:space="0" w:color="auto"/>
        <w:bottom w:val="none" w:sz="0" w:space="0" w:color="auto"/>
        <w:right w:val="none" w:sz="0" w:space="0" w:color="auto"/>
      </w:divBdr>
    </w:div>
    <w:div w:id="1792089719">
      <w:bodyDiv w:val="1"/>
      <w:marLeft w:val="0"/>
      <w:marRight w:val="0"/>
      <w:marTop w:val="0"/>
      <w:marBottom w:val="0"/>
      <w:divBdr>
        <w:top w:val="none" w:sz="0" w:space="0" w:color="auto"/>
        <w:left w:val="none" w:sz="0" w:space="0" w:color="auto"/>
        <w:bottom w:val="none" w:sz="0" w:space="0" w:color="auto"/>
        <w:right w:val="none" w:sz="0" w:space="0" w:color="auto"/>
      </w:divBdr>
    </w:div>
    <w:div w:id="1801193903">
      <w:bodyDiv w:val="1"/>
      <w:marLeft w:val="0"/>
      <w:marRight w:val="0"/>
      <w:marTop w:val="0"/>
      <w:marBottom w:val="0"/>
      <w:divBdr>
        <w:top w:val="none" w:sz="0" w:space="0" w:color="auto"/>
        <w:left w:val="none" w:sz="0" w:space="0" w:color="auto"/>
        <w:bottom w:val="none" w:sz="0" w:space="0" w:color="auto"/>
        <w:right w:val="none" w:sz="0" w:space="0" w:color="auto"/>
      </w:divBdr>
    </w:div>
    <w:div w:id="1813672357">
      <w:bodyDiv w:val="1"/>
      <w:marLeft w:val="0"/>
      <w:marRight w:val="0"/>
      <w:marTop w:val="0"/>
      <w:marBottom w:val="0"/>
      <w:divBdr>
        <w:top w:val="none" w:sz="0" w:space="0" w:color="auto"/>
        <w:left w:val="none" w:sz="0" w:space="0" w:color="auto"/>
        <w:bottom w:val="none" w:sz="0" w:space="0" w:color="auto"/>
        <w:right w:val="none" w:sz="0" w:space="0" w:color="auto"/>
      </w:divBdr>
    </w:div>
    <w:div w:id="1862477617">
      <w:bodyDiv w:val="1"/>
      <w:marLeft w:val="0"/>
      <w:marRight w:val="0"/>
      <w:marTop w:val="0"/>
      <w:marBottom w:val="0"/>
      <w:divBdr>
        <w:top w:val="none" w:sz="0" w:space="0" w:color="auto"/>
        <w:left w:val="none" w:sz="0" w:space="0" w:color="auto"/>
        <w:bottom w:val="none" w:sz="0" w:space="0" w:color="auto"/>
        <w:right w:val="none" w:sz="0" w:space="0" w:color="auto"/>
      </w:divBdr>
    </w:div>
    <w:div w:id="1918245709">
      <w:bodyDiv w:val="1"/>
      <w:marLeft w:val="0"/>
      <w:marRight w:val="0"/>
      <w:marTop w:val="0"/>
      <w:marBottom w:val="0"/>
      <w:divBdr>
        <w:top w:val="none" w:sz="0" w:space="0" w:color="auto"/>
        <w:left w:val="none" w:sz="0" w:space="0" w:color="auto"/>
        <w:bottom w:val="none" w:sz="0" w:space="0" w:color="auto"/>
        <w:right w:val="none" w:sz="0" w:space="0" w:color="auto"/>
      </w:divBdr>
    </w:div>
    <w:div w:id="1945189955">
      <w:bodyDiv w:val="1"/>
      <w:marLeft w:val="0"/>
      <w:marRight w:val="0"/>
      <w:marTop w:val="0"/>
      <w:marBottom w:val="0"/>
      <w:divBdr>
        <w:top w:val="none" w:sz="0" w:space="0" w:color="auto"/>
        <w:left w:val="none" w:sz="0" w:space="0" w:color="auto"/>
        <w:bottom w:val="none" w:sz="0" w:space="0" w:color="auto"/>
        <w:right w:val="none" w:sz="0" w:space="0" w:color="auto"/>
      </w:divBdr>
    </w:div>
    <w:div w:id="1958444543">
      <w:bodyDiv w:val="1"/>
      <w:marLeft w:val="0"/>
      <w:marRight w:val="0"/>
      <w:marTop w:val="0"/>
      <w:marBottom w:val="0"/>
      <w:divBdr>
        <w:top w:val="none" w:sz="0" w:space="0" w:color="auto"/>
        <w:left w:val="none" w:sz="0" w:space="0" w:color="auto"/>
        <w:bottom w:val="none" w:sz="0" w:space="0" w:color="auto"/>
        <w:right w:val="none" w:sz="0" w:space="0" w:color="auto"/>
      </w:divBdr>
    </w:div>
    <w:div w:id="1969821515">
      <w:bodyDiv w:val="1"/>
      <w:marLeft w:val="0"/>
      <w:marRight w:val="0"/>
      <w:marTop w:val="0"/>
      <w:marBottom w:val="0"/>
      <w:divBdr>
        <w:top w:val="none" w:sz="0" w:space="0" w:color="auto"/>
        <w:left w:val="none" w:sz="0" w:space="0" w:color="auto"/>
        <w:bottom w:val="none" w:sz="0" w:space="0" w:color="auto"/>
        <w:right w:val="none" w:sz="0" w:space="0" w:color="auto"/>
      </w:divBdr>
    </w:div>
    <w:div w:id="2003191913">
      <w:bodyDiv w:val="1"/>
      <w:marLeft w:val="0"/>
      <w:marRight w:val="0"/>
      <w:marTop w:val="0"/>
      <w:marBottom w:val="0"/>
      <w:divBdr>
        <w:top w:val="none" w:sz="0" w:space="0" w:color="auto"/>
        <w:left w:val="none" w:sz="0" w:space="0" w:color="auto"/>
        <w:bottom w:val="none" w:sz="0" w:space="0" w:color="auto"/>
        <w:right w:val="none" w:sz="0" w:space="0" w:color="auto"/>
      </w:divBdr>
    </w:div>
    <w:div w:id="2009365187">
      <w:bodyDiv w:val="1"/>
      <w:marLeft w:val="0"/>
      <w:marRight w:val="0"/>
      <w:marTop w:val="0"/>
      <w:marBottom w:val="0"/>
      <w:divBdr>
        <w:top w:val="none" w:sz="0" w:space="0" w:color="auto"/>
        <w:left w:val="none" w:sz="0" w:space="0" w:color="auto"/>
        <w:bottom w:val="none" w:sz="0" w:space="0" w:color="auto"/>
        <w:right w:val="none" w:sz="0" w:space="0" w:color="auto"/>
      </w:divBdr>
    </w:div>
    <w:div w:id="2099977720">
      <w:bodyDiv w:val="1"/>
      <w:marLeft w:val="0"/>
      <w:marRight w:val="0"/>
      <w:marTop w:val="0"/>
      <w:marBottom w:val="0"/>
      <w:divBdr>
        <w:top w:val="none" w:sz="0" w:space="0" w:color="auto"/>
        <w:left w:val="none" w:sz="0" w:space="0" w:color="auto"/>
        <w:bottom w:val="none" w:sz="0" w:space="0" w:color="auto"/>
        <w:right w:val="none" w:sz="0" w:space="0" w:color="auto"/>
      </w:divBdr>
    </w:div>
    <w:div w:id="2118208201">
      <w:bodyDiv w:val="1"/>
      <w:marLeft w:val="0"/>
      <w:marRight w:val="0"/>
      <w:marTop w:val="0"/>
      <w:marBottom w:val="0"/>
      <w:divBdr>
        <w:top w:val="none" w:sz="0" w:space="0" w:color="auto"/>
        <w:left w:val="none" w:sz="0" w:space="0" w:color="auto"/>
        <w:bottom w:val="none" w:sz="0" w:space="0" w:color="auto"/>
        <w:right w:val="none" w:sz="0" w:space="0" w:color="auto"/>
      </w:divBdr>
    </w:div>
    <w:div w:id="2126386834">
      <w:bodyDiv w:val="1"/>
      <w:marLeft w:val="0"/>
      <w:marRight w:val="0"/>
      <w:marTop w:val="0"/>
      <w:marBottom w:val="0"/>
      <w:divBdr>
        <w:top w:val="none" w:sz="0" w:space="0" w:color="auto"/>
        <w:left w:val="none" w:sz="0" w:space="0" w:color="auto"/>
        <w:bottom w:val="none" w:sz="0" w:space="0" w:color="auto"/>
        <w:right w:val="none" w:sz="0" w:space="0" w:color="auto"/>
      </w:divBdr>
    </w:div>
    <w:div w:id="2132553058">
      <w:bodyDiv w:val="1"/>
      <w:marLeft w:val="0"/>
      <w:marRight w:val="0"/>
      <w:marTop w:val="0"/>
      <w:marBottom w:val="0"/>
      <w:divBdr>
        <w:top w:val="none" w:sz="0" w:space="0" w:color="auto"/>
        <w:left w:val="none" w:sz="0" w:space="0" w:color="auto"/>
        <w:bottom w:val="none" w:sz="0" w:space="0" w:color="auto"/>
        <w:right w:val="none" w:sz="0" w:space="0" w:color="auto"/>
      </w:divBdr>
    </w:div>
    <w:div w:id="214546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at-programme.daba.gov.lv/public/lat/publikacijas_un_dokumen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Helena.Rimsa@em.gov.l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ap.mk.gov.lv/lv/mk/tap/?pid=40441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BEBE8-7AFD-49E7-93CC-45C42099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54</Pages>
  <Words>10676</Words>
  <Characters>75764</Characters>
  <Application>Microsoft Office Word</Application>
  <DocSecurity>0</DocSecurity>
  <Lines>631</Lines>
  <Paragraphs>172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“Transporta enerģijas aprites cikla siltumnīcefekta gāzu emisiju daudzuma un tā samazinājuma aprēķināšanas un ziņošanas kārtība”</vt:lpstr>
      <vt:lpstr>Ministru kabineta noteikumu projekts “Transporta enerģijas aprites cikla siltumnīcefekta gāzu emisiju daudzuma un tā samazinājuma aprēķināšanas un ziņošanas kārtība”</vt:lpstr>
    </vt:vector>
  </TitlesOfParts>
  <Manager>Helēna Rimša</Manager>
  <Company>Ekonomikas ministrija</Company>
  <LinksUpToDate>false</LinksUpToDate>
  <CharactersWithSpaces>86268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“Transporta enerģijas aprites cikla siltumnīcefekta gāzu emisiju daudzuma un tā samazinājuma aprēķināšanas un ziņošanas kārtība”</dc:title>
  <dc:subject>Izziņa par atzinumos iesniegtajiem iebildumiem</dc:subject>
  <dc:creator>Helēna Rimša</dc:creator>
  <dc:description>Rimša, 67013244, Helena.Rimsa@em.gov.lv</dc:description>
  <cp:lastModifiedBy>Helēna Rimša</cp:lastModifiedBy>
  <cp:revision>36</cp:revision>
  <cp:lastPrinted>2009-04-08T08:39:00Z</cp:lastPrinted>
  <dcterms:created xsi:type="dcterms:W3CDTF">2018-12-02T15:53:00Z</dcterms:created>
  <dcterms:modified xsi:type="dcterms:W3CDTF">2019-01-15T06:44:00Z</dcterms:modified>
</cp:coreProperties>
</file>