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369" w:rsidRPr="00A7677E" w:rsidRDefault="000C7369" w:rsidP="000C7369">
      <w:pPr>
        <w:shd w:val="clear" w:color="auto" w:fill="FFFFFF"/>
        <w:spacing w:after="0" w:line="240" w:lineRule="auto"/>
        <w:jc w:val="center"/>
        <w:rPr>
          <w:rFonts w:ascii="Times New Roman" w:eastAsia="Times New Roman" w:hAnsi="Times New Roman" w:cs="Times New Roman"/>
          <w:b/>
          <w:bCs/>
          <w:sz w:val="28"/>
          <w:szCs w:val="28"/>
          <w:lang w:eastAsia="lv-LV"/>
        </w:rPr>
      </w:pPr>
      <w:r w:rsidRPr="00A7677E">
        <w:rPr>
          <w:rFonts w:ascii="Times New Roman" w:hAnsi="Times New Roman" w:cs="Times New Roman"/>
          <w:b/>
          <w:sz w:val="28"/>
          <w:szCs w:val="28"/>
        </w:rPr>
        <w:t>Likumprojekta “Grozījumi Latvijas Administratīvo pārkāpumu kodeksā”</w:t>
      </w:r>
      <w:r w:rsidRPr="00A7677E">
        <w:rPr>
          <w:rFonts w:ascii="Times New Roman" w:hAnsi="Times New Roman" w:cs="Times New Roman"/>
          <w:sz w:val="28"/>
          <w:szCs w:val="28"/>
        </w:rPr>
        <w:t xml:space="preserve"> </w:t>
      </w:r>
      <w:r w:rsidRPr="00A7677E">
        <w:rPr>
          <w:rFonts w:ascii="Times New Roman" w:eastAsia="Times New Roman" w:hAnsi="Times New Roman" w:cs="Times New Roman"/>
          <w:b/>
          <w:bCs/>
          <w:sz w:val="28"/>
          <w:szCs w:val="28"/>
          <w:lang w:eastAsia="lv-LV"/>
        </w:rPr>
        <w:t>sākotnējās ietekmes novērtējuma ziņojums (anotācija)</w:t>
      </w:r>
    </w:p>
    <w:p w:rsidR="000C7369" w:rsidRPr="00A7677E" w:rsidRDefault="000C7369" w:rsidP="000C7369">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0C7369" w:rsidRPr="00A7677E" w:rsidTr="000C26C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C7369" w:rsidRPr="00A7677E" w:rsidRDefault="000C7369" w:rsidP="000C26C3">
            <w:pPr>
              <w:rPr>
                <w:rFonts w:ascii="Times New Roman" w:eastAsia="Times New Roman" w:hAnsi="Times New Roman" w:cs="Times New Roman"/>
                <w:b/>
                <w:bCs/>
                <w:iCs/>
                <w:sz w:val="24"/>
                <w:szCs w:val="24"/>
                <w:lang w:eastAsia="lv-LV"/>
              </w:rPr>
            </w:pPr>
            <w:r w:rsidRPr="00A7677E">
              <w:rPr>
                <w:rFonts w:ascii="Times New Roman" w:eastAsia="Times New Roman" w:hAnsi="Times New Roman" w:cs="Times New Roman"/>
                <w:b/>
                <w:bCs/>
                <w:iCs/>
                <w:sz w:val="24"/>
                <w:szCs w:val="24"/>
                <w:lang w:eastAsia="lv-LV"/>
              </w:rPr>
              <w:t>Tiesību akta projekta anotācijas kopsavilkums</w:t>
            </w:r>
          </w:p>
        </w:tc>
      </w:tr>
      <w:tr w:rsidR="000C7369" w:rsidRPr="00A7677E" w:rsidTr="000C26C3">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rsidR="000C7369" w:rsidRPr="00A7677E" w:rsidRDefault="000C7369" w:rsidP="000C26C3">
            <w:pPr>
              <w:rPr>
                <w:rFonts w:ascii="Times New Roman" w:eastAsia="Times New Roman" w:hAnsi="Times New Roman" w:cs="Times New Roman"/>
                <w:iCs/>
                <w:sz w:val="24"/>
                <w:szCs w:val="24"/>
                <w:lang w:eastAsia="lv-LV"/>
              </w:rPr>
            </w:pPr>
            <w:r w:rsidRPr="00A7677E">
              <w:rPr>
                <w:rFonts w:ascii="Times New Roman" w:eastAsia="Times New Roman" w:hAnsi="Times New Roman" w:cs="Times New Roman"/>
                <w:iCs/>
                <w:sz w:val="24"/>
                <w:szCs w:val="24"/>
                <w:lang w:eastAsia="lv-LV"/>
              </w:rPr>
              <w:t>Mērķis, risinājums un projekta spēkā stāšanās laiks (500 zīmes bez atstarpēm)</w:t>
            </w:r>
          </w:p>
        </w:tc>
        <w:tc>
          <w:tcPr>
            <w:tcW w:w="3179" w:type="pct"/>
            <w:tcBorders>
              <w:top w:val="outset" w:sz="6" w:space="0" w:color="auto"/>
              <w:left w:val="outset" w:sz="6" w:space="0" w:color="auto"/>
              <w:bottom w:val="outset" w:sz="6" w:space="0" w:color="auto"/>
              <w:right w:val="outset" w:sz="6" w:space="0" w:color="auto"/>
            </w:tcBorders>
            <w:hideMark/>
          </w:tcPr>
          <w:p w:rsidR="005D3542" w:rsidRDefault="001840CC" w:rsidP="000C26C3">
            <w:pPr>
              <w:spacing w:after="0" w:line="240" w:lineRule="auto"/>
              <w:jc w:val="both"/>
              <w:rPr>
                <w:rFonts w:ascii="Times New Roman" w:hAnsi="Times New Roman" w:cs="Times New Roman"/>
                <w:sz w:val="24"/>
                <w:szCs w:val="24"/>
              </w:rPr>
            </w:pPr>
            <w:r w:rsidRPr="00A7677E">
              <w:rPr>
                <w:rFonts w:ascii="Times New Roman" w:hAnsi="Times New Roman" w:cs="Times New Roman"/>
                <w:sz w:val="24"/>
                <w:szCs w:val="24"/>
              </w:rPr>
              <w:t>Likumprojekts “Grozījumi Latvijas Administratīvo pārkāpumu kodeksā” (turpmāk – l</w:t>
            </w:r>
            <w:r w:rsidR="000C7369" w:rsidRPr="00A7677E">
              <w:rPr>
                <w:rFonts w:ascii="Times New Roman" w:hAnsi="Times New Roman" w:cs="Times New Roman"/>
                <w:sz w:val="24"/>
                <w:szCs w:val="24"/>
              </w:rPr>
              <w:t>ikumprojekts</w:t>
            </w:r>
            <w:r w:rsidRPr="00A7677E">
              <w:rPr>
                <w:rFonts w:ascii="Times New Roman" w:hAnsi="Times New Roman" w:cs="Times New Roman"/>
                <w:sz w:val="24"/>
                <w:szCs w:val="24"/>
              </w:rPr>
              <w:t>)</w:t>
            </w:r>
            <w:r w:rsidR="000C7369" w:rsidRPr="00A7677E">
              <w:rPr>
                <w:rFonts w:ascii="Times New Roman" w:hAnsi="Times New Roman" w:cs="Times New Roman"/>
                <w:sz w:val="24"/>
                <w:szCs w:val="24"/>
              </w:rPr>
              <w:t xml:space="preserve"> nosaka</w:t>
            </w:r>
            <w:r w:rsidR="00C60634" w:rsidRPr="00A7677E">
              <w:rPr>
                <w:rFonts w:ascii="Times New Roman" w:hAnsi="Times New Roman" w:cs="Times New Roman"/>
                <w:sz w:val="24"/>
                <w:szCs w:val="24"/>
              </w:rPr>
              <w:t>:</w:t>
            </w:r>
            <w:r w:rsidR="001B7CB3" w:rsidRPr="00A7677E">
              <w:rPr>
                <w:rFonts w:ascii="Times New Roman" w:hAnsi="Times New Roman" w:cs="Times New Roman"/>
                <w:sz w:val="24"/>
                <w:szCs w:val="24"/>
              </w:rPr>
              <w:t xml:space="preserve"> </w:t>
            </w:r>
            <w:r w:rsidR="00C60634" w:rsidRPr="00A7677E">
              <w:rPr>
                <w:rFonts w:ascii="Times New Roman" w:hAnsi="Times New Roman" w:cs="Times New Roman"/>
                <w:sz w:val="24"/>
                <w:szCs w:val="24"/>
              </w:rPr>
              <w:t xml:space="preserve"> </w:t>
            </w:r>
          </w:p>
          <w:p w:rsidR="00C60634" w:rsidRPr="005D3542" w:rsidRDefault="00C60634" w:rsidP="000C26C3">
            <w:pPr>
              <w:spacing w:after="0" w:line="240" w:lineRule="auto"/>
              <w:jc w:val="both"/>
              <w:rPr>
                <w:rFonts w:ascii="Times New Roman" w:hAnsi="Times New Roman" w:cs="Times New Roman"/>
                <w:bCs/>
                <w:sz w:val="24"/>
                <w:szCs w:val="24"/>
              </w:rPr>
            </w:pPr>
            <w:r w:rsidRPr="00A7677E">
              <w:rPr>
                <w:rFonts w:ascii="Times New Roman" w:hAnsi="Times New Roman" w:cs="Times New Roman"/>
                <w:sz w:val="24"/>
                <w:szCs w:val="24"/>
              </w:rPr>
              <w:t xml:space="preserve">- </w:t>
            </w:r>
            <w:r w:rsidR="001B7CB3" w:rsidRPr="00A7677E">
              <w:rPr>
                <w:rFonts w:ascii="Times New Roman" w:hAnsi="Times New Roman" w:cs="Times New Roman"/>
                <w:sz w:val="24"/>
                <w:szCs w:val="24"/>
              </w:rPr>
              <w:t xml:space="preserve">atbildību </w:t>
            </w:r>
            <w:r w:rsidR="000C7369" w:rsidRPr="00A7677E">
              <w:rPr>
                <w:rFonts w:ascii="Times New Roman" w:hAnsi="Times New Roman" w:cs="Times New Roman"/>
                <w:sz w:val="24"/>
                <w:szCs w:val="24"/>
              </w:rPr>
              <w:t xml:space="preserve">elektronisko sakaru komersantam, ja tas atbilstoši normatīvo aktu prasībām nenodrošina piekļuves ierobežošanu </w:t>
            </w:r>
            <w:r w:rsidR="000C7369" w:rsidRPr="00A7677E">
              <w:rPr>
                <w:rFonts w:ascii="Times New Roman" w:hAnsi="Times New Roman" w:cs="Times New Roman"/>
                <w:bCs/>
                <w:sz w:val="24"/>
                <w:szCs w:val="24"/>
              </w:rPr>
              <w:t xml:space="preserve">nelicencētu interaktīvo </w:t>
            </w:r>
            <w:r w:rsidR="000C7369" w:rsidRPr="005D3542">
              <w:rPr>
                <w:rFonts w:ascii="Times New Roman" w:hAnsi="Times New Roman" w:cs="Times New Roman"/>
                <w:bCs/>
                <w:sz w:val="24"/>
                <w:szCs w:val="24"/>
              </w:rPr>
              <w:t>azartspēļu vai interaktīvo izložu organizētāj</w:t>
            </w:r>
            <w:r w:rsidR="00746381">
              <w:rPr>
                <w:rFonts w:ascii="Times New Roman" w:hAnsi="Times New Roman" w:cs="Times New Roman"/>
                <w:bCs/>
                <w:sz w:val="24"/>
                <w:szCs w:val="24"/>
              </w:rPr>
              <w:t xml:space="preserve">a domēnam vai interneta protokolam (IP) </w:t>
            </w:r>
            <w:r w:rsidRPr="005D3542">
              <w:rPr>
                <w:rFonts w:ascii="Times New Roman" w:hAnsi="Times New Roman" w:cs="Times New Roman"/>
                <w:bCs/>
                <w:sz w:val="24"/>
                <w:szCs w:val="24"/>
              </w:rPr>
              <w:t>;</w:t>
            </w:r>
          </w:p>
          <w:p w:rsidR="000C7369" w:rsidRPr="00501D91" w:rsidRDefault="005D3542" w:rsidP="00501D91">
            <w:pPr>
              <w:jc w:val="both"/>
              <w:rPr>
                <w:sz w:val="24"/>
                <w:szCs w:val="24"/>
              </w:rPr>
            </w:pPr>
            <w:r w:rsidRPr="005D3542">
              <w:rPr>
                <w:rFonts w:ascii="Times New Roman" w:hAnsi="Times New Roman" w:cs="Times New Roman"/>
                <w:bCs/>
                <w:sz w:val="24"/>
                <w:szCs w:val="24"/>
              </w:rPr>
              <w:t xml:space="preserve">- </w:t>
            </w:r>
            <w:r w:rsidR="00C60634" w:rsidRPr="005D3542">
              <w:rPr>
                <w:rFonts w:ascii="Times New Roman" w:hAnsi="Times New Roman" w:cs="Times New Roman"/>
                <w:bCs/>
                <w:sz w:val="24"/>
                <w:szCs w:val="24"/>
              </w:rPr>
              <w:t xml:space="preserve"> atbildību personai par dalību </w:t>
            </w:r>
            <w:r w:rsidR="00A5495C" w:rsidRPr="00501D91">
              <w:rPr>
                <w:rFonts w:ascii="Times New Roman" w:hAnsi="Times New Roman" w:cs="Times New Roman"/>
                <w:sz w:val="24"/>
                <w:szCs w:val="24"/>
              </w:rPr>
              <w:t>Latvijas Republikā</w:t>
            </w:r>
            <w:r w:rsidR="00C60634" w:rsidRPr="005D3542">
              <w:rPr>
                <w:rFonts w:ascii="Times New Roman" w:hAnsi="Times New Roman" w:cs="Times New Roman"/>
                <w:bCs/>
                <w:sz w:val="24"/>
                <w:szCs w:val="24"/>
              </w:rPr>
              <w:t xml:space="preserve"> nelicenc</w:t>
            </w:r>
            <w:r w:rsidR="00D55EE2" w:rsidRPr="005D3542">
              <w:rPr>
                <w:rFonts w:ascii="Times New Roman" w:hAnsi="Times New Roman" w:cs="Times New Roman"/>
                <w:bCs/>
                <w:sz w:val="24"/>
                <w:szCs w:val="24"/>
              </w:rPr>
              <w:t>ē</w:t>
            </w:r>
            <w:r w:rsidR="00C60634" w:rsidRPr="005D3542">
              <w:rPr>
                <w:rFonts w:ascii="Times New Roman" w:hAnsi="Times New Roman" w:cs="Times New Roman"/>
                <w:bCs/>
                <w:sz w:val="24"/>
                <w:szCs w:val="24"/>
              </w:rPr>
              <w:t>jās interaktīvās azartspēlēs vai</w:t>
            </w:r>
            <w:r w:rsidR="00D55EE2" w:rsidRPr="005D3542">
              <w:rPr>
                <w:rFonts w:ascii="Times New Roman" w:hAnsi="Times New Roman" w:cs="Times New Roman"/>
                <w:bCs/>
                <w:sz w:val="24"/>
                <w:szCs w:val="24"/>
              </w:rPr>
              <w:t xml:space="preserve"> interaktīvās</w:t>
            </w:r>
            <w:r w:rsidR="00C60634" w:rsidRPr="005D3542">
              <w:rPr>
                <w:rFonts w:ascii="Times New Roman" w:hAnsi="Times New Roman" w:cs="Times New Roman"/>
                <w:bCs/>
                <w:sz w:val="24"/>
                <w:szCs w:val="24"/>
              </w:rPr>
              <w:t xml:space="preserve"> izlozēs.</w:t>
            </w:r>
          </w:p>
          <w:p w:rsidR="000C7369" w:rsidRPr="00A7677E" w:rsidRDefault="00501D91" w:rsidP="000C26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Likumprojekts tiek virzīts</w:t>
            </w:r>
            <w:r w:rsidR="000C7369" w:rsidRPr="00A7677E">
              <w:rPr>
                <w:rFonts w:ascii="Times New Roman" w:hAnsi="Times New Roman" w:cs="Times New Roman"/>
                <w:sz w:val="24"/>
                <w:szCs w:val="24"/>
              </w:rPr>
              <w:t xml:space="preserve"> vienlaicīgi ar grozījumiem </w:t>
            </w:r>
            <w:r w:rsidR="00A92F86" w:rsidRPr="00A7677E">
              <w:rPr>
                <w:rFonts w:ascii="Times New Roman" w:hAnsi="Times New Roman" w:cs="Times New Roman"/>
                <w:sz w:val="24"/>
                <w:szCs w:val="24"/>
              </w:rPr>
              <w:t>Azartspēļu un izložu likumā, grozījumiem Elektronisko sakaru likumā</w:t>
            </w:r>
            <w:r w:rsidR="000C7369" w:rsidRPr="00A7677E">
              <w:rPr>
                <w:rFonts w:ascii="Times New Roman" w:hAnsi="Times New Roman" w:cs="Times New Roman"/>
                <w:sz w:val="24"/>
                <w:szCs w:val="24"/>
              </w:rPr>
              <w:t>, grozījumiem Maksājumu pakalpojumu un elektroniskās naudas likumā</w:t>
            </w:r>
            <w:r w:rsidR="001B7CB3" w:rsidRPr="00A7677E">
              <w:rPr>
                <w:rFonts w:ascii="Times New Roman" w:hAnsi="Times New Roman" w:cs="Times New Roman"/>
                <w:sz w:val="24"/>
                <w:szCs w:val="24"/>
              </w:rPr>
              <w:t>.</w:t>
            </w:r>
          </w:p>
          <w:p w:rsidR="000C7369" w:rsidRPr="00A7677E" w:rsidRDefault="000C7369" w:rsidP="001B7CB3">
            <w:pPr>
              <w:spacing w:after="0" w:line="240" w:lineRule="auto"/>
              <w:jc w:val="both"/>
              <w:rPr>
                <w:rFonts w:ascii="Times New Roman" w:eastAsia="Times New Roman" w:hAnsi="Times New Roman" w:cs="Times New Roman"/>
                <w:i/>
                <w:iCs/>
                <w:sz w:val="24"/>
                <w:szCs w:val="24"/>
                <w:lang w:eastAsia="lv-LV"/>
              </w:rPr>
            </w:pPr>
            <w:r w:rsidRPr="00A7677E">
              <w:rPr>
                <w:rFonts w:ascii="Times New Roman" w:hAnsi="Times New Roman" w:cs="Times New Roman"/>
                <w:sz w:val="24"/>
                <w:szCs w:val="24"/>
              </w:rPr>
              <w:t xml:space="preserve">Likumprojekts stāsies spēkā </w:t>
            </w:r>
            <w:r w:rsidR="001B7CB3" w:rsidRPr="00A7677E">
              <w:rPr>
                <w:rFonts w:ascii="Times New Roman" w:hAnsi="Times New Roman" w:cs="Times New Roman"/>
                <w:sz w:val="24"/>
                <w:szCs w:val="24"/>
              </w:rPr>
              <w:t>nākamajā dienā pēc</w:t>
            </w:r>
            <w:r w:rsidR="001840CC" w:rsidRPr="00A7677E">
              <w:rPr>
                <w:rFonts w:ascii="Times New Roman" w:hAnsi="Times New Roman" w:cs="Times New Roman"/>
                <w:sz w:val="24"/>
                <w:szCs w:val="24"/>
              </w:rPr>
              <w:t xml:space="preserve"> tā</w:t>
            </w:r>
            <w:r w:rsidR="001B7CB3" w:rsidRPr="00A7677E">
              <w:rPr>
                <w:rFonts w:ascii="Times New Roman" w:hAnsi="Times New Roman" w:cs="Times New Roman"/>
                <w:sz w:val="24"/>
                <w:szCs w:val="24"/>
              </w:rPr>
              <w:t xml:space="preserve"> izsludināšanas.</w:t>
            </w:r>
          </w:p>
        </w:tc>
      </w:tr>
    </w:tbl>
    <w:p w:rsidR="000C7369" w:rsidRPr="00A7677E" w:rsidRDefault="000C7369" w:rsidP="000C7369">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0C7369" w:rsidRPr="00A7677E" w:rsidTr="000C26C3">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C7369" w:rsidRPr="00A7677E" w:rsidRDefault="000C7369" w:rsidP="000C26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7677E">
              <w:rPr>
                <w:rFonts w:ascii="Times New Roman" w:eastAsia="Times New Roman" w:hAnsi="Times New Roman" w:cs="Times New Roman"/>
                <w:b/>
                <w:bCs/>
                <w:sz w:val="24"/>
                <w:szCs w:val="24"/>
                <w:lang w:eastAsia="lv-LV"/>
              </w:rPr>
              <w:t>I. Tiesību akta projekta izstrādes nepieciešamība</w:t>
            </w:r>
          </w:p>
        </w:tc>
      </w:tr>
      <w:tr w:rsidR="000C7369" w:rsidRPr="00A7677E" w:rsidTr="000C26C3">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0C7369" w:rsidRPr="00A7677E" w:rsidRDefault="0025192E" w:rsidP="000C26C3">
            <w:pPr>
              <w:spacing w:after="0" w:line="240" w:lineRule="auto"/>
              <w:jc w:val="both"/>
              <w:rPr>
                <w:rFonts w:ascii="Times New Roman" w:hAnsi="Times New Roman" w:cs="Times New Roman"/>
                <w:sz w:val="24"/>
                <w:szCs w:val="24"/>
              </w:rPr>
            </w:pPr>
            <w:r w:rsidRPr="00A7677E">
              <w:rPr>
                <w:rFonts w:ascii="Times New Roman" w:hAnsi="Times New Roman" w:cs="Times New Roman"/>
                <w:sz w:val="24"/>
                <w:szCs w:val="24"/>
              </w:rPr>
              <w:t>Likumprojekts izstrādāts, pamatojoties uz Ministru kabineta 2019.gada 5.februāra sēdes protokollēmuma (prot. Nr.5 30.§) “Informatīvais ziņojums “Par makroekonomisko rādītāju, ieņēmumu un vispārējās valdības budžeta bilances prognozēm 2019.-2021.gadā”” 8.2.apakšpunktā doto uzdevumu.</w:t>
            </w:r>
          </w:p>
        </w:tc>
      </w:tr>
      <w:tr w:rsidR="000C7369" w:rsidRPr="00A7677E" w:rsidTr="000C26C3">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jc w:val="center"/>
              <w:rPr>
                <w:rFonts w:ascii="Times New Roman" w:eastAsia="Times New Roman" w:hAnsi="Times New Roman" w:cs="Times New Roman"/>
                <w:sz w:val="24"/>
                <w:szCs w:val="24"/>
                <w:lang w:eastAsia="lv-LV"/>
              </w:rPr>
            </w:pP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rPr>
                <w:rFonts w:ascii="Times New Roman" w:eastAsia="Times New Roman" w:hAnsi="Times New Roman" w:cs="Times New Roman"/>
                <w:sz w:val="24"/>
                <w:szCs w:val="24"/>
                <w:lang w:eastAsia="lv-LV"/>
              </w:rPr>
            </w:pPr>
          </w:p>
          <w:p w:rsidR="000C7369" w:rsidRPr="00A7677E" w:rsidRDefault="000C7369" w:rsidP="000C26C3">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C60634" w:rsidRPr="005D3542" w:rsidRDefault="00746381" w:rsidP="005D3542">
            <w:pPr>
              <w:pStyle w:val="ListParagraph"/>
              <w:numPr>
                <w:ilvl w:val="0"/>
                <w:numId w:val="3"/>
              </w:numPr>
              <w:autoSpaceDE w:val="0"/>
              <w:autoSpaceDN w:val="0"/>
              <w:ind w:left="118" w:firstLine="242"/>
              <w:jc w:val="both"/>
              <w:rPr>
                <w:sz w:val="24"/>
                <w:szCs w:val="24"/>
              </w:rPr>
            </w:pPr>
            <w:r>
              <w:rPr>
                <w:b/>
                <w:sz w:val="24"/>
                <w:szCs w:val="24"/>
                <w:lang w:val="lv-LV"/>
              </w:rPr>
              <w:lastRenderedPageBreak/>
              <w:t>Par</w:t>
            </w:r>
            <w:r w:rsidR="00582048">
              <w:rPr>
                <w:b/>
                <w:sz w:val="24"/>
                <w:szCs w:val="24"/>
                <w:lang w:val="lv-LV"/>
              </w:rPr>
              <w:t xml:space="preserve"> </w:t>
            </w:r>
            <w:r>
              <w:rPr>
                <w:b/>
                <w:sz w:val="24"/>
                <w:szCs w:val="24"/>
                <w:lang w:val="lv-LV"/>
              </w:rPr>
              <w:t>atbildības</w:t>
            </w:r>
            <w:r w:rsidR="00582048">
              <w:rPr>
                <w:b/>
                <w:sz w:val="24"/>
                <w:szCs w:val="24"/>
                <w:lang w:val="lv-LV"/>
              </w:rPr>
              <w:t xml:space="preserve"> noteikšanu elektronisko sakaru </w:t>
            </w:r>
            <w:r w:rsidR="00C60634" w:rsidRPr="005D3542">
              <w:rPr>
                <w:b/>
                <w:sz w:val="24"/>
                <w:szCs w:val="24"/>
                <w:lang w:val="lv-LV"/>
              </w:rPr>
              <w:t>komersantam.</w:t>
            </w:r>
          </w:p>
          <w:p w:rsidR="00746381" w:rsidRDefault="000C7369" w:rsidP="000C26C3">
            <w:pPr>
              <w:autoSpaceDE w:val="0"/>
              <w:autoSpaceDN w:val="0"/>
              <w:spacing w:after="0" w:line="240" w:lineRule="auto"/>
              <w:contextualSpacing/>
              <w:jc w:val="both"/>
              <w:rPr>
                <w:rFonts w:ascii="Times New Roman" w:hAnsi="Times New Roman" w:cs="Times New Roman"/>
                <w:sz w:val="24"/>
                <w:szCs w:val="24"/>
              </w:rPr>
            </w:pPr>
            <w:r w:rsidRPr="00A7677E">
              <w:rPr>
                <w:rFonts w:ascii="Times New Roman" w:hAnsi="Times New Roman" w:cs="Times New Roman"/>
                <w:sz w:val="24"/>
                <w:szCs w:val="24"/>
              </w:rPr>
              <w:t>Šobrīd Elektronisko sakaru likuma 13.</w:t>
            </w:r>
            <w:r w:rsidRPr="00A7677E">
              <w:rPr>
                <w:rFonts w:ascii="Times New Roman" w:hAnsi="Times New Roman" w:cs="Times New Roman"/>
                <w:sz w:val="24"/>
                <w:szCs w:val="24"/>
                <w:vertAlign w:val="superscript"/>
              </w:rPr>
              <w:t>1</w:t>
            </w:r>
            <w:r w:rsidRPr="00A7677E">
              <w:rPr>
                <w:rFonts w:ascii="Times New Roman" w:hAnsi="Times New Roman" w:cs="Times New Roman"/>
                <w:sz w:val="24"/>
                <w:szCs w:val="24"/>
              </w:rPr>
              <w:t>pantā Izložu un azartspēļu uzraudzības</w:t>
            </w:r>
            <w:r w:rsidR="000F32C5">
              <w:rPr>
                <w:rFonts w:ascii="Times New Roman" w:hAnsi="Times New Roman" w:cs="Times New Roman"/>
                <w:sz w:val="24"/>
                <w:szCs w:val="24"/>
              </w:rPr>
              <w:t xml:space="preserve"> (turpmāk – IAUI)</w:t>
            </w:r>
            <w:r w:rsidRPr="00A7677E">
              <w:rPr>
                <w:rFonts w:ascii="Times New Roman" w:hAnsi="Times New Roman" w:cs="Times New Roman"/>
                <w:sz w:val="24"/>
                <w:szCs w:val="24"/>
              </w:rPr>
              <w:t xml:space="preserve"> inspekcijai ir noteiktas tiesības pieņemt lēmumu par to, ka </w:t>
            </w:r>
            <w:r w:rsidR="00A5495C" w:rsidRPr="00ED190C">
              <w:rPr>
                <w:rFonts w:ascii="Times New Roman" w:hAnsi="Times New Roman" w:cs="Times New Roman"/>
                <w:sz w:val="24"/>
                <w:szCs w:val="24"/>
              </w:rPr>
              <w:t>Latvijas Republikā</w:t>
            </w:r>
            <w:r w:rsidR="00A5495C" w:rsidRPr="005D3542">
              <w:rPr>
                <w:rFonts w:ascii="Times New Roman" w:hAnsi="Times New Roman" w:cs="Times New Roman"/>
                <w:bCs/>
                <w:sz w:val="24"/>
                <w:szCs w:val="24"/>
              </w:rPr>
              <w:t xml:space="preserve"> </w:t>
            </w:r>
            <w:r w:rsidRPr="00A7677E">
              <w:rPr>
                <w:rFonts w:ascii="Times New Roman" w:hAnsi="Times New Roman" w:cs="Times New Roman"/>
                <w:sz w:val="24"/>
                <w:szCs w:val="24"/>
              </w:rPr>
              <w:t xml:space="preserve">ir ierobežojama piekļuve </w:t>
            </w:r>
            <w:r w:rsidR="00A5495C" w:rsidRPr="00ED190C">
              <w:rPr>
                <w:rFonts w:ascii="Times New Roman" w:hAnsi="Times New Roman" w:cs="Times New Roman"/>
                <w:sz w:val="24"/>
                <w:szCs w:val="24"/>
              </w:rPr>
              <w:t>Latvijas Republikā</w:t>
            </w:r>
            <w:r w:rsidRPr="00A7677E">
              <w:rPr>
                <w:rFonts w:ascii="Times New Roman" w:hAnsi="Times New Roman" w:cs="Times New Roman"/>
                <w:sz w:val="24"/>
                <w:szCs w:val="24"/>
              </w:rPr>
              <w:t xml:space="preserve"> nelicencēta </w:t>
            </w:r>
            <w:r w:rsidRPr="00A7677E">
              <w:rPr>
                <w:rFonts w:ascii="Times New Roman" w:hAnsi="Times New Roman" w:cs="Times New Roman"/>
                <w:bCs/>
                <w:sz w:val="24"/>
                <w:szCs w:val="24"/>
              </w:rPr>
              <w:t>interaktīvo azartspēļu vai interaktīvo izložu</w:t>
            </w:r>
            <w:r w:rsidRPr="00A7677E">
              <w:rPr>
                <w:rFonts w:ascii="Times New Roman" w:hAnsi="Times New Roman" w:cs="Times New Roman"/>
                <w:sz w:val="24"/>
                <w:szCs w:val="24"/>
              </w:rPr>
              <w:t xml:space="preserve"> organizētāja interneta mājaslapai. Turklāt no Elektronisko sakaru likuma 19.panta pirmās daļas 22.punkta izriet pienākums</w:t>
            </w:r>
            <w:r w:rsidRPr="00A7677E">
              <w:t xml:space="preserve"> </w:t>
            </w:r>
            <w:r w:rsidRPr="00A7677E">
              <w:rPr>
                <w:rFonts w:ascii="Times New Roman" w:hAnsi="Times New Roman" w:cs="Times New Roman"/>
                <w:sz w:val="24"/>
                <w:szCs w:val="24"/>
              </w:rPr>
              <w:t xml:space="preserve">augstākā līmeņa domēna ".lv" reģistra turētājam un elektronisko sakaru komersantam, pamatojoties uz </w:t>
            </w:r>
            <w:r w:rsidR="000F32C5">
              <w:rPr>
                <w:rFonts w:ascii="Times New Roman" w:hAnsi="Times New Roman" w:cs="Times New Roman"/>
                <w:sz w:val="24"/>
                <w:szCs w:val="24"/>
              </w:rPr>
              <w:t>IAUI</w:t>
            </w:r>
            <w:r w:rsidRPr="00A7677E">
              <w:rPr>
                <w:rFonts w:ascii="Times New Roman" w:hAnsi="Times New Roman" w:cs="Times New Roman"/>
                <w:sz w:val="24"/>
                <w:szCs w:val="24"/>
              </w:rPr>
              <w:t xml:space="preserve"> lēmumu, ierobežot piekļuvi </w:t>
            </w:r>
            <w:r w:rsidR="00A5495C" w:rsidRPr="00ED190C">
              <w:rPr>
                <w:rFonts w:ascii="Times New Roman" w:hAnsi="Times New Roman" w:cs="Times New Roman"/>
                <w:sz w:val="24"/>
                <w:szCs w:val="24"/>
              </w:rPr>
              <w:t>Latvijas Republikā</w:t>
            </w:r>
            <w:r w:rsidRPr="00A7677E">
              <w:rPr>
                <w:rFonts w:ascii="Times New Roman" w:hAnsi="Times New Roman" w:cs="Times New Roman"/>
                <w:sz w:val="24"/>
                <w:szCs w:val="24"/>
              </w:rPr>
              <w:t xml:space="preserve"> nelicencēta </w:t>
            </w:r>
            <w:r w:rsidRPr="00A7677E">
              <w:rPr>
                <w:rFonts w:ascii="Times New Roman" w:hAnsi="Times New Roman" w:cs="Times New Roman"/>
                <w:bCs/>
                <w:sz w:val="24"/>
                <w:szCs w:val="24"/>
              </w:rPr>
              <w:t>interaktīvo azartspēļu vai interaktīvo izložu</w:t>
            </w:r>
            <w:r w:rsidRPr="00A7677E">
              <w:rPr>
                <w:rFonts w:ascii="Times New Roman" w:hAnsi="Times New Roman" w:cs="Times New Roman"/>
                <w:sz w:val="24"/>
                <w:szCs w:val="24"/>
              </w:rPr>
              <w:t xml:space="preserve"> organizētāja interneta mājaslapai (turpmāk – Lēmums).</w:t>
            </w:r>
            <w:r w:rsidRPr="00A7677E">
              <w:rPr>
                <w:rFonts w:ascii="Times New Roman" w:hAnsi="Times New Roman" w:cs="Times New Roman"/>
                <w:sz w:val="24"/>
                <w:szCs w:val="24"/>
                <w:lang w:eastAsia="lv-LV"/>
              </w:rPr>
              <w:t xml:space="preserve">  Piekļuves ierobežošana tīmekļa </w:t>
            </w:r>
            <w:r w:rsidR="00746381" w:rsidRPr="00A7677E">
              <w:rPr>
                <w:rFonts w:ascii="Times New Roman" w:hAnsi="Times New Roman" w:cs="Times New Roman"/>
                <w:sz w:val="24"/>
                <w:szCs w:val="24"/>
                <w:lang w:eastAsia="lv-LV"/>
              </w:rPr>
              <w:t>vietn</w:t>
            </w:r>
            <w:r w:rsidR="00746381">
              <w:rPr>
                <w:rFonts w:ascii="Times New Roman" w:hAnsi="Times New Roman" w:cs="Times New Roman"/>
                <w:sz w:val="24"/>
                <w:szCs w:val="24"/>
                <w:lang w:eastAsia="lv-LV"/>
              </w:rPr>
              <w:t>ēm</w:t>
            </w:r>
            <w:r w:rsidR="00746381" w:rsidRPr="00A7677E">
              <w:rPr>
                <w:rFonts w:ascii="Times New Roman" w:hAnsi="Times New Roman" w:cs="Times New Roman"/>
                <w:sz w:val="24"/>
                <w:szCs w:val="24"/>
                <w:lang w:eastAsia="lv-LV"/>
              </w:rPr>
              <w:t xml:space="preserve"> </w:t>
            </w:r>
            <w:r w:rsidRPr="00A7677E">
              <w:rPr>
                <w:rFonts w:ascii="Times New Roman" w:hAnsi="Times New Roman" w:cs="Times New Roman"/>
                <w:sz w:val="24"/>
                <w:szCs w:val="24"/>
                <w:lang w:eastAsia="lv-LV"/>
              </w:rPr>
              <w:t>ir</w:t>
            </w:r>
            <w:r w:rsidR="00C74B26" w:rsidRPr="00A7677E">
              <w:rPr>
                <w:rFonts w:ascii="Times New Roman" w:hAnsi="Times New Roman" w:cs="Times New Roman"/>
                <w:sz w:val="24"/>
                <w:szCs w:val="24"/>
              </w:rPr>
              <w:t xml:space="preserve"> viens no</w:t>
            </w:r>
            <w:r w:rsidRPr="00A7677E">
              <w:rPr>
                <w:rFonts w:ascii="Times New Roman" w:hAnsi="Times New Roman" w:cs="Times New Roman"/>
                <w:sz w:val="24"/>
                <w:szCs w:val="24"/>
              </w:rPr>
              <w:t xml:space="preserve"> paņēmieniem nelicencēta azartspēļu un izložu segmenta mazināšanai, taču straujā tehnoloģiju attīstības laikmetā šie pasākumi nav pietiekoši efektīvi. Joprojām ievērojamai daļai no bloķēto </w:t>
            </w:r>
            <w:r w:rsidRPr="00A7677E">
              <w:rPr>
                <w:rFonts w:ascii="Times New Roman" w:hAnsi="Times New Roman" w:cs="Times New Roman"/>
                <w:sz w:val="24"/>
                <w:szCs w:val="24"/>
              </w:rPr>
              <w:lastRenderedPageBreak/>
              <w:t>nelicencēto organizētāju</w:t>
            </w:r>
            <w:r w:rsidR="00582048">
              <w:rPr>
                <w:rFonts w:ascii="Times New Roman" w:hAnsi="Times New Roman" w:cs="Times New Roman"/>
                <w:sz w:val="24"/>
                <w:szCs w:val="24"/>
              </w:rPr>
              <w:t xml:space="preserve"> tīmekļa</w:t>
            </w:r>
            <w:r w:rsidRPr="00A7677E">
              <w:rPr>
                <w:rFonts w:ascii="Times New Roman" w:hAnsi="Times New Roman" w:cs="Times New Roman"/>
                <w:sz w:val="24"/>
                <w:szCs w:val="24"/>
              </w:rPr>
              <w:t xml:space="preserve"> vietnēm ir iespējams piekļūt.</w:t>
            </w:r>
            <w:r w:rsidR="00746381">
              <w:rPr>
                <w:rFonts w:ascii="Times New Roman" w:hAnsi="Times New Roman" w:cs="Times New Roman"/>
                <w:sz w:val="24"/>
                <w:szCs w:val="24"/>
              </w:rPr>
              <w:t xml:space="preserve">  </w:t>
            </w:r>
          </w:p>
          <w:p w:rsidR="000C7369" w:rsidRPr="00A7677E" w:rsidRDefault="000C7369" w:rsidP="000C26C3">
            <w:pPr>
              <w:autoSpaceDE w:val="0"/>
              <w:autoSpaceDN w:val="0"/>
              <w:spacing w:after="0" w:line="240" w:lineRule="auto"/>
              <w:contextualSpacing/>
              <w:jc w:val="both"/>
              <w:rPr>
                <w:rFonts w:ascii="Times New Roman" w:hAnsi="Times New Roman" w:cs="Times New Roman"/>
                <w:sz w:val="24"/>
                <w:szCs w:val="24"/>
              </w:rPr>
            </w:pPr>
            <w:r w:rsidRPr="00A7677E">
              <w:rPr>
                <w:rFonts w:ascii="Times New Roman" w:hAnsi="Times New Roman" w:cs="Times New Roman"/>
                <w:sz w:val="24"/>
                <w:szCs w:val="24"/>
              </w:rPr>
              <w:t>Līdz ar to būtu nepieciešams ne tikai uzlabot pašu ierobežošanas procesu un nodrošināt kontroli par to izpildi, bet arī paredzēt atbildību elektronisko sakaru komersantiem par ierobežošanas prasību nenodrošināšanu.</w:t>
            </w:r>
          </w:p>
          <w:p w:rsidR="000C7369" w:rsidRPr="00A7677E" w:rsidRDefault="000C7369" w:rsidP="000C26C3">
            <w:pPr>
              <w:autoSpaceDE w:val="0"/>
              <w:autoSpaceDN w:val="0"/>
              <w:spacing w:after="0" w:line="240" w:lineRule="auto"/>
              <w:contextualSpacing/>
              <w:jc w:val="both"/>
              <w:rPr>
                <w:rFonts w:ascii="Times New Roman" w:hAnsi="Times New Roman" w:cs="Times New Roman"/>
                <w:sz w:val="24"/>
                <w:szCs w:val="24"/>
              </w:rPr>
            </w:pPr>
            <w:r w:rsidRPr="00A7677E">
              <w:rPr>
                <w:rFonts w:ascii="Times New Roman" w:hAnsi="Times New Roman" w:cs="Times New Roman"/>
                <w:sz w:val="24"/>
                <w:szCs w:val="24"/>
              </w:rPr>
              <w:t>Atbildības noteikšanas nepieciešamība tiek pamatota ar to, ka azartspēļu un izložu joma ietver sevī ne tikai izvairīšanās no nodokļu nomaksas riskus, bet arī galvenokārt riskus, kas ir saistīti ar atkarības</w:t>
            </w:r>
            <w:r w:rsidR="00C74B26" w:rsidRPr="00A7677E">
              <w:rPr>
                <w:rFonts w:ascii="Times New Roman" w:hAnsi="Times New Roman" w:cs="Times New Roman"/>
                <w:sz w:val="24"/>
                <w:szCs w:val="24"/>
              </w:rPr>
              <w:t xml:space="preserve"> no spēlēšanas</w:t>
            </w:r>
            <w:r w:rsidRPr="00A7677E">
              <w:rPr>
                <w:rFonts w:ascii="Times New Roman" w:hAnsi="Times New Roman" w:cs="Times New Roman"/>
                <w:sz w:val="24"/>
                <w:szCs w:val="24"/>
              </w:rPr>
              <w:t xml:space="preserve"> veidošanos un atsevišķu indivīdu nespēju aizsargāt savas tiesības nekontrolētajā vidē, pakļaujot draudiem sevi un blakus esošos cilvēkus. </w:t>
            </w:r>
            <w:r w:rsidRPr="00A7677E">
              <w:rPr>
                <w:rFonts w:ascii="Times New Roman" w:eastAsia="Times New Roman" w:hAnsi="Times New Roman" w:cs="Times New Roman"/>
                <w:bCs/>
                <w:sz w:val="24"/>
                <w:szCs w:val="24"/>
                <w:lang w:eastAsia="lv-LV"/>
              </w:rPr>
              <w:t>Papildu atkarības izraisošiem riskiem nekontrolētā vidē prevalē finansiāla rakstura riski (</w:t>
            </w:r>
            <w:proofErr w:type="spellStart"/>
            <w:r w:rsidRPr="00A7677E">
              <w:rPr>
                <w:rFonts w:ascii="Times New Roman" w:eastAsia="Times New Roman" w:hAnsi="Times New Roman" w:cs="Times New Roman"/>
                <w:bCs/>
                <w:sz w:val="24"/>
                <w:szCs w:val="24"/>
                <w:lang w:eastAsia="lv-LV"/>
              </w:rPr>
              <w:t>krāpniecība</w:t>
            </w:r>
            <w:proofErr w:type="spellEnd"/>
            <w:r w:rsidRPr="00A7677E">
              <w:rPr>
                <w:rFonts w:ascii="Times New Roman" w:eastAsia="Times New Roman" w:hAnsi="Times New Roman" w:cs="Times New Roman"/>
                <w:bCs/>
                <w:sz w:val="24"/>
                <w:szCs w:val="24"/>
                <w:lang w:eastAsia="lv-LV"/>
              </w:rPr>
              <w:t xml:space="preserve">), kā arī riski, kas ir saistīti ar personu datu aizsardzības prasību neievērošanu. Turklāt nekontrolētajā vidē personai netiek dota iespēja piemērot </w:t>
            </w:r>
            <w:r w:rsidR="00C74B26" w:rsidRPr="00A7677E">
              <w:rPr>
                <w:rFonts w:ascii="Times New Roman" w:eastAsia="Times New Roman" w:hAnsi="Times New Roman" w:cs="Times New Roman"/>
                <w:bCs/>
                <w:sz w:val="24"/>
                <w:szCs w:val="24"/>
                <w:lang w:eastAsia="lv-LV"/>
              </w:rPr>
              <w:t xml:space="preserve">spēles ierobežošanas mehānismus un nepastāv iespēja liegt dalību interaktīvās azartspēlēs un interaktīvās izlozēs nepilngadīgām personām. </w:t>
            </w:r>
          </w:p>
          <w:p w:rsidR="000C7369" w:rsidRPr="00A7677E" w:rsidRDefault="000C7369" w:rsidP="000C26C3">
            <w:pPr>
              <w:spacing w:after="0" w:line="240" w:lineRule="auto"/>
              <w:contextualSpacing/>
              <w:jc w:val="both"/>
              <w:rPr>
                <w:rFonts w:ascii="Times New Roman" w:hAnsi="Times New Roman" w:cs="Times New Roman"/>
                <w:sz w:val="24"/>
                <w:szCs w:val="24"/>
                <w:vertAlign w:val="superscript"/>
              </w:rPr>
            </w:pPr>
            <w:r w:rsidRPr="00A7677E">
              <w:rPr>
                <w:rFonts w:ascii="Times New Roman" w:hAnsi="Times New Roman" w:cs="Times New Roman"/>
                <w:sz w:val="24"/>
                <w:szCs w:val="24"/>
              </w:rPr>
              <w:t xml:space="preserve">Jaunākais 2017.gadā publicētais sistemātiskais apskats un </w:t>
            </w:r>
            <w:proofErr w:type="spellStart"/>
            <w:r w:rsidRPr="00A7677E">
              <w:rPr>
                <w:rFonts w:ascii="Times New Roman" w:hAnsi="Times New Roman" w:cs="Times New Roman"/>
                <w:sz w:val="24"/>
                <w:szCs w:val="24"/>
              </w:rPr>
              <w:t>metaanalīze</w:t>
            </w:r>
            <w:proofErr w:type="spellEnd"/>
            <w:r w:rsidRPr="00A7677E">
              <w:rPr>
                <w:rFonts w:ascii="Times New Roman" w:hAnsi="Times New Roman" w:cs="Times New Roman"/>
                <w:sz w:val="24"/>
                <w:szCs w:val="24"/>
              </w:rPr>
              <w:t xml:space="preserve"> liecina par plaša spektra dažādiem azartspēļu spēlēšanas riska un asociētajiem faktoriem. Pierādījumu līmenis katram no tiem ir atšķirīgs, taču ir vērojamas atsevišķas faktoru grupas, kas viennozīmīgi ir saistītas ar azartspēļu atkarību</w:t>
            </w:r>
            <w:r w:rsidRPr="00A7677E">
              <w:rPr>
                <w:rStyle w:val="FootnoteReference"/>
                <w:rFonts w:ascii="Times New Roman" w:hAnsi="Times New Roman"/>
                <w:sz w:val="24"/>
                <w:szCs w:val="24"/>
              </w:rPr>
              <w:footnoteReference w:id="1"/>
            </w:r>
            <w:r w:rsidRPr="00A7677E">
              <w:rPr>
                <w:rFonts w:ascii="Times New Roman" w:hAnsi="Times New Roman" w:cs="Times New Roman"/>
                <w:sz w:val="24"/>
                <w:szCs w:val="24"/>
              </w:rPr>
              <w:t>:</w:t>
            </w:r>
          </w:p>
          <w:p w:rsidR="000C7369" w:rsidRPr="000F32C5" w:rsidRDefault="000C7369" w:rsidP="000C26C3">
            <w:pPr>
              <w:pStyle w:val="ListParagraph"/>
              <w:numPr>
                <w:ilvl w:val="0"/>
                <w:numId w:val="1"/>
              </w:numPr>
              <w:tabs>
                <w:tab w:val="left" w:pos="399"/>
              </w:tabs>
              <w:ind w:left="0" w:firstLine="115"/>
              <w:jc w:val="both"/>
              <w:rPr>
                <w:strike/>
                <w:sz w:val="24"/>
                <w:szCs w:val="24"/>
                <w:lang w:val="lv-LV"/>
              </w:rPr>
            </w:pPr>
            <w:r w:rsidRPr="000F32C5">
              <w:rPr>
                <w:sz w:val="24"/>
                <w:szCs w:val="24"/>
                <w:lang w:val="lv-LV"/>
              </w:rPr>
              <w:t xml:space="preserve">sociāli demogrāfiskie faktori – </w:t>
            </w:r>
            <w:proofErr w:type="spellStart"/>
            <w:r w:rsidRPr="000F32C5">
              <w:rPr>
                <w:sz w:val="24"/>
                <w:szCs w:val="24"/>
                <w:lang w:val="lv-LV"/>
              </w:rPr>
              <w:t>metaanalīze</w:t>
            </w:r>
            <w:proofErr w:type="spellEnd"/>
            <w:r w:rsidRPr="000F32C5">
              <w:rPr>
                <w:sz w:val="24"/>
                <w:szCs w:val="24"/>
                <w:lang w:val="lv-LV"/>
              </w:rPr>
              <w:t xml:space="preserve"> liecina, ka no visiem šiem faktoriem dzimums ir visnozīmīgākais neatkarīgais riska faktors. Proti, vīriešiem ir ievērojami augstāks azartspēļu atkarības risks nekā sievietēm. Vienlaikus tiek atzīts, ka cēlonība var nebūt bioloģiskas dabas;</w:t>
            </w:r>
          </w:p>
          <w:p w:rsidR="000C7369" w:rsidRPr="000F32C5" w:rsidRDefault="000C7369" w:rsidP="000C26C3">
            <w:pPr>
              <w:pStyle w:val="ListParagraph"/>
              <w:numPr>
                <w:ilvl w:val="0"/>
                <w:numId w:val="1"/>
              </w:numPr>
              <w:tabs>
                <w:tab w:val="left" w:pos="399"/>
              </w:tabs>
              <w:ind w:left="0" w:firstLine="115"/>
              <w:jc w:val="both"/>
              <w:rPr>
                <w:strike/>
                <w:sz w:val="24"/>
                <w:szCs w:val="24"/>
                <w:lang w:val="lv-LV"/>
              </w:rPr>
            </w:pPr>
            <w:r w:rsidRPr="000F32C5">
              <w:rPr>
                <w:sz w:val="24"/>
                <w:szCs w:val="24"/>
                <w:lang w:val="lv-LV"/>
              </w:rPr>
              <w:t xml:space="preserve">vēl ir pierādīts, ka azartspēļu spēlēšana bērnībā un pusaudža gados ir saistīta ar augstāku risku veidoties azartspēļu atkarībai turpmākās dzīves laikā; </w:t>
            </w:r>
          </w:p>
          <w:p w:rsidR="000C7369" w:rsidRPr="000F32C5" w:rsidRDefault="000C7369" w:rsidP="000C26C3">
            <w:pPr>
              <w:pStyle w:val="ListParagraph"/>
              <w:numPr>
                <w:ilvl w:val="0"/>
                <w:numId w:val="1"/>
              </w:numPr>
              <w:tabs>
                <w:tab w:val="left" w:pos="399"/>
              </w:tabs>
              <w:ind w:left="0" w:firstLine="115"/>
              <w:jc w:val="both"/>
              <w:rPr>
                <w:strike/>
                <w:sz w:val="24"/>
                <w:szCs w:val="24"/>
                <w:lang w:val="lv-LV"/>
              </w:rPr>
            </w:pPr>
            <w:r w:rsidRPr="000F32C5">
              <w:rPr>
                <w:sz w:val="24"/>
                <w:szCs w:val="24"/>
                <w:lang w:val="lv-LV"/>
              </w:rPr>
              <w:t xml:space="preserve">atkarību izraisošās vielas – tabakas, alkohola, kā arī kanabisa un citu nelegālo vielu lietošana ir konstanti saistīta ar azartspēļu spēlēšanu un atkarību; </w:t>
            </w:r>
          </w:p>
          <w:p w:rsidR="000C7369" w:rsidRPr="00501D91" w:rsidRDefault="000C7369" w:rsidP="000C26C3">
            <w:pPr>
              <w:pStyle w:val="ListParagraph"/>
              <w:numPr>
                <w:ilvl w:val="0"/>
                <w:numId w:val="1"/>
              </w:numPr>
              <w:tabs>
                <w:tab w:val="left" w:pos="399"/>
              </w:tabs>
              <w:ind w:left="0" w:firstLine="115"/>
              <w:jc w:val="both"/>
              <w:rPr>
                <w:sz w:val="24"/>
                <w:szCs w:val="24"/>
                <w:lang w:val="lv-LV"/>
              </w:rPr>
            </w:pPr>
            <w:r w:rsidRPr="000F32C5">
              <w:rPr>
                <w:sz w:val="24"/>
                <w:szCs w:val="24"/>
                <w:lang w:val="lv-LV"/>
              </w:rPr>
              <w:t xml:space="preserve">uzvedības faktori – atrasta cieša sakarība starp azartspēļu spēlēšanu un antisociālu un vardarbīgu uzvedību, īpaši jauniešu vidū. </w:t>
            </w:r>
            <w:r w:rsidR="00C74B26" w:rsidRPr="000F32C5">
              <w:rPr>
                <w:sz w:val="24"/>
                <w:szCs w:val="24"/>
                <w:lang w:val="lv-LV"/>
              </w:rPr>
              <w:t xml:space="preserve">Azartspēļu spēlēšana </w:t>
            </w:r>
            <w:r w:rsidR="000F32C5">
              <w:rPr>
                <w:sz w:val="24"/>
                <w:szCs w:val="24"/>
                <w:lang w:val="lv-LV"/>
              </w:rPr>
              <w:t xml:space="preserve">tiešā veidā ietekmē </w:t>
            </w:r>
            <w:r w:rsidR="00C74B26" w:rsidRPr="000F32C5">
              <w:rPr>
                <w:sz w:val="24"/>
                <w:szCs w:val="24"/>
                <w:lang w:val="lv-LV"/>
              </w:rPr>
              <w:t>sekm</w:t>
            </w:r>
            <w:r w:rsidR="000F32C5">
              <w:rPr>
                <w:sz w:val="24"/>
                <w:szCs w:val="24"/>
                <w:lang w:val="lv-LV"/>
              </w:rPr>
              <w:t>es</w:t>
            </w:r>
            <w:r w:rsidR="00C74B26" w:rsidRPr="00501D91">
              <w:rPr>
                <w:sz w:val="24"/>
                <w:szCs w:val="24"/>
                <w:lang w:val="lv-LV"/>
              </w:rPr>
              <w:t xml:space="preserve"> mācībās</w:t>
            </w:r>
            <w:r w:rsidRPr="00501D91">
              <w:rPr>
                <w:sz w:val="24"/>
                <w:szCs w:val="24"/>
                <w:lang w:val="lv-LV"/>
              </w:rPr>
              <w:t>;</w:t>
            </w:r>
          </w:p>
          <w:p w:rsidR="000C7369" w:rsidRPr="00501D91" w:rsidRDefault="000C7369" w:rsidP="000C26C3">
            <w:pPr>
              <w:pStyle w:val="ListParagraph"/>
              <w:numPr>
                <w:ilvl w:val="0"/>
                <w:numId w:val="1"/>
              </w:numPr>
              <w:tabs>
                <w:tab w:val="left" w:pos="399"/>
              </w:tabs>
              <w:ind w:left="0" w:firstLine="115"/>
              <w:jc w:val="both"/>
              <w:rPr>
                <w:sz w:val="24"/>
                <w:szCs w:val="24"/>
                <w:lang w:val="lv-LV"/>
              </w:rPr>
            </w:pPr>
            <w:r w:rsidRPr="00501D91">
              <w:rPr>
                <w:sz w:val="24"/>
                <w:szCs w:val="24"/>
                <w:lang w:val="lv-LV"/>
              </w:rPr>
              <w:t>personības faktori – azartspēļu spēlēšana ir raksturīga impulsīvām, temperamentīgām personām (ar tendenci būt nepacietīgām, ļoti aktīvām, impulsīvām, viegli aizkaitināmām, tādām, kas nespēj paredzēt negatīvas sekas savai rīcībai, kas nespēj neatbildēt impulsam, neskatoties uz potenciāli negatīvām sekām u.tml.);</w:t>
            </w:r>
          </w:p>
          <w:p w:rsidR="000C7369" w:rsidRPr="00501D91" w:rsidRDefault="000C7369" w:rsidP="000C26C3">
            <w:pPr>
              <w:pStyle w:val="ListParagraph"/>
              <w:numPr>
                <w:ilvl w:val="0"/>
                <w:numId w:val="1"/>
              </w:numPr>
              <w:tabs>
                <w:tab w:val="left" w:pos="399"/>
              </w:tabs>
              <w:ind w:left="0" w:firstLine="115"/>
              <w:jc w:val="both"/>
              <w:rPr>
                <w:sz w:val="24"/>
                <w:szCs w:val="24"/>
                <w:lang w:val="lv-LV"/>
              </w:rPr>
            </w:pPr>
            <w:proofErr w:type="spellStart"/>
            <w:r w:rsidRPr="00501D91">
              <w:rPr>
                <w:sz w:val="24"/>
                <w:szCs w:val="24"/>
                <w:lang w:val="lv-LV"/>
              </w:rPr>
              <w:lastRenderedPageBreak/>
              <w:t>internalizēti</w:t>
            </w:r>
            <w:proofErr w:type="spellEnd"/>
            <w:r w:rsidRPr="00501D91">
              <w:rPr>
                <w:sz w:val="24"/>
                <w:szCs w:val="24"/>
                <w:lang w:val="lv-LV"/>
              </w:rPr>
              <w:t xml:space="preserve"> simptomi – depresija, trauksme, </w:t>
            </w:r>
            <w:proofErr w:type="spellStart"/>
            <w:r w:rsidRPr="00501D91">
              <w:rPr>
                <w:sz w:val="24"/>
                <w:szCs w:val="24"/>
                <w:lang w:val="lv-LV"/>
              </w:rPr>
              <w:t>distress</w:t>
            </w:r>
            <w:proofErr w:type="spellEnd"/>
            <w:r w:rsidRPr="00501D91">
              <w:rPr>
                <w:sz w:val="24"/>
                <w:szCs w:val="24"/>
                <w:lang w:val="lv-LV"/>
              </w:rPr>
              <w:t xml:space="preserve">, </w:t>
            </w:r>
            <w:proofErr w:type="spellStart"/>
            <w:r w:rsidRPr="00501D91">
              <w:rPr>
                <w:sz w:val="24"/>
                <w:szCs w:val="24"/>
                <w:lang w:val="lv-LV"/>
              </w:rPr>
              <w:t>suicidālas</w:t>
            </w:r>
            <w:proofErr w:type="spellEnd"/>
            <w:r w:rsidRPr="00501D91">
              <w:rPr>
                <w:sz w:val="24"/>
                <w:szCs w:val="24"/>
                <w:lang w:val="lv-LV"/>
              </w:rPr>
              <w:t xml:space="preserve"> domas arī ir cieši saistītas ar azartspēļu atkarību, sevišķi jauniešu populācijā. </w:t>
            </w:r>
          </w:p>
          <w:p w:rsidR="003112BF" w:rsidRPr="003D0135" w:rsidRDefault="000C7369" w:rsidP="003D0135">
            <w:pPr>
              <w:ind w:firstLine="709"/>
              <w:jc w:val="both"/>
              <w:rPr>
                <w:bCs/>
                <w:sz w:val="28"/>
                <w:szCs w:val="28"/>
                <w:u w:val="single"/>
              </w:rPr>
            </w:pPr>
            <w:r w:rsidRPr="00A7677E">
              <w:rPr>
                <w:rFonts w:ascii="Times New Roman" w:hAnsi="Times New Roman" w:cs="Times New Roman"/>
                <w:sz w:val="24"/>
                <w:szCs w:val="24"/>
              </w:rPr>
              <w:t xml:space="preserve">Likumprojekts paredz, ka, ja elektronisko sakaru komersants </w:t>
            </w:r>
            <w:r w:rsidR="000F32C5">
              <w:rPr>
                <w:rFonts w:ascii="Times New Roman" w:hAnsi="Times New Roman" w:cs="Times New Roman"/>
                <w:sz w:val="24"/>
                <w:szCs w:val="24"/>
              </w:rPr>
              <w:t>neizpildīs</w:t>
            </w:r>
            <w:r w:rsidR="000F32C5" w:rsidRPr="00A7677E">
              <w:rPr>
                <w:rFonts w:ascii="Times New Roman" w:hAnsi="Times New Roman" w:cs="Times New Roman"/>
                <w:sz w:val="24"/>
                <w:szCs w:val="24"/>
              </w:rPr>
              <w:t xml:space="preserve"> </w:t>
            </w:r>
            <w:r w:rsidRPr="00A7677E">
              <w:rPr>
                <w:rFonts w:ascii="Times New Roman" w:hAnsi="Times New Roman" w:cs="Times New Roman"/>
                <w:sz w:val="24"/>
                <w:szCs w:val="24"/>
              </w:rPr>
              <w:t xml:space="preserve">Elektronisko sakaru likuma 19.panta pirmās daļas 22.punktā noteikto pienākumu - piekļuves ierobežošanu </w:t>
            </w:r>
            <w:r w:rsidRPr="00A7677E">
              <w:rPr>
                <w:rFonts w:ascii="Times New Roman" w:hAnsi="Times New Roman" w:cs="Times New Roman"/>
                <w:bCs/>
                <w:sz w:val="24"/>
                <w:szCs w:val="24"/>
              </w:rPr>
              <w:t xml:space="preserve">nelicencētu interaktīvo azartspēļu vai interaktīvo izložu </w:t>
            </w:r>
            <w:r w:rsidR="00746381" w:rsidRPr="00A7677E">
              <w:rPr>
                <w:rFonts w:ascii="Times New Roman" w:hAnsi="Times New Roman" w:cs="Times New Roman"/>
                <w:bCs/>
                <w:sz w:val="24"/>
                <w:szCs w:val="24"/>
              </w:rPr>
              <w:t>organizētāj</w:t>
            </w:r>
            <w:r w:rsidR="00746381">
              <w:rPr>
                <w:rFonts w:ascii="Times New Roman" w:hAnsi="Times New Roman" w:cs="Times New Roman"/>
                <w:bCs/>
                <w:sz w:val="24"/>
                <w:szCs w:val="24"/>
              </w:rPr>
              <w:t xml:space="preserve">a </w:t>
            </w:r>
            <w:r w:rsidR="00746381" w:rsidRPr="00A7677E">
              <w:rPr>
                <w:rFonts w:ascii="Times New Roman" w:hAnsi="Times New Roman" w:cs="Times New Roman"/>
                <w:bCs/>
                <w:sz w:val="24"/>
                <w:szCs w:val="24"/>
              </w:rPr>
              <w:t xml:space="preserve"> </w:t>
            </w:r>
            <w:r w:rsidR="00746381">
              <w:rPr>
                <w:rFonts w:ascii="Times New Roman" w:hAnsi="Times New Roman" w:cs="Times New Roman"/>
                <w:bCs/>
                <w:sz w:val="24"/>
                <w:szCs w:val="24"/>
              </w:rPr>
              <w:t xml:space="preserve"> domēnam vai interneta protokolam (IP)</w:t>
            </w:r>
            <w:r w:rsidR="003D0135">
              <w:rPr>
                <w:rFonts w:ascii="Times New Roman" w:hAnsi="Times New Roman" w:cs="Times New Roman"/>
                <w:bCs/>
                <w:sz w:val="24"/>
                <w:szCs w:val="24"/>
              </w:rPr>
              <w:t>,</w:t>
            </w:r>
            <w:r w:rsidR="00746381">
              <w:rPr>
                <w:rFonts w:ascii="Times New Roman" w:hAnsi="Times New Roman" w:cs="Times New Roman"/>
                <w:bCs/>
                <w:sz w:val="24"/>
                <w:szCs w:val="24"/>
              </w:rPr>
              <w:t xml:space="preserve"> </w:t>
            </w:r>
            <w:r w:rsidR="003D0135">
              <w:rPr>
                <w:rFonts w:ascii="Times New Roman" w:hAnsi="Times New Roman" w:cs="Times New Roman"/>
                <w:bCs/>
                <w:sz w:val="24"/>
                <w:szCs w:val="24"/>
              </w:rPr>
              <w:t xml:space="preserve">var </w:t>
            </w:r>
            <w:r w:rsidR="00746381" w:rsidRPr="003112BF">
              <w:rPr>
                <w:rFonts w:ascii="Times New Roman" w:hAnsi="Times New Roman" w:cs="Times New Roman"/>
                <w:bCs/>
                <w:sz w:val="24"/>
                <w:szCs w:val="24"/>
              </w:rPr>
              <w:t>tik</w:t>
            </w:r>
            <w:r w:rsidR="003D0135">
              <w:rPr>
                <w:rFonts w:ascii="Times New Roman" w:hAnsi="Times New Roman" w:cs="Times New Roman"/>
                <w:bCs/>
                <w:sz w:val="24"/>
                <w:szCs w:val="24"/>
              </w:rPr>
              <w:t>t</w:t>
            </w:r>
            <w:r w:rsidR="00746381" w:rsidRPr="003112BF">
              <w:rPr>
                <w:rFonts w:ascii="Times New Roman" w:hAnsi="Times New Roman" w:cs="Times New Roman"/>
                <w:bCs/>
                <w:sz w:val="24"/>
                <w:szCs w:val="24"/>
              </w:rPr>
              <w:t xml:space="preserve"> piemērot</w:t>
            </w:r>
            <w:r w:rsidR="003D0135">
              <w:rPr>
                <w:rFonts w:ascii="Times New Roman" w:hAnsi="Times New Roman" w:cs="Times New Roman"/>
                <w:bCs/>
                <w:sz w:val="24"/>
                <w:szCs w:val="24"/>
              </w:rPr>
              <w:t>s naudas sods maksimālā apmērā</w:t>
            </w:r>
            <w:r w:rsidR="00746381" w:rsidRPr="003112BF">
              <w:rPr>
                <w:rFonts w:ascii="Times New Roman" w:hAnsi="Times New Roman" w:cs="Times New Roman"/>
                <w:bCs/>
                <w:sz w:val="24"/>
                <w:szCs w:val="24"/>
              </w:rPr>
              <w:t xml:space="preserve"> līdz </w:t>
            </w:r>
            <w:r w:rsidR="00746381" w:rsidRPr="00501D91">
              <w:rPr>
                <w:rFonts w:ascii="Times New Roman" w:hAnsi="Times New Roman" w:cs="Times New Roman"/>
                <w:sz w:val="24"/>
                <w:szCs w:val="24"/>
              </w:rPr>
              <w:t xml:space="preserve">četrpadsmit tūkstoš </w:t>
            </w:r>
            <w:r w:rsidR="00746381" w:rsidRPr="00501D91">
              <w:rPr>
                <w:rFonts w:ascii="Times New Roman" w:hAnsi="Times New Roman" w:cs="Times New Roman"/>
                <w:i/>
                <w:iCs/>
                <w:sz w:val="24"/>
                <w:szCs w:val="24"/>
              </w:rPr>
              <w:t>euro.</w:t>
            </w:r>
            <w:r w:rsidR="00746381" w:rsidRPr="00501D91">
              <w:rPr>
                <w:rFonts w:ascii="Times New Roman" w:hAnsi="Times New Roman" w:cs="Times New Roman"/>
                <w:sz w:val="24"/>
                <w:szCs w:val="24"/>
              </w:rPr>
              <w:t xml:space="preserve"> </w:t>
            </w:r>
            <w:r w:rsidRPr="00A7677E">
              <w:rPr>
                <w:rFonts w:ascii="Times New Roman" w:hAnsi="Times New Roman" w:cs="Times New Roman"/>
                <w:sz w:val="24"/>
                <w:szCs w:val="24"/>
              </w:rPr>
              <w:t xml:space="preserve">Šāds naudas soda apmērs nodrošina samērīguma principa ievērošanu. </w:t>
            </w:r>
          </w:p>
          <w:p w:rsidR="003112BF" w:rsidRDefault="003112BF" w:rsidP="000C7369">
            <w:pPr>
              <w:spacing w:after="0" w:line="240" w:lineRule="auto"/>
              <w:contextualSpacing/>
              <w:jc w:val="both"/>
              <w:rPr>
                <w:rFonts w:ascii="Times New Roman" w:hAnsi="Times New Roman" w:cs="Times New Roman"/>
                <w:sz w:val="24"/>
                <w:szCs w:val="24"/>
              </w:rPr>
            </w:pPr>
            <w:r w:rsidRPr="00746381">
              <w:rPr>
                <w:rFonts w:ascii="Times New Roman" w:hAnsi="Times New Roman" w:cs="Times New Roman"/>
                <w:sz w:val="24"/>
                <w:szCs w:val="24"/>
              </w:rPr>
              <w:t>Atbilstoši Latvijas interaktīvo azartspēļu biedrības sniegtajai informācijai</w:t>
            </w:r>
            <w:r w:rsidRPr="00935114">
              <w:rPr>
                <w:rFonts w:ascii="Times New Roman" w:hAnsi="Times New Roman" w:cs="Times New Roman"/>
                <w:sz w:val="24"/>
                <w:szCs w:val="24"/>
              </w:rPr>
              <w:t xml:space="preserve"> no IAUI sarakstā norādītajām bloķētajām mājaslapām pārbaudes ietvaros nejauši </w:t>
            </w:r>
            <w:r>
              <w:rPr>
                <w:rFonts w:ascii="Times New Roman" w:hAnsi="Times New Roman" w:cs="Times New Roman"/>
                <w:sz w:val="24"/>
                <w:szCs w:val="24"/>
              </w:rPr>
              <w:t xml:space="preserve">bija </w:t>
            </w:r>
            <w:r w:rsidRPr="00935114">
              <w:rPr>
                <w:rFonts w:ascii="Times New Roman" w:hAnsi="Times New Roman" w:cs="Times New Roman"/>
                <w:sz w:val="24"/>
                <w:szCs w:val="24"/>
              </w:rPr>
              <w:t>izvēlē</w:t>
            </w:r>
            <w:r>
              <w:rPr>
                <w:rFonts w:ascii="Times New Roman" w:hAnsi="Times New Roman" w:cs="Times New Roman"/>
                <w:sz w:val="24"/>
                <w:szCs w:val="24"/>
              </w:rPr>
              <w:t>tas</w:t>
            </w:r>
            <w:r w:rsidRPr="00935114">
              <w:rPr>
                <w:rFonts w:ascii="Times New Roman" w:hAnsi="Times New Roman" w:cs="Times New Roman"/>
                <w:sz w:val="24"/>
                <w:szCs w:val="24"/>
              </w:rPr>
              <w:t xml:space="preserve"> vismaz 30 (trīsdesmit) mājaslapas, no kurām piekļūt nebija iespējams tikai 6 (sešām).</w:t>
            </w:r>
          </w:p>
          <w:p w:rsidR="000C7369" w:rsidRPr="00A7677E" w:rsidRDefault="000C7369" w:rsidP="000C7369">
            <w:pPr>
              <w:spacing w:after="0" w:line="240" w:lineRule="auto"/>
              <w:contextualSpacing/>
              <w:jc w:val="both"/>
              <w:rPr>
                <w:rFonts w:ascii="Times New Roman" w:hAnsi="Times New Roman" w:cs="Times New Roman"/>
                <w:sz w:val="24"/>
                <w:szCs w:val="24"/>
              </w:rPr>
            </w:pPr>
            <w:r w:rsidRPr="00A7677E">
              <w:rPr>
                <w:rFonts w:ascii="Times New Roman" w:hAnsi="Times New Roman" w:cs="Times New Roman"/>
                <w:sz w:val="24"/>
                <w:szCs w:val="24"/>
              </w:rPr>
              <w:t>Ņemot vērā, kādu kaitējumu nodara neierob</w:t>
            </w:r>
            <w:r w:rsidR="001B7CB3" w:rsidRPr="00A7677E">
              <w:rPr>
                <w:rFonts w:ascii="Times New Roman" w:hAnsi="Times New Roman" w:cs="Times New Roman"/>
                <w:sz w:val="24"/>
                <w:szCs w:val="24"/>
              </w:rPr>
              <w:t xml:space="preserve">ežota piekļuve </w:t>
            </w:r>
            <w:r w:rsidR="00A5495C" w:rsidRPr="00ED190C">
              <w:rPr>
                <w:rFonts w:ascii="Times New Roman" w:hAnsi="Times New Roman" w:cs="Times New Roman"/>
                <w:sz w:val="24"/>
                <w:szCs w:val="24"/>
              </w:rPr>
              <w:t>Latvijas Republikā</w:t>
            </w:r>
            <w:r w:rsidR="001B7CB3" w:rsidRPr="00A7677E">
              <w:rPr>
                <w:rFonts w:ascii="Times New Roman" w:hAnsi="Times New Roman" w:cs="Times New Roman"/>
                <w:sz w:val="24"/>
                <w:szCs w:val="24"/>
              </w:rPr>
              <w:t xml:space="preserve"> nelicencētām interaktīv</w:t>
            </w:r>
            <w:r w:rsidRPr="00A7677E">
              <w:rPr>
                <w:rFonts w:ascii="Times New Roman" w:hAnsi="Times New Roman" w:cs="Times New Roman"/>
                <w:sz w:val="24"/>
                <w:szCs w:val="24"/>
              </w:rPr>
              <w:t>ām azartspēlēm</w:t>
            </w:r>
            <w:r w:rsidR="000F32C5">
              <w:rPr>
                <w:rFonts w:ascii="Times New Roman" w:hAnsi="Times New Roman" w:cs="Times New Roman"/>
                <w:sz w:val="24"/>
                <w:szCs w:val="24"/>
              </w:rPr>
              <w:t xml:space="preserve"> un interaktīvām izlozēm</w:t>
            </w:r>
            <w:r w:rsidRPr="00A7677E">
              <w:rPr>
                <w:rFonts w:ascii="Times New Roman" w:hAnsi="Times New Roman" w:cs="Times New Roman"/>
                <w:sz w:val="24"/>
                <w:szCs w:val="24"/>
              </w:rPr>
              <w:t>, kā arī to, ka elektronisko sakaru komersantu rīcība</w:t>
            </w:r>
            <w:r w:rsidR="001B7CB3" w:rsidRPr="00A7677E">
              <w:rPr>
                <w:rFonts w:ascii="Times New Roman" w:hAnsi="Times New Roman" w:cs="Times New Roman"/>
                <w:sz w:val="24"/>
                <w:szCs w:val="24"/>
              </w:rPr>
              <w:t>,</w:t>
            </w:r>
            <w:r w:rsidRPr="00A7677E">
              <w:rPr>
                <w:rFonts w:ascii="Times New Roman" w:hAnsi="Times New Roman" w:cs="Times New Roman"/>
                <w:sz w:val="24"/>
                <w:szCs w:val="24"/>
              </w:rPr>
              <w:t xml:space="preserve"> neierobežojot piekļuvi </w:t>
            </w:r>
            <w:r w:rsidR="00A5495C" w:rsidRPr="00ED190C">
              <w:rPr>
                <w:rFonts w:ascii="Times New Roman" w:hAnsi="Times New Roman" w:cs="Times New Roman"/>
                <w:sz w:val="24"/>
                <w:szCs w:val="24"/>
              </w:rPr>
              <w:t>Latvijas Republikā</w:t>
            </w:r>
            <w:r w:rsidR="001B7CB3" w:rsidRPr="00A7677E">
              <w:rPr>
                <w:rFonts w:ascii="Times New Roman" w:hAnsi="Times New Roman" w:cs="Times New Roman"/>
                <w:sz w:val="24"/>
                <w:szCs w:val="24"/>
              </w:rPr>
              <w:t xml:space="preserve"> nelicencētām</w:t>
            </w:r>
            <w:r w:rsidRPr="00A7677E">
              <w:rPr>
                <w:rFonts w:ascii="Times New Roman" w:hAnsi="Times New Roman" w:cs="Times New Roman"/>
                <w:sz w:val="24"/>
                <w:szCs w:val="24"/>
              </w:rPr>
              <w:t xml:space="preserve"> azartspēlēm un izlozēm, rada </w:t>
            </w:r>
            <w:r w:rsidR="00615EBB">
              <w:rPr>
                <w:rFonts w:ascii="Times New Roman" w:hAnsi="Times New Roman" w:cs="Times New Roman"/>
                <w:sz w:val="24"/>
                <w:szCs w:val="24"/>
              </w:rPr>
              <w:t>konkrētu</w:t>
            </w:r>
            <w:r w:rsidR="00615EBB" w:rsidRPr="00A7677E">
              <w:rPr>
                <w:rFonts w:ascii="Times New Roman" w:hAnsi="Times New Roman" w:cs="Times New Roman"/>
                <w:sz w:val="24"/>
                <w:szCs w:val="24"/>
              </w:rPr>
              <w:t xml:space="preserve"> </w:t>
            </w:r>
            <w:r w:rsidRPr="00A7677E">
              <w:rPr>
                <w:rFonts w:ascii="Times New Roman" w:hAnsi="Times New Roman" w:cs="Times New Roman"/>
                <w:sz w:val="24"/>
                <w:szCs w:val="24"/>
              </w:rPr>
              <w:t xml:space="preserve">kaitējumu sabiedrībai, </w:t>
            </w:r>
            <w:r w:rsidR="00187C15" w:rsidRPr="00A7677E">
              <w:rPr>
                <w:rFonts w:ascii="Times New Roman" w:hAnsi="Times New Roman" w:cs="Times New Roman"/>
                <w:sz w:val="24"/>
                <w:szCs w:val="24"/>
              </w:rPr>
              <w:t xml:space="preserve">t.sk. nenodrošinot nodokļu ieņēmumus no azartspēļu nodokļa un no ar iedzīvotāju ienākuma nodokli apliekamiem laimestiem, </w:t>
            </w:r>
            <w:r w:rsidRPr="00A7677E">
              <w:rPr>
                <w:rFonts w:ascii="Times New Roman" w:hAnsi="Times New Roman" w:cs="Times New Roman"/>
                <w:sz w:val="24"/>
                <w:szCs w:val="24"/>
              </w:rPr>
              <w:t>noteiktais naudas soda apmērs</w:t>
            </w:r>
            <w:r w:rsidR="001B7CB3" w:rsidRPr="00A7677E">
              <w:rPr>
                <w:rFonts w:ascii="Times New Roman" w:hAnsi="Times New Roman" w:cs="Times New Roman"/>
                <w:sz w:val="24"/>
                <w:szCs w:val="24"/>
              </w:rPr>
              <w:t xml:space="preserve"> ir</w:t>
            </w:r>
            <w:r w:rsidRPr="00A7677E">
              <w:rPr>
                <w:rFonts w:ascii="Times New Roman" w:hAnsi="Times New Roman" w:cs="Times New Roman"/>
                <w:sz w:val="24"/>
                <w:szCs w:val="24"/>
              </w:rPr>
              <w:t xml:space="preserve"> samērīgs.</w:t>
            </w:r>
          </w:p>
          <w:p w:rsidR="0025192E" w:rsidRPr="00A7677E" w:rsidRDefault="0025192E" w:rsidP="001B7CB3">
            <w:pPr>
              <w:spacing w:after="0" w:line="240" w:lineRule="auto"/>
              <w:contextualSpacing/>
              <w:jc w:val="both"/>
              <w:rPr>
                <w:rFonts w:ascii="Times New Roman" w:hAnsi="Times New Roman" w:cs="Times New Roman"/>
                <w:sz w:val="24"/>
                <w:szCs w:val="24"/>
              </w:rPr>
            </w:pPr>
            <w:r w:rsidRPr="00A7677E">
              <w:rPr>
                <w:rFonts w:ascii="Times New Roman" w:hAnsi="Times New Roman" w:cs="Times New Roman"/>
                <w:sz w:val="24"/>
                <w:szCs w:val="24"/>
              </w:rPr>
              <w:t xml:space="preserve">Lai efektīvāk ierobežotu </w:t>
            </w:r>
            <w:r w:rsidR="00A5495C" w:rsidRPr="00ED190C">
              <w:rPr>
                <w:rFonts w:ascii="Times New Roman" w:hAnsi="Times New Roman" w:cs="Times New Roman"/>
                <w:sz w:val="24"/>
                <w:szCs w:val="24"/>
              </w:rPr>
              <w:t>Latvijas Republikā</w:t>
            </w:r>
            <w:r w:rsidR="001B7CB3" w:rsidRPr="00A7677E">
              <w:rPr>
                <w:rFonts w:ascii="Times New Roman" w:hAnsi="Times New Roman" w:cs="Times New Roman"/>
                <w:sz w:val="24"/>
                <w:szCs w:val="24"/>
              </w:rPr>
              <w:t xml:space="preserve"> nelicencētu</w:t>
            </w:r>
            <w:r w:rsidRPr="00A7677E">
              <w:rPr>
                <w:rFonts w:ascii="Times New Roman" w:hAnsi="Times New Roman" w:cs="Times New Roman"/>
                <w:sz w:val="24"/>
                <w:szCs w:val="24"/>
              </w:rPr>
              <w:t xml:space="preserve"> interaktīvo azartspēļu un interaktīvo izložu pieejamību, nosakot atbildību elektronisko sakaru komersantiem par piekļuves neierobežošanu </w:t>
            </w:r>
            <w:r w:rsidR="00A5495C" w:rsidRPr="00ED190C">
              <w:rPr>
                <w:rFonts w:ascii="Times New Roman" w:hAnsi="Times New Roman" w:cs="Times New Roman"/>
                <w:sz w:val="24"/>
                <w:szCs w:val="24"/>
              </w:rPr>
              <w:t>Latvijas Republikā</w:t>
            </w:r>
            <w:r w:rsidR="00C53DB0">
              <w:rPr>
                <w:rFonts w:ascii="Times New Roman" w:hAnsi="Times New Roman" w:cs="Times New Roman"/>
                <w:sz w:val="24"/>
                <w:szCs w:val="24"/>
              </w:rPr>
              <w:t xml:space="preserve"> nelicencēta</w:t>
            </w:r>
            <w:r w:rsidRPr="00A7677E">
              <w:rPr>
                <w:rFonts w:ascii="Times New Roman" w:hAnsi="Times New Roman" w:cs="Times New Roman"/>
                <w:sz w:val="24"/>
                <w:szCs w:val="24"/>
              </w:rPr>
              <w:t xml:space="preserve"> interaktīvo azartspēļu un interaktīvo izložu organizētāj</w:t>
            </w:r>
            <w:r w:rsidR="00C53DB0">
              <w:rPr>
                <w:rFonts w:ascii="Times New Roman" w:hAnsi="Times New Roman" w:cs="Times New Roman"/>
                <w:sz w:val="24"/>
                <w:szCs w:val="24"/>
              </w:rPr>
              <w:t>a</w:t>
            </w:r>
            <w:r w:rsidR="001B7CB3" w:rsidRPr="00A7677E">
              <w:rPr>
                <w:rFonts w:ascii="Times New Roman" w:hAnsi="Times New Roman" w:cs="Times New Roman"/>
                <w:sz w:val="24"/>
                <w:szCs w:val="24"/>
              </w:rPr>
              <w:t xml:space="preserve"> domēn</w:t>
            </w:r>
            <w:r w:rsidR="00C53DB0">
              <w:rPr>
                <w:rFonts w:ascii="Times New Roman" w:hAnsi="Times New Roman" w:cs="Times New Roman"/>
                <w:sz w:val="24"/>
                <w:szCs w:val="24"/>
              </w:rPr>
              <w:t>a</w:t>
            </w:r>
            <w:r w:rsidR="003112BF">
              <w:rPr>
                <w:rFonts w:ascii="Times New Roman" w:hAnsi="Times New Roman" w:cs="Times New Roman"/>
                <w:sz w:val="24"/>
                <w:szCs w:val="24"/>
              </w:rPr>
              <w:t>m</w:t>
            </w:r>
            <w:r w:rsidR="001B7CB3" w:rsidRPr="00A7677E">
              <w:rPr>
                <w:rFonts w:ascii="Times New Roman" w:hAnsi="Times New Roman" w:cs="Times New Roman"/>
                <w:sz w:val="24"/>
                <w:szCs w:val="24"/>
              </w:rPr>
              <w:t xml:space="preserve"> vai</w:t>
            </w:r>
            <w:r w:rsidRPr="00A7677E">
              <w:rPr>
                <w:rFonts w:ascii="Times New Roman" w:hAnsi="Times New Roman" w:cs="Times New Roman"/>
                <w:sz w:val="24"/>
                <w:szCs w:val="24"/>
              </w:rPr>
              <w:t xml:space="preserve"> interneta p</w:t>
            </w:r>
            <w:r w:rsidR="00C409AC" w:rsidRPr="00A7677E">
              <w:rPr>
                <w:rFonts w:ascii="Times New Roman" w:hAnsi="Times New Roman" w:cs="Times New Roman"/>
                <w:sz w:val="24"/>
                <w:szCs w:val="24"/>
              </w:rPr>
              <w:t>rotokola</w:t>
            </w:r>
            <w:r w:rsidR="003112BF">
              <w:rPr>
                <w:rFonts w:ascii="Times New Roman" w:hAnsi="Times New Roman" w:cs="Times New Roman"/>
                <w:sz w:val="24"/>
                <w:szCs w:val="24"/>
              </w:rPr>
              <w:t>m</w:t>
            </w:r>
            <w:r w:rsidR="00C409AC" w:rsidRPr="00A7677E">
              <w:rPr>
                <w:rFonts w:ascii="Times New Roman" w:hAnsi="Times New Roman" w:cs="Times New Roman"/>
                <w:sz w:val="24"/>
                <w:szCs w:val="24"/>
              </w:rPr>
              <w:t xml:space="preserve"> (IP), paredzēta likumprojekta</w:t>
            </w:r>
            <w:r w:rsidRPr="00A7677E">
              <w:rPr>
                <w:rFonts w:ascii="Times New Roman" w:hAnsi="Times New Roman" w:cs="Times New Roman"/>
                <w:sz w:val="24"/>
                <w:szCs w:val="24"/>
              </w:rPr>
              <w:t xml:space="preserve"> stāšanās spēkā </w:t>
            </w:r>
            <w:r w:rsidR="001B7CB3" w:rsidRPr="00A7677E">
              <w:rPr>
                <w:rFonts w:ascii="Times New Roman" w:hAnsi="Times New Roman" w:cs="Times New Roman"/>
                <w:sz w:val="24"/>
                <w:szCs w:val="24"/>
              </w:rPr>
              <w:t>nākamajā dienā pēc</w:t>
            </w:r>
            <w:r w:rsidR="001840CC" w:rsidRPr="00A7677E">
              <w:rPr>
                <w:rFonts w:ascii="Times New Roman" w:hAnsi="Times New Roman" w:cs="Times New Roman"/>
                <w:sz w:val="24"/>
                <w:szCs w:val="24"/>
              </w:rPr>
              <w:t xml:space="preserve"> tā</w:t>
            </w:r>
            <w:r w:rsidR="001B7CB3" w:rsidRPr="00A7677E">
              <w:rPr>
                <w:rFonts w:ascii="Times New Roman" w:hAnsi="Times New Roman" w:cs="Times New Roman"/>
                <w:sz w:val="24"/>
                <w:szCs w:val="24"/>
              </w:rPr>
              <w:t xml:space="preserve"> izsludināšanas</w:t>
            </w:r>
            <w:r w:rsidRPr="00A7677E">
              <w:rPr>
                <w:rFonts w:ascii="Times New Roman" w:hAnsi="Times New Roman" w:cs="Times New Roman"/>
                <w:sz w:val="24"/>
                <w:szCs w:val="24"/>
              </w:rPr>
              <w:t xml:space="preserve">. </w:t>
            </w:r>
          </w:p>
          <w:p w:rsidR="00C80BEE" w:rsidRDefault="00C80BEE" w:rsidP="003112BF">
            <w:pPr>
              <w:spacing w:after="0" w:line="240" w:lineRule="auto"/>
              <w:contextualSpacing/>
              <w:jc w:val="both"/>
              <w:rPr>
                <w:rFonts w:ascii="Times New Roman" w:hAnsi="Times New Roman" w:cs="Times New Roman"/>
                <w:b/>
                <w:i/>
                <w:sz w:val="24"/>
                <w:szCs w:val="24"/>
              </w:rPr>
            </w:pPr>
            <w:r w:rsidRPr="00A7677E">
              <w:rPr>
                <w:rFonts w:ascii="Times New Roman" w:hAnsi="Times New Roman" w:cs="Times New Roman"/>
                <w:b/>
                <w:i/>
                <w:sz w:val="24"/>
                <w:szCs w:val="24"/>
              </w:rPr>
              <w:t xml:space="preserve">2. </w:t>
            </w:r>
            <w:r w:rsidR="003112BF">
              <w:rPr>
                <w:rFonts w:ascii="Times New Roman" w:hAnsi="Times New Roman" w:cs="Times New Roman"/>
                <w:b/>
                <w:i/>
                <w:sz w:val="24"/>
                <w:szCs w:val="24"/>
              </w:rPr>
              <w:t>Par</w:t>
            </w:r>
            <w:r w:rsidR="0035129E">
              <w:rPr>
                <w:rFonts w:ascii="Times New Roman" w:hAnsi="Times New Roman" w:cs="Times New Roman"/>
                <w:b/>
                <w:i/>
                <w:sz w:val="24"/>
                <w:szCs w:val="24"/>
              </w:rPr>
              <w:t xml:space="preserve"> a</w:t>
            </w:r>
            <w:r w:rsidR="00C60634" w:rsidRPr="009B1BA2">
              <w:rPr>
                <w:rFonts w:ascii="Times New Roman" w:hAnsi="Times New Roman" w:cs="Times New Roman"/>
                <w:b/>
                <w:i/>
                <w:sz w:val="24"/>
                <w:szCs w:val="24"/>
              </w:rPr>
              <w:t xml:space="preserve">tbildības noteikšanu personai par dalību </w:t>
            </w:r>
            <w:r w:rsidR="00A5495C" w:rsidRPr="00501D91">
              <w:rPr>
                <w:rFonts w:ascii="Times New Roman" w:hAnsi="Times New Roman" w:cs="Times New Roman"/>
                <w:b/>
                <w:i/>
                <w:sz w:val="24"/>
                <w:szCs w:val="24"/>
              </w:rPr>
              <w:t>Latvijas Republikā</w:t>
            </w:r>
            <w:r w:rsidR="00C60634" w:rsidRPr="009B1BA2">
              <w:rPr>
                <w:rFonts w:ascii="Times New Roman" w:hAnsi="Times New Roman" w:cs="Times New Roman"/>
                <w:b/>
                <w:i/>
                <w:sz w:val="24"/>
                <w:szCs w:val="24"/>
              </w:rPr>
              <w:t xml:space="preserve"> nelicencētajās interaktīvajās azartspēlēs un izlozēs</w:t>
            </w:r>
            <w:r w:rsidR="00F04499" w:rsidRPr="00A7677E">
              <w:rPr>
                <w:rFonts w:ascii="Times New Roman" w:hAnsi="Times New Roman" w:cs="Times New Roman"/>
                <w:b/>
                <w:i/>
                <w:sz w:val="24"/>
                <w:szCs w:val="24"/>
              </w:rPr>
              <w:t>.</w:t>
            </w:r>
          </w:p>
          <w:p w:rsidR="00C80BEE" w:rsidRPr="009B1BA2" w:rsidRDefault="00A7677E" w:rsidP="00C80BEE">
            <w:pPr>
              <w:pStyle w:val="ListParagraph"/>
              <w:tabs>
                <w:tab w:val="left" w:pos="356"/>
              </w:tabs>
              <w:ind w:left="-23"/>
              <w:jc w:val="both"/>
              <w:rPr>
                <w:sz w:val="24"/>
                <w:szCs w:val="24"/>
                <w:lang w:val="lv-LV"/>
              </w:rPr>
            </w:pPr>
            <w:r>
              <w:rPr>
                <w:sz w:val="24"/>
                <w:szCs w:val="24"/>
                <w:lang w:val="lv-LV"/>
              </w:rPr>
              <w:t>Ņ</w:t>
            </w:r>
            <w:r w:rsidR="00C80BEE" w:rsidRPr="009B1BA2">
              <w:rPr>
                <w:sz w:val="24"/>
                <w:szCs w:val="24"/>
                <w:lang w:val="lv-LV"/>
              </w:rPr>
              <w:t xml:space="preserve">emot vērā to, ka azartspēļu jomā persona, kas darbojas nelicencētajā vidē, pakļauj riskam gan sevi, gan līdzcilvēkus, </w:t>
            </w:r>
            <w:r w:rsidRPr="009B1BA2">
              <w:rPr>
                <w:sz w:val="24"/>
                <w:szCs w:val="24"/>
                <w:lang w:val="lv-LV"/>
              </w:rPr>
              <w:t>ir</w:t>
            </w:r>
            <w:r w:rsidR="00C80BEE" w:rsidRPr="009B1BA2">
              <w:rPr>
                <w:sz w:val="24"/>
                <w:szCs w:val="24"/>
                <w:lang w:val="lv-LV"/>
              </w:rPr>
              <w:t xml:space="preserve"> nepieciešams noteikt naudas sodu</w:t>
            </w:r>
            <w:r w:rsidRPr="009B1BA2">
              <w:rPr>
                <w:sz w:val="24"/>
                <w:szCs w:val="24"/>
                <w:lang w:val="lv-LV"/>
              </w:rPr>
              <w:t xml:space="preserve"> </w:t>
            </w:r>
            <w:r w:rsidRPr="003112BF">
              <w:rPr>
                <w:sz w:val="24"/>
                <w:szCs w:val="24"/>
                <w:lang w:val="lv-LV"/>
              </w:rPr>
              <w:t>fiziskajai</w:t>
            </w:r>
            <w:r w:rsidRPr="009B1BA2">
              <w:rPr>
                <w:sz w:val="24"/>
                <w:szCs w:val="24"/>
                <w:lang w:val="lv-LV"/>
              </w:rPr>
              <w:t xml:space="preserve"> personai par dalību </w:t>
            </w:r>
            <w:proofErr w:type="spellStart"/>
            <w:r w:rsidR="00A5495C" w:rsidRPr="00ED190C">
              <w:rPr>
                <w:sz w:val="24"/>
                <w:szCs w:val="24"/>
              </w:rPr>
              <w:t>Latvijas</w:t>
            </w:r>
            <w:proofErr w:type="spellEnd"/>
            <w:r w:rsidR="00A5495C" w:rsidRPr="00ED190C">
              <w:rPr>
                <w:sz w:val="24"/>
                <w:szCs w:val="24"/>
              </w:rPr>
              <w:t xml:space="preserve"> </w:t>
            </w:r>
            <w:proofErr w:type="spellStart"/>
            <w:r w:rsidR="00A5495C" w:rsidRPr="00ED190C">
              <w:rPr>
                <w:sz w:val="24"/>
                <w:szCs w:val="24"/>
              </w:rPr>
              <w:t>Republikā</w:t>
            </w:r>
            <w:proofErr w:type="spellEnd"/>
            <w:r w:rsidRPr="009B1BA2">
              <w:rPr>
                <w:sz w:val="24"/>
                <w:szCs w:val="24"/>
                <w:lang w:val="lv-LV"/>
              </w:rPr>
              <w:t xml:space="preserve"> nelicencētajās interaktīvajās azartspēles un izlozēs </w:t>
            </w:r>
            <w:r w:rsidR="00C80BEE" w:rsidRPr="009B1BA2">
              <w:rPr>
                <w:sz w:val="24"/>
                <w:szCs w:val="24"/>
                <w:lang w:val="lv-LV"/>
              </w:rPr>
              <w:t>tādā līmenī, kas darbotos divējādi: gan sodot, gan atturot no prettiesiskas rīcības nākotnē</w:t>
            </w:r>
            <w:r w:rsidRPr="009B1BA2">
              <w:rPr>
                <w:sz w:val="24"/>
                <w:szCs w:val="24"/>
                <w:lang w:val="lv-LV"/>
              </w:rPr>
              <w:t xml:space="preserve"> -</w:t>
            </w:r>
            <w:r w:rsidRPr="009B1BA2">
              <w:rPr>
                <w:sz w:val="23"/>
                <w:szCs w:val="23"/>
                <w:lang w:val="lv-LV"/>
              </w:rPr>
              <w:t xml:space="preserve"> personas uzvedības </w:t>
            </w:r>
            <w:r w:rsidR="00174488">
              <w:rPr>
                <w:sz w:val="23"/>
                <w:szCs w:val="23"/>
                <w:lang w:val="lv-LV"/>
              </w:rPr>
              <w:t>maiņai</w:t>
            </w:r>
            <w:r w:rsidR="00C80BEE" w:rsidRPr="009B1BA2">
              <w:rPr>
                <w:sz w:val="24"/>
                <w:szCs w:val="24"/>
                <w:lang w:val="lv-LV"/>
              </w:rPr>
              <w:t xml:space="preserve">. </w:t>
            </w:r>
          </w:p>
          <w:p w:rsidR="00C60634" w:rsidRPr="00810537" w:rsidRDefault="00C80BEE" w:rsidP="00501D91">
            <w:pPr>
              <w:pStyle w:val="ListParagraph"/>
              <w:tabs>
                <w:tab w:val="left" w:pos="356"/>
              </w:tabs>
              <w:ind w:left="-23"/>
              <w:jc w:val="both"/>
              <w:rPr>
                <w:sz w:val="24"/>
                <w:szCs w:val="24"/>
              </w:rPr>
            </w:pPr>
            <w:r w:rsidRPr="009B1BA2">
              <w:rPr>
                <w:sz w:val="24"/>
                <w:szCs w:val="24"/>
                <w:lang w:val="lv-LV"/>
              </w:rPr>
              <w:t>Likumprojektā paredzēts noteikt naudas sodu fiziskajai personai no septiņdesmit līdz trīssimt piecdesmit euro.</w:t>
            </w:r>
          </w:p>
          <w:p w:rsidR="00C80BEE" w:rsidRPr="009B1BA2" w:rsidRDefault="00413C86" w:rsidP="00C80BEE">
            <w:pPr>
              <w:pStyle w:val="ListParagraph"/>
              <w:tabs>
                <w:tab w:val="left" w:pos="356"/>
              </w:tabs>
              <w:ind w:left="-23"/>
              <w:jc w:val="both"/>
              <w:rPr>
                <w:sz w:val="24"/>
                <w:szCs w:val="24"/>
                <w:lang w:val="lv-LV"/>
              </w:rPr>
            </w:pPr>
            <w:r>
              <w:rPr>
                <w:sz w:val="24"/>
                <w:szCs w:val="24"/>
                <w:lang w:val="lv-LV"/>
              </w:rPr>
              <w:t>Vēršam uzmanību uz to</w:t>
            </w:r>
            <w:r w:rsidR="00C80BEE" w:rsidRPr="009B1BA2">
              <w:rPr>
                <w:sz w:val="24"/>
                <w:szCs w:val="24"/>
                <w:lang w:val="lv-LV"/>
              </w:rPr>
              <w:t>, ka atbildības piemērošanā iekļauto subjektu raksturojumi ir atšķirīgi, ņemot vērā to, ka azartspēļu joma, it īpaši nel</w:t>
            </w:r>
            <w:r>
              <w:rPr>
                <w:sz w:val="24"/>
                <w:szCs w:val="24"/>
                <w:lang w:val="lv-LV"/>
              </w:rPr>
              <w:t>icencētās</w:t>
            </w:r>
            <w:r w:rsidR="00C80BEE" w:rsidRPr="009B1BA2">
              <w:rPr>
                <w:sz w:val="24"/>
                <w:szCs w:val="24"/>
                <w:lang w:val="lv-LV"/>
              </w:rPr>
              <w:t xml:space="preserve"> azartspēles, ir rīks, kuru var izmantot noziedzīgi iegūto līdzekļu legalizācijas un terorisma finansēšanas shēmās iesaistīti subjekti. Azartspēļu </w:t>
            </w:r>
            <w:r w:rsidR="00C80BEE" w:rsidRPr="009B1BA2">
              <w:rPr>
                <w:sz w:val="24"/>
                <w:szCs w:val="24"/>
                <w:lang w:val="lv-LV"/>
              </w:rPr>
              <w:lastRenderedPageBreak/>
              <w:t>nozare nav imūna pret noziedzīgi iegūto līdzekļu un terorisma finansēšanas riskiem. Tā ir augsti segmentēta, piedāvājot virkni pakalpojumus ar dažādām maksāšanas metodēm. Eiropas Komisijas aktivitātes ceļā uz noziedzīgi iegūto līdzekļu legalizācijas un terorisma finansēšanas novēršanu azartspēļu nozarē, nepārprotami attiecinot Eiropas Savienības normatīvos aktus uz azartspēļu nozari, norāda uz tās ievainojamību attiecībā uz legalizācijas mēģinājumiem. Noziedzīgi iegūto līdzekļu legalizācijas shēmās ir konstatēta vairāku subjektu iesaiste, tai skaitā, ir uzsverama arī azartspēļu nozares loma.</w:t>
            </w:r>
            <w:r w:rsidR="00C80BEE" w:rsidRPr="009B1BA2">
              <w:rPr>
                <w:rStyle w:val="FootnoteReference"/>
                <w:sz w:val="24"/>
                <w:szCs w:val="24"/>
                <w:lang w:val="lv-LV"/>
              </w:rPr>
              <w:footnoteReference w:id="2"/>
            </w:r>
            <w:r w:rsidR="00C80BEE" w:rsidRPr="009B1BA2">
              <w:rPr>
                <w:sz w:val="24"/>
                <w:szCs w:val="24"/>
                <w:lang w:val="lv-LV"/>
              </w:rPr>
              <w:t xml:space="preserve">  Līdz ar to ir nepieciešami papildu aizsardzības paņēmieni, lai atturētu fiziskās un juridiskās personas no dalības un maksājumu veikšanas nelegālajā vidē.</w:t>
            </w:r>
          </w:p>
          <w:p w:rsidR="00C80BEE" w:rsidRPr="00A7677E" w:rsidRDefault="00C80BEE" w:rsidP="00174488">
            <w:pPr>
              <w:spacing w:after="0" w:line="240" w:lineRule="auto"/>
              <w:contextualSpacing/>
              <w:jc w:val="both"/>
              <w:rPr>
                <w:rFonts w:ascii="Times New Roman" w:hAnsi="Times New Roman" w:cs="Times New Roman"/>
                <w:sz w:val="24"/>
                <w:szCs w:val="24"/>
              </w:rPr>
            </w:pPr>
            <w:r w:rsidRPr="00A7677E">
              <w:rPr>
                <w:rFonts w:ascii="Times New Roman" w:hAnsi="Times New Roman" w:cs="Times New Roman"/>
                <w:sz w:val="24"/>
                <w:szCs w:val="24"/>
              </w:rPr>
              <w:t>Izvērtējot citu valstu pieredzi atbildības piemērošanā par dalību nelicencētajās azartspēlēs, konstatējams, ka, piemēram,</w:t>
            </w:r>
            <w:r w:rsidR="00174488">
              <w:rPr>
                <w:rFonts w:ascii="Times New Roman" w:hAnsi="Times New Roman" w:cs="Times New Roman"/>
                <w:sz w:val="24"/>
                <w:szCs w:val="24"/>
              </w:rPr>
              <w:t xml:space="preserve"> Polija vērša</w:t>
            </w:r>
            <w:r w:rsidRPr="00A7677E">
              <w:rPr>
                <w:rFonts w:ascii="Times New Roman" w:hAnsi="Times New Roman" w:cs="Times New Roman"/>
                <w:sz w:val="24"/>
                <w:szCs w:val="24"/>
              </w:rPr>
              <w:t xml:space="preserve">s pret nelicencētu azartspēļu lietotājiem, paredzot kriminālatbildību. </w:t>
            </w:r>
            <w:r w:rsidRPr="00A7677E">
              <w:rPr>
                <w:rFonts w:ascii="Times New Roman" w:hAnsi="Times New Roman" w:cs="Times New Roman"/>
                <w:sz w:val="24"/>
                <w:szCs w:val="24"/>
                <w:vertAlign w:val="superscript"/>
              </w:rPr>
              <w:footnoteReference w:id="3"/>
            </w:r>
          </w:p>
        </w:tc>
      </w:tr>
      <w:tr w:rsidR="000C7369" w:rsidRPr="00A7677E" w:rsidTr="000C26C3">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0C7369" w:rsidRPr="00A7677E" w:rsidRDefault="00174488" w:rsidP="003512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Finanšu ministrija, </w:t>
            </w:r>
            <w:r w:rsidR="000C7369" w:rsidRPr="00A7677E">
              <w:rPr>
                <w:rFonts w:ascii="Times New Roman" w:eastAsia="Times New Roman" w:hAnsi="Times New Roman" w:cs="Times New Roman"/>
                <w:sz w:val="24"/>
                <w:szCs w:val="24"/>
                <w:lang w:eastAsia="lv-LV"/>
              </w:rPr>
              <w:t>Valsts ieņēmumu dienests, Sabiedrisko pakalpojumu regulēšanas komisija, Latvijas Interneta asociācijas un Latvijas Informācijas un komunikācijas teh</w:t>
            </w:r>
            <w:r w:rsidR="00C409AC" w:rsidRPr="00A7677E">
              <w:rPr>
                <w:rFonts w:ascii="Times New Roman" w:eastAsia="Times New Roman" w:hAnsi="Times New Roman" w:cs="Times New Roman"/>
                <w:sz w:val="24"/>
                <w:szCs w:val="24"/>
                <w:lang w:eastAsia="lv-LV"/>
              </w:rPr>
              <w:t>noloģijas asociācija</w:t>
            </w:r>
            <w:r w:rsidR="000C7369" w:rsidRPr="00A7677E">
              <w:rPr>
                <w:rFonts w:ascii="Times New Roman" w:eastAsia="Times New Roman" w:hAnsi="Times New Roman" w:cs="Times New Roman"/>
                <w:sz w:val="24"/>
                <w:szCs w:val="24"/>
                <w:lang w:eastAsia="lv-LV"/>
              </w:rPr>
              <w:t>, kas ir elektronisko sakaru pakalpojuma sniedzēji, t.i. elektronisko sakaru komersanti.</w:t>
            </w:r>
          </w:p>
        </w:tc>
      </w:tr>
      <w:tr w:rsidR="000C7369" w:rsidRPr="00A7677E" w:rsidTr="000C26C3">
        <w:tc>
          <w:tcPr>
            <w:tcW w:w="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jc w:val="both"/>
              <w:rPr>
                <w:rFonts w:ascii="Times New Roman" w:hAnsi="Times New Roman" w:cs="Times New Roman"/>
                <w:sz w:val="24"/>
                <w:szCs w:val="24"/>
              </w:rPr>
            </w:pPr>
            <w:r w:rsidRPr="00A7677E">
              <w:rPr>
                <w:rFonts w:ascii="Times New Roman" w:eastAsia="Times New Roman" w:hAnsi="Times New Roman" w:cs="Times New Roman"/>
                <w:sz w:val="24"/>
                <w:szCs w:val="24"/>
                <w:lang w:eastAsia="lv-LV"/>
              </w:rPr>
              <w:t>Nav.</w:t>
            </w:r>
          </w:p>
        </w:tc>
      </w:tr>
    </w:tbl>
    <w:p w:rsidR="000C7369" w:rsidRPr="00A7677E" w:rsidRDefault="000C7369" w:rsidP="000C7369">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0C7369" w:rsidRPr="00A7677E" w:rsidTr="000C26C3">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C7369" w:rsidRPr="00A7677E" w:rsidRDefault="000C7369" w:rsidP="000C26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7677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C7369" w:rsidRPr="00A7677E" w:rsidTr="000C26C3">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jc w:val="center"/>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 xml:space="preserve">Sabiedrības </w:t>
            </w:r>
            <w:proofErr w:type="spellStart"/>
            <w:r w:rsidRPr="00A7677E">
              <w:rPr>
                <w:rFonts w:ascii="Times New Roman" w:eastAsia="Times New Roman" w:hAnsi="Times New Roman" w:cs="Times New Roman"/>
                <w:sz w:val="24"/>
                <w:szCs w:val="24"/>
                <w:lang w:eastAsia="lv-LV"/>
              </w:rPr>
              <w:t>mērķgrupas</w:t>
            </w:r>
            <w:proofErr w:type="spellEnd"/>
            <w:r w:rsidRPr="00A7677E">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jc w:val="both"/>
              <w:rPr>
                <w:rFonts w:ascii="Times New Roman" w:hAnsi="Times New Roman" w:cs="Times New Roman"/>
                <w:sz w:val="24"/>
                <w:szCs w:val="24"/>
              </w:rPr>
            </w:pPr>
            <w:r w:rsidRPr="00A7677E">
              <w:rPr>
                <w:rFonts w:ascii="Times New Roman" w:hAnsi="Times New Roman" w:cs="Times New Roman"/>
                <w:sz w:val="24"/>
                <w:szCs w:val="24"/>
              </w:rPr>
              <w:t>Mērķa grupa ir 279</w:t>
            </w:r>
            <w:r w:rsidRPr="00A7677E">
              <w:rPr>
                <w:rFonts w:ascii="Times New Roman" w:hAnsi="Times New Roman" w:cs="Times New Roman"/>
                <w:sz w:val="24"/>
                <w:szCs w:val="24"/>
                <w:vertAlign w:val="superscript"/>
              </w:rPr>
              <w:footnoteReference w:id="4"/>
            </w:r>
            <w:r w:rsidRPr="00A7677E">
              <w:rPr>
                <w:rFonts w:ascii="Times New Roman" w:hAnsi="Times New Roman" w:cs="Times New Roman"/>
                <w:sz w:val="24"/>
                <w:szCs w:val="24"/>
              </w:rPr>
              <w:t xml:space="preserve"> elektronisko sakaru komersanti, no kuriem 18</w:t>
            </w:r>
            <w:r w:rsidR="00D323D7" w:rsidRPr="00A7677E">
              <w:rPr>
                <w:rFonts w:ascii="Times New Roman" w:hAnsi="Times New Roman" w:cs="Times New Roman"/>
                <w:sz w:val="24"/>
                <w:szCs w:val="24"/>
              </w:rPr>
              <w:t>3 elektronisko sakaru komersanti</w:t>
            </w:r>
            <w:r w:rsidRPr="00A7677E">
              <w:rPr>
                <w:rFonts w:ascii="Times New Roman" w:hAnsi="Times New Roman" w:cs="Times New Roman"/>
                <w:sz w:val="24"/>
                <w:szCs w:val="24"/>
              </w:rPr>
              <w:t xml:space="preserve"> sniedz publiskā interneta piekļuvi (infor</w:t>
            </w:r>
            <w:r w:rsidR="005D1E2D">
              <w:rPr>
                <w:rFonts w:ascii="Times New Roman" w:hAnsi="Times New Roman" w:cs="Times New Roman"/>
                <w:sz w:val="24"/>
                <w:szCs w:val="24"/>
              </w:rPr>
              <w:t xml:space="preserve">mācija uz 2019.gada 28.janvāri), kā arī </w:t>
            </w:r>
            <w:r w:rsidR="005D1E2D" w:rsidRPr="005D1E2D">
              <w:rPr>
                <w:rFonts w:ascii="Times New Roman" w:hAnsi="Times New Roman" w:cs="Times New Roman"/>
                <w:sz w:val="24"/>
                <w:szCs w:val="24"/>
              </w:rPr>
              <w:t>fiziskās personas, kura piedalās Latvijas Republikā nelicencētās azartspēlēs un izlozēs.</w:t>
            </w:r>
          </w:p>
          <w:p w:rsidR="00B44AB2" w:rsidRPr="00A7677E" w:rsidRDefault="000C7369" w:rsidP="005D1E2D">
            <w:pPr>
              <w:spacing w:after="0" w:line="240" w:lineRule="auto"/>
              <w:jc w:val="both"/>
              <w:rPr>
                <w:rFonts w:ascii="Times New Roman" w:eastAsia="Times New Roman" w:hAnsi="Times New Roman" w:cs="Times New Roman"/>
                <w:sz w:val="24"/>
                <w:szCs w:val="24"/>
                <w:lang w:eastAsia="lv-LV"/>
              </w:rPr>
            </w:pPr>
            <w:r w:rsidRPr="00A7677E">
              <w:rPr>
                <w:rFonts w:ascii="Times New Roman" w:hAnsi="Times New Roman" w:cs="Times New Roman"/>
                <w:sz w:val="24"/>
                <w:szCs w:val="24"/>
              </w:rPr>
              <w:t xml:space="preserve">Netiešā veidā tiesiskais regulējums ietekmēs 16 kapitālsabiedrības, kas organizē tikai azartspēles un VAS “Latvijas Loto”, kas organizē </w:t>
            </w:r>
            <w:r w:rsidR="00B44AB2">
              <w:rPr>
                <w:rFonts w:ascii="Times New Roman" w:hAnsi="Times New Roman" w:cs="Times New Roman"/>
                <w:sz w:val="24"/>
                <w:szCs w:val="24"/>
              </w:rPr>
              <w:t>izloze</w:t>
            </w:r>
            <w:r w:rsidRPr="00A7677E">
              <w:rPr>
                <w:rFonts w:ascii="Times New Roman" w:hAnsi="Times New Roman" w:cs="Times New Roman"/>
                <w:sz w:val="24"/>
                <w:szCs w:val="24"/>
              </w:rPr>
              <w:t xml:space="preserve">s, jo tiks veicināta godīga konkurence starp interaktīvo azartspēļu un interaktīvo izložu organizētājiem </w:t>
            </w:r>
            <w:r w:rsidR="00A5495C" w:rsidRPr="00ED190C">
              <w:rPr>
                <w:rFonts w:ascii="Times New Roman" w:hAnsi="Times New Roman" w:cs="Times New Roman"/>
                <w:sz w:val="24"/>
                <w:szCs w:val="24"/>
              </w:rPr>
              <w:t>Latvijas Republikā</w:t>
            </w:r>
            <w:r w:rsidRPr="00A7677E">
              <w:rPr>
                <w:rFonts w:ascii="Times New Roman" w:hAnsi="Times New Roman" w:cs="Times New Roman"/>
                <w:sz w:val="24"/>
                <w:szCs w:val="24"/>
              </w:rPr>
              <w:t xml:space="preserve">, mazinot nelegālo šo nozares tirgu, kā arī personu, kas mēģinās ieiet </w:t>
            </w:r>
            <w:r w:rsidRPr="00A7677E">
              <w:rPr>
                <w:rFonts w:ascii="Times New Roman" w:hAnsi="Times New Roman" w:cs="Times New Roman"/>
                <w:bCs/>
                <w:sz w:val="24"/>
                <w:szCs w:val="24"/>
              </w:rPr>
              <w:t xml:space="preserve">nelicencētu interaktīvo azartspēļu vai interaktīvo izložu organizētāju interneta tīmekļa vietnēs, piekļuvi tām, novirzot uz </w:t>
            </w:r>
            <w:r w:rsidR="00A5495C" w:rsidRPr="00ED190C">
              <w:rPr>
                <w:rFonts w:ascii="Times New Roman" w:hAnsi="Times New Roman" w:cs="Times New Roman"/>
                <w:sz w:val="24"/>
                <w:szCs w:val="24"/>
              </w:rPr>
              <w:t>Latvijas Republikā</w:t>
            </w:r>
            <w:r w:rsidRPr="00A7677E">
              <w:rPr>
                <w:rFonts w:ascii="Times New Roman" w:hAnsi="Times New Roman" w:cs="Times New Roman"/>
                <w:bCs/>
                <w:sz w:val="24"/>
                <w:szCs w:val="24"/>
              </w:rPr>
              <w:t xml:space="preserve">  licencētām interaktīvajām azartspēlēm vai interaktīvajām izlozēm</w:t>
            </w:r>
            <w:r w:rsidR="00A7677E">
              <w:rPr>
                <w:rFonts w:ascii="Times New Roman" w:hAnsi="Times New Roman" w:cs="Times New Roman"/>
                <w:bCs/>
                <w:sz w:val="24"/>
                <w:szCs w:val="24"/>
              </w:rPr>
              <w:t>, kā arī piemērojot normatīvajos aktos paredzēto atbildību</w:t>
            </w:r>
            <w:r w:rsidRPr="00A7677E">
              <w:rPr>
                <w:rFonts w:ascii="Times New Roman" w:hAnsi="Times New Roman" w:cs="Times New Roman"/>
                <w:bCs/>
                <w:sz w:val="24"/>
                <w:szCs w:val="24"/>
              </w:rPr>
              <w:t>.</w:t>
            </w:r>
          </w:p>
        </w:tc>
      </w:tr>
      <w:tr w:rsidR="000C7369" w:rsidRPr="00A7677E" w:rsidTr="000C26C3">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jc w:val="center"/>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C409AC">
            <w:pPr>
              <w:spacing w:after="0" w:line="240" w:lineRule="auto"/>
              <w:jc w:val="both"/>
              <w:rPr>
                <w:rFonts w:ascii="Times New Roman" w:hAnsi="Times New Roman" w:cs="Times New Roman"/>
                <w:sz w:val="24"/>
                <w:szCs w:val="24"/>
              </w:rPr>
            </w:pPr>
            <w:r w:rsidRPr="00A7677E">
              <w:rPr>
                <w:rFonts w:ascii="Times New Roman" w:eastAsia="Times New Roman" w:hAnsi="Times New Roman" w:cs="Times New Roman"/>
                <w:sz w:val="24"/>
                <w:szCs w:val="24"/>
                <w:lang w:eastAsia="lv-LV"/>
              </w:rPr>
              <w:t xml:space="preserve">Tiesiskais regulējums </w:t>
            </w:r>
            <w:r w:rsidR="00C409AC" w:rsidRPr="00A7677E">
              <w:rPr>
                <w:rFonts w:ascii="Times New Roman" w:eastAsia="Times New Roman" w:hAnsi="Times New Roman" w:cs="Times New Roman"/>
                <w:sz w:val="24"/>
                <w:szCs w:val="24"/>
                <w:lang w:eastAsia="lv-LV"/>
              </w:rPr>
              <w:t>veicinās sabiedrības interešu aizsardzību</w:t>
            </w:r>
            <w:r w:rsidRPr="00A7677E">
              <w:rPr>
                <w:rFonts w:ascii="Times New Roman" w:eastAsia="Times New Roman" w:hAnsi="Times New Roman" w:cs="Times New Roman"/>
                <w:sz w:val="24"/>
                <w:szCs w:val="24"/>
                <w:lang w:eastAsia="lv-LV"/>
              </w:rPr>
              <w:t xml:space="preserve">, informējot, ka izvēlētā azartspēļu vai izložu organizatora mājaslapa nav legāla </w:t>
            </w:r>
            <w:r w:rsidR="00A5495C" w:rsidRPr="00ED190C">
              <w:rPr>
                <w:rFonts w:ascii="Times New Roman" w:hAnsi="Times New Roman" w:cs="Times New Roman"/>
                <w:sz w:val="24"/>
                <w:szCs w:val="24"/>
              </w:rPr>
              <w:t>Latvijas Republikā</w:t>
            </w:r>
            <w:r w:rsidRPr="00A7677E">
              <w:rPr>
                <w:rFonts w:ascii="Times New Roman" w:eastAsia="Times New Roman" w:hAnsi="Times New Roman" w:cs="Times New Roman"/>
                <w:sz w:val="24"/>
                <w:szCs w:val="24"/>
                <w:lang w:eastAsia="lv-LV"/>
              </w:rPr>
              <w:t xml:space="preserve">, uzlabos uzņēmējdarbības vidi, jo </w:t>
            </w:r>
            <w:r w:rsidRPr="00A7677E">
              <w:rPr>
                <w:rFonts w:ascii="Times New Roman" w:hAnsi="Times New Roman" w:cs="Times New Roman"/>
                <w:sz w:val="24"/>
                <w:szCs w:val="24"/>
              </w:rPr>
              <w:t xml:space="preserve">tiks veicināta godīga konkurence starp interaktīvo azartspēļu un interaktīvo izložu organizētājiem </w:t>
            </w:r>
            <w:r w:rsidR="00A5495C" w:rsidRPr="00ED190C">
              <w:rPr>
                <w:rFonts w:ascii="Times New Roman" w:hAnsi="Times New Roman" w:cs="Times New Roman"/>
                <w:sz w:val="24"/>
                <w:szCs w:val="24"/>
              </w:rPr>
              <w:t>Latvijas Republikā</w:t>
            </w:r>
            <w:r w:rsidRPr="00A7677E">
              <w:rPr>
                <w:rFonts w:ascii="Times New Roman" w:hAnsi="Times New Roman" w:cs="Times New Roman"/>
                <w:sz w:val="24"/>
                <w:szCs w:val="24"/>
              </w:rPr>
              <w:t xml:space="preserve">, kā arī palielināsies nodokļu ieņēmumi valsts budžetā, jo tiks mazināts </w:t>
            </w:r>
            <w:r w:rsidR="00A5495C" w:rsidRPr="00ED190C">
              <w:rPr>
                <w:rFonts w:ascii="Times New Roman" w:hAnsi="Times New Roman" w:cs="Times New Roman"/>
                <w:sz w:val="24"/>
                <w:szCs w:val="24"/>
              </w:rPr>
              <w:t>Latvijas Republikā</w:t>
            </w:r>
            <w:r w:rsidR="00E81042" w:rsidRPr="00A7677E">
              <w:rPr>
                <w:rFonts w:ascii="Times New Roman" w:hAnsi="Times New Roman" w:cs="Times New Roman"/>
                <w:sz w:val="24"/>
                <w:szCs w:val="24"/>
              </w:rPr>
              <w:t xml:space="preserve"> nelicencēto</w:t>
            </w:r>
            <w:r w:rsidRPr="00A7677E">
              <w:rPr>
                <w:rFonts w:ascii="Times New Roman" w:hAnsi="Times New Roman" w:cs="Times New Roman"/>
                <w:sz w:val="24"/>
                <w:szCs w:val="24"/>
              </w:rPr>
              <w:t xml:space="preserve"> interaktīvo azartspēļu un interaktīvo izložu tirgus.</w:t>
            </w:r>
          </w:p>
        </w:tc>
      </w:tr>
      <w:tr w:rsidR="000C7369" w:rsidRPr="00A7677E" w:rsidTr="000C26C3">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jc w:val="center"/>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jc w:val="both"/>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Likumprojekts šo jomu neskar.</w:t>
            </w:r>
          </w:p>
        </w:tc>
      </w:tr>
      <w:tr w:rsidR="000C7369" w:rsidRPr="00A7677E" w:rsidTr="000C26C3">
        <w:trPr>
          <w:trHeight w:val="408"/>
        </w:trPr>
        <w:tc>
          <w:tcPr>
            <w:tcW w:w="250" w:type="pct"/>
            <w:tcBorders>
              <w:top w:val="outset" w:sz="6" w:space="0" w:color="414142"/>
              <w:left w:val="outset" w:sz="6" w:space="0" w:color="414142"/>
              <w:bottom w:val="outset" w:sz="6" w:space="0" w:color="414142"/>
              <w:right w:val="outset" w:sz="6" w:space="0" w:color="414142"/>
            </w:tcBorders>
          </w:tcPr>
          <w:p w:rsidR="000C7369" w:rsidRPr="00A7677E" w:rsidRDefault="000C7369" w:rsidP="000C26C3">
            <w:pPr>
              <w:spacing w:after="0" w:line="240" w:lineRule="auto"/>
              <w:jc w:val="center"/>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0C7369" w:rsidRPr="00A7677E" w:rsidRDefault="000C7369" w:rsidP="000C26C3">
            <w:pPr>
              <w:spacing w:after="0" w:line="240" w:lineRule="auto"/>
              <w:jc w:val="both"/>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0C7369" w:rsidRPr="00A7677E" w:rsidRDefault="00D323D7" w:rsidP="000C26C3">
            <w:pPr>
              <w:spacing w:after="0" w:line="240" w:lineRule="auto"/>
              <w:jc w:val="both"/>
              <w:rPr>
                <w:rFonts w:ascii="Times New Roman" w:eastAsia="Times New Roman" w:hAnsi="Times New Roman" w:cs="Times New Roman"/>
                <w:sz w:val="24"/>
                <w:szCs w:val="24"/>
                <w:lang w:eastAsia="lv-LV"/>
              </w:rPr>
            </w:pPr>
            <w:r w:rsidRPr="00A7677E">
              <w:rPr>
                <w:rFonts w:ascii="Times New Roman" w:hAnsi="Times New Roman" w:cs="Times New Roman"/>
                <w:iCs/>
                <w:sz w:val="24"/>
                <w:szCs w:val="24"/>
              </w:rPr>
              <w:t>Nav</w:t>
            </w:r>
            <w:r w:rsidR="000C7369" w:rsidRPr="00A7677E">
              <w:rPr>
                <w:rFonts w:ascii="Times New Roman" w:hAnsi="Times New Roman" w:cs="Times New Roman"/>
                <w:iCs/>
                <w:sz w:val="24"/>
                <w:szCs w:val="24"/>
              </w:rPr>
              <w:t>.</w:t>
            </w:r>
          </w:p>
        </w:tc>
      </w:tr>
      <w:tr w:rsidR="000C7369" w:rsidRPr="00A7677E" w:rsidTr="000C26C3">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jc w:val="center"/>
              <w:rPr>
                <w:rFonts w:ascii="Times New Roman" w:eastAsia="Times New Roman" w:hAnsi="Times New Roman" w:cs="Times New Roman"/>
                <w:sz w:val="24"/>
                <w:szCs w:val="24"/>
                <w:lang w:eastAsia="lv-LV"/>
              </w:rPr>
            </w:pPr>
          </w:p>
        </w:tc>
        <w:tc>
          <w:tcPr>
            <w:tcW w:w="15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Nav.</w:t>
            </w:r>
          </w:p>
        </w:tc>
      </w:tr>
    </w:tbl>
    <w:p w:rsidR="000C7369" w:rsidRPr="00A7677E" w:rsidRDefault="000C7369" w:rsidP="00F10092">
      <w:pPr>
        <w:shd w:val="clear" w:color="auto" w:fill="FFFFFF"/>
        <w:spacing w:after="0" w:line="240" w:lineRule="auto"/>
        <w:rPr>
          <w:rFonts w:ascii="Times New Roman" w:eastAsia="Times New Roman" w:hAnsi="Times New Roman" w:cs="Times New Roman"/>
          <w:sz w:val="24"/>
          <w:szCs w:val="24"/>
          <w:lang w:eastAsia="lv-LV"/>
        </w:rPr>
      </w:pPr>
    </w:p>
    <w:tbl>
      <w:tblPr>
        <w:tblW w:w="5005"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7"/>
        <w:gridCol w:w="2835"/>
        <w:gridCol w:w="5812"/>
      </w:tblGrid>
      <w:tr w:rsidR="00F10092" w:rsidRPr="00A7677E" w:rsidTr="0063334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10092" w:rsidRPr="00A7677E" w:rsidRDefault="00F10092" w:rsidP="0063334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7677E">
              <w:rPr>
                <w:rFonts w:ascii="Times New Roman" w:eastAsia="Times New Roman" w:hAnsi="Times New Roman" w:cs="Times New Roman"/>
                <w:b/>
                <w:bCs/>
                <w:sz w:val="24"/>
                <w:szCs w:val="24"/>
                <w:lang w:eastAsia="lv-LV"/>
              </w:rPr>
              <w:t>IV. Tiesību akta projekta ietekme uz spēkā esošo tiesību normu sistēmu</w:t>
            </w:r>
          </w:p>
        </w:tc>
      </w:tr>
      <w:tr w:rsidR="00F10092" w:rsidRPr="00A7677E" w:rsidTr="00633342">
        <w:trPr>
          <w:trHeight w:val="432"/>
          <w:jc w:val="center"/>
        </w:trPr>
        <w:tc>
          <w:tcPr>
            <w:tcW w:w="230" w:type="pct"/>
            <w:tcBorders>
              <w:top w:val="outset" w:sz="6" w:space="0" w:color="414142"/>
              <w:left w:val="outset" w:sz="6" w:space="0" w:color="414142"/>
              <w:bottom w:val="outset" w:sz="6" w:space="0" w:color="414142"/>
              <w:right w:val="outset" w:sz="6" w:space="0" w:color="414142"/>
            </w:tcBorders>
            <w:hideMark/>
          </w:tcPr>
          <w:p w:rsidR="00F10092" w:rsidRPr="00A7677E" w:rsidRDefault="00F10092" w:rsidP="00633342">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1.</w:t>
            </w:r>
          </w:p>
        </w:tc>
        <w:tc>
          <w:tcPr>
            <w:tcW w:w="1564" w:type="pct"/>
            <w:tcBorders>
              <w:top w:val="outset" w:sz="6" w:space="0" w:color="414142"/>
              <w:left w:val="outset" w:sz="6" w:space="0" w:color="414142"/>
              <w:bottom w:val="outset" w:sz="6" w:space="0" w:color="414142"/>
              <w:right w:val="outset" w:sz="6" w:space="0" w:color="414142"/>
            </w:tcBorders>
            <w:hideMark/>
          </w:tcPr>
          <w:p w:rsidR="00F10092" w:rsidRPr="00A7677E" w:rsidRDefault="00F10092" w:rsidP="00633342">
            <w:pPr>
              <w:spacing w:before="75" w:after="75" w:line="240" w:lineRule="auto"/>
              <w:jc w:val="both"/>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Saistītie tiesību aktu projekti</w:t>
            </w:r>
          </w:p>
        </w:tc>
        <w:tc>
          <w:tcPr>
            <w:tcW w:w="3206" w:type="pct"/>
            <w:tcBorders>
              <w:top w:val="outset" w:sz="6" w:space="0" w:color="414142"/>
              <w:left w:val="outset" w:sz="6" w:space="0" w:color="414142"/>
              <w:bottom w:val="outset" w:sz="6" w:space="0" w:color="414142"/>
              <w:right w:val="outset" w:sz="6" w:space="0" w:color="414142"/>
            </w:tcBorders>
            <w:hideMark/>
          </w:tcPr>
          <w:p w:rsidR="00F10092" w:rsidRPr="00A7677E" w:rsidRDefault="00F10092" w:rsidP="00F10092">
            <w:pPr>
              <w:spacing w:after="0" w:line="240" w:lineRule="auto"/>
              <w:jc w:val="both"/>
              <w:rPr>
                <w:rFonts w:ascii="Times New Roman" w:hAnsi="Times New Roman" w:cs="Times New Roman"/>
                <w:sz w:val="24"/>
                <w:szCs w:val="24"/>
              </w:rPr>
            </w:pPr>
            <w:r w:rsidRPr="00A7677E">
              <w:rPr>
                <w:rFonts w:ascii="Times New Roman" w:eastAsia="Times New Roman" w:hAnsi="Times New Roman" w:cs="Times New Roman"/>
                <w:sz w:val="24"/>
                <w:szCs w:val="24"/>
                <w:lang w:eastAsia="lv-LV"/>
              </w:rPr>
              <w:t>G</w:t>
            </w:r>
            <w:r w:rsidRPr="00A7677E">
              <w:rPr>
                <w:rFonts w:ascii="Times New Roman" w:hAnsi="Times New Roman" w:cs="Times New Roman"/>
                <w:sz w:val="24"/>
                <w:szCs w:val="24"/>
              </w:rPr>
              <w:t>rozījumi</w:t>
            </w:r>
            <w:r w:rsidR="001633AE">
              <w:rPr>
                <w:rFonts w:ascii="Times New Roman" w:hAnsi="Times New Roman" w:cs="Times New Roman"/>
                <w:sz w:val="24"/>
                <w:szCs w:val="24"/>
              </w:rPr>
              <w:t>em Elektronisko sakaru likumā, G</w:t>
            </w:r>
            <w:r w:rsidRPr="00A7677E">
              <w:rPr>
                <w:rFonts w:ascii="Times New Roman" w:hAnsi="Times New Roman" w:cs="Times New Roman"/>
                <w:sz w:val="24"/>
                <w:szCs w:val="24"/>
              </w:rPr>
              <w:t>rozījumi</w:t>
            </w:r>
            <w:r w:rsidR="001633AE">
              <w:rPr>
                <w:rFonts w:ascii="Times New Roman" w:hAnsi="Times New Roman" w:cs="Times New Roman"/>
                <w:sz w:val="24"/>
                <w:szCs w:val="24"/>
              </w:rPr>
              <w:t xml:space="preserve"> Azartspēļu un izložu likumā, G</w:t>
            </w:r>
            <w:r w:rsidRPr="00A7677E">
              <w:rPr>
                <w:rFonts w:ascii="Times New Roman" w:hAnsi="Times New Roman" w:cs="Times New Roman"/>
                <w:sz w:val="24"/>
                <w:szCs w:val="24"/>
              </w:rPr>
              <w:t>rozījumi Maksājumu pakalpojumu un elektroniskās naudas likumā.</w:t>
            </w:r>
          </w:p>
          <w:p w:rsidR="00F10092" w:rsidRPr="00A7677E" w:rsidRDefault="00F10092" w:rsidP="00F10092">
            <w:pPr>
              <w:spacing w:after="0" w:line="240" w:lineRule="auto"/>
              <w:jc w:val="both"/>
              <w:rPr>
                <w:rFonts w:ascii="Times New Roman" w:eastAsia="Times New Roman" w:hAnsi="Times New Roman" w:cs="Times New Roman"/>
                <w:sz w:val="24"/>
                <w:szCs w:val="24"/>
                <w:lang w:eastAsia="lv-LV"/>
              </w:rPr>
            </w:pPr>
            <w:r w:rsidRPr="00A7677E">
              <w:rPr>
                <w:rFonts w:ascii="Times New Roman" w:hAnsi="Times New Roman" w:cs="Times New Roman"/>
                <w:sz w:val="24"/>
                <w:szCs w:val="24"/>
              </w:rPr>
              <w:t xml:space="preserve">Likumprojekts stāsies spēkā nākamajā dienā pēc </w:t>
            </w:r>
            <w:r w:rsidR="001840CC" w:rsidRPr="00A7677E">
              <w:rPr>
                <w:rFonts w:ascii="Times New Roman" w:hAnsi="Times New Roman" w:cs="Times New Roman"/>
                <w:sz w:val="24"/>
                <w:szCs w:val="24"/>
              </w:rPr>
              <w:t xml:space="preserve">tā </w:t>
            </w:r>
            <w:r w:rsidRPr="00A7677E">
              <w:rPr>
                <w:rFonts w:ascii="Times New Roman" w:hAnsi="Times New Roman" w:cs="Times New Roman"/>
                <w:sz w:val="24"/>
                <w:szCs w:val="24"/>
              </w:rPr>
              <w:t>izsludināšanas.</w:t>
            </w:r>
          </w:p>
        </w:tc>
      </w:tr>
      <w:tr w:rsidR="00F10092" w:rsidRPr="00A7677E" w:rsidTr="00633342">
        <w:trPr>
          <w:trHeight w:val="264"/>
          <w:jc w:val="center"/>
        </w:trPr>
        <w:tc>
          <w:tcPr>
            <w:tcW w:w="230" w:type="pct"/>
            <w:tcBorders>
              <w:top w:val="outset" w:sz="6" w:space="0" w:color="414142"/>
              <w:left w:val="outset" w:sz="6" w:space="0" w:color="414142"/>
              <w:bottom w:val="outset" w:sz="6" w:space="0" w:color="414142"/>
              <w:right w:val="outset" w:sz="6" w:space="0" w:color="414142"/>
            </w:tcBorders>
            <w:hideMark/>
          </w:tcPr>
          <w:p w:rsidR="00F10092" w:rsidRPr="00A7677E" w:rsidRDefault="00F10092" w:rsidP="00633342">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2.</w:t>
            </w:r>
          </w:p>
        </w:tc>
        <w:tc>
          <w:tcPr>
            <w:tcW w:w="1564" w:type="pct"/>
            <w:tcBorders>
              <w:top w:val="outset" w:sz="6" w:space="0" w:color="414142"/>
              <w:left w:val="outset" w:sz="6" w:space="0" w:color="414142"/>
              <w:bottom w:val="outset" w:sz="6" w:space="0" w:color="414142"/>
              <w:right w:val="outset" w:sz="6" w:space="0" w:color="414142"/>
            </w:tcBorders>
            <w:hideMark/>
          </w:tcPr>
          <w:p w:rsidR="00F10092" w:rsidRPr="00A7677E" w:rsidRDefault="00F10092" w:rsidP="00633342">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Atbildīgā institūcija</w:t>
            </w:r>
          </w:p>
        </w:tc>
        <w:tc>
          <w:tcPr>
            <w:tcW w:w="3206" w:type="pct"/>
            <w:tcBorders>
              <w:top w:val="outset" w:sz="6" w:space="0" w:color="414142"/>
              <w:left w:val="outset" w:sz="6" w:space="0" w:color="414142"/>
              <w:bottom w:val="outset" w:sz="6" w:space="0" w:color="414142"/>
              <w:right w:val="outset" w:sz="6" w:space="0" w:color="414142"/>
            </w:tcBorders>
            <w:hideMark/>
          </w:tcPr>
          <w:p w:rsidR="00F10092" w:rsidRPr="00A7677E" w:rsidRDefault="00F10092" w:rsidP="00633342">
            <w:pPr>
              <w:spacing w:after="0" w:line="240" w:lineRule="auto"/>
              <w:jc w:val="both"/>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Finanšu ministrija.</w:t>
            </w:r>
          </w:p>
        </w:tc>
      </w:tr>
      <w:tr w:rsidR="00F10092" w:rsidRPr="00A7677E" w:rsidTr="00633342">
        <w:trPr>
          <w:trHeight w:val="372"/>
          <w:jc w:val="center"/>
        </w:trPr>
        <w:tc>
          <w:tcPr>
            <w:tcW w:w="230" w:type="pct"/>
            <w:tcBorders>
              <w:top w:val="outset" w:sz="6" w:space="0" w:color="414142"/>
              <w:left w:val="outset" w:sz="6" w:space="0" w:color="414142"/>
              <w:bottom w:val="outset" w:sz="6" w:space="0" w:color="414142"/>
              <w:right w:val="outset" w:sz="6" w:space="0" w:color="414142"/>
            </w:tcBorders>
            <w:hideMark/>
          </w:tcPr>
          <w:p w:rsidR="00F10092" w:rsidRPr="00A7677E" w:rsidRDefault="00F10092" w:rsidP="00633342">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3.</w:t>
            </w:r>
          </w:p>
        </w:tc>
        <w:tc>
          <w:tcPr>
            <w:tcW w:w="1564" w:type="pct"/>
            <w:tcBorders>
              <w:top w:val="outset" w:sz="6" w:space="0" w:color="414142"/>
              <w:left w:val="outset" w:sz="6" w:space="0" w:color="414142"/>
              <w:bottom w:val="outset" w:sz="6" w:space="0" w:color="414142"/>
              <w:right w:val="outset" w:sz="6" w:space="0" w:color="414142"/>
            </w:tcBorders>
            <w:hideMark/>
          </w:tcPr>
          <w:p w:rsidR="00F10092" w:rsidRPr="00A7677E" w:rsidRDefault="00F10092" w:rsidP="00633342">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rsidR="00F10092" w:rsidRPr="00A7677E" w:rsidRDefault="00F10092" w:rsidP="00633342">
            <w:pPr>
              <w:tabs>
                <w:tab w:val="center" w:pos="0"/>
                <w:tab w:val="right" w:pos="9360"/>
              </w:tabs>
              <w:spacing w:after="0" w:line="240" w:lineRule="auto"/>
              <w:jc w:val="both"/>
              <w:rPr>
                <w:rFonts w:ascii="Times New Roman" w:hAnsi="Times New Roman" w:cs="Times New Roman"/>
                <w:sz w:val="24"/>
                <w:szCs w:val="24"/>
              </w:rPr>
            </w:pPr>
            <w:r w:rsidRPr="00A7677E">
              <w:rPr>
                <w:rFonts w:ascii="Times New Roman" w:hAnsi="Times New Roman" w:cs="Times New Roman"/>
                <w:sz w:val="24"/>
                <w:szCs w:val="24"/>
              </w:rPr>
              <w:t>Nav.</w:t>
            </w:r>
          </w:p>
        </w:tc>
      </w:tr>
    </w:tbl>
    <w:p w:rsidR="00F10092" w:rsidRPr="00A7677E" w:rsidRDefault="00F10092" w:rsidP="000C7369">
      <w:pPr>
        <w:shd w:val="clear" w:color="auto" w:fill="FFFFFF"/>
        <w:spacing w:after="0" w:line="240" w:lineRule="auto"/>
        <w:ind w:firstLine="301"/>
        <w:rPr>
          <w:rFonts w:ascii="Times New Roman" w:eastAsia="Times New Roman" w:hAnsi="Times New Roman" w:cs="Times New Roman"/>
          <w:sz w:val="24"/>
          <w:szCs w:val="24"/>
          <w:lang w:eastAsia="lv-LV"/>
        </w:rPr>
      </w:pPr>
    </w:p>
    <w:p w:rsidR="000C7369" w:rsidRPr="00A7677E" w:rsidRDefault="000C7369" w:rsidP="000C7369">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C7369" w:rsidRPr="00A7677E" w:rsidTr="000C26C3">
        <w:tc>
          <w:tcPr>
            <w:tcW w:w="5000" w:type="pct"/>
            <w:tcBorders>
              <w:top w:val="outset" w:sz="6" w:space="0" w:color="414142"/>
              <w:left w:val="outset" w:sz="6" w:space="0" w:color="414142"/>
              <w:bottom w:val="outset" w:sz="6" w:space="0" w:color="414142"/>
              <w:right w:val="outset" w:sz="6" w:space="0" w:color="414142"/>
            </w:tcBorders>
            <w:vAlign w:val="center"/>
            <w:hideMark/>
          </w:tcPr>
          <w:p w:rsidR="000C7369" w:rsidRPr="00A7677E" w:rsidRDefault="000C7369" w:rsidP="000C26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7677E">
              <w:rPr>
                <w:rFonts w:ascii="Times New Roman" w:eastAsia="Times New Roman" w:hAnsi="Times New Roman" w:cs="Times New Roman"/>
                <w:b/>
                <w:bCs/>
                <w:sz w:val="24"/>
                <w:szCs w:val="24"/>
                <w:lang w:eastAsia="lv-LV"/>
              </w:rPr>
              <w:t>V. Tiesību akta projekta atbilstība Latvijas Republikas starptautiskajām saistībām</w:t>
            </w:r>
          </w:p>
        </w:tc>
      </w:tr>
      <w:tr w:rsidR="000C7369" w:rsidRPr="00A7677E" w:rsidTr="000C26C3">
        <w:tc>
          <w:tcPr>
            <w:tcW w:w="5000" w:type="pct"/>
            <w:tcBorders>
              <w:top w:val="outset" w:sz="6" w:space="0" w:color="414142"/>
              <w:left w:val="outset" w:sz="6" w:space="0" w:color="414142"/>
              <w:bottom w:val="outset" w:sz="6" w:space="0" w:color="414142"/>
              <w:right w:val="outset" w:sz="6" w:space="0" w:color="414142"/>
            </w:tcBorders>
          </w:tcPr>
          <w:p w:rsidR="000C7369" w:rsidRPr="00A7677E" w:rsidRDefault="000C7369" w:rsidP="000C26C3">
            <w:pPr>
              <w:spacing w:after="0" w:line="240" w:lineRule="auto"/>
              <w:jc w:val="center"/>
              <w:rPr>
                <w:rFonts w:ascii="Times New Roman" w:eastAsia="Times New Roman" w:hAnsi="Times New Roman" w:cs="Times New Roman"/>
                <w:sz w:val="24"/>
                <w:szCs w:val="24"/>
                <w:lang w:eastAsia="lv-LV"/>
              </w:rPr>
            </w:pPr>
            <w:r w:rsidRPr="00A7677E">
              <w:rPr>
                <w:rFonts w:ascii="Times New Roman" w:hAnsi="Times New Roman" w:cs="Times New Roman"/>
                <w:sz w:val="24"/>
                <w:szCs w:val="24"/>
              </w:rPr>
              <w:t>Likumprojekts šo jomu neskar</w:t>
            </w:r>
          </w:p>
        </w:tc>
      </w:tr>
    </w:tbl>
    <w:p w:rsidR="000C7369" w:rsidRPr="00A7677E" w:rsidRDefault="000C7369" w:rsidP="000C7369">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0C7369" w:rsidRPr="00A7677E" w:rsidTr="000C26C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C7369" w:rsidRPr="00A7677E" w:rsidRDefault="000C7369" w:rsidP="000C26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7677E">
              <w:rPr>
                <w:rFonts w:ascii="Times New Roman" w:eastAsia="Times New Roman" w:hAnsi="Times New Roman" w:cs="Times New Roman"/>
                <w:b/>
                <w:bCs/>
                <w:sz w:val="24"/>
                <w:szCs w:val="24"/>
                <w:lang w:eastAsia="lv-LV"/>
              </w:rPr>
              <w:t>VI. Sabiedrības līdzdalība un komunikācijas aktivitātes</w:t>
            </w:r>
          </w:p>
        </w:tc>
      </w:tr>
      <w:tr w:rsidR="000C7369" w:rsidRPr="00A7677E" w:rsidTr="000C26C3">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jc w:val="center"/>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0C7369" w:rsidRPr="00A7677E" w:rsidRDefault="00C409AC" w:rsidP="00185998">
            <w:pPr>
              <w:spacing w:after="0" w:line="240" w:lineRule="auto"/>
              <w:jc w:val="both"/>
              <w:rPr>
                <w:rFonts w:ascii="Times New Roman" w:hAnsi="Times New Roman" w:cs="Times New Roman"/>
                <w:sz w:val="24"/>
                <w:szCs w:val="24"/>
                <w:lang w:eastAsia="lv-LV"/>
              </w:rPr>
            </w:pPr>
            <w:r w:rsidRPr="00A7677E">
              <w:rPr>
                <w:rFonts w:ascii="Times New Roman" w:hAnsi="Times New Roman" w:cs="Times New Roman"/>
                <w:sz w:val="24"/>
                <w:szCs w:val="24"/>
              </w:rPr>
              <w:t>Likumprojekts izstrādāts, pamatojoties uz Ministru kabineta 2019.gada 5.februāra sēdes protokollēmuma (prot. Nr.5 30.§) “Informatīvais ziņojums “Par makroekonomisko rādītāju, ieņēmumu un vispārējās valdības budžeta bilances prognozēm 2019.-2021.gadā”” 8.2.apakšpunktā doto uzdevumu.</w:t>
            </w:r>
          </w:p>
        </w:tc>
      </w:tr>
      <w:tr w:rsidR="000C7369" w:rsidRPr="00A7677E" w:rsidTr="000C26C3">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jc w:val="center"/>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jc w:val="both"/>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 xml:space="preserve">Sabiedrības pārstāvji par likumprojektu varēs sniegt savu viedokli </w:t>
            </w:r>
            <w:r w:rsidRPr="00A7677E">
              <w:rPr>
                <w:rFonts w:ascii="Times New Roman" w:hAnsi="Times New Roman" w:cs="Times New Roman"/>
                <w:bCs/>
                <w:color w:val="000000" w:themeColor="text1"/>
                <w:sz w:val="24"/>
                <w:szCs w:val="24"/>
              </w:rPr>
              <w:t>gadskārtējā valsts budžeta likumprojekta izskatīšanas procesā.</w:t>
            </w:r>
          </w:p>
        </w:tc>
      </w:tr>
      <w:tr w:rsidR="000C7369" w:rsidRPr="00A7677E" w:rsidTr="000C26C3">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jc w:val="center"/>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jc w:val="both"/>
              <w:rPr>
                <w:rFonts w:ascii="Times New Roman" w:eastAsia="Times New Roman" w:hAnsi="Times New Roman" w:cs="Times New Roman"/>
                <w:sz w:val="24"/>
                <w:szCs w:val="24"/>
                <w:lang w:eastAsia="lv-LV"/>
              </w:rPr>
            </w:pPr>
            <w:r w:rsidRPr="00A7677E">
              <w:rPr>
                <w:rFonts w:ascii="Times New Roman" w:hAnsi="Times New Roman" w:cs="Times New Roman"/>
                <w:iCs/>
                <w:spacing w:val="-2"/>
                <w:sz w:val="24"/>
                <w:szCs w:val="24"/>
              </w:rPr>
              <w:t>Sabiedrības pārstāvji varēs līdzdarboties likumprojekta izskatīšanas procesā, rakstveidā sniedzot viedokļus par likumprojektu.</w:t>
            </w:r>
          </w:p>
        </w:tc>
      </w:tr>
      <w:tr w:rsidR="000C7369" w:rsidRPr="00A7677E" w:rsidTr="000C26C3">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jc w:val="center"/>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Nav.</w:t>
            </w:r>
          </w:p>
        </w:tc>
      </w:tr>
    </w:tbl>
    <w:p w:rsidR="000C7369" w:rsidRPr="00A7677E" w:rsidRDefault="000C7369" w:rsidP="000C7369">
      <w:pPr>
        <w:shd w:val="clear" w:color="auto" w:fill="FFFFFF"/>
        <w:spacing w:after="0" w:line="240" w:lineRule="auto"/>
        <w:ind w:firstLine="301"/>
        <w:rPr>
          <w:rFonts w:ascii="Times New Roman" w:eastAsia="Times New Roman" w:hAnsi="Times New Roman" w:cs="Times New Roman"/>
          <w:sz w:val="24"/>
          <w:szCs w:val="24"/>
          <w:lang w:eastAsia="lv-LV"/>
        </w:rPr>
      </w:pPr>
    </w:p>
    <w:p w:rsidR="000C7369" w:rsidRPr="00A7677E" w:rsidRDefault="000C7369" w:rsidP="000C7369">
      <w:pPr>
        <w:shd w:val="clear" w:color="auto" w:fill="FFFFFF"/>
        <w:spacing w:after="0" w:line="240" w:lineRule="auto"/>
        <w:ind w:firstLine="301"/>
        <w:rPr>
          <w:rFonts w:ascii="Times New Roman" w:eastAsia="Times New Roman" w:hAnsi="Times New Roman" w:cs="Times New Roman"/>
          <w:sz w:val="24"/>
          <w:szCs w:val="24"/>
          <w:lang w:eastAsia="lv-LV"/>
        </w:rPr>
      </w:pPr>
    </w:p>
    <w:p w:rsidR="000C7369" w:rsidRPr="00A7677E" w:rsidRDefault="000C7369" w:rsidP="000C7369">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0C7369" w:rsidRPr="00A7677E" w:rsidTr="000C26C3">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C7369" w:rsidRPr="00A7677E" w:rsidRDefault="000C7369" w:rsidP="000C26C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7677E">
              <w:rPr>
                <w:rFonts w:ascii="Times New Roman" w:eastAsia="Times New Roman" w:hAnsi="Times New Roman" w:cs="Times New Roman"/>
                <w:b/>
                <w:bCs/>
                <w:sz w:val="24"/>
                <w:szCs w:val="24"/>
                <w:lang w:eastAsia="lv-LV"/>
              </w:rPr>
              <w:t>VII. Tiesību akta projekta izpildes nodrošināšana un tās ietekme uz institūcijām</w:t>
            </w:r>
          </w:p>
        </w:tc>
      </w:tr>
      <w:tr w:rsidR="000C7369" w:rsidRPr="00A7677E" w:rsidTr="000C26C3">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jc w:val="center"/>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lastRenderedPageBreak/>
              <w:t>1.</w:t>
            </w:r>
          </w:p>
        </w:tc>
        <w:tc>
          <w:tcPr>
            <w:tcW w:w="190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6C2BCB">
            <w:pPr>
              <w:spacing w:after="0" w:line="240" w:lineRule="auto"/>
              <w:jc w:val="both"/>
              <w:rPr>
                <w:rFonts w:ascii="Times New Roman" w:eastAsia="Times New Roman" w:hAnsi="Times New Roman" w:cs="Times New Roman"/>
                <w:sz w:val="24"/>
                <w:szCs w:val="24"/>
                <w:lang w:eastAsia="lv-LV"/>
              </w:rPr>
            </w:pPr>
            <w:r w:rsidRPr="00A7677E">
              <w:rPr>
                <w:rFonts w:ascii="Times New Roman" w:hAnsi="Times New Roman" w:cs="Times New Roman"/>
                <w:sz w:val="24"/>
                <w:szCs w:val="24"/>
              </w:rPr>
              <w:t>Izložu un azartspēļu uzraudzības inspekcija</w:t>
            </w:r>
            <w:r w:rsidR="006C2BCB" w:rsidRPr="00A7677E">
              <w:rPr>
                <w:rFonts w:ascii="Times New Roman" w:eastAsia="Times New Roman" w:hAnsi="Times New Roman" w:cs="Times New Roman"/>
                <w:sz w:val="24"/>
                <w:szCs w:val="24"/>
                <w:lang w:eastAsia="lv-LV"/>
              </w:rPr>
              <w:t>.</w:t>
            </w:r>
            <w:r w:rsidRPr="00A7677E">
              <w:rPr>
                <w:rFonts w:ascii="Times New Roman" w:eastAsia="Times New Roman" w:hAnsi="Times New Roman" w:cs="Times New Roman"/>
                <w:sz w:val="24"/>
                <w:szCs w:val="24"/>
                <w:lang w:eastAsia="lv-LV"/>
              </w:rPr>
              <w:t>.</w:t>
            </w:r>
          </w:p>
        </w:tc>
      </w:tr>
      <w:tr w:rsidR="000C7369" w:rsidRPr="00A7677E" w:rsidTr="000C26C3">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jc w:val="center"/>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Projekta izpildes ietekme uz pārvaldes funkcijām un institucionālo struktūru.</w:t>
            </w:r>
          </w:p>
          <w:p w:rsidR="000C7369" w:rsidRPr="00A7677E" w:rsidRDefault="000C7369" w:rsidP="000C26C3">
            <w:pPr>
              <w:spacing w:before="100" w:beforeAutospacing="1" w:after="100" w:afterAutospacing="1" w:line="293" w:lineRule="atLeast"/>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6C2BCB">
            <w:pPr>
              <w:spacing w:before="100" w:beforeAutospacing="1" w:after="0" w:line="240" w:lineRule="auto"/>
              <w:jc w:val="both"/>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 xml:space="preserve">Likumprojektā paredzēto tiesisko regulējumu nodrošinās </w:t>
            </w:r>
            <w:r w:rsidRPr="00A7677E">
              <w:rPr>
                <w:rFonts w:ascii="Times New Roman" w:hAnsi="Times New Roman" w:cs="Times New Roman"/>
                <w:sz w:val="24"/>
                <w:szCs w:val="24"/>
              </w:rPr>
              <w:t>Izložu un azartspēļu uzraudzības inspekcija</w:t>
            </w:r>
            <w:r w:rsidRPr="00A7677E">
              <w:rPr>
                <w:rFonts w:ascii="Times New Roman" w:eastAsia="Times New Roman" w:hAnsi="Times New Roman" w:cs="Times New Roman"/>
                <w:sz w:val="24"/>
                <w:szCs w:val="24"/>
                <w:lang w:eastAsia="lv-LV"/>
              </w:rPr>
              <w:t xml:space="preserve"> savu funkciju ietvaros. Jaunas institūcijas netiks veidotas, kā arī esošās institūcijas netiks likvidētas vai reorganizētas. Ar likumprojektu noteiktā funkcija tiks īstenota esošo cilvēkresursu  un finansējuma ietvaros.</w:t>
            </w:r>
          </w:p>
        </w:tc>
      </w:tr>
      <w:tr w:rsidR="000C7369" w:rsidRPr="00A7677E" w:rsidTr="000C26C3">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jc w:val="center"/>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0C7369" w:rsidRPr="00A7677E" w:rsidRDefault="000C7369" w:rsidP="000C26C3">
            <w:pPr>
              <w:spacing w:after="0" w:line="240" w:lineRule="auto"/>
              <w:rPr>
                <w:rFonts w:ascii="Times New Roman" w:eastAsia="Times New Roman" w:hAnsi="Times New Roman" w:cs="Times New Roman"/>
                <w:sz w:val="24"/>
                <w:szCs w:val="24"/>
                <w:lang w:eastAsia="lv-LV"/>
              </w:rPr>
            </w:pPr>
            <w:r w:rsidRPr="00A7677E">
              <w:rPr>
                <w:rFonts w:ascii="Times New Roman" w:eastAsia="Times New Roman" w:hAnsi="Times New Roman" w:cs="Times New Roman"/>
                <w:sz w:val="24"/>
                <w:szCs w:val="24"/>
                <w:lang w:eastAsia="lv-LV"/>
              </w:rPr>
              <w:t>Nav.</w:t>
            </w:r>
          </w:p>
        </w:tc>
      </w:tr>
    </w:tbl>
    <w:p w:rsidR="000C7369" w:rsidRPr="00A7677E" w:rsidRDefault="000C7369" w:rsidP="000C7369">
      <w:pPr>
        <w:spacing w:after="0" w:line="240" w:lineRule="auto"/>
        <w:rPr>
          <w:rFonts w:ascii="Times New Roman" w:hAnsi="Times New Roman" w:cs="Times New Roman"/>
          <w:sz w:val="26"/>
          <w:szCs w:val="26"/>
        </w:rPr>
      </w:pPr>
    </w:p>
    <w:p w:rsidR="000C7369" w:rsidRPr="00A7677E" w:rsidRDefault="000C7369" w:rsidP="000C7369">
      <w:pPr>
        <w:spacing w:after="0" w:line="240" w:lineRule="auto"/>
        <w:rPr>
          <w:rFonts w:ascii="Times New Roman" w:hAnsi="Times New Roman" w:cs="Times New Roman"/>
          <w:sz w:val="26"/>
          <w:szCs w:val="26"/>
        </w:rPr>
      </w:pPr>
    </w:p>
    <w:p w:rsidR="000C7369" w:rsidRPr="00A7677E" w:rsidRDefault="000C7369" w:rsidP="000C7369">
      <w:pPr>
        <w:tabs>
          <w:tab w:val="right" w:pos="9071"/>
        </w:tabs>
        <w:spacing w:after="0" w:line="240" w:lineRule="auto"/>
        <w:rPr>
          <w:rFonts w:ascii="Times New Roman" w:hAnsi="Times New Roman" w:cs="Times New Roman"/>
          <w:sz w:val="24"/>
          <w:szCs w:val="24"/>
        </w:rPr>
      </w:pPr>
      <w:r w:rsidRPr="00A7677E">
        <w:rPr>
          <w:rFonts w:ascii="Times New Roman" w:hAnsi="Times New Roman" w:cs="Times New Roman"/>
          <w:sz w:val="24"/>
          <w:szCs w:val="24"/>
        </w:rPr>
        <w:t>Finanšu ministrs</w:t>
      </w:r>
      <w:r w:rsidRPr="00A7677E">
        <w:rPr>
          <w:rFonts w:ascii="Times New Roman" w:hAnsi="Times New Roman" w:cs="Times New Roman"/>
          <w:sz w:val="24"/>
          <w:szCs w:val="24"/>
        </w:rPr>
        <w:tab/>
      </w:r>
      <w:proofErr w:type="spellStart"/>
      <w:r w:rsidRPr="00A7677E">
        <w:rPr>
          <w:rFonts w:ascii="Times New Roman" w:hAnsi="Times New Roman" w:cs="Times New Roman"/>
          <w:sz w:val="24"/>
          <w:szCs w:val="24"/>
        </w:rPr>
        <w:t>J.Reirs</w:t>
      </w:r>
      <w:proofErr w:type="spellEnd"/>
    </w:p>
    <w:p w:rsidR="000C7369" w:rsidRPr="00A7677E" w:rsidRDefault="000C7369" w:rsidP="000C7369">
      <w:pPr>
        <w:spacing w:after="0" w:line="240" w:lineRule="auto"/>
        <w:ind w:firstLine="720"/>
        <w:rPr>
          <w:rFonts w:ascii="Times New Roman" w:hAnsi="Times New Roman" w:cs="Times New Roman"/>
          <w:sz w:val="24"/>
          <w:szCs w:val="24"/>
        </w:rPr>
      </w:pPr>
    </w:p>
    <w:p w:rsidR="000C7369" w:rsidRPr="00A7677E" w:rsidRDefault="000C7369" w:rsidP="000C7369">
      <w:pPr>
        <w:spacing w:after="0" w:line="240" w:lineRule="auto"/>
        <w:ind w:firstLine="720"/>
        <w:rPr>
          <w:rFonts w:ascii="Times New Roman" w:hAnsi="Times New Roman" w:cs="Times New Roman"/>
          <w:sz w:val="24"/>
          <w:szCs w:val="24"/>
        </w:rPr>
      </w:pPr>
    </w:p>
    <w:p w:rsidR="000C7369" w:rsidRPr="00A7677E" w:rsidRDefault="000C7369" w:rsidP="000C7369">
      <w:pPr>
        <w:spacing w:after="0" w:line="240" w:lineRule="auto"/>
        <w:ind w:firstLine="720"/>
        <w:rPr>
          <w:rFonts w:ascii="Times New Roman" w:hAnsi="Times New Roman" w:cs="Times New Roman"/>
          <w:sz w:val="26"/>
          <w:szCs w:val="26"/>
        </w:rPr>
      </w:pPr>
    </w:p>
    <w:p w:rsidR="000C7369" w:rsidRPr="00A7677E" w:rsidRDefault="000C7369" w:rsidP="000C7369">
      <w:pPr>
        <w:spacing w:after="0" w:line="240" w:lineRule="auto"/>
        <w:ind w:firstLine="720"/>
        <w:rPr>
          <w:rFonts w:ascii="Times New Roman" w:hAnsi="Times New Roman" w:cs="Times New Roman"/>
          <w:sz w:val="26"/>
          <w:szCs w:val="26"/>
        </w:rPr>
      </w:pPr>
    </w:p>
    <w:p w:rsidR="000C7369" w:rsidRPr="00A7677E" w:rsidRDefault="000C7369" w:rsidP="000C7369">
      <w:pPr>
        <w:spacing w:after="0" w:line="240" w:lineRule="auto"/>
        <w:ind w:firstLine="720"/>
        <w:rPr>
          <w:rFonts w:ascii="Times New Roman" w:hAnsi="Times New Roman" w:cs="Times New Roman"/>
          <w:sz w:val="26"/>
          <w:szCs w:val="26"/>
        </w:rPr>
      </w:pPr>
    </w:p>
    <w:p w:rsidR="000C7369" w:rsidRPr="00A7677E" w:rsidRDefault="000C7369" w:rsidP="000C7369">
      <w:pPr>
        <w:spacing w:after="0" w:line="240" w:lineRule="auto"/>
        <w:ind w:firstLine="720"/>
        <w:rPr>
          <w:rFonts w:ascii="Times New Roman" w:hAnsi="Times New Roman" w:cs="Times New Roman"/>
          <w:sz w:val="26"/>
          <w:szCs w:val="26"/>
        </w:rPr>
      </w:pPr>
    </w:p>
    <w:p w:rsidR="000C7369" w:rsidRPr="00A7677E" w:rsidRDefault="000C7369" w:rsidP="000C7369">
      <w:pPr>
        <w:spacing w:after="0" w:line="240" w:lineRule="auto"/>
        <w:rPr>
          <w:rFonts w:ascii="Times New Roman" w:hAnsi="Times New Roman" w:cs="Times New Roman"/>
          <w:sz w:val="20"/>
          <w:szCs w:val="20"/>
        </w:rPr>
      </w:pPr>
      <w:r w:rsidRPr="00A7677E">
        <w:rPr>
          <w:rFonts w:ascii="Times New Roman" w:hAnsi="Times New Roman" w:cs="Times New Roman"/>
          <w:sz w:val="20"/>
          <w:szCs w:val="20"/>
        </w:rPr>
        <w:t>Lukšo 67095522</w:t>
      </w:r>
    </w:p>
    <w:p w:rsidR="000C7369" w:rsidRPr="00A7677E" w:rsidRDefault="000C7369" w:rsidP="000C7369">
      <w:pPr>
        <w:spacing w:after="0" w:line="240" w:lineRule="auto"/>
        <w:rPr>
          <w:rFonts w:ascii="Times New Roman" w:hAnsi="Times New Roman" w:cs="Times New Roman"/>
          <w:sz w:val="20"/>
          <w:szCs w:val="20"/>
        </w:rPr>
      </w:pPr>
      <w:r w:rsidRPr="00A7677E">
        <w:rPr>
          <w:rFonts w:ascii="Times New Roman" w:hAnsi="Times New Roman" w:cs="Times New Roman"/>
          <w:sz w:val="20"/>
          <w:szCs w:val="20"/>
        </w:rPr>
        <w:t>Irita.Lukso@fm.gov.lv</w:t>
      </w:r>
    </w:p>
    <w:p w:rsidR="000C7369" w:rsidRPr="00A7677E" w:rsidRDefault="000C7369" w:rsidP="000C7369">
      <w:pPr>
        <w:tabs>
          <w:tab w:val="left" w:pos="6237"/>
        </w:tabs>
        <w:spacing w:after="0" w:line="240" w:lineRule="auto"/>
        <w:rPr>
          <w:rFonts w:ascii="Times New Roman" w:hAnsi="Times New Roman" w:cs="Times New Roman"/>
          <w:sz w:val="20"/>
          <w:szCs w:val="20"/>
        </w:rPr>
      </w:pPr>
      <w:r w:rsidRPr="00A7677E">
        <w:rPr>
          <w:rFonts w:ascii="Times New Roman" w:hAnsi="Times New Roman" w:cs="Times New Roman"/>
          <w:sz w:val="20"/>
          <w:szCs w:val="20"/>
        </w:rPr>
        <w:t>Trenko 67083983</w:t>
      </w:r>
    </w:p>
    <w:p w:rsidR="000C7369" w:rsidRPr="00A7677E" w:rsidRDefault="000C7369" w:rsidP="000C7369">
      <w:pPr>
        <w:tabs>
          <w:tab w:val="left" w:pos="6237"/>
        </w:tabs>
        <w:spacing w:after="0" w:line="240" w:lineRule="auto"/>
        <w:rPr>
          <w:rFonts w:ascii="Times New Roman" w:hAnsi="Times New Roman" w:cs="Times New Roman"/>
          <w:sz w:val="20"/>
          <w:szCs w:val="20"/>
        </w:rPr>
      </w:pPr>
      <w:r w:rsidRPr="00A7677E">
        <w:rPr>
          <w:rFonts w:ascii="Times New Roman" w:hAnsi="Times New Roman" w:cs="Times New Roman"/>
          <w:sz w:val="20"/>
          <w:szCs w:val="20"/>
        </w:rPr>
        <w:t>Tatjana.Trenko@fm.gov.lv</w:t>
      </w:r>
    </w:p>
    <w:p w:rsidR="000C7369" w:rsidRPr="00A7677E" w:rsidRDefault="000C7369" w:rsidP="000C7369"/>
    <w:p w:rsidR="000C7369" w:rsidRPr="00A7677E" w:rsidRDefault="000C7369" w:rsidP="000C7369"/>
    <w:p w:rsidR="000C7369" w:rsidRPr="00A7677E" w:rsidRDefault="000C7369" w:rsidP="000C7369"/>
    <w:p w:rsidR="00247B1E" w:rsidRPr="00A7677E" w:rsidRDefault="00247B1E"/>
    <w:sectPr w:rsidR="00247B1E" w:rsidRPr="00A7677E" w:rsidSect="00312A0F">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369" w:rsidRDefault="000C7369" w:rsidP="000C7369">
      <w:pPr>
        <w:spacing w:after="0" w:line="240" w:lineRule="auto"/>
      </w:pPr>
      <w:r>
        <w:separator/>
      </w:r>
    </w:p>
  </w:endnote>
  <w:endnote w:type="continuationSeparator" w:id="0">
    <w:p w:rsidR="000C7369" w:rsidRDefault="000C7369" w:rsidP="000C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A6B" w:rsidRDefault="00870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B8D" w:rsidRPr="00FC3F6B" w:rsidRDefault="000C7369" w:rsidP="00FC3F6B">
    <w:pPr>
      <w:pStyle w:val="Footer"/>
      <w:rPr>
        <w:rFonts w:ascii="Times New Roman" w:hAnsi="Times New Roman" w:cs="Times New Roman"/>
        <w:sz w:val="20"/>
        <w:szCs w:val="20"/>
      </w:rPr>
    </w:pPr>
    <w:r w:rsidRPr="00FC3F6B">
      <w:rPr>
        <w:rFonts w:ascii="Times New Roman" w:hAnsi="Times New Roman" w:cs="Times New Roman"/>
        <w:sz w:val="20"/>
        <w:szCs w:val="20"/>
      </w:rPr>
      <w:fldChar w:fldCharType="begin"/>
    </w:r>
    <w:r w:rsidRPr="00FC3F6B">
      <w:rPr>
        <w:rFonts w:ascii="Times New Roman" w:hAnsi="Times New Roman" w:cs="Times New Roman"/>
        <w:sz w:val="20"/>
        <w:szCs w:val="20"/>
      </w:rPr>
      <w:instrText xml:space="preserve"> FILENAME   \* MERGEFORMAT </w:instrText>
    </w:r>
    <w:r w:rsidRPr="00FC3F6B">
      <w:rPr>
        <w:rFonts w:ascii="Times New Roman" w:hAnsi="Times New Roman" w:cs="Times New Roman"/>
        <w:sz w:val="20"/>
        <w:szCs w:val="20"/>
      </w:rPr>
      <w:fldChar w:fldCharType="separate"/>
    </w:r>
    <w:r w:rsidR="00A92F86">
      <w:rPr>
        <w:rFonts w:ascii="Times New Roman" w:hAnsi="Times New Roman" w:cs="Times New Roman"/>
        <w:noProof/>
        <w:sz w:val="20"/>
        <w:szCs w:val="20"/>
      </w:rPr>
      <w:t>FMAnot_050219_LAPK.docx</w:t>
    </w:r>
    <w:r w:rsidRPr="00FC3F6B">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B8D" w:rsidRPr="00FC3F6B" w:rsidRDefault="000C7369" w:rsidP="00FC3F6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70A6B">
      <w:rPr>
        <w:rFonts w:ascii="Times New Roman" w:hAnsi="Times New Roman" w:cs="Times New Roman"/>
        <w:noProof/>
        <w:sz w:val="20"/>
        <w:szCs w:val="20"/>
      </w:rPr>
      <w:t>FMAnot_050219_LAPK.docx</w:t>
    </w:r>
    <w:r>
      <w:rPr>
        <w:rFonts w:ascii="Times New Roman" w:hAnsi="Times New Roman" w:cs="Times New Roman"/>
        <w:sz w:val="20"/>
        <w:szCs w:val="20"/>
      </w:rPr>
      <w:fldChar w:fldCharType="end"/>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369" w:rsidRDefault="000C7369" w:rsidP="000C7369">
      <w:pPr>
        <w:spacing w:after="0" w:line="240" w:lineRule="auto"/>
      </w:pPr>
      <w:r>
        <w:separator/>
      </w:r>
    </w:p>
  </w:footnote>
  <w:footnote w:type="continuationSeparator" w:id="0">
    <w:p w:rsidR="000C7369" w:rsidRDefault="000C7369" w:rsidP="000C7369">
      <w:pPr>
        <w:spacing w:after="0" w:line="240" w:lineRule="auto"/>
      </w:pPr>
      <w:r>
        <w:continuationSeparator/>
      </w:r>
    </w:p>
  </w:footnote>
  <w:footnote w:id="1">
    <w:p w:rsidR="000C7369" w:rsidRPr="00AE0001" w:rsidRDefault="000C7369" w:rsidP="000C7369">
      <w:pPr>
        <w:pStyle w:val="EndnoteText"/>
        <w:spacing w:after="120"/>
        <w:jc w:val="both"/>
        <w:rPr>
          <w:lang w:val="lv-LV"/>
        </w:rPr>
      </w:pPr>
      <w:r w:rsidRPr="00AE0001">
        <w:rPr>
          <w:rStyle w:val="FootnoteReference"/>
        </w:rPr>
        <w:footnoteRef/>
      </w:r>
      <w:r w:rsidRPr="00AE0001">
        <w:t xml:space="preserve"> </w:t>
      </w:r>
      <w:proofErr w:type="spellStart"/>
      <w:r w:rsidRPr="00AE0001">
        <w:rPr>
          <w:lang w:val="lv-LV"/>
        </w:rPr>
        <w:t>Dowling</w:t>
      </w:r>
      <w:proofErr w:type="spellEnd"/>
      <w:r w:rsidRPr="00AE0001">
        <w:rPr>
          <w:lang w:val="lv-LV"/>
        </w:rPr>
        <w:t xml:space="preserve"> N. A., </w:t>
      </w:r>
      <w:proofErr w:type="spellStart"/>
      <w:r w:rsidRPr="00AE0001">
        <w:rPr>
          <w:lang w:val="lv-LV"/>
        </w:rPr>
        <w:t>Merkouris</w:t>
      </w:r>
      <w:proofErr w:type="spellEnd"/>
      <w:r w:rsidRPr="00AE0001">
        <w:rPr>
          <w:lang w:val="lv-LV"/>
        </w:rPr>
        <w:t xml:space="preserve"> S. S., </w:t>
      </w:r>
      <w:proofErr w:type="spellStart"/>
      <w:r w:rsidRPr="00AE0001">
        <w:rPr>
          <w:lang w:val="lv-LV"/>
        </w:rPr>
        <w:t>Greenwood</w:t>
      </w:r>
      <w:proofErr w:type="spellEnd"/>
      <w:r w:rsidRPr="00AE0001">
        <w:rPr>
          <w:lang w:val="lv-LV"/>
        </w:rPr>
        <w:t xml:space="preserve"> C. J., </w:t>
      </w:r>
      <w:proofErr w:type="spellStart"/>
      <w:r w:rsidRPr="00AE0001">
        <w:rPr>
          <w:lang w:val="lv-LV"/>
        </w:rPr>
        <w:t>et</w:t>
      </w:r>
      <w:proofErr w:type="spellEnd"/>
      <w:r w:rsidRPr="00AE0001">
        <w:rPr>
          <w:lang w:val="lv-LV"/>
        </w:rPr>
        <w:t xml:space="preserve"> </w:t>
      </w:r>
      <w:proofErr w:type="spellStart"/>
      <w:r w:rsidRPr="00AE0001">
        <w:rPr>
          <w:lang w:val="lv-LV"/>
        </w:rPr>
        <w:t>al</w:t>
      </w:r>
      <w:proofErr w:type="spellEnd"/>
      <w:r w:rsidRPr="00AE0001">
        <w:rPr>
          <w:lang w:val="lv-LV"/>
        </w:rPr>
        <w:t xml:space="preserve">. </w:t>
      </w:r>
      <w:proofErr w:type="spellStart"/>
      <w:r w:rsidRPr="00AE0001">
        <w:rPr>
          <w:lang w:val="lv-LV"/>
        </w:rPr>
        <w:t>Early</w:t>
      </w:r>
      <w:proofErr w:type="spellEnd"/>
      <w:r w:rsidRPr="00AE0001">
        <w:rPr>
          <w:lang w:val="lv-LV"/>
        </w:rPr>
        <w:t xml:space="preserve"> risk </w:t>
      </w:r>
      <w:proofErr w:type="spellStart"/>
      <w:r w:rsidRPr="00AE0001">
        <w:rPr>
          <w:lang w:val="lv-LV"/>
        </w:rPr>
        <w:t>and</w:t>
      </w:r>
      <w:proofErr w:type="spellEnd"/>
      <w:r w:rsidRPr="00AE0001">
        <w:rPr>
          <w:lang w:val="lv-LV"/>
        </w:rPr>
        <w:t xml:space="preserve"> </w:t>
      </w:r>
      <w:proofErr w:type="spellStart"/>
      <w:r w:rsidRPr="00AE0001">
        <w:rPr>
          <w:lang w:val="lv-LV"/>
        </w:rPr>
        <w:t>protective</w:t>
      </w:r>
      <w:proofErr w:type="spellEnd"/>
      <w:r w:rsidRPr="00AE0001">
        <w:rPr>
          <w:lang w:val="lv-LV"/>
        </w:rPr>
        <w:t xml:space="preserve"> </w:t>
      </w:r>
      <w:proofErr w:type="spellStart"/>
      <w:r w:rsidRPr="00AE0001">
        <w:rPr>
          <w:lang w:val="lv-LV"/>
        </w:rPr>
        <w:t>factors</w:t>
      </w:r>
      <w:proofErr w:type="spellEnd"/>
      <w:r w:rsidRPr="00AE0001">
        <w:rPr>
          <w:lang w:val="lv-LV"/>
        </w:rPr>
        <w:t xml:space="preserve"> </w:t>
      </w:r>
      <w:proofErr w:type="spellStart"/>
      <w:r w:rsidRPr="00AE0001">
        <w:rPr>
          <w:lang w:val="lv-LV"/>
        </w:rPr>
        <w:t>for</w:t>
      </w:r>
      <w:proofErr w:type="spellEnd"/>
      <w:r w:rsidRPr="00AE0001">
        <w:rPr>
          <w:lang w:val="lv-LV"/>
        </w:rPr>
        <w:t xml:space="preserve"> </w:t>
      </w:r>
      <w:proofErr w:type="spellStart"/>
      <w:r w:rsidRPr="00AE0001">
        <w:rPr>
          <w:lang w:val="lv-LV"/>
        </w:rPr>
        <w:t>problem</w:t>
      </w:r>
      <w:proofErr w:type="spellEnd"/>
      <w:r w:rsidRPr="00AE0001">
        <w:rPr>
          <w:lang w:val="lv-LV"/>
        </w:rPr>
        <w:t xml:space="preserve"> </w:t>
      </w:r>
      <w:proofErr w:type="spellStart"/>
      <w:r w:rsidRPr="00AE0001">
        <w:rPr>
          <w:lang w:val="lv-LV"/>
        </w:rPr>
        <w:t>gambling</w:t>
      </w:r>
      <w:proofErr w:type="spellEnd"/>
      <w:r w:rsidRPr="00AE0001">
        <w:rPr>
          <w:lang w:val="lv-LV"/>
        </w:rPr>
        <w:t xml:space="preserve">: a </w:t>
      </w:r>
      <w:proofErr w:type="spellStart"/>
      <w:r w:rsidRPr="00AE0001">
        <w:rPr>
          <w:lang w:val="lv-LV"/>
        </w:rPr>
        <w:t>systematic</w:t>
      </w:r>
      <w:proofErr w:type="spellEnd"/>
      <w:r w:rsidRPr="00AE0001">
        <w:rPr>
          <w:lang w:val="lv-LV"/>
        </w:rPr>
        <w:t xml:space="preserve"> </w:t>
      </w:r>
      <w:proofErr w:type="spellStart"/>
      <w:r w:rsidRPr="00AE0001">
        <w:rPr>
          <w:lang w:val="lv-LV"/>
        </w:rPr>
        <w:t>review</w:t>
      </w:r>
      <w:proofErr w:type="spellEnd"/>
      <w:r w:rsidRPr="00AE0001">
        <w:rPr>
          <w:lang w:val="lv-LV"/>
        </w:rPr>
        <w:t xml:space="preserve"> </w:t>
      </w:r>
      <w:proofErr w:type="spellStart"/>
      <w:r w:rsidRPr="00AE0001">
        <w:rPr>
          <w:lang w:val="lv-LV"/>
        </w:rPr>
        <w:t>and</w:t>
      </w:r>
      <w:proofErr w:type="spellEnd"/>
      <w:r w:rsidRPr="00AE0001">
        <w:rPr>
          <w:lang w:val="lv-LV"/>
        </w:rPr>
        <w:t xml:space="preserve"> meta-</w:t>
      </w:r>
      <w:proofErr w:type="spellStart"/>
      <w:r w:rsidRPr="00AE0001">
        <w:rPr>
          <w:lang w:val="lv-LV"/>
        </w:rPr>
        <w:t>analysis</w:t>
      </w:r>
      <w:proofErr w:type="spellEnd"/>
      <w:r w:rsidRPr="00AE0001">
        <w:rPr>
          <w:lang w:val="lv-LV"/>
        </w:rPr>
        <w:t xml:space="preserve"> </w:t>
      </w:r>
      <w:proofErr w:type="spellStart"/>
      <w:r w:rsidRPr="00AE0001">
        <w:rPr>
          <w:lang w:val="lv-LV"/>
        </w:rPr>
        <w:t>of</w:t>
      </w:r>
      <w:proofErr w:type="spellEnd"/>
      <w:r w:rsidRPr="00AE0001">
        <w:rPr>
          <w:lang w:val="lv-LV"/>
        </w:rPr>
        <w:t xml:space="preserve"> </w:t>
      </w:r>
      <w:proofErr w:type="spellStart"/>
      <w:r w:rsidRPr="00AE0001">
        <w:rPr>
          <w:lang w:val="lv-LV"/>
        </w:rPr>
        <w:t>longitudinal</w:t>
      </w:r>
      <w:proofErr w:type="spellEnd"/>
      <w:r w:rsidRPr="00AE0001">
        <w:rPr>
          <w:lang w:val="lv-LV"/>
        </w:rPr>
        <w:t xml:space="preserve"> </w:t>
      </w:r>
      <w:proofErr w:type="spellStart"/>
      <w:r w:rsidRPr="00AE0001">
        <w:rPr>
          <w:lang w:val="lv-LV"/>
        </w:rPr>
        <w:t>studies</w:t>
      </w:r>
      <w:proofErr w:type="spellEnd"/>
      <w:r w:rsidRPr="00AE0001">
        <w:rPr>
          <w:lang w:val="lv-LV"/>
        </w:rPr>
        <w:t xml:space="preserve">. </w:t>
      </w:r>
      <w:proofErr w:type="spellStart"/>
      <w:r w:rsidRPr="00AE0001">
        <w:rPr>
          <w:lang w:val="lv-LV"/>
        </w:rPr>
        <w:t>Clinical</w:t>
      </w:r>
      <w:proofErr w:type="spellEnd"/>
      <w:r w:rsidRPr="00AE0001">
        <w:rPr>
          <w:lang w:val="lv-LV"/>
        </w:rPr>
        <w:t xml:space="preserve"> </w:t>
      </w:r>
      <w:proofErr w:type="spellStart"/>
      <w:r w:rsidRPr="00AE0001">
        <w:rPr>
          <w:lang w:val="lv-LV"/>
        </w:rPr>
        <w:t>Psychology</w:t>
      </w:r>
      <w:proofErr w:type="spellEnd"/>
      <w:r w:rsidRPr="00AE0001">
        <w:rPr>
          <w:lang w:val="lv-LV"/>
        </w:rPr>
        <w:t xml:space="preserve"> </w:t>
      </w:r>
      <w:proofErr w:type="spellStart"/>
      <w:r w:rsidRPr="00AE0001">
        <w:rPr>
          <w:lang w:val="lv-LV"/>
        </w:rPr>
        <w:t>Review</w:t>
      </w:r>
      <w:proofErr w:type="spellEnd"/>
      <w:r w:rsidRPr="00AE0001">
        <w:rPr>
          <w:lang w:val="lv-LV"/>
        </w:rPr>
        <w:t>, 2017; 51: 109-124.</w:t>
      </w:r>
    </w:p>
  </w:footnote>
  <w:footnote w:id="2">
    <w:p w:rsidR="00C80BEE" w:rsidRPr="003357E6" w:rsidRDefault="00C80BEE" w:rsidP="003357E6">
      <w:pPr>
        <w:pStyle w:val="FootnoteText"/>
        <w:jc w:val="both"/>
      </w:pPr>
      <w:r w:rsidRPr="003357E6">
        <w:rPr>
          <w:rStyle w:val="FootnoteReference"/>
        </w:rPr>
        <w:footnoteRef/>
      </w:r>
      <w:r w:rsidRPr="003357E6">
        <w:t xml:space="preserve"> Eiropas Komisijas 2013.gada 5.februāra darba dokuments “Ietekmes novērtēšana“, lpp.14. https://eur-lex.europa.eu/LexUriServ/LexUriServ.do?uri=SWD:2013:0021:FIN:EN:PDF</w:t>
      </w:r>
    </w:p>
  </w:footnote>
  <w:footnote w:id="3">
    <w:p w:rsidR="00C80BEE" w:rsidRPr="003357E6" w:rsidRDefault="00C80BEE" w:rsidP="003357E6">
      <w:pPr>
        <w:pStyle w:val="Footnote0"/>
        <w:shd w:val="clear" w:color="auto" w:fill="auto"/>
        <w:spacing w:line="350" w:lineRule="exact"/>
        <w:jc w:val="both"/>
        <w:rPr>
          <w:sz w:val="20"/>
          <w:szCs w:val="20"/>
        </w:rPr>
      </w:pPr>
      <w:r w:rsidRPr="003357E6">
        <w:rPr>
          <w:sz w:val="20"/>
          <w:szCs w:val="20"/>
          <w:vertAlign w:val="superscript"/>
        </w:rPr>
        <w:footnoteRef/>
      </w:r>
      <w:r w:rsidRPr="003357E6">
        <w:rPr>
          <w:sz w:val="20"/>
          <w:szCs w:val="20"/>
        </w:rPr>
        <w:t xml:space="preserve"> </w:t>
      </w:r>
      <w:proofErr w:type="spellStart"/>
      <w:r w:rsidRPr="003357E6">
        <w:rPr>
          <w:sz w:val="20"/>
          <w:szCs w:val="20"/>
        </w:rPr>
        <w:t>Roshler</w:t>
      </w:r>
      <w:proofErr w:type="spellEnd"/>
      <w:r w:rsidRPr="003357E6">
        <w:rPr>
          <w:sz w:val="20"/>
          <w:szCs w:val="20"/>
        </w:rPr>
        <w:t xml:space="preserve"> </w:t>
      </w:r>
      <w:r w:rsidRPr="003357E6">
        <w:rPr>
          <w:sz w:val="20"/>
          <w:szCs w:val="20"/>
          <w:lang w:val="de-DE" w:eastAsia="de-DE" w:bidi="de-DE"/>
        </w:rPr>
        <w:t xml:space="preserve">Carl (ed.), </w:t>
      </w:r>
      <w:r w:rsidRPr="003357E6">
        <w:rPr>
          <w:sz w:val="20"/>
          <w:szCs w:val="20"/>
        </w:rPr>
        <w:t xml:space="preserve">The Gambling Law Review, Law </w:t>
      </w:r>
      <w:proofErr w:type="spellStart"/>
      <w:r w:rsidRPr="003357E6">
        <w:rPr>
          <w:sz w:val="20"/>
          <w:szCs w:val="20"/>
        </w:rPr>
        <w:t>Bussines</w:t>
      </w:r>
      <w:proofErr w:type="spellEnd"/>
      <w:r w:rsidRPr="003357E6">
        <w:rPr>
          <w:sz w:val="20"/>
          <w:szCs w:val="20"/>
        </w:rPr>
        <w:t xml:space="preserve"> Research, 2016, 255.lpp</w:t>
      </w:r>
    </w:p>
  </w:footnote>
  <w:footnote w:id="4">
    <w:p w:rsidR="000C7369" w:rsidRPr="000C1776" w:rsidRDefault="000C7369" w:rsidP="000C7369">
      <w:pPr>
        <w:pStyle w:val="FootnoteText"/>
        <w:rPr>
          <w:sz w:val="22"/>
        </w:rPr>
      </w:pPr>
      <w:r w:rsidRPr="003357E6">
        <w:rPr>
          <w:rStyle w:val="FootnoteReference"/>
          <w:rFonts w:eastAsia="Calibri"/>
        </w:rPr>
        <w:footnoteRef/>
      </w:r>
      <w:r w:rsidRPr="003357E6">
        <w:t xml:space="preserve"> Sabiedrisko pakalpojumu regulēšanas komisijas mājas lapa https://www.sprk.gov.lv/lapas/Elektroniskie-sakari#Pakalpojumu-sniedzeji66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A6B" w:rsidRDefault="00870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D4B8D" w:rsidRPr="00C25B49" w:rsidRDefault="000C736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70A6B">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A6B" w:rsidRDefault="00870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4935"/>
    <w:multiLevelType w:val="hybridMultilevel"/>
    <w:tmpl w:val="112AFD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D393D1C"/>
    <w:multiLevelType w:val="hybridMultilevel"/>
    <w:tmpl w:val="D9BCA378"/>
    <w:lvl w:ilvl="0" w:tplc="0EB2FD6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C316769"/>
    <w:multiLevelType w:val="hybridMultilevel"/>
    <w:tmpl w:val="5686B8D0"/>
    <w:lvl w:ilvl="0" w:tplc="B53A1E3C">
      <w:start w:val="1"/>
      <w:numFmt w:val="decimal"/>
      <w:lvlText w:val="%1)"/>
      <w:lvlJc w:val="left"/>
      <w:pPr>
        <w:ind w:left="1070" w:hanging="360"/>
      </w:pPr>
      <w:rPr>
        <w:rFonts w:hint="default"/>
        <w:strike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69"/>
    <w:rsid w:val="000C4535"/>
    <w:rsid w:val="000C7369"/>
    <w:rsid w:val="000F0D2D"/>
    <w:rsid w:val="000F32C5"/>
    <w:rsid w:val="001633AE"/>
    <w:rsid w:val="00174488"/>
    <w:rsid w:val="001840CC"/>
    <w:rsid w:val="00185998"/>
    <w:rsid w:val="00187C15"/>
    <w:rsid w:val="001B7CB3"/>
    <w:rsid w:val="00247B1E"/>
    <w:rsid w:val="0025192E"/>
    <w:rsid w:val="00253184"/>
    <w:rsid w:val="002F7A04"/>
    <w:rsid w:val="003112BF"/>
    <w:rsid w:val="003357E6"/>
    <w:rsid w:val="0035129E"/>
    <w:rsid w:val="003D0135"/>
    <w:rsid w:val="003E0D88"/>
    <w:rsid w:val="00413C86"/>
    <w:rsid w:val="004D6F64"/>
    <w:rsid w:val="00501D91"/>
    <w:rsid w:val="00520828"/>
    <w:rsid w:val="00577620"/>
    <w:rsid w:val="00582048"/>
    <w:rsid w:val="005D1E2D"/>
    <w:rsid w:val="005D3542"/>
    <w:rsid w:val="00615EBB"/>
    <w:rsid w:val="00686EE8"/>
    <w:rsid w:val="006C2BCB"/>
    <w:rsid w:val="006C323B"/>
    <w:rsid w:val="006D6073"/>
    <w:rsid w:val="00746381"/>
    <w:rsid w:val="00810537"/>
    <w:rsid w:val="00870A6B"/>
    <w:rsid w:val="00971390"/>
    <w:rsid w:val="009B1BA2"/>
    <w:rsid w:val="00A5495C"/>
    <w:rsid w:val="00A7677E"/>
    <w:rsid w:val="00A92F86"/>
    <w:rsid w:val="00B44AB2"/>
    <w:rsid w:val="00B91B37"/>
    <w:rsid w:val="00C409AC"/>
    <w:rsid w:val="00C53DB0"/>
    <w:rsid w:val="00C60634"/>
    <w:rsid w:val="00C74B26"/>
    <w:rsid w:val="00C80BEE"/>
    <w:rsid w:val="00D323D7"/>
    <w:rsid w:val="00D55EE2"/>
    <w:rsid w:val="00E0334B"/>
    <w:rsid w:val="00E43A6D"/>
    <w:rsid w:val="00E81042"/>
    <w:rsid w:val="00F04499"/>
    <w:rsid w:val="00F10092"/>
    <w:rsid w:val="00FB1245"/>
    <w:rsid w:val="00FD65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97F48-2281-4BE2-80D8-8431A096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369"/>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3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7369"/>
    <w:rPr>
      <w:rFonts w:asciiTheme="minorHAnsi" w:hAnsiTheme="minorHAnsi"/>
      <w:sz w:val="22"/>
    </w:rPr>
  </w:style>
  <w:style w:type="paragraph" w:styleId="Footer">
    <w:name w:val="footer"/>
    <w:basedOn w:val="Normal"/>
    <w:link w:val="FooterChar"/>
    <w:uiPriority w:val="99"/>
    <w:unhideWhenUsed/>
    <w:rsid w:val="000C73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7369"/>
    <w:rPr>
      <w:rFonts w:asciiTheme="minorHAnsi" w:hAnsiTheme="minorHAnsi"/>
      <w:sz w:val="22"/>
    </w:rPr>
  </w:style>
  <w:style w:type="paragraph" w:styleId="FootnoteText">
    <w:name w:val="footnote text"/>
    <w:aliases w:val="Char Char Char Char Char Char Char Char Char Char Char Char,Footnote Char,Fußnote,Fußnote Char,Reference Rakstz. Char Char Char Char Char Char Char,Vēres teksts Char Char Char,Vēres teksts Char Char Char Char Char,ft,single space"/>
    <w:basedOn w:val="Normal"/>
    <w:link w:val="FootnoteTextChar"/>
    <w:uiPriority w:val="99"/>
    <w:qFormat/>
    <w:rsid w:val="000C736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Char Char Char Char Char Char Char Char Char Char Char Char Char,Footnote Char Char,Fußnote Char1,Fußnote Char Char,Reference Rakstz. Char Char Char Char Char Char Char Char,Vēres teksts Char Char Char Char,ft Char,single space Char"/>
    <w:basedOn w:val="DefaultParagraphFont"/>
    <w:link w:val="FootnoteText"/>
    <w:uiPriority w:val="99"/>
    <w:rsid w:val="000C7369"/>
    <w:rPr>
      <w:rFonts w:eastAsia="Times New Roman" w:cs="Times New Roman"/>
      <w:sz w:val="20"/>
      <w:szCs w:val="20"/>
      <w:lang w:eastAsia="lv-LV"/>
    </w:rPr>
  </w:style>
  <w:style w:type="character" w:styleId="FootnoteReference">
    <w:name w:val="footnote reference"/>
    <w:aliases w:val="Footnote Reference Number,Footnote symbol,Footnote Refernece,Footnote Reference Superscript,fr,ESPON Footnote No,ftref,Odwołanie przypisu,BVI fnr,Footnotes refss,SUPERS,Ref,de nota al pie,-E Fußnotenzeichen,Footnote reference number,E"/>
    <w:link w:val="CharCharCharChar"/>
    <w:uiPriority w:val="99"/>
    <w:qFormat/>
    <w:rsid w:val="000C7369"/>
    <w:rPr>
      <w:vertAlign w:val="superscript"/>
    </w:rPr>
  </w:style>
  <w:style w:type="paragraph" w:styleId="ListParagraph">
    <w:name w:val="List Paragraph"/>
    <w:aliases w:val="2,Strip,Saraksta rindkopa,Saraksta rindkopa1,Numbered Para 1,Dot pt,No Spacing1,List Paragraph Char Char Char,Indicator Text,List Paragraph1,Bullet 1,Bullet Points,MAIN CONTENT,IFCL - List Paragraph,List Paragraph12,OBC Bullet"/>
    <w:basedOn w:val="Normal"/>
    <w:link w:val="ListParagraphChar"/>
    <w:uiPriority w:val="34"/>
    <w:qFormat/>
    <w:rsid w:val="000C7369"/>
    <w:pPr>
      <w:spacing w:after="0" w:line="240" w:lineRule="auto"/>
      <w:ind w:left="720"/>
      <w:contextualSpacing/>
    </w:pPr>
    <w:rPr>
      <w:rFonts w:ascii="Times New Roman" w:eastAsia="Calibri" w:hAnsi="Times New Roman" w:cs="Times New Roman"/>
      <w:sz w:val="28"/>
      <w:szCs w:val="28"/>
      <w:lang w:val="en-GB"/>
    </w:rPr>
  </w:style>
  <w:style w:type="character" w:styleId="Hyperlink">
    <w:name w:val="Hyperlink"/>
    <w:basedOn w:val="DefaultParagraphFont"/>
    <w:uiPriority w:val="99"/>
    <w:unhideWhenUsed/>
    <w:rsid w:val="000C7369"/>
    <w:rPr>
      <w:color w:val="0000FF"/>
      <w:u w:val="single"/>
    </w:rPr>
  </w:style>
  <w:style w:type="character" w:customStyle="1" w:styleId="ListParagraphChar">
    <w:name w:val="List Paragraph Char"/>
    <w:aliases w:val="2 Char,Strip Char,Saraksta rindkopa Char,Saraksta rindkopa1 Char,Numbered Para 1 Char,Dot pt Char,No Spacing1 Char,List Paragraph Char Char Char Char,Indicator Text Char,List Paragraph1 Char,Bullet 1 Char,Bullet Points Char"/>
    <w:link w:val="ListParagraph"/>
    <w:uiPriority w:val="34"/>
    <w:qFormat/>
    <w:rsid w:val="000C7369"/>
    <w:rPr>
      <w:rFonts w:eastAsia="Calibri" w:cs="Times New Roman"/>
      <w:sz w:val="28"/>
      <w:szCs w:val="28"/>
      <w:lang w:val="en-GB"/>
    </w:rPr>
  </w:style>
  <w:style w:type="paragraph" w:customStyle="1" w:styleId="CharCharCharChar">
    <w:name w:val="Char Char Char Char"/>
    <w:aliases w:val="Char2"/>
    <w:basedOn w:val="Normal"/>
    <w:next w:val="Normal"/>
    <w:link w:val="FootnoteReference"/>
    <w:uiPriority w:val="99"/>
    <w:rsid w:val="000C7369"/>
    <w:pPr>
      <w:keepNext/>
      <w:keepLines/>
      <w:spacing w:before="120" w:line="240" w:lineRule="exact"/>
      <w:jc w:val="both"/>
      <w:outlineLvl w:val="0"/>
    </w:pPr>
    <w:rPr>
      <w:rFonts w:ascii="Times New Roman" w:hAnsi="Times New Roman"/>
      <w:sz w:val="24"/>
      <w:vertAlign w:val="superscript"/>
    </w:rPr>
  </w:style>
  <w:style w:type="paragraph" w:styleId="EndnoteText">
    <w:name w:val="endnote text"/>
    <w:basedOn w:val="Normal"/>
    <w:link w:val="EndnoteTextChar1"/>
    <w:uiPriority w:val="99"/>
    <w:unhideWhenUsed/>
    <w:rsid w:val="000C7369"/>
    <w:pPr>
      <w:spacing w:after="0" w:line="240" w:lineRule="auto"/>
    </w:pPr>
    <w:rPr>
      <w:rFonts w:ascii="Times New Roman" w:hAnsi="Times New Roman" w:cs="Times New Roman"/>
      <w:sz w:val="20"/>
      <w:szCs w:val="20"/>
      <w:lang w:val="en-US"/>
    </w:rPr>
  </w:style>
  <w:style w:type="character" w:customStyle="1" w:styleId="EndnoteTextChar">
    <w:name w:val="Endnote Text Char"/>
    <w:basedOn w:val="DefaultParagraphFont"/>
    <w:uiPriority w:val="99"/>
    <w:semiHidden/>
    <w:rsid w:val="000C7369"/>
    <w:rPr>
      <w:rFonts w:asciiTheme="minorHAnsi" w:hAnsiTheme="minorHAnsi"/>
      <w:sz w:val="20"/>
      <w:szCs w:val="20"/>
    </w:rPr>
  </w:style>
  <w:style w:type="character" w:customStyle="1" w:styleId="EndnoteTextChar1">
    <w:name w:val="Endnote Text Char1"/>
    <w:basedOn w:val="DefaultParagraphFont"/>
    <w:link w:val="EndnoteText"/>
    <w:uiPriority w:val="99"/>
    <w:rsid w:val="000C7369"/>
    <w:rPr>
      <w:rFonts w:cs="Times New Roman"/>
      <w:sz w:val="20"/>
      <w:szCs w:val="20"/>
      <w:lang w:val="en-US"/>
    </w:rPr>
  </w:style>
  <w:style w:type="paragraph" w:customStyle="1" w:styleId="naisf">
    <w:name w:val="naisf"/>
    <w:basedOn w:val="Normal"/>
    <w:rsid w:val="000C7369"/>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92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F86"/>
    <w:rPr>
      <w:rFonts w:ascii="Segoe UI" w:hAnsi="Segoe UI" w:cs="Segoe UI"/>
      <w:sz w:val="18"/>
      <w:szCs w:val="18"/>
    </w:rPr>
  </w:style>
  <w:style w:type="character" w:customStyle="1" w:styleId="Footnote">
    <w:name w:val="Footnote_"/>
    <w:basedOn w:val="DefaultParagraphFont"/>
    <w:link w:val="Footnote0"/>
    <w:rsid w:val="00C60634"/>
    <w:rPr>
      <w:rFonts w:eastAsia="Times New Roman" w:cs="Times New Roman"/>
      <w:b/>
      <w:bCs/>
      <w:sz w:val="18"/>
      <w:szCs w:val="18"/>
      <w:shd w:val="clear" w:color="auto" w:fill="FFFFFF"/>
      <w:lang w:val="en-US" w:bidi="en-US"/>
    </w:rPr>
  </w:style>
  <w:style w:type="paragraph" w:customStyle="1" w:styleId="Footnote0">
    <w:name w:val="Footnote"/>
    <w:basedOn w:val="Normal"/>
    <w:link w:val="Footnote"/>
    <w:rsid w:val="00C60634"/>
    <w:pPr>
      <w:widowControl w:val="0"/>
      <w:shd w:val="clear" w:color="auto" w:fill="FFFFFF"/>
      <w:spacing w:after="0" w:line="0" w:lineRule="atLeast"/>
    </w:pPr>
    <w:rPr>
      <w:rFonts w:ascii="Times New Roman" w:eastAsia="Times New Roman" w:hAnsi="Times New Roman" w:cs="Times New Roman"/>
      <w:b/>
      <w:bCs/>
      <w:sz w:val="18"/>
      <w:szCs w:val="18"/>
      <w:lang w:val="en-US" w:bidi="en-US"/>
    </w:rPr>
  </w:style>
  <w:style w:type="character" w:customStyle="1" w:styleId="Bodytext2">
    <w:name w:val="Body text (2)_"/>
    <w:basedOn w:val="DefaultParagraphFont"/>
    <w:link w:val="Bodytext20"/>
    <w:rsid w:val="00746381"/>
    <w:rPr>
      <w:rFonts w:eastAsia="Times New Roman" w:cs="Times New Roman"/>
      <w:b/>
      <w:bCs/>
      <w:sz w:val="22"/>
      <w:shd w:val="clear" w:color="auto" w:fill="FFFFFF"/>
    </w:rPr>
  </w:style>
  <w:style w:type="paragraph" w:customStyle="1" w:styleId="Bodytext20">
    <w:name w:val="Body text (2)"/>
    <w:basedOn w:val="Normal"/>
    <w:link w:val="Bodytext2"/>
    <w:rsid w:val="00746381"/>
    <w:pPr>
      <w:widowControl w:val="0"/>
      <w:shd w:val="clear" w:color="auto" w:fill="FFFFFF"/>
      <w:spacing w:after="0" w:line="274" w:lineRule="exact"/>
      <w:jc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DAA3D-7ACD-4E52-9496-094DE87B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Pages>
  <Words>8070</Words>
  <Characters>4600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Likumprojekta “Grozījumi Latvijas Administratīvo pārkāpumu kodeksā” sākotnējās ietekmes novērtējuma ziņojums (anotācija)</vt:lpstr>
    </vt:vector>
  </TitlesOfParts>
  <Company>Finanšu ministrija</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Administratīvo pārkāpumu kodeksā” sākotnējās ietekmes novērtējuma ziņojums (anotācija)</dc:title>
  <dc:subject>Anotācija</dc:subject>
  <dc:creator>Irita Lukšo</dc:creator>
  <cp:keywords/>
  <dc:description>Irita.Lukso@fm.gov.lv; tālr.67095522_x000d_
Tatjana.Trenko@fm.gov.lv; tālr.6708983</dc:description>
  <cp:lastModifiedBy>Jana Salmiņa</cp:lastModifiedBy>
  <cp:revision>50</cp:revision>
  <cp:lastPrinted>2019-02-11T10:10:00Z</cp:lastPrinted>
  <dcterms:created xsi:type="dcterms:W3CDTF">2019-02-07T13:41:00Z</dcterms:created>
  <dcterms:modified xsi:type="dcterms:W3CDTF">2019-02-15T14:46:00Z</dcterms:modified>
</cp:coreProperties>
</file>