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0D" w:rsidRPr="00BD48C8" w:rsidRDefault="00257B0D" w:rsidP="00257B0D">
      <w:pPr>
        <w:jc w:val="right"/>
        <w:rPr>
          <w:rFonts w:cs="Times New Roman"/>
          <w:sz w:val="28"/>
          <w:szCs w:val="28"/>
        </w:rPr>
      </w:pPr>
      <w:r w:rsidRPr="00BD48C8">
        <w:rPr>
          <w:rFonts w:cs="Times New Roman"/>
          <w:sz w:val="28"/>
          <w:szCs w:val="28"/>
        </w:rPr>
        <w:t>3.pielikums</w:t>
      </w:r>
    </w:p>
    <w:p w:rsidR="00257B0D" w:rsidRPr="00BD48C8" w:rsidRDefault="00257B0D" w:rsidP="00257B0D">
      <w:pPr>
        <w:jc w:val="right"/>
        <w:rPr>
          <w:rFonts w:cs="Times New Roman"/>
          <w:sz w:val="28"/>
          <w:szCs w:val="28"/>
        </w:rPr>
      </w:pPr>
      <w:r w:rsidRPr="00BD48C8">
        <w:rPr>
          <w:rFonts w:cs="Times New Roman"/>
          <w:sz w:val="28"/>
          <w:szCs w:val="28"/>
        </w:rPr>
        <w:t>Ministru kabineta</w:t>
      </w:r>
    </w:p>
    <w:p w:rsidR="00257B0D" w:rsidRPr="00BD48C8" w:rsidRDefault="00257B0D" w:rsidP="00257B0D">
      <w:pPr>
        <w:jc w:val="right"/>
        <w:rPr>
          <w:rFonts w:cs="Times New Roman"/>
          <w:sz w:val="28"/>
          <w:szCs w:val="28"/>
        </w:rPr>
      </w:pPr>
      <w:r w:rsidRPr="00BD48C8">
        <w:rPr>
          <w:rFonts w:cs="Times New Roman"/>
          <w:sz w:val="28"/>
          <w:szCs w:val="28"/>
        </w:rPr>
        <w:t>201</w:t>
      </w:r>
      <w:r w:rsidR="009E3C65">
        <w:rPr>
          <w:rFonts w:cs="Times New Roman"/>
          <w:sz w:val="28"/>
          <w:szCs w:val="28"/>
        </w:rPr>
        <w:t>9</w:t>
      </w:r>
      <w:r w:rsidR="00425A1F">
        <w:rPr>
          <w:rFonts w:cs="Times New Roman"/>
          <w:sz w:val="28"/>
          <w:szCs w:val="28"/>
        </w:rPr>
        <w:t>.gada</w:t>
      </w:r>
    </w:p>
    <w:p w:rsidR="00257B0D" w:rsidRPr="00BD48C8" w:rsidRDefault="00425A1F" w:rsidP="00257B0D">
      <w:pPr>
        <w:jc w:val="right"/>
        <w:rPr>
          <w:rFonts w:cs="Times New Roman"/>
          <w:sz w:val="28"/>
          <w:szCs w:val="28"/>
        </w:rPr>
      </w:pPr>
      <w:r>
        <w:rPr>
          <w:rFonts w:cs="Times New Roman"/>
          <w:sz w:val="28"/>
          <w:szCs w:val="28"/>
        </w:rPr>
        <w:t>noteikumiem Nr.</w:t>
      </w:r>
    </w:p>
    <w:p w:rsidR="00257B0D" w:rsidRPr="00BD48C8" w:rsidRDefault="00257B0D" w:rsidP="00257B0D">
      <w:pPr>
        <w:jc w:val="right"/>
        <w:rPr>
          <w:rFonts w:cs="Times New Roman"/>
          <w:sz w:val="28"/>
          <w:szCs w:val="28"/>
        </w:rPr>
      </w:pPr>
    </w:p>
    <w:p w:rsidR="00257B0D" w:rsidRPr="00BD48C8" w:rsidRDefault="00257B0D" w:rsidP="00257B0D">
      <w:pPr>
        <w:jc w:val="center"/>
        <w:rPr>
          <w:rFonts w:cs="Times New Roman"/>
          <w:b/>
          <w:sz w:val="28"/>
          <w:szCs w:val="28"/>
        </w:rPr>
      </w:pPr>
      <w:r w:rsidRPr="00BD48C8">
        <w:rPr>
          <w:rFonts w:cs="Times New Roman"/>
          <w:b/>
          <w:sz w:val="28"/>
          <w:szCs w:val="28"/>
        </w:rPr>
        <w:t>Kritēriji vispārējā nodrošinājuma apmēra samazināšanai</w:t>
      </w:r>
    </w:p>
    <w:p w:rsidR="00257B0D" w:rsidRPr="00BD48C8" w:rsidRDefault="00257B0D" w:rsidP="00257B0D">
      <w:pPr>
        <w:jc w:val="center"/>
        <w:rPr>
          <w:rFonts w:cs="Times New Roman"/>
          <w:sz w:val="28"/>
          <w:szCs w:val="28"/>
          <w:lang w:eastAsia="lv-LV"/>
        </w:rPr>
      </w:pPr>
    </w:p>
    <w:tbl>
      <w:tblPr>
        <w:tblStyle w:val="TableGrid"/>
        <w:tblW w:w="0" w:type="auto"/>
        <w:tblLook w:val="04A0" w:firstRow="1" w:lastRow="0" w:firstColumn="1" w:lastColumn="0" w:noHBand="0" w:noVBand="1"/>
      </w:tblPr>
      <w:tblGrid>
        <w:gridCol w:w="743"/>
        <w:gridCol w:w="6498"/>
        <w:gridCol w:w="1820"/>
      </w:tblGrid>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1.Vispārējie kritēriji</w:t>
            </w:r>
          </w:p>
        </w:tc>
        <w:tc>
          <w:tcPr>
            <w:tcW w:w="1697" w:type="dxa"/>
          </w:tcPr>
          <w:p w:rsidR="00257B0D" w:rsidRPr="002347B1" w:rsidRDefault="00257B0D" w:rsidP="00121FA7">
            <w:pPr>
              <w:rPr>
                <w:rFonts w:cs="Times New Roman"/>
                <w:b/>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nav mainījies valdes sastāvs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 xml:space="preserve">gada laikā pirms iesnieguma iesniegšanas nepārsniedz akcīzes nodokļa deklarāciju, pārskatu par akcīzes preču un pārskatu par marku apriti iesniegšanas termiņu </w:t>
            </w:r>
            <w:r w:rsidRPr="002347B1">
              <w:rPr>
                <w:rFonts w:cs="Times New Roman"/>
                <w:color w:val="000000" w:themeColor="text1"/>
                <w:sz w:val="26"/>
                <w:szCs w:val="26"/>
              </w:rPr>
              <w:t>vairāk par divām darba dienām</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ir īpašuma tiesības uz nekustamo īpašumu, kuru izmanto komersanta apstiprināta noliktavas turētāja darbībai</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vismaz trīs gadus ir reģistrēts Valsts ieņēmumu dienesta pievienotās vērtības nodokļa maksātāju reģistrā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vismaz piecus gadus pēc kārtas ir bijusi speciālā atļauja (licence) apstiprināta noliktavas turētāja darbībai, reģistrēta saņēmēja darbībai vai reģistrēta nosūtītāja darbībai, kuras darbība nav bijusi apturēta</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1.6.</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ievēro akcīzes nodokli reglamentējošos normatīvajos aktos noteiktos nodokļa samaksas termiņus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1.7.</w:t>
            </w:r>
          </w:p>
        </w:tc>
        <w:tc>
          <w:tcPr>
            <w:tcW w:w="6764" w:type="dxa"/>
          </w:tcPr>
          <w:p w:rsidR="00257B0D" w:rsidRPr="002347B1" w:rsidRDefault="00257B0D" w:rsidP="00D9063D">
            <w:pPr>
              <w:jc w:val="both"/>
              <w:rPr>
                <w:rFonts w:cs="Times New Roman"/>
                <w:sz w:val="26"/>
                <w:szCs w:val="26"/>
              </w:rPr>
            </w:pPr>
            <w:r w:rsidRPr="002347B1">
              <w:rPr>
                <w:rFonts w:cs="Times New Roman"/>
                <w:sz w:val="26"/>
                <w:szCs w:val="26"/>
              </w:rPr>
              <w:t>gada laikā pirms iesnieguma iesniegšanas nodrošinājuma iesniedzējs vai tā izpildinstitūcijas persona, kurai ir tiesības pārstāvēt nodrošinājuma iesniedzēju, nav sodīta par akcīzes preču apriti reglamentējošo normatīvo aktu pārkāpumiem vairāk kā 500</w:t>
            </w:r>
            <w:r w:rsidR="00D9063D">
              <w:rPr>
                <w:rFonts w:cs="Times New Roman"/>
                <w:sz w:val="26"/>
                <w:szCs w:val="26"/>
              </w:rPr>
              <w:t xml:space="preserve"> </w:t>
            </w:r>
            <w:proofErr w:type="spellStart"/>
            <w:r w:rsidR="00D9063D" w:rsidRPr="00181A22">
              <w:rPr>
                <w:rFonts w:cs="Times New Roman"/>
                <w:i/>
                <w:sz w:val="26"/>
                <w:szCs w:val="26"/>
              </w:rPr>
              <w:t>euro</w:t>
            </w:r>
            <w:proofErr w:type="spellEnd"/>
            <w:r w:rsidR="00D9063D">
              <w:rPr>
                <w:rFonts w:cs="Times New Roman"/>
                <w:sz w:val="26"/>
                <w:szCs w:val="26"/>
              </w:rPr>
              <w:t xml:space="preserve"> </w:t>
            </w:r>
            <w:r w:rsidRPr="002347B1">
              <w:rPr>
                <w:rFonts w:cs="Times New Roman"/>
                <w:sz w:val="26"/>
                <w:szCs w:val="26"/>
              </w:rPr>
              <w:t>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1.8.</w:t>
            </w:r>
          </w:p>
        </w:tc>
        <w:tc>
          <w:tcPr>
            <w:tcW w:w="6764" w:type="dxa"/>
          </w:tcPr>
          <w:p w:rsidR="00257B0D" w:rsidRPr="002347B1" w:rsidRDefault="00257B0D" w:rsidP="004A0863">
            <w:pPr>
              <w:jc w:val="both"/>
              <w:rPr>
                <w:rFonts w:cs="Times New Roman"/>
                <w:sz w:val="26"/>
                <w:szCs w:val="26"/>
              </w:rPr>
            </w:pPr>
            <w:r w:rsidRPr="002347B1">
              <w:rPr>
                <w:rFonts w:cs="Times New Roman"/>
                <w:sz w:val="26"/>
                <w:szCs w:val="26"/>
              </w:rPr>
              <w:t>gada laikā pirms iesnieguma ie</w:t>
            </w:r>
            <w:r w:rsidR="004A0863">
              <w:rPr>
                <w:rFonts w:cs="Times New Roman"/>
                <w:sz w:val="26"/>
                <w:szCs w:val="26"/>
              </w:rPr>
              <w:t xml:space="preserve">sniegšanas vismaz sešus mēnešus </w:t>
            </w:r>
            <w:r w:rsidRPr="002347B1">
              <w:rPr>
                <w:rFonts w:cs="Times New Roman"/>
                <w:sz w:val="26"/>
                <w:szCs w:val="26"/>
              </w:rPr>
              <w:t xml:space="preserve">akcīzes preces ir nodevis patēriņam Latvijas Republikā </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1.9.</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1.10.</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likviditātes rādītājs nav mazāks par 0,5</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1.11.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maksātspējas rādītājs nav lielāks par 1</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3A4C5B" w:rsidRPr="002347B1" w:rsidTr="0009748E">
        <w:tc>
          <w:tcPr>
            <w:tcW w:w="743" w:type="dxa"/>
            <w:vAlign w:val="center"/>
          </w:tcPr>
          <w:p w:rsidR="003A4C5B" w:rsidRPr="002347B1" w:rsidRDefault="003A4C5B" w:rsidP="00121FA7">
            <w:pPr>
              <w:jc w:val="center"/>
              <w:rPr>
                <w:rFonts w:cs="Times New Roman"/>
                <w:b/>
                <w:sz w:val="26"/>
                <w:szCs w:val="26"/>
              </w:rPr>
            </w:pPr>
            <w:r w:rsidRPr="002347B1">
              <w:rPr>
                <w:rFonts w:cs="Times New Roman"/>
                <w:b/>
                <w:sz w:val="26"/>
                <w:szCs w:val="26"/>
              </w:rPr>
              <w:t>1.12.</w:t>
            </w:r>
          </w:p>
        </w:tc>
        <w:tc>
          <w:tcPr>
            <w:tcW w:w="6764" w:type="dxa"/>
          </w:tcPr>
          <w:p w:rsidR="003A4C5B" w:rsidRPr="002347B1" w:rsidRDefault="003A4C5B" w:rsidP="00121FA7">
            <w:pPr>
              <w:jc w:val="both"/>
              <w:rPr>
                <w:rFonts w:cs="Times New Roman"/>
                <w:sz w:val="26"/>
                <w:szCs w:val="26"/>
              </w:rPr>
            </w:pPr>
            <w:r w:rsidRPr="002347B1">
              <w:rPr>
                <w:rFonts w:cs="Times New Roman"/>
                <w:sz w:val="26"/>
                <w:szCs w:val="26"/>
              </w:rPr>
              <w:t>nodarbināti vismaz 100 darbinieki</w:t>
            </w:r>
          </w:p>
        </w:tc>
        <w:tc>
          <w:tcPr>
            <w:tcW w:w="1697" w:type="dxa"/>
            <w:vAlign w:val="center"/>
          </w:tcPr>
          <w:p w:rsidR="003A4C5B" w:rsidRPr="002347B1" w:rsidRDefault="003A4C5B" w:rsidP="00121FA7">
            <w:pPr>
              <w:jc w:val="center"/>
              <w:rPr>
                <w:rFonts w:cs="Times New Roman"/>
                <w:b/>
                <w:sz w:val="26"/>
                <w:szCs w:val="26"/>
              </w:rPr>
            </w:pPr>
            <w:r w:rsidRPr="002347B1">
              <w:rPr>
                <w:rFonts w:cs="Times New Roman"/>
                <w:b/>
                <w:sz w:val="26"/>
                <w:szCs w:val="26"/>
              </w:rPr>
              <w:t>5</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2. Kritēriji darbībai ar alkoholiskajiem dzērieniem</w:t>
            </w:r>
          </w:p>
        </w:tc>
        <w:tc>
          <w:tcPr>
            <w:tcW w:w="1697" w:type="dxa"/>
          </w:tcPr>
          <w:p w:rsidR="00257B0D" w:rsidRPr="002347B1" w:rsidRDefault="00257B0D" w:rsidP="00121FA7">
            <w:pPr>
              <w:rPr>
                <w:rFonts w:cs="Times New Roman"/>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veicis alkoholisko dzērienu ražošanu, pārstrādi, apstrādi vai fasēšanu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lastRenderedPageBreak/>
              <w:t>2.2.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izvedis uz ārvalsti (arī dalībvalsti) paša saražotos alkoholiskos dzērienus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alkoholiskajiem dzērieniem samaksu no 100 000 līdz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alkoholiskajiem dzērieniem samaksu vairāk nekā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2.5.</w:t>
            </w:r>
          </w:p>
        </w:tc>
        <w:tc>
          <w:tcPr>
            <w:tcW w:w="6764" w:type="dxa"/>
          </w:tcPr>
          <w:p w:rsidR="00257B0D" w:rsidRPr="002347B1" w:rsidRDefault="00257B0D" w:rsidP="00C13C6E">
            <w:pPr>
              <w:jc w:val="both"/>
              <w:rPr>
                <w:rFonts w:cs="Times New Roman"/>
                <w:sz w:val="26"/>
                <w:szCs w:val="26"/>
              </w:rPr>
            </w:pPr>
            <w:r w:rsidRPr="002347B1">
              <w:rPr>
                <w:rFonts w:cs="Times New Roman"/>
                <w:sz w:val="26"/>
                <w:szCs w:val="26"/>
              </w:rPr>
              <w:t xml:space="preserve">atbilstoši </w:t>
            </w:r>
            <w:r w:rsidR="00C13C6E">
              <w:rPr>
                <w:rFonts w:cs="Times New Roman"/>
                <w:sz w:val="26"/>
                <w:szCs w:val="26"/>
              </w:rPr>
              <w:t xml:space="preserve">speciālajai atļaujai (licencei) </w:t>
            </w:r>
            <w:r w:rsidR="00B10F60" w:rsidRPr="00C13C6E">
              <w:rPr>
                <w:rFonts w:cs="Times New Roman"/>
                <w:sz w:val="26"/>
                <w:szCs w:val="26"/>
              </w:rPr>
              <w:t xml:space="preserve">apstiprināta noliktavas turētāja darbībai </w:t>
            </w:r>
            <w:r w:rsidRPr="002347B1">
              <w:rPr>
                <w:rFonts w:cs="Times New Roman"/>
                <w:sz w:val="26"/>
                <w:szCs w:val="26"/>
              </w:rPr>
              <w:t xml:space="preserve">veic </w:t>
            </w:r>
            <w:r w:rsidR="002954E3">
              <w:rPr>
                <w:rFonts w:cs="Times New Roman"/>
                <w:sz w:val="26"/>
                <w:szCs w:val="26"/>
              </w:rPr>
              <w:t xml:space="preserve">darbību </w:t>
            </w:r>
            <w:r w:rsidRPr="002347B1">
              <w:rPr>
                <w:rFonts w:cs="Times New Roman"/>
                <w:sz w:val="26"/>
                <w:szCs w:val="26"/>
              </w:rPr>
              <w:t>tikai ar savā patstāvīgajā mazajā alus darītavā saražoto alu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2.6.</w:t>
            </w:r>
          </w:p>
        </w:tc>
        <w:tc>
          <w:tcPr>
            <w:tcW w:w="6764" w:type="dxa"/>
          </w:tcPr>
          <w:p w:rsidR="00257B0D" w:rsidRPr="002347B1" w:rsidRDefault="00257B0D" w:rsidP="00F10E25">
            <w:pPr>
              <w:jc w:val="both"/>
              <w:rPr>
                <w:rFonts w:cs="Times New Roman"/>
                <w:sz w:val="26"/>
                <w:szCs w:val="26"/>
              </w:rPr>
            </w:pPr>
            <w:r w:rsidRPr="002347B1">
              <w:rPr>
                <w:rFonts w:cs="Times New Roman"/>
                <w:sz w:val="26"/>
                <w:szCs w:val="26"/>
              </w:rPr>
              <w:t>gada laikā pirms iesnieguma iesniegšanas vismaz sešus mēnešus ir veicis alkoholisko dzērienu marķēšanu ar Latvijas Republikas akcīzes nodokļa markām savā akcīzes preču noliktavā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3. Kritēriji darbībai ar tabakas izstrādājumiem</w:t>
            </w:r>
          </w:p>
        </w:tc>
        <w:tc>
          <w:tcPr>
            <w:tcW w:w="1697" w:type="dxa"/>
          </w:tcPr>
          <w:p w:rsidR="00257B0D" w:rsidRPr="002347B1" w:rsidRDefault="00257B0D" w:rsidP="00121FA7">
            <w:pPr>
              <w:rPr>
                <w:rFonts w:cs="Times New Roman"/>
                <w:b/>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3.1.</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gada laikā pirms iesnieguma iesniegšanas vismaz sešus mēnešus ir veicis tabakas izstrādājumu ražošanu, pārstrādi, apstrādi vai fasēšanu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iepriekšējā kalendāra gadā Latvijas Republikā patēriņam nodotais paša saražotais akcīzes preču apjoms sastāda vismaz 50% no kopējā saražotā akcīzes preču apjoma</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tabakas izstrādājumiem samaksu no 100 000 līdz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3.4.</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tabakas izstrādājumiem samaksu vairāk nekā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3.5.</w:t>
            </w:r>
          </w:p>
        </w:tc>
        <w:tc>
          <w:tcPr>
            <w:tcW w:w="6764" w:type="dxa"/>
          </w:tcPr>
          <w:p w:rsidR="00257B0D" w:rsidRPr="002347B1" w:rsidRDefault="00257B0D" w:rsidP="00A13579">
            <w:pPr>
              <w:jc w:val="both"/>
              <w:rPr>
                <w:rFonts w:cs="Times New Roman"/>
                <w:sz w:val="26"/>
                <w:szCs w:val="26"/>
              </w:rPr>
            </w:pPr>
            <w:r w:rsidRPr="002347B1">
              <w:rPr>
                <w:rFonts w:cs="Times New Roman"/>
                <w:sz w:val="26"/>
                <w:szCs w:val="26"/>
              </w:rPr>
              <w:t>gada laikā pirms iesnieguma iesniegšanas vismaz sešus mēnešus ir veicis tabakas izstrādājumu marķēšanu ar Latvijas Republikas akcīzes nodokļa markām savā akcīzes preču noliktavā (izņemot tabakas ražotājus)</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507" w:type="dxa"/>
            <w:gridSpan w:val="2"/>
          </w:tcPr>
          <w:p w:rsidR="00257B0D" w:rsidRPr="002347B1" w:rsidRDefault="00257B0D" w:rsidP="00121FA7">
            <w:pPr>
              <w:rPr>
                <w:rFonts w:cs="Times New Roman"/>
                <w:b/>
                <w:sz w:val="26"/>
                <w:szCs w:val="26"/>
              </w:rPr>
            </w:pPr>
            <w:r w:rsidRPr="002347B1">
              <w:rPr>
                <w:rFonts w:cs="Times New Roman"/>
                <w:b/>
                <w:sz w:val="26"/>
                <w:szCs w:val="26"/>
              </w:rPr>
              <w:t>4. Kritēriji darbībai ar naftas produktiem</w:t>
            </w:r>
          </w:p>
        </w:tc>
        <w:tc>
          <w:tcPr>
            <w:tcW w:w="1697" w:type="dxa"/>
          </w:tcPr>
          <w:p w:rsidR="00257B0D" w:rsidRPr="002347B1" w:rsidRDefault="00257B0D" w:rsidP="00121FA7">
            <w:pPr>
              <w:rPr>
                <w:rFonts w:cs="Times New Roman"/>
                <w:sz w:val="26"/>
                <w:szCs w:val="26"/>
              </w:rPr>
            </w:pPr>
            <w:r w:rsidRPr="002347B1">
              <w:rPr>
                <w:rFonts w:cs="Times New Roman"/>
                <w:b/>
                <w:sz w:val="26"/>
                <w:szCs w:val="26"/>
              </w:rPr>
              <w:t>Procentpunkti</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4.1.</w:t>
            </w:r>
          </w:p>
        </w:tc>
        <w:tc>
          <w:tcPr>
            <w:tcW w:w="6764" w:type="dxa"/>
          </w:tcPr>
          <w:p w:rsidR="00257B0D" w:rsidRPr="002347B1" w:rsidRDefault="00257B0D" w:rsidP="00A8741B">
            <w:pPr>
              <w:jc w:val="both"/>
              <w:rPr>
                <w:rFonts w:cs="Times New Roman"/>
                <w:sz w:val="26"/>
                <w:szCs w:val="26"/>
              </w:rPr>
            </w:pPr>
            <w:r w:rsidRPr="002347B1">
              <w:rPr>
                <w:rFonts w:cs="Times New Roman"/>
                <w:sz w:val="26"/>
                <w:szCs w:val="26"/>
              </w:rPr>
              <w:t xml:space="preserve">papildus speciālajai atļaujai (licencei) apstiprināta noliktavas turētāja darbībai ar naftas produktiem ir izsniegta speciālā atļauja (licence) </w:t>
            </w:r>
            <w:r w:rsidR="00A8741B" w:rsidRPr="00EF1BF0">
              <w:rPr>
                <w:rFonts w:cs="Times New Roman"/>
                <w:sz w:val="26"/>
                <w:szCs w:val="26"/>
              </w:rPr>
              <w:t>naftas produktu</w:t>
            </w:r>
            <w:r w:rsidRPr="002347B1">
              <w:rPr>
                <w:rFonts w:cs="Times New Roman"/>
                <w:sz w:val="26"/>
                <w:szCs w:val="26"/>
              </w:rPr>
              <w:t xml:space="preserve"> mazumtirdzniecībai, kurā norādītās vismaz trīs degvielas </w:t>
            </w:r>
            <w:proofErr w:type="spellStart"/>
            <w:r w:rsidRPr="002347B1">
              <w:rPr>
                <w:rFonts w:cs="Times New Roman"/>
                <w:sz w:val="26"/>
                <w:szCs w:val="26"/>
              </w:rPr>
              <w:t>uzpildes</w:t>
            </w:r>
            <w:proofErr w:type="spellEnd"/>
            <w:r w:rsidRPr="002347B1">
              <w:rPr>
                <w:rFonts w:cs="Times New Roman"/>
                <w:sz w:val="26"/>
                <w:szCs w:val="26"/>
              </w:rPr>
              <w:t xml:space="preserve"> stacijas ir komersanta īpašumā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4.2.</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naftas produktiem samaksu no 100 000 līdz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4.3.</w:t>
            </w:r>
          </w:p>
        </w:tc>
        <w:tc>
          <w:tcPr>
            <w:tcW w:w="6764" w:type="dxa"/>
          </w:tcPr>
          <w:p w:rsidR="00257B0D" w:rsidRPr="002347B1" w:rsidRDefault="00257B0D" w:rsidP="00121FA7">
            <w:pPr>
              <w:jc w:val="both"/>
              <w:rPr>
                <w:rFonts w:cs="Times New Roman"/>
                <w:sz w:val="26"/>
                <w:szCs w:val="26"/>
              </w:rPr>
            </w:pPr>
            <w:r w:rsidRPr="002347B1">
              <w:rPr>
                <w:rFonts w:cs="Times New Roman"/>
                <w:sz w:val="26"/>
                <w:szCs w:val="26"/>
              </w:rPr>
              <w:t>katrā no iepriekšējiem diviem kalendārajiem gadiem veicis akcīzes nodokļa naftas produktiem samaksu vairāk nekā 1 000 000 </w:t>
            </w:r>
            <w:proofErr w:type="spellStart"/>
            <w:r w:rsidRPr="002347B1">
              <w:rPr>
                <w:rFonts w:cs="Times New Roman"/>
                <w:i/>
                <w:sz w:val="26"/>
                <w:szCs w:val="26"/>
              </w:rPr>
              <w:t>euro</w:t>
            </w:r>
            <w:proofErr w:type="spellEnd"/>
            <w:r w:rsidRPr="002347B1">
              <w:rPr>
                <w:rFonts w:cs="Times New Roman"/>
                <w:sz w:val="26"/>
                <w:szCs w:val="26"/>
              </w:rPr>
              <w:t xml:space="preserve"> apmērā</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20</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lastRenderedPageBreak/>
              <w:t>4.4.</w:t>
            </w:r>
          </w:p>
        </w:tc>
        <w:tc>
          <w:tcPr>
            <w:tcW w:w="6764" w:type="dxa"/>
          </w:tcPr>
          <w:p w:rsidR="00257B0D" w:rsidRPr="002347B1" w:rsidRDefault="00257B0D" w:rsidP="00121FA7">
            <w:pPr>
              <w:tabs>
                <w:tab w:val="left" w:pos="1005"/>
              </w:tabs>
              <w:jc w:val="both"/>
              <w:rPr>
                <w:rFonts w:cs="Times New Roman"/>
                <w:sz w:val="26"/>
                <w:szCs w:val="26"/>
              </w:rPr>
            </w:pPr>
            <w:r w:rsidRPr="002347B1">
              <w:rPr>
                <w:rFonts w:cs="Times New Roman"/>
                <w:sz w:val="26"/>
                <w:szCs w:val="26"/>
              </w:rPr>
              <w:t>gada laikā pirms iesnieguma iesniegšanas vismaz sešus mēnešus ir veicis naftas produktu iezīmēšanu (marķēšanu)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4.5.</w:t>
            </w:r>
          </w:p>
        </w:tc>
        <w:tc>
          <w:tcPr>
            <w:tcW w:w="6764" w:type="dxa"/>
          </w:tcPr>
          <w:p w:rsidR="00257B0D" w:rsidRPr="002347B1" w:rsidRDefault="00257B0D" w:rsidP="00642E26">
            <w:pPr>
              <w:tabs>
                <w:tab w:val="left" w:pos="1005"/>
              </w:tabs>
              <w:jc w:val="both"/>
              <w:rPr>
                <w:rFonts w:cs="Times New Roman"/>
                <w:sz w:val="26"/>
                <w:szCs w:val="26"/>
              </w:rPr>
            </w:pPr>
            <w:r w:rsidRPr="002347B1">
              <w:rPr>
                <w:rFonts w:cs="Times New Roman"/>
                <w:sz w:val="26"/>
                <w:szCs w:val="26"/>
              </w:rPr>
              <w:t>gada laikā pirms iesnieguma ie</w:t>
            </w:r>
            <w:r w:rsidR="00642E26">
              <w:rPr>
                <w:rFonts w:cs="Times New Roman"/>
                <w:sz w:val="26"/>
                <w:szCs w:val="26"/>
              </w:rPr>
              <w:t xml:space="preserve">sniegšanas vismaz sešus mēnešus </w:t>
            </w:r>
            <w:r w:rsidRPr="002347B1">
              <w:rPr>
                <w:rFonts w:cs="Times New Roman"/>
                <w:sz w:val="26"/>
                <w:szCs w:val="26"/>
              </w:rPr>
              <w:t xml:space="preserve">ir veicis naftas produktu ražošanu, sajaukšanu, apstrādi, pārstrādi vai fasēšanu </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15</w:t>
            </w:r>
          </w:p>
        </w:tc>
      </w:tr>
      <w:tr w:rsidR="00257B0D" w:rsidRPr="002347B1" w:rsidTr="0009748E">
        <w:tc>
          <w:tcPr>
            <w:tcW w:w="743"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4.6.</w:t>
            </w:r>
          </w:p>
        </w:tc>
        <w:tc>
          <w:tcPr>
            <w:tcW w:w="6764" w:type="dxa"/>
          </w:tcPr>
          <w:p w:rsidR="00257B0D" w:rsidRPr="002347B1" w:rsidRDefault="00257B0D" w:rsidP="00D57DB3">
            <w:pPr>
              <w:tabs>
                <w:tab w:val="left" w:pos="1005"/>
              </w:tabs>
              <w:jc w:val="both"/>
              <w:rPr>
                <w:rFonts w:cs="Times New Roman"/>
                <w:sz w:val="26"/>
                <w:szCs w:val="26"/>
              </w:rPr>
            </w:pPr>
            <w:r w:rsidRPr="002347B1">
              <w:rPr>
                <w:rFonts w:cs="Times New Roman"/>
                <w:sz w:val="26"/>
                <w:szCs w:val="26"/>
              </w:rPr>
              <w:t xml:space="preserve">veic </w:t>
            </w:r>
            <w:r w:rsidR="00D57DB3">
              <w:rPr>
                <w:rFonts w:cs="Times New Roman"/>
                <w:sz w:val="26"/>
                <w:szCs w:val="26"/>
              </w:rPr>
              <w:t>naftas produktu</w:t>
            </w:r>
            <w:r w:rsidRPr="002347B1">
              <w:rPr>
                <w:rFonts w:cs="Times New Roman"/>
                <w:sz w:val="26"/>
                <w:szCs w:val="26"/>
              </w:rPr>
              <w:t xml:space="preserve"> sajaukšanu ar no rapša sēklu eļļas iegūtu biodīzeļdegvielu</w:t>
            </w:r>
          </w:p>
        </w:tc>
        <w:tc>
          <w:tcPr>
            <w:tcW w:w="1697" w:type="dxa"/>
            <w:vAlign w:val="center"/>
          </w:tcPr>
          <w:p w:rsidR="00257B0D" w:rsidRPr="002347B1" w:rsidRDefault="00257B0D" w:rsidP="00121FA7">
            <w:pPr>
              <w:jc w:val="center"/>
              <w:rPr>
                <w:rFonts w:cs="Times New Roman"/>
                <w:b/>
                <w:sz w:val="26"/>
                <w:szCs w:val="26"/>
              </w:rPr>
            </w:pPr>
            <w:r w:rsidRPr="002347B1">
              <w:rPr>
                <w:rFonts w:cs="Times New Roman"/>
                <w:b/>
                <w:sz w:val="26"/>
                <w:szCs w:val="26"/>
              </w:rPr>
              <w:t>10</w:t>
            </w:r>
          </w:p>
        </w:tc>
      </w:tr>
    </w:tbl>
    <w:p w:rsidR="0012218C" w:rsidRDefault="0012218C" w:rsidP="0012218C">
      <w:pPr>
        <w:tabs>
          <w:tab w:val="right" w:pos="8222"/>
        </w:tabs>
        <w:rPr>
          <w:sz w:val="28"/>
        </w:rPr>
      </w:pPr>
    </w:p>
    <w:p w:rsidR="0012218C" w:rsidRDefault="0012218C" w:rsidP="0012218C">
      <w:pPr>
        <w:tabs>
          <w:tab w:val="right" w:pos="8222"/>
        </w:tabs>
        <w:rPr>
          <w:sz w:val="28"/>
        </w:rPr>
      </w:pPr>
    </w:p>
    <w:p w:rsidR="0012218C" w:rsidRDefault="0012218C" w:rsidP="0012218C">
      <w:pPr>
        <w:tabs>
          <w:tab w:val="right" w:pos="8222"/>
        </w:tabs>
        <w:rPr>
          <w:sz w:val="28"/>
        </w:rPr>
      </w:pPr>
    </w:p>
    <w:p w:rsidR="0012218C" w:rsidRPr="00E76F3A" w:rsidRDefault="0012218C" w:rsidP="0012218C">
      <w:pPr>
        <w:tabs>
          <w:tab w:val="right" w:pos="8222"/>
        </w:tabs>
        <w:rPr>
          <w:sz w:val="28"/>
          <w:szCs w:val="24"/>
        </w:rPr>
      </w:pPr>
      <w:r w:rsidRPr="00FE27F1">
        <w:rPr>
          <w:sz w:val="28"/>
        </w:rPr>
        <w:t xml:space="preserve">Ministru </w:t>
      </w:r>
      <w:r w:rsidRPr="00E76F3A">
        <w:rPr>
          <w:sz w:val="28"/>
          <w:szCs w:val="24"/>
        </w:rPr>
        <w:t>prezidents</w:t>
      </w:r>
      <w:r w:rsidRPr="00E76F3A">
        <w:rPr>
          <w:sz w:val="28"/>
          <w:szCs w:val="24"/>
        </w:rPr>
        <w:tab/>
      </w:r>
      <w:proofErr w:type="spellStart"/>
      <w:r w:rsidR="00110BCA">
        <w:rPr>
          <w:sz w:val="28"/>
          <w:szCs w:val="24"/>
        </w:rPr>
        <w:t>K.Kariņš</w:t>
      </w:r>
      <w:proofErr w:type="spellEnd"/>
    </w:p>
    <w:p w:rsidR="0012218C" w:rsidRDefault="0012218C" w:rsidP="0012218C">
      <w:pPr>
        <w:tabs>
          <w:tab w:val="right" w:pos="8222"/>
        </w:tabs>
        <w:rPr>
          <w:sz w:val="28"/>
          <w:szCs w:val="24"/>
        </w:rPr>
      </w:pPr>
    </w:p>
    <w:p w:rsidR="0064018C" w:rsidRPr="00E76F3A" w:rsidRDefault="0064018C" w:rsidP="0012218C">
      <w:pPr>
        <w:tabs>
          <w:tab w:val="right" w:pos="8222"/>
        </w:tabs>
        <w:rPr>
          <w:sz w:val="28"/>
          <w:szCs w:val="24"/>
        </w:rPr>
      </w:pPr>
    </w:p>
    <w:p w:rsidR="0012218C" w:rsidRPr="00E76F3A" w:rsidRDefault="0012218C" w:rsidP="0012218C">
      <w:pPr>
        <w:tabs>
          <w:tab w:val="right" w:pos="8222"/>
        </w:tabs>
        <w:rPr>
          <w:sz w:val="28"/>
          <w:szCs w:val="24"/>
        </w:rPr>
      </w:pPr>
    </w:p>
    <w:p w:rsidR="0012218C" w:rsidRDefault="0012218C" w:rsidP="0012218C">
      <w:pPr>
        <w:tabs>
          <w:tab w:val="left" w:pos="3735"/>
          <w:tab w:val="right" w:pos="8222"/>
        </w:tabs>
        <w:rPr>
          <w:rFonts w:eastAsia="Times New Roman" w:cs="Times New Roman"/>
          <w:sz w:val="28"/>
          <w:szCs w:val="24"/>
          <w:lang w:eastAsia="lv-LV"/>
        </w:rPr>
      </w:pPr>
      <w:r w:rsidRPr="00E76F3A">
        <w:rPr>
          <w:rFonts w:eastAsia="Times New Roman" w:cs="Times New Roman"/>
          <w:sz w:val="28"/>
          <w:szCs w:val="24"/>
          <w:lang w:eastAsia="lv-LV"/>
        </w:rPr>
        <w:t>Finanšu ministr</w:t>
      </w:r>
      <w:r w:rsidR="00110BCA">
        <w:rPr>
          <w:rFonts w:eastAsia="Times New Roman" w:cs="Times New Roman"/>
          <w:sz w:val="28"/>
          <w:szCs w:val="24"/>
          <w:lang w:eastAsia="lv-LV"/>
        </w:rPr>
        <w:t>s</w:t>
      </w:r>
      <w:r w:rsidRPr="00E76F3A">
        <w:rPr>
          <w:rFonts w:eastAsia="Times New Roman" w:cs="Times New Roman"/>
          <w:sz w:val="28"/>
          <w:szCs w:val="24"/>
          <w:lang w:eastAsia="lv-LV"/>
        </w:rPr>
        <w:tab/>
      </w:r>
      <w:r>
        <w:rPr>
          <w:rFonts w:eastAsia="Times New Roman" w:cs="Times New Roman"/>
          <w:sz w:val="28"/>
          <w:szCs w:val="24"/>
          <w:lang w:eastAsia="lv-LV"/>
        </w:rPr>
        <w:tab/>
      </w:r>
      <w:proofErr w:type="spellStart"/>
      <w:r w:rsidR="00110BCA">
        <w:rPr>
          <w:rFonts w:eastAsia="Times New Roman" w:cs="Times New Roman"/>
          <w:sz w:val="28"/>
          <w:szCs w:val="24"/>
          <w:lang w:eastAsia="lv-LV"/>
        </w:rPr>
        <w:t>J.Reirs</w:t>
      </w:r>
      <w:proofErr w:type="spellEnd"/>
    </w:p>
    <w:p w:rsidR="0012218C" w:rsidRDefault="0012218C" w:rsidP="0012218C">
      <w:pPr>
        <w:tabs>
          <w:tab w:val="left" w:pos="3735"/>
          <w:tab w:val="right" w:pos="8222"/>
        </w:tabs>
        <w:rPr>
          <w:rFonts w:eastAsia="Times New Roman" w:cs="Times New Roman"/>
          <w:sz w:val="28"/>
          <w:szCs w:val="24"/>
          <w:lang w:eastAsia="lv-LV"/>
        </w:rPr>
      </w:pPr>
    </w:p>
    <w:p w:rsidR="0012218C" w:rsidRDefault="0012218C" w:rsidP="0012218C">
      <w:pPr>
        <w:tabs>
          <w:tab w:val="left" w:pos="3735"/>
          <w:tab w:val="right" w:pos="8222"/>
        </w:tabs>
        <w:rPr>
          <w:rFonts w:eastAsia="Times New Roman" w:cs="Times New Roman"/>
          <w:sz w:val="28"/>
          <w:szCs w:val="24"/>
          <w:lang w:eastAsia="lv-LV"/>
        </w:rPr>
      </w:pPr>
    </w:p>
    <w:p w:rsidR="0012218C" w:rsidRDefault="0012218C" w:rsidP="0012218C">
      <w:pPr>
        <w:tabs>
          <w:tab w:val="left" w:pos="3735"/>
          <w:tab w:val="right" w:pos="8222"/>
        </w:tabs>
        <w:rPr>
          <w:rFonts w:eastAsia="Times New Roman" w:cs="Times New Roman"/>
          <w:sz w:val="28"/>
          <w:szCs w:val="24"/>
          <w:lang w:eastAsia="lv-LV"/>
        </w:rPr>
      </w:pPr>
    </w:p>
    <w:p w:rsidR="002347B1" w:rsidRDefault="002347B1" w:rsidP="0012218C">
      <w:pPr>
        <w:tabs>
          <w:tab w:val="left" w:pos="3735"/>
          <w:tab w:val="right" w:pos="8222"/>
        </w:tabs>
        <w:rPr>
          <w:rFonts w:eastAsia="Times New Roman" w:cs="Times New Roman"/>
          <w:sz w:val="28"/>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bookmarkStart w:id="0" w:name="_GoBack"/>
      <w:bookmarkEnd w:id="0"/>
    </w:p>
    <w:p w:rsidR="00A024A5" w:rsidRDefault="00A024A5" w:rsidP="0012218C">
      <w:pPr>
        <w:contextualSpacing/>
        <w:jc w:val="both"/>
        <w:rPr>
          <w:rFonts w:eastAsia="Times New Roman" w:cs="Times New Roman"/>
          <w:szCs w:val="24"/>
          <w:lang w:eastAsia="lv-LV"/>
        </w:rPr>
      </w:pPr>
    </w:p>
    <w:p w:rsidR="00A024A5" w:rsidRDefault="00A024A5" w:rsidP="0012218C">
      <w:pPr>
        <w:contextualSpacing/>
        <w:jc w:val="both"/>
        <w:rPr>
          <w:rFonts w:eastAsia="Times New Roman" w:cs="Times New Roman"/>
          <w:szCs w:val="24"/>
          <w:lang w:eastAsia="lv-LV"/>
        </w:rPr>
      </w:pPr>
    </w:p>
    <w:p w:rsidR="0012218C" w:rsidRPr="002863FE" w:rsidRDefault="00A024A5" w:rsidP="0012218C">
      <w:pPr>
        <w:contextualSpacing/>
        <w:jc w:val="both"/>
        <w:rPr>
          <w:color w:val="000000" w:themeColor="text1"/>
        </w:rPr>
      </w:pPr>
      <w:r>
        <w:rPr>
          <w:rFonts w:eastAsia="Times New Roman" w:cs="Times New Roman"/>
          <w:szCs w:val="24"/>
          <w:lang w:eastAsia="lv-LV"/>
        </w:rPr>
        <w:t>Bormanis 67120109</w:t>
      </w:r>
    </w:p>
    <w:p w:rsidR="002C540C" w:rsidRPr="002863FE" w:rsidRDefault="0012218C" w:rsidP="0012218C">
      <w:pPr>
        <w:tabs>
          <w:tab w:val="left" w:pos="3735"/>
          <w:tab w:val="right" w:pos="8222"/>
        </w:tabs>
        <w:rPr>
          <w:color w:val="000000" w:themeColor="text1"/>
        </w:rPr>
      </w:pPr>
      <w:r w:rsidRPr="002863FE">
        <w:rPr>
          <w:color w:val="000000" w:themeColor="text1"/>
        </w:rPr>
        <w:t>Janis.Bormanis@vid.gov.lv</w:t>
      </w:r>
    </w:p>
    <w:sectPr w:rsidR="002C540C" w:rsidRPr="002863FE" w:rsidSect="00BA41E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7A" w:rsidRDefault="00972B7A" w:rsidP="00BA41E2">
      <w:r>
        <w:separator/>
      </w:r>
    </w:p>
  </w:endnote>
  <w:endnote w:type="continuationSeparator" w:id="0">
    <w:p w:rsidR="00972B7A" w:rsidRDefault="00972B7A" w:rsidP="00B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E2" w:rsidRPr="00BA41E2" w:rsidRDefault="00BA41E2">
    <w:pPr>
      <w:pStyle w:val="Footer"/>
      <w:rPr>
        <w:rFonts w:cs="Times New Roman"/>
        <w:sz w:val="20"/>
        <w:szCs w:val="20"/>
      </w:rPr>
    </w:pPr>
    <w:r w:rsidRPr="00BA41E2">
      <w:rPr>
        <w:rFonts w:cs="Times New Roman"/>
        <w:color w:val="333333"/>
        <w:sz w:val="20"/>
        <w:szCs w:val="20"/>
      </w:rPr>
      <w:t>FMnotp</w:t>
    </w:r>
    <w:r w:rsidR="00257B0D">
      <w:rPr>
        <w:rFonts w:cs="Times New Roman"/>
        <w:color w:val="333333"/>
        <w:sz w:val="20"/>
        <w:szCs w:val="20"/>
      </w:rPr>
      <w:t>3</w:t>
    </w:r>
    <w:r w:rsidRPr="00BA41E2">
      <w:rPr>
        <w:rFonts w:cs="Times New Roman"/>
        <w:color w:val="333333"/>
        <w:sz w:val="20"/>
        <w:szCs w:val="20"/>
      </w:rPr>
      <w:t>_</w:t>
    </w:r>
    <w:r w:rsidR="00E023B6" w:rsidRPr="00E023B6">
      <w:rPr>
        <w:color w:val="333333"/>
        <w:sz w:val="20"/>
        <w:szCs w:val="20"/>
      </w:rPr>
      <w:t>220119</w:t>
    </w:r>
  </w:p>
  <w:p w:rsidR="00BA41E2" w:rsidRDefault="00BA4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C" w:rsidRDefault="0064018C">
    <w:pPr>
      <w:pStyle w:val="Footer"/>
    </w:pPr>
    <w:r w:rsidRPr="0064018C">
      <w:rPr>
        <w:sz w:val="20"/>
      </w:rPr>
      <w:t>FMnotp3_</w:t>
    </w:r>
    <w:r w:rsidR="00E023B6" w:rsidRPr="00E023B6">
      <w:rPr>
        <w:color w:val="333333"/>
        <w:sz w:val="20"/>
        <w:szCs w:val="20"/>
      </w:rPr>
      <w:t>220119</w:t>
    </w:r>
  </w:p>
  <w:p w:rsidR="0064018C" w:rsidRDefault="0064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7A" w:rsidRDefault="00972B7A" w:rsidP="00BA41E2">
      <w:r>
        <w:separator/>
      </w:r>
    </w:p>
  </w:footnote>
  <w:footnote w:type="continuationSeparator" w:id="0">
    <w:p w:rsidR="00972B7A" w:rsidRDefault="00972B7A" w:rsidP="00BA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7865"/>
      <w:docPartObj>
        <w:docPartGallery w:val="Page Numbers (Top of Page)"/>
        <w:docPartUnique/>
      </w:docPartObj>
    </w:sdtPr>
    <w:sdtEndPr>
      <w:rPr>
        <w:noProof/>
      </w:rPr>
    </w:sdtEndPr>
    <w:sdtContent>
      <w:p w:rsidR="00BA41E2" w:rsidRDefault="00BA41E2">
        <w:pPr>
          <w:pStyle w:val="Header"/>
          <w:jc w:val="center"/>
        </w:pPr>
        <w:r>
          <w:fldChar w:fldCharType="begin"/>
        </w:r>
        <w:r>
          <w:instrText xml:space="preserve"> PAGE   \* MERGEFORMAT </w:instrText>
        </w:r>
        <w:r>
          <w:fldChar w:fldCharType="separate"/>
        </w:r>
        <w:r w:rsidR="00425A1F">
          <w:rPr>
            <w:noProof/>
          </w:rPr>
          <w:t>2</w:t>
        </w:r>
        <w:r>
          <w:rPr>
            <w:noProof/>
          </w:rPr>
          <w:fldChar w:fldCharType="end"/>
        </w:r>
      </w:p>
    </w:sdtContent>
  </w:sdt>
  <w:p w:rsidR="00BA41E2" w:rsidRDefault="00BA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26"/>
    <w:rsid w:val="00094128"/>
    <w:rsid w:val="000B0485"/>
    <w:rsid w:val="00110B44"/>
    <w:rsid w:val="00110BCA"/>
    <w:rsid w:val="00121FA7"/>
    <w:rsid w:val="0012218C"/>
    <w:rsid w:val="00137A07"/>
    <w:rsid w:val="00181A22"/>
    <w:rsid w:val="001E6CE4"/>
    <w:rsid w:val="002347B1"/>
    <w:rsid w:val="00256D50"/>
    <w:rsid w:val="00257B0D"/>
    <w:rsid w:val="00276417"/>
    <w:rsid w:val="002863FE"/>
    <w:rsid w:val="00287B71"/>
    <w:rsid w:val="002954E3"/>
    <w:rsid w:val="002C540C"/>
    <w:rsid w:val="003402DC"/>
    <w:rsid w:val="00357783"/>
    <w:rsid w:val="003A4C5B"/>
    <w:rsid w:val="003B4E1E"/>
    <w:rsid w:val="003F39D6"/>
    <w:rsid w:val="00416F3B"/>
    <w:rsid w:val="00425A1F"/>
    <w:rsid w:val="00453256"/>
    <w:rsid w:val="004A0863"/>
    <w:rsid w:val="004A457D"/>
    <w:rsid w:val="004D7D26"/>
    <w:rsid w:val="004F6436"/>
    <w:rsid w:val="005453B9"/>
    <w:rsid w:val="00557CD2"/>
    <w:rsid w:val="005B2806"/>
    <w:rsid w:val="00614CC9"/>
    <w:rsid w:val="00635DB3"/>
    <w:rsid w:val="0064018C"/>
    <w:rsid w:val="00642E26"/>
    <w:rsid w:val="00782E58"/>
    <w:rsid w:val="00785C73"/>
    <w:rsid w:val="007A6CBB"/>
    <w:rsid w:val="00852EEE"/>
    <w:rsid w:val="00865977"/>
    <w:rsid w:val="008D286C"/>
    <w:rsid w:val="00972B7A"/>
    <w:rsid w:val="009A0588"/>
    <w:rsid w:val="009E3C65"/>
    <w:rsid w:val="00A024A5"/>
    <w:rsid w:val="00A13579"/>
    <w:rsid w:val="00A8741B"/>
    <w:rsid w:val="00B10F60"/>
    <w:rsid w:val="00B368DD"/>
    <w:rsid w:val="00B50A21"/>
    <w:rsid w:val="00B848AF"/>
    <w:rsid w:val="00BA41E2"/>
    <w:rsid w:val="00BD48C8"/>
    <w:rsid w:val="00C13C6E"/>
    <w:rsid w:val="00C27864"/>
    <w:rsid w:val="00D07184"/>
    <w:rsid w:val="00D57DB3"/>
    <w:rsid w:val="00D607B2"/>
    <w:rsid w:val="00D9063D"/>
    <w:rsid w:val="00DD19AC"/>
    <w:rsid w:val="00DD70DD"/>
    <w:rsid w:val="00E023B6"/>
    <w:rsid w:val="00E903F0"/>
    <w:rsid w:val="00EC45D4"/>
    <w:rsid w:val="00ED21E8"/>
    <w:rsid w:val="00EF1BF0"/>
    <w:rsid w:val="00F10E25"/>
    <w:rsid w:val="00F93E6F"/>
    <w:rsid w:val="00FD2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CD9BE"/>
  <w15:docId w15:val="{33DB1896-DBC3-4727-BB34-773E67C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3126</Words>
  <Characters>1782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„Noteikumi par akcīzes nodokļa nodrošinājumiem"</vt:lpstr>
    </vt:vector>
  </TitlesOfParts>
  <Company>Valsts ieņēmumu dienests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nodokļa nodrošinājumiem"</dc:title>
  <dc:subject>Ministru kabineta noteikumu projekts</dc:subject>
  <dc:creator>Jānis Bormanis</dc:creator>
  <dc:description>Janis.Bormanis@vid.gov.lv; 67120109</dc:description>
  <cp:lastModifiedBy>Jānis Bormanis</cp:lastModifiedBy>
  <cp:revision>3</cp:revision>
  <dcterms:created xsi:type="dcterms:W3CDTF">2019-01-23T08:28:00Z</dcterms:created>
  <dcterms:modified xsi:type="dcterms:W3CDTF">2019-01-23T12:09:00Z</dcterms:modified>
</cp:coreProperties>
</file>