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5736181"/>
        <w:docPartObj>
          <w:docPartGallery w:val="Cover Pages"/>
          <w:docPartUnique/>
        </w:docPartObj>
      </w:sdtPr>
      <w:sdtContent>
        <w:p w14:paraId="6C3A9B10" w14:textId="77777777" w:rsidR="00F65518" w:rsidRDefault="00F65518">
          <w:r>
            <w:rPr>
              <w:noProof/>
              <w:lang w:eastAsia="lv-LV"/>
            </w:rPr>
            <mc:AlternateContent>
              <mc:Choice Requires="wpg">
                <w:drawing>
                  <wp:anchor distT="0" distB="0" distL="114300" distR="114300" simplePos="0" relativeHeight="251659264" behindDoc="1" locked="0" layoutInCell="1" allowOverlap="1" wp14:anchorId="5DF4459B" wp14:editId="7F1F370D">
                    <wp:simplePos x="0" y="0"/>
                    <wp:positionH relativeFrom="page">
                      <wp:posOffset>-42530</wp:posOffset>
                    </wp:positionH>
                    <wp:positionV relativeFrom="page">
                      <wp:posOffset>-138223</wp:posOffset>
                    </wp:positionV>
                    <wp:extent cx="7619589" cy="10829482"/>
                    <wp:effectExtent l="0" t="0" r="635" b="0"/>
                    <wp:wrapNone/>
                    <wp:docPr id="193" name="Group 193"/>
                    <wp:cNvGraphicFramePr/>
                    <a:graphic xmlns:a="http://schemas.openxmlformats.org/drawingml/2006/main">
                      <a:graphicData uri="http://schemas.microsoft.com/office/word/2010/wordprocessingGroup">
                        <wpg:wgp>
                          <wpg:cNvGrpSpPr/>
                          <wpg:grpSpPr>
                            <a:xfrm>
                              <a:off x="0" y="0"/>
                              <a:ext cx="7619589" cy="10829482"/>
                              <a:chOff x="0" y="-120765"/>
                              <a:chExt cx="6949143" cy="9840075"/>
                            </a:xfrm>
                          </wpg:grpSpPr>
                          <wps:wsp>
                            <wps:cNvPr id="194" name="Rectangle 194"/>
                            <wps:cNvSpPr/>
                            <wps:spPr>
                              <a:xfrm>
                                <a:off x="6625" y="-120765"/>
                                <a:ext cx="6942518" cy="223563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791075"/>
                                <a:ext cx="6943053" cy="4928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B6EB4D" w14:textId="77777777" w:rsidR="00CD75C3" w:rsidRDefault="00CD75C3">
                                  <w:pPr>
                                    <w:pStyle w:val="NoSpacing"/>
                                    <w:spacing w:before="120"/>
                                    <w:jc w:val="center"/>
                                    <w:rPr>
                                      <w:color w:val="FFFFFF" w:themeColor="background1"/>
                                    </w:rPr>
                                  </w:pPr>
                                </w:p>
                                <w:p w14:paraId="1B6D8885" w14:textId="77777777" w:rsidR="00CD75C3" w:rsidRPr="00F65518" w:rsidRDefault="00CD75C3">
                                  <w:pPr>
                                    <w:pStyle w:val="NoSpacing"/>
                                    <w:spacing w:before="120"/>
                                    <w:jc w:val="center"/>
                                    <w:rPr>
                                      <w:b/>
                                      <w:color w:val="FFFFFF" w:themeColor="background1"/>
                                      <w:sz w:val="28"/>
                                    </w:rPr>
                                  </w:pPr>
                                  <w:r>
                                    <w:rPr>
                                      <w:b/>
                                      <w:caps/>
                                      <w:color w:val="FFFFFF" w:themeColor="background1"/>
                                      <w:sz w:val="28"/>
                                    </w:rPr>
                                    <w:t>Rīga, 2019</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6" y="2114912"/>
                                <a:ext cx="6858000" cy="267616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2F084340" w14:textId="77777777" w:rsidR="00CD75C3" w:rsidRPr="00F65518" w:rsidRDefault="00CD75C3" w:rsidP="00F65518">
                                      <w:pPr>
                                        <w:pStyle w:val="NoSpacing"/>
                                        <w:ind w:firstLine="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88"/>
                                          <w:szCs w:val="88"/>
                                        </w:rPr>
                                        <w:t>Latvijas Vispārējās valdības budžeta plāna projekts 2019.gadam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F4459B" id="Group 193" o:spid="_x0000_s1026" style="position:absolute;left:0;text-align:left;margin-left:-3.35pt;margin-top:-10.9pt;width:599.95pt;height:852.7pt;z-index:-251657216;mso-position-horizontal-relative:page;mso-position-vertical-relative:page" coordorigin=",-1207" coordsize="69491,9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">
                    <v:rect id="Rectangle 194" o:spid="_x0000_s1027" style="position:absolute;left:66;top:-1207;width:69425;height:2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7910;width:69430;height:492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03B6EB4D" w14:textId="77777777" w:rsidR="00CD75C3" w:rsidRDefault="00CD75C3">
                            <w:pPr>
                              <w:pStyle w:val="NoSpacing"/>
                              <w:spacing w:before="120"/>
                              <w:jc w:val="center"/>
                              <w:rPr>
                                <w:color w:val="FFFFFF" w:themeColor="background1"/>
                              </w:rPr>
                            </w:pPr>
                          </w:p>
                          <w:p w14:paraId="1B6D8885" w14:textId="77777777" w:rsidR="00CD75C3" w:rsidRPr="00F65518" w:rsidRDefault="00CD75C3">
                            <w:pPr>
                              <w:pStyle w:val="NoSpacing"/>
                              <w:spacing w:before="120"/>
                              <w:jc w:val="center"/>
                              <w:rPr>
                                <w:b/>
                                <w:color w:val="FFFFFF" w:themeColor="background1"/>
                                <w:sz w:val="28"/>
                              </w:rPr>
                            </w:pPr>
                            <w:r>
                              <w:rPr>
                                <w:b/>
                                <w:caps/>
                                <w:color w:val="FFFFFF" w:themeColor="background1"/>
                                <w:sz w:val="28"/>
                              </w:rPr>
                              <w:t>Rīga, 2019</w:t>
                            </w:r>
                          </w:p>
                        </w:txbxContent>
                      </v:textbox>
                    </v:rect>
                    <v:shapetype id="_x0000_t202" coordsize="21600,21600" o:spt="202" path="m,l,21600r21600,l21600,xe">
                      <v:stroke joinstyle="miter"/>
                      <v:path gradientshapeok="t" o:connecttype="rect"/>
                    </v:shapetype>
                    <v:shape id="Text Box 196" o:spid="_x0000_s1029" type="#_x0000_t202" style="position:absolute;left:66;top:21149;width:68580;height:2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2F084340" w14:textId="77777777" w:rsidR="00CD75C3" w:rsidRPr="00F65518" w:rsidRDefault="00CD75C3" w:rsidP="00F65518">
                                <w:pPr>
                                  <w:pStyle w:val="NoSpacing"/>
                                  <w:ind w:firstLine="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88"/>
                                    <w:szCs w:val="88"/>
                                  </w:rPr>
                                  <w:t>Latvijas Vispārējās valdības budžeta plāna projekts 2019.gadam</w:t>
                                </w:r>
                              </w:p>
                            </w:sdtContent>
                          </w:sdt>
                        </w:txbxContent>
                      </v:textbox>
                    </v:shape>
                    <w10:wrap anchorx="page" anchory="page"/>
                  </v:group>
                </w:pict>
              </mc:Fallback>
            </mc:AlternateContent>
          </w:r>
        </w:p>
        <w:p w14:paraId="1F5BB338" w14:textId="77777777" w:rsidR="00F65518" w:rsidRDefault="00F65518" w:rsidP="00F65518">
          <w:pPr>
            <w:spacing w:after="0"/>
            <w:ind w:firstLine="0"/>
            <w:jc w:val="left"/>
          </w:pPr>
          <w:r>
            <w:br w:type="page"/>
          </w:r>
        </w:p>
      </w:sdtContent>
    </w:sdt>
    <w:sdt>
      <w:sdtPr>
        <w:rPr>
          <w:rFonts w:ascii="Times New Roman" w:eastAsia="Times New Roman" w:hAnsi="Times New Roman"/>
          <w:b w:val="0"/>
          <w:bCs w:val="0"/>
          <w:color w:val="auto"/>
          <w:sz w:val="24"/>
          <w:szCs w:val="20"/>
          <w:lang w:val="lv-LV" w:eastAsia="en-US"/>
        </w:rPr>
        <w:id w:val="1895851769"/>
        <w:docPartObj>
          <w:docPartGallery w:val="Table of Contents"/>
          <w:docPartUnique/>
        </w:docPartObj>
      </w:sdtPr>
      <w:sdtEndPr>
        <w:rPr>
          <w:noProof/>
        </w:rPr>
      </w:sdtEndPr>
      <w:sdtContent>
        <w:p w14:paraId="1BF72F4E" w14:textId="77777777" w:rsidR="007369A9" w:rsidRPr="002131F7" w:rsidRDefault="007369A9" w:rsidP="00CD6580">
          <w:pPr>
            <w:pStyle w:val="TOCHeading"/>
            <w:spacing w:before="120" w:after="240"/>
            <w:rPr>
              <w:rFonts w:ascii="Times New Roman" w:eastAsia="Times New Roman" w:hAnsi="Times New Roman"/>
              <w:color w:val="18185E"/>
              <w:sz w:val="28"/>
              <w:lang w:val="x-none" w:eastAsia="x-none"/>
            </w:rPr>
          </w:pPr>
          <w:r w:rsidRPr="002131F7">
            <w:rPr>
              <w:rFonts w:ascii="Times New Roman" w:eastAsia="Times New Roman" w:hAnsi="Times New Roman"/>
              <w:color w:val="18185E"/>
              <w:sz w:val="28"/>
              <w:lang w:val="x-none" w:eastAsia="x-none"/>
            </w:rPr>
            <w:t>Saturs</w:t>
          </w:r>
        </w:p>
        <w:p w14:paraId="00A158F8" w14:textId="37F71E5B" w:rsidR="006C4096" w:rsidRDefault="007369A9">
          <w:pPr>
            <w:pStyle w:val="TOC1"/>
            <w:rPr>
              <w:rFonts w:asciiTheme="minorHAnsi" w:eastAsiaTheme="minorEastAsia" w:hAnsiTheme="minorHAnsi" w:cstheme="minorBidi"/>
              <w:sz w:val="22"/>
              <w:szCs w:val="22"/>
              <w:lang w:eastAsia="lv-LV"/>
            </w:rPr>
          </w:pPr>
          <w:r>
            <w:fldChar w:fldCharType="begin"/>
          </w:r>
          <w:r>
            <w:instrText xml:space="preserve"> TOC \o "1-3" \h \z \u </w:instrText>
          </w:r>
          <w:r>
            <w:fldChar w:fldCharType="separate"/>
          </w:r>
          <w:hyperlink w:anchor="_Toc1374652" w:history="1">
            <w:r w:rsidR="006C4096" w:rsidRPr="00870B1F">
              <w:rPr>
                <w:rStyle w:val="Hyperlink"/>
              </w:rPr>
              <w:t>Saīsinājumu apzīmējumi</w:t>
            </w:r>
            <w:r w:rsidR="006C4096">
              <w:rPr>
                <w:webHidden/>
              </w:rPr>
              <w:tab/>
            </w:r>
            <w:r w:rsidR="006C4096">
              <w:rPr>
                <w:webHidden/>
              </w:rPr>
              <w:fldChar w:fldCharType="begin"/>
            </w:r>
            <w:r w:rsidR="006C4096">
              <w:rPr>
                <w:webHidden/>
              </w:rPr>
              <w:instrText xml:space="preserve"> PAGEREF _Toc1374652 \h </w:instrText>
            </w:r>
            <w:r w:rsidR="006C4096">
              <w:rPr>
                <w:webHidden/>
              </w:rPr>
            </w:r>
            <w:r w:rsidR="006C4096">
              <w:rPr>
                <w:webHidden/>
              </w:rPr>
              <w:fldChar w:fldCharType="separate"/>
            </w:r>
            <w:r w:rsidR="006D5490">
              <w:rPr>
                <w:webHidden/>
              </w:rPr>
              <w:t>3</w:t>
            </w:r>
            <w:r w:rsidR="006C4096">
              <w:rPr>
                <w:webHidden/>
              </w:rPr>
              <w:fldChar w:fldCharType="end"/>
            </w:r>
          </w:hyperlink>
        </w:p>
        <w:p w14:paraId="48DEDCC3" w14:textId="25BD8C6F" w:rsidR="006C4096" w:rsidRDefault="006C4096">
          <w:pPr>
            <w:pStyle w:val="TOC1"/>
            <w:rPr>
              <w:rFonts w:asciiTheme="minorHAnsi" w:eastAsiaTheme="minorEastAsia" w:hAnsiTheme="minorHAnsi" w:cstheme="minorBidi"/>
              <w:sz w:val="22"/>
              <w:szCs w:val="22"/>
              <w:lang w:eastAsia="lv-LV"/>
            </w:rPr>
          </w:pPr>
          <w:hyperlink w:anchor="_Toc1374653" w:history="1">
            <w:r w:rsidRPr="00870B1F">
              <w:rPr>
                <w:rStyle w:val="Hyperlink"/>
              </w:rPr>
              <w:t>Ievads</w:t>
            </w:r>
            <w:r>
              <w:rPr>
                <w:webHidden/>
              </w:rPr>
              <w:tab/>
            </w:r>
            <w:r>
              <w:rPr>
                <w:webHidden/>
              </w:rPr>
              <w:fldChar w:fldCharType="begin"/>
            </w:r>
            <w:r>
              <w:rPr>
                <w:webHidden/>
              </w:rPr>
              <w:instrText xml:space="preserve"> PAGEREF _Toc1374653 \h </w:instrText>
            </w:r>
            <w:r>
              <w:rPr>
                <w:webHidden/>
              </w:rPr>
            </w:r>
            <w:r>
              <w:rPr>
                <w:webHidden/>
              </w:rPr>
              <w:fldChar w:fldCharType="separate"/>
            </w:r>
            <w:r w:rsidR="006D5490">
              <w:rPr>
                <w:webHidden/>
              </w:rPr>
              <w:t>4</w:t>
            </w:r>
            <w:r>
              <w:rPr>
                <w:webHidden/>
              </w:rPr>
              <w:fldChar w:fldCharType="end"/>
            </w:r>
          </w:hyperlink>
        </w:p>
        <w:p w14:paraId="28C8074C" w14:textId="55EDF3A7" w:rsidR="006C4096" w:rsidRDefault="006C4096">
          <w:pPr>
            <w:pStyle w:val="TOC1"/>
            <w:rPr>
              <w:rFonts w:asciiTheme="minorHAnsi" w:eastAsiaTheme="minorEastAsia" w:hAnsiTheme="minorHAnsi" w:cstheme="minorBidi"/>
              <w:sz w:val="22"/>
              <w:szCs w:val="22"/>
              <w:lang w:eastAsia="lv-LV"/>
            </w:rPr>
          </w:pPr>
          <w:hyperlink w:anchor="_Toc1374654" w:history="1">
            <w:r w:rsidRPr="00870B1F">
              <w:rPr>
                <w:rStyle w:val="Hyperlink"/>
              </w:rPr>
              <w:t>Makroekonomiskās attīstības scenārijs</w:t>
            </w:r>
            <w:r>
              <w:rPr>
                <w:webHidden/>
              </w:rPr>
              <w:tab/>
            </w:r>
            <w:r>
              <w:rPr>
                <w:webHidden/>
              </w:rPr>
              <w:fldChar w:fldCharType="begin"/>
            </w:r>
            <w:r>
              <w:rPr>
                <w:webHidden/>
              </w:rPr>
              <w:instrText xml:space="preserve"> PAGEREF _Toc1374654 \h </w:instrText>
            </w:r>
            <w:r>
              <w:rPr>
                <w:webHidden/>
              </w:rPr>
            </w:r>
            <w:r>
              <w:rPr>
                <w:webHidden/>
              </w:rPr>
              <w:fldChar w:fldCharType="separate"/>
            </w:r>
            <w:r w:rsidR="006D5490">
              <w:rPr>
                <w:webHidden/>
              </w:rPr>
              <w:t>5</w:t>
            </w:r>
            <w:r>
              <w:rPr>
                <w:webHidden/>
              </w:rPr>
              <w:fldChar w:fldCharType="end"/>
            </w:r>
          </w:hyperlink>
        </w:p>
        <w:p w14:paraId="1CCCC77A" w14:textId="08E1B1F4" w:rsidR="006C4096" w:rsidRDefault="006C4096">
          <w:pPr>
            <w:pStyle w:val="TOC1"/>
            <w:rPr>
              <w:rFonts w:asciiTheme="minorHAnsi" w:eastAsiaTheme="minorEastAsia" w:hAnsiTheme="minorHAnsi" w:cstheme="minorBidi"/>
              <w:sz w:val="22"/>
              <w:szCs w:val="22"/>
              <w:lang w:eastAsia="lv-LV"/>
            </w:rPr>
          </w:pPr>
          <w:hyperlink w:anchor="_Toc1374655" w:history="1">
            <w:r w:rsidRPr="00870B1F">
              <w:rPr>
                <w:rStyle w:val="Hyperlink"/>
              </w:rPr>
              <w:t>Tabula 0.i). Ārējās vides pamata pieņēmumi</w:t>
            </w:r>
            <w:r>
              <w:rPr>
                <w:webHidden/>
              </w:rPr>
              <w:tab/>
            </w:r>
            <w:r>
              <w:rPr>
                <w:webHidden/>
              </w:rPr>
              <w:fldChar w:fldCharType="begin"/>
            </w:r>
            <w:r>
              <w:rPr>
                <w:webHidden/>
              </w:rPr>
              <w:instrText xml:space="preserve"> PAGEREF _Toc1374655 \h </w:instrText>
            </w:r>
            <w:r>
              <w:rPr>
                <w:webHidden/>
              </w:rPr>
            </w:r>
            <w:r>
              <w:rPr>
                <w:webHidden/>
              </w:rPr>
              <w:fldChar w:fldCharType="separate"/>
            </w:r>
            <w:r w:rsidR="006D5490">
              <w:rPr>
                <w:webHidden/>
              </w:rPr>
              <w:t>6</w:t>
            </w:r>
            <w:r>
              <w:rPr>
                <w:webHidden/>
              </w:rPr>
              <w:fldChar w:fldCharType="end"/>
            </w:r>
          </w:hyperlink>
        </w:p>
        <w:p w14:paraId="770D5721" w14:textId="7434FA77" w:rsidR="006C4096" w:rsidRDefault="006C4096">
          <w:pPr>
            <w:pStyle w:val="TOC1"/>
            <w:rPr>
              <w:rFonts w:asciiTheme="minorHAnsi" w:eastAsiaTheme="minorEastAsia" w:hAnsiTheme="minorHAnsi" w:cstheme="minorBidi"/>
              <w:sz w:val="22"/>
              <w:szCs w:val="22"/>
              <w:lang w:eastAsia="lv-LV"/>
            </w:rPr>
          </w:pPr>
          <w:hyperlink w:anchor="_Toc1374656" w:history="1">
            <w:r w:rsidRPr="00870B1F">
              <w:rPr>
                <w:rStyle w:val="Hyperlink"/>
              </w:rPr>
              <w:t>Tabula 1a: Izaugsme un ar to saistītie faktori</w:t>
            </w:r>
            <w:r>
              <w:rPr>
                <w:webHidden/>
              </w:rPr>
              <w:tab/>
            </w:r>
            <w:r>
              <w:rPr>
                <w:webHidden/>
              </w:rPr>
              <w:fldChar w:fldCharType="begin"/>
            </w:r>
            <w:r>
              <w:rPr>
                <w:webHidden/>
              </w:rPr>
              <w:instrText xml:space="preserve"> PAGEREF _Toc1374656 \h </w:instrText>
            </w:r>
            <w:r>
              <w:rPr>
                <w:webHidden/>
              </w:rPr>
            </w:r>
            <w:r>
              <w:rPr>
                <w:webHidden/>
              </w:rPr>
              <w:fldChar w:fldCharType="separate"/>
            </w:r>
            <w:r w:rsidR="006D5490">
              <w:rPr>
                <w:webHidden/>
              </w:rPr>
              <w:t>7</w:t>
            </w:r>
            <w:r>
              <w:rPr>
                <w:webHidden/>
              </w:rPr>
              <w:fldChar w:fldCharType="end"/>
            </w:r>
          </w:hyperlink>
        </w:p>
        <w:p w14:paraId="55D47596" w14:textId="65B50620" w:rsidR="006C4096" w:rsidRDefault="006C4096">
          <w:pPr>
            <w:pStyle w:val="TOC1"/>
            <w:rPr>
              <w:rFonts w:asciiTheme="minorHAnsi" w:eastAsiaTheme="minorEastAsia" w:hAnsiTheme="minorHAnsi" w:cstheme="minorBidi"/>
              <w:sz w:val="22"/>
              <w:szCs w:val="22"/>
              <w:lang w:eastAsia="lv-LV"/>
            </w:rPr>
          </w:pPr>
          <w:hyperlink w:anchor="_Toc1374657" w:history="1">
            <w:r w:rsidRPr="00870B1F">
              <w:rPr>
                <w:rStyle w:val="Hyperlink"/>
              </w:rPr>
              <w:t>Tabula 1b: Patēriņa cenu izmaiņas</w:t>
            </w:r>
            <w:r>
              <w:rPr>
                <w:webHidden/>
              </w:rPr>
              <w:tab/>
            </w:r>
            <w:r>
              <w:rPr>
                <w:webHidden/>
              </w:rPr>
              <w:fldChar w:fldCharType="begin"/>
            </w:r>
            <w:r>
              <w:rPr>
                <w:webHidden/>
              </w:rPr>
              <w:instrText xml:space="preserve"> PAGEREF _Toc1374657 \h </w:instrText>
            </w:r>
            <w:r>
              <w:rPr>
                <w:webHidden/>
              </w:rPr>
            </w:r>
            <w:r>
              <w:rPr>
                <w:webHidden/>
              </w:rPr>
              <w:fldChar w:fldCharType="separate"/>
            </w:r>
            <w:r w:rsidR="006D5490">
              <w:rPr>
                <w:webHidden/>
              </w:rPr>
              <w:t>8</w:t>
            </w:r>
            <w:r>
              <w:rPr>
                <w:webHidden/>
              </w:rPr>
              <w:fldChar w:fldCharType="end"/>
            </w:r>
          </w:hyperlink>
        </w:p>
        <w:p w14:paraId="52AFEB36" w14:textId="0D19056D" w:rsidR="006C4096" w:rsidRDefault="006C4096">
          <w:pPr>
            <w:pStyle w:val="TOC1"/>
            <w:rPr>
              <w:rFonts w:asciiTheme="minorHAnsi" w:eastAsiaTheme="minorEastAsia" w:hAnsiTheme="minorHAnsi" w:cstheme="minorBidi"/>
              <w:sz w:val="22"/>
              <w:szCs w:val="22"/>
              <w:lang w:eastAsia="lv-LV"/>
            </w:rPr>
          </w:pPr>
          <w:hyperlink w:anchor="_Toc1374658" w:history="1">
            <w:r w:rsidRPr="00870B1F">
              <w:rPr>
                <w:rStyle w:val="Hyperlink"/>
              </w:rPr>
              <w:t>Tabula 1c: Darba tirgus attīstība</w:t>
            </w:r>
            <w:r>
              <w:rPr>
                <w:webHidden/>
              </w:rPr>
              <w:tab/>
            </w:r>
            <w:r>
              <w:rPr>
                <w:webHidden/>
              </w:rPr>
              <w:fldChar w:fldCharType="begin"/>
            </w:r>
            <w:r>
              <w:rPr>
                <w:webHidden/>
              </w:rPr>
              <w:instrText xml:space="preserve"> PAGEREF _Toc1374658 \h </w:instrText>
            </w:r>
            <w:r>
              <w:rPr>
                <w:webHidden/>
              </w:rPr>
            </w:r>
            <w:r>
              <w:rPr>
                <w:webHidden/>
              </w:rPr>
              <w:fldChar w:fldCharType="separate"/>
            </w:r>
            <w:r w:rsidR="006D5490">
              <w:rPr>
                <w:webHidden/>
              </w:rPr>
              <w:t>8</w:t>
            </w:r>
            <w:r>
              <w:rPr>
                <w:webHidden/>
              </w:rPr>
              <w:fldChar w:fldCharType="end"/>
            </w:r>
          </w:hyperlink>
        </w:p>
        <w:p w14:paraId="41DF49CA" w14:textId="42644443" w:rsidR="006C4096" w:rsidRDefault="006C4096">
          <w:pPr>
            <w:pStyle w:val="TOC1"/>
            <w:rPr>
              <w:rFonts w:asciiTheme="minorHAnsi" w:eastAsiaTheme="minorEastAsia" w:hAnsiTheme="minorHAnsi" w:cstheme="minorBidi"/>
              <w:sz w:val="22"/>
              <w:szCs w:val="22"/>
              <w:lang w:eastAsia="lv-LV"/>
            </w:rPr>
          </w:pPr>
          <w:hyperlink w:anchor="_Toc1374659" w:history="1">
            <w:r w:rsidRPr="00870B1F">
              <w:rPr>
                <w:rStyle w:val="Hyperlink"/>
              </w:rPr>
              <w:t>Tabula 1d: Sektoru bilances</w:t>
            </w:r>
            <w:r>
              <w:rPr>
                <w:webHidden/>
              </w:rPr>
              <w:tab/>
            </w:r>
            <w:r>
              <w:rPr>
                <w:webHidden/>
              </w:rPr>
              <w:fldChar w:fldCharType="begin"/>
            </w:r>
            <w:r>
              <w:rPr>
                <w:webHidden/>
              </w:rPr>
              <w:instrText xml:space="preserve"> PAGEREF _Toc1374659 \h </w:instrText>
            </w:r>
            <w:r>
              <w:rPr>
                <w:webHidden/>
              </w:rPr>
            </w:r>
            <w:r>
              <w:rPr>
                <w:webHidden/>
              </w:rPr>
              <w:fldChar w:fldCharType="separate"/>
            </w:r>
            <w:r w:rsidR="006D5490">
              <w:rPr>
                <w:webHidden/>
              </w:rPr>
              <w:t>8</w:t>
            </w:r>
            <w:r>
              <w:rPr>
                <w:webHidden/>
              </w:rPr>
              <w:fldChar w:fldCharType="end"/>
            </w:r>
          </w:hyperlink>
        </w:p>
        <w:p w14:paraId="2E1E95B0" w14:textId="39F93C18" w:rsidR="006C4096" w:rsidRDefault="006C4096">
          <w:pPr>
            <w:pStyle w:val="TOC1"/>
            <w:rPr>
              <w:rFonts w:asciiTheme="minorHAnsi" w:eastAsiaTheme="minorEastAsia" w:hAnsiTheme="minorHAnsi" w:cstheme="minorBidi"/>
              <w:sz w:val="22"/>
              <w:szCs w:val="22"/>
              <w:lang w:eastAsia="lv-LV"/>
            </w:rPr>
          </w:pPr>
          <w:hyperlink w:anchor="_Toc1374660" w:history="1">
            <w:r w:rsidRPr="00870B1F">
              <w:rPr>
                <w:rStyle w:val="Hyperlink"/>
              </w:rPr>
              <w:t>Fiskālā stratēģija un strukturālās bilances mērķi</w:t>
            </w:r>
            <w:r>
              <w:rPr>
                <w:webHidden/>
              </w:rPr>
              <w:tab/>
            </w:r>
            <w:r>
              <w:rPr>
                <w:webHidden/>
              </w:rPr>
              <w:fldChar w:fldCharType="begin"/>
            </w:r>
            <w:r>
              <w:rPr>
                <w:webHidden/>
              </w:rPr>
              <w:instrText xml:space="preserve"> PAGEREF _Toc1374660 \h </w:instrText>
            </w:r>
            <w:r>
              <w:rPr>
                <w:webHidden/>
              </w:rPr>
            </w:r>
            <w:r>
              <w:rPr>
                <w:webHidden/>
              </w:rPr>
              <w:fldChar w:fldCharType="separate"/>
            </w:r>
            <w:r w:rsidR="006D5490">
              <w:rPr>
                <w:webHidden/>
              </w:rPr>
              <w:t>9</w:t>
            </w:r>
            <w:r>
              <w:rPr>
                <w:webHidden/>
              </w:rPr>
              <w:fldChar w:fldCharType="end"/>
            </w:r>
          </w:hyperlink>
        </w:p>
        <w:p w14:paraId="66614977" w14:textId="276BEF02" w:rsidR="006C4096" w:rsidRDefault="006C4096">
          <w:pPr>
            <w:pStyle w:val="TOC1"/>
            <w:rPr>
              <w:rFonts w:asciiTheme="minorHAnsi" w:eastAsiaTheme="minorEastAsia" w:hAnsiTheme="minorHAnsi" w:cstheme="minorBidi"/>
              <w:sz w:val="22"/>
              <w:szCs w:val="22"/>
              <w:lang w:eastAsia="lv-LV"/>
            </w:rPr>
          </w:pPr>
          <w:hyperlink w:anchor="_Toc1374661" w:history="1">
            <w:r w:rsidRPr="00870B1F">
              <w:rPr>
                <w:rStyle w:val="Hyperlink"/>
              </w:rPr>
              <w:t>Tabula 2.a: Vispārējās valdības budžeta mērķi sadalījumā pa apakšsektoriem</w:t>
            </w:r>
            <w:r>
              <w:rPr>
                <w:webHidden/>
              </w:rPr>
              <w:tab/>
            </w:r>
            <w:r>
              <w:rPr>
                <w:webHidden/>
              </w:rPr>
              <w:fldChar w:fldCharType="begin"/>
            </w:r>
            <w:r>
              <w:rPr>
                <w:webHidden/>
              </w:rPr>
              <w:instrText xml:space="preserve"> PAGEREF _Toc1374661 \h </w:instrText>
            </w:r>
            <w:r>
              <w:rPr>
                <w:webHidden/>
              </w:rPr>
            </w:r>
            <w:r>
              <w:rPr>
                <w:webHidden/>
              </w:rPr>
              <w:fldChar w:fldCharType="separate"/>
            </w:r>
            <w:r w:rsidR="006D5490">
              <w:rPr>
                <w:webHidden/>
              </w:rPr>
              <w:t>11</w:t>
            </w:r>
            <w:r>
              <w:rPr>
                <w:webHidden/>
              </w:rPr>
              <w:fldChar w:fldCharType="end"/>
            </w:r>
          </w:hyperlink>
        </w:p>
        <w:p w14:paraId="3D4C53D7" w14:textId="5315EB82" w:rsidR="006C4096" w:rsidRDefault="006C4096">
          <w:pPr>
            <w:pStyle w:val="TOC1"/>
            <w:rPr>
              <w:rFonts w:asciiTheme="minorHAnsi" w:eastAsiaTheme="minorEastAsia" w:hAnsiTheme="minorHAnsi" w:cstheme="minorBidi"/>
              <w:sz w:val="22"/>
              <w:szCs w:val="22"/>
              <w:lang w:eastAsia="lv-LV"/>
            </w:rPr>
          </w:pPr>
          <w:hyperlink w:anchor="_Toc1374662" w:history="1">
            <w:r w:rsidRPr="00870B1F">
              <w:rPr>
                <w:rStyle w:val="Hyperlink"/>
              </w:rPr>
              <w:t>Tabula 2.b: Vispārējās valdības parāda attīstība 2018.–2019.gadā</w:t>
            </w:r>
            <w:r>
              <w:rPr>
                <w:webHidden/>
              </w:rPr>
              <w:tab/>
            </w:r>
            <w:r>
              <w:rPr>
                <w:webHidden/>
              </w:rPr>
              <w:fldChar w:fldCharType="begin"/>
            </w:r>
            <w:r>
              <w:rPr>
                <w:webHidden/>
              </w:rPr>
              <w:instrText xml:space="preserve"> PAGEREF _Toc1374662 \h </w:instrText>
            </w:r>
            <w:r>
              <w:rPr>
                <w:webHidden/>
              </w:rPr>
            </w:r>
            <w:r>
              <w:rPr>
                <w:webHidden/>
              </w:rPr>
              <w:fldChar w:fldCharType="separate"/>
            </w:r>
            <w:r w:rsidR="006D5490">
              <w:rPr>
                <w:webHidden/>
              </w:rPr>
              <w:t>12</w:t>
            </w:r>
            <w:r>
              <w:rPr>
                <w:webHidden/>
              </w:rPr>
              <w:fldChar w:fldCharType="end"/>
            </w:r>
          </w:hyperlink>
        </w:p>
        <w:p w14:paraId="34393161" w14:textId="022C4156" w:rsidR="006C4096" w:rsidRDefault="006C4096">
          <w:pPr>
            <w:pStyle w:val="TOC1"/>
            <w:rPr>
              <w:rFonts w:asciiTheme="minorHAnsi" w:eastAsiaTheme="minorEastAsia" w:hAnsiTheme="minorHAnsi" w:cstheme="minorBidi"/>
              <w:sz w:val="22"/>
              <w:szCs w:val="22"/>
              <w:lang w:eastAsia="lv-LV"/>
            </w:rPr>
          </w:pPr>
          <w:hyperlink w:anchor="_Toc1374663" w:history="1">
            <w:r w:rsidRPr="00870B1F">
              <w:rPr>
                <w:rStyle w:val="Hyperlink"/>
              </w:rPr>
              <w:t>Tabula 2.c: Netiešās saistības</w:t>
            </w:r>
            <w:r>
              <w:rPr>
                <w:webHidden/>
              </w:rPr>
              <w:tab/>
            </w:r>
            <w:r>
              <w:rPr>
                <w:webHidden/>
              </w:rPr>
              <w:fldChar w:fldCharType="begin"/>
            </w:r>
            <w:r>
              <w:rPr>
                <w:webHidden/>
              </w:rPr>
              <w:instrText xml:space="preserve"> PAGEREF _Toc1374663 \h </w:instrText>
            </w:r>
            <w:r>
              <w:rPr>
                <w:webHidden/>
              </w:rPr>
            </w:r>
            <w:r>
              <w:rPr>
                <w:webHidden/>
              </w:rPr>
              <w:fldChar w:fldCharType="separate"/>
            </w:r>
            <w:r w:rsidR="006D5490">
              <w:rPr>
                <w:webHidden/>
              </w:rPr>
              <w:t>12</w:t>
            </w:r>
            <w:r>
              <w:rPr>
                <w:webHidden/>
              </w:rPr>
              <w:fldChar w:fldCharType="end"/>
            </w:r>
          </w:hyperlink>
        </w:p>
        <w:p w14:paraId="11281AA7" w14:textId="1CEA48C0" w:rsidR="006C4096" w:rsidRDefault="006C4096">
          <w:pPr>
            <w:pStyle w:val="TOC1"/>
            <w:rPr>
              <w:rFonts w:asciiTheme="minorHAnsi" w:eastAsiaTheme="minorEastAsia" w:hAnsiTheme="minorHAnsi" w:cstheme="minorBidi"/>
              <w:sz w:val="22"/>
              <w:szCs w:val="22"/>
              <w:lang w:eastAsia="lv-LV"/>
            </w:rPr>
          </w:pPr>
          <w:hyperlink w:anchor="_Toc1374664" w:history="1">
            <w:r w:rsidRPr="00870B1F">
              <w:rPr>
                <w:rStyle w:val="Hyperlink"/>
              </w:rPr>
              <w:t>Tabula 3: Vispārējās valdības izdevumu un ieņēmumu prognozes pie nemainīgas politikas sadalījumā pa galvenajām komponentēm</w:t>
            </w:r>
            <w:r>
              <w:rPr>
                <w:webHidden/>
              </w:rPr>
              <w:tab/>
            </w:r>
            <w:r>
              <w:rPr>
                <w:webHidden/>
              </w:rPr>
              <w:fldChar w:fldCharType="begin"/>
            </w:r>
            <w:r>
              <w:rPr>
                <w:webHidden/>
              </w:rPr>
              <w:instrText xml:space="preserve"> PAGEREF _Toc1374664 \h </w:instrText>
            </w:r>
            <w:r>
              <w:rPr>
                <w:webHidden/>
              </w:rPr>
            </w:r>
            <w:r>
              <w:rPr>
                <w:webHidden/>
              </w:rPr>
              <w:fldChar w:fldCharType="separate"/>
            </w:r>
            <w:r w:rsidR="006D5490">
              <w:rPr>
                <w:webHidden/>
              </w:rPr>
              <w:t>13</w:t>
            </w:r>
            <w:r>
              <w:rPr>
                <w:webHidden/>
              </w:rPr>
              <w:fldChar w:fldCharType="end"/>
            </w:r>
          </w:hyperlink>
        </w:p>
        <w:p w14:paraId="4A9325ED" w14:textId="0373888A" w:rsidR="006C4096" w:rsidRDefault="006C4096">
          <w:pPr>
            <w:pStyle w:val="TOC1"/>
            <w:rPr>
              <w:rFonts w:asciiTheme="minorHAnsi" w:eastAsiaTheme="minorEastAsia" w:hAnsiTheme="minorHAnsi" w:cstheme="minorBidi"/>
              <w:sz w:val="22"/>
              <w:szCs w:val="22"/>
              <w:lang w:eastAsia="lv-LV"/>
            </w:rPr>
          </w:pPr>
          <w:hyperlink w:anchor="_Toc1374665" w:history="1">
            <w:r w:rsidRPr="00870B1F">
              <w:rPr>
                <w:rStyle w:val="Hyperlink"/>
              </w:rPr>
              <w:t>Tabula 4.a: Vispārējās valdības izdevumu un ieņēmumu mērķi sadalījumā pa galvenajām komponentēm</w:t>
            </w:r>
            <w:r>
              <w:rPr>
                <w:webHidden/>
              </w:rPr>
              <w:tab/>
            </w:r>
            <w:r>
              <w:rPr>
                <w:webHidden/>
              </w:rPr>
              <w:fldChar w:fldCharType="begin"/>
            </w:r>
            <w:r>
              <w:rPr>
                <w:webHidden/>
              </w:rPr>
              <w:instrText xml:space="preserve"> PAGEREF _Toc1374665 \h </w:instrText>
            </w:r>
            <w:r>
              <w:rPr>
                <w:webHidden/>
              </w:rPr>
            </w:r>
            <w:r>
              <w:rPr>
                <w:webHidden/>
              </w:rPr>
              <w:fldChar w:fldCharType="separate"/>
            </w:r>
            <w:r w:rsidR="006D5490">
              <w:rPr>
                <w:webHidden/>
              </w:rPr>
              <w:t>14</w:t>
            </w:r>
            <w:r>
              <w:rPr>
                <w:webHidden/>
              </w:rPr>
              <w:fldChar w:fldCharType="end"/>
            </w:r>
          </w:hyperlink>
        </w:p>
        <w:p w14:paraId="0A22C3DA" w14:textId="657763F1" w:rsidR="006C4096" w:rsidRDefault="006C4096">
          <w:pPr>
            <w:pStyle w:val="TOC1"/>
            <w:rPr>
              <w:rFonts w:asciiTheme="minorHAnsi" w:eastAsiaTheme="minorEastAsia" w:hAnsiTheme="minorHAnsi" w:cstheme="minorBidi"/>
              <w:sz w:val="22"/>
              <w:szCs w:val="22"/>
              <w:lang w:eastAsia="lv-LV"/>
            </w:rPr>
          </w:pPr>
          <w:hyperlink w:anchor="_Toc1374666" w:history="1">
            <w:r w:rsidRPr="00870B1F">
              <w:rPr>
                <w:rStyle w:val="Hyperlink"/>
              </w:rPr>
              <w:t>Tabula 4.b: Izdevumi, kas tiek izslēgti no izdevumu kritērija</w:t>
            </w:r>
            <w:r>
              <w:rPr>
                <w:webHidden/>
              </w:rPr>
              <w:tab/>
            </w:r>
            <w:r>
              <w:rPr>
                <w:webHidden/>
              </w:rPr>
              <w:fldChar w:fldCharType="begin"/>
            </w:r>
            <w:r>
              <w:rPr>
                <w:webHidden/>
              </w:rPr>
              <w:instrText xml:space="preserve"> PAGEREF _Toc1374666 \h </w:instrText>
            </w:r>
            <w:r>
              <w:rPr>
                <w:webHidden/>
              </w:rPr>
            </w:r>
            <w:r>
              <w:rPr>
                <w:webHidden/>
              </w:rPr>
              <w:fldChar w:fldCharType="separate"/>
            </w:r>
            <w:r w:rsidR="006D5490">
              <w:rPr>
                <w:webHidden/>
              </w:rPr>
              <w:t>14</w:t>
            </w:r>
            <w:r>
              <w:rPr>
                <w:webHidden/>
              </w:rPr>
              <w:fldChar w:fldCharType="end"/>
            </w:r>
          </w:hyperlink>
        </w:p>
        <w:p w14:paraId="72C031FF" w14:textId="716B2110" w:rsidR="006C4096" w:rsidRDefault="006C4096">
          <w:pPr>
            <w:pStyle w:val="TOC1"/>
            <w:rPr>
              <w:rFonts w:asciiTheme="minorHAnsi" w:eastAsiaTheme="minorEastAsia" w:hAnsiTheme="minorHAnsi" w:cstheme="minorBidi"/>
              <w:sz w:val="22"/>
              <w:szCs w:val="22"/>
              <w:lang w:eastAsia="lv-LV"/>
            </w:rPr>
          </w:pPr>
          <w:hyperlink w:anchor="_Toc1374667" w:history="1">
            <w:r w:rsidRPr="00870B1F">
              <w:rPr>
                <w:rStyle w:val="Hyperlink"/>
              </w:rPr>
              <w:t>Tabula 4.c Vispārējās valdības izdevumi funkciju sadalījumā</w:t>
            </w:r>
            <w:r>
              <w:rPr>
                <w:webHidden/>
              </w:rPr>
              <w:tab/>
            </w:r>
            <w:r>
              <w:rPr>
                <w:webHidden/>
              </w:rPr>
              <w:fldChar w:fldCharType="begin"/>
            </w:r>
            <w:r>
              <w:rPr>
                <w:webHidden/>
              </w:rPr>
              <w:instrText xml:space="preserve"> PAGEREF _Toc1374667 \h </w:instrText>
            </w:r>
            <w:r>
              <w:rPr>
                <w:webHidden/>
              </w:rPr>
            </w:r>
            <w:r>
              <w:rPr>
                <w:webHidden/>
              </w:rPr>
              <w:fldChar w:fldCharType="separate"/>
            </w:r>
            <w:r w:rsidR="006D5490">
              <w:rPr>
                <w:webHidden/>
              </w:rPr>
              <w:t>15</w:t>
            </w:r>
            <w:r>
              <w:rPr>
                <w:webHidden/>
              </w:rPr>
              <w:fldChar w:fldCharType="end"/>
            </w:r>
          </w:hyperlink>
        </w:p>
        <w:p w14:paraId="524AFF7E" w14:textId="7A1E5AD3" w:rsidR="006C4096" w:rsidRDefault="006C4096">
          <w:pPr>
            <w:pStyle w:val="TOC1"/>
            <w:rPr>
              <w:rFonts w:asciiTheme="minorHAnsi" w:eastAsiaTheme="minorEastAsia" w:hAnsiTheme="minorHAnsi" w:cstheme="minorBidi"/>
              <w:sz w:val="22"/>
              <w:szCs w:val="22"/>
              <w:lang w:eastAsia="lv-LV"/>
            </w:rPr>
          </w:pPr>
          <w:hyperlink w:anchor="_Toc1374668" w:history="1">
            <w:r w:rsidRPr="00870B1F">
              <w:rPr>
                <w:rStyle w:val="Hyperlink"/>
              </w:rPr>
              <w:t>Tabula 4.c.i) Vispārējās valdības izdevumi izglītībai, veselības aprūpei un nodarbinātībai</w:t>
            </w:r>
            <w:r>
              <w:rPr>
                <w:webHidden/>
              </w:rPr>
              <w:tab/>
            </w:r>
            <w:r>
              <w:rPr>
                <w:webHidden/>
              </w:rPr>
              <w:fldChar w:fldCharType="begin"/>
            </w:r>
            <w:r>
              <w:rPr>
                <w:webHidden/>
              </w:rPr>
              <w:instrText xml:space="preserve"> PAGEREF _Toc1374668 \h </w:instrText>
            </w:r>
            <w:r>
              <w:rPr>
                <w:webHidden/>
              </w:rPr>
            </w:r>
            <w:r>
              <w:rPr>
                <w:webHidden/>
              </w:rPr>
              <w:fldChar w:fldCharType="separate"/>
            </w:r>
            <w:r w:rsidR="006D5490">
              <w:rPr>
                <w:webHidden/>
              </w:rPr>
              <w:t>15</w:t>
            </w:r>
            <w:r>
              <w:rPr>
                <w:webHidden/>
              </w:rPr>
              <w:fldChar w:fldCharType="end"/>
            </w:r>
          </w:hyperlink>
        </w:p>
        <w:p w14:paraId="2238685B" w14:textId="0746741B" w:rsidR="006C4096" w:rsidRDefault="006C4096">
          <w:pPr>
            <w:pStyle w:val="TOC1"/>
            <w:rPr>
              <w:rFonts w:asciiTheme="minorHAnsi" w:eastAsiaTheme="minorEastAsia" w:hAnsiTheme="minorHAnsi" w:cstheme="minorBidi"/>
              <w:sz w:val="22"/>
              <w:szCs w:val="22"/>
              <w:lang w:eastAsia="lv-LV"/>
            </w:rPr>
          </w:pPr>
          <w:hyperlink w:anchor="_Toc1374669" w:history="1">
            <w:r w:rsidRPr="00870B1F">
              <w:rPr>
                <w:rStyle w:val="Hyperlink"/>
              </w:rPr>
              <w:t>Tabula 4.c.ii) Vispārējās valdības izdevumi funkciju sadalījumā</w:t>
            </w:r>
            <w:r>
              <w:rPr>
                <w:webHidden/>
              </w:rPr>
              <w:tab/>
            </w:r>
            <w:r>
              <w:rPr>
                <w:webHidden/>
              </w:rPr>
              <w:fldChar w:fldCharType="begin"/>
            </w:r>
            <w:r>
              <w:rPr>
                <w:webHidden/>
              </w:rPr>
              <w:instrText xml:space="preserve"> PAGEREF _Toc1374669 \h </w:instrText>
            </w:r>
            <w:r>
              <w:rPr>
                <w:webHidden/>
              </w:rPr>
            </w:r>
            <w:r>
              <w:rPr>
                <w:webHidden/>
              </w:rPr>
              <w:fldChar w:fldCharType="separate"/>
            </w:r>
            <w:r w:rsidR="006D5490">
              <w:rPr>
                <w:webHidden/>
              </w:rPr>
              <w:t>15</w:t>
            </w:r>
            <w:r>
              <w:rPr>
                <w:webHidden/>
              </w:rPr>
              <w:fldChar w:fldCharType="end"/>
            </w:r>
          </w:hyperlink>
        </w:p>
        <w:p w14:paraId="69082DE4" w14:textId="2FCA583B" w:rsidR="006C4096" w:rsidRDefault="006C4096">
          <w:pPr>
            <w:pStyle w:val="TOC1"/>
            <w:rPr>
              <w:rFonts w:asciiTheme="minorHAnsi" w:eastAsiaTheme="minorEastAsia" w:hAnsiTheme="minorHAnsi" w:cstheme="minorBidi"/>
              <w:sz w:val="22"/>
              <w:szCs w:val="22"/>
              <w:lang w:eastAsia="lv-LV"/>
            </w:rPr>
          </w:pPr>
          <w:hyperlink w:anchor="_Toc1374670" w:history="1">
            <w:r w:rsidRPr="00870B1F">
              <w:rPr>
                <w:rStyle w:val="Hyperlink"/>
              </w:rPr>
              <w:t>Tabula 5: Diskrecionāro pasākumu apraksts, kas iekļauti budžeta projektā</w:t>
            </w:r>
            <w:r>
              <w:rPr>
                <w:webHidden/>
              </w:rPr>
              <w:tab/>
            </w:r>
            <w:r>
              <w:rPr>
                <w:webHidden/>
              </w:rPr>
              <w:fldChar w:fldCharType="begin"/>
            </w:r>
            <w:r>
              <w:rPr>
                <w:webHidden/>
              </w:rPr>
              <w:instrText xml:space="preserve"> PAGEREF _Toc1374670 \h </w:instrText>
            </w:r>
            <w:r>
              <w:rPr>
                <w:webHidden/>
              </w:rPr>
            </w:r>
            <w:r>
              <w:rPr>
                <w:webHidden/>
              </w:rPr>
              <w:fldChar w:fldCharType="separate"/>
            </w:r>
            <w:r w:rsidR="006D5490">
              <w:rPr>
                <w:webHidden/>
              </w:rPr>
              <w:t>16</w:t>
            </w:r>
            <w:r>
              <w:rPr>
                <w:webHidden/>
              </w:rPr>
              <w:fldChar w:fldCharType="end"/>
            </w:r>
          </w:hyperlink>
        </w:p>
        <w:p w14:paraId="79D584ED" w14:textId="39C2835D" w:rsidR="006C4096" w:rsidRDefault="006C4096">
          <w:pPr>
            <w:pStyle w:val="TOC1"/>
            <w:rPr>
              <w:rFonts w:asciiTheme="minorHAnsi" w:eastAsiaTheme="minorEastAsia" w:hAnsiTheme="minorHAnsi" w:cstheme="minorBidi"/>
              <w:sz w:val="22"/>
              <w:szCs w:val="22"/>
              <w:lang w:eastAsia="lv-LV"/>
            </w:rPr>
          </w:pPr>
          <w:hyperlink w:anchor="_Toc1374671" w:history="1">
            <w:r w:rsidRPr="00870B1F">
              <w:rPr>
                <w:rStyle w:val="Hyperlink"/>
              </w:rPr>
              <w:t>Tabula 5.a.i): Diskrecionārie ieņēmumu pasākumi vispārējās valdības budžetā</w:t>
            </w:r>
            <w:r>
              <w:rPr>
                <w:webHidden/>
              </w:rPr>
              <w:tab/>
            </w:r>
            <w:r>
              <w:rPr>
                <w:webHidden/>
              </w:rPr>
              <w:fldChar w:fldCharType="begin"/>
            </w:r>
            <w:r>
              <w:rPr>
                <w:webHidden/>
              </w:rPr>
              <w:instrText xml:space="preserve"> PAGEREF _Toc1374671 \h </w:instrText>
            </w:r>
            <w:r>
              <w:rPr>
                <w:webHidden/>
              </w:rPr>
            </w:r>
            <w:r>
              <w:rPr>
                <w:webHidden/>
              </w:rPr>
              <w:fldChar w:fldCharType="separate"/>
            </w:r>
            <w:r w:rsidR="006D5490">
              <w:rPr>
                <w:webHidden/>
              </w:rPr>
              <w:t>16</w:t>
            </w:r>
            <w:r>
              <w:rPr>
                <w:webHidden/>
              </w:rPr>
              <w:fldChar w:fldCharType="end"/>
            </w:r>
          </w:hyperlink>
        </w:p>
        <w:p w14:paraId="0F597708" w14:textId="1D374D82" w:rsidR="006C4096" w:rsidRDefault="006C4096">
          <w:pPr>
            <w:pStyle w:val="TOC1"/>
            <w:rPr>
              <w:rFonts w:asciiTheme="minorHAnsi" w:eastAsiaTheme="minorEastAsia" w:hAnsiTheme="minorHAnsi" w:cstheme="minorBidi"/>
              <w:sz w:val="22"/>
              <w:szCs w:val="22"/>
              <w:lang w:eastAsia="lv-LV"/>
            </w:rPr>
          </w:pPr>
          <w:hyperlink w:anchor="_Toc1374672" w:history="1">
            <w:r w:rsidRPr="00870B1F">
              <w:rPr>
                <w:rStyle w:val="Hyperlink"/>
              </w:rPr>
              <w:t>Tabula 5.a.ii) Diskrecionārie izdevumu pasākumi vispārējās valdības budžetā</w:t>
            </w:r>
            <w:r>
              <w:rPr>
                <w:webHidden/>
              </w:rPr>
              <w:tab/>
            </w:r>
            <w:r>
              <w:rPr>
                <w:webHidden/>
              </w:rPr>
              <w:fldChar w:fldCharType="begin"/>
            </w:r>
            <w:r>
              <w:rPr>
                <w:webHidden/>
              </w:rPr>
              <w:instrText xml:space="preserve"> PAGEREF _Toc1374672 \h </w:instrText>
            </w:r>
            <w:r>
              <w:rPr>
                <w:webHidden/>
              </w:rPr>
            </w:r>
            <w:r>
              <w:rPr>
                <w:webHidden/>
              </w:rPr>
              <w:fldChar w:fldCharType="separate"/>
            </w:r>
            <w:r w:rsidR="006D5490">
              <w:rPr>
                <w:webHidden/>
              </w:rPr>
              <w:t>18</w:t>
            </w:r>
            <w:r>
              <w:rPr>
                <w:webHidden/>
              </w:rPr>
              <w:fldChar w:fldCharType="end"/>
            </w:r>
          </w:hyperlink>
        </w:p>
        <w:p w14:paraId="763815FD" w14:textId="756C64FD" w:rsidR="006C4096" w:rsidRDefault="006C4096">
          <w:pPr>
            <w:pStyle w:val="TOC1"/>
            <w:rPr>
              <w:rFonts w:asciiTheme="minorHAnsi" w:eastAsiaTheme="minorEastAsia" w:hAnsiTheme="minorHAnsi" w:cstheme="minorBidi"/>
              <w:sz w:val="22"/>
              <w:szCs w:val="22"/>
              <w:lang w:eastAsia="lv-LV"/>
            </w:rPr>
          </w:pPr>
          <w:hyperlink w:anchor="_Toc1374673" w:history="1">
            <w:r w:rsidRPr="00870B1F">
              <w:rPr>
                <w:rStyle w:val="Hyperlink"/>
              </w:rPr>
              <w:t>Tabula 5.b.i): Diskrecionārie ieņēmumu pasākumi centrālās valdības budžetā</w:t>
            </w:r>
            <w:r>
              <w:rPr>
                <w:webHidden/>
              </w:rPr>
              <w:tab/>
            </w:r>
            <w:r>
              <w:rPr>
                <w:webHidden/>
              </w:rPr>
              <w:fldChar w:fldCharType="begin"/>
            </w:r>
            <w:r>
              <w:rPr>
                <w:webHidden/>
              </w:rPr>
              <w:instrText xml:space="preserve"> PAGEREF _Toc1374673 \h </w:instrText>
            </w:r>
            <w:r>
              <w:rPr>
                <w:webHidden/>
              </w:rPr>
            </w:r>
            <w:r>
              <w:rPr>
                <w:webHidden/>
              </w:rPr>
              <w:fldChar w:fldCharType="separate"/>
            </w:r>
            <w:r w:rsidR="006D5490">
              <w:rPr>
                <w:webHidden/>
              </w:rPr>
              <w:t>22</w:t>
            </w:r>
            <w:r>
              <w:rPr>
                <w:webHidden/>
              </w:rPr>
              <w:fldChar w:fldCharType="end"/>
            </w:r>
          </w:hyperlink>
        </w:p>
        <w:p w14:paraId="60B091EE" w14:textId="5E26BCB2" w:rsidR="006C4096" w:rsidRDefault="006C4096">
          <w:pPr>
            <w:pStyle w:val="TOC1"/>
            <w:rPr>
              <w:rFonts w:asciiTheme="minorHAnsi" w:eastAsiaTheme="minorEastAsia" w:hAnsiTheme="minorHAnsi" w:cstheme="minorBidi"/>
              <w:sz w:val="22"/>
              <w:szCs w:val="22"/>
              <w:lang w:eastAsia="lv-LV"/>
            </w:rPr>
          </w:pPr>
          <w:hyperlink w:anchor="_Toc1374674" w:history="1">
            <w:r w:rsidRPr="00870B1F">
              <w:rPr>
                <w:rStyle w:val="Hyperlink"/>
              </w:rPr>
              <w:t>Tabula 5.b.ii): Diskrecionārie izdevumi pasākumi centrālās valdības budžetā</w:t>
            </w:r>
            <w:r>
              <w:rPr>
                <w:webHidden/>
              </w:rPr>
              <w:tab/>
            </w:r>
            <w:r>
              <w:rPr>
                <w:webHidden/>
              </w:rPr>
              <w:fldChar w:fldCharType="begin"/>
            </w:r>
            <w:r>
              <w:rPr>
                <w:webHidden/>
              </w:rPr>
              <w:instrText xml:space="preserve"> PAGEREF _Toc1374674 \h </w:instrText>
            </w:r>
            <w:r>
              <w:rPr>
                <w:webHidden/>
              </w:rPr>
            </w:r>
            <w:r>
              <w:rPr>
                <w:webHidden/>
              </w:rPr>
              <w:fldChar w:fldCharType="separate"/>
            </w:r>
            <w:r w:rsidR="006D5490">
              <w:rPr>
                <w:webHidden/>
              </w:rPr>
              <w:t>24</w:t>
            </w:r>
            <w:r>
              <w:rPr>
                <w:webHidden/>
              </w:rPr>
              <w:fldChar w:fldCharType="end"/>
            </w:r>
          </w:hyperlink>
        </w:p>
        <w:p w14:paraId="70DB3D96" w14:textId="225B7098" w:rsidR="006C4096" w:rsidRDefault="006C4096">
          <w:pPr>
            <w:pStyle w:val="TOC1"/>
            <w:rPr>
              <w:rFonts w:asciiTheme="minorHAnsi" w:eastAsiaTheme="minorEastAsia" w:hAnsiTheme="minorHAnsi" w:cstheme="minorBidi"/>
              <w:sz w:val="22"/>
              <w:szCs w:val="22"/>
              <w:lang w:eastAsia="lv-LV"/>
            </w:rPr>
          </w:pPr>
          <w:hyperlink w:anchor="_Toc1374675" w:history="1">
            <w:r w:rsidRPr="00870B1F">
              <w:rPr>
                <w:rStyle w:val="Hyperlink"/>
              </w:rPr>
              <w:t>Tabula 5.c: Diskrecionārie ieņēmumu pasākumi vietējās valdības budžetā</w:t>
            </w:r>
            <w:r>
              <w:rPr>
                <w:webHidden/>
              </w:rPr>
              <w:tab/>
            </w:r>
            <w:r>
              <w:rPr>
                <w:webHidden/>
              </w:rPr>
              <w:fldChar w:fldCharType="begin"/>
            </w:r>
            <w:r>
              <w:rPr>
                <w:webHidden/>
              </w:rPr>
              <w:instrText xml:space="preserve"> PAGEREF _Toc1374675 \h </w:instrText>
            </w:r>
            <w:r>
              <w:rPr>
                <w:webHidden/>
              </w:rPr>
            </w:r>
            <w:r>
              <w:rPr>
                <w:webHidden/>
              </w:rPr>
              <w:fldChar w:fldCharType="separate"/>
            </w:r>
            <w:r w:rsidR="006D5490">
              <w:rPr>
                <w:webHidden/>
              </w:rPr>
              <w:t>28</w:t>
            </w:r>
            <w:r>
              <w:rPr>
                <w:webHidden/>
              </w:rPr>
              <w:fldChar w:fldCharType="end"/>
            </w:r>
          </w:hyperlink>
        </w:p>
        <w:p w14:paraId="25D69370" w14:textId="493F8234" w:rsidR="006C4096" w:rsidRDefault="006C4096">
          <w:pPr>
            <w:pStyle w:val="TOC1"/>
            <w:rPr>
              <w:rFonts w:asciiTheme="minorHAnsi" w:eastAsiaTheme="minorEastAsia" w:hAnsiTheme="minorHAnsi" w:cstheme="minorBidi"/>
              <w:sz w:val="22"/>
              <w:szCs w:val="22"/>
              <w:lang w:eastAsia="lv-LV"/>
            </w:rPr>
          </w:pPr>
          <w:hyperlink w:anchor="_Toc1374676" w:history="1">
            <w:r w:rsidRPr="00870B1F">
              <w:rPr>
                <w:rStyle w:val="Hyperlink"/>
              </w:rPr>
              <w:t>Tabula 6.a Valstu specifiskās rekomendācijas</w:t>
            </w:r>
            <w:r>
              <w:rPr>
                <w:webHidden/>
              </w:rPr>
              <w:tab/>
            </w:r>
            <w:r>
              <w:rPr>
                <w:webHidden/>
              </w:rPr>
              <w:fldChar w:fldCharType="begin"/>
            </w:r>
            <w:r>
              <w:rPr>
                <w:webHidden/>
              </w:rPr>
              <w:instrText xml:space="preserve"> PAGEREF _Toc1374676 \h </w:instrText>
            </w:r>
            <w:r>
              <w:rPr>
                <w:webHidden/>
              </w:rPr>
            </w:r>
            <w:r>
              <w:rPr>
                <w:webHidden/>
              </w:rPr>
              <w:fldChar w:fldCharType="separate"/>
            </w:r>
            <w:r w:rsidR="006D5490">
              <w:rPr>
                <w:webHidden/>
              </w:rPr>
              <w:t>29</w:t>
            </w:r>
            <w:r>
              <w:rPr>
                <w:webHidden/>
              </w:rPr>
              <w:fldChar w:fldCharType="end"/>
            </w:r>
          </w:hyperlink>
        </w:p>
        <w:p w14:paraId="33E2F18D" w14:textId="659B2052" w:rsidR="006C4096" w:rsidRDefault="006C4096">
          <w:pPr>
            <w:pStyle w:val="TOC1"/>
            <w:rPr>
              <w:rFonts w:asciiTheme="minorHAnsi" w:eastAsiaTheme="minorEastAsia" w:hAnsiTheme="minorHAnsi" w:cstheme="minorBidi"/>
              <w:sz w:val="22"/>
              <w:szCs w:val="22"/>
              <w:lang w:eastAsia="lv-LV"/>
            </w:rPr>
          </w:pPr>
          <w:hyperlink w:anchor="_Toc1374677" w:history="1">
            <w:r w:rsidRPr="00870B1F">
              <w:rPr>
                <w:rStyle w:val="Hyperlink"/>
              </w:rPr>
              <w:t>Tabula 6.b ES Stratēģijas noteiktie mērķi attiecibā uz izaugsmi un darbu</w:t>
            </w:r>
            <w:r>
              <w:rPr>
                <w:webHidden/>
              </w:rPr>
              <w:tab/>
            </w:r>
            <w:r>
              <w:rPr>
                <w:webHidden/>
              </w:rPr>
              <w:fldChar w:fldCharType="begin"/>
            </w:r>
            <w:r>
              <w:rPr>
                <w:webHidden/>
              </w:rPr>
              <w:instrText xml:space="preserve"> PAGEREF _Toc1374677 \h </w:instrText>
            </w:r>
            <w:r>
              <w:rPr>
                <w:webHidden/>
              </w:rPr>
            </w:r>
            <w:r>
              <w:rPr>
                <w:webHidden/>
              </w:rPr>
              <w:fldChar w:fldCharType="separate"/>
            </w:r>
            <w:r w:rsidR="006D5490">
              <w:rPr>
                <w:webHidden/>
              </w:rPr>
              <w:t>34</w:t>
            </w:r>
            <w:r>
              <w:rPr>
                <w:webHidden/>
              </w:rPr>
              <w:fldChar w:fldCharType="end"/>
            </w:r>
          </w:hyperlink>
        </w:p>
        <w:p w14:paraId="24597B1A" w14:textId="5D4C18FE" w:rsidR="006C4096" w:rsidRDefault="006C4096">
          <w:pPr>
            <w:pStyle w:val="TOC1"/>
            <w:rPr>
              <w:rFonts w:asciiTheme="minorHAnsi" w:eastAsiaTheme="minorEastAsia" w:hAnsiTheme="minorHAnsi" w:cstheme="minorBidi"/>
              <w:sz w:val="22"/>
              <w:szCs w:val="22"/>
              <w:lang w:eastAsia="lv-LV"/>
            </w:rPr>
          </w:pPr>
          <w:hyperlink w:anchor="_Toc1374678" w:history="1">
            <w:r w:rsidRPr="00870B1F">
              <w:rPr>
                <w:rStyle w:val="Hyperlink"/>
              </w:rPr>
              <w:t>Tabula 7: Salīdzināju</w:t>
            </w:r>
            <w:r w:rsidRPr="00870B1F">
              <w:rPr>
                <w:rStyle w:val="Hyperlink"/>
              </w:rPr>
              <w:t>m</w:t>
            </w:r>
            <w:r w:rsidRPr="00870B1F">
              <w:rPr>
                <w:rStyle w:val="Hyperlink"/>
              </w:rPr>
              <w:t>s ar Stabilitātes programmu 2018.–2021.gadam</w:t>
            </w:r>
            <w:r>
              <w:rPr>
                <w:webHidden/>
              </w:rPr>
              <w:tab/>
            </w:r>
            <w:r>
              <w:rPr>
                <w:webHidden/>
              </w:rPr>
              <w:fldChar w:fldCharType="begin"/>
            </w:r>
            <w:r>
              <w:rPr>
                <w:webHidden/>
              </w:rPr>
              <w:instrText xml:space="preserve"> PAGEREF _Toc1374678 \h </w:instrText>
            </w:r>
            <w:r>
              <w:rPr>
                <w:webHidden/>
              </w:rPr>
            </w:r>
            <w:r>
              <w:rPr>
                <w:webHidden/>
              </w:rPr>
              <w:fldChar w:fldCharType="separate"/>
            </w:r>
            <w:r w:rsidR="006D5490">
              <w:rPr>
                <w:webHidden/>
              </w:rPr>
              <w:t>49</w:t>
            </w:r>
            <w:r>
              <w:rPr>
                <w:webHidden/>
              </w:rPr>
              <w:fldChar w:fldCharType="end"/>
            </w:r>
          </w:hyperlink>
        </w:p>
        <w:p w14:paraId="17D455DC" w14:textId="64FBFF17" w:rsidR="006C4096" w:rsidRDefault="006C4096">
          <w:pPr>
            <w:pStyle w:val="TOC1"/>
            <w:rPr>
              <w:rFonts w:asciiTheme="minorHAnsi" w:eastAsiaTheme="minorEastAsia" w:hAnsiTheme="minorHAnsi" w:cstheme="minorBidi"/>
              <w:sz w:val="22"/>
              <w:szCs w:val="22"/>
              <w:lang w:eastAsia="lv-LV"/>
            </w:rPr>
          </w:pPr>
          <w:hyperlink w:anchor="_Toc1374679" w:history="1">
            <w:r w:rsidRPr="00870B1F">
              <w:rPr>
                <w:rStyle w:val="Hyperlink"/>
              </w:rPr>
              <w:t>Pielikums: Metodoloģiskie aspekti</w:t>
            </w:r>
            <w:r>
              <w:rPr>
                <w:webHidden/>
              </w:rPr>
              <w:tab/>
            </w:r>
            <w:r>
              <w:rPr>
                <w:webHidden/>
              </w:rPr>
              <w:fldChar w:fldCharType="begin"/>
            </w:r>
            <w:r>
              <w:rPr>
                <w:webHidden/>
              </w:rPr>
              <w:instrText xml:space="preserve"> PAGEREF _Toc1374679 \h </w:instrText>
            </w:r>
            <w:r>
              <w:rPr>
                <w:webHidden/>
              </w:rPr>
            </w:r>
            <w:r>
              <w:rPr>
                <w:webHidden/>
              </w:rPr>
              <w:fldChar w:fldCharType="separate"/>
            </w:r>
            <w:r w:rsidR="006D5490">
              <w:rPr>
                <w:webHidden/>
              </w:rPr>
              <w:t>50</w:t>
            </w:r>
            <w:r>
              <w:rPr>
                <w:webHidden/>
              </w:rPr>
              <w:fldChar w:fldCharType="end"/>
            </w:r>
          </w:hyperlink>
        </w:p>
        <w:p w14:paraId="4F118AB7" w14:textId="2C9238FF" w:rsidR="007369A9" w:rsidRDefault="007369A9">
          <w:r>
            <w:rPr>
              <w:b/>
              <w:bCs/>
              <w:noProof/>
            </w:rPr>
            <w:fldChar w:fldCharType="end"/>
          </w:r>
        </w:p>
      </w:sdtContent>
    </w:sdt>
    <w:p w14:paraId="6F036386" w14:textId="77777777" w:rsidR="00A922FB" w:rsidRDefault="00A922FB">
      <w:pPr>
        <w:spacing w:after="0"/>
        <w:ind w:firstLine="0"/>
        <w:jc w:val="left"/>
        <w:rPr>
          <w:color w:val="18185E"/>
          <w:sz w:val="28"/>
        </w:rPr>
      </w:pPr>
    </w:p>
    <w:p w14:paraId="700DEBBC" w14:textId="77777777" w:rsidR="001A1170" w:rsidRDefault="001A1170">
      <w:pPr>
        <w:spacing w:after="0"/>
        <w:ind w:firstLine="0"/>
        <w:jc w:val="left"/>
        <w:rPr>
          <w:color w:val="18185E"/>
          <w:sz w:val="28"/>
        </w:rPr>
      </w:pPr>
      <w:r>
        <w:rPr>
          <w:color w:val="18185E"/>
          <w:sz w:val="28"/>
        </w:rPr>
        <w:br w:type="page"/>
      </w:r>
    </w:p>
    <w:p w14:paraId="61198667" w14:textId="77777777" w:rsidR="001A1170" w:rsidRPr="001A1170" w:rsidRDefault="001A1170" w:rsidP="001A1170">
      <w:pPr>
        <w:pStyle w:val="Heading1"/>
        <w:tabs>
          <w:tab w:val="left" w:pos="1276"/>
        </w:tabs>
        <w:spacing w:before="0" w:after="240"/>
        <w:jc w:val="center"/>
        <w:rPr>
          <w:rFonts w:ascii="Times New Roman" w:hAnsi="Times New Roman"/>
          <w:color w:val="18185E"/>
          <w:sz w:val="28"/>
        </w:rPr>
      </w:pPr>
      <w:bookmarkStart w:id="0" w:name="_Toc494786334"/>
      <w:bookmarkStart w:id="1" w:name="_Toc1374652"/>
      <w:r w:rsidRPr="001A1170">
        <w:rPr>
          <w:rFonts w:ascii="Times New Roman" w:hAnsi="Times New Roman"/>
          <w:color w:val="18185E"/>
          <w:sz w:val="28"/>
        </w:rPr>
        <w:lastRenderedPageBreak/>
        <w:t>Saīsinājumu apzīmējumi</w:t>
      </w:r>
      <w:bookmarkEnd w:id="0"/>
      <w:bookmarkEnd w:id="1"/>
    </w:p>
    <w:p w14:paraId="2B46080B" w14:textId="77777777" w:rsidR="000E6165" w:rsidRPr="00BB535C" w:rsidRDefault="000E6165" w:rsidP="000E6165">
      <w:pPr>
        <w:spacing w:after="0"/>
        <w:ind w:firstLine="0"/>
        <w:rPr>
          <w:szCs w:val="24"/>
        </w:rPr>
      </w:pPr>
      <w:r w:rsidRPr="00BB535C">
        <w:rPr>
          <w:szCs w:val="24"/>
        </w:rPr>
        <w:t>AER</w:t>
      </w:r>
      <w:r w:rsidRPr="00BB535C">
        <w:rPr>
          <w:szCs w:val="24"/>
        </w:rPr>
        <w:tab/>
      </w:r>
      <w:r w:rsidRPr="00BB535C">
        <w:rPr>
          <w:szCs w:val="24"/>
        </w:rPr>
        <w:tab/>
      </w:r>
      <w:r w:rsidR="005D41CC" w:rsidRPr="00BB535C">
        <w:rPr>
          <w:szCs w:val="24"/>
        </w:rPr>
        <w:tab/>
      </w:r>
      <w:r w:rsidRPr="00BB535C">
        <w:rPr>
          <w:rFonts w:eastAsia="Calibri"/>
          <w:color w:val="000000"/>
          <w:szCs w:val="24"/>
        </w:rPr>
        <w:t>Atjaunojamie energoresursi</w:t>
      </w:r>
    </w:p>
    <w:p w14:paraId="38AF53AE" w14:textId="77777777" w:rsidR="000E6165" w:rsidRDefault="000E6165" w:rsidP="000E6165">
      <w:pPr>
        <w:spacing w:after="0"/>
        <w:ind w:firstLine="0"/>
        <w:rPr>
          <w:szCs w:val="24"/>
        </w:rPr>
      </w:pPr>
      <w:r w:rsidRPr="00BB535C">
        <w:rPr>
          <w:szCs w:val="24"/>
        </w:rPr>
        <w:t>AIC</w:t>
      </w:r>
      <w:r w:rsidRPr="00BB535C">
        <w:rPr>
          <w:szCs w:val="24"/>
        </w:rPr>
        <w:tab/>
      </w:r>
      <w:r w:rsidRPr="00BB535C">
        <w:rPr>
          <w:szCs w:val="24"/>
        </w:rPr>
        <w:tab/>
      </w:r>
      <w:r w:rsidR="005D41CC" w:rsidRPr="00BB535C">
        <w:rPr>
          <w:szCs w:val="24"/>
        </w:rPr>
        <w:tab/>
      </w:r>
      <w:r w:rsidRPr="00BB535C">
        <w:rPr>
          <w:szCs w:val="24"/>
        </w:rPr>
        <w:t xml:space="preserve">Akadēmiskās informācijas centrs </w:t>
      </w:r>
    </w:p>
    <w:p w14:paraId="392A1134" w14:textId="77777777" w:rsidR="005137D2" w:rsidRPr="00BB535C" w:rsidRDefault="005137D2" w:rsidP="000E6165">
      <w:pPr>
        <w:spacing w:after="0"/>
        <w:ind w:firstLine="0"/>
        <w:rPr>
          <w:szCs w:val="24"/>
        </w:rPr>
      </w:pPr>
      <w:r>
        <w:rPr>
          <w:szCs w:val="24"/>
        </w:rPr>
        <w:t>ALTUM</w:t>
      </w:r>
      <w:r>
        <w:rPr>
          <w:szCs w:val="24"/>
        </w:rPr>
        <w:tab/>
      </w:r>
      <w:r>
        <w:rPr>
          <w:szCs w:val="24"/>
        </w:rPr>
        <w:tab/>
      </w:r>
      <w:r>
        <w:rPr>
          <w:sz w:val="22"/>
          <w:szCs w:val="22"/>
        </w:rPr>
        <w:t>Akciju sabiedrība</w:t>
      </w:r>
      <w:r w:rsidRPr="00416435">
        <w:rPr>
          <w:sz w:val="22"/>
          <w:szCs w:val="22"/>
        </w:rPr>
        <w:t xml:space="preserve"> “Attīstības finanšu institūcija “Altum””</w:t>
      </w:r>
    </w:p>
    <w:p w14:paraId="1DE2CD50" w14:textId="77777777" w:rsidR="000E6165" w:rsidRPr="00BB535C" w:rsidRDefault="000E6165" w:rsidP="000E6165">
      <w:pPr>
        <w:spacing w:after="0"/>
        <w:ind w:firstLine="0"/>
        <w:rPr>
          <w:szCs w:val="24"/>
        </w:rPr>
      </w:pPr>
      <w:r w:rsidRPr="00BB535C">
        <w:rPr>
          <w:szCs w:val="24"/>
        </w:rPr>
        <w:t>CSP</w:t>
      </w:r>
      <w:r w:rsidRPr="00BB535C">
        <w:rPr>
          <w:szCs w:val="24"/>
        </w:rPr>
        <w:tab/>
      </w:r>
      <w:r w:rsidRPr="00BB535C">
        <w:rPr>
          <w:szCs w:val="24"/>
        </w:rPr>
        <w:tab/>
      </w:r>
      <w:r w:rsidR="005D41CC" w:rsidRPr="00BB535C">
        <w:rPr>
          <w:szCs w:val="24"/>
        </w:rPr>
        <w:tab/>
      </w:r>
      <w:r w:rsidRPr="00BB535C">
        <w:rPr>
          <w:szCs w:val="24"/>
        </w:rPr>
        <w:t>Centrālā statistikas pārvalde</w:t>
      </w:r>
    </w:p>
    <w:p w14:paraId="20EB2C3D" w14:textId="77777777" w:rsidR="000E6165" w:rsidRPr="005D41CC" w:rsidRDefault="000E6165" w:rsidP="000E6165">
      <w:pPr>
        <w:pStyle w:val="teksts"/>
        <w:spacing w:after="0"/>
        <w:rPr>
          <w:rFonts w:ascii="Times New Roman" w:eastAsia="Calibri" w:hAnsi="Times New Roman"/>
          <w:color w:val="000000"/>
          <w:szCs w:val="24"/>
        </w:rPr>
      </w:pPr>
      <w:r w:rsidRPr="00BB535C">
        <w:rPr>
          <w:rFonts w:ascii="Times New Roman" w:eastAsia="Calibri" w:hAnsi="Times New Roman"/>
          <w:color w:val="000000"/>
          <w:szCs w:val="24"/>
        </w:rPr>
        <w:t>EK</w:t>
      </w:r>
      <w:r w:rsidRPr="00BB535C">
        <w:rPr>
          <w:rFonts w:ascii="Times New Roman" w:eastAsia="Calibri" w:hAnsi="Times New Roman"/>
          <w:color w:val="000000"/>
          <w:szCs w:val="24"/>
        </w:rPr>
        <w:tab/>
      </w:r>
      <w:r w:rsidRPr="00BB535C">
        <w:rPr>
          <w:rFonts w:ascii="Times New Roman" w:eastAsia="Calibri" w:hAnsi="Times New Roman"/>
          <w:color w:val="000000"/>
          <w:szCs w:val="24"/>
        </w:rPr>
        <w:tab/>
      </w:r>
      <w:r w:rsidR="005D41CC" w:rsidRPr="00BB535C">
        <w:rPr>
          <w:rFonts w:ascii="Times New Roman" w:eastAsia="Calibri" w:hAnsi="Times New Roman"/>
          <w:color w:val="000000"/>
          <w:szCs w:val="24"/>
        </w:rPr>
        <w:tab/>
      </w:r>
      <w:r w:rsidRPr="00BB535C">
        <w:rPr>
          <w:rFonts w:ascii="Times New Roman" w:eastAsia="Calibri" w:hAnsi="Times New Roman"/>
          <w:color w:val="000000"/>
          <w:szCs w:val="24"/>
        </w:rPr>
        <w:t>Eiropas Komisija</w:t>
      </w:r>
    </w:p>
    <w:p w14:paraId="790CE025"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EKII</w:t>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Emisijas kvotu izsolīšanas instruments</w:t>
      </w:r>
    </w:p>
    <w:p w14:paraId="7DFFF049"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EKS</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Pr="005D41CC">
        <w:rPr>
          <w:rFonts w:ascii="Times New Roman" w:eastAsia="Calibri" w:hAnsi="Times New Roman"/>
          <w:color w:val="000000"/>
          <w:szCs w:val="24"/>
        </w:rPr>
        <w:tab/>
        <w:t>Eiropas Kontu sistēma</w:t>
      </w:r>
    </w:p>
    <w:p w14:paraId="5EB222AB"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EM</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Ekonomikas ministrija</w:t>
      </w:r>
    </w:p>
    <w:p w14:paraId="72E8E797"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ERAF</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 xml:space="preserve">Eiropas Reģionālās attīstības fonds </w:t>
      </w:r>
    </w:p>
    <w:p w14:paraId="6C097427"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ES</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Eiropas Savienība</w:t>
      </w:r>
    </w:p>
    <w:p w14:paraId="41B9F660"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ESF</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Eiropas Sociālais fonds</w:t>
      </w:r>
    </w:p>
    <w:p w14:paraId="162DA49C"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FM</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Finanšu ministrija</w:t>
      </w:r>
    </w:p>
    <w:p w14:paraId="70109F14" w14:textId="77777777" w:rsidR="00430175" w:rsidRDefault="006A676E" w:rsidP="000E6165">
      <w:pPr>
        <w:pStyle w:val="teksts"/>
        <w:spacing w:after="0"/>
        <w:rPr>
          <w:rFonts w:ascii="Times New Roman" w:eastAsia="Calibri" w:hAnsi="Times New Roman"/>
          <w:color w:val="000000"/>
          <w:szCs w:val="24"/>
        </w:rPr>
      </w:pPr>
      <w:r>
        <w:rPr>
          <w:rFonts w:ascii="Times New Roman" w:eastAsia="Calibri" w:hAnsi="Times New Roman"/>
          <w:color w:val="000000"/>
          <w:szCs w:val="24"/>
        </w:rPr>
        <w:t>IE</w:t>
      </w:r>
      <w:r w:rsidR="00430175">
        <w:rPr>
          <w:rFonts w:ascii="Times New Roman" w:eastAsia="Calibri" w:hAnsi="Times New Roman"/>
          <w:color w:val="000000"/>
          <w:szCs w:val="24"/>
        </w:rPr>
        <w:t>M</w:t>
      </w:r>
      <w:r w:rsidR="00430175">
        <w:rPr>
          <w:rFonts w:ascii="Times New Roman" w:eastAsia="Calibri" w:hAnsi="Times New Roman"/>
          <w:color w:val="000000"/>
          <w:szCs w:val="24"/>
        </w:rPr>
        <w:tab/>
      </w:r>
      <w:r w:rsidR="00430175">
        <w:rPr>
          <w:rFonts w:ascii="Times New Roman" w:eastAsia="Calibri" w:hAnsi="Times New Roman"/>
          <w:color w:val="000000"/>
          <w:szCs w:val="24"/>
        </w:rPr>
        <w:tab/>
      </w:r>
      <w:r w:rsidR="00430175">
        <w:rPr>
          <w:rFonts w:ascii="Times New Roman" w:eastAsia="Calibri" w:hAnsi="Times New Roman"/>
          <w:color w:val="000000"/>
          <w:szCs w:val="24"/>
        </w:rPr>
        <w:tab/>
        <w:t>Iekšlietu ministrija</w:t>
      </w:r>
    </w:p>
    <w:p w14:paraId="48B3BB20"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Ietvara likums</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t>Vidēja termiņa budžeta ietvara likums</w:t>
      </w:r>
    </w:p>
    <w:p w14:paraId="321E9404"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IIN</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Iedzīvotāju ienākumu nodoklis</w:t>
      </w:r>
    </w:p>
    <w:p w14:paraId="5A212BAD"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IKP</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Iekšzemes kopprodukts</w:t>
      </w:r>
    </w:p>
    <w:p w14:paraId="45957DF7" w14:textId="77777777" w:rsidR="000E6165" w:rsidRPr="005D41CC" w:rsidRDefault="000E6165" w:rsidP="000E6165">
      <w:pPr>
        <w:spacing w:after="0"/>
        <w:ind w:firstLine="0"/>
        <w:rPr>
          <w:szCs w:val="24"/>
        </w:rPr>
      </w:pPr>
      <w:r w:rsidRPr="005D41CC">
        <w:rPr>
          <w:szCs w:val="24"/>
        </w:rPr>
        <w:t xml:space="preserve">IKVD </w:t>
      </w:r>
      <w:r w:rsidRPr="005D41CC">
        <w:rPr>
          <w:szCs w:val="24"/>
        </w:rPr>
        <w:tab/>
      </w:r>
      <w:r w:rsidRPr="005D41CC">
        <w:rPr>
          <w:szCs w:val="24"/>
        </w:rPr>
        <w:tab/>
      </w:r>
      <w:r w:rsidR="005D41CC" w:rsidRPr="005D41CC">
        <w:rPr>
          <w:szCs w:val="24"/>
        </w:rPr>
        <w:tab/>
      </w:r>
      <w:r w:rsidRPr="005D41CC">
        <w:rPr>
          <w:rFonts w:eastAsiaTheme="minorHAnsi"/>
          <w:szCs w:val="24"/>
        </w:rPr>
        <w:t>Izglītības un kvalitātes valsts dienest</w:t>
      </w:r>
      <w:r w:rsidRPr="005D41CC">
        <w:rPr>
          <w:szCs w:val="24"/>
        </w:rPr>
        <w:t>s</w:t>
      </w:r>
    </w:p>
    <w:p w14:paraId="130E38B6"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IZM</w:t>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Izglītības un zinātnes ministrija</w:t>
      </w:r>
    </w:p>
    <w:p w14:paraId="23A258A3"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 xml:space="preserve">KNAB </w:t>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 xml:space="preserve">Korupcijas novēršanas un apkarošanas birojs </w:t>
      </w:r>
    </w:p>
    <w:p w14:paraId="262F39BC"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MK</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Ministru kabinets</w:t>
      </w:r>
    </w:p>
    <w:p w14:paraId="7CC6B6F0" w14:textId="77777777" w:rsidR="008E65A6" w:rsidRDefault="000E6165" w:rsidP="0026605B">
      <w:pPr>
        <w:spacing w:after="0"/>
        <w:ind w:firstLine="0"/>
        <w:rPr>
          <w:color w:val="000000" w:themeColor="text1"/>
          <w:szCs w:val="24"/>
        </w:rPr>
      </w:pPr>
      <w:r w:rsidRPr="005D41CC">
        <w:rPr>
          <w:color w:val="000000" w:themeColor="text1"/>
          <w:szCs w:val="24"/>
        </w:rPr>
        <w:t xml:space="preserve">NRP </w:t>
      </w:r>
      <w:r w:rsidRPr="005D41CC">
        <w:rPr>
          <w:color w:val="000000" w:themeColor="text1"/>
          <w:szCs w:val="24"/>
        </w:rPr>
        <w:tab/>
      </w:r>
      <w:r w:rsidRPr="005D41CC">
        <w:rPr>
          <w:color w:val="000000" w:themeColor="text1"/>
          <w:szCs w:val="24"/>
        </w:rPr>
        <w:tab/>
      </w:r>
      <w:r w:rsidR="005D41CC" w:rsidRPr="005D41CC">
        <w:rPr>
          <w:color w:val="000000" w:themeColor="text1"/>
          <w:szCs w:val="24"/>
        </w:rPr>
        <w:tab/>
      </w:r>
      <w:r w:rsidRPr="005D41CC">
        <w:rPr>
          <w:color w:val="000000" w:themeColor="text1"/>
          <w:szCs w:val="24"/>
        </w:rPr>
        <w:t>Nacion</w:t>
      </w:r>
      <w:r w:rsidR="00D61164">
        <w:rPr>
          <w:color w:val="000000" w:themeColor="text1"/>
          <w:szCs w:val="24"/>
        </w:rPr>
        <w:t>ā</w:t>
      </w:r>
      <w:r w:rsidRPr="005D41CC">
        <w:rPr>
          <w:color w:val="000000" w:themeColor="text1"/>
          <w:szCs w:val="24"/>
        </w:rPr>
        <w:t>lā reformu programma</w:t>
      </w:r>
    </w:p>
    <w:p w14:paraId="6E6506A0" w14:textId="77777777" w:rsidR="000E6165" w:rsidRPr="005D41CC" w:rsidRDefault="000E6165" w:rsidP="0026605B">
      <w:pPr>
        <w:spacing w:after="0"/>
        <w:ind w:firstLine="0"/>
        <w:rPr>
          <w:rFonts w:eastAsia="Calibri"/>
        </w:rPr>
      </w:pPr>
      <w:r w:rsidRPr="005D41CC">
        <w:rPr>
          <w:rFonts w:eastAsia="Calibri"/>
        </w:rPr>
        <w:t>PIKC</w:t>
      </w:r>
      <w:r w:rsidRPr="005D41CC">
        <w:rPr>
          <w:rFonts w:eastAsia="Calibri"/>
        </w:rPr>
        <w:tab/>
      </w:r>
      <w:r w:rsidR="005D41CC" w:rsidRPr="005D41CC">
        <w:rPr>
          <w:rFonts w:eastAsia="Calibri"/>
        </w:rPr>
        <w:tab/>
      </w:r>
      <w:r w:rsidR="005D41CC" w:rsidRPr="005D41CC">
        <w:rPr>
          <w:rFonts w:eastAsia="Calibri"/>
        </w:rPr>
        <w:tab/>
      </w:r>
      <w:r w:rsidRPr="005D41CC">
        <w:rPr>
          <w:rFonts w:eastAsia="Calibri"/>
        </w:rPr>
        <w:t>Profesionālās izglītības kompetences centrs</w:t>
      </w:r>
    </w:p>
    <w:p w14:paraId="34BC28A1"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PVN</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Pievienotās vērtības nodoklis</w:t>
      </w:r>
    </w:p>
    <w:p w14:paraId="316F6FBF"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SAM</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Specifiskā atbalsta mērķis</w:t>
      </w:r>
    </w:p>
    <w:p w14:paraId="1B1EC243"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bCs/>
          <w:color w:val="000000"/>
          <w:szCs w:val="24"/>
        </w:rPr>
        <w:t>SEG</w:t>
      </w:r>
      <w:r w:rsidRPr="005D41CC">
        <w:rPr>
          <w:rFonts w:ascii="Times New Roman" w:eastAsia="Calibri" w:hAnsi="Times New Roman"/>
          <w:bCs/>
          <w:color w:val="000000"/>
          <w:szCs w:val="24"/>
        </w:rPr>
        <w:tab/>
      </w:r>
      <w:r w:rsidR="005D41CC" w:rsidRPr="005D41CC">
        <w:rPr>
          <w:rFonts w:ascii="Times New Roman" w:eastAsia="Calibri" w:hAnsi="Times New Roman"/>
          <w:bCs/>
          <w:color w:val="000000"/>
          <w:szCs w:val="24"/>
        </w:rPr>
        <w:tab/>
      </w:r>
      <w:r w:rsidR="005D41CC" w:rsidRPr="005D41CC">
        <w:rPr>
          <w:rFonts w:ascii="Times New Roman" w:eastAsia="Calibri" w:hAnsi="Times New Roman"/>
          <w:bCs/>
          <w:color w:val="000000"/>
          <w:szCs w:val="24"/>
        </w:rPr>
        <w:tab/>
      </w:r>
      <w:r w:rsidRPr="005D41CC">
        <w:rPr>
          <w:rFonts w:ascii="Times New Roman" w:eastAsia="Calibri" w:hAnsi="Times New Roman"/>
          <w:color w:val="000000"/>
          <w:szCs w:val="24"/>
        </w:rPr>
        <w:t>Siltumnīcefekta gāzes</w:t>
      </w:r>
    </w:p>
    <w:p w14:paraId="060F4FF2" w14:textId="77777777" w:rsidR="000E6165" w:rsidRPr="005D41CC" w:rsidRDefault="000E6165" w:rsidP="000E6165">
      <w:pPr>
        <w:spacing w:after="0"/>
        <w:ind w:firstLine="0"/>
        <w:rPr>
          <w:color w:val="000000"/>
          <w:szCs w:val="24"/>
          <w:lang w:eastAsia="lv-LV"/>
        </w:rPr>
      </w:pPr>
      <w:r w:rsidRPr="008B627E">
        <w:rPr>
          <w:color w:val="000000"/>
          <w:szCs w:val="24"/>
          <w:lang w:eastAsia="lv-LV"/>
        </w:rPr>
        <w:t xml:space="preserve">SOC </w:t>
      </w:r>
      <w:r w:rsidR="005D41CC" w:rsidRPr="008B627E">
        <w:rPr>
          <w:color w:val="000000"/>
          <w:szCs w:val="24"/>
          <w:lang w:eastAsia="lv-LV"/>
        </w:rPr>
        <w:tab/>
      </w:r>
      <w:r w:rsidR="005D41CC" w:rsidRPr="008B627E">
        <w:rPr>
          <w:color w:val="000000"/>
          <w:szCs w:val="24"/>
          <w:lang w:eastAsia="lv-LV"/>
        </w:rPr>
        <w:tab/>
      </w:r>
      <w:r w:rsidR="005D41CC" w:rsidRPr="008B627E">
        <w:rPr>
          <w:color w:val="000000"/>
          <w:szCs w:val="24"/>
          <w:lang w:eastAsia="lv-LV"/>
        </w:rPr>
        <w:tab/>
        <w:t>S</w:t>
      </w:r>
      <w:r w:rsidR="008B627E" w:rsidRPr="008B627E">
        <w:rPr>
          <w:color w:val="000000"/>
          <w:szCs w:val="24"/>
          <w:lang w:eastAsia="lv-LV"/>
        </w:rPr>
        <w:t>ociālas apdrošināšanas iemaksas</w:t>
      </w:r>
    </w:p>
    <w:p w14:paraId="147AB4F5" w14:textId="77777777" w:rsidR="000E6165" w:rsidRPr="005D41CC" w:rsidRDefault="000E6165" w:rsidP="00D61164">
      <w:pPr>
        <w:pStyle w:val="teksts"/>
        <w:spacing w:after="0"/>
        <w:ind w:left="2127" w:hanging="2171"/>
        <w:rPr>
          <w:rFonts w:ascii="Times New Roman" w:eastAsia="Calibri" w:hAnsi="Times New Roman"/>
          <w:color w:val="000000"/>
          <w:szCs w:val="24"/>
        </w:rPr>
      </w:pPr>
      <w:r w:rsidRPr="005D41CC">
        <w:rPr>
          <w:rFonts w:ascii="Times New Roman" w:eastAsia="Calibri" w:hAnsi="Times New Roman"/>
          <w:color w:val="000000"/>
          <w:szCs w:val="24"/>
        </w:rPr>
        <w:t>STEM</w:t>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Zinātne, tehnoloģijas, inženierzinātnes un matemātika (</w:t>
      </w:r>
      <w:r w:rsidR="00D61164">
        <w:rPr>
          <w:rFonts w:ascii="Times New Roman" w:eastAsia="Calibri" w:hAnsi="Times New Roman"/>
          <w:i/>
          <w:color w:val="000000"/>
          <w:szCs w:val="24"/>
        </w:rPr>
        <w:t xml:space="preserve">science, </w:t>
      </w:r>
      <w:r w:rsidRPr="005D41CC">
        <w:rPr>
          <w:rFonts w:ascii="Times New Roman" w:eastAsia="Calibri" w:hAnsi="Times New Roman"/>
          <w:i/>
          <w:color w:val="000000"/>
          <w:szCs w:val="24"/>
        </w:rPr>
        <w:t>technology, engineering and mathematics</w:t>
      </w:r>
      <w:r w:rsidRPr="005D41CC">
        <w:rPr>
          <w:rFonts w:ascii="Times New Roman" w:eastAsia="Calibri" w:hAnsi="Times New Roman"/>
          <w:color w:val="000000"/>
          <w:szCs w:val="24"/>
        </w:rPr>
        <w:t>)</w:t>
      </w:r>
    </w:p>
    <w:p w14:paraId="427CDDC4"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UIN</w:t>
      </w:r>
      <w:r w:rsidRPr="005D41CC">
        <w:rPr>
          <w:rFonts w:ascii="Times New Roman" w:eastAsia="Calibri" w:hAnsi="Times New Roman"/>
          <w:color w:val="000000"/>
          <w:szCs w:val="24"/>
        </w:rPr>
        <w:tab/>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Uzņēmuma ienākumu nodoklis</w:t>
      </w:r>
    </w:p>
    <w:p w14:paraId="4B547BF9" w14:textId="77777777" w:rsidR="000E6165" w:rsidRPr="005D41CC" w:rsidRDefault="005D41CC" w:rsidP="000E6165">
      <w:pPr>
        <w:spacing w:after="0"/>
        <w:ind w:firstLine="0"/>
        <w:rPr>
          <w:szCs w:val="24"/>
        </w:rPr>
      </w:pPr>
      <w:r w:rsidRPr="005D41CC">
        <w:rPr>
          <w:szCs w:val="24"/>
        </w:rPr>
        <w:t>VAS</w:t>
      </w:r>
      <w:r w:rsidRPr="005D41CC">
        <w:rPr>
          <w:szCs w:val="24"/>
        </w:rPr>
        <w:tab/>
      </w:r>
      <w:r w:rsidRPr="005D41CC">
        <w:rPr>
          <w:szCs w:val="24"/>
        </w:rPr>
        <w:tab/>
      </w:r>
      <w:r w:rsidRPr="005D41CC">
        <w:rPr>
          <w:szCs w:val="24"/>
        </w:rPr>
        <w:tab/>
      </w:r>
      <w:r w:rsidR="000E6165" w:rsidRPr="005D41CC">
        <w:rPr>
          <w:szCs w:val="24"/>
        </w:rPr>
        <w:t>Valsts akciju sabiedrība</w:t>
      </w:r>
    </w:p>
    <w:p w14:paraId="0324DC26" w14:textId="77777777" w:rsidR="000E6165" w:rsidRPr="005D41CC" w:rsidRDefault="000E6165" w:rsidP="000E6165">
      <w:pPr>
        <w:pStyle w:val="teksts"/>
        <w:spacing w:after="0"/>
        <w:rPr>
          <w:rFonts w:ascii="Times New Roman" w:eastAsia="Calibri" w:hAnsi="Times New Roman"/>
          <w:color w:val="000000"/>
          <w:szCs w:val="24"/>
        </w:rPr>
      </w:pPr>
      <w:r w:rsidRPr="005D41CC">
        <w:rPr>
          <w:rFonts w:ascii="Times New Roman" w:eastAsia="Calibri" w:hAnsi="Times New Roman"/>
          <w:color w:val="000000"/>
          <w:szCs w:val="24"/>
        </w:rPr>
        <w:t>VTM</w:t>
      </w:r>
      <w:r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005D41CC" w:rsidRPr="005D41CC">
        <w:rPr>
          <w:rFonts w:ascii="Times New Roman" w:eastAsia="Calibri" w:hAnsi="Times New Roman"/>
          <w:color w:val="000000"/>
          <w:szCs w:val="24"/>
        </w:rPr>
        <w:tab/>
      </w:r>
      <w:r w:rsidRPr="005D41CC">
        <w:rPr>
          <w:rFonts w:ascii="Times New Roman" w:eastAsia="Calibri" w:hAnsi="Times New Roman"/>
          <w:color w:val="000000"/>
          <w:szCs w:val="24"/>
        </w:rPr>
        <w:t>Vidēja termiņa strukturālās bilances mērķis</w:t>
      </w:r>
    </w:p>
    <w:p w14:paraId="381E455E" w14:textId="77777777" w:rsidR="000E6165" w:rsidRPr="000E6165" w:rsidRDefault="000E6165" w:rsidP="00D61164">
      <w:pPr>
        <w:pStyle w:val="teksts"/>
        <w:spacing w:after="0"/>
        <w:ind w:left="2127" w:hanging="2127"/>
        <w:rPr>
          <w:rFonts w:ascii="Times New Roman" w:eastAsia="Calibri" w:hAnsi="Times New Roman"/>
          <w:color w:val="000000"/>
          <w:szCs w:val="24"/>
        </w:rPr>
      </w:pPr>
      <w:r w:rsidRPr="005D41CC">
        <w:rPr>
          <w:rFonts w:ascii="Times New Roman" w:hAnsi="Times New Roman"/>
          <w:color w:val="000000" w:themeColor="text1"/>
          <w:szCs w:val="24"/>
        </w:rPr>
        <w:t>ZTAI</w:t>
      </w:r>
      <w:r w:rsidRPr="005D41CC">
        <w:rPr>
          <w:rFonts w:ascii="Times New Roman" w:hAnsi="Times New Roman"/>
          <w:color w:val="000000" w:themeColor="text1"/>
          <w:szCs w:val="24"/>
        </w:rPr>
        <w:tab/>
      </w:r>
      <w:r w:rsidR="005D41CC" w:rsidRPr="005D41CC">
        <w:rPr>
          <w:rFonts w:ascii="Times New Roman" w:hAnsi="Times New Roman"/>
          <w:color w:val="000000" w:themeColor="text1"/>
          <w:szCs w:val="24"/>
        </w:rPr>
        <w:tab/>
      </w:r>
      <w:r w:rsidRPr="005D41CC">
        <w:rPr>
          <w:rFonts w:ascii="Times New Roman" w:hAnsi="Times New Roman"/>
          <w:color w:val="000000" w:themeColor="text1"/>
          <w:szCs w:val="24"/>
        </w:rPr>
        <w:t>Zinātnes, tehnoloģijas attīstības un inovācijas pamatnostādnes 2014.–2020.gadam</w:t>
      </w:r>
    </w:p>
    <w:p w14:paraId="7C57FD64" w14:textId="77777777" w:rsidR="00AA720B" w:rsidRDefault="00AA720B" w:rsidP="00DA2011">
      <w:pPr>
        <w:pStyle w:val="Heading1"/>
        <w:tabs>
          <w:tab w:val="left" w:pos="1276"/>
        </w:tabs>
        <w:spacing w:before="0" w:after="240"/>
        <w:jc w:val="center"/>
        <w:rPr>
          <w:rFonts w:ascii="Times New Roman" w:hAnsi="Times New Roman"/>
          <w:color w:val="18185E"/>
          <w:sz w:val="28"/>
        </w:rPr>
      </w:pPr>
    </w:p>
    <w:p w14:paraId="56A0D8CB" w14:textId="77777777" w:rsidR="00243A27" w:rsidRPr="00243A27" w:rsidRDefault="00243A27" w:rsidP="00243A27">
      <w:pPr>
        <w:rPr>
          <w:lang w:val="x-none" w:eastAsia="x-none"/>
        </w:rPr>
        <w:sectPr w:rsidR="00243A27" w:rsidRPr="00243A27" w:rsidSect="00F5071D">
          <w:headerReference w:type="default" r:id="rId49"/>
          <w:footerReference w:type="default" r:id="rId50"/>
          <w:footerReference w:type="first" r:id="rId51"/>
          <w:pgSz w:w="11906" w:h="16838"/>
          <w:pgMar w:top="1418" w:right="1134" w:bottom="1418" w:left="1701" w:header="567" w:footer="737" w:gutter="0"/>
          <w:pgNumType w:start="1"/>
          <w:cols w:space="708"/>
          <w:titlePg/>
          <w:docGrid w:linePitch="360"/>
        </w:sectPr>
      </w:pPr>
    </w:p>
    <w:p w14:paraId="73A9BA23" w14:textId="77777777" w:rsidR="001F5AEA" w:rsidRPr="006B2FB4" w:rsidRDefault="001F5AEA" w:rsidP="00DA2011">
      <w:pPr>
        <w:pStyle w:val="Heading1"/>
        <w:tabs>
          <w:tab w:val="left" w:pos="1276"/>
        </w:tabs>
        <w:spacing w:before="0" w:after="240"/>
        <w:jc w:val="center"/>
        <w:rPr>
          <w:rFonts w:ascii="Times New Roman" w:hAnsi="Times New Roman"/>
          <w:color w:val="18185E"/>
        </w:rPr>
      </w:pPr>
      <w:bookmarkStart w:id="2" w:name="_Toc1374653"/>
      <w:r w:rsidRPr="006B2FB4">
        <w:rPr>
          <w:rFonts w:ascii="Times New Roman" w:hAnsi="Times New Roman"/>
          <w:color w:val="18185E"/>
          <w:sz w:val="28"/>
        </w:rPr>
        <w:lastRenderedPageBreak/>
        <w:t>Ievads</w:t>
      </w:r>
      <w:bookmarkEnd w:id="2"/>
    </w:p>
    <w:p w14:paraId="5156BB1D" w14:textId="77777777" w:rsidR="00943313" w:rsidRDefault="00943313" w:rsidP="00943313">
      <w:pPr>
        <w:pStyle w:val="teksts"/>
        <w:spacing w:after="0"/>
        <w:ind w:firstLine="720"/>
        <w:rPr>
          <w:rFonts w:ascii="Times New Roman" w:eastAsiaTheme="minorHAnsi" w:hAnsi="Times New Roman"/>
          <w:szCs w:val="24"/>
        </w:rPr>
      </w:pPr>
      <w:r w:rsidRPr="00A72630">
        <w:rPr>
          <w:rFonts w:ascii="Times New Roman" w:eastAsiaTheme="minorHAnsi" w:hAnsi="Times New Roman"/>
          <w:szCs w:val="24"/>
        </w:rPr>
        <w:t xml:space="preserve">Latvijas Republika iesniedz precizēto Vispārējās valdības budžeta plāna projektu, ko sagatavojusi jaunā valdība, kas Saeimā tika apstiprināta </w:t>
      </w:r>
      <w:r>
        <w:rPr>
          <w:rFonts w:ascii="Times New Roman" w:hAnsi="Times New Roman"/>
          <w:szCs w:val="24"/>
        </w:rPr>
        <w:t>2019.gada 23.</w:t>
      </w:r>
      <w:r w:rsidRPr="00577622">
        <w:rPr>
          <w:rFonts w:ascii="Times New Roman" w:hAnsi="Times New Roman"/>
          <w:szCs w:val="24"/>
        </w:rPr>
        <w:t>janvārī</w:t>
      </w:r>
      <w:r w:rsidRPr="00A72630">
        <w:rPr>
          <w:rFonts w:ascii="Times New Roman" w:eastAsiaTheme="minorHAnsi" w:hAnsi="Times New Roman"/>
          <w:szCs w:val="24"/>
        </w:rPr>
        <w:t xml:space="preserve"> pēc</w:t>
      </w:r>
      <w:r>
        <w:rPr>
          <w:rFonts w:ascii="Times New Roman" w:eastAsiaTheme="minorHAnsi" w:hAnsi="Times New Roman"/>
          <w:szCs w:val="24"/>
        </w:rPr>
        <w:t xml:space="preserve"> 2018.gada 6</w:t>
      </w:r>
      <w:r w:rsidRPr="00A72630">
        <w:rPr>
          <w:rFonts w:ascii="Times New Roman" w:eastAsiaTheme="minorHAnsi" w:hAnsi="Times New Roman"/>
          <w:szCs w:val="24"/>
        </w:rPr>
        <w:t xml:space="preserve">.oktobrī notikušajām Saeimas vēlēšanām. </w:t>
      </w:r>
    </w:p>
    <w:p w14:paraId="07551EAE" w14:textId="77777777" w:rsidR="00943313" w:rsidRDefault="00943313" w:rsidP="00943313">
      <w:pPr>
        <w:pStyle w:val="teksts"/>
        <w:spacing w:after="0"/>
        <w:ind w:firstLine="720"/>
        <w:rPr>
          <w:rFonts w:ascii="Times New Roman" w:eastAsiaTheme="minorHAnsi" w:hAnsi="Times New Roman"/>
          <w:szCs w:val="24"/>
        </w:rPr>
      </w:pPr>
      <w:r w:rsidRPr="00A72630">
        <w:rPr>
          <w:rFonts w:ascii="Times New Roman" w:eastAsiaTheme="minorHAnsi" w:hAnsi="Times New Roman"/>
          <w:szCs w:val="24"/>
        </w:rPr>
        <w:t xml:space="preserve">Latvijas Republika </w:t>
      </w:r>
      <w:r>
        <w:rPr>
          <w:rFonts w:ascii="Times New Roman" w:eastAsiaTheme="minorHAnsi" w:hAnsi="Times New Roman"/>
          <w:szCs w:val="24"/>
        </w:rPr>
        <w:t xml:space="preserve">Latvijas </w:t>
      </w:r>
      <w:r w:rsidRPr="00A72630">
        <w:rPr>
          <w:rFonts w:ascii="Times New Roman" w:eastAsiaTheme="minorHAnsi" w:hAnsi="Times New Roman"/>
          <w:szCs w:val="24"/>
        </w:rPr>
        <w:t>Vispārējās valdības budžeta plāna projektu</w:t>
      </w:r>
      <w:r>
        <w:rPr>
          <w:rFonts w:ascii="Times New Roman" w:eastAsiaTheme="minorHAnsi" w:hAnsi="Times New Roman"/>
          <w:szCs w:val="24"/>
        </w:rPr>
        <w:t xml:space="preserve"> 2019.gadam pie nemainīgas politikas</w:t>
      </w:r>
      <w:r w:rsidR="000571F9" w:rsidRPr="000571F9">
        <w:rPr>
          <w:rFonts w:ascii="Times New Roman" w:eastAsiaTheme="minorHAnsi" w:hAnsi="Times New Roman"/>
          <w:szCs w:val="24"/>
        </w:rPr>
        <w:t xml:space="preserve"> </w:t>
      </w:r>
      <w:r w:rsidR="000571F9">
        <w:rPr>
          <w:rFonts w:ascii="Times New Roman" w:eastAsiaTheme="minorHAnsi" w:hAnsi="Times New Roman"/>
          <w:szCs w:val="24"/>
        </w:rPr>
        <w:t>EK</w:t>
      </w:r>
      <w:r w:rsidR="000571F9" w:rsidRPr="00A72630">
        <w:rPr>
          <w:rFonts w:ascii="Times New Roman" w:eastAsiaTheme="minorHAnsi" w:hAnsi="Times New Roman"/>
          <w:szCs w:val="24"/>
        </w:rPr>
        <w:t xml:space="preserve"> un Euro grupai</w:t>
      </w:r>
      <w:r>
        <w:rPr>
          <w:rFonts w:ascii="Times New Roman" w:eastAsiaTheme="minorHAnsi" w:hAnsi="Times New Roman"/>
          <w:szCs w:val="24"/>
        </w:rPr>
        <w:t xml:space="preserve"> iesniedza 2018</w:t>
      </w:r>
      <w:r w:rsidRPr="00A72630">
        <w:rPr>
          <w:rFonts w:ascii="Times New Roman" w:eastAsiaTheme="minorHAnsi" w:hAnsi="Times New Roman"/>
          <w:szCs w:val="24"/>
        </w:rPr>
        <w:t xml:space="preserve">.gada 15.oktobrī. </w:t>
      </w:r>
    </w:p>
    <w:p w14:paraId="6786B633" w14:textId="36A6A612" w:rsidR="00943313" w:rsidRDefault="00943313" w:rsidP="00943313">
      <w:pPr>
        <w:pStyle w:val="teksts"/>
        <w:spacing w:after="0"/>
        <w:ind w:firstLine="720"/>
        <w:rPr>
          <w:rFonts w:ascii="Times New Roman" w:eastAsiaTheme="minorHAnsi" w:hAnsi="Times New Roman"/>
          <w:szCs w:val="24"/>
        </w:rPr>
      </w:pPr>
      <w:r w:rsidRPr="00A72630">
        <w:rPr>
          <w:rFonts w:ascii="Times New Roman" w:eastAsiaTheme="minorHAnsi" w:hAnsi="Times New Roman"/>
          <w:szCs w:val="24"/>
        </w:rPr>
        <w:t>Precizētais Vispārējās valdības budžeta plāna projekts</w:t>
      </w:r>
      <w:r w:rsidR="007321C5">
        <w:rPr>
          <w:rFonts w:ascii="Times New Roman" w:eastAsiaTheme="minorHAnsi" w:hAnsi="Times New Roman"/>
          <w:szCs w:val="24"/>
        </w:rPr>
        <w:t xml:space="preserve"> 2019.</w:t>
      </w:r>
      <w:r w:rsidR="00EC628E">
        <w:rPr>
          <w:rFonts w:ascii="Times New Roman" w:eastAsiaTheme="minorHAnsi" w:hAnsi="Times New Roman"/>
          <w:szCs w:val="24"/>
        </w:rPr>
        <w:t>gadam</w:t>
      </w:r>
      <w:r w:rsidRPr="00A72630">
        <w:rPr>
          <w:rFonts w:ascii="Times New Roman" w:eastAsiaTheme="minorHAnsi" w:hAnsi="Times New Roman"/>
          <w:szCs w:val="24"/>
        </w:rPr>
        <w:t xml:space="preserve"> ir sagatavots balstoties uz to pašu makroekonomisko scenāriju, kas tika izmantots sākotnējā Vispārējās valdības budžeta plāna projektā. </w:t>
      </w:r>
      <w:r w:rsidR="000571F9">
        <w:rPr>
          <w:rFonts w:ascii="Times New Roman" w:eastAsiaTheme="minorHAnsi" w:hAnsi="Times New Roman"/>
          <w:szCs w:val="24"/>
        </w:rPr>
        <w:t>F</w:t>
      </w:r>
      <w:r>
        <w:rPr>
          <w:rFonts w:ascii="Times New Roman" w:eastAsiaTheme="minorHAnsi" w:hAnsi="Times New Roman"/>
          <w:szCs w:val="24"/>
        </w:rPr>
        <w:t xml:space="preserve">iskālais scenārijs </w:t>
      </w:r>
      <w:r w:rsidR="000571F9">
        <w:rPr>
          <w:rFonts w:ascii="Times New Roman" w:eastAsiaTheme="minorHAnsi" w:hAnsi="Times New Roman"/>
          <w:szCs w:val="24"/>
        </w:rPr>
        <w:t xml:space="preserve">ņem </w:t>
      </w:r>
      <w:r w:rsidR="007321C5">
        <w:rPr>
          <w:rFonts w:ascii="Times New Roman" w:eastAsiaTheme="minorHAnsi" w:hAnsi="Times New Roman"/>
          <w:szCs w:val="24"/>
        </w:rPr>
        <w:t>vērā no 2018.gada 15.</w:t>
      </w:r>
      <w:r w:rsidR="009A30F6">
        <w:rPr>
          <w:rFonts w:ascii="Times New Roman" w:eastAsiaTheme="minorHAnsi" w:hAnsi="Times New Roman"/>
          <w:szCs w:val="24"/>
        </w:rPr>
        <w:t>oktobra pieņemtos lēmumus, kā arī ietver ieņēmumu un izdevumu apjoma precizējumus atsevišķos pasākumos, ka</w:t>
      </w:r>
      <w:r w:rsidR="007321C5">
        <w:rPr>
          <w:rFonts w:ascii="Times New Roman" w:eastAsiaTheme="minorHAnsi" w:hAnsi="Times New Roman"/>
          <w:szCs w:val="24"/>
        </w:rPr>
        <w:t>s izriet no aktuālākajiem 2018.</w:t>
      </w:r>
      <w:r w:rsidR="009A30F6">
        <w:rPr>
          <w:rFonts w:ascii="Times New Roman" w:eastAsiaTheme="minorHAnsi" w:hAnsi="Times New Roman"/>
          <w:szCs w:val="24"/>
        </w:rPr>
        <w:t xml:space="preserve">gada izpildes datiem. </w:t>
      </w:r>
    </w:p>
    <w:p w14:paraId="3608BD30" w14:textId="77777777" w:rsidR="000F52CD" w:rsidRDefault="000F52CD" w:rsidP="00DD2655">
      <w:pPr>
        <w:pStyle w:val="teksts"/>
        <w:spacing w:before="60" w:after="60" w:line="276" w:lineRule="auto"/>
        <w:ind w:firstLine="720"/>
        <w:rPr>
          <w:rFonts w:ascii="Times New Roman" w:eastAsia="Calibri" w:hAnsi="Times New Roman"/>
          <w:color w:val="000000"/>
          <w:szCs w:val="24"/>
        </w:rPr>
      </w:pPr>
    </w:p>
    <w:p w14:paraId="084E9B2E" w14:textId="77777777" w:rsidR="0095691A" w:rsidRDefault="001F5AEA" w:rsidP="000448AD">
      <w:pPr>
        <w:pStyle w:val="Heading1"/>
        <w:tabs>
          <w:tab w:val="left" w:pos="1276"/>
        </w:tabs>
        <w:spacing w:before="0" w:after="240"/>
        <w:ind w:firstLine="0"/>
        <w:jc w:val="center"/>
        <w:rPr>
          <w:rFonts w:ascii="Times New Roman" w:hAnsi="Times New Roman"/>
          <w:color w:val="18185E"/>
          <w:sz w:val="28"/>
        </w:rPr>
      </w:pPr>
      <w:r w:rsidRPr="00976103">
        <w:rPr>
          <w:rFonts w:eastAsia="Calibri"/>
          <w:b w:val="0"/>
          <w:color w:val="000000"/>
        </w:rPr>
        <w:br w:type="page"/>
      </w:r>
      <w:bookmarkStart w:id="3" w:name="_Toc1374654"/>
      <w:r w:rsidRPr="006B2FB4">
        <w:rPr>
          <w:rFonts w:ascii="Times New Roman" w:hAnsi="Times New Roman"/>
          <w:color w:val="18185E"/>
          <w:sz w:val="28"/>
        </w:rPr>
        <w:lastRenderedPageBreak/>
        <w:t>Makroekonomiskās attīstības scenārijs</w:t>
      </w:r>
      <w:bookmarkEnd w:id="3"/>
    </w:p>
    <w:p w14:paraId="4AA3E4CA" w14:textId="77777777" w:rsidR="00FB71F0" w:rsidRDefault="00FB71F0" w:rsidP="00FB71F0">
      <w:pPr>
        <w:spacing w:after="0"/>
        <w:ind w:firstLine="720"/>
        <w:rPr>
          <w:szCs w:val="24"/>
        </w:rPr>
      </w:pPr>
      <w:r>
        <w:rPr>
          <w:szCs w:val="24"/>
        </w:rPr>
        <w:t xml:space="preserve">Lai aktualizētu </w:t>
      </w:r>
      <w:r w:rsidRPr="008547DA">
        <w:rPr>
          <w:szCs w:val="24"/>
        </w:rPr>
        <w:t>vispārējās valdības budžeta bilances prognoz</w:t>
      </w:r>
      <w:r>
        <w:rPr>
          <w:szCs w:val="24"/>
        </w:rPr>
        <w:t>es</w:t>
      </w:r>
      <w:r w:rsidRPr="008547DA">
        <w:rPr>
          <w:szCs w:val="24"/>
        </w:rPr>
        <w:t xml:space="preserve"> 2019.</w:t>
      </w:r>
      <w:r w:rsidRPr="00C622D5">
        <w:rPr>
          <w:szCs w:val="24"/>
        </w:rPr>
        <w:t>–</w:t>
      </w:r>
      <w:r w:rsidRPr="008547DA">
        <w:rPr>
          <w:szCs w:val="24"/>
        </w:rPr>
        <w:t>2021.gad</w:t>
      </w:r>
      <w:r>
        <w:rPr>
          <w:szCs w:val="24"/>
        </w:rPr>
        <w:t>am, izmantots v</w:t>
      </w:r>
      <w:r w:rsidRPr="001B334D">
        <w:rPr>
          <w:szCs w:val="24"/>
        </w:rPr>
        <w:t>idēja termiņa makroekonomisk</w:t>
      </w:r>
      <w:r>
        <w:rPr>
          <w:szCs w:val="24"/>
        </w:rPr>
        <w:t>ās attīstības scenārijs, kas izstrādāts 2018</w:t>
      </w:r>
      <w:r w:rsidRPr="001B334D">
        <w:rPr>
          <w:szCs w:val="24"/>
        </w:rPr>
        <w:t xml:space="preserve">.gada </w:t>
      </w:r>
      <w:r>
        <w:rPr>
          <w:szCs w:val="24"/>
        </w:rPr>
        <w:t>septembrī, ņemot vērā 2018</w:t>
      </w:r>
      <w:r w:rsidRPr="001B334D">
        <w:rPr>
          <w:szCs w:val="24"/>
        </w:rPr>
        <w:t xml:space="preserve">.gada </w:t>
      </w:r>
      <w:r>
        <w:rPr>
          <w:szCs w:val="24"/>
        </w:rPr>
        <w:t xml:space="preserve">pirmās puses </w:t>
      </w:r>
      <w:r w:rsidR="00515F99">
        <w:rPr>
          <w:szCs w:val="24"/>
        </w:rPr>
        <w:t>IKP</w:t>
      </w:r>
      <w:r>
        <w:rPr>
          <w:szCs w:val="24"/>
        </w:rPr>
        <w:t xml:space="preserve"> datus un līdz 2018.gada septembrim</w:t>
      </w:r>
      <w:r w:rsidRPr="001B334D">
        <w:rPr>
          <w:szCs w:val="24"/>
        </w:rPr>
        <w:t xml:space="preserve"> pieejamo īstermiņa makroekonomisko informāciju.</w:t>
      </w:r>
      <w:r w:rsidRPr="008547DA">
        <w:rPr>
          <w:szCs w:val="24"/>
        </w:rPr>
        <w:t xml:space="preserve"> </w:t>
      </w:r>
      <w:r>
        <w:rPr>
          <w:szCs w:val="24"/>
        </w:rPr>
        <w:t xml:space="preserve">Papildus tam, makroekonomiskās attīstības scenārijā iekļauts novērtējums par IKP pieauguma tempu 2018.gadā faktiskajās un salīdzināmajās cenās, kas veikts 2019.gada 30.janvārī pēc </w:t>
      </w:r>
      <w:r w:rsidR="00430175">
        <w:rPr>
          <w:szCs w:val="24"/>
        </w:rPr>
        <w:t>IKP</w:t>
      </w:r>
      <w:r>
        <w:rPr>
          <w:szCs w:val="24"/>
        </w:rPr>
        <w:t xml:space="preserve"> ātrā novērtējuma datu saņemšanas par 2018.gada ceturto ceturksni, un attiecīgi koriģētas </w:t>
      </w:r>
      <w:r w:rsidR="00430175">
        <w:rPr>
          <w:szCs w:val="24"/>
        </w:rPr>
        <w:t>IKP</w:t>
      </w:r>
      <w:r>
        <w:rPr>
          <w:szCs w:val="24"/>
        </w:rPr>
        <w:t xml:space="preserve"> prognozes faktiskajās cenās 2019.</w:t>
      </w:r>
      <w:r w:rsidRPr="00C622D5">
        <w:rPr>
          <w:szCs w:val="24"/>
        </w:rPr>
        <w:t>–</w:t>
      </w:r>
      <w:r>
        <w:rPr>
          <w:szCs w:val="24"/>
        </w:rPr>
        <w:t>2021.gadam, nemainot iepriekš prognozētos pieauguma tempus.</w:t>
      </w:r>
    </w:p>
    <w:p w14:paraId="0C8CF240" w14:textId="77777777" w:rsidR="00FB71F0" w:rsidRDefault="00FB71F0" w:rsidP="00FB71F0">
      <w:pPr>
        <w:spacing w:after="0"/>
        <w:ind w:firstLine="720"/>
        <w:rPr>
          <w:szCs w:val="24"/>
        </w:rPr>
      </w:pPr>
      <w:r>
        <w:rPr>
          <w:szCs w:val="24"/>
        </w:rPr>
        <w:t>Izstrādātās makroekonomisko rādītāju prognozes 2019.</w:t>
      </w:r>
      <w:r w:rsidRPr="00C622D5">
        <w:rPr>
          <w:szCs w:val="24"/>
        </w:rPr>
        <w:t>–</w:t>
      </w:r>
      <w:r>
        <w:rPr>
          <w:szCs w:val="24"/>
        </w:rPr>
        <w:t>2021.gadam ir</w:t>
      </w:r>
      <w:r w:rsidRPr="00FF7EC8">
        <w:rPr>
          <w:szCs w:val="24"/>
        </w:rPr>
        <w:t xml:space="preserve"> saskaņotas ar Latvija</w:t>
      </w:r>
      <w:r w:rsidR="00834ECE">
        <w:rPr>
          <w:szCs w:val="24"/>
        </w:rPr>
        <w:t>s Banku un EM</w:t>
      </w:r>
      <w:r w:rsidRPr="00FF7EC8">
        <w:rPr>
          <w:szCs w:val="24"/>
        </w:rPr>
        <w:t xml:space="preserve">, </w:t>
      </w:r>
      <w:r>
        <w:rPr>
          <w:szCs w:val="24"/>
        </w:rPr>
        <w:t xml:space="preserve">parakstot vienošanās protokolu. Prognozes 2018.gada </w:t>
      </w:r>
      <w:r w:rsidRPr="00167AE9">
        <w:rPr>
          <w:szCs w:val="24"/>
        </w:rPr>
        <w:t>4.oktobrī</w:t>
      </w:r>
      <w:r w:rsidRPr="00FF7EC8">
        <w:rPr>
          <w:szCs w:val="24"/>
        </w:rPr>
        <w:t xml:space="preserve"> ir apstiprinājusi Fiskālās disciplīnas padome</w:t>
      </w:r>
      <w:r>
        <w:rPr>
          <w:szCs w:val="24"/>
        </w:rPr>
        <w:t xml:space="preserve">. </w:t>
      </w:r>
      <w:r w:rsidRPr="00FF7EC8">
        <w:rPr>
          <w:szCs w:val="24"/>
        </w:rPr>
        <w:t xml:space="preserve">Izstrādājot prognozes, </w:t>
      </w:r>
      <w:r w:rsidR="004D69F4">
        <w:rPr>
          <w:szCs w:val="24"/>
        </w:rPr>
        <w:t>FM</w:t>
      </w:r>
      <w:r w:rsidRPr="00FF7EC8">
        <w:rPr>
          <w:szCs w:val="24"/>
        </w:rPr>
        <w:t xml:space="preserve"> ir konsultējusies ar Starptautiskā Valūtas fonda un </w:t>
      </w:r>
      <w:r w:rsidR="004D69F4">
        <w:rPr>
          <w:szCs w:val="24"/>
        </w:rPr>
        <w:t>EK</w:t>
      </w:r>
      <w:r w:rsidRPr="00FF7EC8">
        <w:rPr>
          <w:szCs w:val="24"/>
        </w:rPr>
        <w:t xml:space="preserve"> ekspertiem.</w:t>
      </w:r>
      <w:r>
        <w:rPr>
          <w:szCs w:val="24"/>
        </w:rPr>
        <w:t xml:space="preserve"> </w:t>
      </w:r>
      <w:r w:rsidRPr="008547DA">
        <w:rPr>
          <w:szCs w:val="24"/>
        </w:rPr>
        <w:t xml:space="preserve">Šā gada februārī tiks izstrādātas </w:t>
      </w:r>
      <w:r>
        <w:rPr>
          <w:szCs w:val="24"/>
        </w:rPr>
        <w:t>jaunas</w:t>
      </w:r>
      <w:r w:rsidRPr="008547DA">
        <w:rPr>
          <w:szCs w:val="24"/>
        </w:rPr>
        <w:t xml:space="preserve"> makroekonomisko rādītāju prognozes Latvijas Stabilitātes programmas 2019.</w:t>
      </w:r>
      <w:r w:rsidRPr="00C622D5">
        <w:rPr>
          <w:szCs w:val="24"/>
        </w:rPr>
        <w:t>–</w:t>
      </w:r>
      <w:r w:rsidRPr="008547DA">
        <w:rPr>
          <w:szCs w:val="24"/>
        </w:rPr>
        <w:t xml:space="preserve">2022.gadam sagatavošanai, pamatojoties uz aktuālo informāciju par IKP ātro novērtējumu 2018.gada ceturtajā ceturksnī, kuru </w:t>
      </w:r>
      <w:r w:rsidR="00AA4BB4">
        <w:rPr>
          <w:szCs w:val="24"/>
        </w:rPr>
        <w:t>CSP</w:t>
      </w:r>
      <w:r w:rsidRPr="008547DA">
        <w:rPr>
          <w:szCs w:val="24"/>
        </w:rPr>
        <w:t xml:space="preserve"> publiskoja šā gada 30.janvārī.</w:t>
      </w:r>
    </w:p>
    <w:p w14:paraId="16364510" w14:textId="77777777" w:rsidR="00FB71F0" w:rsidRDefault="00FB71F0" w:rsidP="00FB71F0">
      <w:pPr>
        <w:spacing w:after="0"/>
        <w:ind w:firstLine="720"/>
        <w:rPr>
          <w:szCs w:val="24"/>
        </w:rPr>
      </w:pPr>
      <w:r w:rsidRPr="00C622D5">
        <w:rPr>
          <w:szCs w:val="24"/>
        </w:rPr>
        <w:t>Salīdzinājumā ar Latvijas Stabilitātes programmas 2018.</w:t>
      </w:r>
      <w:r w:rsidR="00040EDF">
        <w:rPr>
          <w:szCs w:val="24"/>
        </w:rPr>
        <w:t>–2021.gadam prognozēm, kas tika</w:t>
      </w:r>
      <w:r w:rsidRPr="00C622D5">
        <w:rPr>
          <w:szCs w:val="24"/>
        </w:rPr>
        <w:t xml:space="preserve"> izstrādātas 2018.gada februārī, Latvijas </w:t>
      </w:r>
      <w:r w:rsidR="00515F99">
        <w:rPr>
          <w:szCs w:val="24"/>
        </w:rPr>
        <w:t>IKP</w:t>
      </w:r>
      <w:r w:rsidRPr="00C622D5">
        <w:rPr>
          <w:szCs w:val="24"/>
        </w:rPr>
        <w:t xml:space="preserve"> pieaugums 2018.gadā ir bijis par 0,8 procentpunktiem straujāks, bet </w:t>
      </w:r>
      <w:r>
        <w:rPr>
          <w:szCs w:val="24"/>
        </w:rPr>
        <w:t xml:space="preserve">IKP izaugsmes prognoze </w:t>
      </w:r>
      <w:r w:rsidRPr="00C622D5">
        <w:rPr>
          <w:szCs w:val="24"/>
        </w:rPr>
        <w:t>2019.gadam samazināta par 0,4 procentpunktiem līdz 3,0%</w:t>
      </w:r>
      <w:r>
        <w:rPr>
          <w:szCs w:val="24"/>
        </w:rPr>
        <w:t xml:space="preserve">. </w:t>
      </w:r>
      <w:r w:rsidRPr="00DA7118">
        <w:rPr>
          <w:szCs w:val="24"/>
        </w:rPr>
        <w:t xml:space="preserve">Tā kā IKP pieaugums 2018.gadā </w:t>
      </w:r>
      <w:r>
        <w:rPr>
          <w:szCs w:val="24"/>
        </w:rPr>
        <w:t>bija</w:t>
      </w:r>
      <w:r w:rsidRPr="00DA7118">
        <w:rPr>
          <w:szCs w:val="24"/>
        </w:rPr>
        <w:t xml:space="preserve"> saistīts ar spēcīgāku, nekā sagaidīts iepriekš, būvniecības nozares un investīciju attīstību, kā arī labvēlīgāku, nekā prognozēts, attīstību transporta un finanšu pakalpojumu nozarēs, tad ņemot vērā šos bāzes efektus, izaugsme 2019.gadā </w:t>
      </w:r>
      <w:r>
        <w:rPr>
          <w:szCs w:val="24"/>
        </w:rPr>
        <w:t>tiek sagaidīta nedaudz lēnāka</w:t>
      </w:r>
      <w:r w:rsidRPr="00DA7118">
        <w:rPr>
          <w:szCs w:val="24"/>
        </w:rPr>
        <w:t xml:space="preserve"> un izaugsmes tempus samazinās arī nedaudz mazāk labvēlīgā situācija pasaules ekonomikā.</w:t>
      </w:r>
      <w:r>
        <w:rPr>
          <w:szCs w:val="24"/>
        </w:rPr>
        <w:t xml:space="preserve"> </w:t>
      </w:r>
      <w:r w:rsidRPr="00B93C98">
        <w:rPr>
          <w:szCs w:val="24"/>
        </w:rPr>
        <w:t xml:space="preserve">Sagaidāms, ka </w:t>
      </w:r>
      <w:r>
        <w:rPr>
          <w:szCs w:val="24"/>
        </w:rPr>
        <w:t>2019.gadā</w:t>
      </w:r>
      <w:r w:rsidRPr="00B93C98">
        <w:rPr>
          <w:szCs w:val="24"/>
        </w:rPr>
        <w:t xml:space="preserve"> turpināsies investīciju pieaugu</w:t>
      </w:r>
      <w:r>
        <w:rPr>
          <w:szCs w:val="24"/>
        </w:rPr>
        <w:t>ms, kas lielā mērā saistīts ar ES fondu investīciju plūsmu, tomēr tas kļūs</w:t>
      </w:r>
      <w:r w:rsidRPr="00FF7EC8">
        <w:rPr>
          <w:szCs w:val="24"/>
        </w:rPr>
        <w:t xml:space="preserve"> mērenāk</w:t>
      </w:r>
      <w:r>
        <w:rPr>
          <w:szCs w:val="24"/>
        </w:rPr>
        <w:t>s un arī kopējie ekonomikas izaugsmes tempi 2019.</w:t>
      </w:r>
      <w:r w:rsidRPr="00C622D5">
        <w:rPr>
          <w:szCs w:val="24"/>
        </w:rPr>
        <w:t>–</w:t>
      </w:r>
      <w:r>
        <w:rPr>
          <w:szCs w:val="24"/>
        </w:rPr>
        <w:t>2021.gadā būs zemāki, stabilizējoties 3,0% līmenī, kas i</w:t>
      </w:r>
      <w:r w:rsidRPr="00B93C98">
        <w:rPr>
          <w:szCs w:val="24"/>
        </w:rPr>
        <w:t>r tuv</w:t>
      </w:r>
      <w:r>
        <w:rPr>
          <w:szCs w:val="24"/>
        </w:rPr>
        <w:t>u</w:t>
      </w:r>
      <w:r w:rsidRPr="00B93C98">
        <w:rPr>
          <w:szCs w:val="24"/>
        </w:rPr>
        <w:t xml:space="preserve"> ek</w:t>
      </w:r>
      <w:r>
        <w:rPr>
          <w:szCs w:val="24"/>
        </w:rPr>
        <w:t>onomikas izaugsmes potenciālam.</w:t>
      </w:r>
    </w:p>
    <w:p w14:paraId="3B04390D" w14:textId="77777777" w:rsidR="00FB71F0" w:rsidRDefault="00FB71F0" w:rsidP="00FB71F0">
      <w:pPr>
        <w:spacing w:after="0"/>
        <w:ind w:firstLine="720"/>
        <w:rPr>
          <w:szCs w:val="24"/>
        </w:rPr>
      </w:pPr>
      <w:r w:rsidRPr="00E615F4">
        <w:rPr>
          <w:szCs w:val="24"/>
        </w:rPr>
        <w:t>Gada vidējā inflācija 2019.gadam tiek prognozēt</w:t>
      </w:r>
      <w:r>
        <w:rPr>
          <w:szCs w:val="24"/>
        </w:rPr>
        <w:t xml:space="preserve">a 2,5% līmenī. Salīdzinājumā ar Latvijas </w:t>
      </w:r>
      <w:r w:rsidRPr="00E615F4">
        <w:rPr>
          <w:szCs w:val="24"/>
        </w:rPr>
        <w:t>Stabilitātes programmas 2018.</w:t>
      </w:r>
      <w:r w:rsidRPr="00C622D5">
        <w:rPr>
          <w:szCs w:val="24"/>
        </w:rPr>
        <w:t>–</w:t>
      </w:r>
      <w:r w:rsidRPr="00E615F4">
        <w:rPr>
          <w:szCs w:val="24"/>
        </w:rPr>
        <w:t>2021.gadam prognozēm, inflācijas</w:t>
      </w:r>
      <w:r>
        <w:rPr>
          <w:szCs w:val="24"/>
        </w:rPr>
        <w:t xml:space="preserve"> prognoze </w:t>
      </w:r>
      <w:r w:rsidRPr="00E615F4">
        <w:rPr>
          <w:szCs w:val="24"/>
        </w:rPr>
        <w:t>2019.gadam ir paaugstināta par 0,1 procentpunktu.</w:t>
      </w:r>
      <w:r>
        <w:rPr>
          <w:szCs w:val="24"/>
        </w:rPr>
        <w:t xml:space="preserve"> Ekonomikai 2018.gadā attīstoties straujāk, nekā prognozēts iepriekš, straujāks ir arī</w:t>
      </w:r>
      <w:r w:rsidRPr="007327F4">
        <w:rPr>
          <w:szCs w:val="24"/>
        </w:rPr>
        <w:t xml:space="preserve"> bezdarba līmeņa kritums. </w:t>
      </w:r>
      <w:r>
        <w:rPr>
          <w:szCs w:val="24"/>
        </w:rPr>
        <w:t>2019</w:t>
      </w:r>
      <w:r w:rsidRPr="007327F4">
        <w:rPr>
          <w:szCs w:val="24"/>
        </w:rPr>
        <w:t xml:space="preserve">.gadā vidējais bezdarba līmenis </w:t>
      </w:r>
      <w:r>
        <w:rPr>
          <w:szCs w:val="24"/>
        </w:rPr>
        <w:t xml:space="preserve">prognozēts 7,4% apmērā, kas </w:t>
      </w:r>
      <w:r w:rsidRPr="007327F4">
        <w:rPr>
          <w:szCs w:val="24"/>
        </w:rPr>
        <w:t xml:space="preserve">ir par 0,3 procentpunktiem zemāk, nekā iepriekšējās prognozēs. Attiecīgi tautsaimniecībā nodarbināto iedzīvotāju skaits augs straujāk, </w:t>
      </w:r>
      <w:r>
        <w:rPr>
          <w:szCs w:val="24"/>
        </w:rPr>
        <w:t>2019.gadā palielinoties par 0,1%.</w:t>
      </w:r>
      <w:r w:rsidRPr="00C4668F">
        <w:rPr>
          <w:szCs w:val="24"/>
        </w:rPr>
        <w:t xml:space="preserve"> </w:t>
      </w:r>
      <w:r w:rsidRPr="007327F4">
        <w:rPr>
          <w:szCs w:val="24"/>
        </w:rPr>
        <w:t xml:space="preserve">Nedaudz </w:t>
      </w:r>
      <w:r>
        <w:rPr>
          <w:szCs w:val="24"/>
        </w:rPr>
        <w:t>straujāks</w:t>
      </w:r>
      <w:r w:rsidRPr="007327F4">
        <w:rPr>
          <w:szCs w:val="24"/>
        </w:rPr>
        <w:t xml:space="preserve"> </w:t>
      </w:r>
      <w:r>
        <w:rPr>
          <w:szCs w:val="24"/>
        </w:rPr>
        <w:t>ir arī</w:t>
      </w:r>
      <w:r w:rsidRPr="007327F4">
        <w:rPr>
          <w:szCs w:val="24"/>
        </w:rPr>
        <w:t xml:space="preserve"> vid</w:t>
      </w:r>
      <w:r>
        <w:rPr>
          <w:szCs w:val="24"/>
        </w:rPr>
        <w:t>ējās darba samaksas pieaugums – 2018.gadā par 8,3% un 2019.gadā par 6,0%,</w:t>
      </w:r>
      <w:r w:rsidRPr="007327F4">
        <w:rPr>
          <w:szCs w:val="24"/>
        </w:rPr>
        <w:t xml:space="preserve"> mēneša vidējai bruto darba samaksai</w:t>
      </w:r>
      <w:r>
        <w:rPr>
          <w:szCs w:val="24"/>
        </w:rPr>
        <w:t xml:space="preserve"> 2019.gadā sasniedzot 1 063 </w:t>
      </w:r>
      <w:r w:rsidRPr="00FB71F0">
        <w:rPr>
          <w:i/>
          <w:szCs w:val="24"/>
        </w:rPr>
        <w:t>euro</w:t>
      </w:r>
      <w:r>
        <w:rPr>
          <w:szCs w:val="24"/>
        </w:rPr>
        <w:t>.</w:t>
      </w:r>
    </w:p>
    <w:p w14:paraId="2C0D7114" w14:textId="77777777" w:rsidR="00FB71F0" w:rsidRPr="00C622D5" w:rsidRDefault="00FB71F0" w:rsidP="00FB71F0">
      <w:pPr>
        <w:spacing w:after="0"/>
        <w:ind w:firstLine="720"/>
        <w:rPr>
          <w:szCs w:val="24"/>
        </w:rPr>
      </w:pPr>
      <w:r w:rsidRPr="00FD6D19">
        <w:rPr>
          <w:szCs w:val="24"/>
        </w:rPr>
        <w:t xml:space="preserve">Makroekonomiskās attīstības scenārijs balstās uz EK 2018.gada vasaras prognožu tehniskajiem pieņēmumiem par Latvijas tirdzniecības partnervalstu ekonomisko attīstību. Kopumā situācija ārējā vidē saglabājās Latvijas ekonomikas izaugsmei labvēlīga, un EK prognozes paredzēja, ka </w:t>
      </w:r>
      <w:r w:rsidR="00430175">
        <w:rPr>
          <w:szCs w:val="24"/>
        </w:rPr>
        <w:t>ES</w:t>
      </w:r>
      <w:r w:rsidRPr="00FD6D19">
        <w:rPr>
          <w:szCs w:val="24"/>
        </w:rPr>
        <w:t xml:space="preserve"> valstu IKP 2019.gadā augs par 2,0%, nedaudz palēninoties no 2017.gadā sasniegtajiem 2,4%. </w:t>
      </w:r>
      <w:r w:rsidRPr="00C622D5">
        <w:rPr>
          <w:szCs w:val="24"/>
        </w:rPr>
        <w:t>Septiņās Latvijas galvenajās ārējās tirdzniecības partnervalstīs – Lietuvā, Igaunijā, Krievijā, Vācijā, Zviedrijā, Apvienotajā Karalistē un Polijā</w:t>
      </w:r>
      <w:r w:rsidRPr="00FD6D19">
        <w:rPr>
          <w:szCs w:val="24"/>
        </w:rPr>
        <w:t xml:space="preserve"> </w:t>
      </w:r>
      <w:r w:rsidRPr="00C622D5">
        <w:rPr>
          <w:szCs w:val="24"/>
        </w:rPr>
        <w:t>–</w:t>
      </w:r>
      <w:r>
        <w:rPr>
          <w:szCs w:val="24"/>
        </w:rPr>
        <w:t xml:space="preserve"> </w:t>
      </w:r>
      <w:r w:rsidRPr="00FD6D19">
        <w:rPr>
          <w:szCs w:val="24"/>
        </w:rPr>
        <w:t>ekonomikas izaugsme kopumā tika prognozēta straujāka nekā vidēji ES, 2019.gadā veidojot 2,3%.</w:t>
      </w:r>
    </w:p>
    <w:p w14:paraId="1AB7DF70" w14:textId="77777777" w:rsidR="00FB71F0" w:rsidRDefault="00FB71F0" w:rsidP="00FB71F0">
      <w:pPr>
        <w:spacing w:after="0"/>
        <w:ind w:firstLine="720"/>
        <w:rPr>
          <w:szCs w:val="24"/>
        </w:rPr>
      </w:pPr>
      <w:r w:rsidRPr="00FD6D19">
        <w:rPr>
          <w:szCs w:val="24"/>
        </w:rPr>
        <w:t xml:space="preserve">Pasaules pieprasījuma dinamikai un ekonomikas izaugsmei labvēlīgas saglabājās arī salīdzinoši stabilās izejvielu cenas un zemās procentu likmes. Savās prognozēs FM pieņēma, ka 2019.gadā vidējā naftas cena būs 76,5 dolāri </w:t>
      </w:r>
      <w:r w:rsidRPr="00FD6D19">
        <w:rPr>
          <w:i/>
          <w:szCs w:val="24"/>
        </w:rPr>
        <w:t>Brent</w:t>
      </w:r>
      <w:r w:rsidRPr="00FD6D19">
        <w:rPr>
          <w:szCs w:val="24"/>
        </w:rPr>
        <w:t xml:space="preserve"> jēlnaftas barelu, savukārt EUR/USD kurss 2019.gadā būs 1,16. Procentu likmes joprojām tiek prognozētas stabilas un zemas, īstermiņa likmēm 2019.gadā.saglabājoties negatīv</w:t>
      </w:r>
      <w:r>
        <w:rPr>
          <w:szCs w:val="24"/>
        </w:rPr>
        <w:t>ām -0,2% apmērā.</w:t>
      </w:r>
    </w:p>
    <w:p w14:paraId="1B0396FE" w14:textId="77777777" w:rsidR="0022783B" w:rsidRDefault="0022783B" w:rsidP="00FB71F0">
      <w:pPr>
        <w:spacing w:after="0"/>
        <w:ind w:firstLine="720"/>
        <w:rPr>
          <w:szCs w:val="24"/>
        </w:rPr>
      </w:pPr>
    </w:p>
    <w:p w14:paraId="73C456CD" w14:textId="77777777" w:rsidR="00527C18" w:rsidRPr="00527C18" w:rsidRDefault="007369A9" w:rsidP="00527C18">
      <w:pPr>
        <w:pStyle w:val="Heading1"/>
        <w:tabs>
          <w:tab w:val="left" w:pos="1276"/>
        </w:tabs>
        <w:spacing w:before="0" w:after="240"/>
        <w:ind w:firstLine="0"/>
        <w:jc w:val="left"/>
        <w:rPr>
          <w:rFonts w:ascii="Times New Roman" w:hAnsi="Times New Roman"/>
          <w:color w:val="18185E"/>
          <w:sz w:val="24"/>
        </w:rPr>
      </w:pPr>
      <w:bookmarkStart w:id="4" w:name="_Toc1374655"/>
      <w:r>
        <w:rPr>
          <w:rFonts w:ascii="Times New Roman" w:hAnsi="Times New Roman"/>
          <w:color w:val="18185E"/>
          <w:sz w:val="24"/>
        </w:rPr>
        <w:lastRenderedPageBreak/>
        <w:t>Tabula 0.i)</w:t>
      </w:r>
      <w:r w:rsidR="00527C18" w:rsidRPr="00527C18">
        <w:rPr>
          <w:rFonts w:ascii="Times New Roman" w:hAnsi="Times New Roman"/>
          <w:color w:val="18185E"/>
          <w:sz w:val="24"/>
        </w:rPr>
        <w:t>. Ārējās vides pamata pieņēmumi</w:t>
      </w:r>
      <w:bookmarkEnd w:id="4"/>
    </w:p>
    <w:tbl>
      <w:tblPr>
        <w:tblStyle w:val="GridTable6Colorful-Accent11"/>
        <w:tblW w:w="9005" w:type="dxa"/>
        <w:jc w:val="center"/>
        <w:tblLayout w:type="fixed"/>
        <w:tblLook w:val="04A0" w:firstRow="1" w:lastRow="0" w:firstColumn="1" w:lastColumn="0" w:noHBand="0" w:noVBand="1"/>
      </w:tblPr>
      <w:tblGrid>
        <w:gridCol w:w="6799"/>
        <w:gridCol w:w="788"/>
        <w:gridCol w:w="709"/>
        <w:gridCol w:w="709"/>
      </w:tblGrid>
      <w:tr w:rsidR="001E2B50" w:rsidRPr="00E877ED" w14:paraId="16675469" w14:textId="77777777" w:rsidTr="001E2B5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hideMark/>
          </w:tcPr>
          <w:p w14:paraId="4E42F015" w14:textId="77777777" w:rsidR="001E2B50" w:rsidRPr="00527C18" w:rsidRDefault="001E2B50" w:rsidP="00527C18">
            <w:pPr>
              <w:spacing w:after="0"/>
              <w:ind w:firstLine="0"/>
              <w:jc w:val="left"/>
              <w:rPr>
                <w:rFonts w:ascii="Arial" w:hAnsi="Arial" w:cs="Arial"/>
                <w:color w:val="auto"/>
                <w:lang w:eastAsia="lv-LV"/>
              </w:rPr>
            </w:pPr>
            <w:r w:rsidRPr="00527C18">
              <w:rPr>
                <w:rFonts w:ascii="Arial" w:hAnsi="Arial" w:cs="Arial"/>
                <w:color w:val="auto"/>
                <w:lang w:eastAsia="lv-LV"/>
              </w:rPr>
              <w:t> </w:t>
            </w:r>
          </w:p>
        </w:tc>
        <w:tc>
          <w:tcPr>
            <w:tcW w:w="788" w:type="dxa"/>
            <w:vAlign w:val="center"/>
            <w:hideMark/>
          </w:tcPr>
          <w:p w14:paraId="790127F9" w14:textId="77777777" w:rsidR="001E2B50" w:rsidRPr="00527C18" w:rsidRDefault="001E2B50"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2017</w:t>
            </w:r>
          </w:p>
        </w:tc>
        <w:tc>
          <w:tcPr>
            <w:tcW w:w="709" w:type="dxa"/>
            <w:vAlign w:val="center"/>
            <w:hideMark/>
          </w:tcPr>
          <w:p w14:paraId="3C676D33" w14:textId="77777777" w:rsidR="001E2B50" w:rsidRPr="00527C18" w:rsidRDefault="001E2B50"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auto"/>
                <w:szCs w:val="22"/>
                <w:lang w:eastAsia="lv-LV"/>
              </w:rPr>
              <w:t>2018</w:t>
            </w:r>
          </w:p>
        </w:tc>
        <w:tc>
          <w:tcPr>
            <w:tcW w:w="709" w:type="dxa"/>
          </w:tcPr>
          <w:p w14:paraId="66D50D2D" w14:textId="77777777" w:rsidR="001E2B50" w:rsidRPr="0082565B" w:rsidRDefault="001E2B50" w:rsidP="00527C18">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sidRPr="0082565B">
              <w:rPr>
                <w:color w:val="auto"/>
                <w:szCs w:val="22"/>
                <w:lang w:eastAsia="lv-LV"/>
              </w:rPr>
              <w:t>2019</w:t>
            </w:r>
          </w:p>
        </w:tc>
      </w:tr>
      <w:tr w:rsidR="001E2B50" w:rsidRPr="00E877ED" w14:paraId="026E9B6C" w14:textId="77777777"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151E0A8D"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 xml:space="preserve">Īstermiņa procentu likme </w:t>
            </w:r>
            <w:r>
              <w:rPr>
                <w:i/>
                <w:color w:val="auto"/>
                <w:szCs w:val="22"/>
                <w:lang w:eastAsia="lv-LV"/>
              </w:rPr>
              <w:t>euro</w:t>
            </w:r>
            <w:r>
              <w:rPr>
                <w:color w:val="auto"/>
                <w:szCs w:val="22"/>
                <w:lang w:eastAsia="lv-LV"/>
              </w:rPr>
              <w:t xml:space="preserve"> </w:t>
            </w:r>
            <w:r w:rsidRPr="00527C18">
              <w:rPr>
                <w:color w:val="auto"/>
                <w:szCs w:val="22"/>
                <w:lang w:eastAsia="lv-LV"/>
              </w:rPr>
              <w:t>zonā (gada vidējā)</w:t>
            </w:r>
          </w:p>
        </w:tc>
        <w:tc>
          <w:tcPr>
            <w:tcW w:w="788" w:type="dxa"/>
            <w:vAlign w:val="center"/>
          </w:tcPr>
          <w:p w14:paraId="3C8784DC"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p>
        </w:tc>
        <w:tc>
          <w:tcPr>
            <w:tcW w:w="709" w:type="dxa"/>
            <w:vAlign w:val="center"/>
          </w:tcPr>
          <w:p w14:paraId="3600CA42"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-0,3</w:t>
            </w:r>
          </w:p>
        </w:tc>
        <w:tc>
          <w:tcPr>
            <w:tcW w:w="709" w:type="dxa"/>
            <w:vAlign w:val="center"/>
          </w:tcPr>
          <w:p w14:paraId="575C13C0"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-0,2</w:t>
            </w:r>
          </w:p>
        </w:tc>
      </w:tr>
      <w:tr w:rsidR="001E2B50" w:rsidRPr="00E877ED" w14:paraId="77A7F717" w14:textId="77777777"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84D3C93"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 xml:space="preserve">Ilgtermiņa procentu likme </w:t>
            </w:r>
            <w:r>
              <w:rPr>
                <w:i/>
                <w:color w:val="auto"/>
                <w:szCs w:val="22"/>
                <w:lang w:eastAsia="lv-LV"/>
              </w:rPr>
              <w:t>euro</w:t>
            </w:r>
            <w:r>
              <w:rPr>
                <w:color w:val="auto"/>
                <w:szCs w:val="22"/>
                <w:lang w:eastAsia="lv-LV"/>
              </w:rPr>
              <w:t xml:space="preserve"> </w:t>
            </w:r>
            <w:r w:rsidRPr="00527C18">
              <w:rPr>
                <w:color w:val="auto"/>
                <w:szCs w:val="22"/>
                <w:lang w:eastAsia="lv-LV"/>
              </w:rPr>
              <w:t>zonā (gada vidējā)</w:t>
            </w:r>
          </w:p>
        </w:tc>
        <w:tc>
          <w:tcPr>
            <w:tcW w:w="788" w:type="dxa"/>
            <w:vAlign w:val="center"/>
          </w:tcPr>
          <w:p w14:paraId="7619B209"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p>
        </w:tc>
        <w:tc>
          <w:tcPr>
            <w:tcW w:w="709" w:type="dxa"/>
            <w:vAlign w:val="center"/>
          </w:tcPr>
          <w:p w14:paraId="52D003EC"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0,5</w:t>
            </w:r>
          </w:p>
        </w:tc>
        <w:tc>
          <w:tcPr>
            <w:tcW w:w="709" w:type="dxa"/>
            <w:vAlign w:val="center"/>
          </w:tcPr>
          <w:p w14:paraId="113349EE"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0,6</w:t>
            </w:r>
          </w:p>
        </w:tc>
      </w:tr>
      <w:tr w:rsidR="001E2B50" w:rsidRPr="00E877ED" w14:paraId="37C46386" w14:textId="77777777"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1BF2013"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USD/EUR kurss (gada vidējais)</w:t>
            </w:r>
          </w:p>
        </w:tc>
        <w:tc>
          <w:tcPr>
            <w:tcW w:w="788" w:type="dxa"/>
            <w:vAlign w:val="center"/>
          </w:tcPr>
          <w:p w14:paraId="1C3E2FFA"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1,13</w:t>
            </w:r>
          </w:p>
        </w:tc>
        <w:tc>
          <w:tcPr>
            <w:tcW w:w="709" w:type="dxa"/>
            <w:vAlign w:val="center"/>
          </w:tcPr>
          <w:p w14:paraId="18C350B5"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1,19</w:t>
            </w:r>
          </w:p>
        </w:tc>
        <w:tc>
          <w:tcPr>
            <w:tcW w:w="709" w:type="dxa"/>
            <w:vAlign w:val="center"/>
          </w:tcPr>
          <w:p w14:paraId="17FBF3CB"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1,16</w:t>
            </w:r>
          </w:p>
        </w:tc>
      </w:tr>
      <w:tr w:rsidR="001E2B50" w:rsidRPr="00E877ED" w14:paraId="7E9D0B24" w14:textId="77777777"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42AEF0A"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Nominālais efektīvais maiņas kurss ES</w:t>
            </w:r>
          </w:p>
        </w:tc>
        <w:tc>
          <w:tcPr>
            <w:tcW w:w="788" w:type="dxa"/>
            <w:vAlign w:val="center"/>
          </w:tcPr>
          <w:p w14:paraId="7E21008F"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0,8</w:t>
            </w:r>
          </w:p>
        </w:tc>
        <w:tc>
          <w:tcPr>
            <w:tcW w:w="709" w:type="dxa"/>
            <w:vAlign w:val="center"/>
          </w:tcPr>
          <w:p w14:paraId="531F7B6A"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7,3</w:t>
            </w:r>
          </w:p>
        </w:tc>
        <w:tc>
          <w:tcPr>
            <w:tcW w:w="709" w:type="dxa"/>
            <w:vAlign w:val="center"/>
          </w:tcPr>
          <w:p w14:paraId="79CE68F2"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0,3</w:t>
            </w:r>
          </w:p>
        </w:tc>
      </w:tr>
      <w:tr w:rsidR="001E2B50" w:rsidRPr="00E877ED" w14:paraId="2766CDF0" w14:textId="77777777"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9C14E66"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Pasaules IKP, izņemot ES, pieaugums salīdzināmās cenās, %</w:t>
            </w:r>
          </w:p>
        </w:tc>
        <w:tc>
          <w:tcPr>
            <w:tcW w:w="788" w:type="dxa"/>
            <w:vAlign w:val="center"/>
          </w:tcPr>
          <w:p w14:paraId="37E995AB"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3,9</w:t>
            </w:r>
          </w:p>
        </w:tc>
        <w:tc>
          <w:tcPr>
            <w:tcW w:w="709" w:type="dxa"/>
            <w:vAlign w:val="center"/>
          </w:tcPr>
          <w:p w14:paraId="171F8934"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4,2</w:t>
            </w:r>
          </w:p>
        </w:tc>
        <w:tc>
          <w:tcPr>
            <w:tcW w:w="709" w:type="dxa"/>
            <w:vAlign w:val="center"/>
          </w:tcPr>
          <w:p w14:paraId="2FDF5FB1"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4,1</w:t>
            </w:r>
          </w:p>
        </w:tc>
      </w:tr>
      <w:tr w:rsidR="001E2B50" w:rsidRPr="00E877ED" w14:paraId="63D996AE" w14:textId="77777777"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DF7325A"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ES IKP pieaugums salīdzināmās cenās, %</w:t>
            </w:r>
          </w:p>
        </w:tc>
        <w:tc>
          <w:tcPr>
            <w:tcW w:w="788" w:type="dxa"/>
            <w:vAlign w:val="center"/>
          </w:tcPr>
          <w:p w14:paraId="7F536914"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2,4</w:t>
            </w:r>
          </w:p>
        </w:tc>
        <w:tc>
          <w:tcPr>
            <w:tcW w:w="709" w:type="dxa"/>
            <w:vAlign w:val="center"/>
          </w:tcPr>
          <w:p w14:paraId="3DF321EC"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2,1</w:t>
            </w:r>
          </w:p>
        </w:tc>
        <w:tc>
          <w:tcPr>
            <w:tcW w:w="709" w:type="dxa"/>
            <w:vAlign w:val="center"/>
          </w:tcPr>
          <w:p w14:paraId="336925BD"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2,0</w:t>
            </w:r>
          </w:p>
        </w:tc>
      </w:tr>
      <w:tr w:rsidR="001E2B50" w:rsidRPr="00E877ED" w14:paraId="6E22FC04" w14:textId="77777777" w:rsidTr="001E2B5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D7674F1"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Pasaules preču un pakalpojumu tirdzniecības apjomu izmaiņas ES eksporta tirgos, izslēdzot ES, %</w:t>
            </w:r>
          </w:p>
        </w:tc>
        <w:tc>
          <w:tcPr>
            <w:tcW w:w="788" w:type="dxa"/>
            <w:vAlign w:val="center"/>
          </w:tcPr>
          <w:p w14:paraId="34711253"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4,7</w:t>
            </w:r>
          </w:p>
        </w:tc>
        <w:tc>
          <w:tcPr>
            <w:tcW w:w="709" w:type="dxa"/>
            <w:vAlign w:val="center"/>
          </w:tcPr>
          <w:p w14:paraId="70D8CCA5"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4,2</w:t>
            </w:r>
          </w:p>
        </w:tc>
        <w:tc>
          <w:tcPr>
            <w:tcW w:w="709" w:type="dxa"/>
            <w:vAlign w:val="center"/>
          </w:tcPr>
          <w:p w14:paraId="482FD59E"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4,1</w:t>
            </w:r>
          </w:p>
        </w:tc>
      </w:tr>
      <w:tr w:rsidR="001E2B50" w:rsidRPr="00E877ED" w14:paraId="7CBD6141" w14:textId="77777777"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4F2B1BB0"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Pasaules preču un pakalpojumu importa apjomu izmaiņas, izslēdzot ES, %</w:t>
            </w:r>
          </w:p>
        </w:tc>
        <w:tc>
          <w:tcPr>
            <w:tcW w:w="788" w:type="dxa"/>
            <w:vAlign w:val="center"/>
          </w:tcPr>
          <w:p w14:paraId="43D2210E"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5,3</w:t>
            </w:r>
          </w:p>
        </w:tc>
        <w:tc>
          <w:tcPr>
            <w:tcW w:w="709" w:type="dxa"/>
            <w:vAlign w:val="center"/>
          </w:tcPr>
          <w:p w14:paraId="6F4AE210"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4,9</w:t>
            </w:r>
          </w:p>
        </w:tc>
        <w:tc>
          <w:tcPr>
            <w:tcW w:w="709" w:type="dxa"/>
            <w:vAlign w:val="center"/>
          </w:tcPr>
          <w:p w14:paraId="26CF60B2" w14:textId="77777777" w:rsidR="001E2B50" w:rsidRPr="003266F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3266F4">
              <w:rPr>
                <w:color w:val="000000" w:themeColor="text1"/>
                <w:szCs w:val="24"/>
              </w:rPr>
              <w:t>4,4</w:t>
            </w:r>
          </w:p>
        </w:tc>
      </w:tr>
      <w:tr w:rsidR="001E2B50" w:rsidRPr="00E877ED" w14:paraId="10B80AB9" w14:textId="77777777"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848FD97" w14:textId="77777777" w:rsidR="001E2B50" w:rsidRPr="00527C18" w:rsidRDefault="001E2B50" w:rsidP="001E2B50">
            <w:pPr>
              <w:spacing w:after="0"/>
              <w:ind w:firstLine="0"/>
              <w:jc w:val="left"/>
              <w:rPr>
                <w:color w:val="auto"/>
                <w:szCs w:val="22"/>
                <w:lang w:eastAsia="lv-LV"/>
              </w:rPr>
            </w:pPr>
            <w:r w:rsidRPr="00527C18">
              <w:rPr>
                <w:color w:val="auto"/>
                <w:szCs w:val="22"/>
                <w:lang w:eastAsia="lv-LV"/>
              </w:rPr>
              <w:t>Naftas cena (</w:t>
            </w:r>
            <w:r w:rsidRPr="00381267">
              <w:rPr>
                <w:i/>
                <w:color w:val="auto"/>
                <w:szCs w:val="22"/>
                <w:lang w:eastAsia="lv-LV"/>
              </w:rPr>
              <w:t>Brent</w:t>
            </w:r>
            <w:r w:rsidRPr="00527C18">
              <w:rPr>
                <w:color w:val="auto"/>
                <w:szCs w:val="22"/>
                <w:lang w:eastAsia="lv-LV"/>
              </w:rPr>
              <w:t>, USD par barelu)</w:t>
            </w:r>
          </w:p>
        </w:tc>
        <w:tc>
          <w:tcPr>
            <w:tcW w:w="788" w:type="dxa"/>
            <w:vAlign w:val="center"/>
          </w:tcPr>
          <w:p w14:paraId="733550CF"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54,3</w:t>
            </w:r>
          </w:p>
        </w:tc>
        <w:tc>
          <w:tcPr>
            <w:tcW w:w="709" w:type="dxa"/>
            <w:vAlign w:val="center"/>
          </w:tcPr>
          <w:p w14:paraId="5F6A15ED"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73,9</w:t>
            </w:r>
          </w:p>
        </w:tc>
        <w:tc>
          <w:tcPr>
            <w:tcW w:w="709" w:type="dxa"/>
            <w:vAlign w:val="center"/>
          </w:tcPr>
          <w:p w14:paraId="03D80157" w14:textId="77777777" w:rsidR="001E2B50" w:rsidRPr="003266F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3266F4">
              <w:rPr>
                <w:color w:val="000000" w:themeColor="text1"/>
                <w:szCs w:val="24"/>
              </w:rPr>
              <w:t>76,5</w:t>
            </w:r>
          </w:p>
        </w:tc>
      </w:tr>
    </w:tbl>
    <w:p w14:paraId="7F8023CF" w14:textId="77777777" w:rsidR="00527C18" w:rsidRPr="006F7B6D" w:rsidRDefault="00527C18" w:rsidP="002E3D3D">
      <w:pPr>
        <w:spacing w:after="0"/>
        <w:ind w:firstLine="720"/>
        <w:rPr>
          <w:szCs w:val="24"/>
        </w:rPr>
      </w:pPr>
    </w:p>
    <w:p w14:paraId="71EABCC6" w14:textId="77777777" w:rsidR="00D47730" w:rsidRDefault="00D47730">
      <w:pPr>
        <w:spacing w:after="0"/>
        <w:ind w:firstLine="0"/>
        <w:jc w:val="left"/>
        <w:rPr>
          <w:b/>
          <w:bCs/>
          <w:color w:val="18185E"/>
          <w:szCs w:val="28"/>
          <w:lang w:val="x-none" w:eastAsia="x-none"/>
        </w:rPr>
      </w:pPr>
      <w:r>
        <w:rPr>
          <w:color w:val="18185E"/>
        </w:rPr>
        <w:br w:type="page"/>
      </w:r>
    </w:p>
    <w:p w14:paraId="5558EC71" w14:textId="77777777"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5" w:name="_Toc1374656"/>
      <w:r w:rsidRPr="001D5709">
        <w:rPr>
          <w:rFonts w:ascii="Times New Roman" w:hAnsi="Times New Roman"/>
          <w:color w:val="18185E"/>
          <w:sz w:val="24"/>
        </w:rPr>
        <w:lastRenderedPageBreak/>
        <w:t>Tabula 1a: Izaugsme un ar to saistītie faktori</w:t>
      </w:r>
      <w:bookmarkEnd w:id="5"/>
    </w:p>
    <w:tbl>
      <w:tblPr>
        <w:tblStyle w:val="GridTable6Colorful-Accent11"/>
        <w:tblW w:w="8926" w:type="dxa"/>
        <w:jc w:val="center"/>
        <w:tblLayout w:type="fixed"/>
        <w:tblLook w:val="04A0" w:firstRow="1" w:lastRow="0" w:firstColumn="1" w:lastColumn="0" w:noHBand="0" w:noVBand="1"/>
      </w:tblPr>
      <w:tblGrid>
        <w:gridCol w:w="3119"/>
        <w:gridCol w:w="1417"/>
        <w:gridCol w:w="1129"/>
        <w:gridCol w:w="1134"/>
        <w:gridCol w:w="1134"/>
        <w:gridCol w:w="993"/>
      </w:tblGrid>
      <w:tr w:rsidR="001E2B50" w:rsidRPr="001B0074" w14:paraId="0F566659" w14:textId="77777777" w:rsidTr="001E2B50">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F739646" w14:textId="77777777" w:rsidR="001E2B50" w:rsidRPr="001B0074" w:rsidRDefault="001E2B50" w:rsidP="00F866B5">
            <w:pPr>
              <w:spacing w:after="0"/>
              <w:ind w:firstLineChars="100" w:firstLine="240"/>
              <w:jc w:val="left"/>
              <w:rPr>
                <w:color w:val="000000"/>
                <w:szCs w:val="24"/>
                <w:lang w:eastAsia="lv-LV"/>
              </w:rPr>
            </w:pPr>
            <w:r w:rsidRPr="001B0074">
              <w:rPr>
                <w:color w:val="000000"/>
                <w:szCs w:val="24"/>
                <w:lang w:eastAsia="lv-LV"/>
              </w:rPr>
              <w:t> </w:t>
            </w:r>
          </w:p>
        </w:tc>
        <w:tc>
          <w:tcPr>
            <w:tcW w:w="1417" w:type="dxa"/>
            <w:vAlign w:val="center"/>
            <w:hideMark/>
          </w:tcPr>
          <w:p w14:paraId="2058D280" w14:textId="77777777" w:rsidR="001E2B50" w:rsidRPr="001B0074" w:rsidRDefault="001E2B50" w:rsidP="001A117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EKS kods</w:t>
            </w:r>
          </w:p>
        </w:tc>
        <w:tc>
          <w:tcPr>
            <w:tcW w:w="1129" w:type="dxa"/>
            <w:vAlign w:val="center"/>
            <w:hideMark/>
          </w:tcPr>
          <w:p w14:paraId="0A902E87" w14:textId="77777777" w:rsidR="001E2B50" w:rsidRPr="001B0074" w:rsidRDefault="001E2B50" w:rsidP="001E2B5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1134" w:type="dxa"/>
            <w:vAlign w:val="center"/>
            <w:hideMark/>
          </w:tcPr>
          <w:p w14:paraId="5855A318" w14:textId="77777777" w:rsidR="001E2B50" w:rsidRPr="001B0074" w:rsidRDefault="001E2B50" w:rsidP="001E2B5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1134" w:type="dxa"/>
            <w:vAlign w:val="center"/>
            <w:hideMark/>
          </w:tcPr>
          <w:p w14:paraId="685EB671" w14:textId="77777777" w:rsidR="001E2B50" w:rsidRPr="001B0074" w:rsidRDefault="001E2B50" w:rsidP="001E2B5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993" w:type="dxa"/>
            <w:vAlign w:val="center"/>
            <w:hideMark/>
          </w:tcPr>
          <w:p w14:paraId="148A0E61" w14:textId="77777777" w:rsidR="001E2B50" w:rsidRPr="001B0074" w:rsidRDefault="001E2B50" w:rsidP="001E2B50">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2019</w:t>
            </w:r>
          </w:p>
        </w:tc>
      </w:tr>
      <w:tr w:rsidR="001E2B50" w:rsidRPr="001B0074" w14:paraId="3EC73220" w14:textId="77777777"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0A12646" w14:textId="77777777" w:rsidR="001E2B50" w:rsidRPr="001B0074" w:rsidRDefault="001E2B50" w:rsidP="00F866B5">
            <w:pPr>
              <w:spacing w:after="0"/>
              <w:ind w:firstLineChars="100" w:firstLine="240"/>
              <w:jc w:val="left"/>
              <w:rPr>
                <w:color w:val="000000"/>
                <w:szCs w:val="24"/>
                <w:lang w:eastAsia="lv-LV"/>
              </w:rPr>
            </w:pPr>
            <w:r w:rsidRPr="001B0074">
              <w:rPr>
                <w:color w:val="000000"/>
                <w:szCs w:val="24"/>
                <w:lang w:eastAsia="lv-LV"/>
              </w:rPr>
              <w:t> </w:t>
            </w:r>
          </w:p>
        </w:tc>
        <w:tc>
          <w:tcPr>
            <w:tcW w:w="1417" w:type="dxa"/>
            <w:vAlign w:val="center"/>
            <w:hideMark/>
          </w:tcPr>
          <w:p w14:paraId="4145F8E9" w14:textId="77777777" w:rsidR="001E2B50" w:rsidRPr="001B0074" w:rsidRDefault="001E2B50"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hideMark/>
          </w:tcPr>
          <w:p w14:paraId="346AE64D" w14:textId="77777777" w:rsidR="001E2B50" w:rsidRPr="001B0074" w:rsidRDefault="001E2B50" w:rsidP="006B2FB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3261" w:type="dxa"/>
            <w:gridSpan w:val="3"/>
            <w:hideMark/>
          </w:tcPr>
          <w:p w14:paraId="0411ED3F" w14:textId="77777777" w:rsidR="001E2B50" w:rsidRPr="001B0074" w:rsidRDefault="001E2B50" w:rsidP="0038126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1E2B50" w:rsidRPr="001B0074" w14:paraId="1B296DF1"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ADABDDA" w14:textId="77777777" w:rsidR="001E2B50" w:rsidRPr="00A76B50" w:rsidRDefault="001E2B50" w:rsidP="001E2B50">
            <w:pPr>
              <w:spacing w:after="0"/>
              <w:ind w:firstLine="0"/>
              <w:jc w:val="left"/>
              <w:rPr>
                <w:i/>
                <w:color w:val="000000"/>
                <w:szCs w:val="24"/>
                <w:lang w:eastAsia="lv-LV"/>
              </w:rPr>
            </w:pPr>
            <w:r w:rsidRPr="001B0074">
              <w:rPr>
                <w:color w:val="000000"/>
                <w:szCs w:val="24"/>
                <w:lang w:eastAsia="lv-LV"/>
              </w:rPr>
              <w:t>1. Reālais IKP</w:t>
            </w:r>
            <w:r w:rsidR="0094624B">
              <w:rPr>
                <w:color w:val="000000"/>
                <w:szCs w:val="24"/>
                <w:lang w:eastAsia="lv-LV"/>
              </w:rPr>
              <w:t>, m</w:t>
            </w:r>
            <w:r>
              <w:rPr>
                <w:color w:val="000000"/>
                <w:szCs w:val="24"/>
                <w:lang w:eastAsia="lv-LV"/>
              </w:rPr>
              <w:t xml:space="preserve">ljrd. </w:t>
            </w:r>
            <w:r>
              <w:rPr>
                <w:i/>
                <w:color w:val="000000"/>
                <w:szCs w:val="24"/>
                <w:lang w:eastAsia="lv-LV"/>
              </w:rPr>
              <w:t>euro</w:t>
            </w:r>
          </w:p>
        </w:tc>
        <w:tc>
          <w:tcPr>
            <w:tcW w:w="1417" w:type="dxa"/>
            <w:vAlign w:val="center"/>
            <w:hideMark/>
          </w:tcPr>
          <w:p w14:paraId="34B2584B"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129" w:type="dxa"/>
            <w:vAlign w:val="center"/>
          </w:tcPr>
          <w:p w14:paraId="38F21814"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22,8</w:t>
            </w:r>
          </w:p>
        </w:tc>
        <w:tc>
          <w:tcPr>
            <w:tcW w:w="1134" w:type="dxa"/>
            <w:vAlign w:val="center"/>
          </w:tcPr>
          <w:p w14:paraId="3A928125"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4,6</w:t>
            </w:r>
          </w:p>
        </w:tc>
        <w:tc>
          <w:tcPr>
            <w:tcW w:w="1134" w:type="dxa"/>
            <w:vAlign w:val="center"/>
          </w:tcPr>
          <w:p w14:paraId="21714607" w14:textId="77777777" w:rsidR="001E2B50" w:rsidRPr="001B0074" w:rsidRDefault="001E2B50" w:rsidP="00AF195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w:t>
            </w:r>
            <w:r w:rsidR="00AF195D">
              <w:rPr>
                <w:color w:val="000000"/>
              </w:rPr>
              <w:t>8</w:t>
            </w:r>
          </w:p>
        </w:tc>
        <w:tc>
          <w:tcPr>
            <w:tcW w:w="993" w:type="dxa"/>
            <w:vAlign w:val="center"/>
          </w:tcPr>
          <w:p w14:paraId="11984F5D"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3,0</w:t>
            </w:r>
          </w:p>
        </w:tc>
      </w:tr>
      <w:tr w:rsidR="001E2B50" w:rsidRPr="001B0074" w14:paraId="4812CB7E" w14:textId="77777777"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F6B7126"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no kā</w:t>
            </w:r>
          </w:p>
        </w:tc>
        <w:tc>
          <w:tcPr>
            <w:tcW w:w="1417" w:type="dxa"/>
            <w:vAlign w:val="center"/>
            <w:hideMark/>
          </w:tcPr>
          <w:p w14:paraId="77E073ED"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78CC42FB"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4F328900"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60BE9B8A"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93" w:type="dxa"/>
            <w:vAlign w:val="center"/>
          </w:tcPr>
          <w:p w14:paraId="0B61F579"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1E2B50" w:rsidRPr="001B0074" w14:paraId="433766BD" w14:textId="77777777" w:rsidTr="001E2B50">
        <w:trPr>
          <w:trHeight w:val="94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41584E1"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pieskaitāmi aprēķinātajai ietekmei no budžeta pasākumiem uz ekonomikas izaugsmi</w:t>
            </w:r>
          </w:p>
        </w:tc>
        <w:tc>
          <w:tcPr>
            <w:tcW w:w="1417" w:type="dxa"/>
            <w:vAlign w:val="center"/>
            <w:hideMark/>
          </w:tcPr>
          <w:p w14:paraId="189778FE"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0609662B"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31A13472"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1065D56E"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93" w:type="dxa"/>
            <w:vAlign w:val="center"/>
          </w:tcPr>
          <w:p w14:paraId="2DB99289"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1E2B50" w:rsidRPr="001B0074" w14:paraId="32B91D13" w14:textId="77777777"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F6D39C0"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2. Potenciālais IKP</w:t>
            </w:r>
          </w:p>
        </w:tc>
        <w:tc>
          <w:tcPr>
            <w:tcW w:w="1417" w:type="dxa"/>
            <w:vAlign w:val="center"/>
            <w:hideMark/>
          </w:tcPr>
          <w:p w14:paraId="5C4D5377"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1D87D878"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22,7</w:t>
            </w:r>
          </w:p>
        </w:tc>
        <w:tc>
          <w:tcPr>
            <w:tcW w:w="1134" w:type="dxa"/>
            <w:vAlign w:val="center"/>
          </w:tcPr>
          <w:p w14:paraId="7F883E12"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3,3</w:t>
            </w:r>
          </w:p>
        </w:tc>
        <w:tc>
          <w:tcPr>
            <w:tcW w:w="1134" w:type="dxa"/>
            <w:vAlign w:val="center"/>
          </w:tcPr>
          <w:p w14:paraId="28C22782"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3,4</w:t>
            </w:r>
          </w:p>
        </w:tc>
        <w:tc>
          <w:tcPr>
            <w:tcW w:w="993" w:type="dxa"/>
            <w:vAlign w:val="center"/>
          </w:tcPr>
          <w:p w14:paraId="3B728084"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3,4</w:t>
            </w:r>
          </w:p>
        </w:tc>
      </w:tr>
      <w:tr w:rsidR="001E2B50" w:rsidRPr="001B0074" w14:paraId="08B6383B"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29D2292"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Devums</w:t>
            </w:r>
          </w:p>
        </w:tc>
        <w:tc>
          <w:tcPr>
            <w:tcW w:w="1417" w:type="dxa"/>
            <w:vAlign w:val="center"/>
            <w:hideMark/>
          </w:tcPr>
          <w:p w14:paraId="6143E526"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04BABFCC"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0B5CA930"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7CD35320"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93" w:type="dxa"/>
            <w:vAlign w:val="center"/>
          </w:tcPr>
          <w:p w14:paraId="5228F7C6"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1E2B50" w:rsidRPr="001B0074" w14:paraId="51654755" w14:textId="77777777"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197E5FB"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Devums pot.</w:t>
            </w:r>
            <w:r w:rsidR="0094624B">
              <w:rPr>
                <w:color w:val="000000"/>
                <w:szCs w:val="24"/>
                <w:lang w:eastAsia="lv-LV"/>
              </w:rPr>
              <w:t xml:space="preserve"> </w:t>
            </w:r>
            <w:r w:rsidRPr="001B0074">
              <w:rPr>
                <w:color w:val="000000"/>
                <w:szCs w:val="24"/>
                <w:lang w:eastAsia="lv-LV"/>
              </w:rPr>
              <w:t>IKP: darba spēks</w:t>
            </w:r>
          </w:p>
        </w:tc>
        <w:tc>
          <w:tcPr>
            <w:tcW w:w="1417" w:type="dxa"/>
            <w:vAlign w:val="center"/>
            <w:hideMark/>
          </w:tcPr>
          <w:p w14:paraId="4B5EB103"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0AB9B056"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10AE8A78"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0,0</w:t>
            </w:r>
          </w:p>
        </w:tc>
        <w:tc>
          <w:tcPr>
            <w:tcW w:w="1134" w:type="dxa"/>
            <w:vAlign w:val="center"/>
          </w:tcPr>
          <w:p w14:paraId="1302CC0D"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0,0</w:t>
            </w:r>
          </w:p>
        </w:tc>
        <w:tc>
          <w:tcPr>
            <w:tcW w:w="993" w:type="dxa"/>
            <w:vAlign w:val="center"/>
          </w:tcPr>
          <w:p w14:paraId="6D5AD9E0"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0,0</w:t>
            </w:r>
          </w:p>
        </w:tc>
      </w:tr>
      <w:tr w:rsidR="001E2B50" w:rsidRPr="001B0074" w14:paraId="018A16ED"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56E6384"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Devums pot.</w:t>
            </w:r>
            <w:r w:rsidR="0094624B">
              <w:rPr>
                <w:color w:val="000000"/>
                <w:szCs w:val="24"/>
                <w:lang w:eastAsia="lv-LV"/>
              </w:rPr>
              <w:t xml:space="preserve"> </w:t>
            </w:r>
            <w:r w:rsidRPr="001B0074">
              <w:rPr>
                <w:color w:val="000000"/>
                <w:szCs w:val="24"/>
                <w:lang w:eastAsia="lv-LV"/>
              </w:rPr>
              <w:t>IKP: kapitāls</w:t>
            </w:r>
          </w:p>
        </w:tc>
        <w:tc>
          <w:tcPr>
            <w:tcW w:w="1417" w:type="dxa"/>
            <w:vAlign w:val="center"/>
            <w:hideMark/>
          </w:tcPr>
          <w:p w14:paraId="66EC9E69"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1E860BB9"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177C6910"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2,2</w:t>
            </w:r>
          </w:p>
        </w:tc>
        <w:tc>
          <w:tcPr>
            <w:tcW w:w="1134" w:type="dxa"/>
            <w:vAlign w:val="center"/>
          </w:tcPr>
          <w:p w14:paraId="1AD74EC6"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2,2</w:t>
            </w:r>
          </w:p>
        </w:tc>
        <w:tc>
          <w:tcPr>
            <w:tcW w:w="993" w:type="dxa"/>
            <w:vAlign w:val="center"/>
          </w:tcPr>
          <w:p w14:paraId="50F5D21A"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2,2</w:t>
            </w:r>
          </w:p>
        </w:tc>
      </w:tr>
      <w:tr w:rsidR="001E2B50" w:rsidRPr="001B0074" w14:paraId="3F351A9B" w14:textId="77777777" w:rsidTr="001E2B50">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99E2FA8"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Devums pot.</w:t>
            </w:r>
            <w:r w:rsidR="0094624B">
              <w:rPr>
                <w:color w:val="000000"/>
                <w:szCs w:val="24"/>
                <w:lang w:eastAsia="lv-LV"/>
              </w:rPr>
              <w:t xml:space="preserve"> </w:t>
            </w:r>
            <w:r w:rsidR="00387003">
              <w:rPr>
                <w:color w:val="000000"/>
                <w:szCs w:val="24"/>
                <w:lang w:eastAsia="lv-LV"/>
              </w:rPr>
              <w:t>IKP</w:t>
            </w:r>
            <w:r w:rsidRPr="001B0074">
              <w:rPr>
                <w:color w:val="000000"/>
                <w:szCs w:val="24"/>
                <w:lang w:eastAsia="lv-LV"/>
              </w:rPr>
              <w:t>: faktoru produktivitāte</w:t>
            </w:r>
          </w:p>
        </w:tc>
        <w:tc>
          <w:tcPr>
            <w:tcW w:w="1417" w:type="dxa"/>
            <w:vAlign w:val="center"/>
            <w:hideMark/>
          </w:tcPr>
          <w:p w14:paraId="3497044B"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208C826F"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49749B9A"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1,1</w:t>
            </w:r>
          </w:p>
        </w:tc>
        <w:tc>
          <w:tcPr>
            <w:tcW w:w="1134" w:type="dxa"/>
            <w:vAlign w:val="center"/>
          </w:tcPr>
          <w:p w14:paraId="198238C7"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1,1</w:t>
            </w:r>
          </w:p>
        </w:tc>
        <w:tc>
          <w:tcPr>
            <w:tcW w:w="993" w:type="dxa"/>
            <w:vAlign w:val="center"/>
          </w:tcPr>
          <w:p w14:paraId="33C8F393"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1,2</w:t>
            </w:r>
          </w:p>
        </w:tc>
      </w:tr>
      <w:tr w:rsidR="001E2B50" w:rsidRPr="001B0074" w14:paraId="273383DC"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34A7BBB"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3. Nominālais IKP</w:t>
            </w:r>
          </w:p>
        </w:tc>
        <w:tc>
          <w:tcPr>
            <w:tcW w:w="1417" w:type="dxa"/>
            <w:vAlign w:val="center"/>
            <w:hideMark/>
          </w:tcPr>
          <w:p w14:paraId="0B79A375"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129" w:type="dxa"/>
            <w:vAlign w:val="center"/>
          </w:tcPr>
          <w:p w14:paraId="54806FFB"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27,0</w:t>
            </w:r>
          </w:p>
        </w:tc>
        <w:tc>
          <w:tcPr>
            <w:tcW w:w="1134" w:type="dxa"/>
            <w:vAlign w:val="center"/>
          </w:tcPr>
          <w:p w14:paraId="5E54DE07"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8,0</w:t>
            </w:r>
          </w:p>
        </w:tc>
        <w:tc>
          <w:tcPr>
            <w:tcW w:w="1134" w:type="dxa"/>
            <w:vAlign w:val="center"/>
          </w:tcPr>
          <w:p w14:paraId="78D69752" w14:textId="77777777" w:rsidR="001E2B50" w:rsidRPr="001B0074" w:rsidRDefault="00AF195D"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8,0</w:t>
            </w:r>
          </w:p>
        </w:tc>
        <w:tc>
          <w:tcPr>
            <w:tcW w:w="993" w:type="dxa"/>
            <w:vAlign w:val="center"/>
          </w:tcPr>
          <w:p w14:paraId="5B780A64"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6,2</w:t>
            </w:r>
          </w:p>
        </w:tc>
      </w:tr>
      <w:tr w:rsidR="001E2B50" w:rsidRPr="001B0074" w14:paraId="2FEC854F" w14:textId="77777777"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E56471D"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Reālā IKP komponentes</w:t>
            </w:r>
          </w:p>
        </w:tc>
        <w:tc>
          <w:tcPr>
            <w:tcW w:w="1417" w:type="dxa"/>
            <w:vAlign w:val="center"/>
            <w:hideMark/>
          </w:tcPr>
          <w:p w14:paraId="4EF32C94"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62020C25"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0398D43E"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1912F81D"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93" w:type="dxa"/>
            <w:vAlign w:val="center"/>
          </w:tcPr>
          <w:p w14:paraId="07C51CBF"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1E2B50" w:rsidRPr="001B0074" w14:paraId="4E40DFEC"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FC2EAD6"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4. Privātais patēriņš</w:t>
            </w:r>
          </w:p>
        </w:tc>
        <w:tc>
          <w:tcPr>
            <w:tcW w:w="1417" w:type="dxa"/>
            <w:vAlign w:val="center"/>
            <w:hideMark/>
          </w:tcPr>
          <w:p w14:paraId="13B7E3FE"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P.3</w:t>
            </w:r>
          </w:p>
        </w:tc>
        <w:tc>
          <w:tcPr>
            <w:tcW w:w="1129" w:type="dxa"/>
            <w:vAlign w:val="center"/>
          </w:tcPr>
          <w:p w14:paraId="10B24F5C"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14,0</w:t>
            </w:r>
          </w:p>
        </w:tc>
        <w:tc>
          <w:tcPr>
            <w:tcW w:w="1134" w:type="dxa"/>
            <w:vAlign w:val="center"/>
          </w:tcPr>
          <w:p w14:paraId="239B25DC"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4,1</w:t>
            </w:r>
          </w:p>
        </w:tc>
        <w:tc>
          <w:tcPr>
            <w:tcW w:w="1134" w:type="dxa"/>
            <w:vAlign w:val="center"/>
          </w:tcPr>
          <w:p w14:paraId="12082D8F"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4,2</w:t>
            </w:r>
          </w:p>
        </w:tc>
        <w:tc>
          <w:tcPr>
            <w:tcW w:w="993" w:type="dxa"/>
            <w:vAlign w:val="center"/>
          </w:tcPr>
          <w:p w14:paraId="5EC8891C"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4,2</w:t>
            </w:r>
          </w:p>
        </w:tc>
      </w:tr>
      <w:tr w:rsidR="001E2B50" w:rsidRPr="001B0074" w14:paraId="77FD7F21" w14:textId="77777777" w:rsidTr="001E2B50">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9DB3807"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5. Valdības patēriņš</w:t>
            </w:r>
          </w:p>
        </w:tc>
        <w:tc>
          <w:tcPr>
            <w:tcW w:w="1417" w:type="dxa"/>
            <w:vAlign w:val="center"/>
            <w:hideMark/>
          </w:tcPr>
          <w:p w14:paraId="5A012F78" w14:textId="77777777" w:rsidR="001E2B50" w:rsidRPr="001B007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P.3</w:t>
            </w:r>
          </w:p>
        </w:tc>
        <w:tc>
          <w:tcPr>
            <w:tcW w:w="1129" w:type="dxa"/>
            <w:vAlign w:val="center"/>
          </w:tcPr>
          <w:p w14:paraId="7A870102"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3,9</w:t>
            </w:r>
          </w:p>
        </w:tc>
        <w:tc>
          <w:tcPr>
            <w:tcW w:w="1134" w:type="dxa"/>
            <w:vAlign w:val="center"/>
          </w:tcPr>
          <w:p w14:paraId="283E9194"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4,1</w:t>
            </w:r>
          </w:p>
        </w:tc>
        <w:tc>
          <w:tcPr>
            <w:tcW w:w="1134" w:type="dxa"/>
            <w:vAlign w:val="center"/>
          </w:tcPr>
          <w:p w14:paraId="0363AB51"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3,8</w:t>
            </w:r>
          </w:p>
        </w:tc>
        <w:tc>
          <w:tcPr>
            <w:tcW w:w="993" w:type="dxa"/>
            <w:vAlign w:val="center"/>
          </w:tcPr>
          <w:p w14:paraId="21B00005"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3,5</w:t>
            </w:r>
          </w:p>
        </w:tc>
      </w:tr>
      <w:tr w:rsidR="001E2B50" w:rsidRPr="001B0074" w14:paraId="647B8168"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303017C"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6. Bruto pamatkapitāla veidošana</w:t>
            </w:r>
          </w:p>
        </w:tc>
        <w:tc>
          <w:tcPr>
            <w:tcW w:w="1417" w:type="dxa"/>
            <w:vAlign w:val="center"/>
            <w:hideMark/>
          </w:tcPr>
          <w:p w14:paraId="355CCC7C"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P.51</w:t>
            </w:r>
          </w:p>
        </w:tc>
        <w:tc>
          <w:tcPr>
            <w:tcW w:w="1129" w:type="dxa"/>
            <w:vAlign w:val="center"/>
          </w:tcPr>
          <w:p w14:paraId="441D941A"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4,8</w:t>
            </w:r>
          </w:p>
        </w:tc>
        <w:tc>
          <w:tcPr>
            <w:tcW w:w="1134" w:type="dxa"/>
            <w:vAlign w:val="center"/>
          </w:tcPr>
          <w:p w14:paraId="3DC7883B"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13,1</w:t>
            </w:r>
          </w:p>
        </w:tc>
        <w:tc>
          <w:tcPr>
            <w:tcW w:w="1134" w:type="dxa"/>
            <w:vAlign w:val="center"/>
          </w:tcPr>
          <w:p w14:paraId="2AC210A8"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14,1</w:t>
            </w:r>
          </w:p>
        </w:tc>
        <w:tc>
          <w:tcPr>
            <w:tcW w:w="993" w:type="dxa"/>
            <w:vAlign w:val="center"/>
          </w:tcPr>
          <w:p w14:paraId="7205D2F9"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6,3</w:t>
            </w:r>
          </w:p>
        </w:tc>
      </w:tr>
      <w:tr w:rsidR="001E2B50" w:rsidRPr="001B0074" w14:paraId="14878CAB" w14:textId="77777777" w:rsidTr="001E2B5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12062CC"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7. Izmaiņas krājumos</w:t>
            </w:r>
          </w:p>
        </w:tc>
        <w:tc>
          <w:tcPr>
            <w:tcW w:w="1417" w:type="dxa"/>
            <w:vAlign w:val="center"/>
            <w:hideMark/>
          </w:tcPr>
          <w:p w14:paraId="027B1B28" w14:textId="77777777" w:rsidR="001E2B50" w:rsidRPr="001B007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129" w:type="dxa"/>
            <w:vAlign w:val="center"/>
          </w:tcPr>
          <w:p w14:paraId="47CD8880"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32FA6E78"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4C6CC583"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93" w:type="dxa"/>
            <w:vAlign w:val="center"/>
          </w:tcPr>
          <w:p w14:paraId="03E21D37"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1E2B50" w:rsidRPr="001B0074" w14:paraId="0F387852"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F2C2CC0"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8. Eksports</w:t>
            </w:r>
          </w:p>
        </w:tc>
        <w:tc>
          <w:tcPr>
            <w:tcW w:w="1417" w:type="dxa"/>
            <w:vAlign w:val="center"/>
            <w:hideMark/>
          </w:tcPr>
          <w:p w14:paraId="4CBD972B"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P.6</w:t>
            </w:r>
          </w:p>
        </w:tc>
        <w:tc>
          <w:tcPr>
            <w:tcW w:w="1129" w:type="dxa"/>
            <w:vAlign w:val="center"/>
          </w:tcPr>
          <w:p w14:paraId="205D2929"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14,5</w:t>
            </w:r>
          </w:p>
        </w:tc>
        <w:tc>
          <w:tcPr>
            <w:tcW w:w="1134" w:type="dxa"/>
            <w:vAlign w:val="center"/>
          </w:tcPr>
          <w:p w14:paraId="3100C9E2"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6,2</w:t>
            </w:r>
          </w:p>
        </w:tc>
        <w:tc>
          <w:tcPr>
            <w:tcW w:w="1134" w:type="dxa"/>
            <w:vAlign w:val="center"/>
          </w:tcPr>
          <w:p w14:paraId="064DC197"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5,0</w:t>
            </w:r>
          </w:p>
        </w:tc>
        <w:tc>
          <w:tcPr>
            <w:tcW w:w="993" w:type="dxa"/>
            <w:vAlign w:val="center"/>
          </w:tcPr>
          <w:p w14:paraId="70087334"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4,1</w:t>
            </w:r>
          </w:p>
        </w:tc>
      </w:tr>
      <w:tr w:rsidR="001E2B50" w:rsidRPr="001B0074" w14:paraId="10B0D3DB" w14:textId="77777777"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46CA0F5"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9. Imports</w:t>
            </w:r>
          </w:p>
        </w:tc>
        <w:tc>
          <w:tcPr>
            <w:tcW w:w="1417" w:type="dxa"/>
            <w:vAlign w:val="center"/>
            <w:hideMark/>
          </w:tcPr>
          <w:p w14:paraId="56678F33" w14:textId="77777777" w:rsidR="001E2B50" w:rsidRPr="001B007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P.7</w:t>
            </w:r>
          </w:p>
        </w:tc>
        <w:tc>
          <w:tcPr>
            <w:tcW w:w="1129" w:type="dxa"/>
            <w:vAlign w:val="center"/>
          </w:tcPr>
          <w:p w14:paraId="5DED7A35"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15,0</w:t>
            </w:r>
          </w:p>
        </w:tc>
        <w:tc>
          <w:tcPr>
            <w:tcW w:w="1134" w:type="dxa"/>
            <w:vAlign w:val="center"/>
          </w:tcPr>
          <w:p w14:paraId="7A76258E"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8,9</w:t>
            </w:r>
          </w:p>
        </w:tc>
        <w:tc>
          <w:tcPr>
            <w:tcW w:w="1134" w:type="dxa"/>
            <w:vAlign w:val="center"/>
          </w:tcPr>
          <w:p w14:paraId="218BC4C7"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5,7</w:t>
            </w:r>
          </w:p>
        </w:tc>
        <w:tc>
          <w:tcPr>
            <w:tcW w:w="993" w:type="dxa"/>
            <w:vAlign w:val="center"/>
          </w:tcPr>
          <w:p w14:paraId="0A08DA71"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5,5</w:t>
            </w:r>
          </w:p>
        </w:tc>
      </w:tr>
      <w:tr w:rsidR="001E2B50" w:rsidRPr="001B0074" w14:paraId="08FA312D"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ABC31E0"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Devums reālā IKP pieaugumā</w:t>
            </w:r>
          </w:p>
        </w:tc>
        <w:tc>
          <w:tcPr>
            <w:tcW w:w="1417" w:type="dxa"/>
            <w:vAlign w:val="center"/>
            <w:hideMark/>
          </w:tcPr>
          <w:p w14:paraId="50D25CDA"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3141086A"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26EC8F98"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5C4D7FD3"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93" w:type="dxa"/>
            <w:vAlign w:val="center"/>
          </w:tcPr>
          <w:p w14:paraId="242DB80B"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1E2B50" w:rsidRPr="001B0074" w14:paraId="2E612BB6" w14:textId="77777777" w:rsidTr="001E2B50">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13D4126"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10. Kopējais iekšzemes pieprasījums</w:t>
            </w:r>
          </w:p>
        </w:tc>
        <w:tc>
          <w:tcPr>
            <w:tcW w:w="1417" w:type="dxa"/>
            <w:vAlign w:val="center"/>
            <w:hideMark/>
          </w:tcPr>
          <w:p w14:paraId="25F91251"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5F407A27"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479B0F82"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6,3</w:t>
            </w:r>
          </w:p>
        </w:tc>
        <w:tc>
          <w:tcPr>
            <w:tcW w:w="1134" w:type="dxa"/>
            <w:vAlign w:val="center"/>
          </w:tcPr>
          <w:p w14:paraId="22AECE96"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4,8</w:t>
            </w:r>
          </w:p>
        </w:tc>
        <w:tc>
          <w:tcPr>
            <w:tcW w:w="993" w:type="dxa"/>
            <w:vAlign w:val="center"/>
          </w:tcPr>
          <w:p w14:paraId="27381A99"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4,1</w:t>
            </w:r>
          </w:p>
        </w:tc>
      </w:tr>
      <w:tr w:rsidR="001E2B50" w:rsidRPr="001B0074" w14:paraId="026D9A57" w14:textId="77777777" w:rsidTr="001E2B50">
        <w:trPr>
          <w:trHeight w:val="191"/>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0D6AD92"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11. Izmaiņas krājumos</w:t>
            </w:r>
          </w:p>
        </w:tc>
        <w:tc>
          <w:tcPr>
            <w:tcW w:w="1417" w:type="dxa"/>
            <w:vAlign w:val="center"/>
            <w:hideMark/>
          </w:tcPr>
          <w:p w14:paraId="26CDACAE" w14:textId="77777777" w:rsidR="001E2B50" w:rsidRPr="001B0074" w:rsidRDefault="001E2B50" w:rsidP="001E2B50">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129" w:type="dxa"/>
            <w:vAlign w:val="center"/>
          </w:tcPr>
          <w:p w14:paraId="3B66659B"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14:paraId="6254AF57"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0,5</w:t>
            </w:r>
          </w:p>
        </w:tc>
        <w:tc>
          <w:tcPr>
            <w:tcW w:w="1134" w:type="dxa"/>
            <w:vAlign w:val="center"/>
          </w:tcPr>
          <w:p w14:paraId="65D79A1C"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-1,4</w:t>
            </w:r>
          </w:p>
        </w:tc>
        <w:tc>
          <w:tcPr>
            <w:tcW w:w="993" w:type="dxa"/>
            <w:vAlign w:val="center"/>
          </w:tcPr>
          <w:p w14:paraId="1B400788" w14:textId="77777777" w:rsidR="001E2B50" w:rsidRPr="001B0074" w:rsidRDefault="001E2B50" w:rsidP="001E2B50">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-0,6</w:t>
            </w:r>
          </w:p>
        </w:tc>
      </w:tr>
      <w:tr w:rsidR="001E2B50" w:rsidRPr="001B0074" w14:paraId="79719DDE" w14:textId="77777777" w:rsidTr="001E2B50">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1C6BC58" w14:textId="77777777" w:rsidR="001E2B50" w:rsidRPr="001B0074" w:rsidRDefault="001E2B50" w:rsidP="001E2B50">
            <w:pPr>
              <w:spacing w:after="0"/>
              <w:ind w:firstLine="0"/>
              <w:jc w:val="left"/>
              <w:rPr>
                <w:color w:val="000000"/>
                <w:szCs w:val="24"/>
                <w:lang w:eastAsia="lv-LV"/>
              </w:rPr>
            </w:pPr>
            <w:r w:rsidRPr="001B0074">
              <w:rPr>
                <w:color w:val="000000"/>
                <w:szCs w:val="24"/>
                <w:lang w:eastAsia="lv-LV"/>
              </w:rPr>
              <w:t>12. Preču un pakalpojumu tirdzniecības bilance</w:t>
            </w:r>
          </w:p>
        </w:tc>
        <w:tc>
          <w:tcPr>
            <w:tcW w:w="1417" w:type="dxa"/>
            <w:vAlign w:val="center"/>
            <w:hideMark/>
          </w:tcPr>
          <w:p w14:paraId="0034536B" w14:textId="77777777" w:rsidR="001E2B50" w:rsidRPr="001B0074" w:rsidRDefault="001E2B50" w:rsidP="001E2B50">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B.11</w:t>
            </w:r>
          </w:p>
        </w:tc>
        <w:tc>
          <w:tcPr>
            <w:tcW w:w="1129" w:type="dxa"/>
            <w:vAlign w:val="center"/>
          </w:tcPr>
          <w:p w14:paraId="7270D302"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14:paraId="6D5BFB32"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-1,7</w:t>
            </w:r>
          </w:p>
        </w:tc>
        <w:tc>
          <w:tcPr>
            <w:tcW w:w="1134" w:type="dxa"/>
            <w:vAlign w:val="center"/>
          </w:tcPr>
          <w:p w14:paraId="7CC0A4F9"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-0,6</w:t>
            </w:r>
          </w:p>
        </w:tc>
        <w:tc>
          <w:tcPr>
            <w:tcW w:w="993" w:type="dxa"/>
            <w:vAlign w:val="center"/>
          </w:tcPr>
          <w:p w14:paraId="0585CF62" w14:textId="77777777" w:rsidR="001E2B50" w:rsidRPr="001B0074" w:rsidRDefault="001E2B50" w:rsidP="001E2B50">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-1,1</w:t>
            </w:r>
          </w:p>
        </w:tc>
      </w:tr>
    </w:tbl>
    <w:p w14:paraId="16C2417E" w14:textId="77777777" w:rsidR="00C32D1D" w:rsidRPr="00976103" w:rsidRDefault="00C32D1D" w:rsidP="00C32D1D">
      <w:pPr>
        <w:ind w:firstLine="0"/>
        <w:jc w:val="left"/>
        <w:rPr>
          <w:szCs w:val="24"/>
        </w:rPr>
      </w:pPr>
    </w:p>
    <w:p w14:paraId="35572B5B" w14:textId="77777777" w:rsidR="00C32D1D" w:rsidRPr="00976103" w:rsidRDefault="00C32D1D" w:rsidP="00C32D1D">
      <w:pPr>
        <w:pStyle w:val="Heading1"/>
        <w:tabs>
          <w:tab w:val="left" w:pos="1276"/>
        </w:tabs>
        <w:spacing w:before="0" w:after="240"/>
        <w:ind w:firstLine="0"/>
        <w:jc w:val="left"/>
        <w:rPr>
          <w:rFonts w:ascii="Times New Roman" w:hAnsi="Times New Roman"/>
        </w:rPr>
      </w:pPr>
      <w:r w:rsidRPr="00976103">
        <w:rPr>
          <w:b w:val="0"/>
        </w:rPr>
        <w:br w:type="page"/>
      </w:r>
      <w:bookmarkStart w:id="6" w:name="_Toc1374657"/>
      <w:r w:rsidRPr="001D5709">
        <w:rPr>
          <w:rFonts w:ascii="Times New Roman" w:hAnsi="Times New Roman"/>
          <w:color w:val="18185E"/>
          <w:sz w:val="24"/>
        </w:rPr>
        <w:lastRenderedPageBreak/>
        <w:t>Tabula 1b: Patēriņa cenu izmaiņas</w:t>
      </w:r>
      <w:bookmarkEnd w:id="6"/>
    </w:p>
    <w:tbl>
      <w:tblPr>
        <w:tblStyle w:val="GridTable6Colorful-Accent11"/>
        <w:tblW w:w="8926" w:type="dxa"/>
        <w:jc w:val="center"/>
        <w:tblLayout w:type="fixed"/>
        <w:tblLook w:val="04A0" w:firstRow="1" w:lastRow="0" w:firstColumn="1" w:lastColumn="0" w:noHBand="0" w:noVBand="1"/>
      </w:tblPr>
      <w:tblGrid>
        <w:gridCol w:w="3644"/>
        <w:gridCol w:w="1298"/>
        <w:gridCol w:w="1056"/>
        <w:gridCol w:w="943"/>
        <w:gridCol w:w="992"/>
        <w:gridCol w:w="993"/>
      </w:tblGrid>
      <w:tr w:rsidR="00687919" w:rsidRPr="001B0074" w14:paraId="0F97BF1A" w14:textId="77777777" w:rsidTr="00687919">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C271ED1" w14:textId="77777777" w:rsidR="00687919" w:rsidRPr="001B0074" w:rsidRDefault="00687919" w:rsidP="00E254F1">
            <w:pPr>
              <w:spacing w:after="0"/>
              <w:ind w:firstLineChars="100" w:firstLine="240"/>
              <w:jc w:val="center"/>
              <w:rPr>
                <w:b w:val="0"/>
                <w:color w:val="000000"/>
                <w:szCs w:val="24"/>
                <w:lang w:eastAsia="lv-LV"/>
              </w:rPr>
            </w:pPr>
          </w:p>
        </w:tc>
        <w:tc>
          <w:tcPr>
            <w:tcW w:w="1298" w:type="dxa"/>
            <w:vAlign w:val="center"/>
            <w:hideMark/>
          </w:tcPr>
          <w:p w14:paraId="33D6332F" w14:textId="77777777" w:rsidR="00687919" w:rsidRPr="001B0074" w:rsidRDefault="00687919"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EKS kods</w:t>
            </w:r>
          </w:p>
        </w:tc>
        <w:tc>
          <w:tcPr>
            <w:tcW w:w="1056" w:type="dxa"/>
            <w:vAlign w:val="center"/>
            <w:hideMark/>
          </w:tcPr>
          <w:p w14:paraId="3B766445" w14:textId="77777777" w:rsidR="00687919" w:rsidRPr="001B0074"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943" w:type="dxa"/>
            <w:vAlign w:val="center"/>
            <w:hideMark/>
          </w:tcPr>
          <w:p w14:paraId="47F18EDF" w14:textId="77777777" w:rsidR="00687919" w:rsidRPr="001B0074"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992" w:type="dxa"/>
            <w:vAlign w:val="center"/>
            <w:hideMark/>
          </w:tcPr>
          <w:p w14:paraId="1902D8C1" w14:textId="77777777" w:rsidR="00687919" w:rsidRPr="001B0074"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993" w:type="dxa"/>
            <w:vAlign w:val="center"/>
            <w:hideMark/>
          </w:tcPr>
          <w:p w14:paraId="1D42327E" w14:textId="77777777" w:rsidR="00687919" w:rsidRPr="001B0074"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2019</w:t>
            </w:r>
          </w:p>
        </w:tc>
      </w:tr>
      <w:tr w:rsidR="00687919" w:rsidRPr="001B0074" w14:paraId="69FE7D71" w14:textId="77777777" w:rsidTr="0068791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4B8B0C2E" w14:textId="77777777" w:rsidR="00687919" w:rsidRPr="001B0074" w:rsidRDefault="00687919" w:rsidP="00F866B5">
            <w:pPr>
              <w:spacing w:after="0"/>
              <w:ind w:firstLineChars="100" w:firstLine="240"/>
              <w:jc w:val="right"/>
              <w:rPr>
                <w:color w:val="000000"/>
                <w:szCs w:val="24"/>
                <w:lang w:eastAsia="lv-LV"/>
              </w:rPr>
            </w:pPr>
            <w:r w:rsidRPr="001B0074">
              <w:rPr>
                <w:color w:val="000000"/>
                <w:szCs w:val="24"/>
                <w:lang w:eastAsia="lv-LV"/>
              </w:rPr>
              <w:t> </w:t>
            </w:r>
          </w:p>
        </w:tc>
        <w:tc>
          <w:tcPr>
            <w:tcW w:w="1298" w:type="dxa"/>
            <w:vAlign w:val="center"/>
            <w:hideMark/>
          </w:tcPr>
          <w:p w14:paraId="305F2258" w14:textId="77777777" w:rsidR="00687919" w:rsidRPr="001B0074"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56" w:type="dxa"/>
            <w:vAlign w:val="center"/>
            <w:hideMark/>
          </w:tcPr>
          <w:p w14:paraId="4CB55772" w14:textId="77777777" w:rsidR="00687919" w:rsidRPr="001B0074"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2928" w:type="dxa"/>
            <w:gridSpan w:val="3"/>
            <w:vAlign w:val="center"/>
            <w:hideMark/>
          </w:tcPr>
          <w:p w14:paraId="63E88335" w14:textId="77777777" w:rsidR="00687919" w:rsidRPr="001B0074"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687919" w:rsidRPr="001B0074" w14:paraId="756D2E4E" w14:textId="77777777"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31F352F"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1. IKP deflators</w:t>
            </w:r>
          </w:p>
        </w:tc>
        <w:tc>
          <w:tcPr>
            <w:tcW w:w="1298" w:type="dxa"/>
            <w:hideMark/>
          </w:tcPr>
          <w:p w14:paraId="3F4843CF"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25E4014"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04CD1DFB"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3,2</w:t>
            </w:r>
          </w:p>
        </w:tc>
        <w:tc>
          <w:tcPr>
            <w:tcW w:w="992" w:type="dxa"/>
            <w:vAlign w:val="center"/>
          </w:tcPr>
          <w:p w14:paraId="4C03CA13"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3,1</w:t>
            </w:r>
          </w:p>
        </w:tc>
        <w:tc>
          <w:tcPr>
            <w:tcW w:w="993" w:type="dxa"/>
            <w:vAlign w:val="center"/>
          </w:tcPr>
          <w:p w14:paraId="486C14F7"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3,1</w:t>
            </w:r>
          </w:p>
        </w:tc>
      </w:tr>
      <w:tr w:rsidR="00687919" w:rsidRPr="001B0074" w14:paraId="334C888D" w14:textId="77777777" w:rsidTr="0068791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789659B9"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2. Privātā patēriņa deflators</w:t>
            </w:r>
          </w:p>
        </w:tc>
        <w:tc>
          <w:tcPr>
            <w:tcW w:w="1298" w:type="dxa"/>
            <w:hideMark/>
          </w:tcPr>
          <w:p w14:paraId="3AFD03EC" w14:textId="77777777"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178C3600" w14:textId="77777777"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14:paraId="7900597D" w14:textId="77777777"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3,1</w:t>
            </w:r>
          </w:p>
        </w:tc>
        <w:tc>
          <w:tcPr>
            <w:tcW w:w="992" w:type="dxa"/>
            <w:vAlign w:val="center"/>
          </w:tcPr>
          <w:p w14:paraId="1D761928" w14:textId="77777777"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2,5</w:t>
            </w:r>
          </w:p>
        </w:tc>
        <w:tc>
          <w:tcPr>
            <w:tcW w:w="993" w:type="dxa"/>
            <w:vAlign w:val="center"/>
          </w:tcPr>
          <w:p w14:paraId="56AFDA0A" w14:textId="77777777"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2,5</w:t>
            </w:r>
          </w:p>
        </w:tc>
      </w:tr>
      <w:tr w:rsidR="00687919" w:rsidRPr="001B0074" w14:paraId="5C5E9D54" w14:textId="77777777"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1A1F57AD" w14:textId="77777777" w:rsidR="00687919" w:rsidRPr="001B0074" w:rsidRDefault="00687919" w:rsidP="00515F99">
            <w:pPr>
              <w:spacing w:after="0"/>
              <w:ind w:firstLine="0"/>
              <w:jc w:val="left"/>
              <w:rPr>
                <w:color w:val="000000"/>
                <w:szCs w:val="24"/>
                <w:lang w:eastAsia="lv-LV"/>
              </w:rPr>
            </w:pPr>
            <w:r w:rsidRPr="001B0074">
              <w:rPr>
                <w:color w:val="000000"/>
                <w:szCs w:val="24"/>
                <w:lang w:eastAsia="lv-LV"/>
              </w:rPr>
              <w:t xml:space="preserve">3. </w:t>
            </w:r>
            <w:r w:rsidR="00412152" w:rsidRPr="005D41CC">
              <w:rPr>
                <w:color w:val="000000"/>
                <w:szCs w:val="24"/>
                <w:lang w:eastAsia="lv-LV"/>
              </w:rPr>
              <w:t>Saskaņotā patēriņa cenu indekss</w:t>
            </w:r>
          </w:p>
        </w:tc>
        <w:tc>
          <w:tcPr>
            <w:tcW w:w="1298" w:type="dxa"/>
            <w:hideMark/>
          </w:tcPr>
          <w:p w14:paraId="3F734224"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43BD450E"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4F0F0C17"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2,9</w:t>
            </w:r>
          </w:p>
        </w:tc>
        <w:tc>
          <w:tcPr>
            <w:tcW w:w="992" w:type="dxa"/>
            <w:vAlign w:val="center"/>
          </w:tcPr>
          <w:p w14:paraId="0F4FBEAD"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2,5</w:t>
            </w:r>
          </w:p>
        </w:tc>
        <w:tc>
          <w:tcPr>
            <w:tcW w:w="993" w:type="dxa"/>
            <w:vAlign w:val="center"/>
          </w:tcPr>
          <w:p w14:paraId="0152B10B"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2,5</w:t>
            </w:r>
          </w:p>
        </w:tc>
      </w:tr>
      <w:tr w:rsidR="00687919" w:rsidRPr="001B0074" w14:paraId="4038C066" w14:textId="77777777" w:rsidTr="0068791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34C69169"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4. Valdības patēriņa deflators</w:t>
            </w:r>
          </w:p>
        </w:tc>
        <w:tc>
          <w:tcPr>
            <w:tcW w:w="1298" w:type="dxa"/>
            <w:hideMark/>
          </w:tcPr>
          <w:p w14:paraId="40C52BAE" w14:textId="77777777"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67299770" w14:textId="77777777"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14:paraId="41A38CBD" w14:textId="77777777"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2,9</w:t>
            </w:r>
          </w:p>
        </w:tc>
        <w:tc>
          <w:tcPr>
            <w:tcW w:w="992" w:type="dxa"/>
            <w:vAlign w:val="center"/>
          </w:tcPr>
          <w:p w14:paraId="3A5AFB76" w14:textId="77777777"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4,1</w:t>
            </w:r>
          </w:p>
        </w:tc>
        <w:tc>
          <w:tcPr>
            <w:tcW w:w="993" w:type="dxa"/>
            <w:vAlign w:val="center"/>
          </w:tcPr>
          <w:p w14:paraId="4F6DBEAD" w14:textId="77777777"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2,9</w:t>
            </w:r>
          </w:p>
        </w:tc>
      </w:tr>
      <w:tr w:rsidR="00687919" w:rsidRPr="001B0074" w14:paraId="17B88088" w14:textId="77777777"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C39E2D1"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5. Investīciju deflators</w:t>
            </w:r>
          </w:p>
        </w:tc>
        <w:tc>
          <w:tcPr>
            <w:tcW w:w="1298" w:type="dxa"/>
            <w:hideMark/>
          </w:tcPr>
          <w:p w14:paraId="33BF5CFE"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4F5F59C9"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180441DF"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1,7</w:t>
            </w:r>
          </w:p>
        </w:tc>
        <w:tc>
          <w:tcPr>
            <w:tcW w:w="992" w:type="dxa"/>
            <w:vAlign w:val="center"/>
          </w:tcPr>
          <w:p w14:paraId="765FD748"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2,7</w:t>
            </w:r>
          </w:p>
        </w:tc>
        <w:tc>
          <w:tcPr>
            <w:tcW w:w="993" w:type="dxa"/>
            <w:vAlign w:val="center"/>
          </w:tcPr>
          <w:p w14:paraId="55D2EC1A"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2,2</w:t>
            </w:r>
          </w:p>
        </w:tc>
      </w:tr>
      <w:tr w:rsidR="00687919" w:rsidRPr="001B0074" w14:paraId="15E71A17" w14:textId="77777777" w:rsidTr="00687919">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1C27A824"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6. Eksporta cenu deflators</w:t>
            </w:r>
          </w:p>
        </w:tc>
        <w:tc>
          <w:tcPr>
            <w:tcW w:w="1298" w:type="dxa"/>
            <w:hideMark/>
          </w:tcPr>
          <w:p w14:paraId="386A328A" w14:textId="77777777"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D219A38" w14:textId="77777777" w:rsidR="00687919" w:rsidRPr="001B0074" w:rsidRDefault="00687919" w:rsidP="00687919">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14:paraId="6D26381F" w14:textId="77777777"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3,5</w:t>
            </w:r>
          </w:p>
        </w:tc>
        <w:tc>
          <w:tcPr>
            <w:tcW w:w="992" w:type="dxa"/>
            <w:vAlign w:val="center"/>
          </w:tcPr>
          <w:p w14:paraId="6E43FF09" w14:textId="77777777"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3,2</w:t>
            </w:r>
          </w:p>
        </w:tc>
        <w:tc>
          <w:tcPr>
            <w:tcW w:w="993" w:type="dxa"/>
            <w:vAlign w:val="center"/>
          </w:tcPr>
          <w:p w14:paraId="419BED30" w14:textId="77777777" w:rsidR="00687919" w:rsidRPr="001B0074"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3,1</w:t>
            </w:r>
          </w:p>
        </w:tc>
      </w:tr>
      <w:tr w:rsidR="00687919" w:rsidRPr="001B0074" w14:paraId="1C4432B1" w14:textId="77777777" w:rsidTr="00687919">
        <w:trPr>
          <w:trHeight w:val="317"/>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DE09B0D" w14:textId="77777777" w:rsidR="00687919" w:rsidRPr="001B0074" w:rsidRDefault="00687919" w:rsidP="00687919">
            <w:pPr>
              <w:spacing w:after="0"/>
              <w:ind w:firstLine="0"/>
              <w:jc w:val="left"/>
              <w:rPr>
                <w:color w:val="000000"/>
                <w:szCs w:val="24"/>
                <w:lang w:eastAsia="lv-LV"/>
              </w:rPr>
            </w:pPr>
            <w:r w:rsidRPr="001B0074">
              <w:rPr>
                <w:color w:val="000000"/>
                <w:szCs w:val="24"/>
                <w:lang w:eastAsia="lv-LV"/>
              </w:rPr>
              <w:t>7. Importa cenu deflators</w:t>
            </w:r>
          </w:p>
        </w:tc>
        <w:tc>
          <w:tcPr>
            <w:tcW w:w="1298" w:type="dxa"/>
            <w:hideMark/>
          </w:tcPr>
          <w:p w14:paraId="0CA9327E"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202CD69" w14:textId="77777777" w:rsidR="00687919" w:rsidRPr="001B0074"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508F137B"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2,8</w:t>
            </w:r>
          </w:p>
        </w:tc>
        <w:tc>
          <w:tcPr>
            <w:tcW w:w="992" w:type="dxa"/>
            <w:vAlign w:val="center"/>
          </w:tcPr>
          <w:p w14:paraId="1BEB2376"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1,5</w:t>
            </w:r>
          </w:p>
        </w:tc>
        <w:tc>
          <w:tcPr>
            <w:tcW w:w="993" w:type="dxa"/>
            <w:vAlign w:val="center"/>
          </w:tcPr>
          <w:p w14:paraId="26BC2E2D" w14:textId="77777777" w:rsidR="00687919" w:rsidRPr="001B0074"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2,5</w:t>
            </w:r>
          </w:p>
        </w:tc>
      </w:tr>
    </w:tbl>
    <w:p w14:paraId="7F596892" w14:textId="77777777" w:rsidR="00C32D1D" w:rsidRPr="00976103" w:rsidRDefault="00C32D1D" w:rsidP="00C32D1D">
      <w:pPr>
        <w:ind w:firstLine="0"/>
        <w:jc w:val="left"/>
        <w:rPr>
          <w:szCs w:val="24"/>
        </w:rPr>
      </w:pPr>
    </w:p>
    <w:p w14:paraId="240D92B1" w14:textId="77777777" w:rsidR="00C32D1D" w:rsidRPr="00976103" w:rsidRDefault="00C32D1D" w:rsidP="00C32D1D">
      <w:pPr>
        <w:ind w:firstLine="0"/>
        <w:jc w:val="left"/>
        <w:rPr>
          <w:b/>
          <w:szCs w:val="24"/>
        </w:rPr>
      </w:pPr>
    </w:p>
    <w:p w14:paraId="37C14846" w14:textId="77777777"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7" w:name="_Toc1374658"/>
      <w:r w:rsidRPr="001D5709">
        <w:rPr>
          <w:rFonts w:ascii="Times New Roman" w:hAnsi="Times New Roman"/>
          <w:color w:val="18185E"/>
          <w:sz w:val="24"/>
        </w:rPr>
        <w:t>Tabula 1c: Darba tirgus attīstība</w:t>
      </w:r>
      <w:bookmarkEnd w:id="7"/>
    </w:p>
    <w:tbl>
      <w:tblPr>
        <w:tblStyle w:val="GridTable6Colorful-Accent11"/>
        <w:tblW w:w="8784" w:type="dxa"/>
        <w:jc w:val="center"/>
        <w:tblLayout w:type="fixed"/>
        <w:tblLook w:val="04A0" w:firstRow="1" w:lastRow="0" w:firstColumn="1" w:lastColumn="0" w:noHBand="0" w:noVBand="1"/>
      </w:tblPr>
      <w:tblGrid>
        <w:gridCol w:w="3681"/>
        <w:gridCol w:w="862"/>
        <w:gridCol w:w="1548"/>
        <w:gridCol w:w="850"/>
        <w:gridCol w:w="851"/>
        <w:gridCol w:w="992"/>
      </w:tblGrid>
      <w:tr w:rsidR="00687919" w:rsidRPr="00976103" w14:paraId="6AE76CEE" w14:textId="77777777" w:rsidTr="00687919">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CFE7335" w14:textId="77777777" w:rsidR="00687919" w:rsidRPr="00976103" w:rsidRDefault="00687919" w:rsidP="00F866B5">
            <w:pPr>
              <w:spacing w:after="0"/>
              <w:ind w:firstLineChars="100" w:firstLine="240"/>
              <w:jc w:val="right"/>
              <w:rPr>
                <w:color w:val="000000"/>
                <w:szCs w:val="24"/>
                <w:lang w:eastAsia="lv-LV"/>
              </w:rPr>
            </w:pPr>
            <w:r w:rsidRPr="00976103">
              <w:rPr>
                <w:color w:val="000000"/>
                <w:szCs w:val="24"/>
                <w:lang w:eastAsia="lv-LV"/>
              </w:rPr>
              <w:t> </w:t>
            </w:r>
          </w:p>
        </w:tc>
        <w:tc>
          <w:tcPr>
            <w:tcW w:w="862" w:type="dxa"/>
            <w:hideMark/>
          </w:tcPr>
          <w:p w14:paraId="18968090" w14:textId="77777777"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EKS k</w:t>
            </w:r>
            <w:r w:rsidRPr="00517C82">
              <w:rPr>
                <w:color w:val="000000"/>
                <w:szCs w:val="24"/>
                <w:lang w:eastAsia="lv-LV"/>
              </w:rPr>
              <w:t>ods</w:t>
            </w:r>
          </w:p>
        </w:tc>
        <w:tc>
          <w:tcPr>
            <w:tcW w:w="1548" w:type="dxa"/>
            <w:vAlign w:val="center"/>
            <w:hideMark/>
          </w:tcPr>
          <w:p w14:paraId="60CED2A7" w14:textId="77777777"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850" w:type="dxa"/>
            <w:vAlign w:val="center"/>
            <w:hideMark/>
          </w:tcPr>
          <w:p w14:paraId="79742F4D" w14:textId="77777777"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2017</w:t>
            </w:r>
          </w:p>
        </w:tc>
        <w:tc>
          <w:tcPr>
            <w:tcW w:w="851" w:type="dxa"/>
            <w:vAlign w:val="center"/>
            <w:hideMark/>
          </w:tcPr>
          <w:p w14:paraId="7947869E" w14:textId="77777777"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992" w:type="dxa"/>
            <w:vAlign w:val="center"/>
            <w:hideMark/>
          </w:tcPr>
          <w:p w14:paraId="48046019" w14:textId="77777777"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2019</w:t>
            </w:r>
          </w:p>
        </w:tc>
      </w:tr>
      <w:tr w:rsidR="00687919" w:rsidRPr="00976103" w14:paraId="358B06F1"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B4ADC19" w14:textId="77777777" w:rsidR="00687919" w:rsidRPr="00976103" w:rsidRDefault="00687919" w:rsidP="00F866B5">
            <w:pPr>
              <w:spacing w:after="0"/>
              <w:ind w:firstLineChars="100" w:firstLine="240"/>
              <w:jc w:val="right"/>
              <w:rPr>
                <w:color w:val="000000"/>
                <w:szCs w:val="24"/>
                <w:lang w:eastAsia="lv-LV"/>
              </w:rPr>
            </w:pPr>
            <w:r w:rsidRPr="00976103">
              <w:rPr>
                <w:color w:val="000000"/>
                <w:szCs w:val="24"/>
                <w:lang w:eastAsia="lv-LV"/>
              </w:rPr>
              <w:t> </w:t>
            </w:r>
          </w:p>
        </w:tc>
        <w:tc>
          <w:tcPr>
            <w:tcW w:w="862" w:type="dxa"/>
            <w:hideMark/>
          </w:tcPr>
          <w:p w14:paraId="11EA8BD1" w14:textId="77777777" w:rsidR="00687919" w:rsidRPr="00976103" w:rsidRDefault="00687919"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1548" w:type="dxa"/>
            <w:vAlign w:val="center"/>
            <w:hideMark/>
          </w:tcPr>
          <w:p w14:paraId="6E029781" w14:textId="77777777" w:rsidR="00687919" w:rsidRPr="00976103"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Līmenis</w:t>
            </w:r>
          </w:p>
        </w:tc>
        <w:tc>
          <w:tcPr>
            <w:tcW w:w="2693" w:type="dxa"/>
            <w:gridSpan w:val="3"/>
            <w:vAlign w:val="center"/>
            <w:hideMark/>
          </w:tcPr>
          <w:p w14:paraId="747B341C" w14:textId="77777777" w:rsidR="00687919" w:rsidRPr="00976103"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Pieaugums %</w:t>
            </w:r>
          </w:p>
        </w:tc>
      </w:tr>
      <w:tr w:rsidR="00687919" w:rsidRPr="00976103" w14:paraId="4EBB1D39" w14:textId="77777777" w:rsidTr="00687919">
        <w:trPr>
          <w:trHeight w:val="246"/>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1960D44"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1. Nodarbinātība</w:t>
            </w:r>
            <w:r>
              <w:rPr>
                <w:color w:val="000000"/>
                <w:szCs w:val="24"/>
                <w:lang w:eastAsia="lv-LV"/>
              </w:rPr>
              <w:t>, cilvēki, tūkst.</w:t>
            </w:r>
          </w:p>
        </w:tc>
        <w:tc>
          <w:tcPr>
            <w:tcW w:w="862" w:type="dxa"/>
            <w:vAlign w:val="center"/>
            <w:hideMark/>
          </w:tcPr>
          <w:p w14:paraId="6487A8A4"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14:paraId="435D8B99"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894,8</w:t>
            </w:r>
          </w:p>
        </w:tc>
        <w:tc>
          <w:tcPr>
            <w:tcW w:w="850" w:type="dxa"/>
            <w:vAlign w:val="center"/>
          </w:tcPr>
          <w:p w14:paraId="76C13542"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0,2</w:t>
            </w:r>
          </w:p>
        </w:tc>
        <w:tc>
          <w:tcPr>
            <w:tcW w:w="851" w:type="dxa"/>
            <w:vAlign w:val="center"/>
          </w:tcPr>
          <w:p w14:paraId="6D252C85"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1,2</w:t>
            </w:r>
          </w:p>
        </w:tc>
        <w:tc>
          <w:tcPr>
            <w:tcW w:w="992" w:type="dxa"/>
            <w:vAlign w:val="center"/>
          </w:tcPr>
          <w:p w14:paraId="4629DAC9"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0,1</w:t>
            </w:r>
          </w:p>
        </w:tc>
      </w:tr>
      <w:tr w:rsidR="00687919" w:rsidRPr="00976103" w14:paraId="65007CD1" w14:textId="77777777" w:rsidTr="00687919">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7B5CE321"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2. Nostrādātās stundas</w:t>
            </w:r>
          </w:p>
        </w:tc>
        <w:tc>
          <w:tcPr>
            <w:tcW w:w="862" w:type="dxa"/>
            <w:vAlign w:val="center"/>
            <w:hideMark/>
          </w:tcPr>
          <w:p w14:paraId="35825782"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548" w:type="dxa"/>
            <w:vAlign w:val="center"/>
          </w:tcPr>
          <w:p w14:paraId="6463ED11"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w:t>
            </w:r>
            <w:r w:rsidR="0094624B">
              <w:rPr>
                <w:color w:val="000000"/>
              </w:rPr>
              <w:t> </w:t>
            </w:r>
            <w:r>
              <w:rPr>
                <w:color w:val="000000"/>
              </w:rPr>
              <w:t>687,3</w:t>
            </w:r>
          </w:p>
        </w:tc>
        <w:tc>
          <w:tcPr>
            <w:tcW w:w="850" w:type="dxa"/>
            <w:vAlign w:val="center"/>
          </w:tcPr>
          <w:p w14:paraId="688A9305"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0,5</w:t>
            </w:r>
          </w:p>
        </w:tc>
        <w:tc>
          <w:tcPr>
            <w:tcW w:w="851" w:type="dxa"/>
            <w:vAlign w:val="center"/>
          </w:tcPr>
          <w:p w14:paraId="27370B99"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0,0</w:t>
            </w:r>
          </w:p>
        </w:tc>
        <w:tc>
          <w:tcPr>
            <w:tcW w:w="992" w:type="dxa"/>
            <w:vAlign w:val="center"/>
          </w:tcPr>
          <w:p w14:paraId="05C4ABD3"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0,0</w:t>
            </w:r>
          </w:p>
        </w:tc>
      </w:tr>
      <w:tr w:rsidR="00687919" w:rsidRPr="00976103" w14:paraId="4B366E02"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EC13C7C"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3. Bezdarbs</w:t>
            </w:r>
            <w:r>
              <w:rPr>
                <w:color w:val="000000"/>
                <w:szCs w:val="24"/>
                <w:lang w:eastAsia="lv-LV"/>
              </w:rPr>
              <w:t xml:space="preserve"> (%)</w:t>
            </w:r>
          </w:p>
        </w:tc>
        <w:tc>
          <w:tcPr>
            <w:tcW w:w="862" w:type="dxa"/>
            <w:vAlign w:val="center"/>
            <w:hideMark/>
          </w:tcPr>
          <w:p w14:paraId="363A43BA"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14:paraId="744518E0"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0" w:type="dxa"/>
            <w:vAlign w:val="center"/>
          </w:tcPr>
          <w:p w14:paraId="19D82F35"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8,7</w:t>
            </w:r>
          </w:p>
        </w:tc>
        <w:tc>
          <w:tcPr>
            <w:tcW w:w="851" w:type="dxa"/>
            <w:vAlign w:val="center"/>
          </w:tcPr>
          <w:p w14:paraId="1597B20A"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7,7</w:t>
            </w:r>
          </w:p>
        </w:tc>
        <w:tc>
          <w:tcPr>
            <w:tcW w:w="992" w:type="dxa"/>
            <w:vAlign w:val="center"/>
          </w:tcPr>
          <w:p w14:paraId="7795DC6E"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7,4</w:t>
            </w:r>
          </w:p>
        </w:tc>
      </w:tr>
      <w:tr w:rsidR="00687919" w:rsidRPr="00976103" w14:paraId="6CEB4D42" w14:textId="77777777" w:rsidTr="0068791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2271AEC"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4. Produktivitāte uz nodarbināto</w:t>
            </w:r>
          </w:p>
        </w:tc>
        <w:tc>
          <w:tcPr>
            <w:tcW w:w="862" w:type="dxa"/>
            <w:vAlign w:val="center"/>
            <w:hideMark/>
          </w:tcPr>
          <w:p w14:paraId="31407B32"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548" w:type="dxa"/>
            <w:vAlign w:val="center"/>
          </w:tcPr>
          <w:p w14:paraId="11C2EE22"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850" w:type="dxa"/>
            <w:vAlign w:val="center"/>
          </w:tcPr>
          <w:p w14:paraId="7E3644F9"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4,5</w:t>
            </w:r>
          </w:p>
        </w:tc>
        <w:tc>
          <w:tcPr>
            <w:tcW w:w="851" w:type="dxa"/>
            <w:vAlign w:val="center"/>
          </w:tcPr>
          <w:p w14:paraId="0300EE43"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3,0</w:t>
            </w:r>
          </w:p>
        </w:tc>
        <w:tc>
          <w:tcPr>
            <w:tcW w:w="992" w:type="dxa"/>
            <w:vAlign w:val="center"/>
          </w:tcPr>
          <w:p w14:paraId="55C11FBC"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2,9</w:t>
            </w:r>
          </w:p>
        </w:tc>
      </w:tr>
      <w:tr w:rsidR="00687919" w:rsidRPr="00976103" w14:paraId="4B8F9077" w14:textId="77777777" w:rsidTr="00687919">
        <w:trPr>
          <w:trHeight w:val="29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19FFC548"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5. Produktivitāte stundā</w:t>
            </w:r>
          </w:p>
        </w:tc>
        <w:tc>
          <w:tcPr>
            <w:tcW w:w="862" w:type="dxa"/>
            <w:vAlign w:val="center"/>
            <w:hideMark/>
          </w:tcPr>
          <w:p w14:paraId="044008A4"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14:paraId="279838DF"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850" w:type="dxa"/>
            <w:vAlign w:val="center"/>
          </w:tcPr>
          <w:p w14:paraId="15CA8CD2"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3,7</w:t>
            </w:r>
          </w:p>
        </w:tc>
        <w:tc>
          <w:tcPr>
            <w:tcW w:w="851" w:type="dxa"/>
            <w:vAlign w:val="center"/>
          </w:tcPr>
          <w:p w14:paraId="1689048C"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3,0</w:t>
            </w:r>
          </w:p>
        </w:tc>
        <w:tc>
          <w:tcPr>
            <w:tcW w:w="992" w:type="dxa"/>
            <w:vAlign w:val="center"/>
          </w:tcPr>
          <w:p w14:paraId="21802170"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2,9</w:t>
            </w:r>
          </w:p>
        </w:tc>
      </w:tr>
      <w:tr w:rsidR="00687919" w:rsidRPr="00976103" w14:paraId="522426EF" w14:textId="77777777" w:rsidTr="00687919">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DA609B5"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6. Darbinieku atalgojums kopā</w:t>
            </w:r>
            <w:r>
              <w:rPr>
                <w:color w:val="000000"/>
                <w:szCs w:val="24"/>
                <w:lang w:eastAsia="lv-LV"/>
              </w:rPr>
              <w:t xml:space="preserve">, mljrd. </w:t>
            </w:r>
            <w:r w:rsidRPr="0067207B">
              <w:rPr>
                <w:i/>
                <w:color w:val="000000"/>
                <w:szCs w:val="24"/>
                <w:lang w:eastAsia="lv-LV"/>
              </w:rPr>
              <w:t>euro</w:t>
            </w:r>
          </w:p>
        </w:tc>
        <w:tc>
          <w:tcPr>
            <w:tcW w:w="862" w:type="dxa"/>
            <w:vAlign w:val="center"/>
            <w:hideMark/>
          </w:tcPr>
          <w:p w14:paraId="45CF54D9" w14:textId="77777777" w:rsidR="00687919" w:rsidRPr="00976103" w:rsidRDefault="00687919" w:rsidP="0068791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548" w:type="dxa"/>
            <w:vAlign w:val="center"/>
          </w:tcPr>
          <w:p w14:paraId="3DF6D87B"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12,5</w:t>
            </w:r>
          </w:p>
        </w:tc>
        <w:tc>
          <w:tcPr>
            <w:tcW w:w="850" w:type="dxa"/>
            <w:vAlign w:val="center"/>
          </w:tcPr>
          <w:p w14:paraId="41DBC3BF"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8,2</w:t>
            </w:r>
          </w:p>
        </w:tc>
        <w:tc>
          <w:tcPr>
            <w:tcW w:w="851" w:type="dxa"/>
            <w:vAlign w:val="center"/>
          </w:tcPr>
          <w:p w14:paraId="26F140CB"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9,6</w:t>
            </w:r>
          </w:p>
        </w:tc>
        <w:tc>
          <w:tcPr>
            <w:tcW w:w="992" w:type="dxa"/>
            <w:vAlign w:val="center"/>
          </w:tcPr>
          <w:p w14:paraId="104F6D63" w14:textId="77777777" w:rsidR="00687919" w:rsidRPr="00976103" w:rsidRDefault="00687919" w:rsidP="00687919">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rPr>
              <w:t>6,1</w:t>
            </w:r>
          </w:p>
        </w:tc>
      </w:tr>
      <w:tr w:rsidR="00687919" w:rsidRPr="00976103" w14:paraId="26B46710" w14:textId="77777777" w:rsidTr="00687919">
        <w:trPr>
          <w:trHeight w:val="234"/>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FF692F6"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7. Bruto alga</w:t>
            </w:r>
            <w:r>
              <w:rPr>
                <w:color w:val="000000"/>
                <w:szCs w:val="24"/>
                <w:lang w:eastAsia="lv-LV"/>
              </w:rPr>
              <w:t xml:space="preserve">, </w:t>
            </w:r>
            <w:r w:rsidRPr="0067207B">
              <w:rPr>
                <w:i/>
                <w:color w:val="000000"/>
                <w:szCs w:val="24"/>
                <w:lang w:eastAsia="lv-LV"/>
              </w:rPr>
              <w:t>euro</w:t>
            </w:r>
          </w:p>
        </w:tc>
        <w:tc>
          <w:tcPr>
            <w:tcW w:w="862" w:type="dxa"/>
            <w:hideMark/>
          </w:tcPr>
          <w:p w14:paraId="4170D609" w14:textId="77777777" w:rsidR="00687919" w:rsidRPr="00976103" w:rsidRDefault="00687919" w:rsidP="00687919">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1548" w:type="dxa"/>
            <w:vAlign w:val="center"/>
          </w:tcPr>
          <w:p w14:paraId="20CFFBFA"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926</w:t>
            </w:r>
          </w:p>
        </w:tc>
        <w:tc>
          <w:tcPr>
            <w:tcW w:w="850" w:type="dxa"/>
            <w:vAlign w:val="center"/>
          </w:tcPr>
          <w:p w14:paraId="66025E17"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7,8</w:t>
            </w:r>
          </w:p>
        </w:tc>
        <w:tc>
          <w:tcPr>
            <w:tcW w:w="851" w:type="dxa"/>
            <w:vAlign w:val="center"/>
          </w:tcPr>
          <w:p w14:paraId="03E08202"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8,3</w:t>
            </w:r>
          </w:p>
        </w:tc>
        <w:tc>
          <w:tcPr>
            <w:tcW w:w="992" w:type="dxa"/>
            <w:vAlign w:val="center"/>
          </w:tcPr>
          <w:p w14:paraId="56E83E8C" w14:textId="77777777" w:rsidR="00687919" w:rsidRPr="00976103" w:rsidRDefault="00687919" w:rsidP="00687919">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rPr>
              <w:t>6,0</w:t>
            </w:r>
          </w:p>
        </w:tc>
      </w:tr>
    </w:tbl>
    <w:p w14:paraId="71E2A15C" w14:textId="77777777" w:rsidR="00C32D1D" w:rsidRPr="00976103" w:rsidRDefault="00C32D1D" w:rsidP="00C32D1D">
      <w:pPr>
        <w:ind w:firstLine="0"/>
        <w:jc w:val="left"/>
        <w:rPr>
          <w:szCs w:val="24"/>
        </w:rPr>
      </w:pPr>
    </w:p>
    <w:p w14:paraId="1E552A61" w14:textId="77777777" w:rsidR="00C32D1D" w:rsidRPr="00976103" w:rsidRDefault="00C32D1D" w:rsidP="00C32D1D">
      <w:pPr>
        <w:ind w:firstLine="0"/>
        <w:jc w:val="left"/>
        <w:rPr>
          <w:szCs w:val="24"/>
        </w:rPr>
      </w:pPr>
    </w:p>
    <w:p w14:paraId="44478AB4" w14:textId="77777777" w:rsidR="00C32D1D" w:rsidRPr="001D5709" w:rsidRDefault="00C32D1D" w:rsidP="001D5709">
      <w:pPr>
        <w:pStyle w:val="Heading1"/>
        <w:tabs>
          <w:tab w:val="left" w:pos="1276"/>
        </w:tabs>
        <w:spacing w:before="0" w:after="240"/>
        <w:ind w:firstLine="0"/>
        <w:jc w:val="left"/>
        <w:rPr>
          <w:rFonts w:ascii="Times New Roman" w:hAnsi="Times New Roman"/>
          <w:color w:val="18185E"/>
          <w:sz w:val="24"/>
        </w:rPr>
      </w:pPr>
      <w:bookmarkStart w:id="8" w:name="_Toc1374659"/>
      <w:r w:rsidRPr="001D5709">
        <w:rPr>
          <w:rFonts w:ascii="Times New Roman" w:hAnsi="Times New Roman"/>
          <w:color w:val="18185E"/>
          <w:sz w:val="24"/>
        </w:rPr>
        <w:t>Tabula 1d: Sektoru bilances</w:t>
      </w:r>
      <w:bookmarkEnd w:id="8"/>
    </w:p>
    <w:tbl>
      <w:tblPr>
        <w:tblStyle w:val="GridTable6Colorful-Accent11"/>
        <w:tblW w:w="8784" w:type="dxa"/>
        <w:jc w:val="center"/>
        <w:tblLook w:val="04A0" w:firstRow="1" w:lastRow="0" w:firstColumn="1" w:lastColumn="0" w:noHBand="0" w:noVBand="1"/>
      </w:tblPr>
      <w:tblGrid>
        <w:gridCol w:w="4390"/>
        <w:gridCol w:w="1275"/>
        <w:gridCol w:w="1134"/>
        <w:gridCol w:w="993"/>
        <w:gridCol w:w="992"/>
      </w:tblGrid>
      <w:tr w:rsidR="00687919" w:rsidRPr="00976103" w14:paraId="03CE30D5" w14:textId="77777777" w:rsidTr="00687919">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390" w:type="dxa"/>
            <w:hideMark/>
          </w:tcPr>
          <w:p w14:paraId="07A0EF77" w14:textId="77777777" w:rsidR="00687919" w:rsidRPr="00976103" w:rsidRDefault="00687919" w:rsidP="00F866B5">
            <w:pPr>
              <w:spacing w:after="0"/>
              <w:ind w:firstLineChars="100" w:firstLine="240"/>
              <w:jc w:val="right"/>
              <w:rPr>
                <w:color w:val="000000"/>
                <w:szCs w:val="22"/>
                <w:lang w:eastAsia="lv-LV"/>
              </w:rPr>
            </w:pPr>
            <w:r w:rsidRPr="00976103">
              <w:rPr>
                <w:color w:val="000000"/>
                <w:szCs w:val="22"/>
                <w:lang w:eastAsia="lv-LV"/>
              </w:rPr>
              <w:t> </w:t>
            </w:r>
          </w:p>
        </w:tc>
        <w:tc>
          <w:tcPr>
            <w:tcW w:w="1275" w:type="dxa"/>
            <w:vAlign w:val="center"/>
            <w:hideMark/>
          </w:tcPr>
          <w:p w14:paraId="440F5410" w14:textId="77777777"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EKS k</w:t>
            </w:r>
            <w:r w:rsidRPr="00517C82">
              <w:rPr>
                <w:color w:val="000000"/>
                <w:szCs w:val="22"/>
                <w:lang w:eastAsia="lv-LV"/>
              </w:rPr>
              <w:t>ods</w:t>
            </w:r>
          </w:p>
        </w:tc>
        <w:tc>
          <w:tcPr>
            <w:tcW w:w="1134" w:type="dxa"/>
            <w:vAlign w:val="center"/>
            <w:hideMark/>
          </w:tcPr>
          <w:p w14:paraId="1B18CD9F" w14:textId="77777777"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4"/>
                <w:lang w:eastAsia="lv-LV"/>
              </w:rPr>
              <w:t>2017</w:t>
            </w:r>
          </w:p>
        </w:tc>
        <w:tc>
          <w:tcPr>
            <w:tcW w:w="993" w:type="dxa"/>
            <w:vAlign w:val="center"/>
            <w:hideMark/>
          </w:tcPr>
          <w:p w14:paraId="2194FE24" w14:textId="77777777"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4"/>
                <w:lang w:eastAsia="lv-LV"/>
              </w:rPr>
              <w:t>2018</w:t>
            </w:r>
          </w:p>
        </w:tc>
        <w:tc>
          <w:tcPr>
            <w:tcW w:w="992" w:type="dxa"/>
            <w:vAlign w:val="center"/>
            <w:hideMark/>
          </w:tcPr>
          <w:p w14:paraId="6BE67973" w14:textId="77777777" w:rsidR="00687919" w:rsidRPr="00517C82" w:rsidRDefault="00687919" w:rsidP="00687919">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4"/>
                <w:lang w:eastAsia="lv-LV"/>
              </w:rPr>
              <w:t>2019</w:t>
            </w:r>
          </w:p>
        </w:tc>
      </w:tr>
      <w:tr w:rsidR="00687919" w:rsidRPr="00976103" w14:paraId="4C49EA15"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hideMark/>
          </w:tcPr>
          <w:p w14:paraId="18341F31" w14:textId="77777777" w:rsidR="00687919" w:rsidRPr="00976103" w:rsidRDefault="00687919" w:rsidP="00F866B5">
            <w:pPr>
              <w:spacing w:after="0"/>
              <w:ind w:firstLineChars="100" w:firstLine="240"/>
              <w:jc w:val="right"/>
              <w:rPr>
                <w:color w:val="000000"/>
                <w:szCs w:val="22"/>
                <w:lang w:eastAsia="lv-LV"/>
              </w:rPr>
            </w:pPr>
            <w:r w:rsidRPr="00976103">
              <w:rPr>
                <w:color w:val="000000"/>
                <w:szCs w:val="22"/>
                <w:lang w:eastAsia="lv-LV"/>
              </w:rPr>
              <w:t> </w:t>
            </w:r>
          </w:p>
        </w:tc>
        <w:tc>
          <w:tcPr>
            <w:tcW w:w="1275" w:type="dxa"/>
            <w:vAlign w:val="center"/>
            <w:hideMark/>
          </w:tcPr>
          <w:p w14:paraId="229D5D0A" w14:textId="77777777" w:rsidR="00687919" w:rsidRPr="00976103"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3119" w:type="dxa"/>
            <w:gridSpan w:val="3"/>
            <w:vAlign w:val="center"/>
            <w:hideMark/>
          </w:tcPr>
          <w:p w14:paraId="0A0711FE" w14:textId="77777777" w:rsidR="00687919" w:rsidRPr="00976103"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 no IKP</w:t>
            </w:r>
          </w:p>
        </w:tc>
      </w:tr>
      <w:tr w:rsidR="00C0368D" w:rsidRPr="00976103" w14:paraId="7C30BD3F" w14:textId="77777777" w:rsidTr="00687919">
        <w:trPr>
          <w:trHeight w:val="491"/>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4AA5F2EE" w14:textId="77777777" w:rsidR="00C0368D" w:rsidRPr="00976103" w:rsidRDefault="00C0368D" w:rsidP="00C0368D">
            <w:pPr>
              <w:spacing w:after="0"/>
              <w:ind w:firstLine="0"/>
              <w:jc w:val="left"/>
              <w:rPr>
                <w:color w:val="000000"/>
                <w:szCs w:val="22"/>
                <w:lang w:eastAsia="lv-LV"/>
              </w:rPr>
            </w:pPr>
            <w:r w:rsidRPr="00976103">
              <w:rPr>
                <w:color w:val="000000"/>
                <w:szCs w:val="22"/>
                <w:lang w:eastAsia="lv-LV"/>
              </w:rPr>
              <w:t>1. Neto aizdevumi/aizņēmumi attiecībā pret pārējām valstīm</w:t>
            </w:r>
          </w:p>
        </w:tc>
        <w:tc>
          <w:tcPr>
            <w:tcW w:w="1275" w:type="dxa"/>
            <w:vAlign w:val="center"/>
            <w:hideMark/>
          </w:tcPr>
          <w:p w14:paraId="5B65835A" w14:textId="77777777" w:rsidR="00C0368D" w:rsidRPr="00976103" w:rsidRDefault="00C0368D" w:rsidP="00C0368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B.9</w:t>
            </w:r>
          </w:p>
        </w:tc>
        <w:tc>
          <w:tcPr>
            <w:tcW w:w="1134" w:type="dxa"/>
            <w:vAlign w:val="center"/>
          </w:tcPr>
          <w:p w14:paraId="606D0D4D"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1,4</w:t>
            </w:r>
          </w:p>
        </w:tc>
        <w:tc>
          <w:tcPr>
            <w:tcW w:w="993" w:type="dxa"/>
            <w:vAlign w:val="center"/>
          </w:tcPr>
          <w:p w14:paraId="52A43B9B"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2,7</w:t>
            </w:r>
          </w:p>
        </w:tc>
        <w:tc>
          <w:tcPr>
            <w:tcW w:w="992" w:type="dxa"/>
            <w:vAlign w:val="center"/>
          </w:tcPr>
          <w:p w14:paraId="018F9416"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2,1</w:t>
            </w:r>
          </w:p>
        </w:tc>
      </w:tr>
      <w:tr w:rsidR="00C0368D" w:rsidRPr="00976103" w14:paraId="37B4088B"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4D90EFF" w14:textId="77777777" w:rsidR="00C0368D" w:rsidRPr="00976103" w:rsidRDefault="00C0368D" w:rsidP="00C0368D">
            <w:pPr>
              <w:spacing w:after="0"/>
              <w:ind w:firstLine="0"/>
              <w:jc w:val="left"/>
              <w:rPr>
                <w:color w:val="000000"/>
                <w:szCs w:val="22"/>
                <w:lang w:eastAsia="lv-LV"/>
              </w:rPr>
            </w:pPr>
            <w:r w:rsidRPr="00976103">
              <w:rPr>
                <w:color w:val="000000"/>
                <w:szCs w:val="22"/>
                <w:lang w:eastAsia="lv-LV"/>
              </w:rPr>
              <w:t>no kā</w:t>
            </w:r>
          </w:p>
        </w:tc>
        <w:tc>
          <w:tcPr>
            <w:tcW w:w="1275" w:type="dxa"/>
            <w:vAlign w:val="center"/>
            <w:hideMark/>
          </w:tcPr>
          <w:p w14:paraId="462154C8" w14:textId="77777777" w:rsidR="00C0368D" w:rsidRPr="00976103"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1134" w:type="dxa"/>
            <w:vAlign w:val="center"/>
          </w:tcPr>
          <w:p w14:paraId="07BE5826"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 </w:t>
            </w:r>
          </w:p>
        </w:tc>
        <w:tc>
          <w:tcPr>
            <w:tcW w:w="993" w:type="dxa"/>
            <w:vAlign w:val="center"/>
          </w:tcPr>
          <w:p w14:paraId="2C4854F7"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 </w:t>
            </w:r>
          </w:p>
        </w:tc>
        <w:tc>
          <w:tcPr>
            <w:tcW w:w="992" w:type="dxa"/>
            <w:vAlign w:val="center"/>
          </w:tcPr>
          <w:p w14:paraId="6DF0532E"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 </w:t>
            </w:r>
          </w:p>
        </w:tc>
      </w:tr>
      <w:tr w:rsidR="00C0368D" w:rsidRPr="00976103" w14:paraId="7CCF10F5" w14:textId="77777777" w:rsidTr="00687919">
        <w:trPr>
          <w:trHeight w:val="219"/>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10B887A7" w14:textId="77777777" w:rsidR="00C0368D" w:rsidRPr="00976103" w:rsidRDefault="00C0368D" w:rsidP="00C0368D">
            <w:pPr>
              <w:spacing w:after="0"/>
              <w:ind w:firstLine="0"/>
              <w:jc w:val="left"/>
              <w:rPr>
                <w:color w:val="000000"/>
                <w:szCs w:val="22"/>
                <w:lang w:eastAsia="lv-LV"/>
              </w:rPr>
            </w:pPr>
            <w:r w:rsidRPr="00976103">
              <w:rPr>
                <w:color w:val="000000"/>
                <w:szCs w:val="22"/>
                <w:lang w:eastAsia="lv-LV"/>
              </w:rPr>
              <w:t>Preču un pakalpojumu bilance</w:t>
            </w:r>
          </w:p>
        </w:tc>
        <w:tc>
          <w:tcPr>
            <w:tcW w:w="1275" w:type="dxa"/>
            <w:vAlign w:val="center"/>
            <w:hideMark/>
          </w:tcPr>
          <w:p w14:paraId="1238CC44" w14:textId="77777777" w:rsidR="00C0368D" w:rsidRPr="00976103"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1134" w:type="dxa"/>
            <w:vAlign w:val="center"/>
          </w:tcPr>
          <w:p w14:paraId="280101D4"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0,0</w:t>
            </w:r>
          </w:p>
        </w:tc>
        <w:tc>
          <w:tcPr>
            <w:tcW w:w="993" w:type="dxa"/>
            <w:vAlign w:val="center"/>
          </w:tcPr>
          <w:p w14:paraId="49AFF38A"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0,7</w:t>
            </w:r>
          </w:p>
        </w:tc>
        <w:tc>
          <w:tcPr>
            <w:tcW w:w="992" w:type="dxa"/>
            <w:vAlign w:val="center"/>
          </w:tcPr>
          <w:p w14:paraId="7E1EC095"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0,2</w:t>
            </w:r>
          </w:p>
        </w:tc>
      </w:tr>
      <w:tr w:rsidR="00C0368D" w:rsidRPr="00976103" w14:paraId="5D81AAC7" w14:textId="77777777" w:rsidTr="00687919">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2ECA7886" w14:textId="77777777" w:rsidR="00C0368D" w:rsidRPr="00976103" w:rsidRDefault="00C0368D" w:rsidP="00C0368D">
            <w:pPr>
              <w:spacing w:after="0"/>
              <w:ind w:firstLine="0"/>
              <w:jc w:val="left"/>
              <w:rPr>
                <w:color w:val="000000"/>
                <w:szCs w:val="22"/>
                <w:lang w:eastAsia="lv-LV"/>
              </w:rPr>
            </w:pPr>
            <w:r w:rsidRPr="00976103">
              <w:rPr>
                <w:color w:val="000000"/>
                <w:szCs w:val="22"/>
                <w:lang w:eastAsia="lv-LV"/>
              </w:rPr>
              <w:t>Primāro ienākumu un transfēru bilance</w:t>
            </w:r>
          </w:p>
        </w:tc>
        <w:tc>
          <w:tcPr>
            <w:tcW w:w="1275" w:type="dxa"/>
            <w:vAlign w:val="center"/>
            <w:hideMark/>
          </w:tcPr>
          <w:p w14:paraId="287E675A" w14:textId="77777777" w:rsidR="00C0368D" w:rsidRPr="00976103"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1134" w:type="dxa"/>
            <w:vAlign w:val="center"/>
          </w:tcPr>
          <w:p w14:paraId="144FA3CA"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0,6</w:t>
            </w:r>
          </w:p>
        </w:tc>
        <w:tc>
          <w:tcPr>
            <w:tcW w:w="993" w:type="dxa"/>
            <w:vAlign w:val="center"/>
          </w:tcPr>
          <w:p w14:paraId="4E4B49C8"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0,3</w:t>
            </w:r>
          </w:p>
        </w:tc>
        <w:tc>
          <w:tcPr>
            <w:tcW w:w="992" w:type="dxa"/>
            <w:vAlign w:val="center"/>
          </w:tcPr>
          <w:p w14:paraId="395A6FD9"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0,3</w:t>
            </w:r>
          </w:p>
        </w:tc>
      </w:tr>
      <w:tr w:rsidR="00C0368D" w:rsidRPr="00976103" w14:paraId="50C013FB" w14:textId="77777777" w:rsidTr="00687919">
        <w:trPr>
          <w:trHeight w:val="269"/>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5281710E" w14:textId="77777777" w:rsidR="00C0368D" w:rsidRPr="00976103" w:rsidRDefault="00C0368D" w:rsidP="00C0368D">
            <w:pPr>
              <w:spacing w:after="0"/>
              <w:ind w:firstLine="0"/>
              <w:jc w:val="left"/>
              <w:rPr>
                <w:color w:val="000000"/>
                <w:szCs w:val="22"/>
                <w:lang w:eastAsia="lv-LV"/>
              </w:rPr>
            </w:pPr>
            <w:r w:rsidRPr="00976103">
              <w:rPr>
                <w:color w:val="000000"/>
                <w:szCs w:val="22"/>
                <w:lang w:eastAsia="lv-LV"/>
              </w:rPr>
              <w:t>Kapitāla konts</w:t>
            </w:r>
          </w:p>
        </w:tc>
        <w:tc>
          <w:tcPr>
            <w:tcW w:w="1275" w:type="dxa"/>
            <w:vAlign w:val="center"/>
            <w:hideMark/>
          </w:tcPr>
          <w:p w14:paraId="4ADAFAFB" w14:textId="77777777" w:rsidR="00C0368D" w:rsidRPr="00976103"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1134" w:type="dxa"/>
            <w:vAlign w:val="center"/>
          </w:tcPr>
          <w:p w14:paraId="4DDB414E"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0,8</w:t>
            </w:r>
          </w:p>
        </w:tc>
        <w:tc>
          <w:tcPr>
            <w:tcW w:w="993" w:type="dxa"/>
            <w:vAlign w:val="center"/>
          </w:tcPr>
          <w:p w14:paraId="6F652A2B"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1,7</w:t>
            </w:r>
          </w:p>
        </w:tc>
        <w:tc>
          <w:tcPr>
            <w:tcW w:w="992" w:type="dxa"/>
            <w:vAlign w:val="center"/>
          </w:tcPr>
          <w:p w14:paraId="170FB5D9"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1,6</w:t>
            </w:r>
          </w:p>
        </w:tc>
      </w:tr>
      <w:tr w:rsidR="00C0368D" w:rsidRPr="00976103" w14:paraId="2F551827" w14:textId="77777777" w:rsidTr="00687919">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3CB6F54" w14:textId="77777777" w:rsidR="00C0368D" w:rsidRPr="00976103" w:rsidRDefault="00C0368D" w:rsidP="00C0368D">
            <w:pPr>
              <w:spacing w:after="0"/>
              <w:ind w:firstLine="0"/>
              <w:jc w:val="left"/>
              <w:rPr>
                <w:color w:val="000000"/>
                <w:szCs w:val="22"/>
                <w:lang w:eastAsia="lv-LV"/>
              </w:rPr>
            </w:pPr>
            <w:r w:rsidRPr="00976103">
              <w:rPr>
                <w:color w:val="000000"/>
                <w:szCs w:val="22"/>
                <w:lang w:eastAsia="lv-LV"/>
              </w:rPr>
              <w:t>2. Neto aizdevumi/aizņēmumi privātajā sektorā</w:t>
            </w:r>
          </w:p>
        </w:tc>
        <w:tc>
          <w:tcPr>
            <w:tcW w:w="1275" w:type="dxa"/>
            <w:vAlign w:val="center"/>
            <w:hideMark/>
          </w:tcPr>
          <w:p w14:paraId="5E7ADFFA" w14:textId="77777777" w:rsidR="00C0368D" w:rsidRPr="00976103" w:rsidRDefault="00C0368D" w:rsidP="00C0368D">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B.9</w:t>
            </w:r>
          </w:p>
        </w:tc>
        <w:tc>
          <w:tcPr>
            <w:tcW w:w="1134" w:type="dxa"/>
            <w:vAlign w:val="center"/>
          </w:tcPr>
          <w:p w14:paraId="2AEF5A68"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1,9</w:t>
            </w:r>
          </w:p>
        </w:tc>
        <w:tc>
          <w:tcPr>
            <w:tcW w:w="993" w:type="dxa"/>
            <w:vAlign w:val="center"/>
          </w:tcPr>
          <w:p w14:paraId="3B6C006D"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3,4</w:t>
            </w:r>
          </w:p>
        </w:tc>
        <w:tc>
          <w:tcPr>
            <w:tcW w:w="992" w:type="dxa"/>
            <w:vAlign w:val="center"/>
          </w:tcPr>
          <w:p w14:paraId="39593BBA"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2,8</w:t>
            </w:r>
          </w:p>
        </w:tc>
      </w:tr>
      <w:tr w:rsidR="00C0368D" w:rsidRPr="00976103" w14:paraId="51EF68FB" w14:textId="77777777" w:rsidTr="00687919">
        <w:trPr>
          <w:trHeight w:val="267"/>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6E8C51E1" w14:textId="77777777" w:rsidR="00C0368D" w:rsidRPr="00976103" w:rsidRDefault="00C0368D" w:rsidP="00C0368D">
            <w:pPr>
              <w:spacing w:after="0"/>
              <w:ind w:firstLine="0"/>
              <w:jc w:val="left"/>
              <w:rPr>
                <w:color w:val="000000"/>
                <w:szCs w:val="22"/>
                <w:lang w:eastAsia="lv-LV"/>
              </w:rPr>
            </w:pPr>
            <w:r w:rsidRPr="00976103">
              <w:rPr>
                <w:color w:val="000000"/>
                <w:szCs w:val="22"/>
                <w:lang w:eastAsia="lv-LV"/>
              </w:rPr>
              <w:t>3. Neto aizdevumi/aizņēmumi valdības sektorā</w:t>
            </w:r>
          </w:p>
        </w:tc>
        <w:tc>
          <w:tcPr>
            <w:tcW w:w="1275" w:type="dxa"/>
            <w:vAlign w:val="center"/>
            <w:hideMark/>
          </w:tcPr>
          <w:p w14:paraId="182E0A0B" w14:textId="77777777" w:rsidR="00C0368D" w:rsidRPr="00976103" w:rsidRDefault="00C0368D" w:rsidP="00C0368D">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EDP B.9</w:t>
            </w:r>
          </w:p>
        </w:tc>
        <w:tc>
          <w:tcPr>
            <w:tcW w:w="1134" w:type="dxa"/>
            <w:vAlign w:val="center"/>
          </w:tcPr>
          <w:p w14:paraId="394411A7"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-0,6</w:t>
            </w:r>
          </w:p>
        </w:tc>
        <w:tc>
          <w:tcPr>
            <w:tcW w:w="993" w:type="dxa"/>
            <w:vAlign w:val="center"/>
          </w:tcPr>
          <w:p w14:paraId="0365FC5A"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-0,7</w:t>
            </w:r>
          </w:p>
        </w:tc>
        <w:tc>
          <w:tcPr>
            <w:tcW w:w="992" w:type="dxa"/>
            <w:vAlign w:val="center"/>
          </w:tcPr>
          <w:p w14:paraId="7A8EC383" w14:textId="77777777" w:rsidR="00C0368D" w:rsidRPr="00C0368D" w:rsidRDefault="00C0368D" w:rsidP="00C0368D">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C0368D">
              <w:rPr>
                <w:color w:val="000000"/>
                <w:szCs w:val="24"/>
              </w:rPr>
              <w:t>-0,5</w:t>
            </w:r>
          </w:p>
        </w:tc>
      </w:tr>
      <w:tr w:rsidR="00C0368D" w:rsidRPr="00976103" w14:paraId="51B7638E"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689B50B4" w14:textId="77777777" w:rsidR="00C0368D" w:rsidRPr="00976103" w:rsidRDefault="00C0368D" w:rsidP="00C0368D">
            <w:pPr>
              <w:spacing w:after="0"/>
              <w:ind w:firstLine="0"/>
              <w:jc w:val="left"/>
              <w:rPr>
                <w:color w:val="000000"/>
                <w:szCs w:val="22"/>
                <w:lang w:eastAsia="lv-LV"/>
              </w:rPr>
            </w:pPr>
            <w:r w:rsidRPr="00976103">
              <w:rPr>
                <w:color w:val="000000"/>
                <w:szCs w:val="22"/>
                <w:lang w:eastAsia="lv-LV"/>
              </w:rPr>
              <w:t>4. Statistiskā novirze</w:t>
            </w:r>
          </w:p>
        </w:tc>
        <w:tc>
          <w:tcPr>
            <w:tcW w:w="1275" w:type="dxa"/>
            <w:vAlign w:val="center"/>
            <w:hideMark/>
          </w:tcPr>
          <w:p w14:paraId="2973FC55" w14:textId="77777777" w:rsidR="00C0368D" w:rsidRPr="00976103"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1134" w:type="dxa"/>
            <w:vAlign w:val="center"/>
          </w:tcPr>
          <w:p w14:paraId="61A414C8"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0,0</w:t>
            </w:r>
          </w:p>
        </w:tc>
        <w:tc>
          <w:tcPr>
            <w:tcW w:w="993" w:type="dxa"/>
            <w:vAlign w:val="center"/>
          </w:tcPr>
          <w:p w14:paraId="6EBE1691"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0,0</w:t>
            </w:r>
          </w:p>
        </w:tc>
        <w:tc>
          <w:tcPr>
            <w:tcW w:w="992" w:type="dxa"/>
            <w:vAlign w:val="center"/>
          </w:tcPr>
          <w:p w14:paraId="0D74B7AF" w14:textId="77777777" w:rsidR="00C0368D" w:rsidRPr="00C0368D" w:rsidRDefault="00C0368D" w:rsidP="00C0368D">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C0368D">
              <w:rPr>
                <w:color w:val="000000"/>
                <w:szCs w:val="24"/>
              </w:rPr>
              <w:t>0,0</w:t>
            </w:r>
          </w:p>
        </w:tc>
      </w:tr>
    </w:tbl>
    <w:p w14:paraId="03731428" w14:textId="77777777" w:rsidR="005904B9" w:rsidRDefault="005904B9">
      <w:pPr>
        <w:spacing w:after="0"/>
        <w:ind w:firstLine="0"/>
        <w:jc w:val="left"/>
        <w:rPr>
          <w:b/>
          <w:bCs/>
          <w:color w:val="18185E"/>
          <w:sz w:val="28"/>
          <w:szCs w:val="28"/>
          <w:lang w:val="x-none" w:eastAsia="x-none"/>
        </w:rPr>
      </w:pPr>
    </w:p>
    <w:p w14:paraId="70D906A3" w14:textId="77777777" w:rsidR="0095691A" w:rsidRPr="009A30F6" w:rsidRDefault="00DE25FE" w:rsidP="00375924">
      <w:pPr>
        <w:pStyle w:val="Heading1"/>
        <w:tabs>
          <w:tab w:val="left" w:pos="1276"/>
        </w:tabs>
        <w:spacing w:before="0" w:after="240"/>
        <w:jc w:val="center"/>
        <w:rPr>
          <w:rFonts w:ascii="Times New Roman" w:hAnsi="Times New Roman"/>
          <w:color w:val="18185E"/>
          <w:sz w:val="28"/>
          <w:lang w:val="lv-LV"/>
        </w:rPr>
      </w:pPr>
      <w:bookmarkStart w:id="9" w:name="_Toc1374660"/>
      <w:r w:rsidRPr="006B2FB4">
        <w:rPr>
          <w:rFonts w:ascii="Times New Roman" w:hAnsi="Times New Roman"/>
          <w:color w:val="18185E"/>
          <w:sz w:val="28"/>
        </w:rPr>
        <w:lastRenderedPageBreak/>
        <w:t>Fiskālā stratēģija un strukturālās bilances mērķi</w:t>
      </w:r>
      <w:bookmarkEnd w:id="9"/>
    </w:p>
    <w:p w14:paraId="50E09FB0" w14:textId="11AE7A58" w:rsidR="0016010A" w:rsidRPr="00577622" w:rsidRDefault="0016010A" w:rsidP="0016010A">
      <w:pPr>
        <w:spacing w:after="0"/>
        <w:rPr>
          <w:szCs w:val="24"/>
        </w:rPr>
      </w:pPr>
      <w:r w:rsidRPr="00577622">
        <w:rPr>
          <w:szCs w:val="24"/>
        </w:rPr>
        <w:t>Latvijas fiskālās politikas principi, VTM un pielietotās atkāpes sakarā ar iemaksu atjaunošanos 2.pensiju līmenī un veselības reformām nav mainīti un ir aprakstīti Stabilitātes programmā 2018.</w:t>
      </w:r>
      <w:r w:rsidRPr="004C5AC3">
        <w:rPr>
          <w:szCs w:val="24"/>
        </w:rPr>
        <w:t>–</w:t>
      </w:r>
      <w:r w:rsidRPr="00577622">
        <w:rPr>
          <w:szCs w:val="24"/>
        </w:rPr>
        <w:t>2021.gadam.</w:t>
      </w:r>
    </w:p>
    <w:p w14:paraId="545B022C" w14:textId="77777777" w:rsidR="0016010A" w:rsidRPr="005414E4" w:rsidRDefault="0016010A" w:rsidP="0016010A">
      <w:pPr>
        <w:spacing w:after="0"/>
        <w:rPr>
          <w:rFonts w:ascii="PT Serif" w:hAnsi="PT Serif"/>
          <w:color w:val="333333"/>
          <w:shd w:val="clear" w:color="auto" w:fill="FFFFFF"/>
        </w:rPr>
      </w:pPr>
      <w:r>
        <w:rPr>
          <w:szCs w:val="24"/>
        </w:rPr>
        <w:t>Sakarā ar 2018.</w:t>
      </w:r>
      <w:r w:rsidRPr="00577622">
        <w:rPr>
          <w:szCs w:val="24"/>
        </w:rPr>
        <w:t xml:space="preserve">gada oktobrī notikušajām </w:t>
      </w:r>
      <w:r>
        <w:rPr>
          <w:szCs w:val="24"/>
        </w:rPr>
        <w:t>Saeimas vēlēšanām 2018.gada 15.</w:t>
      </w:r>
      <w:r w:rsidRPr="00577622">
        <w:rPr>
          <w:szCs w:val="24"/>
        </w:rPr>
        <w:t xml:space="preserve">oktobrī EK un </w:t>
      </w:r>
      <w:r w:rsidRPr="004C5AC3">
        <w:rPr>
          <w:i/>
          <w:szCs w:val="24"/>
        </w:rPr>
        <w:t>Euro</w:t>
      </w:r>
      <w:r>
        <w:rPr>
          <w:szCs w:val="24"/>
        </w:rPr>
        <w:t xml:space="preserve"> </w:t>
      </w:r>
      <w:r w:rsidRPr="00577622">
        <w:rPr>
          <w:szCs w:val="24"/>
        </w:rPr>
        <w:t>grupai tika iesniegts budžeta plāns pie nemainīgas politikas. Ņemot vērā to, ka vald</w:t>
      </w:r>
      <w:r>
        <w:rPr>
          <w:szCs w:val="24"/>
        </w:rPr>
        <w:t>ība netika izveidota līdz 2018.gada beigām, no 2019.gada 1.</w:t>
      </w:r>
      <w:r w:rsidRPr="00577622">
        <w:rPr>
          <w:szCs w:val="24"/>
        </w:rPr>
        <w:t xml:space="preserve">janvāra </w:t>
      </w:r>
      <w:r>
        <w:rPr>
          <w:szCs w:val="24"/>
        </w:rPr>
        <w:t xml:space="preserve">valstī nebija budžeta un, saskaņā ar pastāvošajām tiesību normām, Finanšu ministrs </w:t>
      </w:r>
      <w:r w:rsidRPr="005414E4">
        <w:rPr>
          <w:szCs w:val="24"/>
        </w:rPr>
        <w:t xml:space="preserve">apstiprināja valsts darbībai nepieciešamos valsts budžeta izdevumus, aizdevumu un aizņēmumu limitus. </w:t>
      </w:r>
    </w:p>
    <w:p w14:paraId="426F26A7" w14:textId="2E0CA951" w:rsidR="0016010A" w:rsidRPr="00577622" w:rsidRDefault="0016010A" w:rsidP="0016010A">
      <w:pPr>
        <w:spacing w:after="0"/>
        <w:rPr>
          <w:szCs w:val="24"/>
        </w:rPr>
      </w:pPr>
      <w:r w:rsidRPr="00577622">
        <w:rPr>
          <w:szCs w:val="24"/>
        </w:rPr>
        <w:t>Valdības veidošanas process noslēdzās a</w:t>
      </w:r>
      <w:r>
        <w:rPr>
          <w:szCs w:val="24"/>
        </w:rPr>
        <w:t>r valdības apstiprināšanu 2019.gada 23.</w:t>
      </w:r>
      <w:r w:rsidRPr="00577622">
        <w:rPr>
          <w:szCs w:val="24"/>
        </w:rPr>
        <w:t xml:space="preserve">janvārī, un </w:t>
      </w:r>
      <w:r>
        <w:rPr>
          <w:szCs w:val="24"/>
        </w:rPr>
        <w:t>darbs pie 2019.</w:t>
      </w:r>
      <w:r w:rsidRPr="00577622">
        <w:rPr>
          <w:szCs w:val="24"/>
        </w:rPr>
        <w:t xml:space="preserve">gada budžeta </w:t>
      </w:r>
      <w:r>
        <w:rPr>
          <w:szCs w:val="24"/>
        </w:rPr>
        <w:t>tika turpināts š.g. 5.</w:t>
      </w:r>
      <w:r w:rsidRPr="00577622">
        <w:rPr>
          <w:szCs w:val="24"/>
        </w:rPr>
        <w:t>februārī, kad Finanšu ministrija prezentēja jaunajai valdībai informatīvo ziņojumu „Par makroekonomisko rādītāju, ieņēmumu un vispārējās valdības budžeta bilances prognozēm 2019.</w:t>
      </w:r>
      <w:r w:rsidRPr="004C5AC3">
        <w:rPr>
          <w:szCs w:val="24"/>
        </w:rPr>
        <w:t>–</w:t>
      </w:r>
      <w:r w:rsidRPr="00577622">
        <w:rPr>
          <w:szCs w:val="24"/>
        </w:rPr>
        <w:t>2021.gadā”, kas deva pamatu valdībai uzsākt diskusijas par jaunu politikas prioritāšu finansēšanu.</w:t>
      </w:r>
    </w:p>
    <w:p w14:paraId="3D2AB840" w14:textId="483F46E6" w:rsidR="0016010A" w:rsidRPr="00577622" w:rsidRDefault="0016010A" w:rsidP="0016010A">
      <w:pPr>
        <w:spacing w:after="0"/>
        <w:rPr>
          <w:szCs w:val="24"/>
        </w:rPr>
      </w:pPr>
      <w:r w:rsidRPr="00577622">
        <w:rPr>
          <w:szCs w:val="24"/>
        </w:rPr>
        <w:t>Ņemot vērā, ka pretēji lī</w:t>
      </w:r>
      <w:r>
        <w:rPr>
          <w:szCs w:val="24"/>
        </w:rPr>
        <w:t>dzšinējai praksei kopā ar 2019.</w:t>
      </w:r>
      <w:r w:rsidRPr="00577622">
        <w:rPr>
          <w:szCs w:val="24"/>
        </w:rPr>
        <w:t>gada budžetu netiks izstrādāts Ietvara likums 2019.</w:t>
      </w:r>
      <w:r w:rsidRPr="004C5AC3">
        <w:rPr>
          <w:szCs w:val="24"/>
        </w:rPr>
        <w:t>–</w:t>
      </w:r>
      <w:r>
        <w:rPr>
          <w:szCs w:val="24"/>
        </w:rPr>
        <w:t>2021.</w:t>
      </w:r>
      <w:r w:rsidRPr="00577622">
        <w:rPr>
          <w:szCs w:val="24"/>
        </w:rPr>
        <w:t>gadam, valdība nav specifiski definējusi atjaunotus vidēja termiņa budžeta politikas prioritāros attīstības virzienus. Tajā pašā laikā spēkā ir iepriekšējais Ietvara likums un attiecīgi tiek turpināta valdības politika, kas tika aprakstīta arī Stabi</w:t>
      </w:r>
      <w:r w:rsidR="00CD75C3">
        <w:rPr>
          <w:szCs w:val="24"/>
        </w:rPr>
        <w:t>litātes programmā 2018.–</w:t>
      </w:r>
      <w:r w:rsidR="001F40F6">
        <w:rPr>
          <w:szCs w:val="24"/>
        </w:rPr>
        <w:t>2021.</w:t>
      </w:r>
      <w:r w:rsidRPr="00577622">
        <w:rPr>
          <w:szCs w:val="24"/>
        </w:rPr>
        <w:t xml:space="preserve">gadam: </w:t>
      </w:r>
    </w:p>
    <w:p w14:paraId="2AEB3216" w14:textId="77777777" w:rsidR="0016010A" w:rsidRPr="00577622" w:rsidRDefault="0016010A" w:rsidP="0016010A">
      <w:pPr>
        <w:pStyle w:val="ListParagraph"/>
        <w:numPr>
          <w:ilvl w:val="0"/>
          <w:numId w:val="25"/>
        </w:numPr>
        <w:spacing w:after="160" w:line="259" w:lineRule="auto"/>
        <w:jc w:val="both"/>
        <w:rPr>
          <w:rFonts w:ascii="Times New Roman" w:hAnsi="Times New Roman"/>
          <w:sz w:val="24"/>
          <w:szCs w:val="24"/>
        </w:rPr>
      </w:pPr>
      <w:r w:rsidRPr="00577622">
        <w:rPr>
          <w:rFonts w:ascii="Times New Roman" w:hAnsi="Times New Roman"/>
          <w:sz w:val="24"/>
          <w:szCs w:val="24"/>
        </w:rPr>
        <w:t xml:space="preserve">nodrošinot valsts aizsardzības finansējumu pret IKP 2 procentu apmērā; </w:t>
      </w:r>
    </w:p>
    <w:p w14:paraId="1BED50BC" w14:textId="77777777" w:rsidR="0016010A" w:rsidRPr="00577622" w:rsidRDefault="0016010A" w:rsidP="0016010A">
      <w:pPr>
        <w:pStyle w:val="ListParagraph"/>
        <w:numPr>
          <w:ilvl w:val="0"/>
          <w:numId w:val="25"/>
        </w:numPr>
        <w:spacing w:after="160" w:line="259" w:lineRule="auto"/>
        <w:jc w:val="both"/>
        <w:rPr>
          <w:rFonts w:ascii="Times New Roman" w:hAnsi="Times New Roman"/>
          <w:sz w:val="24"/>
          <w:szCs w:val="24"/>
        </w:rPr>
      </w:pPr>
      <w:r w:rsidRPr="00577622">
        <w:rPr>
          <w:rFonts w:ascii="Times New Roman" w:hAnsi="Times New Roman"/>
          <w:sz w:val="24"/>
          <w:szCs w:val="24"/>
        </w:rPr>
        <w:t xml:space="preserve">ieviešot nodokļu reformu; </w:t>
      </w:r>
    </w:p>
    <w:p w14:paraId="7A3EEE7F" w14:textId="77777777" w:rsidR="0016010A" w:rsidRPr="00577622" w:rsidRDefault="0016010A" w:rsidP="0016010A">
      <w:pPr>
        <w:pStyle w:val="ListParagraph"/>
        <w:numPr>
          <w:ilvl w:val="0"/>
          <w:numId w:val="25"/>
        </w:numPr>
        <w:spacing w:after="160" w:line="259" w:lineRule="auto"/>
        <w:jc w:val="both"/>
        <w:rPr>
          <w:rFonts w:ascii="Times New Roman" w:hAnsi="Times New Roman"/>
          <w:sz w:val="24"/>
          <w:szCs w:val="24"/>
        </w:rPr>
      </w:pPr>
      <w:r w:rsidRPr="00577622">
        <w:rPr>
          <w:rFonts w:ascii="Times New Roman" w:hAnsi="Times New Roman"/>
          <w:sz w:val="24"/>
          <w:szCs w:val="24"/>
        </w:rPr>
        <w:t xml:space="preserve">nodrošinot finansējumu aizsardzībai, veselībai, demogrāfijai un autoceļu uzturēšanai; </w:t>
      </w:r>
    </w:p>
    <w:p w14:paraId="5B5072CC" w14:textId="77777777" w:rsidR="0016010A" w:rsidRPr="00577622" w:rsidRDefault="0016010A" w:rsidP="0016010A">
      <w:pPr>
        <w:pStyle w:val="ListParagraph"/>
        <w:numPr>
          <w:ilvl w:val="0"/>
          <w:numId w:val="25"/>
        </w:numPr>
        <w:spacing w:after="160" w:line="259" w:lineRule="auto"/>
        <w:jc w:val="both"/>
        <w:rPr>
          <w:rFonts w:ascii="Times New Roman" w:hAnsi="Times New Roman"/>
          <w:sz w:val="24"/>
          <w:szCs w:val="24"/>
        </w:rPr>
      </w:pPr>
      <w:r w:rsidRPr="00577622">
        <w:rPr>
          <w:rFonts w:ascii="Times New Roman" w:hAnsi="Times New Roman"/>
          <w:sz w:val="24"/>
          <w:szCs w:val="24"/>
        </w:rPr>
        <w:t xml:space="preserve">virzoties uz nodokļu ieņēmumu apjoma pret IKP pakāpeniska palielināšana līdz 1/3 no IKP, pamatā uzlabojot nodokļu iekasējamību. </w:t>
      </w:r>
    </w:p>
    <w:p w14:paraId="3850F545" w14:textId="77777777" w:rsidR="0016010A" w:rsidRPr="00577622" w:rsidRDefault="0016010A" w:rsidP="0016010A">
      <w:pPr>
        <w:spacing w:after="0"/>
        <w:rPr>
          <w:szCs w:val="24"/>
        </w:rPr>
      </w:pPr>
      <w:r w:rsidRPr="00577622">
        <w:rPr>
          <w:szCs w:val="24"/>
        </w:rPr>
        <w:t xml:space="preserve">2019.gada budžeta izstrāde tika uzsākta ar negatīvu fiskālo telpu </w:t>
      </w:r>
      <w:r>
        <w:rPr>
          <w:szCs w:val="24"/>
        </w:rPr>
        <w:t>-34,0</w:t>
      </w:r>
      <w:r w:rsidRPr="00577622">
        <w:rPr>
          <w:szCs w:val="24"/>
        </w:rPr>
        <w:t xml:space="preserve"> milj. </w:t>
      </w:r>
      <w:r w:rsidRPr="004C5AC3">
        <w:rPr>
          <w:i/>
          <w:szCs w:val="24"/>
        </w:rPr>
        <w:t>euro</w:t>
      </w:r>
      <w:r w:rsidRPr="00577622">
        <w:rPr>
          <w:szCs w:val="24"/>
        </w:rPr>
        <w:t xml:space="preserve"> apmērā. </w:t>
      </w:r>
      <w:r>
        <w:rPr>
          <w:szCs w:val="24"/>
        </w:rPr>
        <w:t>J</w:t>
      </w:r>
      <w:r w:rsidRPr="00577622">
        <w:rPr>
          <w:szCs w:val="24"/>
        </w:rPr>
        <w:t>aunizveidotā valdība pieņēma lēmumus par diskrecionārajiem ieņēmumu un izdevumu pasākumiem, lai nodrošinātu gan negatīvās fiskālās telpas likvidēšanu, gan arī piešķirtu finansējumu ministriju izvirzītajām prioritātēm.</w:t>
      </w:r>
    </w:p>
    <w:p w14:paraId="14DE26E5" w14:textId="77777777" w:rsidR="0016010A" w:rsidRPr="00577622" w:rsidRDefault="0016010A" w:rsidP="0016010A">
      <w:pPr>
        <w:spacing w:after="0"/>
        <w:rPr>
          <w:szCs w:val="24"/>
        </w:rPr>
      </w:pPr>
      <w:r w:rsidRPr="00821CAB">
        <w:rPr>
          <w:szCs w:val="24"/>
        </w:rPr>
        <w:t>Papildu resursi prioritāšu finansēšanai tika nodrošināti arī īstenojot valsts budžeta bāzes izdevumu pārskatīšanu, kas ļāva nodrošināt papildu līdzekļus gan pašu nozaru prioritāšu finansēšanai, gan arī kopējo valdības prioritāšu finansēšanai.</w:t>
      </w:r>
    </w:p>
    <w:p w14:paraId="2986D5F7" w14:textId="77777777" w:rsidR="0016010A" w:rsidRPr="00577622" w:rsidRDefault="0016010A" w:rsidP="0016010A">
      <w:pPr>
        <w:spacing w:after="0"/>
        <w:rPr>
          <w:szCs w:val="24"/>
        </w:rPr>
      </w:pPr>
      <w:r w:rsidRPr="00B60A27">
        <w:rPr>
          <w:szCs w:val="24"/>
        </w:rPr>
        <w:t>Tabulā Nr.3 sniegtie</w:t>
      </w:r>
      <w:r w:rsidRPr="00577622">
        <w:rPr>
          <w:szCs w:val="24"/>
        </w:rPr>
        <w:t xml:space="preserve"> fiskālie dati ir sagatavoti pie nemainīgas politikas scenārija, kas ietver likumā „Par vidēja termiņa budžeta ietvaru 2017., 2018. un 2019.gadam” un likumā „Par vidēja termiņa budžeta ietvaru 2018., 2019. un 2020.gadam” iekļautos 2019.gada diskrecionāros ieņēmumu un izdevumu pasākumus</w:t>
      </w:r>
      <w:r>
        <w:rPr>
          <w:szCs w:val="24"/>
        </w:rPr>
        <w:t xml:space="preserve"> un bija norādīti budžeta plāna projektā pie nemainīgas politikas, kas tika iesniegts EK 2018.gada 15.oktobrī.</w:t>
      </w:r>
    </w:p>
    <w:p w14:paraId="34CB361B" w14:textId="77777777" w:rsidR="0016010A" w:rsidRPr="00577622" w:rsidRDefault="0016010A" w:rsidP="0016010A">
      <w:pPr>
        <w:spacing w:after="0"/>
        <w:rPr>
          <w:szCs w:val="24"/>
        </w:rPr>
      </w:pPr>
      <w:r>
        <w:rPr>
          <w:szCs w:val="24"/>
        </w:rPr>
        <w:t>Jāatzīmē, ka šis budžeta plāna projekts ir sagatavots balstoties uz to pašu 2018.gada rudenī izstrādāto makroekonomiskās attīstības scenāriju, saskaņā ar kuru tika izstrādāts 2018.gada 15.oktobrī iesniegtais budžeta plāna projekts. Tomēr papildus izmaiņām, ko izsauc jaunie diskr</w:t>
      </w:r>
      <w:r w:rsidR="000C5D49">
        <w:rPr>
          <w:szCs w:val="24"/>
        </w:rPr>
        <w:t>e</w:t>
      </w:r>
      <w:r>
        <w:rPr>
          <w:szCs w:val="24"/>
        </w:rPr>
        <w:t xml:space="preserve">cionārie ieņēmumu un izdevumu pasākumi ir veikti </w:t>
      </w:r>
      <w:r w:rsidR="0024326E">
        <w:rPr>
          <w:szCs w:val="24"/>
        </w:rPr>
        <w:t xml:space="preserve">arī citi </w:t>
      </w:r>
      <w:r>
        <w:rPr>
          <w:szCs w:val="24"/>
        </w:rPr>
        <w:t>precizējumi fiskālā scenārija ieņēmumu un izdevumu daļā. Daļa precizējumu ir saistīti ar jauno diskrecionāro izdevumu pasākumu ietekmi un nodokļu ieņēmumiem</w:t>
      </w:r>
      <w:r w:rsidR="0024326E">
        <w:rPr>
          <w:szCs w:val="24"/>
        </w:rPr>
        <w:t xml:space="preserve"> un daļa precizējumu ir saistīti </w:t>
      </w:r>
      <w:r>
        <w:rPr>
          <w:szCs w:val="24"/>
        </w:rPr>
        <w:t xml:space="preserve">ar jaunākajiem datiem par izpildi 2018.gadā, ja tam ir ietekme uz attiecīgajiem fiskālajiem rādītājiem 2019.gadā. Lai gan </w:t>
      </w:r>
      <w:r w:rsidR="0024326E">
        <w:rPr>
          <w:szCs w:val="24"/>
        </w:rPr>
        <w:t xml:space="preserve">šīs </w:t>
      </w:r>
      <w:r>
        <w:rPr>
          <w:szCs w:val="24"/>
        </w:rPr>
        <w:t xml:space="preserve">izmaiņas tieši nav uzskatāmas par diskrecionāriem pasākumiem, tās ir iekļautas </w:t>
      </w:r>
      <w:r w:rsidRPr="00577622">
        <w:rPr>
          <w:szCs w:val="24"/>
        </w:rPr>
        <w:t>Tabulās Nr.5</w:t>
      </w:r>
      <w:r>
        <w:rPr>
          <w:szCs w:val="24"/>
        </w:rPr>
        <w:t>a un Nr.5b kā atsevišķa sadaļa, lai vienuviet nodrošinātu uzskatāmu izmaiņu atspoguļojumu starp nemainīgas un mainīgas politikas scenāriju 2019.gadā.</w:t>
      </w:r>
    </w:p>
    <w:p w14:paraId="72E76752" w14:textId="77777777" w:rsidR="00DB096A" w:rsidRDefault="00DB096A" w:rsidP="0016010A">
      <w:pPr>
        <w:rPr>
          <w:szCs w:val="24"/>
        </w:rPr>
      </w:pPr>
    </w:p>
    <w:p w14:paraId="3273B9DD" w14:textId="77777777" w:rsidR="0016010A" w:rsidRPr="00577622" w:rsidRDefault="0016010A" w:rsidP="0016010A">
      <w:pPr>
        <w:rPr>
          <w:szCs w:val="24"/>
        </w:rPr>
      </w:pPr>
      <w:r w:rsidRPr="00577622">
        <w:rPr>
          <w:szCs w:val="24"/>
        </w:rPr>
        <w:lastRenderedPageBreak/>
        <w:t xml:space="preserve">Ņemot vērā iepriekš minēto, 2019.gada budžets ir sagatavots: </w:t>
      </w:r>
    </w:p>
    <w:p w14:paraId="1CAE1D8B" w14:textId="20D09CE0" w:rsidR="0016010A" w:rsidRPr="005F2604" w:rsidRDefault="00CD75C3" w:rsidP="0078009C">
      <w:pPr>
        <w:pStyle w:val="ListParagraph"/>
        <w:numPr>
          <w:ilvl w:val="0"/>
          <w:numId w:val="27"/>
        </w:numPr>
        <w:spacing w:after="0"/>
        <w:jc w:val="both"/>
        <w:rPr>
          <w:rFonts w:ascii="Times New Roman" w:hAnsi="Times New Roman"/>
          <w:sz w:val="24"/>
          <w:lang w:val="lv-LV" w:eastAsia="en-US"/>
        </w:rPr>
      </w:pPr>
      <w:r>
        <w:rPr>
          <w:rFonts w:ascii="Times New Roman" w:hAnsi="Times New Roman"/>
          <w:sz w:val="24"/>
          <w:lang w:val="lv-LV" w:eastAsia="en-US"/>
        </w:rPr>
        <w:t>turpinot Ietvara likumā 2018.–</w:t>
      </w:r>
      <w:r w:rsidR="0016010A" w:rsidRPr="005F2604">
        <w:rPr>
          <w:rFonts w:ascii="Times New Roman" w:hAnsi="Times New Roman"/>
          <w:sz w:val="24"/>
          <w:lang w:val="lv-LV" w:eastAsia="en-US"/>
        </w:rPr>
        <w:t xml:space="preserve">2020.gadam definētās valdības politikas un nodrošinot finansējumu aizsardzībai, veselībai, demogrāfijai un autoceļu uzturēšanai; </w:t>
      </w:r>
    </w:p>
    <w:p w14:paraId="5EB01132" w14:textId="77777777" w:rsidR="0016010A" w:rsidRPr="005F2604" w:rsidRDefault="0016010A" w:rsidP="0078009C">
      <w:pPr>
        <w:pStyle w:val="ListParagraph"/>
        <w:numPr>
          <w:ilvl w:val="0"/>
          <w:numId w:val="27"/>
        </w:numPr>
        <w:spacing w:after="0"/>
        <w:jc w:val="both"/>
        <w:rPr>
          <w:rFonts w:ascii="Times New Roman" w:hAnsi="Times New Roman"/>
          <w:sz w:val="24"/>
          <w:lang w:val="lv-LV" w:eastAsia="en-US"/>
        </w:rPr>
      </w:pPr>
      <w:r w:rsidRPr="005F2604">
        <w:rPr>
          <w:rFonts w:ascii="Times New Roman" w:hAnsi="Times New Roman"/>
          <w:sz w:val="24"/>
          <w:lang w:val="lv-LV" w:eastAsia="en-US"/>
        </w:rPr>
        <w:t>piešķirot finansējumu jaunām politikas prioritātēm;</w:t>
      </w:r>
    </w:p>
    <w:p w14:paraId="239091BE" w14:textId="77777777" w:rsidR="0016010A" w:rsidRPr="005F2604" w:rsidRDefault="0016010A" w:rsidP="0078009C">
      <w:pPr>
        <w:pStyle w:val="ListParagraph"/>
        <w:numPr>
          <w:ilvl w:val="0"/>
          <w:numId w:val="27"/>
        </w:numPr>
        <w:spacing w:after="0"/>
        <w:jc w:val="both"/>
        <w:rPr>
          <w:rFonts w:ascii="Times New Roman" w:hAnsi="Times New Roman"/>
          <w:sz w:val="24"/>
          <w:lang w:val="lv-LV" w:eastAsia="en-US"/>
        </w:rPr>
      </w:pPr>
      <w:r w:rsidRPr="005F2604">
        <w:rPr>
          <w:rFonts w:ascii="Times New Roman" w:hAnsi="Times New Roman"/>
          <w:sz w:val="24"/>
          <w:lang w:val="lv-LV" w:eastAsia="en-US"/>
        </w:rPr>
        <w:t xml:space="preserve">prognozējot, ka vispārējās valdības nominālais deficīts 2019.gadā </w:t>
      </w:r>
      <w:r w:rsidR="00E707F5" w:rsidRPr="005F2604">
        <w:rPr>
          <w:rFonts w:ascii="Times New Roman" w:hAnsi="Times New Roman"/>
          <w:sz w:val="24"/>
          <w:lang w:val="lv-LV" w:eastAsia="en-US"/>
        </w:rPr>
        <w:t>ir 0,54</w:t>
      </w:r>
      <w:r w:rsidRPr="005F2604">
        <w:rPr>
          <w:rFonts w:ascii="Times New Roman" w:hAnsi="Times New Roman"/>
          <w:sz w:val="24"/>
          <w:lang w:val="lv-LV" w:eastAsia="en-US"/>
        </w:rPr>
        <w:t xml:space="preserve"> % no IKP; </w:t>
      </w:r>
    </w:p>
    <w:p w14:paraId="7C33F30C" w14:textId="77777777" w:rsidR="0016010A" w:rsidRPr="005F2604" w:rsidRDefault="0016010A" w:rsidP="0078009C">
      <w:pPr>
        <w:pStyle w:val="ListParagraph"/>
        <w:numPr>
          <w:ilvl w:val="0"/>
          <w:numId w:val="27"/>
        </w:numPr>
        <w:spacing w:after="0"/>
        <w:jc w:val="both"/>
        <w:rPr>
          <w:rFonts w:ascii="Times New Roman" w:hAnsi="Times New Roman"/>
          <w:sz w:val="24"/>
          <w:lang w:val="lv-LV" w:eastAsia="en-US"/>
        </w:rPr>
      </w:pPr>
      <w:r w:rsidRPr="005F2604">
        <w:rPr>
          <w:rFonts w:ascii="Times New Roman" w:hAnsi="Times New Roman"/>
          <w:sz w:val="24"/>
          <w:lang w:val="lv-LV" w:eastAsia="en-US"/>
        </w:rPr>
        <w:t xml:space="preserve">veicot valsts budžeta bāzes izdevumu pārskatīšanu un izstrādājot papildu diskrecionāros ieņēmumu un izdevumu pasākumus, lai nodrošinātu finansējumu valdības definētajām prioritātēm; </w:t>
      </w:r>
    </w:p>
    <w:p w14:paraId="70000912" w14:textId="77777777" w:rsidR="0016010A" w:rsidRPr="005F2604" w:rsidRDefault="0016010A" w:rsidP="0078009C">
      <w:pPr>
        <w:pStyle w:val="ListParagraph"/>
        <w:numPr>
          <w:ilvl w:val="0"/>
          <w:numId w:val="27"/>
        </w:numPr>
        <w:spacing w:after="0"/>
        <w:jc w:val="both"/>
        <w:rPr>
          <w:rFonts w:ascii="Times New Roman" w:hAnsi="Times New Roman"/>
          <w:sz w:val="24"/>
          <w:lang w:val="lv-LV" w:eastAsia="en-US"/>
        </w:rPr>
      </w:pPr>
      <w:r w:rsidRPr="005F2604">
        <w:rPr>
          <w:rFonts w:ascii="Times New Roman" w:hAnsi="Times New Roman"/>
          <w:sz w:val="24"/>
          <w:lang w:val="lv-LV" w:eastAsia="en-US"/>
        </w:rPr>
        <w:t>turpinot iepriekš uzsāktos</w:t>
      </w:r>
      <w:r w:rsidR="0024326E" w:rsidRPr="005F2604">
        <w:rPr>
          <w:rFonts w:ascii="Times New Roman" w:hAnsi="Times New Roman"/>
          <w:sz w:val="24"/>
          <w:lang w:val="lv-LV" w:eastAsia="en-US"/>
        </w:rPr>
        <w:t xml:space="preserve"> un uzsākot jaunus</w:t>
      </w:r>
      <w:r w:rsidRPr="005F2604">
        <w:rPr>
          <w:rFonts w:ascii="Times New Roman" w:hAnsi="Times New Roman"/>
          <w:sz w:val="24"/>
          <w:lang w:val="lv-LV" w:eastAsia="en-US"/>
        </w:rPr>
        <w:t xml:space="preserve"> diskrecionāros pasākumus ēnu ekonomikas samazināšanai un nodokļu iekasējamības uzlabošanai, kā arī iedzīvotāju ienākumu nevienlīdzības mazināšanai.</w:t>
      </w:r>
    </w:p>
    <w:p w14:paraId="4C68DF2A" w14:textId="77777777" w:rsidR="00BC44EC" w:rsidRDefault="00BC44EC" w:rsidP="0016010A">
      <w:pPr>
        <w:spacing w:after="0"/>
        <w:rPr>
          <w:szCs w:val="24"/>
        </w:rPr>
      </w:pPr>
    </w:p>
    <w:p w14:paraId="6E463030" w14:textId="1B9481E7" w:rsidR="00BC44EC" w:rsidRDefault="00BC44EC" w:rsidP="00BC44EC">
      <w:pPr>
        <w:spacing w:after="0"/>
      </w:pPr>
      <w:r>
        <w:t>Saskaņā ar Latvijas pašas izmantotajiem izlaižu starpības aprēķiniem (0,94% no IKP) un vienreizējiem pasākumiem, kas ir -0,45% no IKP un ietver -0,51% no IKP nodokļu reformas īslaicīgo neto ieņēmumu kritumu un 0,06 % no IKP no ieņēmumiem par papildus emisiju kvotu izsolē gūtajiem ieņēmumiem, 2019.gada strukturālais deficīts</w:t>
      </w:r>
      <w:r w:rsidR="0024326E">
        <w:t xml:space="preserve"> ir</w:t>
      </w:r>
      <w:r>
        <w:t xml:space="preserve"> 0,45%</w:t>
      </w:r>
      <w:r w:rsidR="003B4D25">
        <w:t xml:space="preserve"> no IKP</w:t>
      </w:r>
      <w:r w:rsidR="00423C48">
        <w:t> (</w:t>
      </w:r>
      <w:r>
        <w:t xml:space="preserve">-0.54-0,94*0,38-(-0,45))= -0,45). </w:t>
      </w:r>
    </w:p>
    <w:p w14:paraId="15B38ACA" w14:textId="77777777" w:rsidR="00BC44EC" w:rsidRDefault="00BC44EC" w:rsidP="00BC44EC">
      <w:pPr>
        <w:spacing w:after="0"/>
      </w:pPr>
      <w:r>
        <w:t>Saskaņā ar Fiskālās disciplīnas likumu 2019.gada budžetā ir plānota fiskālā nodrošinājuma rezerve</w:t>
      </w:r>
      <w:r w:rsidR="003B4D25">
        <w:t xml:space="preserve"> 0,1% no IKP apmērā</w:t>
      </w:r>
      <w:r>
        <w:t>. 2019.gada budžets ir sagatavots ievērojot spēkā esošā likumā “Par vidēja termiņa budžeta ietvaru 2018., 2019. un 2020.gadam” noteikto strukturālās bilances mērķi 2019.gadam, kas ir -0,6% no IKP, jo 2019.gada</w:t>
      </w:r>
      <w:r w:rsidR="00A55CEE">
        <w:t xml:space="preserve"> budžetā</w:t>
      </w:r>
      <w:r>
        <w:t xml:space="preserve"> strukturālais deficīts ir mazāks par pieļaujamo vairāk kā par fiskālā nodrošinājuma </w:t>
      </w:r>
      <w:r w:rsidR="003B4D25">
        <w:t>rezerves apmēru</w:t>
      </w:r>
      <w:r>
        <w:t>.</w:t>
      </w:r>
    </w:p>
    <w:p w14:paraId="23E029D9" w14:textId="77777777" w:rsidR="00BC44EC" w:rsidRDefault="00BC44EC" w:rsidP="00BC44EC">
      <w:pPr>
        <w:spacing w:after="0"/>
      </w:pPr>
      <w:r>
        <w:t xml:space="preserve">Sagatavotais 2019.gada budžeta projekts atbilst arī Stabilitātes un izaugsmes pakta bilances nosacījumam. Latvijas strukturālais deficīts 2019.gadā nedrīkst pārsniegt tās </w:t>
      </w:r>
      <w:r w:rsidR="003B4D25">
        <w:t>VTM</w:t>
      </w:r>
      <w:r>
        <w:t>, kas Latvijai ir -1% no IKP</w:t>
      </w:r>
      <w:r w:rsidR="003B4D25">
        <w:t>,</w:t>
      </w:r>
      <w:r>
        <w:t xml:space="preserve"> vairāk kā par atļauto deficīta atkāpi veselības aprūpes reformas īstenošanai, kas ir 0,5% no IKP. Tātad strukturālais deficīts nedrīkst pārsniegt -1,5% no IKP.</w:t>
      </w:r>
    </w:p>
    <w:p w14:paraId="69B221BA" w14:textId="77777777" w:rsidR="00BC44EC" w:rsidRDefault="00BC44EC" w:rsidP="00BC44EC">
      <w:pPr>
        <w:spacing w:after="0"/>
      </w:pPr>
      <w:r>
        <w:t xml:space="preserve">Kā redzams, tas ar lielu drošības rezervi tiek ievērots, ja izmanto Latvijas aprēķināto izlaižu starpību un Latvijas atzītos vienreizējos pasākumus. Atbilstība tiek ievērota arī vispiesardzīgākajā scenārijā, kur tiek izmantots </w:t>
      </w:r>
      <w:r w:rsidR="00430175">
        <w:t>EK</w:t>
      </w:r>
      <w:r>
        <w:t xml:space="preserve"> izlaižu starpības vērtējums un </w:t>
      </w:r>
      <w:r w:rsidR="00430175">
        <w:t>EK</w:t>
      </w:r>
      <w:r>
        <w:t xml:space="preserve"> pieeja attiecībā uz vienreizējiem pasākumiem. </w:t>
      </w:r>
    </w:p>
    <w:p w14:paraId="71C4C9BD" w14:textId="2DDFE096" w:rsidR="00BC44EC" w:rsidRPr="00845776" w:rsidRDefault="00BC44EC" w:rsidP="00BC44EC">
      <w:pPr>
        <w:spacing w:after="0"/>
      </w:pPr>
      <w:r>
        <w:t>Saskaņā ar EK izmantotajiem izlaižu starpības novērtējumiem (pēc neoficiāli komunicētiem datie</w:t>
      </w:r>
      <w:r w:rsidR="00423C48">
        <w:t>m 2019.gadā tā tiek vērtēta 2.0</w:t>
      </w:r>
      <w:r>
        <w:t>% no IKP) un ņemot vērā, ka EK neatzīs nodokļu reformas īslaicīgi neto ieņēmumu kritumu par vienreizējo pasākumu un pat, pieņemot maksimāli piesardzīgo pieeju attiecībā uz emisijas kvotu ieņēmumu uzskaiti, saskaņā ar kuru viss ieņēmumu apjoms (0,2% no IKP) tiek atzīts par vienreizējo pasākumu, Latvija joprojām izpilda struk</w:t>
      </w:r>
      <w:r w:rsidR="00423C48">
        <w:t>turālās bilances nosacījumu. ((</w:t>
      </w:r>
      <w:r>
        <w:t>-0.54-2,0*0,38-0.2)= -1,5).</w:t>
      </w:r>
    </w:p>
    <w:p w14:paraId="257C4A74" w14:textId="77777777" w:rsidR="00BC44EC" w:rsidRPr="00577622" w:rsidRDefault="00BC44EC" w:rsidP="0016010A">
      <w:pPr>
        <w:spacing w:after="0"/>
        <w:rPr>
          <w:szCs w:val="24"/>
        </w:rPr>
      </w:pPr>
    </w:p>
    <w:p w14:paraId="2C41021C" w14:textId="77777777" w:rsidR="00F724FE" w:rsidRDefault="00F724FE">
      <w:pPr>
        <w:spacing w:after="0"/>
        <w:ind w:firstLine="0"/>
        <w:jc w:val="left"/>
        <w:rPr>
          <w:b/>
          <w:bCs/>
          <w:color w:val="18185E"/>
          <w:szCs w:val="28"/>
          <w:lang w:val="x-none" w:eastAsia="x-none"/>
        </w:rPr>
      </w:pPr>
      <w:r>
        <w:rPr>
          <w:color w:val="18185E"/>
        </w:rPr>
        <w:br w:type="page"/>
      </w:r>
    </w:p>
    <w:p w14:paraId="54FAA7F7" w14:textId="77777777" w:rsidR="00272FF4" w:rsidRPr="00976103" w:rsidRDefault="00272FF4" w:rsidP="00272FF4">
      <w:pPr>
        <w:pStyle w:val="Heading1"/>
        <w:tabs>
          <w:tab w:val="left" w:pos="1276"/>
        </w:tabs>
        <w:spacing w:before="0" w:after="240"/>
        <w:ind w:firstLine="0"/>
        <w:jc w:val="left"/>
        <w:rPr>
          <w:rFonts w:ascii="Times New Roman" w:hAnsi="Times New Roman"/>
        </w:rPr>
      </w:pPr>
      <w:bookmarkStart w:id="10" w:name="_Toc1374661"/>
      <w:r w:rsidRPr="006B2FB4">
        <w:rPr>
          <w:rFonts w:ascii="Times New Roman" w:hAnsi="Times New Roman"/>
          <w:color w:val="18185E"/>
          <w:sz w:val="24"/>
        </w:rPr>
        <w:lastRenderedPageBreak/>
        <w:t>Tabula 2.a: Vispārējās valdības budžeta mērķi sadalījumā pa apakšsektoriem</w:t>
      </w:r>
      <w:bookmarkEnd w:id="10"/>
    </w:p>
    <w:tbl>
      <w:tblPr>
        <w:tblStyle w:val="GridTable6Colorful-Accent11"/>
        <w:tblW w:w="9321" w:type="dxa"/>
        <w:jc w:val="center"/>
        <w:tblLook w:val="04A0" w:firstRow="1" w:lastRow="0" w:firstColumn="1" w:lastColumn="0" w:noHBand="0" w:noVBand="1"/>
      </w:tblPr>
      <w:tblGrid>
        <w:gridCol w:w="5382"/>
        <w:gridCol w:w="1409"/>
        <w:gridCol w:w="1309"/>
        <w:gridCol w:w="1221"/>
      </w:tblGrid>
      <w:tr w:rsidR="00272FF4" w:rsidRPr="00976103" w14:paraId="23CAAC4D" w14:textId="77777777" w:rsidTr="00171512">
        <w:trPr>
          <w:cnfStyle w:val="100000000000" w:firstRow="1" w:lastRow="0" w:firstColumn="0" w:lastColumn="0" w:oddVBand="0" w:evenVBand="0" w:oddHBand="0"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F0A869F"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41DB5E13" w14:textId="77777777" w:rsidR="00272FF4" w:rsidRPr="00AA5420"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 k</w:t>
            </w:r>
            <w:r w:rsidR="00272FF4" w:rsidRPr="00AA5420">
              <w:rPr>
                <w:color w:val="000000"/>
                <w:szCs w:val="24"/>
                <w:lang w:eastAsia="lv-LV"/>
              </w:rPr>
              <w:t>ods</w:t>
            </w:r>
          </w:p>
        </w:tc>
        <w:tc>
          <w:tcPr>
            <w:tcW w:w="1309" w:type="dxa"/>
            <w:vAlign w:val="center"/>
            <w:hideMark/>
          </w:tcPr>
          <w:p w14:paraId="17B4D05A" w14:textId="77777777" w:rsidR="00272FF4" w:rsidRPr="00AA5420" w:rsidRDefault="006F3B5B" w:rsidP="00171512">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171512">
              <w:rPr>
                <w:color w:val="000000"/>
                <w:szCs w:val="24"/>
                <w:lang w:eastAsia="lv-LV"/>
              </w:rPr>
              <w:t>8</w:t>
            </w:r>
          </w:p>
        </w:tc>
        <w:tc>
          <w:tcPr>
            <w:tcW w:w="1221" w:type="dxa"/>
            <w:vAlign w:val="center"/>
            <w:hideMark/>
          </w:tcPr>
          <w:p w14:paraId="0EA9D12F" w14:textId="77777777" w:rsidR="00272FF4" w:rsidRPr="00AA5420" w:rsidRDefault="006F3B5B" w:rsidP="00171512">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171512">
              <w:rPr>
                <w:color w:val="000000"/>
                <w:szCs w:val="24"/>
                <w:lang w:eastAsia="lv-LV"/>
              </w:rPr>
              <w:t>9</w:t>
            </w:r>
          </w:p>
        </w:tc>
      </w:tr>
      <w:tr w:rsidR="00272FF4" w:rsidRPr="00976103" w14:paraId="16388181" w14:textId="77777777" w:rsidTr="001715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140D09A"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1E8F7A7D" w14:textId="77777777" w:rsidR="00272FF4" w:rsidRPr="00976103" w:rsidRDefault="00272FF4"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2530" w:type="dxa"/>
            <w:gridSpan w:val="2"/>
            <w:vAlign w:val="center"/>
            <w:hideMark/>
          </w:tcPr>
          <w:p w14:paraId="015ADF63" w14:textId="77777777" w:rsidR="00272FF4" w:rsidRPr="00976103" w:rsidRDefault="00272FF4" w:rsidP="00171512">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no IKP</w:t>
            </w:r>
          </w:p>
        </w:tc>
      </w:tr>
      <w:tr w:rsidR="00687919" w:rsidRPr="00976103" w14:paraId="0C96E468" w14:textId="77777777" w:rsidTr="00687919">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0CCEF9C" w14:textId="77777777" w:rsidR="00687919" w:rsidRPr="00976103" w:rsidRDefault="00687919" w:rsidP="00687919">
            <w:pPr>
              <w:spacing w:after="0"/>
              <w:ind w:firstLine="0"/>
              <w:jc w:val="left"/>
              <w:rPr>
                <w:color w:val="000000"/>
                <w:szCs w:val="24"/>
                <w:lang w:eastAsia="lv-LV"/>
              </w:rPr>
            </w:pPr>
            <w:r w:rsidRPr="00976103">
              <w:rPr>
                <w:color w:val="000000"/>
                <w:szCs w:val="24"/>
                <w:lang w:eastAsia="lv-LV"/>
              </w:rPr>
              <w:t>Neto aizdevumi (+) v</w:t>
            </w:r>
            <w:r>
              <w:rPr>
                <w:color w:val="000000"/>
                <w:szCs w:val="24"/>
                <w:lang w:eastAsia="lv-LV"/>
              </w:rPr>
              <w:t>ai aizņēmumi (–) (B.9) pa apakš</w:t>
            </w:r>
            <w:r w:rsidRPr="00976103">
              <w:rPr>
                <w:color w:val="000000"/>
                <w:szCs w:val="24"/>
                <w:lang w:eastAsia="lv-LV"/>
              </w:rPr>
              <w:t>sektoriem</w:t>
            </w:r>
          </w:p>
        </w:tc>
        <w:tc>
          <w:tcPr>
            <w:tcW w:w="1409" w:type="dxa"/>
            <w:hideMark/>
          </w:tcPr>
          <w:p w14:paraId="2110E610"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056C05B"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1" w:type="dxa"/>
            <w:vAlign w:val="center"/>
          </w:tcPr>
          <w:p w14:paraId="3B1E184C" w14:textId="77777777" w:rsidR="00687919" w:rsidRPr="00976103" w:rsidRDefault="00687919" w:rsidP="00687919">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34726F" w:rsidRPr="00976103" w14:paraId="0E56C393" w14:textId="7777777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3C51BD6"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1. Vispārējā valdība</w:t>
            </w:r>
          </w:p>
        </w:tc>
        <w:tc>
          <w:tcPr>
            <w:tcW w:w="1409" w:type="dxa"/>
            <w:hideMark/>
          </w:tcPr>
          <w:p w14:paraId="0BC9A11C" w14:textId="77777777" w:rsidR="0034726F" w:rsidRPr="00976103"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 </w:t>
            </w:r>
          </w:p>
        </w:tc>
        <w:tc>
          <w:tcPr>
            <w:tcW w:w="1309" w:type="dxa"/>
            <w:vAlign w:val="center"/>
          </w:tcPr>
          <w:p w14:paraId="513663C5"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-0,7</w:t>
            </w:r>
          </w:p>
        </w:tc>
        <w:tc>
          <w:tcPr>
            <w:tcW w:w="1221" w:type="dxa"/>
            <w:vAlign w:val="center"/>
          </w:tcPr>
          <w:p w14:paraId="2E9E6A0A"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34726F">
              <w:rPr>
                <w:color w:val="000000"/>
                <w:szCs w:val="24"/>
              </w:rPr>
              <w:t>-0,5</w:t>
            </w:r>
          </w:p>
        </w:tc>
      </w:tr>
      <w:tr w:rsidR="0034726F" w:rsidRPr="00976103" w14:paraId="1AC2A0DF" w14:textId="7777777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1998BE3"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2. Centrālā valdība</w:t>
            </w:r>
          </w:p>
        </w:tc>
        <w:tc>
          <w:tcPr>
            <w:tcW w:w="1409" w:type="dxa"/>
            <w:hideMark/>
          </w:tcPr>
          <w:p w14:paraId="6A9840C1" w14:textId="77777777" w:rsidR="0034726F" w:rsidRPr="00976103"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S.1311 </w:t>
            </w:r>
          </w:p>
        </w:tc>
        <w:tc>
          <w:tcPr>
            <w:tcW w:w="1309" w:type="dxa"/>
            <w:vAlign w:val="center"/>
          </w:tcPr>
          <w:p w14:paraId="6DF91C47"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-0,8</w:t>
            </w:r>
          </w:p>
        </w:tc>
        <w:tc>
          <w:tcPr>
            <w:tcW w:w="1221" w:type="dxa"/>
            <w:vAlign w:val="center"/>
          </w:tcPr>
          <w:p w14:paraId="08BECCC7"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34726F">
              <w:rPr>
                <w:color w:val="000000"/>
                <w:szCs w:val="24"/>
              </w:rPr>
              <w:t>-1,0</w:t>
            </w:r>
          </w:p>
        </w:tc>
      </w:tr>
      <w:tr w:rsidR="0034726F" w:rsidRPr="00976103" w14:paraId="26734182" w14:textId="7777777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7A255CA" w14:textId="77777777" w:rsidR="0034726F" w:rsidRPr="00003E2F" w:rsidRDefault="0034726F" w:rsidP="0034726F">
            <w:pPr>
              <w:spacing w:after="0"/>
              <w:ind w:firstLine="0"/>
              <w:jc w:val="left"/>
              <w:rPr>
                <w:color w:val="auto"/>
                <w:szCs w:val="24"/>
                <w:lang w:eastAsia="lv-LV"/>
              </w:rPr>
            </w:pPr>
            <w:r w:rsidRPr="00003E2F">
              <w:rPr>
                <w:color w:val="auto"/>
                <w:szCs w:val="24"/>
                <w:lang w:eastAsia="lv-LV"/>
              </w:rPr>
              <w:t xml:space="preserve">3. </w:t>
            </w:r>
            <w:r w:rsidRPr="007049E7">
              <w:rPr>
                <w:color w:val="auto"/>
                <w:szCs w:val="24"/>
                <w:lang w:eastAsia="lv-LV"/>
              </w:rPr>
              <w:t>Pavalstu valdība</w:t>
            </w:r>
          </w:p>
        </w:tc>
        <w:tc>
          <w:tcPr>
            <w:tcW w:w="1409" w:type="dxa"/>
            <w:hideMark/>
          </w:tcPr>
          <w:p w14:paraId="69C20ADC" w14:textId="77777777" w:rsidR="0034726F" w:rsidRPr="00003E2F"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xml:space="preserve">S.1312 </w:t>
            </w:r>
          </w:p>
        </w:tc>
        <w:tc>
          <w:tcPr>
            <w:tcW w:w="1309" w:type="dxa"/>
            <w:vAlign w:val="center"/>
          </w:tcPr>
          <w:p w14:paraId="54278A04"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FF0000"/>
                <w:szCs w:val="24"/>
                <w:lang w:eastAsia="lv-LV"/>
              </w:rPr>
            </w:pPr>
            <w:r w:rsidRPr="0031631E">
              <w:rPr>
                <w:color w:val="FF0000"/>
                <w:szCs w:val="24"/>
              </w:rPr>
              <w:t> </w:t>
            </w:r>
          </w:p>
        </w:tc>
        <w:tc>
          <w:tcPr>
            <w:tcW w:w="1221" w:type="dxa"/>
            <w:vAlign w:val="center"/>
          </w:tcPr>
          <w:p w14:paraId="0BE68B1B" w14:textId="77777777" w:rsidR="0034726F" w:rsidRPr="0034726F"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p>
        </w:tc>
      </w:tr>
      <w:tr w:rsidR="0034726F" w:rsidRPr="00976103" w14:paraId="1F9577B7" w14:textId="7777777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EA4E2A2"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4. Vietējā valdība</w:t>
            </w:r>
          </w:p>
        </w:tc>
        <w:tc>
          <w:tcPr>
            <w:tcW w:w="1409" w:type="dxa"/>
            <w:hideMark/>
          </w:tcPr>
          <w:p w14:paraId="0697227E" w14:textId="77777777" w:rsidR="0034726F" w:rsidRPr="00976103"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S.1313 </w:t>
            </w:r>
          </w:p>
        </w:tc>
        <w:tc>
          <w:tcPr>
            <w:tcW w:w="1309" w:type="dxa"/>
            <w:vAlign w:val="center"/>
          </w:tcPr>
          <w:p w14:paraId="6F12F3BE"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-0,5</w:t>
            </w:r>
          </w:p>
        </w:tc>
        <w:tc>
          <w:tcPr>
            <w:tcW w:w="1221" w:type="dxa"/>
            <w:vAlign w:val="center"/>
          </w:tcPr>
          <w:p w14:paraId="451DB42A"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34726F">
              <w:rPr>
                <w:color w:val="000000"/>
                <w:szCs w:val="24"/>
              </w:rPr>
              <w:t>-0,3</w:t>
            </w:r>
          </w:p>
        </w:tc>
      </w:tr>
      <w:tr w:rsidR="0034726F" w:rsidRPr="00976103" w14:paraId="56CB9AEE" w14:textId="7777777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41E73C2"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5. Sociālās nodrošināšanas fondi</w:t>
            </w:r>
          </w:p>
        </w:tc>
        <w:tc>
          <w:tcPr>
            <w:tcW w:w="1409" w:type="dxa"/>
            <w:hideMark/>
          </w:tcPr>
          <w:p w14:paraId="5F4BAFDE" w14:textId="77777777" w:rsidR="0034726F" w:rsidRPr="00976103"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S.1314 </w:t>
            </w:r>
          </w:p>
        </w:tc>
        <w:tc>
          <w:tcPr>
            <w:tcW w:w="1309" w:type="dxa"/>
            <w:vAlign w:val="center"/>
          </w:tcPr>
          <w:p w14:paraId="75A6C20B"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0,6</w:t>
            </w:r>
          </w:p>
        </w:tc>
        <w:tc>
          <w:tcPr>
            <w:tcW w:w="1221" w:type="dxa"/>
            <w:vAlign w:val="center"/>
          </w:tcPr>
          <w:p w14:paraId="196F1D81"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34726F">
              <w:rPr>
                <w:color w:val="000000"/>
                <w:szCs w:val="24"/>
              </w:rPr>
              <w:t>0,7</w:t>
            </w:r>
          </w:p>
        </w:tc>
      </w:tr>
      <w:tr w:rsidR="0034726F" w:rsidRPr="00976103" w14:paraId="49D0DA92" w14:textId="7777777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C0377B9"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6. Procentu izdevumi</w:t>
            </w:r>
          </w:p>
        </w:tc>
        <w:tc>
          <w:tcPr>
            <w:tcW w:w="1409" w:type="dxa"/>
            <w:hideMark/>
          </w:tcPr>
          <w:p w14:paraId="0C14D731" w14:textId="77777777" w:rsidR="0034726F" w:rsidRPr="00976103"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D.41 </w:t>
            </w:r>
          </w:p>
        </w:tc>
        <w:tc>
          <w:tcPr>
            <w:tcW w:w="1309" w:type="dxa"/>
            <w:vAlign w:val="center"/>
          </w:tcPr>
          <w:p w14:paraId="16902442"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0,8</w:t>
            </w:r>
          </w:p>
        </w:tc>
        <w:tc>
          <w:tcPr>
            <w:tcW w:w="1221" w:type="dxa"/>
            <w:vAlign w:val="center"/>
          </w:tcPr>
          <w:p w14:paraId="32CBA6F5"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34726F">
              <w:rPr>
                <w:color w:val="000000"/>
                <w:szCs w:val="24"/>
              </w:rPr>
              <w:t>0,8</w:t>
            </w:r>
          </w:p>
        </w:tc>
      </w:tr>
      <w:tr w:rsidR="0034726F" w:rsidRPr="00976103" w14:paraId="476EDD2D" w14:textId="77777777" w:rsidTr="0034726F">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C5DFD83"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7. Primārā bilance</w:t>
            </w:r>
          </w:p>
        </w:tc>
        <w:tc>
          <w:tcPr>
            <w:tcW w:w="1409" w:type="dxa"/>
            <w:hideMark/>
          </w:tcPr>
          <w:p w14:paraId="6CD368B3" w14:textId="77777777" w:rsidR="0034726F" w:rsidRPr="00976103"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5647A44"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0,1</w:t>
            </w:r>
          </w:p>
        </w:tc>
        <w:tc>
          <w:tcPr>
            <w:tcW w:w="1221" w:type="dxa"/>
            <w:vAlign w:val="center"/>
          </w:tcPr>
          <w:p w14:paraId="7AB33115"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34726F">
              <w:rPr>
                <w:color w:val="000000"/>
                <w:szCs w:val="24"/>
              </w:rPr>
              <w:t>0,2</w:t>
            </w:r>
          </w:p>
        </w:tc>
      </w:tr>
      <w:tr w:rsidR="0034726F" w:rsidRPr="00976103" w14:paraId="706FCF44" w14:textId="77777777" w:rsidTr="0034726F">
        <w:trPr>
          <w:trHeight w:val="31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327EC94"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8. Vienreizēji un citi īslaicīgi pasākumi</w:t>
            </w:r>
            <w:r>
              <w:rPr>
                <w:color w:val="000000"/>
                <w:szCs w:val="24"/>
                <w:lang w:eastAsia="lv-LV"/>
              </w:rPr>
              <w:t xml:space="preserve"> </w:t>
            </w:r>
            <w:r>
              <w:rPr>
                <w:rStyle w:val="FootnoteReference"/>
                <w:color w:val="000000"/>
                <w:szCs w:val="24"/>
                <w:lang w:eastAsia="lv-LV"/>
              </w:rPr>
              <w:footnoteReference w:id="2"/>
            </w:r>
          </w:p>
        </w:tc>
        <w:tc>
          <w:tcPr>
            <w:tcW w:w="1409" w:type="dxa"/>
            <w:hideMark/>
          </w:tcPr>
          <w:p w14:paraId="2DABAC74" w14:textId="77777777" w:rsidR="0034726F" w:rsidRPr="00976103"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E03AAF2"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 </w:t>
            </w:r>
          </w:p>
        </w:tc>
        <w:tc>
          <w:tcPr>
            <w:tcW w:w="1221" w:type="dxa"/>
            <w:vAlign w:val="center"/>
          </w:tcPr>
          <w:p w14:paraId="5DC1D75C"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34726F">
              <w:rPr>
                <w:color w:val="000000"/>
                <w:szCs w:val="24"/>
              </w:rPr>
              <w:t>0,1</w:t>
            </w:r>
          </w:p>
        </w:tc>
      </w:tr>
      <w:tr w:rsidR="0034726F" w:rsidRPr="00976103" w14:paraId="0F0BF100" w14:textId="77777777" w:rsidTr="0034726F">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C6F64A8"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9. Reālā IKP pieaugums (%) (=1. Tabulā 1.a)</w:t>
            </w:r>
          </w:p>
        </w:tc>
        <w:tc>
          <w:tcPr>
            <w:tcW w:w="1409" w:type="dxa"/>
            <w:hideMark/>
          </w:tcPr>
          <w:p w14:paraId="28754BBD" w14:textId="77777777" w:rsidR="0034726F" w:rsidRPr="00976103"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36E748CF"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4,8</w:t>
            </w:r>
          </w:p>
        </w:tc>
        <w:tc>
          <w:tcPr>
            <w:tcW w:w="1221" w:type="dxa"/>
            <w:vAlign w:val="center"/>
          </w:tcPr>
          <w:p w14:paraId="61E0FB0C"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34726F">
              <w:rPr>
                <w:color w:val="000000"/>
                <w:szCs w:val="24"/>
              </w:rPr>
              <w:t>3,0</w:t>
            </w:r>
          </w:p>
        </w:tc>
      </w:tr>
      <w:tr w:rsidR="0034726F" w:rsidRPr="00976103" w14:paraId="43BEBF82" w14:textId="77777777" w:rsidTr="0034726F">
        <w:trPr>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8294738"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10. Potenciālā IKP pieaugums (=2 Tabulā 1.a)</w:t>
            </w:r>
          </w:p>
        </w:tc>
        <w:tc>
          <w:tcPr>
            <w:tcW w:w="1409" w:type="dxa"/>
            <w:hideMark/>
          </w:tcPr>
          <w:p w14:paraId="429E0E5A" w14:textId="77777777" w:rsidR="0034726F" w:rsidRPr="00976103"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449978D3"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3,4</w:t>
            </w:r>
          </w:p>
        </w:tc>
        <w:tc>
          <w:tcPr>
            <w:tcW w:w="1221" w:type="dxa"/>
            <w:vAlign w:val="center"/>
          </w:tcPr>
          <w:p w14:paraId="4EBD003B"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34726F">
              <w:rPr>
                <w:color w:val="000000"/>
                <w:szCs w:val="24"/>
              </w:rPr>
              <w:t>3,4</w:t>
            </w:r>
          </w:p>
        </w:tc>
      </w:tr>
      <w:tr w:rsidR="0034726F" w:rsidRPr="00976103" w14:paraId="1E8F231C" w14:textId="7777777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7C5C389" w14:textId="77777777" w:rsidR="0034726F" w:rsidRPr="00976103" w:rsidRDefault="0034726F" w:rsidP="00F866B5">
            <w:pPr>
              <w:spacing w:after="0"/>
              <w:ind w:firstLineChars="100" w:firstLine="240"/>
              <w:jc w:val="left"/>
              <w:rPr>
                <w:color w:val="000000"/>
                <w:szCs w:val="24"/>
                <w:lang w:eastAsia="lv-LV"/>
              </w:rPr>
            </w:pPr>
            <w:r w:rsidRPr="00976103">
              <w:rPr>
                <w:color w:val="000000"/>
                <w:szCs w:val="24"/>
                <w:lang w:eastAsia="lv-LV"/>
              </w:rPr>
              <w:t>iemaksas:</w:t>
            </w:r>
          </w:p>
        </w:tc>
        <w:tc>
          <w:tcPr>
            <w:tcW w:w="1409" w:type="dxa"/>
            <w:hideMark/>
          </w:tcPr>
          <w:p w14:paraId="48EB020F" w14:textId="77777777" w:rsidR="0034726F" w:rsidRPr="00976103" w:rsidRDefault="0034726F" w:rsidP="0034726F">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7ABAE87D"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 </w:t>
            </w:r>
          </w:p>
        </w:tc>
        <w:tc>
          <w:tcPr>
            <w:tcW w:w="1221" w:type="dxa"/>
            <w:vAlign w:val="center"/>
          </w:tcPr>
          <w:p w14:paraId="6F760AF4"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p>
        </w:tc>
      </w:tr>
      <w:tr w:rsidR="0034726F" w:rsidRPr="00976103" w14:paraId="5AD29BFD" w14:textId="7777777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442B55F" w14:textId="77777777" w:rsidR="0034726F" w:rsidRPr="00976103" w:rsidRDefault="0034726F" w:rsidP="00F866B5">
            <w:pPr>
              <w:spacing w:after="0"/>
              <w:ind w:firstLineChars="100" w:firstLine="240"/>
              <w:jc w:val="left"/>
              <w:rPr>
                <w:color w:val="000000"/>
                <w:szCs w:val="24"/>
                <w:lang w:eastAsia="lv-LV"/>
              </w:rPr>
            </w:pPr>
            <w:r w:rsidRPr="00976103">
              <w:rPr>
                <w:color w:val="000000"/>
                <w:szCs w:val="24"/>
                <w:lang w:eastAsia="lv-LV"/>
              </w:rPr>
              <w:t>- darbaspēks</w:t>
            </w:r>
          </w:p>
        </w:tc>
        <w:tc>
          <w:tcPr>
            <w:tcW w:w="1409" w:type="dxa"/>
            <w:hideMark/>
          </w:tcPr>
          <w:p w14:paraId="3E34F34D" w14:textId="77777777" w:rsidR="0034726F" w:rsidRPr="00976103"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0669922"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0,05</w:t>
            </w:r>
          </w:p>
        </w:tc>
        <w:tc>
          <w:tcPr>
            <w:tcW w:w="1221" w:type="dxa"/>
            <w:vAlign w:val="center"/>
          </w:tcPr>
          <w:p w14:paraId="4B0D5DC1"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34726F">
              <w:rPr>
                <w:color w:val="000000"/>
                <w:szCs w:val="24"/>
              </w:rPr>
              <w:t>0,03</w:t>
            </w:r>
          </w:p>
        </w:tc>
      </w:tr>
      <w:tr w:rsidR="0034726F" w:rsidRPr="00976103" w14:paraId="66A4B65B" w14:textId="7777777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CB721CF" w14:textId="77777777" w:rsidR="0034726F" w:rsidRPr="00976103" w:rsidRDefault="0034726F" w:rsidP="00F866B5">
            <w:pPr>
              <w:spacing w:after="0"/>
              <w:ind w:firstLineChars="100" w:firstLine="240"/>
              <w:jc w:val="left"/>
              <w:rPr>
                <w:color w:val="000000"/>
                <w:szCs w:val="24"/>
                <w:lang w:eastAsia="lv-LV"/>
              </w:rPr>
            </w:pPr>
            <w:r w:rsidRPr="00976103">
              <w:rPr>
                <w:color w:val="000000"/>
                <w:szCs w:val="24"/>
                <w:lang w:eastAsia="lv-LV"/>
              </w:rPr>
              <w:t>- kapitāls</w:t>
            </w:r>
          </w:p>
        </w:tc>
        <w:tc>
          <w:tcPr>
            <w:tcW w:w="1409" w:type="dxa"/>
            <w:hideMark/>
          </w:tcPr>
          <w:p w14:paraId="7898E76D" w14:textId="77777777" w:rsidR="0034726F" w:rsidRPr="00976103"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CF329A6"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2,2</w:t>
            </w:r>
          </w:p>
        </w:tc>
        <w:tc>
          <w:tcPr>
            <w:tcW w:w="1221" w:type="dxa"/>
            <w:vAlign w:val="center"/>
          </w:tcPr>
          <w:p w14:paraId="37919242"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34726F">
              <w:rPr>
                <w:color w:val="000000"/>
                <w:szCs w:val="24"/>
              </w:rPr>
              <w:t>2,2</w:t>
            </w:r>
          </w:p>
        </w:tc>
      </w:tr>
      <w:tr w:rsidR="0034726F" w:rsidRPr="00976103" w14:paraId="62A1884A" w14:textId="7777777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7F4ACBB" w14:textId="77777777" w:rsidR="0034726F" w:rsidRPr="00976103" w:rsidRDefault="0034726F" w:rsidP="00F866B5">
            <w:pPr>
              <w:spacing w:after="0"/>
              <w:ind w:firstLineChars="100" w:firstLine="240"/>
              <w:jc w:val="left"/>
              <w:rPr>
                <w:color w:val="000000"/>
                <w:szCs w:val="24"/>
                <w:lang w:eastAsia="lv-LV"/>
              </w:rPr>
            </w:pPr>
            <w:r w:rsidRPr="00976103">
              <w:rPr>
                <w:color w:val="000000"/>
                <w:szCs w:val="24"/>
                <w:lang w:eastAsia="lv-LV"/>
              </w:rPr>
              <w:t>- kopējais faktoru ražīgums</w:t>
            </w:r>
          </w:p>
        </w:tc>
        <w:tc>
          <w:tcPr>
            <w:tcW w:w="1409" w:type="dxa"/>
            <w:hideMark/>
          </w:tcPr>
          <w:p w14:paraId="60935C72" w14:textId="77777777" w:rsidR="0034726F" w:rsidRPr="00976103"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04E6B71"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1,1</w:t>
            </w:r>
          </w:p>
        </w:tc>
        <w:tc>
          <w:tcPr>
            <w:tcW w:w="1221" w:type="dxa"/>
            <w:vAlign w:val="center"/>
          </w:tcPr>
          <w:p w14:paraId="2B7C825A"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34726F">
              <w:rPr>
                <w:color w:val="000000"/>
                <w:szCs w:val="24"/>
              </w:rPr>
              <w:t>1,2</w:t>
            </w:r>
          </w:p>
        </w:tc>
      </w:tr>
      <w:tr w:rsidR="0034726F" w:rsidRPr="00976103" w14:paraId="3D40A021" w14:textId="77777777" w:rsidTr="0034726F">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9F677AA"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11. Starpība starp faktisko un potenciālo IKP (% no potenciālā IKP)</w:t>
            </w:r>
          </w:p>
        </w:tc>
        <w:tc>
          <w:tcPr>
            <w:tcW w:w="1409" w:type="dxa"/>
            <w:hideMark/>
          </w:tcPr>
          <w:p w14:paraId="2F59AD78" w14:textId="77777777" w:rsidR="0034726F" w:rsidRPr="00976103"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E609FF9"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1,3</w:t>
            </w:r>
          </w:p>
        </w:tc>
        <w:tc>
          <w:tcPr>
            <w:tcW w:w="1221" w:type="dxa"/>
            <w:vAlign w:val="center"/>
          </w:tcPr>
          <w:p w14:paraId="7BE5E2F4"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34726F">
              <w:rPr>
                <w:color w:val="000000"/>
                <w:szCs w:val="24"/>
              </w:rPr>
              <w:t>0,9</w:t>
            </w:r>
          </w:p>
        </w:tc>
      </w:tr>
      <w:tr w:rsidR="0034726F" w:rsidRPr="00976103" w14:paraId="71EE3322" w14:textId="77777777" w:rsidTr="0034726F">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34BE4A2"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12. Budžeta bilances cikliskā komponente (% no IKP)</w:t>
            </w:r>
          </w:p>
        </w:tc>
        <w:tc>
          <w:tcPr>
            <w:tcW w:w="1409" w:type="dxa"/>
            <w:hideMark/>
          </w:tcPr>
          <w:p w14:paraId="418F021A" w14:textId="77777777" w:rsidR="0034726F" w:rsidRPr="00976103"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65084FA"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0,5</w:t>
            </w:r>
          </w:p>
        </w:tc>
        <w:tc>
          <w:tcPr>
            <w:tcW w:w="1221" w:type="dxa"/>
            <w:vAlign w:val="center"/>
          </w:tcPr>
          <w:p w14:paraId="7A0A2303"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34726F">
              <w:rPr>
                <w:color w:val="000000"/>
                <w:szCs w:val="24"/>
              </w:rPr>
              <w:t>0,4</w:t>
            </w:r>
          </w:p>
        </w:tc>
      </w:tr>
      <w:tr w:rsidR="0034726F" w:rsidRPr="00976103" w14:paraId="70F22F0B" w14:textId="77777777" w:rsidTr="0034726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A2C81BB"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 xml:space="preserve">13. Cikliski koriģētā bilance (1 </w:t>
            </w:r>
            <w:r>
              <w:rPr>
                <w:color w:val="000000"/>
                <w:szCs w:val="24"/>
                <w:lang w:eastAsia="lv-LV"/>
              </w:rPr>
              <w:t>–</w:t>
            </w:r>
            <w:r w:rsidRPr="00976103">
              <w:rPr>
                <w:color w:val="000000"/>
                <w:szCs w:val="24"/>
                <w:lang w:eastAsia="lv-LV"/>
              </w:rPr>
              <w:t xml:space="preserve"> 12) (% no IKP)</w:t>
            </w:r>
          </w:p>
        </w:tc>
        <w:tc>
          <w:tcPr>
            <w:tcW w:w="1409" w:type="dxa"/>
            <w:hideMark/>
          </w:tcPr>
          <w:p w14:paraId="7879CFCD" w14:textId="77777777" w:rsidR="0034726F" w:rsidRPr="00976103"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7425E8C0"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-1,2</w:t>
            </w:r>
          </w:p>
        </w:tc>
        <w:tc>
          <w:tcPr>
            <w:tcW w:w="1221" w:type="dxa"/>
            <w:vAlign w:val="center"/>
          </w:tcPr>
          <w:p w14:paraId="6D5F0290" w14:textId="77777777" w:rsidR="0034726F" w:rsidRPr="0026605B"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34726F">
              <w:rPr>
                <w:color w:val="000000"/>
                <w:szCs w:val="24"/>
              </w:rPr>
              <w:t>-0,9</w:t>
            </w:r>
          </w:p>
        </w:tc>
      </w:tr>
      <w:tr w:rsidR="0034726F" w:rsidRPr="00976103" w14:paraId="0336F814" w14:textId="77777777" w:rsidTr="0034726F">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603A605"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14. Cikliski koriģētā primārā bilance (13 + 6) (% no IKP)</w:t>
            </w:r>
          </w:p>
        </w:tc>
        <w:tc>
          <w:tcPr>
            <w:tcW w:w="1409" w:type="dxa"/>
            <w:hideMark/>
          </w:tcPr>
          <w:p w14:paraId="2504CC62" w14:textId="77777777" w:rsidR="0034726F" w:rsidRPr="00976103"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442198C7" w14:textId="77777777" w:rsidR="0034726F" w:rsidRPr="0031631E"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-0,4</w:t>
            </w:r>
          </w:p>
        </w:tc>
        <w:tc>
          <w:tcPr>
            <w:tcW w:w="1221" w:type="dxa"/>
            <w:vAlign w:val="center"/>
          </w:tcPr>
          <w:p w14:paraId="57EEE794" w14:textId="77777777" w:rsidR="0034726F" w:rsidRPr="0026605B" w:rsidRDefault="0034726F" w:rsidP="0034726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34726F">
              <w:rPr>
                <w:color w:val="000000"/>
                <w:szCs w:val="24"/>
              </w:rPr>
              <w:t>-0,1</w:t>
            </w:r>
          </w:p>
        </w:tc>
      </w:tr>
      <w:tr w:rsidR="0034726F" w:rsidRPr="00976103" w14:paraId="439EDCFF" w14:textId="77777777" w:rsidTr="0034726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ED7CC8A" w14:textId="77777777" w:rsidR="0034726F" w:rsidRPr="00976103" w:rsidRDefault="0034726F" w:rsidP="0034726F">
            <w:pPr>
              <w:spacing w:after="0"/>
              <w:ind w:firstLine="0"/>
              <w:jc w:val="left"/>
              <w:rPr>
                <w:color w:val="000000"/>
                <w:szCs w:val="24"/>
                <w:lang w:eastAsia="lv-LV"/>
              </w:rPr>
            </w:pPr>
            <w:r w:rsidRPr="00976103">
              <w:rPr>
                <w:color w:val="000000"/>
                <w:szCs w:val="24"/>
                <w:lang w:eastAsia="lv-LV"/>
              </w:rPr>
              <w:t>1</w:t>
            </w:r>
            <w:r>
              <w:rPr>
                <w:color w:val="000000"/>
                <w:szCs w:val="24"/>
                <w:lang w:eastAsia="lv-LV"/>
              </w:rPr>
              <w:t>5. Strukturālā bilance (13 – 8)</w:t>
            </w:r>
            <w:r w:rsidRPr="00976103">
              <w:rPr>
                <w:color w:val="000000"/>
                <w:szCs w:val="24"/>
                <w:lang w:eastAsia="lv-LV"/>
              </w:rPr>
              <w:t xml:space="preserve"> (% no IKP)</w:t>
            </w:r>
            <w:r>
              <w:rPr>
                <w:color w:val="000000"/>
                <w:szCs w:val="24"/>
                <w:lang w:eastAsia="lv-LV"/>
              </w:rPr>
              <w:t xml:space="preserve"> </w:t>
            </w:r>
            <w:r>
              <w:rPr>
                <w:rStyle w:val="FootnoteReference"/>
                <w:color w:val="000000"/>
                <w:szCs w:val="24"/>
                <w:lang w:eastAsia="lv-LV"/>
              </w:rPr>
              <w:footnoteReference w:id="3"/>
            </w:r>
          </w:p>
        </w:tc>
        <w:tc>
          <w:tcPr>
            <w:tcW w:w="1409" w:type="dxa"/>
            <w:noWrap/>
            <w:hideMark/>
          </w:tcPr>
          <w:p w14:paraId="67CEA997" w14:textId="77777777" w:rsidR="0034726F" w:rsidRPr="00976103" w:rsidRDefault="0034726F" w:rsidP="0034726F">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7E4D0681"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-1,2</w:t>
            </w:r>
          </w:p>
        </w:tc>
        <w:tc>
          <w:tcPr>
            <w:tcW w:w="1221" w:type="dxa"/>
            <w:vAlign w:val="center"/>
          </w:tcPr>
          <w:p w14:paraId="6BFF7E58" w14:textId="77777777" w:rsidR="0034726F" w:rsidRPr="0031631E" w:rsidRDefault="0034726F" w:rsidP="0034726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34726F">
              <w:rPr>
                <w:color w:val="000000"/>
                <w:szCs w:val="24"/>
              </w:rPr>
              <w:t>-1,0</w:t>
            </w:r>
          </w:p>
        </w:tc>
      </w:tr>
    </w:tbl>
    <w:p w14:paraId="4090F32F" w14:textId="77777777" w:rsidR="00DF6819" w:rsidRDefault="00DF6819" w:rsidP="00272FF4">
      <w:pPr>
        <w:pStyle w:val="Heading1"/>
        <w:tabs>
          <w:tab w:val="left" w:pos="1276"/>
        </w:tabs>
        <w:spacing w:before="0" w:after="240"/>
        <w:ind w:firstLine="0"/>
        <w:jc w:val="left"/>
        <w:rPr>
          <w:b w:val="0"/>
        </w:rPr>
      </w:pPr>
    </w:p>
    <w:p w14:paraId="13CE3608" w14:textId="77777777" w:rsidR="00DF6819" w:rsidRDefault="00DF6819" w:rsidP="00272FF4">
      <w:pPr>
        <w:pStyle w:val="Heading1"/>
        <w:tabs>
          <w:tab w:val="left" w:pos="1276"/>
        </w:tabs>
        <w:spacing w:before="0" w:after="240"/>
        <w:ind w:firstLine="0"/>
        <w:jc w:val="left"/>
        <w:rPr>
          <w:b w:val="0"/>
        </w:rPr>
      </w:pPr>
    </w:p>
    <w:p w14:paraId="68FB9038" w14:textId="77777777" w:rsidR="00272FF4" w:rsidRPr="00976103" w:rsidRDefault="00272FF4" w:rsidP="00272FF4">
      <w:pPr>
        <w:pStyle w:val="Heading1"/>
        <w:tabs>
          <w:tab w:val="left" w:pos="1276"/>
        </w:tabs>
        <w:spacing w:before="0" w:after="240"/>
        <w:ind w:firstLine="0"/>
        <w:jc w:val="left"/>
        <w:rPr>
          <w:rFonts w:ascii="Times New Roman" w:hAnsi="Times New Roman"/>
        </w:rPr>
      </w:pPr>
      <w:r w:rsidRPr="00976103">
        <w:rPr>
          <w:b w:val="0"/>
        </w:rPr>
        <w:br w:type="page"/>
      </w:r>
      <w:bookmarkStart w:id="11" w:name="_Toc1374662"/>
      <w:r w:rsidRPr="001D5709">
        <w:rPr>
          <w:rFonts w:ascii="Times New Roman" w:hAnsi="Times New Roman"/>
          <w:color w:val="18185F"/>
          <w:sz w:val="24"/>
        </w:rPr>
        <w:lastRenderedPageBreak/>
        <w:t>Tabula 2.b: Vispārējās valdības parāda attīstība 201</w:t>
      </w:r>
      <w:r w:rsidR="0027687A">
        <w:rPr>
          <w:rFonts w:ascii="Times New Roman" w:hAnsi="Times New Roman"/>
          <w:color w:val="18185F"/>
          <w:sz w:val="24"/>
          <w:lang w:val="lv-LV"/>
        </w:rPr>
        <w:t>8</w:t>
      </w:r>
      <w:r w:rsidR="00D85FDB">
        <w:rPr>
          <w:rFonts w:ascii="Times New Roman" w:hAnsi="Times New Roman"/>
          <w:color w:val="18185F"/>
          <w:sz w:val="24"/>
        </w:rPr>
        <w:t>.</w:t>
      </w:r>
      <w:r w:rsidR="005030D2">
        <w:rPr>
          <w:szCs w:val="24"/>
        </w:rPr>
        <w:t>–</w:t>
      </w:r>
      <w:r w:rsidR="00D85FDB">
        <w:rPr>
          <w:rFonts w:ascii="Times New Roman" w:hAnsi="Times New Roman"/>
          <w:color w:val="18185F"/>
          <w:sz w:val="24"/>
        </w:rPr>
        <w:t>201</w:t>
      </w:r>
      <w:r w:rsidR="0027687A">
        <w:rPr>
          <w:rFonts w:ascii="Times New Roman" w:hAnsi="Times New Roman"/>
          <w:color w:val="18185F"/>
          <w:sz w:val="24"/>
          <w:lang w:val="lv-LV"/>
        </w:rPr>
        <w:t>9</w:t>
      </w:r>
      <w:r w:rsidRPr="001D5709">
        <w:rPr>
          <w:rFonts w:ascii="Times New Roman" w:hAnsi="Times New Roman"/>
          <w:color w:val="18185F"/>
          <w:sz w:val="24"/>
        </w:rPr>
        <w:t>.gadā</w:t>
      </w:r>
      <w:bookmarkEnd w:id="11"/>
    </w:p>
    <w:tbl>
      <w:tblPr>
        <w:tblStyle w:val="GridTable6Colorful-Accent11"/>
        <w:tblW w:w="9209" w:type="dxa"/>
        <w:jc w:val="center"/>
        <w:tblLayout w:type="fixed"/>
        <w:tblLook w:val="04A0" w:firstRow="1" w:lastRow="0" w:firstColumn="1" w:lastColumn="0" w:noHBand="0" w:noVBand="1"/>
      </w:tblPr>
      <w:tblGrid>
        <w:gridCol w:w="5515"/>
        <w:gridCol w:w="1276"/>
        <w:gridCol w:w="1237"/>
        <w:gridCol w:w="1181"/>
      </w:tblGrid>
      <w:tr w:rsidR="00003E2F" w:rsidRPr="00003E2F" w14:paraId="4F26C6F3" w14:textId="77777777" w:rsidTr="001B0074">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15D8A0D8" w14:textId="77777777" w:rsidR="00272FF4" w:rsidRPr="00003E2F" w:rsidRDefault="00272FF4" w:rsidP="001B0074">
            <w:pPr>
              <w:spacing w:after="0"/>
              <w:ind w:firstLine="0"/>
              <w:jc w:val="center"/>
              <w:rPr>
                <w:b w:val="0"/>
                <w:bCs w:val="0"/>
                <w:color w:val="auto"/>
                <w:szCs w:val="24"/>
                <w:lang w:eastAsia="lv-LV"/>
              </w:rPr>
            </w:pPr>
          </w:p>
        </w:tc>
        <w:tc>
          <w:tcPr>
            <w:tcW w:w="1276" w:type="dxa"/>
            <w:vAlign w:val="center"/>
            <w:hideMark/>
          </w:tcPr>
          <w:p w14:paraId="329F328C" w14:textId="77777777" w:rsidR="00272FF4" w:rsidRPr="00003E2F"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Cs w:val="24"/>
                <w:lang w:eastAsia="lv-LV"/>
              </w:rPr>
            </w:pPr>
            <w:r w:rsidRPr="00003E2F">
              <w:rPr>
                <w:color w:val="auto"/>
                <w:szCs w:val="24"/>
                <w:lang w:eastAsia="lv-LV"/>
              </w:rPr>
              <w:t>EKS kods</w:t>
            </w:r>
          </w:p>
        </w:tc>
        <w:tc>
          <w:tcPr>
            <w:tcW w:w="1237" w:type="dxa"/>
            <w:noWrap/>
            <w:vAlign w:val="center"/>
            <w:hideMark/>
          </w:tcPr>
          <w:p w14:paraId="2062E18E" w14:textId="77777777" w:rsidR="00272FF4" w:rsidRPr="00003E2F" w:rsidRDefault="006F3B5B" w:rsidP="005B1858">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w:t>
            </w:r>
            <w:r w:rsidR="005B1858">
              <w:rPr>
                <w:color w:val="auto"/>
                <w:szCs w:val="24"/>
                <w:lang w:eastAsia="lv-LV"/>
              </w:rPr>
              <w:t>8</w:t>
            </w:r>
          </w:p>
        </w:tc>
        <w:tc>
          <w:tcPr>
            <w:tcW w:w="1181" w:type="dxa"/>
            <w:noWrap/>
            <w:vAlign w:val="center"/>
            <w:hideMark/>
          </w:tcPr>
          <w:p w14:paraId="0C73BD03" w14:textId="77777777" w:rsidR="00272FF4" w:rsidRPr="00003E2F" w:rsidRDefault="006F3B5B" w:rsidP="005B1858">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w:t>
            </w:r>
            <w:r w:rsidR="005B1858">
              <w:rPr>
                <w:color w:val="auto"/>
                <w:szCs w:val="24"/>
                <w:lang w:eastAsia="lv-LV"/>
              </w:rPr>
              <w:t>9</w:t>
            </w:r>
          </w:p>
        </w:tc>
      </w:tr>
      <w:tr w:rsidR="00381267" w:rsidRPr="00003E2F" w14:paraId="19538A1E" w14:textId="77777777" w:rsidTr="001B007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tcPr>
          <w:p w14:paraId="1DAB2E39" w14:textId="77777777" w:rsidR="00381267" w:rsidRPr="00003E2F" w:rsidRDefault="00381267" w:rsidP="001B0074">
            <w:pPr>
              <w:spacing w:after="0"/>
              <w:ind w:firstLine="0"/>
              <w:jc w:val="center"/>
              <w:rPr>
                <w:szCs w:val="24"/>
                <w:lang w:eastAsia="lv-LV"/>
              </w:rPr>
            </w:pPr>
          </w:p>
        </w:tc>
        <w:tc>
          <w:tcPr>
            <w:tcW w:w="3694" w:type="dxa"/>
            <w:gridSpan w:val="3"/>
            <w:vAlign w:val="center"/>
          </w:tcPr>
          <w:p w14:paraId="4B19014B" w14:textId="77777777" w:rsidR="00381267" w:rsidRDefault="00381267"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szCs w:val="24"/>
                <w:lang w:eastAsia="lv-LV"/>
              </w:rPr>
            </w:pPr>
            <w:r w:rsidRPr="00003E2F">
              <w:rPr>
                <w:color w:val="auto"/>
                <w:szCs w:val="24"/>
                <w:lang w:eastAsia="lv-LV"/>
              </w:rPr>
              <w:t>% no IKP</w:t>
            </w:r>
          </w:p>
        </w:tc>
      </w:tr>
      <w:tr w:rsidR="0092680D" w:rsidRPr="00003E2F" w14:paraId="3B436BDE" w14:textId="77777777" w:rsidTr="006652F3">
        <w:trPr>
          <w:trHeight w:val="282"/>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4E65BA5"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1. Bruto parāds</w:t>
            </w:r>
          </w:p>
        </w:tc>
        <w:tc>
          <w:tcPr>
            <w:tcW w:w="1276" w:type="dxa"/>
            <w:noWrap/>
            <w:hideMark/>
          </w:tcPr>
          <w:p w14:paraId="04568C02" w14:textId="77777777" w:rsidR="0092680D" w:rsidRPr="00003E2F" w:rsidRDefault="0092680D" w:rsidP="0092680D">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0745CBA6" w14:textId="77777777" w:rsidR="0092680D" w:rsidRPr="0092680D" w:rsidRDefault="0092680D"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37,</w:t>
            </w:r>
            <w:r w:rsidR="00CA6EA7">
              <w:rPr>
                <w:bCs/>
                <w:color w:val="auto"/>
              </w:rPr>
              <w:t>2</w:t>
            </w:r>
          </w:p>
        </w:tc>
        <w:tc>
          <w:tcPr>
            <w:tcW w:w="1181" w:type="dxa"/>
            <w:noWrap/>
            <w:vAlign w:val="center"/>
          </w:tcPr>
          <w:p w14:paraId="1BA24525" w14:textId="77777777" w:rsidR="0092680D" w:rsidRPr="0092680D" w:rsidRDefault="0092680D"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38,</w:t>
            </w:r>
            <w:r w:rsidR="00CA6EA7">
              <w:rPr>
                <w:bCs/>
                <w:color w:val="auto"/>
              </w:rPr>
              <w:t>1</w:t>
            </w:r>
          </w:p>
        </w:tc>
      </w:tr>
      <w:tr w:rsidR="0092680D" w:rsidRPr="00003E2F" w14:paraId="2319E18A" w14:textId="77777777" w:rsidTr="006652F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248DEBCE"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2. Bruto parāda izmaiņas</w:t>
            </w:r>
          </w:p>
        </w:tc>
        <w:tc>
          <w:tcPr>
            <w:tcW w:w="1276" w:type="dxa"/>
            <w:noWrap/>
            <w:hideMark/>
          </w:tcPr>
          <w:p w14:paraId="739C149A" w14:textId="77777777" w:rsidR="0092680D" w:rsidRPr="00003E2F" w:rsidRDefault="0092680D" w:rsidP="0092680D">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45CF3ED2" w14:textId="77777777" w:rsidR="0092680D" w:rsidRPr="0092680D" w:rsidRDefault="0092680D"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-2,</w:t>
            </w:r>
            <w:r w:rsidR="00CA6EA7">
              <w:rPr>
                <w:bCs/>
                <w:color w:val="auto"/>
              </w:rPr>
              <w:t>8</w:t>
            </w:r>
          </w:p>
        </w:tc>
        <w:tc>
          <w:tcPr>
            <w:tcW w:w="1181" w:type="dxa"/>
            <w:noWrap/>
            <w:vAlign w:val="center"/>
          </w:tcPr>
          <w:p w14:paraId="3AA9E744" w14:textId="77777777" w:rsidR="0092680D" w:rsidRPr="0092680D" w:rsidRDefault="0092680D"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1,0</w:t>
            </w:r>
          </w:p>
        </w:tc>
      </w:tr>
      <w:tr w:rsidR="00003E2F" w:rsidRPr="00003E2F" w14:paraId="75C28533" w14:textId="77777777" w:rsidTr="00845A13">
        <w:trPr>
          <w:trHeight w:val="254"/>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32EE29B3" w14:textId="77777777" w:rsidR="00272FF4" w:rsidRPr="0092680D" w:rsidRDefault="00272FF4" w:rsidP="008D5055">
            <w:pPr>
              <w:spacing w:after="0"/>
              <w:ind w:firstLine="0"/>
              <w:jc w:val="center"/>
              <w:rPr>
                <w:bCs w:val="0"/>
                <w:color w:val="auto"/>
                <w:szCs w:val="24"/>
                <w:lang w:eastAsia="lv-LV"/>
              </w:rPr>
            </w:pPr>
            <w:r w:rsidRPr="0092680D">
              <w:rPr>
                <w:color w:val="auto"/>
                <w:szCs w:val="24"/>
                <w:lang w:eastAsia="lv-LV"/>
              </w:rPr>
              <w:t>Kopējā parāda izmaiņas ietekmējošie faktori</w:t>
            </w:r>
          </w:p>
        </w:tc>
      </w:tr>
      <w:tr w:rsidR="0092680D" w:rsidRPr="00003E2F" w14:paraId="004A2C8C" w14:textId="77777777" w:rsidTr="006652F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427CF92D"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3. Primārā bilance</w:t>
            </w:r>
          </w:p>
        </w:tc>
        <w:tc>
          <w:tcPr>
            <w:tcW w:w="1276" w:type="dxa"/>
            <w:noWrap/>
            <w:hideMark/>
          </w:tcPr>
          <w:p w14:paraId="4F7012BB" w14:textId="77777777" w:rsidR="0092680D" w:rsidRPr="00003E2F" w:rsidRDefault="0092680D" w:rsidP="0092680D">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198B728B" w14:textId="77777777" w:rsidR="0092680D" w:rsidRPr="0092680D" w:rsidRDefault="0092680D"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0,</w:t>
            </w:r>
            <w:r w:rsidR="00CA6EA7">
              <w:rPr>
                <w:bCs/>
                <w:color w:val="auto"/>
              </w:rPr>
              <w:t>1</w:t>
            </w:r>
          </w:p>
        </w:tc>
        <w:tc>
          <w:tcPr>
            <w:tcW w:w="1181" w:type="dxa"/>
            <w:noWrap/>
            <w:vAlign w:val="center"/>
          </w:tcPr>
          <w:p w14:paraId="15B5F379" w14:textId="77777777" w:rsidR="0092680D" w:rsidRPr="0092680D" w:rsidRDefault="0092680D"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0,</w:t>
            </w:r>
            <w:r w:rsidR="00CA6EA7">
              <w:rPr>
                <w:bCs/>
                <w:color w:val="auto"/>
              </w:rPr>
              <w:t>2</w:t>
            </w:r>
          </w:p>
        </w:tc>
      </w:tr>
      <w:tr w:rsidR="0092680D" w:rsidRPr="00003E2F" w14:paraId="13FD67A9" w14:textId="77777777" w:rsidTr="006652F3">
        <w:trPr>
          <w:trHeight w:val="26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89BA431"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 xml:space="preserve">4. Procentu maksājumi </w:t>
            </w:r>
          </w:p>
        </w:tc>
        <w:tc>
          <w:tcPr>
            <w:tcW w:w="1276" w:type="dxa"/>
            <w:hideMark/>
          </w:tcPr>
          <w:p w14:paraId="45F6C185" w14:textId="77777777" w:rsidR="0092680D" w:rsidRPr="00003E2F" w:rsidRDefault="0092680D" w:rsidP="0092680D">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EDP D.41</w:t>
            </w:r>
          </w:p>
        </w:tc>
        <w:tc>
          <w:tcPr>
            <w:tcW w:w="1237" w:type="dxa"/>
            <w:noWrap/>
            <w:vAlign w:val="center"/>
          </w:tcPr>
          <w:p w14:paraId="266AEBC0" w14:textId="77777777" w:rsidR="0092680D" w:rsidRPr="0092680D" w:rsidRDefault="0092680D"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0,8</w:t>
            </w:r>
          </w:p>
        </w:tc>
        <w:tc>
          <w:tcPr>
            <w:tcW w:w="1181" w:type="dxa"/>
            <w:noWrap/>
            <w:vAlign w:val="center"/>
          </w:tcPr>
          <w:p w14:paraId="6EE2F5D2" w14:textId="77777777" w:rsidR="0092680D" w:rsidRPr="0092680D" w:rsidRDefault="0092680D"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0,8</w:t>
            </w:r>
          </w:p>
        </w:tc>
      </w:tr>
      <w:tr w:rsidR="0092680D" w:rsidRPr="00003E2F" w14:paraId="4D709A4A" w14:textId="77777777" w:rsidTr="006652F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B7E874C"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 xml:space="preserve">5. Krājumu </w:t>
            </w:r>
            <w:r w:rsidRPr="00B21E59">
              <w:rPr>
                <w:color w:val="auto"/>
                <w:szCs w:val="24"/>
                <w:lang w:eastAsia="lv-LV"/>
              </w:rPr>
              <w:t>izmaiņas, t.sk.</w:t>
            </w:r>
          </w:p>
        </w:tc>
        <w:tc>
          <w:tcPr>
            <w:tcW w:w="1276" w:type="dxa"/>
            <w:hideMark/>
          </w:tcPr>
          <w:p w14:paraId="401964B2" w14:textId="77777777" w:rsidR="0092680D" w:rsidRPr="00003E2F" w:rsidRDefault="0092680D" w:rsidP="0092680D">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2938E4B2" w14:textId="77777777" w:rsidR="0092680D" w:rsidRPr="0092680D" w:rsidRDefault="0092680D"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-3,</w:t>
            </w:r>
            <w:r w:rsidR="00CA6EA7">
              <w:rPr>
                <w:bCs/>
                <w:color w:val="auto"/>
              </w:rPr>
              <w:t>5</w:t>
            </w:r>
          </w:p>
        </w:tc>
        <w:tc>
          <w:tcPr>
            <w:tcW w:w="1181" w:type="dxa"/>
            <w:noWrap/>
            <w:vAlign w:val="center"/>
          </w:tcPr>
          <w:p w14:paraId="06AA46F3" w14:textId="77777777" w:rsidR="0092680D" w:rsidRPr="0092680D" w:rsidRDefault="0092680D"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92680D">
              <w:rPr>
                <w:bCs/>
                <w:color w:val="auto"/>
              </w:rPr>
              <w:t>0,</w:t>
            </w:r>
            <w:r w:rsidR="00CA6EA7">
              <w:rPr>
                <w:bCs/>
                <w:color w:val="auto"/>
              </w:rPr>
              <w:t>4</w:t>
            </w:r>
          </w:p>
        </w:tc>
      </w:tr>
      <w:tr w:rsidR="0092680D" w:rsidRPr="00003E2F" w14:paraId="7F22306B" w14:textId="77777777" w:rsidTr="006652F3">
        <w:trPr>
          <w:trHeight w:val="255"/>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73DBE3B1" w14:textId="77777777" w:rsidR="0092680D" w:rsidRPr="00003E2F" w:rsidRDefault="0092680D" w:rsidP="0092680D">
            <w:pPr>
              <w:spacing w:after="0"/>
              <w:ind w:firstLine="0"/>
              <w:jc w:val="left"/>
              <w:rPr>
                <w:bCs w:val="0"/>
                <w:color w:val="auto"/>
                <w:szCs w:val="24"/>
                <w:lang w:eastAsia="lv-LV"/>
              </w:rPr>
            </w:pPr>
            <w:r w:rsidRPr="00003E2F">
              <w:rPr>
                <w:color w:val="auto"/>
                <w:szCs w:val="24"/>
                <w:lang w:eastAsia="lv-LV"/>
              </w:rPr>
              <w:t>Valsts parāda netiešā procentu likme</w:t>
            </w:r>
          </w:p>
        </w:tc>
        <w:tc>
          <w:tcPr>
            <w:tcW w:w="1276" w:type="dxa"/>
            <w:noWrap/>
            <w:hideMark/>
          </w:tcPr>
          <w:p w14:paraId="55BB0332" w14:textId="77777777" w:rsidR="0092680D" w:rsidRPr="00003E2F" w:rsidRDefault="0092680D" w:rsidP="0092680D">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027685C9" w14:textId="77777777" w:rsidR="0092680D" w:rsidRPr="0092680D" w:rsidRDefault="0092680D"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2,1</w:t>
            </w:r>
          </w:p>
        </w:tc>
        <w:tc>
          <w:tcPr>
            <w:tcW w:w="1181" w:type="dxa"/>
            <w:noWrap/>
            <w:vAlign w:val="center"/>
          </w:tcPr>
          <w:p w14:paraId="17F723B9" w14:textId="77777777" w:rsidR="0092680D" w:rsidRPr="0092680D" w:rsidRDefault="0092680D"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92680D">
              <w:rPr>
                <w:bCs/>
                <w:color w:val="auto"/>
              </w:rPr>
              <w:t>2,</w:t>
            </w:r>
            <w:r w:rsidR="00CA6EA7">
              <w:rPr>
                <w:bCs/>
                <w:color w:val="auto"/>
              </w:rPr>
              <w:t>2</w:t>
            </w:r>
          </w:p>
        </w:tc>
      </w:tr>
      <w:tr w:rsidR="00003E2F" w:rsidRPr="00003E2F" w14:paraId="24C08E10" w14:textId="77777777" w:rsidTr="00845A13">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5DA88343" w14:textId="77777777" w:rsidR="00272FF4" w:rsidRPr="0092680D" w:rsidRDefault="00272FF4" w:rsidP="008D5055">
            <w:pPr>
              <w:spacing w:after="0"/>
              <w:ind w:firstLine="0"/>
              <w:jc w:val="center"/>
              <w:rPr>
                <w:bCs w:val="0"/>
                <w:color w:val="auto"/>
                <w:szCs w:val="24"/>
                <w:lang w:eastAsia="lv-LV"/>
              </w:rPr>
            </w:pPr>
            <w:r w:rsidRPr="0092680D">
              <w:rPr>
                <w:color w:val="auto"/>
                <w:szCs w:val="24"/>
                <w:lang w:eastAsia="lv-LV"/>
              </w:rPr>
              <w:t>Citi mainīgie</w:t>
            </w:r>
          </w:p>
        </w:tc>
      </w:tr>
      <w:tr w:rsidR="00003E2F" w:rsidRPr="00003E2F" w14:paraId="69F1A303" w14:textId="77777777" w:rsidTr="007A318D">
        <w:trPr>
          <w:trHeight w:val="249"/>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0A16C4CC"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6. Likvīdi finanšu aktīvi</w:t>
            </w:r>
          </w:p>
        </w:tc>
        <w:tc>
          <w:tcPr>
            <w:tcW w:w="1276" w:type="dxa"/>
            <w:noWrap/>
            <w:hideMark/>
          </w:tcPr>
          <w:p w14:paraId="26887671"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5C348698" w14:textId="77777777" w:rsidR="00272FF4" w:rsidRPr="0092680D" w:rsidRDefault="00272FF4"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81" w:type="dxa"/>
            <w:noWrap/>
            <w:vAlign w:val="center"/>
          </w:tcPr>
          <w:p w14:paraId="661C623D" w14:textId="77777777" w:rsidR="00272FF4" w:rsidRPr="0092680D" w:rsidRDefault="00272FF4"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003E2F" w14:paraId="405E1840" w14:textId="77777777" w:rsidTr="006652F3">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60796A8"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7. Neto finansiālais parāds (7=1-6)</w:t>
            </w:r>
          </w:p>
        </w:tc>
        <w:tc>
          <w:tcPr>
            <w:tcW w:w="1276" w:type="dxa"/>
            <w:noWrap/>
            <w:hideMark/>
          </w:tcPr>
          <w:p w14:paraId="1C2BB2CE"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53774168" w14:textId="77777777" w:rsidR="00272FF4" w:rsidRPr="0092680D"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211511F1" w14:textId="77777777" w:rsidR="00272FF4" w:rsidRPr="0092680D"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E21527" w:rsidRPr="00003E2F" w14:paraId="54C528A1" w14:textId="77777777" w:rsidTr="006652F3">
        <w:trPr>
          <w:trHeight w:val="25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74D536F3" w14:textId="77777777" w:rsidR="00E21527" w:rsidRPr="00003E2F" w:rsidRDefault="00E21527" w:rsidP="00E21527">
            <w:pPr>
              <w:spacing w:after="0"/>
              <w:ind w:firstLine="0"/>
              <w:jc w:val="left"/>
              <w:rPr>
                <w:color w:val="auto"/>
                <w:szCs w:val="24"/>
                <w:lang w:eastAsia="lv-LV"/>
              </w:rPr>
            </w:pPr>
            <w:r w:rsidRPr="00003E2F">
              <w:rPr>
                <w:color w:val="auto"/>
                <w:szCs w:val="24"/>
                <w:lang w:eastAsia="lv-LV"/>
              </w:rPr>
              <w:t>8. Parāda amortizācija</w:t>
            </w:r>
          </w:p>
        </w:tc>
        <w:tc>
          <w:tcPr>
            <w:tcW w:w="1276" w:type="dxa"/>
            <w:noWrap/>
            <w:hideMark/>
          </w:tcPr>
          <w:p w14:paraId="32A9F11A" w14:textId="77777777" w:rsidR="00E21527" w:rsidRPr="00003E2F" w:rsidRDefault="00E21527" w:rsidP="00E21527">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3C9350C8" w14:textId="77777777" w:rsidR="00E21527" w:rsidRPr="0092680D" w:rsidRDefault="00E21527"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92680D">
              <w:rPr>
                <w:color w:val="auto"/>
              </w:rPr>
              <w:t>2,</w:t>
            </w:r>
            <w:r w:rsidR="00CA6EA7">
              <w:rPr>
                <w:color w:val="auto"/>
              </w:rPr>
              <w:t>6</w:t>
            </w:r>
          </w:p>
        </w:tc>
        <w:tc>
          <w:tcPr>
            <w:tcW w:w="1181" w:type="dxa"/>
            <w:noWrap/>
            <w:vAlign w:val="center"/>
          </w:tcPr>
          <w:p w14:paraId="7A8ED66E" w14:textId="77777777" w:rsidR="00E21527" w:rsidRPr="0092680D" w:rsidRDefault="00E21527"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92680D">
              <w:rPr>
                <w:color w:val="auto"/>
              </w:rPr>
              <w:t>1,2</w:t>
            </w:r>
          </w:p>
        </w:tc>
      </w:tr>
      <w:tr w:rsidR="00E21527" w:rsidRPr="00003E2F" w14:paraId="3A603505" w14:textId="77777777" w:rsidTr="006652F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2AB48D45" w14:textId="77777777" w:rsidR="00E21527" w:rsidRPr="00003E2F" w:rsidRDefault="00E21527" w:rsidP="00E21527">
            <w:pPr>
              <w:spacing w:after="0"/>
              <w:ind w:firstLine="0"/>
              <w:jc w:val="left"/>
              <w:rPr>
                <w:color w:val="auto"/>
                <w:szCs w:val="24"/>
                <w:lang w:eastAsia="lv-LV"/>
              </w:rPr>
            </w:pPr>
            <w:r w:rsidRPr="00003E2F">
              <w:rPr>
                <w:color w:val="auto"/>
                <w:szCs w:val="24"/>
                <w:lang w:eastAsia="lv-LV"/>
              </w:rPr>
              <w:t>9. Ārvalstu valūtā denominētā parāda īpatsvars</w:t>
            </w:r>
          </w:p>
        </w:tc>
        <w:tc>
          <w:tcPr>
            <w:tcW w:w="1276" w:type="dxa"/>
            <w:noWrap/>
            <w:hideMark/>
          </w:tcPr>
          <w:p w14:paraId="6B9C4F4E" w14:textId="77777777" w:rsidR="00E21527" w:rsidRPr="00003E2F" w:rsidRDefault="00E21527" w:rsidP="00E21527">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669B48DD" w14:textId="77777777" w:rsidR="00E21527" w:rsidRPr="0092680D" w:rsidRDefault="00E21527"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92680D">
              <w:rPr>
                <w:color w:val="auto"/>
              </w:rPr>
              <w:t>1</w:t>
            </w:r>
            <w:r w:rsidR="00CA6EA7">
              <w:rPr>
                <w:color w:val="auto"/>
              </w:rPr>
              <w:t>0</w:t>
            </w:r>
            <w:r w:rsidRPr="0092680D">
              <w:rPr>
                <w:color w:val="auto"/>
              </w:rPr>
              <w:t>,</w:t>
            </w:r>
            <w:r w:rsidR="00CA6EA7">
              <w:rPr>
                <w:color w:val="auto"/>
              </w:rPr>
              <w:t>2</w:t>
            </w:r>
          </w:p>
        </w:tc>
        <w:tc>
          <w:tcPr>
            <w:tcW w:w="1181" w:type="dxa"/>
            <w:noWrap/>
            <w:vAlign w:val="center"/>
          </w:tcPr>
          <w:p w14:paraId="6E4724EB" w14:textId="77777777" w:rsidR="00E21527" w:rsidRPr="0092680D" w:rsidRDefault="00CA6EA7"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rPr>
              <w:t>9</w:t>
            </w:r>
            <w:r w:rsidR="00E21527" w:rsidRPr="0092680D">
              <w:rPr>
                <w:color w:val="auto"/>
              </w:rPr>
              <w:t>,</w:t>
            </w:r>
            <w:r>
              <w:rPr>
                <w:color w:val="auto"/>
              </w:rPr>
              <w:t>9</w:t>
            </w:r>
          </w:p>
        </w:tc>
      </w:tr>
      <w:tr w:rsidR="00003E2F" w:rsidRPr="00003E2F" w14:paraId="3DF0E3FF" w14:textId="77777777" w:rsidTr="006652F3">
        <w:trPr>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7DEDF27"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10. Vidējā dzēšana</w:t>
            </w:r>
          </w:p>
        </w:tc>
        <w:tc>
          <w:tcPr>
            <w:tcW w:w="1276" w:type="dxa"/>
            <w:noWrap/>
            <w:hideMark/>
          </w:tcPr>
          <w:p w14:paraId="5C23A8F1"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5F151438" w14:textId="77777777" w:rsidR="00272FF4" w:rsidRPr="0092680D" w:rsidRDefault="0092680D"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92680D">
              <w:rPr>
                <w:color w:val="auto"/>
                <w:szCs w:val="24"/>
                <w:lang w:eastAsia="lv-LV"/>
              </w:rPr>
              <w:t>7,6</w:t>
            </w:r>
            <w:r w:rsidR="00CA6EA7">
              <w:rPr>
                <w:color w:val="auto"/>
                <w:szCs w:val="24"/>
                <w:lang w:eastAsia="lv-LV"/>
              </w:rPr>
              <w:t>3</w:t>
            </w:r>
            <w:r w:rsidRPr="0092680D">
              <w:rPr>
                <w:color w:val="auto"/>
                <w:szCs w:val="24"/>
                <w:lang w:eastAsia="lv-LV"/>
              </w:rPr>
              <w:t xml:space="preserve"> gadi</w:t>
            </w:r>
          </w:p>
        </w:tc>
        <w:tc>
          <w:tcPr>
            <w:tcW w:w="1181" w:type="dxa"/>
            <w:noWrap/>
            <w:vAlign w:val="center"/>
          </w:tcPr>
          <w:p w14:paraId="46B58D0C" w14:textId="77777777" w:rsidR="00272FF4" w:rsidRPr="0092680D" w:rsidRDefault="00272FF4"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003E2F" w14:paraId="5A7EC53B" w14:textId="77777777" w:rsidTr="006652F3">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5D6770EC" w14:textId="77777777" w:rsidR="00272FF4" w:rsidRPr="00003E2F" w:rsidRDefault="00272FF4" w:rsidP="00442C25">
            <w:pPr>
              <w:spacing w:after="0"/>
              <w:ind w:firstLine="0"/>
              <w:jc w:val="left"/>
              <w:rPr>
                <w:bCs w:val="0"/>
                <w:i/>
                <w:iCs/>
                <w:color w:val="auto"/>
                <w:szCs w:val="24"/>
                <w:lang w:eastAsia="lv-LV"/>
              </w:rPr>
            </w:pPr>
            <w:r w:rsidRPr="00003E2F">
              <w:rPr>
                <w:i/>
                <w:iCs/>
                <w:color w:val="auto"/>
                <w:szCs w:val="24"/>
                <w:lang w:eastAsia="lv-LV"/>
              </w:rPr>
              <w:t xml:space="preserve">Informācijai </w:t>
            </w:r>
            <w:r w:rsidR="00A67950">
              <w:rPr>
                <w:i/>
                <w:iCs/>
                <w:color w:val="auto"/>
                <w:szCs w:val="24"/>
                <w:lang w:eastAsia="lv-LV"/>
              </w:rPr>
              <w:t>–</w:t>
            </w:r>
            <w:r w:rsidRPr="00003E2F">
              <w:rPr>
                <w:i/>
                <w:iCs/>
                <w:color w:val="auto"/>
                <w:szCs w:val="24"/>
                <w:lang w:eastAsia="lv-LV"/>
              </w:rPr>
              <w:t xml:space="preserve"> aprēķinos izmantotie IKP dati:</w:t>
            </w:r>
          </w:p>
        </w:tc>
        <w:tc>
          <w:tcPr>
            <w:tcW w:w="1276" w:type="dxa"/>
            <w:noWrap/>
            <w:hideMark/>
          </w:tcPr>
          <w:p w14:paraId="6463EBE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685E7C92" w14:textId="77777777" w:rsidR="00272FF4" w:rsidRPr="0092680D"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14:paraId="0BDDE3F4" w14:textId="77777777" w:rsidR="00272FF4" w:rsidRPr="0092680D"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92680D" w:rsidRPr="00003E2F" w14:paraId="306A804C" w14:textId="77777777" w:rsidTr="006652F3">
        <w:trPr>
          <w:trHeight w:val="23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4C614E1C" w14:textId="77777777" w:rsidR="0092680D" w:rsidRPr="00003E2F" w:rsidRDefault="0092680D" w:rsidP="0092680D">
            <w:pPr>
              <w:spacing w:after="0"/>
              <w:ind w:firstLine="0"/>
              <w:jc w:val="left"/>
              <w:rPr>
                <w:color w:val="auto"/>
                <w:szCs w:val="24"/>
                <w:lang w:eastAsia="lv-LV"/>
              </w:rPr>
            </w:pPr>
            <w:r w:rsidRPr="00003E2F">
              <w:rPr>
                <w:color w:val="auto"/>
                <w:szCs w:val="24"/>
                <w:lang w:eastAsia="lv-LV"/>
              </w:rPr>
              <w:t>IKP faktiskajās cenās, milj.</w:t>
            </w:r>
            <w:r w:rsidR="00081726">
              <w:rPr>
                <w:color w:val="auto"/>
                <w:szCs w:val="24"/>
                <w:lang w:eastAsia="lv-LV"/>
              </w:rPr>
              <w:t xml:space="preserve"> </w:t>
            </w:r>
            <w:r w:rsidRPr="00003E2F">
              <w:rPr>
                <w:i/>
                <w:color w:val="auto"/>
                <w:szCs w:val="24"/>
                <w:lang w:eastAsia="lv-LV"/>
              </w:rPr>
              <w:t>euro</w:t>
            </w:r>
          </w:p>
        </w:tc>
        <w:tc>
          <w:tcPr>
            <w:tcW w:w="1276" w:type="dxa"/>
            <w:noWrap/>
            <w:hideMark/>
          </w:tcPr>
          <w:p w14:paraId="4BFE74AB" w14:textId="77777777" w:rsidR="0092680D" w:rsidRPr="00003E2F" w:rsidRDefault="0092680D" w:rsidP="0092680D">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7BCE9E8E" w14:textId="77777777" w:rsidR="0092680D" w:rsidRPr="0092680D" w:rsidRDefault="0092680D"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92680D">
              <w:rPr>
                <w:color w:val="auto"/>
              </w:rPr>
              <w:t>29</w:t>
            </w:r>
            <w:r w:rsidR="002E734A">
              <w:rPr>
                <w:color w:val="auto"/>
              </w:rPr>
              <w:t> </w:t>
            </w:r>
            <w:r w:rsidR="00CA6EA7">
              <w:rPr>
                <w:color w:val="auto"/>
              </w:rPr>
              <w:t>194</w:t>
            </w:r>
            <w:r w:rsidRPr="0092680D">
              <w:rPr>
                <w:color w:val="auto"/>
              </w:rPr>
              <w:t>,</w:t>
            </w:r>
            <w:r w:rsidR="00CA6EA7">
              <w:rPr>
                <w:color w:val="auto"/>
              </w:rPr>
              <w:t>1</w:t>
            </w:r>
          </w:p>
        </w:tc>
        <w:tc>
          <w:tcPr>
            <w:tcW w:w="1181" w:type="dxa"/>
            <w:noWrap/>
            <w:vAlign w:val="center"/>
          </w:tcPr>
          <w:p w14:paraId="40A5B701" w14:textId="77777777" w:rsidR="0092680D" w:rsidRPr="0092680D" w:rsidRDefault="0092680D"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92680D">
              <w:rPr>
                <w:color w:val="auto"/>
              </w:rPr>
              <w:t>3</w:t>
            </w:r>
            <w:r w:rsidR="00CA6EA7">
              <w:rPr>
                <w:color w:val="auto"/>
              </w:rPr>
              <w:t>1</w:t>
            </w:r>
            <w:r w:rsidR="002E734A">
              <w:rPr>
                <w:color w:val="auto"/>
              </w:rPr>
              <w:t> </w:t>
            </w:r>
            <w:r w:rsidR="00CA6EA7">
              <w:rPr>
                <w:color w:val="auto"/>
              </w:rPr>
              <w:t>005,1</w:t>
            </w:r>
          </w:p>
        </w:tc>
      </w:tr>
    </w:tbl>
    <w:p w14:paraId="00C8C2C6" w14:textId="77777777" w:rsidR="00272FF4" w:rsidRPr="00976103" w:rsidRDefault="00272FF4" w:rsidP="00272FF4">
      <w:pPr>
        <w:ind w:firstLine="0"/>
        <w:jc w:val="left"/>
        <w:rPr>
          <w:szCs w:val="24"/>
        </w:rPr>
      </w:pPr>
    </w:p>
    <w:p w14:paraId="30E4CD45" w14:textId="77777777" w:rsidR="00272FF4" w:rsidRPr="00976103" w:rsidRDefault="00272FF4" w:rsidP="00272FF4">
      <w:pPr>
        <w:ind w:firstLine="0"/>
        <w:jc w:val="left"/>
        <w:rPr>
          <w:b/>
          <w:szCs w:val="24"/>
        </w:rPr>
      </w:pPr>
    </w:p>
    <w:p w14:paraId="54A39167" w14:textId="77777777" w:rsidR="00272FF4" w:rsidRPr="001D5709" w:rsidRDefault="00272FF4" w:rsidP="00272FF4">
      <w:pPr>
        <w:pStyle w:val="Heading1"/>
        <w:tabs>
          <w:tab w:val="left" w:pos="1276"/>
        </w:tabs>
        <w:spacing w:before="0" w:after="240"/>
        <w:ind w:firstLine="0"/>
        <w:jc w:val="left"/>
        <w:rPr>
          <w:rFonts w:ascii="Times New Roman" w:hAnsi="Times New Roman"/>
          <w:color w:val="18185F"/>
          <w:sz w:val="24"/>
        </w:rPr>
      </w:pPr>
      <w:bookmarkStart w:id="12" w:name="_Toc1374663"/>
      <w:r w:rsidRPr="001D5709">
        <w:rPr>
          <w:rFonts w:ascii="Times New Roman" w:hAnsi="Times New Roman"/>
          <w:color w:val="18185F"/>
          <w:sz w:val="24"/>
        </w:rPr>
        <w:t>Tabula 2.c: Netiešās saistības</w:t>
      </w:r>
      <w:bookmarkEnd w:id="12"/>
    </w:p>
    <w:tbl>
      <w:tblPr>
        <w:tblStyle w:val="GridTable6Colorful-Accent11"/>
        <w:tblW w:w="6024" w:type="dxa"/>
        <w:tblLook w:val="04A0" w:firstRow="1" w:lastRow="0" w:firstColumn="1" w:lastColumn="0" w:noHBand="0" w:noVBand="1"/>
      </w:tblPr>
      <w:tblGrid>
        <w:gridCol w:w="3686"/>
        <w:gridCol w:w="1134"/>
        <w:gridCol w:w="1204"/>
      </w:tblGrid>
      <w:tr w:rsidR="00003E2F" w:rsidRPr="00003E2F" w14:paraId="7E408F82" w14:textId="77777777" w:rsidTr="00807C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14:paraId="220E10BF" w14:textId="77777777" w:rsidR="00272FF4" w:rsidRPr="00003E2F" w:rsidRDefault="00272FF4" w:rsidP="00807CD2">
            <w:pPr>
              <w:spacing w:after="0"/>
              <w:ind w:firstLine="0"/>
              <w:jc w:val="center"/>
              <w:rPr>
                <w:color w:val="auto"/>
                <w:szCs w:val="24"/>
                <w:lang w:eastAsia="lv-LV"/>
              </w:rPr>
            </w:pPr>
            <w:r w:rsidRPr="00003E2F">
              <w:rPr>
                <w:color w:val="auto"/>
                <w:szCs w:val="24"/>
                <w:lang w:eastAsia="lv-LV"/>
              </w:rPr>
              <w:t>% no IKP</w:t>
            </w:r>
          </w:p>
        </w:tc>
        <w:tc>
          <w:tcPr>
            <w:tcW w:w="1134" w:type="dxa"/>
            <w:vMerge w:val="restart"/>
            <w:vAlign w:val="center"/>
            <w:hideMark/>
          </w:tcPr>
          <w:p w14:paraId="10A535F9" w14:textId="77777777" w:rsidR="00272FF4" w:rsidRPr="00003E2F" w:rsidRDefault="00272FF4" w:rsidP="005B1858">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5B1858">
              <w:rPr>
                <w:color w:val="auto"/>
                <w:szCs w:val="24"/>
                <w:lang w:eastAsia="lv-LV"/>
              </w:rPr>
              <w:t>8</w:t>
            </w:r>
          </w:p>
        </w:tc>
        <w:tc>
          <w:tcPr>
            <w:tcW w:w="1204" w:type="dxa"/>
            <w:vMerge w:val="restart"/>
            <w:vAlign w:val="center"/>
            <w:hideMark/>
          </w:tcPr>
          <w:p w14:paraId="2D1448FB" w14:textId="77777777" w:rsidR="00272FF4" w:rsidRPr="00003E2F" w:rsidRDefault="00272FF4" w:rsidP="005B1858">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5B1858">
              <w:rPr>
                <w:color w:val="auto"/>
                <w:szCs w:val="24"/>
                <w:lang w:eastAsia="lv-LV"/>
              </w:rPr>
              <w:t>9</w:t>
            </w:r>
          </w:p>
        </w:tc>
      </w:tr>
      <w:tr w:rsidR="00003E2F" w:rsidRPr="00003E2F" w14:paraId="3909D11B" w14:textId="77777777" w:rsidTr="00807CD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86" w:type="dxa"/>
            <w:vMerge/>
            <w:hideMark/>
          </w:tcPr>
          <w:p w14:paraId="0DCE75A0" w14:textId="77777777" w:rsidR="00272FF4" w:rsidRPr="00003E2F" w:rsidRDefault="00272FF4" w:rsidP="00272FF4">
            <w:pPr>
              <w:spacing w:after="0"/>
              <w:ind w:firstLine="0"/>
              <w:jc w:val="left"/>
              <w:rPr>
                <w:color w:val="auto"/>
                <w:szCs w:val="24"/>
                <w:lang w:eastAsia="lv-LV"/>
              </w:rPr>
            </w:pPr>
          </w:p>
        </w:tc>
        <w:tc>
          <w:tcPr>
            <w:tcW w:w="1134" w:type="dxa"/>
            <w:vMerge/>
            <w:hideMark/>
          </w:tcPr>
          <w:p w14:paraId="4483374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c>
          <w:tcPr>
            <w:tcW w:w="1204" w:type="dxa"/>
            <w:vMerge/>
            <w:hideMark/>
          </w:tcPr>
          <w:p w14:paraId="78ED0C9D"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r>
      <w:tr w:rsidR="00003E2F" w:rsidRPr="00003E2F" w14:paraId="29351768" w14:textId="77777777" w:rsidTr="00807CD2">
        <w:trPr>
          <w:trHeight w:val="330"/>
        </w:trPr>
        <w:tc>
          <w:tcPr>
            <w:cnfStyle w:val="001000000000" w:firstRow="0" w:lastRow="0" w:firstColumn="1" w:lastColumn="0" w:oddVBand="0" w:evenVBand="0" w:oddHBand="0" w:evenHBand="0" w:firstRowFirstColumn="0" w:firstRowLastColumn="0" w:lastRowFirstColumn="0" w:lastRowLastColumn="0"/>
            <w:tcW w:w="3686" w:type="dxa"/>
            <w:hideMark/>
          </w:tcPr>
          <w:p w14:paraId="48A7CC34" w14:textId="77777777" w:rsidR="00272FF4" w:rsidRPr="002E734A" w:rsidRDefault="00272FF4" w:rsidP="000D407D">
            <w:pPr>
              <w:spacing w:after="0"/>
              <w:ind w:firstLine="0"/>
              <w:jc w:val="left"/>
              <w:rPr>
                <w:bCs w:val="0"/>
                <w:color w:val="auto"/>
                <w:szCs w:val="24"/>
                <w:lang w:eastAsia="lv-LV"/>
              </w:rPr>
            </w:pPr>
            <w:r w:rsidRPr="002E734A">
              <w:rPr>
                <w:color w:val="auto"/>
                <w:szCs w:val="24"/>
                <w:lang w:eastAsia="lv-LV"/>
              </w:rPr>
              <w:t xml:space="preserve">Valsts un pašvaldību </w:t>
            </w:r>
            <w:r w:rsidR="000D407D" w:rsidRPr="002E734A">
              <w:rPr>
                <w:color w:val="auto"/>
                <w:szCs w:val="24"/>
                <w:lang w:eastAsia="lv-LV"/>
              </w:rPr>
              <w:t>garantijas</w:t>
            </w:r>
          </w:p>
        </w:tc>
        <w:tc>
          <w:tcPr>
            <w:tcW w:w="1134" w:type="dxa"/>
          </w:tcPr>
          <w:p w14:paraId="6851C719" w14:textId="77777777" w:rsidR="00272FF4" w:rsidRPr="00003E2F" w:rsidRDefault="000B68A1" w:rsidP="006C783C">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w:t>
            </w:r>
            <w:r w:rsidR="00CA6EA7">
              <w:rPr>
                <w:bCs/>
                <w:color w:val="auto"/>
                <w:szCs w:val="24"/>
                <w:lang w:eastAsia="lv-LV"/>
              </w:rPr>
              <w:t>1</w:t>
            </w:r>
          </w:p>
        </w:tc>
        <w:tc>
          <w:tcPr>
            <w:tcW w:w="1204" w:type="dxa"/>
          </w:tcPr>
          <w:p w14:paraId="244FEC9D" w14:textId="77777777" w:rsidR="00272FF4" w:rsidRPr="00003E2F" w:rsidRDefault="0092680D" w:rsidP="006C783C">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Pr>
                <w:bCs/>
                <w:color w:val="auto"/>
                <w:szCs w:val="24"/>
                <w:lang w:eastAsia="lv-LV"/>
              </w:rPr>
              <w:t>1,</w:t>
            </w:r>
            <w:r w:rsidR="00CA6EA7">
              <w:rPr>
                <w:bCs/>
                <w:color w:val="auto"/>
                <w:szCs w:val="24"/>
                <w:lang w:eastAsia="lv-LV"/>
              </w:rPr>
              <w:t>1</w:t>
            </w:r>
          </w:p>
        </w:tc>
      </w:tr>
    </w:tbl>
    <w:p w14:paraId="74CFB87C" w14:textId="77777777" w:rsidR="00272FF4" w:rsidRPr="00976103" w:rsidRDefault="00272FF4" w:rsidP="00272FF4">
      <w:pPr>
        <w:ind w:firstLine="0"/>
        <w:jc w:val="left"/>
        <w:rPr>
          <w:szCs w:val="24"/>
        </w:rPr>
      </w:pPr>
    </w:p>
    <w:p w14:paraId="5FE566BB" w14:textId="77777777" w:rsidR="00272FF4" w:rsidRDefault="00272FF4" w:rsidP="00272FF4">
      <w:pPr>
        <w:pStyle w:val="NoSpacing"/>
        <w:rPr>
          <w:rFonts w:eastAsia="Calibri"/>
        </w:rPr>
      </w:pPr>
      <w:r w:rsidRPr="00976103">
        <w:br w:type="page"/>
      </w:r>
    </w:p>
    <w:p w14:paraId="7EA2ED2B" w14:textId="77777777" w:rsidR="00CB5AC9" w:rsidRPr="00976103" w:rsidRDefault="00DA2011" w:rsidP="00AF5E23">
      <w:pPr>
        <w:pStyle w:val="Heading1"/>
        <w:tabs>
          <w:tab w:val="left" w:pos="1276"/>
        </w:tabs>
        <w:spacing w:before="0" w:after="240"/>
        <w:ind w:left="1134" w:hanging="1134"/>
        <w:rPr>
          <w:rFonts w:ascii="Times New Roman" w:hAnsi="Times New Roman"/>
        </w:rPr>
      </w:pPr>
      <w:bookmarkStart w:id="13" w:name="_Toc1374664"/>
      <w:r w:rsidRPr="001D5709">
        <w:rPr>
          <w:rFonts w:ascii="Times New Roman" w:hAnsi="Times New Roman"/>
          <w:color w:val="18185F"/>
          <w:sz w:val="24"/>
        </w:rPr>
        <w:lastRenderedPageBreak/>
        <w:t>Tabula 3:</w:t>
      </w:r>
      <w:r w:rsidR="00CB5AC9" w:rsidRPr="001D5709">
        <w:rPr>
          <w:rFonts w:ascii="Times New Roman" w:hAnsi="Times New Roman"/>
          <w:color w:val="18185F"/>
          <w:sz w:val="24"/>
        </w:rPr>
        <w:t xml:space="preserve"> Vispārējās valdības izdevumu un ieņēmumu prognozes pie nemainīgas politikas sadalījumā pa galvenajām komponentēm</w:t>
      </w:r>
      <w:bookmarkEnd w:id="13"/>
    </w:p>
    <w:tbl>
      <w:tblPr>
        <w:tblStyle w:val="GridTable6Colorful-Accent11"/>
        <w:tblW w:w="9027" w:type="dxa"/>
        <w:jc w:val="center"/>
        <w:tblLook w:val="04A0" w:firstRow="1" w:lastRow="0" w:firstColumn="1" w:lastColumn="0" w:noHBand="0" w:noVBand="1"/>
      </w:tblPr>
      <w:tblGrid>
        <w:gridCol w:w="5098"/>
        <w:gridCol w:w="1426"/>
        <w:gridCol w:w="1227"/>
        <w:gridCol w:w="1276"/>
      </w:tblGrid>
      <w:tr w:rsidR="00CB5AC9" w:rsidRPr="00976103" w14:paraId="66CA0676" w14:textId="77777777" w:rsidTr="008F56B2">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B7197A3"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 </w:t>
            </w:r>
          </w:p>
        </w:tc>
        <w:tc>
          <w:tcPr>
            <w:tcW w:w="1426" w:type="dxa"/>
            <w:vAlign w:val="center"/>
            <w:hideMark/>
          </w:tcPr>
          <w:p w14:paraId="5FD31C5C" w14:textId="77777777" w:rsidR="00CB5AC9" w:rsidRPr="006F0B98" w:rsidRDefault="006F0B98" w:rsidP="006B28DB">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6F0B98">
              <w:rPr>
                <w:color w:val="000000"/>
                <w:szCs w:val="24"/>
                <w:lang w:eastAsia="lv-LV"/>
              </w:rPr>
              <w:t xml:space="preserve">EKS </w:t>
            </w:r>
            <w:r w:rsidR="00381267">
              <w:rPr>
                <w:color w:val="000000"/>
                <w:szCs w:val="24"/>
                <w:lang w:eastAsia="lv-LV"/>
              </w:rPr>
              <w:t>k</w:t>
            </w:r>
            <w:r w:rsidRPr="006F0B98">
              <w:rPr>
                <w:color w:val="000000"/>
                <w:szCs w:val="24"/>
                <w:lang w:eastAsia="lv-LV"/>
              </w:rPr>
              <w:t>ods</w:t>
            </w:r>
          </w:p>
        </w:tc>
        <w:tc>
          <w:tcPr>
            <w:tcW w:w="1227" w:type="dxa"/>
            <w:vAlign w:val="center"/>
            <w:hideMark/>
          </w:tcPr>
          <w:p w14:paraId="40F3CE96" w14:textId="77777777" w:rsidR="00CB5AC9" w:rsidRPr="006F0B98" w:rsidRDefault="00D85FDB" w:rsidP="008F56B2">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8F56B2">
              <w:rPr>
                <w:color w:val="000000"/>
                <w:szCs w:val="24"/>
                <w:lang w:eastAsia="lv-LV"/>
              </w:rPr>
              <w:t>8</w:t>
            </w:r>
          </w:p>
        </w:tc>
        <w:tc>
          <w:tcPr>
            <w:tcW w:w="1276" w:type="dxa"/>
            <w:vAlign w:val="center"/>
            <w:hideMark/>
          </w:tcPr>
          <w:p w14:paraId="6449302C" w14:textId="77777777" w:rsidR="00CB5AC9" w:rsidRPr="006F0B98" w:rsidRDefault="00D85FDB" w:rsidP="008F56B2">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8F56B2">
              <w:rPr>
                <w:color w:val="000000"/>
                <w:szCs w:val="24"/>
                <w:lang w:eastAsia="lv-LV"/>
              </w:rPr>
              <w:t>9</w:t>
            </w:r>
          </w:p>
        </w:tc>
      </w:tr>
      <w:tr w:rsidR="00287764" w:rsidRPr="00976103" w14:paraId="5A22B423" w14:textId="77777777" w:rsidTr="008F56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hideMark/>
          </w:tcPr>
          <w:p w14:paraId="6F66CE15" w14:textId="77777777" w:rsidR="00287764" w:rsidRPr="00976103" w:rsidRDefault="00287764" w:rsidP="00CB5AC9">
            <w:pPr>
              <w:spacing w:after="0"/>
              <w:ind w:firstLine="0"/>
              <w:jc w:val="center"/>
              <w:rPr>
                <w:bCs w:val="0"/>
                <w:color w:val="000000"/>
                <w:szCs w:val="24"/>
                <w:lang w:eastAsia="lv-LV"/>
              </w:rPr>
            </w:pPr>
          </w:p>
        </w:tc>
        <w:tc>
          <w:tcPr>
            <w:tcW w:w="1426" w:type="dxa"/>
            <w:hideMark/>
          </w:tcPr>
          <w:p w14:paraId="55FCE713" w14:textId="77777777" w:rsidR="00287764" w:rsidRPr="00976103" w:rsidRDefault="00287764" w:rsidP="00CB5AC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503" w:type="dxa"/>
            <w:gridSpan w:val="2"/>
            <w:vAlign w:val="center"/>
            <w:hideMark/>
          </w:tcPr>
          <w:p w14:paraId="6239B006" w14:textId="77777777" w:rsidR="00287764" w:rsidRPr="00976103" w:rsidRDefault="00287764" w:rsidP="008F56B2">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 no IKP</w:t>
            </w:r>
          </w:p>
        </w:tc>
      </w:tr>
      <w:tr w:rsidR="0031631E" w:rsidRPr="00976103" w14:paraId="4142DCA8" w14:textId="77777777" w:rsidTr="00687919">
        <w:trPr>
          <w:trHeight w:val="21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0659A61" w14:textId="77777777" w:rsidR="0031631E" w:rsidRPr="00976103" w:rsidRDefault="0031631E" w:rsidP="0031631E">
            <w:pPr>
              <w:spacing w:after="0"/>
              <w:ind w:firstLine="0"/>
              <w:jc w:val="left"/>
              <w:rPr>
                <w:color w:val="000000"/>
                <w:szCs w:val="24"/>
                <w:lang w:eastAsia="lv-LV"/>
              </w:rPr>
            </w:pPr>
            <w:r w:rsidRPr="00976103">
              <w:rPr>
                <w:color w:val="000000"/>
                <w:szCs w:val="24"/>
                <w:lang w:eastAsia="lv-LV"/>
              </w:rPr>
              <w:t>1. Kopējie ieņēmumi pie nemainīgas politikas</w:t>
            </w:r>
          </w:p>
        </w:tc>
        <w:tc>
          <w:tcPr>
            <w:tcW w:w="1426" w:type="dxa"/>
            <w:vAlign w:val="center"/>
            <w:hideMark/>
          </w:tcPr>
          <w:p w14:paraId="54E031C9" w14:textId="77777777" w:rsidR="0031631E" w:rsidRPr="00976103"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TR</w:t>
            </w:r>
          </w:p>
        </w:tc>
        <w:tc>
          <w:tcPr>
            <w:tcW w:w="1227" w:type="dxa"/>
            <w:vAlign w:val="center"/>
          </w:tcPr>
          <w:p w14:paraId="37E2CEDA"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37,4</w:t>
            </w:r>
          </w:p>
        </w:tc>
        <w:tc>
          <w:tcPr>
            <w:tcW w:w="1276" w:type="dxa"/>
            <w:vAlign w:val="center"/>
          </w:tcPr>
          <w:p w14:paraId="13265977"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35,6</w:t>
            </w:r>
          </w:p>
        </w:tc>
      </w:tr>
      <w:tr w:rsidR="0031631E" w:rsidRPr="00976103" w14:paraId="138278E2"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D17FC3D" w14:textId="77777777" w:rsidR="0031631E" w:rsidRPr="00976103" w:rsidRDefault="0031631E" w:rsidP="0031631E">
            <w:pPr>
              <w:spacing w:after="0"/>
              <w:ind w:firstLine="0"/>
              <w:jc w:val="center"/>
              <w:rPr>
                <w:color w:val="000000"/>
                <w:szCs w:val="24"/>
                <w:lang w:eastAsia="lv-LV"/>
              </w:rPr>
            </w:pPr>
            <w:r w:rsidRPr="00976103">
              <w:rPr>
                <w:color w:val="000000"/>
                <w:szCs w:val="24"/>
                <w:lang w:eastAsia="lv-LV"/>
              </w:rPr>
              <w:t>t.sk.</w:t>
            </w:r>
          </w:p>
        </w:tc>
        <w:tc>
          <w:tcPr>
            <w:tcW w:w="1426" w:type="dxa"/>
            <w:vAlign w:val="center"/>
            <w:hideMark/>
          </w:tcPr>
          <w:p w14:paraId="5C347684"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63B3954B"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 </w:t>
            </w:r>
          </w:p>
        </w:tc>
        <w:tc>
          <w:tcPr>
            <w:tcW w:w="1276" w:type="dxa"/>
            <w:vAlign w:val="center"/>
          </w:tcPr>
          <w:p w14:paraId="7B735B4C"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 </w:t>
            </w:r>
          </w:p>
        </w:tc>
      </w:tr>
      <w:tr w:rsidR="0031631E" w:rsidRPr="00976103" w14:paraId="7B2C2AFC" w14:textId="77777777" w:rsidTr="00687919">
        <w:trPr>
          <w:trHeight w:val="9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F643CC3"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1.1. Ražošanas un importa nodokļi</w:t>
            </w:r>
          </w:p>
        </w:tc>
        <w:tc>
          <w:tcPr>
            <w:tcW w:w="1426" w:type="dxa"/>
            <w:vAlign w:val="center"/>
            <w:hideMark/>
          </w:tcPr>
          <w:p w14:paraId="137BC355" w14:textId="77777777" w:rsidR="0031631E" w:rsidRPr="00976103"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D.2</w:t>
            </w:r>
          </w:p>
        </w:tc>
        <w:tc>
          <w:tcPr>
            <w:tcW w:w="1227" w:type="dxa"/>
            <w:vAlign w:val="center"/>
          </w:tcPr>
          <w:p w14:paraId="0E015A17"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14,0</w:t>
            </w:r>
          </w:p>
        </w:tc>
        <w:tc>
          <w:tcPr>
            <w:tcW w:w="1276" w:type="dxa"/>
            <w:vAlign w:val="center"/>
          </w:tcPr>
          <w:p w14:paraId="64E9DF66"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14,1</w:t>
            </w:r>
          </w:p>
        </w:tc>
      </w:tr>
      <w:tr w:rsidR="0031631E" w:rsidRPr="00976103" w14:paraId="79779C0D" w14:textId="77777777" w:rsidTr="00687919">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87A0B11"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1.2. Ienākuma un mantas kārtējie nodokļi</w:t>
            </w:r>
          </w:p>
        </w:tc>
        <w:tc>
          <w:tcPr>
            <w:tcW w:w="1426" w:type="dxa"/>
            <w:vAlign w:val="center"/>
            <w:hideMark/>
          </w:tcPr>
          <w:p w14:paraId="2D077F64"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D.5</w:t>
            </w:r>
          </w:p>
        </w:tc>
        <w:tc>
          <w:tcPr>
            <w:tcW w:w="1227" w:type="dxa"/>
            <w:vAlign w:val="center"/>
          </w:tcPr>
          <w:p w14:paraId="13AEEE9B"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7,4</w:t>
            </w:r>
          </w:p>
        </w:tc>
        <w:tc>
          <w:tcPr>
            <w:tcW w:w="1276" w:type="dxa"/>
            <w:vAlign w:val="center"/>
          </w:tcPr>
          <w:p w14:paraId="39046A87"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6,5</w:t>
            </w:r>
          </w:p>
        </w:tc>
      </w:tr>
      <w:tr w:rsidR="0031631E" w:rsidRPr="00976103" w14:paraId="089F5F06" w14:textId="77777777" w:rsidTr="00687919">
        <w:trPr>
          <w:trHeight w:val="20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CAA84D9"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1.3. Kapitāla nodokļi</w:t>
            </w:r>
          </w:p>
        </w:tc>
        <w:tc>
          <w:tcPr>
            <w:tcW w:w="1426" w:type="dxa"/>
            <w:vAlign w:val="center"/>
            <w:hideMark/>
          </w:tcPr>
          <w:p w14:paraId="34B768DA" w14:textId="77777777" w:rsidR="0031631E" w:rsidRPr="00976103"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D.91</w:t>
            </w:r>
          </w:p>
        </w:tc>
        <w:tc>
          <w:tcPr>
            <w:tcW w:w="1227" w:type="dxa"/>
            <w:vAlign w:val="center"/>
          </w:tcPr>
          <w:p w14:paraId="7B3E3BF3"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0,0</w:t>
            </w:r>
          </w:p>
        </w:tc>
        <w:tc>
          <w:tcPr>
            <w:tcW w:w="1276" w:type="dxa"/>
            <w:vAlign w:val="center"/>
          </w:tcPr>
          <w:p w14:paraId="1D8EC16E"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0,0</w:t>
            </w:r>
          </w:p>
        </w:tc>
      </w:tr>
      <w:tr w:rsidR="0031631E" w:rsidRPr="00976103" w14:paraId="5C28C97D"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50D1649"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1.4. Sociālās iemaksas</w:t>
            </w:r>
          </w:p>
        </w:tc>
        <w:tc>
          <w:tcPr>
            <w:tcW w:w="1426" w:type="dxa"/>
            <w:vAlign w:val="center"/>
            <w:hideMark/>
          </w:tcPr>
          <w:p w14:paraId="421CD5B2"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D.61</w:t>
            </w:r>
          </w:p>
        </w:tc>
        <w:tc>
          <w:tcPr>
            <w:tcW w:w="1227" w:type="dxa"/>
            <w:vAlign w:val="center"/>
          </w:tcPr>
          <w:p w14:paraId="673EEC12"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9,4</w:t>
            </w:r>
          </w:p>
        </w:tc>
        <w:tc>
          <w:tcPr>
            <w:tcW w:w="1276" w:type="dxa"/>
            <w:vAlign w:val="center"/>
          </w:tcPr>
          <w:p w14:paraId="73F369A5"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9,3</w:t>
            </w:r>
          </w:p>
        </w:tc>
      </w:tr>
      <w:tr w:rsidR="0031631E" w:rsidRPr="00976103" w14:paraId="1507DD0A"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3C6A5A4"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1.5. Īpašuma ienākumi</w:t>
            </w:r>
          </w:p>
        </w:tc>
        <w:tc>
          <w:tcPr>
            <w:tcW w:w="1426" w:type="dxa"/>
            <w:vAlign w:val="center"/>
            <w:hideMark/>
          </w:tcPr>
          <w:p w14:paraId="16CD4744" w14:textId="77777777" w:rsidR="0031631E" w:rsidRPr="00976103"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D.4</w:t>
            </w:r>
          </w:p>
        </w:tc>
        <w:tc>
          <w:tcPr>
            <w:tcW w:w="1227" w:type="dxa"/>
            <w:vAlign w:val="center"/>
          </w:tcPr>
          <w:p w14:paraId="5C33C881"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0,9</w:t>
            </w:r>
          </w:p>
        </w:tc>
        <w:tc>
          <w:tcPr>
            <w:tcW w:w="1276" w:type="dxa"/>
            <w:vAlign w:val="center"/>
          </w:tcPr>
          <w:p w14:paraId="499FDDAC"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0,6</w:t>
            </w:r>
          </w:p>
        </w:tc>
      </w:tr>
      <w:tr w:rsidR="0031631E" w:rsidRPr="00976103" w14:paraId="6CEF0E30" w14:textId="77777777" w:rsidTr="00687919">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9B77C08"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1.6. Pārējie ieņēmumi</w:t>
            </w:r>
          </w:p>
        </w:tc>
        <w:tc>
          <w:tcPr>
            <w:tcW w:w="1426" w:type="dxa"/>
            <w:vAlign w:val="center"/>
            <w:hideMark/>
          </w:tcPr>
          <w:p w14:paraId="3F1E2FF9"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042340F9"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5,8</w:t>
            </w:r>
          </w:p>
        </w:tc>
        <w:tc>
          <w:tcPr>
            <w:tcW w:w="1276" w:type="dxa"/>
            <w:vAlign w:val="center"/>
          </w:tcPr>
          <w:p w14:paraId="578037F1"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5,1</w:t>
            </w:r>
          </w:p>
        </w:tc>
      </w:tr>
      <w:tr w:rsidR="0031631E" w:rsidRPr="00976103" w14:paraId="440B1213" w14:textId="77777777" w:rsidTr="00687919">
        <w:trPr>
          <w:trHeight w:val="22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A002806"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Nodokļu slogs (D.2+D.5+D.61+D.91-D.995)</w:t>
            </w:r>
          </w:p>
        </w:tc>
        <w:tc>
          <w:tcPr>
            <w:tcW w:w="1426" w:type="dxa"/>
            <w:vAlign w:val="center"/>
            <w:hideMark/>
          </w:tcPr>
          <w:p w14:paraId="630C26E6" w14:textId="77777777" w:rsidR="0031631E" w:rsidRPr="00976103"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643D32A6"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30,9</w:t>
            </w:r>
          </w:p>
        </w:tc>
        <w:tc>
          <w:tcPr>
            <w:tcW w:w="1276" w:type="dxa"/>
            <w:vAlign w:val="center"/>
          </w:tcPr>
          <w:p w14:paraId="1ACCF621"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30,1</w:t>
            </w:r>
          </w:p>
        </w:tc>
      </w:tr>
      <w:tr w:rsidR="0031631E" w:rsidRPr="00976103" w14:paraId="29E084EE" w14:textId="77777777" w:rsidTr="00687919">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7C144AE" w14:textId="77777777" w:rsidR="0031631E" w:rsidRPr="00976103" w:rsidRDefault="0031631E" w:rsidP="0031631E">
            <w:pPr>
              <w:spacing w:after="0"/>
              <w:ind w:firstLine="0"/>
              <w:jc w:val="left"/>
              <w:rPr>
                <w:color w:val="000000"/>
                <w:szCs w:val="24"/>
                <w:lang w:eastAsia="lv-LV"/>
              </w:rPr>
            </w:pPr>
            <w:r w:rsidRPr="00976103">
              <w:rPr>
                <w:color w:val="000000"/>
                <w:szCs w:val="24"/>
                <w:lang w:eastAsia="lv-LV"/>
              </w:rPr>
              <w:t>2. Kopējie izdevumi pie nemainīgas politikas</w:t>
            </w:r>
          </w:p>
        </w:tc>
        <w:tc>
          <w:tcPr>
            <w:tcW w:w="1426" w:type="dxa"/>
            <w:vAlign w:val="center"/>
            <w:hideMark/>
          </w:tcPr>
          <w:p w14:paraId="4C74C8FC"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TE</w:t>
            </w:r>
          </w:p>
        </w:tc>
        <w:tc>
          <w:tcPr>
            <w:tcW w:w="1227" w:type="dxa"/>
            <w:vAlign w:val="center"/>
          </w:tcPr>
          <w:p w14:paraId="374F5C77"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38,0</w:t>
            </w:r>
          </w:p>
        </w:tc>
        <w:tc>
          <w:tcPr>
            <w:tcW w:w="1276" w:type="dxa"/>
            <w:vAlign w:val="center"/>
          </w:tcPr>
          <w:p w14:paraId="7A9B10CD"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36,3</w:t>
            </w:r>
          </w:p>
        </w:tc>
      </w:tr>
      <w:tr w:rsidR="0031631E" w:rsidRPr="00976103" w14:paraId="3BD74F36"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5586D10" w14:textId="77777777" w:rsidR="0031631E" w:rsidRPr="00976103" w:rsidRDefault="0031631E" w:rsidP="0031631E">
            <w:pPr>
              <w:spacing w:after="0"/>
              <w:ind w:firstLine="0"/>
              <w:jc w:val="center"/>
              <w:rPr>
                <w:color w:val="000000"/>
                <w:szCs w:val="24"/>
                <w:lang w:eastAsia="lv-LV"/>
              </w:rPr>
            </w:pPr>
            <w:r w:rsidRPr="00976103">
              <w:rPr>
                <w:color w:val="000000"/>
                <w:szCs w:val="24"/>
                <w:lang w:eastAsia="lv-LV"/>
              </w:rPr>
              <w:t>t.sk.</w:t>
            </w:r>
          </w:p>
        </w:tc>
        <w:tc>
          <w:tcPr>
            <w:tcW w:w="1426" w:type="dxa"/>
            <w:vAlign w:val="center"/>
            <w:hideMark/>
          </w:tcPr>
          <w:p w14:paraId="4C5CC70B" w14:textId="77777777" w:rsidR="0031631E" w:rsidRPr="00976103"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1E4CCEBC"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 </w:t>
            </w:r>
          </w:p>
        </w:tc>
        <w:tc>
          <w:tcPr>
            <w:tcW w:w="1276" w:type="dxa"/>
            <w:vAlign w:val="center"/>
          </w:tcPr>
          <w:p w14:paraId="03A3BEB1"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 </w:t>
            </w:r>
          </w:p>
        </w:tc>
      </w:tr>
      <w:tr w:rsidR="0031631E" w:rsidRPr="00976103" w14:paraId="7909BAB3"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E06AC53"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2.1. Atlīdzība nodarbinātajiem</w:t>
            </w:r>
          </w:p>
        </w:tc>
        <w:tc>
          <w:tcPr>
            <w:tcW w:w="1426" w:type="dxa"/>
            <w:vAlign w:val="center"/>
            <w:hideMark/>
          </w:tcPr>
          <w:p w14:paraId="710DC098"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227" w:type="dxa"/>
            <w:vAlign w:val="center"/>
          </w:tcPr>
          <w:p w14:paraId="37A27C42"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10,2</w:t>
            </w:r>
          </w:p>
        </w:tc>
        <w:tc>
          <w:tcPr>
            <w:tcW w:w="1276" w:type="dxa"/>
            <w:vAlign w:val="center"/>
          </w:tcPr>
          <w:p w14:paraId="6F85BF53"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10,1</w:t>
            </w:r>
          </w:p>
        </w:tc>
      </w:tr>
      <w:tr w:rsidR="0031631E" w:rsidRPr="00976103" w14:paraId="6AA7770C"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54C666F"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2.2. Starppatēriņš</w:t>
            </w:r>
          </w:p>
        </w:tc>
        <w:tc>
          <w:tcPr>
            <w:tcW w:w="1426" w:type="dxa"/>
            <w:vAlign w:val="center"/>
            <w:hideMark/>
          </w:tcPr>
          <w:p w14:paraId="5F02581C" w14:textId="77777777" w:rsidR="0031631E" w:rsidRPr="00976103"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P.2</w:t>
            </w:r>
          </w:p>
        </w:tc>
        <w:tc>
          <w:tcPr>
            <w:tcW w:w="1227" w:type="dxa"/>
            <w:vAlign w:val="center"/>
          </w:tcPr>
          <w:p w14:paraId="77FB1551"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6,0</w:t>
            </w:r>
          </w:p>
        </w:tc>
        <w:tc>
          <w:tcPr>
            <w:tcW w:w="1276" w:type="dxa"/>
            <w:vAlign w:val="center"/>
          </w:tcPr>
          <w:p w14:paraId="766DBAE2"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5,8</w:t>
            </w:r>
          </w:p>
        </w:tc>
      </w:tr>
      <w:tr w:rsidR="0031631E" w:rsidRPr="00976103" w14:paraId="2E70922A" w14:textId="77777777" w:rsidTr="00687919">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358EE672"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2.3. Sociālie maksājumi</w:t>
            </w:r>
          </w:p>
        </w:tc>
        <w:tc>
          <w:tcPr>
            <w:tcW w:w="1426" w:type="dxa"/>
            <w:vAlign w:val="center"/>
            <w:hideMark/>
          </w:tcPr>
          <w:p w14:paraId="462B6A25"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D.62;</w:t>
            </w:r>
            <w:r w:rsidRPr="00976103">
              <w:rPr>
                <w:color w:val="000000"/>
                <w:szCs w:val="24"/>
                <w:lang w:eastAsia="lv-LV"/>
              </w:rPr>
              <w:t xml:space="preserve"> D.632</w:t>
            </w:r>
          </w:p>
        </w:tc>
        <w:tc>
          <w:tcPr>
            <w:tcW w:w="1227" w:type="dxa"/>
            <w:vAlign w:val="center"/>
          </w:tcPr>
          <w:p w14:paraId="0A93F944"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11,6</w:t>
            </w:r>
          </w:p>
        </w:tc>
        <w:tc>
          <w:tcPr>
            <w:tcW w:w="1276" w:type="dxa"/>
            <w:vAlign w:val="center"/>
          </w:tcPr>
          <w:p w14:paraId="69CE67CA"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11,8</w:t>
            </w:r>
          </w:p>
        </w:tc>
      </w:tr>
      <w:tr w:rsidR="0031631E" w:rsidRPr="00976103" w14:paraId="67237BDB" w14:textId="77777777" w:rsidTr="00687919">
        <w:trPr>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FA430AC" w14:textId="77777777" w:rsidR="0031631E" w:rsidRPr="00976103" w:rsidRDefault="0031631E" w:rsidP="00F866B5">
            <w:pPr>
              <w:spacing w:after="0"/>
              <w:ind w:firstLineChars="300" w:firstLine="720"/>
              <w:jc w:val="left"/>
              <w:rPr>
                <w:color w:val="000000"/>
                <w:szCs w:val="24"/>
                <w:lang w:eastAsia="lv-LV"/>
              </w:rPr>
            </w:pPr>
            <w:r w:rsidRPr="00976103">
              <w:rPr>
                <w:color w:val="000000"/>
                <w:szCs w:val="24"/>
                <w:lang w:eastAsia="lv-LV"/>
              </w:rPr>
              <w:t>tai skaitā bezdarbnieku pabalsti</w:t>
            </w:r>
          </w:p>
        </w:tc>
        <w:tc>
          <w:tcPr>
            <w:tcW w:w="1426" w:type="dxa"/>
            <w:vAlign w:val="center"/>
            <w:hideMark/>
          </w:tcPr>
          <w:p w14:paraId="48EC010A" w14:textId="77777777" w:rsidR="0031631E" w:rsidRPr="00976103"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20F0AC35"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0,4</w:t>
            </w:r>
          </w:p>
        </w:tc>
        <w:tc>
          <w:tcPr>
            <w:tcW w:w="1276" w:type="dxa"/>
            <w:vAlign w:val="center"/>
          </w:tcPr>
          <w:p w14:paraId="4C0B4359"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0,4</w:t>
            </w:r>
          </w:p>
        </w:tc>
      </w:tr>
      <w:tr w:rsidR="0031631E" w:rsidRPr="00976103" w14:paraId="481AF1DE"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5753682F"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2.4. Procentu izdevumi</w:t>
            </w:r>
          </w:p>
        </w:tc>
        <w:tc>
          <w:tcPr>
            <w:tcW w:w="1426" w:type="dxa"/>
            <w:vAlign w:val="center"/>
            <w:hideMark/>
          </w:tcPr>
          <w:p w14:paraId="35D0B4EE"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D.41</w:t>
            </w:r>
          </w:p>
        </w:tc>
        <w:tc>
          <w:tcPr>
            <w:tcW w:w="1227" w:type="dxa"/>
            <w:vAlign w:val="center"/>
          </w:tcPr>
          <w:p w14:paraId="22B9F0D8"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0,8</w:t>
            </w:r>
          </w:p>
        </w:tc>
        <w:tc>
          <w:tcPr>
            <w:tcW w:w="1276" w:type="dxa"/>
            <w:vAlign w:val="center"/>
          </w:tcPr>
          <w:p w14:paraId="525954E7"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0,8</w:t>
            </w:r>
          </w:p>
        </w:tc>
      </w:tr>
      <w:tr w:rsidR="0031631E" w:rsidRPr="00976103" w14:paraId="7A5AFFF4"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CBDA438"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2.5. Subsīdijas</w:t>
            </w:r>
          </w:p>
        </w:tc>
        <w:tc>
          <w:tcPr>
            <w:tcW w:w="1426" w:type="dxa"/>
            <w:vAlign w:val="center"/>
            <w:hideMark/>
          </w:tcPr>
          <w:p w14:paraId="2251D8A1" w14:textId="77777777" w:rsidR="0031631E" w:rsidRPr="00976103"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D.3</w:t>
            </w:r>
          </w:p>
        </w:tc>
        <w:tc>
          <w:tcPr>
            <w:tcW w:w="1227" w:type="dxa"/>
            <w:vAlign w:val="center"/>
          </w:tcPr>
          <w:p w14:paraId="38F05BA0"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1,7</w:t>
            </w:r>
          </w:p>
        </w:tc>
        <w:tc>
          <w:tcPr>
            <w:tcW w:w="1276" w:type="dxa"/>
            <w:vAlign w:val="center"/>
          </w:tcPr>
          <w:p w14:paraId="77F7D95F"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1,5</w:t>
            </w:r>
          </w:p>
        </w:tc>
      </w:tr>
      <w:tr w:rsidR="0031631E" w:rsidRPr="00976103" w14:paraId="0FF1CD8A" w14:textId="77777777" w:rsidTr="00687919">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101A29F5"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2.6. Bruto kopējā pamatkapitāla veidošana</w:t>
            </w:r>
          </w:p>
        </w:tc>
        <w:tc>
          <w:tcPr>
            <w:tcW w:w="1426" w:type="dxa"/>
            <w:vAlign w:val="center"/>
            <w:hideMark/>
          </w:tcPr>
          <w:p w14:paraId="56C84849"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P.51</w:t>
            </w:r>
          </w:p>
        </w:tc>
        <w:tc>
          <w:tcPr>
            <w:tcW w:w="1227" w:type="dxa"/>
            <w:vAlign w:val="center"/>
          </w:tcPr>
          <w:p w14:paraId="5C89FFC5"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5,4</w:t>
            </w:r>
          </w:p>
        </w:tc>
        <w:tc>
          <w:tcPr>
            <w:tcW w:w="1276" w:type="dxa"/>
            <w:vAlign w:val="center"/>
          </w:tcPr>
          <w:p w14:paraId="35260DF2"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4,8</w:t>
            </w:r>
          </w:p>
        </w:tc>
      </w:tr>
      <w:tr w:rsidR="0031631E" w:rsidRPr="00976103" w14:paraId="69015C30" w14:textId="77777777" w:rsidTr="00687919">
        <w:trPr>
          <w:trHeight w:val="21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A66EBB1"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2.7. Kapitālo izdevumu transferti</w:t>
            </w:r>
          </w:p>
        </w:tc>
        <w:tc>
          <w:tcPr>
            <w:tcW w:w="1426" w:type="dxa"/>
            <w:vAlign w:val="center"/>
            <w:hideMark/>
          </w:tcPr>
          <w:p w14:paraId="696CC6DB" w14:textId="77777777" w:rsidR="0031631E" w:rsidRPr="00976103"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w:t>
            </w:r>
          </w:p>
        </w:tc>
        <w:tc>
          <w:tcPr>
            <w:tcW w:w="1227" w:type="dxa"/>
            <w:vAlign w:val="center"/>
          </w:tcPr>
          <w:p w14:paraId="0D15AC6F"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0,2</w:t>
            </w:r>
          </w:p>
        </w:tc>
        <w:tc>
          <w:tcPr>
            <w:tcW w:w="1276" w:type="dxa"/>
            <w:vAlign w:val="center"/>
          </w:tcPr>
          <w:p w14:paraId="1384CEE1"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0,1</w:t>
            </w:r>
          </w:p>
        </w:tc>
      </w:tr>
      <w:tr w:rsidR="0031631E" w:rsidRPr="00976103" w14:paraId="07E05023" w14:textId="77777777" w:rsidTr="00687919">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43A7E18" w14:textId="77777777" w:rsidR="0031631E" w:rsidRPr="00976103" w:rsidRDefault="0031631E" w:rsidP="00F866B5">
            <w:pPr>
              <w:spacing w:after="0"/>
              <w:ind w:firstLineChars="100" w:firstLine="240"/>
              <w:jc w:val="left"/>
              <w:rPr>
                <w:color w:val="000000"/>
                <w:szCs w:val="24"/>
                <w:lang w:eastAsia="lv-LV"/>
              </w:rPr>
            </w:pPr>
            <w:r w:rsidRPr="00976103">
              <w:rPr>
                <w:color w:val="000000"/>
                <w:szCs w:val="24"/>
                <w:lang w:eastAsia="lv-LV"/>
              </w:rPr>
              <w:t>2.8. Pārējie izdevumi</w:t>
            </w:r>
          </w:p>
        </w:tc>
        <w:tc>
          <w:tcPr>
            <w:tcW w:w="1426" w:type="dxa"/>
            <w:hideMark/>
          </w:tcPr>
          <w:p w14:paraId="030444B3"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227" w:type="dxa"/>
            <w:vAlign w:val="center"/>
          </w:tcPr>
          <w:p w14:paraId="55CC42BF"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2,1</w:t>
            </w:r>
          </w:p>
        </w:tc>
        <w:tc>
          <w:tcPr>
            <w:tcW w:w="1276" w:type="dxa"/>
            <w:vAlign w:val="center"/>
          </w:tcPr>
          <w:p w14:paraId="18296A50"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1,4</w:t>
            </w:r>
          </w:p>
        </w:tc>
      </w:tr>
    </w:tbl>
    <w:p w14:paraId="436F16B9" w14:textId="77777777" w:rsidR="00CB5AC9" w:rsidRPr="00976103" w:rsidRDefault="00CB5AC9" w:rsidP="0095691A">
      <w:pPr>
        <w:ind w:firstLine="0"/>
        <w:jc w:val="left"/>
        <w:rPr>
          <w:szCs w:val="24"/>
        </w:rPr>
      </w:pPr>
    </w:p>
    <w:p w14:paraId="17C7800A" w14:textId="77777777" w:rsidR="00C6272E" w:rsidRPr="00976103" w:rsidRDefault="00D949B6" w:rsidP="00D949B6">
      <w:pPr>
        <w:pStyle w:val="Heading1"/>
        <w:tabs>
          <w:tab w:val="left" w:pos="1276"/>
        </w:tabs>
        <w:spacing w:before="0" w:after="240"/>
        <w:ind w:firstLine="0"/>
        <w:rPr>
          <w:szCs w:val="24"/>
        </w:rPr>
      </w:pPr>
      <w:r w:rsidRPr="00976103">
        <w:rPr>
          <w:szCs w:val="24"/>
        </w:rPr>
        <w:t xml:space="preserve"> </w:t>
      </w:r>
    </w:p>
    <w:p w14:paraId="5B87C863" w14:textId="77777777" w:rsidR="00CD68EC" w:rsidRPr="00976103" w:rsidRDefault="00C6272E" w:rsidP="00070BC1">
      <w:pPr>
        <w:pStyle w:val="Heading1"/>
        <w:tabs>
          <w:tab w:val="left" w:pos="1276"/>
        </w:tabs>
        <w:spacing w:before="0" w:after="240"/>
        <w:ind w:left="1276" w:hanging="1276"/>
        <w:jc w:val="left"/>
        <w:rPr>
          <w:rFonts w:ascii="Times New Roman" w:hAnsi="Times New Roman"/>
        </w:rPr>
      </w:pPr>
      <w:r w:rsidRPr="00976103">
        <w:rPr>
          <w:b w:val="0"/>
        </w:rPr>
        <w:br w:type="page"/>
      </w:r>
    </w:p>
    <w:p w14:paraId="031F661F" w14:textId="77777777" w:rsidR="00F322FE" w:rsidRPr="00040EDF" w:rsidRDefault="00040EDF" w:rsidP="00040EDF">
      <w:pPr>
        <w:pStyle w:val="Heading1"/>
        <w:tabs>
          <w:tab w:val="left" w:pos="1276"/>
        </w:tabs>
        <w:spacing w:before="0" w:after="240"/>
        <w:ind w:left="1276" w:hanging="1276"/>
        <w:rPr>
          <w:rFonts w:ascii="Times New Roman" w:hAnsi="Times New Roman"/>
          <w:color w:val="18185F"/>
          <w:sz w:val="24"/>
        </w:rPr>
      </w:pPr>
      <w:bookmarkStart w:id="14" w:name="_Toc1374665"/>
      <w:r w:rsidRPr="00040EDF">
        <w:rPr>
          <w:rFonts w:ascii="Times New Roman" w:hAnsi="Times New Roman"/>
          <w:color w:val="18185F"/>
          <w:sz w:val="24"/>
        </w:rPr>
        <w:lastRenderedPageBreak/>
        <w:t>Tabula 4.a</w:t>
      </w:r>
      <w:r w:rsidR="00F03187">
        <w:rPr>
          <w:rFonts w:ascii="Times New Roman" w:hAnsi="Times New Roman"/>
          <w:color w:val="18185F"/>
          <w:sz w:val="24"/>
          <w:lang w:val="lv-LV"/>
        </w:rPr>
        <w:t>:</w:t>
      </w:r>
      <w:r w:rsidRPr="00040EDF">
        <w:rPr>
          <w:rFonts w:ascii="Times New Roman" w:hAnsi="Times New Roman"/>
          <w:color w:val="18185F"/>
          <w:sz w:val="24"/>
        </w:rPr>
        <w:t xml:space="preserve"> Vispārējās valdības izdevumu un ieņēmumu mērķi sadalījumā pa galvenajām komponentēm</w:t>
      </w:r>
      <w:bookmarkEnd w:id="14"/>
    </w:p>
    <w:tbl>
      <w:tblPr>
        <w:tblW w:w="906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815"/>
        <w:gridCol w:w="1276"/>
        <w:gridCol w:w="1559"/>
        <w:gridCol w:w="1417"/>
      </w:tblGrid>
      <w:tr w:rsidR="00040EDF" w:rsidRPr="00A209F9" w14:paraId="049C6E49" w14:textId="77777777" w:rsidTr="006C783C">
        <w:trPr>
          <w:trHeight w:val="600"/>
        </w:trPr>
        <w:tc>
          <w:tcPr>
            <w:tcW w:w="4815" w:type="dxa"/>
            <w:shd w:val="clear" w:color="auto" w:fill="DBE5F1" w:themeFill="accent1" w:themeFillTint="33"/>
            <w:vAlign w:val="center"/>
            <w:hideMark/>
          </w:tcPr>
          <w:p w14:paraId="669D52CE" w14:textId="77777777" w:rsidR="00040EDF" w:rsidRPr="00040EDF" w:rsidRDefault="00040EDF" w:rsidP="00040EDF">
            <w:pPr>
              <w:spacing w:after="0"/>
              <w:ind w:firstLine="0"/>
              <w:rPr>
                <w:szCs w:val="24"/>
                <w:lang w:eastAsia="lv-LV"/>
              </w:rPr>
            </w:pPr>
            <w:r w:rsidRPr="00040EDF">
              <w:rPr>
                <w:szCs w:val="24"/>
                <w:lang w:eastAsia="lv-LV"/>
              </w:rPr>
              <w:t> </w:t>
            </w:r>
          </w:p>
        </w:tc>
        <w:tc>
          <w:tcPr>
            <w:tcW w:w="1276" w:type="dxa"/>
            <w:shd w:val="clear" w:color="auto" w:fill="DBE5F1" w:themeFill="accent1" w:themeFillTint="33"/>
            <w:vAlign w:val="center"/>
            <w:hideMark/>
          </w:tcPr>
          <w:p w14:paraId="3C7E94BC" w14:textId="77777777" w:rsidR="00040EDF" w:rsidRPr="00040EDF" w:rsidRDefault="00040EDF" w:rsidP="00040EDF">
            <w:pPr>
              <w:spacing w:after="0"/>
              <w:ind w:firstLine="0"/>
              <w:rPr>
                <w:szCs w:val="24"/>
                <w:lang w:eastAsia="lv-LV"/>
              </w:rPr>
            </w:pPr>
            <w:r w:rsidRPr="00A209F9">
              <w:rPr>
                <w:b/>
                <w:szCs w:val="24"/>
              </w:rPr>
              <w:t>EKS Kods</w:t>
            </w:r>
          </w:p>
        </w:tc>
        <w:tc>
          <w:tcPr>
            <w:tcW w:w="1559" w:type="dxa"/>
            <w:shd w:val="clear" w:color="auto" w:fill="DBE5F1" w:themeFill="accent1" w:themeFillTint="33"/>
            <w:vAlign w:val="center"/>
            <w:hideMark/>
          </w:tcPr>
          <w:p w14:paraId="5F1CD05A" w14:textId="77777777" w:rsidR="00040EDF" w:rsidRPr="00040EDF" w:rsidRDefault="00040EDF" w:rsidP="00040EDF">
            <w:pPr>
              <w:spacing w:after="0"/>
              <w:ind w:firstLine="0"/>
              <w:jc w:val="center"/>
              <w:rPr>
                <w:b/>
                <w:szCs w:val="24"/>
                <w:lang w:eastAsia="lv-LV"/>
              </w:rPr>
            </w:pPr>
            <w:r w:rsidRPr="00040EDF">
              <w:rPr>
                <w:b/>
                <w:szCs w:val="24"/>
                <w:lang w:eastAsia="lv-LV"/>
              </w:rPr>
              <w:t>2018</w:t>
            </w:r>
          </w:p>
        </w:tc>
        <w:tc>
          <w:tcPr>
            <w:tcW w:w="1417" w:type="dxa"/>
            <w:shd w:val="clear" w:color="auto" w:fill="DBE5F1" w:themeFill="accent1" w:themeFillTint="33"/>
            <w:vAlign w:val="center"/>
            <w:hideMark/>
          </w:tcPr>
          <w:p w14:paraId="6F7207A6" w14:textId="77777777" w:rsidR="00040EDF" w:rsidRPr="00040EDF" w:rsidRDefault="00040EDF" w:rsidP="00040EDF">
            <w:pPr>
              <w:spacing w:after="0"/>
              <w:ind w:firstLine="0"/>
              <w:jc w:val="center"/>
              <w:rPr>
                <w:b/>
                <w:szCs w:val="24"/>
                <w:lang w:eastAsia="lv-LV"/>
              </w:rPr>
            </w:pPr>
            <w:r w:rsidRPr="00040EDF">
              <w:rPr>
                <w:b/>
                <w:szCs w:val="24"/>
                <w:lang w:eastAsia="lv-LV"/>
              </w:rPr>
              <w:t>2019</w:t>
            </w:r>
          </w:p>
        </w:tc>
      </w:tr>
      <w:tr w:rsidR="00040EDF" w:rsidRPr="00A209F9" w14:paraId="0E6A8711" w14:textId="77777777" w:rsidTr="006C783C">
        <w:trPr>
          <w:trHeight w:val="300"/>
        </w:trPr>
        <w:tc>
          <w:tcPr>
            <w:tcW w:w="4815" w:type="dxa"/>
            <w:shd w:val="clear" w:color="auto" w:fill="auto"/>
            <w:vAlign w:val="center"/>
            <w:hideMark/>
          </w:tcPr>
          <w:p w14:paraId="003F871E" w14:textId="77777777" w:rsidR="00040EDF" w:rsidRPr="00040EDF" w:rsidRDefault="00040EDF" w:rsidP="00040EDF">
            <w:pPr>
              <w:spacing w:after="0"/>
              <w:ind w:firstLine="0"/>
              <w:rPr>
                <w:szCs w:val="24"/>
                <w:lang w:eastAsia="lv-LV"/>
              </w:rPr>
            </w:pPr>
            <w:r w:rsidRPr="00040EDF">
              <w:rPr>
                <w:szCs w:val="24"/>
                <w:lang w:eastAsia="lv-LV"/>
              </w:rPr>
              <w:t> </w:t>
            </w:r>
          </w:p>
        </w:tc>
        <w:tc>
          <w:tcPr>
            <w:tcW w:w="1276" w:type="dxa"/>
            <w:shd w:val="clear" w:color="auto" w:fill="auto"/>
            <w:vAlign w:val="center"/>
            <w:hideMark/>
          </w:tcPr>
          <w:p w14:paraId="202F3DE7" w14:textId="77777777" w:rsidR="00040EDF" w:rsidRPr="00040EDF" w:rsidRDefault="00040EDF" w:rsidP="00040EDF">
            <w:pPr>
              <w:spacing w:after="0"/>
              <w:ind w:firstLine="0"/>
              <w:rPr>
                <w:szCs w:val="24"/>
                <w:lang w:eastAsia="lv-LV"/>
              </w:rPr>
            </w:pPr>
            <w:r w:rsidRPr="00040EDF">
              <w:rPr>
                <w:szCs w:val="24"/>
                <w:lang w:eastAsia="lv-LV"/>
              </w:rPr>
              <w:t xml:space="preserve"> </w:t>
            </w:r>
          </w:p>
        </w:tc>
        <w:tc>
          <w:tcPr>
            <w:tcW w:w="1559" w:type="dxa"/>
            <w:shd w:val="clear" w:color="auto" w:fill="auto"/>
            <w:vAlign w:val="center"/>
            <w:hideMark/>
          </w:tcPr>
          <w:p w14:paraId="4F667CA4" w14:textId="77777777" w:rsidR="00040EDF" w:rsidRPr="00040EDF" w:rsidRDefault="00040EDF" w:rsidP="005B569F">
            <w:pPr>
              <w:spacing w:after="0"/>
              <w:ind w:firstLine="0"/>
              <w:jc w:val="center"/>
              <w:rPr>
                <w:szCs w:val="24"/>
                <w:lang w:eastAsia="lv-LV"/>
              </w:rPr>
            </w:pPr>
            <w:r w:rsidRPr="00040EDF">
              <w:rPr>
                <w:szCs w:val="24"/>
                <w:lang w:eastAsia="lv-LV"/>
              </w:rPr>
              <w:t>% GDP</w:t>
            </w:r>
          </w:p>
        </w:tc>
        <w:tc>
          <w:tcPr>
            <w:tcW w:w="1417" w:type="dxa"/>
            <w:shd w:val="clear" w:color="auto" w:fill="auto"/>
            <w:vAlign w:val="center"/>
            <w:hideMark/>
          </w:tcPr>
          <w:p w14:paraId="29C890DF" w14:textId="77777777" w:rsidR="00040EDF" w:rsidRPr="00040EDF" w:rsidRDefault="00040EDF" w:rsidP="005B569F">
            <w:pPr>
              <w:spacing w:after="0"/>
              <w:ind w:firstLine="0"/>
              <w:jc w:val="center"/>
              <w:rPr>
                <w:szCs w:val="24"/>
                <w:lang w:eastAsia="lv-LV"/>
              </w:rPr>
            </w:pPr>
            <w:r w:rsidRPr="00040EDF">
              <w:rPr>
                <w:szCs w:val="24"/>
                <w:lang w:eastAsia="lv-LV"/>
              </w:rPr>
              <w:t>% GDP</w:t>
            </w:r>
          </w:p>
        </w:tc>
      </w:tr>
      <w:tr w:rsidR="0031631E" w:rsidRPr="00A209F9" w14:paraId="7803C41D" w14:textId="77777777" w:rsidTr="006C783C">
        <w:trPr>
          <w:trHeight w:val="300"/>
        </w:trPr>
        <w:tc>
          <w:tcPr>
            <w:tcW w:w="4815" w:type="dxa"/>
            <w:shd w:val="clear" w:color="auto" w:fill="DBE5F1" w:themeFill="accent1" w:themeFillTint="33"/>
            <w:noWrap/>
            <w:vAlign w:val="center"/>
            <w:hideMark/>
          </w:tcPr>
          <w:p w14:paraId="27CC58AA" w14:textId="77777777" w:rsidR="0031631E" w:rsidRPr="00040EDF" w:rsidRDefault="0031631E" w:rsidP="0031631E">
            <w:pPr>
              <w:spacing w:after="0"/>
              <w:ind w:firstLine="0"/>
              <w:rPr>
                <w:b/>
                <w:szCs w:val="24"/>
                <w:lang w:eastAsia="lv-LV"/>
              </w:rPr>
            </w:pPr>
            <w:r w:rsidRPr="00040EDF">
              <w:rPr>
                <w:b/>
                <w:szCs w:val="24"/>
                <w:lang w:eastAsia="lv-LV"/>
              </w:rPr>
              <w:t>1. Ieņēmumu plāna kopsumma</w:t>
            </w:r>
          </w:p>
        </w:tc>
        <w:tc>
          <w:tcPr>
            <w:tcW w:w="1276" w:type="dxa"/>
            <w:shd w:val="clear" w:color="auto" w:fill="DBE5F1" w:themeFill="accent1" w:themeFillTint="33"/>
            <w:noWrap/>
            <w:vAlign w:val="center"/>
            <w:hideMark/>
          </w:tcPr>
          <w:p w14:paraId="65724227" w14:textId="77777777" w:rsidR="0031631E" w:rsidRPr="00040EDF" w:rsidRDefault="0031631E" w:rsidP="0031631E">
            <w:pPr>
              <w:spacing w:after="0"/>
              <w:ind w:firstLine="0"/>
              <w:rPr>
                <w:szCs w:val="24"/>
                <w:lang w:eastAsia="lv-LV"/>
              </w:rPr>
            </w:pPr>
            <w:r w:rsidRPr="00040EDF">
              <w:rPr>
                <w:szCs w:val="24"/>
                <w:lang w:eastAsia="lv-LV"/>
              </w:rPr>
              <w:t xml:space="preserve">TR </w:t>
            </w:r>
          </w:p>
        </w:tc>
        <w:tc>
          <w:tcPr>
            <w:tcW w:w="1559" w:type="dxa"/>
            <w:shd w:val="clear" w:color="auto" w:fill="DBE5F1" w:themeFill="accent1" w:themeFillTint="33"/>
            <w:noWrap/>
            <w:vAlign w:val="center"/>
            <w:hideMark/>
          </w:tcPr>
          <w:p w14:paraId="6B60CE8C" w14:textId="77777777" w:rsidR="0031631E" w:rsidRPr="0031631E" w:rsidRDefault="0031631E" w:rsidP="0031631E">
            <w:pPr>
              <w:spacing w:after="0"/>
              <w:ind w:firstLine="0"/>
              <w:jc w:val="center"/>
              <w:rPr>
                <w:szCs w:val="24"/>
                <w:lang w:eastAsia="lv-LV"/>
              </w:rPr>
            </w:pPr>
            <w:r w:rsidRPr="0031631E">
              <w:rPr>
                <w:color w:val="000000"/>
                <w:szCs w:val="24"/>
              </w:rPr>
              <w:t>37,4</w:t>
            </w:r>
          </w:p>
        </w:tc>
        <w:tc>
          <w:tcPr>
            <w:tcW w:w="1417" w:type="dxa"/>
            <w:shd w:val="clear" w:color="auto" w:fill="DBE5F1" w:themeFill="accent1" w:themeFillTint="33"/>
            <w:noWrap/>
            <w:vAlign w:val="center"/>
            <w:hideMark/>
          </w:tcPr>
          <w:p w14:paraId="7BE0BEC7" w14:textId="77777777" w:rsidR="0031631E" w:rsidRPr="0031631E" w:rsidRDefault="0031631E" w:rsidP="0031631E">
            <w:pPr>
              <w:spacing w:after="0"/>
              <w:ind w:firstLine="0"/>
              <w:jc w:val="center"/>
              <w:rPr>
                <w:szCs w:val="24"/>
                <w:lang w:eastAsia="lv-LV"/>
              </w:rPr>
            </w:pPr>
            <w:r w:rsidRPr="0031631E">
              <w:rPr>
                <w:color w:val="000000"/>
                <w:szCs w:val="24"/>
              </w:rPr>
              <w:t>36,4</w:t>
            </w:r>
          </w:p>
        </w:tc>
      </w:tr>
      <w:tr w:rsidR="0031631E" w:rsidRPr="00A209F9" w14:paraId="4E80B799" w14:textId="77777777" w:rsidTr="006C783C">
        <w:trPr>
          <w:trHeight w:val="300"/>
        </w:trPr>
        <w:tc>
          <w:tcPr>
            <w:tcW w:w="4815" w:type="dxa"/>
            <w:shd w:val="clear" w:color="auto" w:fill="auto"/>
            <w:vAlign w:val="center"/>
            <w:hideMark/>
          </w:tcPr>
          <w:p w14:paraId="4387750F" w14:textId="77777777" w:rsidR="0031631E" w:rsidRPr="002E734A" w:rsidRDefault="0031631E" w:rsidP="0031631E">
            <w:pPr>
              <w:spacing w:after="0"/>
              <w:ind w:firstLine="309"/>
              <w:rPr>
                <w:b/>
                <w:szCs w:val="24"/>
                <w:lang w:eastAsia="lv-LV"/>
              </w:rPr>
            </w:pPr>
            <w:r w:rsidRPr="002E734A">
              <w:rPr>
                <w:b/>
                <w:szCs w:val="24"/>
                <w:lang w:eastAsia="lv-LV"/>
              </w:rPr>
              <w:t>t.sk.</w:t>
            </w:r>
          </w:p>
        </w:tc>
        <w:tc>
          <w:tcPr>
            <w:tcW w:w="1276" w:type="dxa"/>
            <w:shd w:val="clear" w:color="auto" w:fill="auto"/>
            <w:vAlign w:val="center"/>
            <w:hideMark/>
          </w:tcPr>
          <w:p w14:paraId="3EA2A946" w14:textId="77777777" w:rsidR="0031631E" w:rsidRPr="00040EDF" w:rsidRDefault="0031631E" w:rsidP="0031631E">
            <w:pPr>
              <w:spacing w:after="0"/>
              <w:ind w:firstLine="0"/>
              <w:rPr>
                <w:szCs w:val="24"/>
                <w:lang w:eastAsia="lv-LV"/>
              </w:rPr>
            </w:pPr>
            <w:r w:rsidRPr="00040EDF">
              <w:rPr>
                <w:szCs w:val="24"/>
                <w:lang w:eastAsia="lv-LV"/>
              </w:rPr>
              <w:t> </w:t>
            </w:r>
          </w:p>
        </w:tc>
        <w:tc>
          <w:tcPr>
            <w:tcW w:w="1559" w:type="dxa"/>
            <w:shd w:val="clear" w:color="auto" w:fill="auto"/>
            <w:vAlign w:val="center"/>
            <w:hideMark/>
          </w:tcPr>
          <w:p w14:paraId="0144C0B2" w14:textId="77777777" w:rsidR="0031631E" w:rsidRPr="0031631E" w:rsidRDefault="0031631E" w:rsidP="0031631E">
            <w:pPr>
              <w:spacing w:after="0"/>
              <w:ind w:firstLine="0"/>
              <w:jc w:val="center"/>
              <w:rPr>
                <w:szCs w:val="24"/>
                <w:lang w:eastAsia="lv-LV"/>
              </w:rPr>
            </w:pPr>
            <w:r w:rsidRPr="0031631E">
              <w:rPr>
                <w:color w:val="000000"/>
                <w:szCs w:val="24"/>
              </w:rPr>
              <w:t> </w:t>
            </w:r>
          </w:p>
        </w:tc>
        <w:tc>
          <w:tcPr>
            <w:tcW w:w="1417" w:type="dxa"/>
            <w:shd w:val="clear" w:color="auto" w:fill="auto"/>
            <w:vAlign w:val="center"/>
            <w:hideMark/>
          </w:tcPr>
          <w:p w14:paraId="45A10D1C" w14:textId="77777777" w:rsidR="0031631E" w:rsidRPr="0031631E" w:rsidRDefault="0031631E" w:rsidP="0031631E">
            <w:pPr>
              <w:spacing w:after="0"/>
              <w:ind w:firstLine="0"/>
              <w:jc w:val="center"/>
              <w:rPr>
                <w:szCs w:val="24"/>
                <w:lang w:eastAsia="lv-LV"/>
              </w:rPr>
            </w:pPr>
            <w:r w:rsidRPr="0031631E">
              <w:rPr>
                <w:color w:val="000000"/>
                <w:szCs w:val="24"/>
              </w:rPr>
              <w:t> </w:t>
            </w:r>
          </w:p>
        </w:tc>
      </w:tr>
      <w:tr w:rsidR="0031631E" w:rsidRPr="00A209F9" w14:paraId="1CF03BBB" w14:textId="77777777" w:rsidTr="006C783C">
        <w:trPr>
          <w:trHeight w:val="300"/>
        </w:trPr>
        <w:tc>
          <w:tcPr>
            <w:tcW w:w="4815" w:type="dxa"/>
            <w:shd w:val="clear" w:color="auto" w:fill="DBE5F1" w:themeFill="accent1" w:themeFillTint="33"/>
            <w:noWrap/>
            <w:vAlign w:val="center"/>
            <w:hideMark/>
          </w:tcPr>
          <w:p w14:paraId="3B105860" w14:textId="77777777" w:rsidR="0031631E" w:rsidRPr="002E734A" w:rsidRDefault="0031631E" w:rsidP="0031631E">
            <w:pPr>
              <w:spacing w:after="0"/>
              <w:ind w:firstLine="309"/>
              <w:rPr>
                <w:b/>
                <w:szCs w:val="24"/>
                <w:lang w:eastAsia="lv-LV"/>
              </w:rPr>
            </w:pPr>
            <w:r w:rsidRPr="002E734A">
              <w:rPr>
                <w:b/>
                <w:szCs w:val="24"/>
                <w:lang w:eastAsia="lv-LV"/>
              </w:rPr>
              <w:t>1.1. Ražošanas un importa nodokļi</w:t>
            </w:r>
          </w:p>
        </w:tc>
        <w:tc>
          <w:tcPr>
            <w:tcW w:w="1276" w:type="dxa"/>
            <w:shd w:val="clear" w:color="auto" w:fill="DBE5F1" w:themeFill="accent1" w:themeFillTint="33"/>
            <w:noWrap/>
            <w:vAlign w:val="center"/>
            <w:hideMark/>
          </w:tcPr>
          <w:p w14:paraId="7D1B3503" w14:textId="77777777" w:rsidR="0031631E" w:rsidRPr="00040EDF" w:rsidRDefault="0031631E" w:rsidP="0031631E">
            <w:pPr>
              <w:spacing w:after="0"/>
              <w:ind w:firstLine="0"/>
              <w:rPr>
                <w:szCs w:val="24"/>
                <w:lang w:eastAsia="lv-LV"/>
              </w:rPr>
            </w:pPr>
            <w:r w:rsidRPr="00040EDF">
              <w:rPr>
                <w:szCs w:val="24"/>
                <w:lang w:eastAsia="lv-LV"/>
              </w:rPr>
              <w:t xml:space="preserve">D.2 </w:t>
            </w:r>
          </w:p>
        </w:tc>
        <w:tc>
          <w:tcPr>
            <w:tcW w:w="1559" w:type="dxa"/>
            <w:shd w:val="clear" w:color="auto" w:fill="DBE5F1" w:themeFill="accent1" w:themeFillTint="33"/>
            <w:noWrap/>
            <w:vAlign w:val="center"/>
            <w:hideMark/>
          </w:tcPr>
          <w:p w14:paraId="17CDA1A3" w14:textId="77777777" w:rsidR="0031631E" w:rsidRPr="0031631E" w:rsidRDefault="0031631E" w:rsidP="0031631E">
            <w:pPr>
              <w:spacing w:after="0"/>
              <w:ind w:firstLine="0"/>
              <w:jc w:val="center"/>
              <w:rPr>
                <w:szCs w:val="24"/>
                <w:lang w:eastAsia="lv-LV"/>
              </w:rPr>
            </w:pPr>
            <w:r w:rsidRPr="0031631E">
              <w:rPr>
                <w:color w:val="000000"/>
                <w:szCs w:val="24"/>
              </w:rPr>
              <w:t>14,0</w:t>
            </w:r>
          </w:p>
        </w:tc>
        <w:tc>
          <w:tcPr>
            <w:tcW w:w="1417" w:type="dxa"/>
            <w:shd w:val="clear" w:color="auto" w:fill="DBE5F1" w:themeFill="accent1" w:themeFillTint="33"/>
            <w:noWrap/>
            <w:vAlign w:val="center"/>
            <w:hideMark/>
          </w:tcPr>
          <w:p w14:paraId="46BEB345" w14:textId="77777777" w:rsidR="0031631E" w:rsidRPr="0031631E" w:rsidRDefault="0031631E" w:rsidP="0031631E">
            <w:pPr>
              <w:spacing w:after="0"/>
              <w:ind w:firstLine="0"/>
              <w:jc w:val="center"/>
              <w:rPr>
                <w:szCs w:val="24"/>
                <w:lang w:eastAsia="lv-LV"/>
              </w:rPr>
            </w:pPr>
            <w:r w:rsidRPr="0031631E">
              <w:rPr>
                <w:color w:val="000000"/>
                <w:szCs w:val="24"/>
              </w:rPr>
              <w:t>14,1</w:t>
            </w:r>
          </w:p>
        </w:tc>
      </w:tr>
      <w:tr w:rsidR="0031631E" w:rsidRPr="00A209F9" w14:paraId="64DD6B03" w14:textId="77777777" w:rsidTr="006C783C">
        <w:trPr>
          <w:trHeight w:val="300"/>
        </w:trPr>
        <w:tc>
          <w:tcPr>
            <w:tcW w:w="4815" w:type="dxa"/>
            <w:shd w:val="clear" w:color="auto" w:fill="auto"/>
            <w:noWrap/>
            <w:vAlign w:val="center"/>
            <w:hideMark/>
          </w:tcPr>
          <w:p w14:paraId="47302A5B" w14:textId="77777777" w:rsidR="0031631E" w:rsidRPr="002E734A" w:rsidRDefault="0031631E" w:rsidP="0031631E">
            <w:pPr>
              <w:spacing w:after="0"/>
              <w:ind w:firstLine="309"/>
              <w:rPr>
                <w:b/>
                <w:szCs w:val="24"/>
                <w:lang w:eastAsia="lv-LV"/>
              </w:rPr>
            </w:pPr>
            <w:r w:rsidRPr="002E734A">
              <w:rPr>
                <w:b/>
                <w:szCs w:val="24"/>
                <w:lang w:eastAsia="lv-LV"/>
              </w:rPr>
              <w:t>1.2. Ienākuma un mantas kārtējie nodokļi</w:t>
            </w:r>
          </w:p>
        </w:tc>
        <w:tc>
          <w:tcPr>
            <w:tcW w:w="1276" w:type="dxa"/>
            <w:shd w:val="clear" w:color="auto" w:fill="auto"/>
            <w:noWrap/>
            <w:vAlign w:val="center"/>
            <w:hideMark/>
          </w:tcPr>
          <w:p w14:paraId="1DD5D275" w14:textId="77777777" w:rsidR="0031631E" w:rsidRPr="00040EDF" w:rsidRDefault="0031631E" w:rsidP="0031631E">
            <w:pPr>
              <w:spacing w:after="0"/>
              <w:ind w:firstLine="0"/>
              <w:rPr>
                <w:szCs w:val="24"/>
                <w:lang w:eastAsia="lv-LV"/>
              </w:rPr>
            </w:pPr>
            <w:r w:rsidRPr="00040EDF">
              <w:rPr>
                <w:szCs w:val="24"/>
                <w:lang w:eastAsia="lv-LV"/>
              </w:rPr>
              <w:t xml:space="preserve">D.5 </w:t>
            </w:r>
          </w:p>
        </w:tc>
        <w:tc>
          <w:tcPr>
            <w:tcW w:w="1559" w:type="dxa"/>
            <w:shd w:val="clear" w:color="auto" w:fill="auto"/>
            <w:noWrap/>
            <w:vAlign w:val="center"/>
            <w:hideMark/>
          </w:tcPr>
          <w:p w14:paraId="2EF78D79" w14:textId="77777777" w:rsidR="0031631E" w:rsidRPr="0031631E" w:rsidRDefault="0031631E" w:rsidP="0031631E">
            <w:pPr>
              <w:spacing w:after="0"/>
              <w:ind w:firstLine="0"/>
              <w:jc w:val="center"/>
              <w:rPr>
                <w:szCs w:val="24"/>
                <w:lang w:eastAsia="lv-LV"/>
              </w:rPr>
            </w:pPr>
            <w:r w:rsidRPr="0031631E">
              <w:rPr>
                <w:color w:val="000000"/>
                <w:szCs w:val="24"/>
              </w:rPr>
              <w:t>7,4</w:t>
            </w:r>
          </w:p>
        </w:tc>
        <w:tc>
          <w:tcPr>
            <w:tcW w:w="1417" w:type="dxa"/>
            <w:shd w:val="clear" w:color="auto" w:fill="auto"/>
            <w:noWrap/>
            <w:vAlign w:val="center"/>
            <w:hideMark/>
          </w:tcPr>
          <w:p w14:paraId="69FB32EC" w14:textId="77777777" w:rsidR="0031631E" w:rsidRPr="0031631E" w:rsidRDefault="0031631E" w:rsidP="0031631E">
            <w:pPr>
              <w:spacing w:after="0"/>
              <w:ind w:firstLine="0"/>
              <w:jc w:val="center"/>
              <w:rPr>
                <w:szCs w:val="24"/>
                <w:lang w:eastAsia="lv-LV"/>
              </w:rPr>
            </w:pPr>
            <w:r w:rsidRPr="0031631E">
              <w:rPr>
                <w:color w:val="000000"/>
                <w:szCs w:val="24"/>
              </w:rPr>
              <w:t>6,6</w:t>
            </w:r>
          </w:p>
        </w:tc>
      </w:tr>
      <w:tr w:rsidR="0031631E" w:rsidRPr="00A209F9" w14:paraId="193BEC0D" w14:textId="77777777" w:rsidTr="006C783C">
        <w:trPr>
          <w:trHeight w:val="300"/>
        </w:trPr>
        <w:tc>
          <w:tcPr>
            <w:tcW w:w="4815" w:type="dxa"/>
            <w:shd w:val="clear" w:color="auto" w:fill="DBE5F1" w:themeFill="accent1" w:themeFillTint="33"/>
            <w:noWrap/>
            <w:vAlign w:val="center"/>
            <w:hideMark/>
          </w:tcPr>
          <w:p w14:paraId="1D5F45C8" w14:textId="77777777" w:rsidR="0031631E" w:rsidRPr="002E734A" w:rsidRDefault="0031631E" w:rsidP="0031631E">
            <w:pPr>
              <w:spacing w:after="0"/>
              <w:ind w:firstLine="309"/>
              <w:rPr>
                <w:b/>
                <w:szCs w:val="24"/>
                <w:lang w:eastAsia="lv-LV"/>
              </w:rPr>
            </w:pPr>
            <w:r w:rsidRPr="002E734A">
              <w:rPr>
                <w:b/>
                <w:szCs w:val="24"/>
                <w:lang w:eastAsia="lv-LV"/>
              </w:rPr>
              <w:t>1.3. Kapitāla nodokļi</w:t>
            </w:r>
          </w:p>
        </w:tc>
        <w:tc>
          <w:tcPr>
            <w:tcW w:w="1276" w:type="dxa"/>
            <w:shd w:val="clear" w:color="auto" w:fill="DBE5F1" w:themeFill="accent1" w:themeFillTint="33"/>
            <w:noWrap/>
            <w:vAlign w:val="center"/>
            <w:hideMark/>
          </w:tcPr>
          <w:p w14:paraId="6B04CE83" w14:textId="77777777" w:rsidR="0031631E" w:rsidRPr="00040EDF" w:rsidRDefault="0031631E" w:rsidP="0031631E">
            <w:pPr>
              <w:spacing w:after="0"/>
              <w:ind w:firstLine="0"/>
              <w:rPr>
                <w:szCs w:val="24"/>
                <w:lang w:eastAsia="lv-LV"/>
              </w:rPr>
            </w:pPr>
            <w:r w:rsidRPr="00040EDF">
              <w:rPr>
                <w:szCs w:val="24"/>
                <w:lang w:eastAsia="lv-LV"/>
              </w:rPr>
              <w:t xml:space="preserve">D.91 </w:t>
            </w:r>
          </w:p>
        </w:tc>
        <w:tc>
          <w:tcPr>
            <w:tcW w:w="1559" w:type="dxa"/>
            <w:shd w:val="clear" w:color="auto" w:fill="DBE5F1" w:themeFill="accent1" w:themeFillTint="33"/>
            <w:noWrap/>
            <w:vAlign w:val="center"/>
            <w:hideMark/>
          </w:tcPr>
          <w:p w14:paraId="32737505" w14:textId="77777777" w:rsidR="0031631E" w:rsidRPr="0031631E" w:rsidRDefault="0031631E" w:rsidP="0031631E">
            <w:pPr>
              <w:spacing w:after="0"/>
              <w:ind w:firstLine="0"/>
              <w:jc w:val="center"/>
              <w:rPr>
                <w:szCs w:val="24"/>
                <w:lang w:eastAsia="lv-LV"/>
              </w:rPr>
            </w:pPr>
            <w:r w:rsidRPr="0031631E">
              <w:rPr>
                <w:color w:val="000000"/>
                <w:szCs w:val="24"/>
              </w:rPr>
              <w:t>0,0</w:t>
            </w:r>
          </w:p>
        </w:tc>
        <w:tc>
          <w:tcPr>
            <w:tcW w:w="1417" w:type="dxa"/>
            <w:shd w:val="clear" w:color="auto" w:fill="DBE5F1" w:themeFill="accent1" w:themeFillTint="33"/>
            <w:noWrap/>
            <w:vAlign w:val="center"/>
            <w:hideMark/>
          </w:tcPr>
          <w:p w14:paraId="125D1D5B" w14:textId="77777777" w:rsidR="0031631E" w:rsidRPr="0031631E" w:rsidRDefault="0031631E" w:rsidP="0031631E">
            <w:pPr>
              <w:spacing w:after="0"/>
              <w:ind w:firstLine="0"/>
              <w:jc w:val="center"/>
              <w:rPr>
                <w:szCs w:val="24"/>
                <w:lang w:eastAsia="lv-LV"/>
              </w:rPr>
            </w:pPr>
            <w:r w:rsidRPr="0031631E">
              <w:rPr>
                <w:color w:val="000000"/>
                <w:szCs w:val="24"/>
              </w:rPr>
              <w:t>0,0</w:t>
            </w:r>
          </w:p>
        </w:tc>
      </w:tr>
      <w:tr w:rsidR="0031631E" w:rsidRPr="00A209F9" w14:paraId="24C6285D" w14:textId="77777777" w:rsidTr="006C783C">
        <w:trPr>
          <w:trHeight w:val="300"/>
        </w:trPr>
        <w:tc>
          <w:tcPr>
            <w:tcW w:w="4815" w:type="dxa"/>
            <w:shd w:val="clear" w:color="auto" w:fill="auto"/>
            <w:noWrap/>
            <w:vAlign w:val="center"/>
            <w:hideMark/>
          </w:tcPr>
          <w:p w14:paraId="2ADB66D8" w14:textId="77777777" w:rsidR="0031631E" w:rsidRPr="002E734A" w:rsidRDefault="0031631E" w:rsidP="0031631E">
            <w:pPr>
              <w:spacing w:after="0"/>
              <w:ind w:firstLine="309"/>
              <w:rPr>
                <w:b/>
                <w:szCs w:val="24"/>
                <w:lang w:eastAsia="lv-LV"/>
              </w:rPr>
            </w:pPr>
            <w:r w:rsidRPr="002E734A">
              <w:rPr>
                <w:b/>
                <w:szCs w:val="24"/>
                <w:lang w:eastAsia="lv-LV"/>
              </w:rPr>
              <w:t>1.4. Sociālās iemaksas</w:t>
            </w:r>
          </w:p>
        </w:tc>
        <w:tc>
          <w:tcPr>
            <w:tcW w:w="1276" w:type="dxa"/>
            <w:shd w:val="clear" w:color="auto" w:fill="auto"/>
            <w:noWrap/>
            <w:vAlign w:val="center"/>
            <w:hideMark/>
          </w:tcPr>
          <w:p w14:paraId="3E05482E" w14:textId="77777777" w:rsidR="0031631E" w:rsidRPr="00040EDF" w:rsidRDefault="0031631E" w:rsidP="0031631E">
            <w:pPr>
              <w:spacing w:after="0"/>
              <w:ind w:firstLine="0"/>
              <w:rPr>
                <w:szCs w:val="24"/>
                <w:lang w:eastAsia="lv-LV"/>
              </w:rPr>
            </w:pPr>
            <w:r w:rsidRPr="00040EDF">
              <w:rPr>
                <w:szCs w:val="24"/>
                <w:lang w:eastAsia="lv-LV"/>
              </w:rPr>
              <w:t xml:space="preserve">D.61 </w:t>
            </w:r>
          </w:p>
        </w:tc>
        <w:tc>
          <w:tcPr>
            <w:tcW w:w="1559" w:type="dxa"/>
            <w:shd w:val="clear" w:color="auto" w:fill="auto"/>
            <w:noWrap/>
            <w:vAlign w:val="center"/>
            <w:hideMark/>
          </w:tcPr>
          <w:p w14:paraId="6BAEF323" w14:textId="77777777" w:rsidR="0031631E" w:rsidRPr="0031631E" w:rsidRDefault="0031631E" w:rsidP="0031631E">
            <w:pPr>
              <w:spacing w:after="0"/>
              <w:ind w:firstLine="0"/>
              <w:jc w:val="center"/>
              <w:rPr>
                <w:szCs w:val="24"/>
                <w:lang w:eastAsia="lv-LV"/>
              </w:rPr>
            </w:pPr>
            <w:r w:rsidRPr="0031631E">
              <w:rPr>
                <w:color w:val="000000"/>
                <w:szCs w:val="24"/>
              </w:rPr>
              <w:t>9,4</w:t>
            </w:r>
          </w:p>
        </w:tc>
        <w:tc>
          <w:tcPr>
            <w:tcW w:w="1417" w:type="dxa"/>
            <w:shd w:val="clear" w:color="auto" w:fill="auto"/>
            <w:noWrap/>
            <w:vAlign w:val="center"/>
            <w:hideMark/>
          </w:tcPr>
          <w:p w14:paraId="31B26B2B" w14:textId="77777777" w:rsidR="0031631E" w:rsidRPr="0031631E" w:rsidRDefault="0031631E" w:rsidP="0031631E">
            <w:pPr>
              <w:spacing w:after="0"/>
              <w:ind w:firstLine="0"/>
              <w:jc w:val="center"/>
              <w:rPr>
                <w:szCs w:val="24"/>
                <w:lang w:eastAsia="lv-LV"/>
              </w:rPr>
            </w:pPr>
            <w:r w:rsidRPr="0031631E">
              <w:rPr>
                <w:color w:val="000000"/>
                <w:szCs w:val="24"/>
              </w:rPr>
              <w:t>9,5</w:t>
            </w:r>
          </w:p>
        </w:tc>
      </w:tr>
      <w:tr w:rsidR="0031631E" w:rsidRPr="00A209F9" w14:paraId="57049ADE" w14:textId="77777777" w:rsidTr="006C783C">
        <w:trPr>
          <w:trHeight w:val="300"/>
        </w:trPr>
        <w:tc>
          <w:tcPr>
            <w:tcW w:w="4815" w:type="dxa"/>
            <w:shd w:val="clear" w:color="auto" w:fill="DBE5F1" w:themeFill="accent1" w:themeFillTint="33"/>
            <w:noWrap/>
            <w:vAlign w:val="center"/>
            <w:hideMark/>
          </w:tcPr>
          <w:p w14:paraId="61074629" w14:textId="77777777" w:rsidR="0031631E" w:rsidRPr="002E734A" w:rsidRDefault="0031631E" w:rsidP="0031631E">
            <w:pPr>
              <w:spacing w:after="0"/>
              <w:ind w:firstLine="309"/>
              <w:rPr>
                <w:b/>
                <w:szCs w:val="24"/>
                <w:lang w:eastAsia="lv-LV"/>
              </w:rPr>
            </w:pPr>
            <w:r w:rsidRPr="002E734A">
              <w:rPr>
                <w:b/>
                <w:szCs w:val="24"/>
                <w:lang w:eastAsia="lv-LV"/>
              </w:rPr>
              <w:t>1.5. Īpašuma ienākumi</w:t>
            </w:r>
          </w:p>
        </w:tc>
        <w:tc>
          <w:tcPr>
            <w:tcW w:w="1276" w:type="dxa"/>
            <w:shd w:val="clear" w:color="auto" w:fill="DBE5F1" w:themeFill="accent1" w:themeFillTint="33"/>
            <w:noWrap/>
            <w:vAlign w:val="center"/>
            <w:hideMark/>
          </w:tcPr>
          <w:p w14:paraId="6F1B6C95" w14:textId="77777777" w:rsidR="0031631E" w:rsidRPr="00040EDF" w:rsidRDefault="0031631E" w:rsidP="0031631E">
            <w:pPr>
              <w:spacing w:after="0"/>
              <w:ind w:firstLine="0"/>
              <w:rPr>
                <w:szCs w:val="24"/>
                <w:lang w:eastAsia="lv-LV"/>
              </w:rPr>
            </w:pPr>
            <w:r w:rsidRPr="00040EDF">
              <w:rPr>
                <w:szCs w:val="24"/>
                <w:lang w:eastAsia="lv-LV"/>
              </w:rPr>
              <w:t xml:space="preserve">D.4 </w:t>
            </w:r>
          </w:p>
        </w:tc>
        <w:tc>
          <w:tcPr>
            <w:tcW w:w="1559" w:type="dxa"/>
            <w:shd w:val="clear" w:color="auto" w:fill="DBE5F1" w:themeFill="accent1" w:themeFillTint="33"/>
            <w:noWrap/>
            <w:vAlign w:val="center"/>
            <w:hideMark/>
          </w:tcPr>
          <w:p w14:paraId="0A217A3B" w14:textId="77777777" w:rsidR="0031631E" w:rsidRPr="0031631E" w:rsidRDefault="0031631E" w:rsidP="0031631E">
            <w:pPr>
              <w:spacing w:after="0"/>
              <w:ind w:firstLine="0"/>
              <w:jc w:val="center"/>
              <w:rPr>
                <w:szCs w:val="24"/>
                <w:lang w:eastAsia="lv-LV"/>
              </w:rPr>
            </w:pPr>
            <w:r w:rsidRPr="0031631E">
              <w:rPr>
                <w:color w:val="000000"/>
                <w:szCs w:val="24"/>
              </w:rPr>
              <w:t>0,9</w:t>
            </w:r>
          </w:p>
        </w:tc>
        <w:tc>
          <w:tcPr>
            <w:tcW w:w="1417" w:type="dxa"/>
            <w:shd w:val="clear" w:color="auto" w:fill="DBE5F1" w:themeFill="accent1" w:themeFillTint="33"/>
            <w:noWrap/>
            <w:vAlign w:val="center"/>
            <w:hideMark/>
          </w:tcPr>
          <w:p w14:paraId="415AE4B4" w14:textId="77777777" w:rsidR="0031631E" w:rsidRPr="0031631E" w:rsidRDefault="0031631E" w:rsidP="0031631E">
            <w:pPr>
              <w:spacing w:after="0"/>
              <w:ind w:firstLine="0"/>
              <w:jc w:val="center"/>
              <w:rPr>
                <w:szCs w:val="24"/>
                <w:lang w:eastAsia="lv-LV"/>
              </w:rPr>
            </w:pPr>
            <w:r w:rsidRPr="0031631E">
              <w:rPr>
                <w:color w:val="000000"/>
                <w:szCs w:val="24"/>
              </w:rPr>
              <w:t>0,7</w:t>
            </w:r>
          </w:p>
        </w:tc>
      </w:tr>
      <w:tr w:rsidR="0031631E" w:rsidRPr="00A209F9" w14:paraId="52ADDAEF" w14:textId="77777777" w:rsidTr="006C783C">
        <w:trPr>
          <w:trHeight w:val="300"/>
        </w:trPr>
        <w:tc>
          <w:tcPr>
            <w:tcW w:w="4815" w:type="dxa"/>
            <w:shd w:val="clear" w:color="auto" w:fill="auto"/>
            <w:noWrap/>
            <w:vAlign w:val="center"/>
            <w:hideMark/>
          </w:tcPr>
          <w:p w14:paraId="66B60971" w14:textId="77777777" w:rsidR="0031631E" w:rsidRPr="002E734A" w:rsidRDefault="0031631E" w:rsidP="0031631E">
            <w:pPr>
              <w:spacing w:after="0"/>
              <w:ind w:firstLine="309"/>
              <w:rPr>
                <w:b/>
                <w:szCs w:val="24"/>
                <w:lang w:eastAsia="lv-LV"/>
              </w:rPr>
            </w:pPr>
            <w:r w:rsidRPr="002E734A">
              <w:rPr>
                <w:b/>
                <w:szCs w:val="24"/>
                <w:lang w:eastAsia="lv-LV"/>
              </w:rPr>
              <w:t>1.6. Pārējie ieņēmumi</w:t>
            </w:r>
          </w:p>
        </w:tc>
        <w:tc>
          <w:tcPr>
            <w:tcW w:w="1276" w:type="dxa"/>
            <w:shd w:val="clear" w:color="auto" w:fill="auto"/>
            <w:noWrap/>
            <w:vAlign w:val="center"/>
            <w:hideMark/>
          </w:tcPr>
          <w:p w14:paraId="7095293C" w14:textId="77777777" w:rsidR="0031631E" w:rsidRPr="00040EDF" w:rsidRDefault="0031631E" w:rsidP="0031631E">
            <w:pPr>
              <w:spacing w:after="0"/>
              <w:ind w:firstLine="0"/>
              <w:rPr>
                <w:szCs w:val="24"/>
                <w:lang w:eastAsia="lv-LV"/>
              </w:rPr>
            </w:pPr>
            <w:r w:rsidRPr="00040EDF">
              <w:rPr>
                <w:szCs w:val="24"/>
                <w:lang w:eastAsia="lv-LV"/>
              </w:rPr>
              <w:t xml:space="preserve"> </w:t>
            </w:r>
          </w:p>
        </w:tc>
        <w:tc>
          <w:tcPr>
            <w:tcW w:w="1559" w:type="dxa"/>
            <w:shd w:val="clear" w:color="auto" w:fill="auto"/>
            <w:noWrap/>
            <w:vAlign w:val="center"/>
            <w:hideMark/>
          </w:tcPr>
          <w:p w14:paraId="255BE64C" w14:textId="77777777" w:rsidR="0031631E" w:rsidRPr="0031631E" w:rsidRDefault="0031631E" w:rsidP="0031631E">
            <w:pPr>
              <w:spacing w:after="0"/>
              <w:ind w:firstLine="0"/>
              <w:jc w:val="center"/>
              <w:rPr>
                <w:szCs w:val="24"/>
                <w:lang w:eastAsia="lv-LV"/>
              </w:rPr>
            </w:pPr>
            <w:r w:rsidRPr="0031631E">
              <w:rPr>
                <w:color w:val="000000"/>
                <w:szCs w:val="24"/>
              </w:rPr>
              <w:t>5,8</w:t>
            </w:r>
          </w:p>
        </w:tc>
        <w:tc>
          <w:tcPr>
            <w:tcW w:w="1417" w:type="dxa"/>
            <w:shd w:val="clear" w:color="auto" w:fill="auto"/>
            <w:noWrap/>
            <w:vAlign w:val="center"/>
            <w:hideMark/>
          </w:tcPr>
          <w:p w14:paraId="519EC30E" w14:textId="77777777" w:rsidR="0031631E" w:rsidRPr="0031631E" w:rsidRDefault="0031631E" w:rsidP="0031631E">
            <w:pPr>
              <w:spacing w:after="0"/>
              <w:ind w:firstLine="0"/>
              <w:jc w:val="center"/>
              <w:rPr>
                <w:szCs w:val="24"/>
                <w:lang w:eastAsia="lv-LV"/>
              </w:rPr>
            </w:pPr>
            <w:r w:rsidRPr="0031631E">
              <w:rPr>
                <w:color w:val="000000"/>
                <w:szCs w:val="24"/>
              </w:rPr>
              <w:t>5,5</w:t>
            </w:r>
          </w:p>
        </w:tc>
      </w:tr>
      <w:tr w:rsidR="0031631E" w:rsidRPr="00A209F9" w14:paraId="274D452E" w14:textId="77777777" w:rsidTr="006C783C">
        <w:trPr>
          <w:trHeight w:val="300"/>
        </w:trPr>
        <w:tc>
          <w:tcPr>
            <w:tcW w:w="4815" w:type="dxa"/>
            <w:shd w:val="clear" w:color="auto" w:fill="DBE5F1" w:themeFill="accent1" w:themeFillTint="33"/>
            <w:noWrap/>
            <w:vAlign w:val="center"/>
            <w:hideMark/>
          </w:tcPr>
          <w:p w14:paraId="72B4DD69" w14:textId="77777777" w:rsidR="0031631E" w:rsidRPr="002E734A" w:rsidRDefault="0031631E" w:rsidP="0031631E">
            <w:pPr>
              <w:spacing w:after="0"/>
              <w:ind w:firstLine="309"/>
              <w:rPr>
                <w:b/>
                <w:szCs w:val="24"/>
                <w:lang w:eastAsia="lv-LV"/>
              </w:rPr>
            </w:pPr>
            <w:r w:rsidRPr="002E734A">
              <w:rPr>
                <w:b/>
                <w:szCs w:val="24"/>
                <w:lang w:eastAsia="lv-LV"/>
              </w:rPr>
              <w:t>Nodokļu slogs (D.2+D.5+D.61+D.91-D.995)</w:t>
            </w:r>
          </w:p>
        </w:tc>
        <w:tc>
          <w:tcPr>
            <w:tcW w:w="1276" w:type="dxa"/>
            <w:shd w:val="clear" w:color="auto" w:fill="DBE5F1" w:themeFill="accent1" w:themeFillTint="33"/>
            <w:noWrap/>
            <w:vAlign w:val="center"/>
            <w:hideMark/>
          </w:tcPr>
          <w:p w14:paraId="1F9EF624" w14:textId="77777777" w:rsidR="0031631E" w:rsidRPr="00040EDF" w:rsidRDefault="0031631E" w:rsidP="0031631E">
            <w:pPr>
              <w:spacing w:after="0"/>
              <w:ind w:firstLine="0"/>
              <w:rPr>
                <w:szCs w:val="24"/>
                <w:lang w:eastAsia="lv-LV"/>
              </w:rPr>
            </w:pPr>
            <w:r w:rsidRPr="00040EDF">
              <w:rPr>
                <w:szCs w:val="24"/>
                <w:lang w:eastAsia="lv-LV"/>
              </w:rPr>
              <w:t xml:space="preserve"> </w:t>
            </w:r>
          </w:p>
        </w:tc>
        <w:tc>
          <w:tcPr>
            <w:tcW w:w="1559" w:type="dxa"/>
            <w:shd w:val="clear" w:color="auto" w:fill="DBE5F1" w:themeFill="accent1" w:themeFillTint="33"/>
            <w:noWrap/>
            <w:vAlign w:val="center"/>
            <w:hideMark/>
          </w:tcPr>
          <w:p w14:paraId="30557342" w14:textId="77777777" w:rsidR="0031631E" w:rsidRPr="0031631E" w:rsidRDefault="0031631E" w:rsidP="0031631E">
            <w:pPr>
              <w:spacing w:after="0"/>
              <w:ind w:firstLine="0"/>
              <w:jc w:val="center"/>
              <w:rPr>
                <w:szCs w:val="24"/>
                <w:lang w:eastAsia="lv-LV"/>
              </w:rPr>
            </w:pPr>
            <w:r w:rsidRPr="0031631E">
              <w:rPr>
                <w:color w:val="000000"/>
                <w:szCs w:val="24"/>
              </w:rPr>
              <w:t>30,9</w:t>
            </w:r>
          </w:p>
        </w:tc>
        <w:tc>
          <w:tcPr>
            <w:tcW w:w="1417" w:type="dxa"/>
            <w:shd w:val="clear" w:color="auto" w:fill="DBE5F1" w:themeFill="accent1" w:themeFillTint="33"/>
            <w:noWrap/>
            <w:vAlign w:val="center"/>
            <w:hideMark/>
          </w:tcPr>
          <w:p w14:paraId="59337CF2" w14:textId="77777777" w:rsidR="0031631E" w:rsidRPr="0031631E" w:rsidRDefault="0031631E" w:rsidP="0031631E">
            <w:pPr>
              <w:spacing w:after="0"/>
              <w:ind w:firstLine="0"/>
              <w:jc w:val="center"/>
              <w:rPr>
                <w:szCs w:val="24"/>
                <w:lang w:eastAsia="lv-LV"/>
              </w:rPr>
            </w:pPr>
            <w:r w:rsidRPr="0031631E">
              <w:rPr>
                <w:color w:val="000000"/>
                <w:szCs w:val="24"/>
              </w:rPr>
              <w:t>30,4</w:t>
            </w:r>
          </w:p>
        </w:tc>
      </w:tr>
      <w:tr w:rsidR="0031631E" w:rsidRPr="00A209F9" w14:paraId="4ED70070" w14:textId="77777777" w:rsidTr="006C783C">
        <w:trPr>
          <w:trHeight w:val="300"/>
        </w:trPr>
        <w:tc>
          <w:tcPr>
            <w:tcW w:w="4815" w:type="dxa"/>
            <w:shd w:val="clear" w:color="auto" w:fill="auto"/>
            <w:noWrap/>
            <w:vAlign w:val="center"/>
            <w:hideMark/>
          </w:tcPr>
          <w:p w14:paraId="5A63B373" w14:textId="77777777" w:rsidR="0031631E" w:rsidRPr="002E734A" w:rsidRDefault="0031631E" w:rsidP="0031631E">
            <w:pPr>
              <w:spacing w:after="0"/>
              <w:ind w:firstLine="0"/>
              <w:rPr>
                <w:b/>
                <w:szCs w:val="24"/>
                <w:lang w:eastAsia="lv-LV"/>
              </w:rPr>
            </w:pPr>
            <w:r w:rsidRPr="002E734A">
              <w:rPr>
                <w:b/>
                <w:szCs w:val="24"/>
                <w:lang w:eastAsia="lv-LV"/>
              </w:rPr>
              <w:t>2. Izdevumu plāna kopsumma</w:t>
            </w:r>
          </w:p>
        </w:tc>
        <w:tc>
          <w:tcPr>
            <w:tcW w:w="1276" w:type="dxa"/>
            <w:shd w:val="clear" w:color="auto" w:fill="auto"/>
            <w:noWrap/>
            <w:vAlign w:val="center"/>
            <w:hideMark/>
          </w:tcPr>
          <w:p w14:paraId="3DE83664" w14:textId="77777777" w:rsidR="0031631E" w:rsidRPr="00040EDF" w:rsidRDefault="0031631E" w:rsidP="0031631E">
            <w:pPr>
              <w:spacing w:after="0"/>
              <w:ind w:firstLine="0"/>
              <w:rPr>
                <w:szCs w:val="24"/>
                <w:lang w:eastAsia="lv-LV"/>
              </w:rPr>
            </w:pPr>
            <w:r w:rsidRPr="00040EDF">
              <w:rPr>
                <w:szCs w:val="24"/>
                <w:lang w:eastAsia="lv-LV"/>
              </w:rPr>
              <w:t>TE</w:t>
            </w:r>
          </w:p>
        </w:tc>
        <w:tc>
          <w:tcPr>
            <w:tcW w:w="1559" w:type="dxa"/>
            <w:shd w:val="clear" w:color="auto" w:fill="auto"/>
            <w:noWrap/>
            <w:vAlign w:val="center"/>
            <w:hideMark/>
          </w:tcPr>
          <w:p w14:paraId="107B7E96" w14:textId="77777777" w:rsidR="0031631E" w:rsidRPr="0031631E" w:rsidRDefault="0031631E" w:rsidP="0031631E">
            <w:pPr>
              <w:spacing w:after="0"/>
              <w:ind w:firstLine="0"/>
              <w:jc w:val="center"/>
              <w:rPr>
                <w:szCs w:val="24"/>
                <w:lang w:eastAsia="lv-LV"/>
              </w:rPr>
            </w:pPr>
            <w:r w:rsidRPr="0031631E">
              <w:rPr>
                <w:color w:val="000000"/>
                <w:szCs w:val="24"/>
              </w:rPr>
              <w:t>38,0</w:t>
            </w:r>
          </w:p>
        </w:tc>
        <w:tc>
          <w:tcPr>
            <w:tcW w:w="1417" w:type="dxa"/>
            <w:shd w:val="clear" w:color="auto" w:fill="auto"/>
            <w:noWrap/>
            <w:vAlign w:val="center"/>
            <w:hideMark/>
          </w:tcPr>
          <w:p w14:paraId="6CB3F550" w14:textId="77777777" w:rsidR="0031631E" w:rsidRPr="0031631E" w:rsidRDefault="0031631E" w:rsidP="0031631E">
            <w:pPr>
              <w:spacing w:after="0"/>
              <w:ind w:firstLine="0"/>
              <w:jc w:val="center"/>
              <w:rPr>
                <w:szCs w:val="24"/>
                <w:lang w:eastAsia="lv-LV"/>
              </w:rPr>
            </w:pPr>
            <w:r w:rsidRPr="0031631E">
              <w:rPr>
                <w:color w:val="000000"/>
                <w:szCs w:val="24"/>
              </w:rPr>
              <w:t>36,9</w:t>
            </w:r>
          </w:p>
        </w:tc>
      </w:tr>
      <w:tr w:rsidR="0031631E" w:rsidRPr="00A209F9" w14:paraId="06EFBE32" w14:textId="77777777" w:rsidTr="006C783C">
        <w:trPr>
          <w:trHeight w:val="300"/>
        </w:trPr>
        <w:tc>
          <w:tcPr>
            <w:tcW w:w="4815" w:type="dxa"/>
            <w:shd w:val="clear" w:color="auto" w:fill="DBE5F1" w:themeFill="accent1" w:themeFillTint="33"/>
            <w:vAlign w:val="center"/>
            <w:hideMark/>
          </w:tcPr>
          <w:p w14:paraId="2938A4A0" w14:textId="77777777" w:rsidR="0031631E" w:rsidRPr="002E734A" w:rsidRDefault="0031631E" w:rsidP="0031631E">
            <w:pPr>
              <w:spacing w:after="0"/>
              <w:ind w:firstLine="309"/>
              <w:rPr>
                <w:b/>
                <w:szCs w:val="24"/>
                <w:lang w:eastAsia="lv-LV"/>
              </w:rPr>
            </w:pPr>
            <w:r w:rsidRPr="002E734A">
              <w:rPr>
                <w:b/>
                <w:szCs w:val="24"/>
                <w:lang w:eastAsia="lv-LV"/>
              </w:rPr>
              <w:t>t.sk.</w:t>
            </w:r>
          </w:p>
        </w:tc>
        <w:tc>
          <w:tcPr>
            <w:tcW w:w="1276" w:type="dxa"/>
            <w:shd w:val="clear" w:color="auto" w:fill="DBE5F1" w:themeFill="accent1" w:themeFillTint="33"/>
            <w:vAlign w:val="center"/>
            <w:hideMark/>
          </w:tcPr>
          <w:p w14:paraId="7D106317" w14:textId="77777777" w:rsidR="0031631E" w:rsidRPr="00040EDF" w:rsidRDefault="0031631E" w:rsidP="0031631E">
            <w:pPr>
              <w:spacing w:after="0"/>
              <w:ind w:firstLine="0"/>
              <w:rPr>
                <w:szCs w:val="24"/>
                <w:lang w:eastAsia="lv-LV"/>
              </w:rPr>
            </w:pPr>
            <w:r w:rsidRPr="00040EDF">
              <w:rPr>
                <w:szCs w:val="24"/>
                <w:lang w:eastAsia="lv-LV"/>
              </w:rPr>
              <w:t> </w:t>
            </w:r>
          </w:p>
        </w:tc>
        <w:tc>
          <w:tcPr>
            <w:tcW w:w="1559" w:type="dxa"/>
            <w:shd w:val="clear" w:color="auto" w:fill="DBE5F1" w:themeFill="accent1" w:themeFillTint="33"/>
            <w:vAlign w:val="center"/>
            <w:hideMark/>
          </w:tcPr>
          <w:p w14:paraId="78B668CE" w14:textId="77777777" w:rsidR="0031631E" w:rsidRPr="0031631E" w:rsidRDefault="0031631E" w:rsidP="0031631E">
            <w:pPr>
              <w:spacing w:after="0"/>
              <w:ind w:firstLine="0"/>
              <w:jc w:val="center"/>
              <w:rPr>
                <w:szCs w:val="24"/>
                <w:lang w:eastAsia="lv-LV"/>
              </w:rPr>
            </w:pPr>
            <w:r w:rsidRPr="0031631E">
              <w:rPr>
                <w:color w:val="000000"/>
                <w:szCs w:val="24"/>
              </w:rPr>
              <w:t> </w:t>
            </w:r>
          </w:p>
        </w:tc>
        <w:tc>
          <w:tcPr>
            <w:tcW w:w="1417" w:type="dxa"/>
            <w:shd w:val="clear" w:color="auto" w:fill="DBE5F1" w:themeFill="accent1" w:themeFillTint="33"/>
            <w:vAlign w:val="center"/>
            <w:hideMark/>
          </w:tcPr>
          <w:p w14:paraId="08DFA5FE" w14:textId="77777777" w:rsidR="0031631E" w:rsidRPr="0031631E" w:rsidRDefault="0031631E" w:rsidP="0031631E">
            <w:pPr>
              <w:spacing w:after="0"/>
              <w:ind w:firstLine="0"/>
              <w:jc w:val="center"/>
              <w:rPr>
                <w:szCs w:val="24"/>
                <w:lang w:eastAsia="lv-LV"/>
              </w:rPr>
            </w:pPr>
            <w:r w:rsidRPr="0031631E">
              <w:rPr>
                <w:color w:val="000000"/>
                <w:szCs w:val="24"/>
              </w:rPr>
              <w:t> </w:t>
            </w:r>
          </w:p>
        </w:tc>
      </w:tr>
      <w:tr w:rsidR="0031631E" w:rsidRPr="00A209F9" w14:paraId="0ED838F8" w14:textId="77777777" w:rsidTr="006C783C">
        <w:trPr>
          <w:trHeight w:val="300"/>
        </w:trPr>
        <w:tc>
          <w:tcPr>
            <w:tcW w:w="4815" w:type="dxa"/>
            <w:shd w:val="clear" w:color="auto" w:fill="auto"/>
            <w:noWrap/>
            <w:vAlign w:val="center"/>
            <w:hideMark/>
          </w:tcPr>
          <w:p w14:paraId="36602B21" w14:textId="77777777" w:rsidR="0031631E" w:rsidRPr="002E734A" w:rsidRDefault="0031631E" w:rsidP="0031631E">
            <w:pPr>
              <w:spacing w:after="0"/>
              <w:ind w:firstLine="309"/>
              <w:rPr>
                <w:b/>
                <w:szCs w:val="24"/>
                <w:lang w:eastAsia="lv-LV"/>
              </w:rPr>
            </w:pPr>
            <w:r w:rsidRPr="002E734A">
              <w:rPr>
                <w:b/>
                <w:szCs w:val="24"/>
                <w:lang w:eastAsia="lv-LV"/>
              </w:rPr>
              <w:t>2.1. Atlīdzība nodarbinātajiem</w:t>
            </w:r>
          </w:p>
        </w:tc>
        <w:tc>
          <w:tcPr>
            <w:tcW w:w="1276" w:type="dxa"/>
            <w:shd w:val="clear" w:color="auto" w:fill="auto"/>
            <w:noWrap/>
            <w:vAlign w:val="center"/>
            <w:hideMark/>
          </w:tcPr>
          <w:p w14:paraId="226355D9" w14:textId="77777777" w:rsidR="0031631E" w:rsidRPr="00040EDF" w:rsidRDefault="0031631E" w:rsidP="0031631E">
            <w:pPr>
              <w:spacing w:after="0"/>
              <w:ind w:firstLine="0"/>
              <w:rPr>
                <w:szCs w:val="24"/>
                <w:lang w:eastAsia="lv-LV"/>
              </w:rPr>
            </w:pPr>
            <w:r w:rsidRPr="00040EDF">
              <w:rPr>
                <w:szCs w:val="24"/>
                <w:lang w:eastAsia="lv-LV"/>
              </w:rPr>
              <w:t xml:space="preserve">D.1  </w:t>
            </w:r>
          </w:p>
        </w:tc>
        <w:tc>
          <w:tcPr>
            <w:tcW w:w="1559" w:type="dxa"/>
            <w:shd w:val="clear" w:color="auto" w:fill="auto"/>
            <w:noWrap/>
            <w:vAlign w:val="center"/>
            <w:hideMark/>
          </w:tcPr>
          <w:p w14:paraId="57E13CE6" w14:textId="77777777" w:rsidR="0031631E" w:rsidRPr="0031631E" w:rsidRDefault="0031631E" w:rsidP="0031631E">
            <w:pPr>
              <w:spacing w:after="0"/>
              <w:ind w:firstLine="0"/>
              <w:jc w:val="center"/>
              <w:rPr>
                <w:szCs w:val="24"/>
                <w:lang w:eastAsia="lv-LV"/>
              </w:rPr>
            </w:pPr>
            <w:r w:rsidRPr="0031631E">
              <w:rPr>
                <w:color w:val="000000"/>
                <w:szCs w:val="24"/>
              </w:rPr>
              <w:t>10,2</w:t>
            </w:r>
          </w:p>
        </w:tc>
        <w:tc>
          <w:tcPr>
            <w:tcW w:w="1417" w:type="dxa"/>
            <w:shd w:val="clear" w:color="auto" w:fill="auto"/>
            <w:noWrap/>
            <w:vAlign w:val="center"/>
            <w:hideMark/>
          </w:tcPr>
          <w:p w14:paraId="76EA1FF0" w14:textId="77777777" w:rsidR="0031631E" w:rsidRPr="0031631E" w:rsidRDefault="0031631E" w:rsidP="0031631E">
            <w:pPr>
              <w:spacing w:after="0"/>
              <w:ind w:firstLine="0"/>
              <w:jc w:val="center"/>
              <w:rPr>
                <w:szCs w:val="24"/>
                <w:lang w:eastAsia="lv-LV"/>
              </w:rPr>
            </w:pPr>
            <w:r w:rsidRPr="0031631E">
              <w:rPr>
                <w:color w:val="000000"/>
                <w:szCs w:val="24"/>
              </w:rPr>
              <w:t>10,5</w:t>
            </w:r>
          </w:p>
        </w:tc>
      </w:tr>
      <w:tr w:rsidR="0031631E" w:rsidRPr="00A209F9" w14:paraId="1ACF5C3C" w14:textId="77777777" w:rsidTr="006C783C">
        <w:trPr>
          <w:trHeight w:val="300"/>
        </w:trPr>
        <w:tc>
          <w:tcPr>
            <w:tcW w:w="4815" w:type="dxa"/>
            <w:shd w:val="clear" w:color="auto" w:fill="DBE5F1" w:themeFill="accent1" w:themeFillTint="33"/>
            <w:noWrap/>
            <w:vAlign w:val="center"/>
            <w:hideMark/>
          </w:tcPr>
          <w:p w14:paraId="180E4276" w14:textId="77777777" w:rsidR="0031631E" w:rsidRPr="002E734A" w:rsidRDefault="0031631E" w:rsidP="0031631E">
            <w:pPr>
              <w:spacing w:after="0"/>
              <w:ind w:firstLine="309"/>
              <w:rPr>
                <w:b/>
                <w:szCs w:val="24"/>
                <w:lang w:eastAsia="lv-LV"/>
              </w:rPr>
            </w:pPr>
            <w:r w:rsidRPr="002E734A">
              <w:rPr>
                <w:b/>
                <w:szCs w:val="24"/>
                <w:lang w:eastAsia="lv-LV"/>
              </w:rPr>
              <w:t>2.2. Starppatēriņš</w:t>
            </w:r>
          </w:p>
        </w:tc>
        <w:tc>
          <w:tcPr>
            <w:tcW w:w="1276" w:type="dxa"/>
            <w:shd w:val="clear" w:color="auto" w:fill="DBE5F1" w:themeFill="accent1" w:themeFillTint="33"/>
            <w:noWrap/>
            <w:vAlign w:val="center"/>
            <w:hideMark/>
          </w:tcPr>
          <w:p w14:paraId="76185D77" w14:textId="77777777" w:rsidR="0031631E" w:rsidRPr="00040EDF" w:rsidRDefault="0031631E" w:rsidP="0031631E">
            <w:pPr>
              <w:spacing w:after="0"/>
              <w:ind w:firstLine="0"/>
              <w:rPr>
                <w:szCs w:val="24"/>
                <w:lang w:eastAsia="lv-LV"/>
              </w:rPr>
            </w:pPr>
            <w:r w:rsidRPr="00040EDF">
              <w:rPr>
                <w:szCs w:val="24"/>
                <w:lang w:eastAsia="lv-LV"/>
              </w:rPr>
              <w:t xml:space="preserve">P.2 </w:t>
            </w:r>
          </w:p>
        </w:tc>
        <w:tc>
          <w:tcPr>
            <w:tcW w:w="1559" w:type="dxa"/>
            <w:shd w:val="clear" w:color="auto" w:fill="DBE5F1" w:themeFill="accent1" w:themeFillTint="33"/>
            <w:noWrap/>
            <w:vAlign w:val="center"/>
            <w:hideMark/>
          </w:tcPr>
          <w:p w14:paraId="1FC68BB4" w14:textId="77777777" w:rsidR="0031631E" w:rsidRPr="0031631E" w:rsidRDefault="0031631E" w:rsidP="0031631E">
            <w:pPr>
              <w:spacing w:after="0"/>
              <w:ind w:firstLine="0"/>
              <w:jc w:val="center"/>
              <w:rPr>
                <w:szCs w:val="24"/>
                <w:lang w:eastAsia="lv-LV"/>
              </w:rPr>
            </w:pPr>
            <w:r w:rsidRPr="0031631E">
              <w:rPr>
                <w:color w:val="000000"/>
                <w:szCs w:val="24"/>
              </w:rPr>
              <w:t>6,0</w:t>
            </w:r>
          </w:p>
        </w:tc>
        <w:tc>
          <w:tcPr>
            <w:tcW w:w="1417" w:type="dxa"/>
            <w:shd w:val="clear" w:color="auto" w:fill="DBE5F1" w:themeFill="accent1" w:themeFillTint="33"/>
            <w:noWrap/>
            <w:vAlign w:val="center"/>
            <w:hideMark/>
          </w:tcPr>
          <w:p w14:paraId="1EEA3A68" w14:textId="77777777" w:rsidR="0031631E" w:rsidRPr="0031631E" w:rsidRDefault="0031631E" w:rsidP="0031631E">
            <w:pPr>
              <w:spacing w:after="0"/>
              <w:ind w:firstLine="0"/>
              <w:jc w:val="center"/>
              <w:rPr>
                <w:szCs w:val="24"/>
                <w:lang w:eastAsia="lv-LV"/>
              </w:rPr>
            </w:pPr>
            <w:r w:rsidRPr="0031631E">
              <w:rPr>
                <w:color w:val="000000"/>
                <w:szCs w:val="24"/>
              </w:rPr>
              <w:t>5,4</w:t>
            </w:r>
          </w:p>
        </w:tc>
      </w:tr>
      <w:tr w:rsidR="0031631E" w:rsidRPr="00A209F9" w14:paraId="6C682EC2" w14:textId="77777777" w:rsidTr="006C783C">
        <w:trPr>
          <w:trHeight w:val="600"/>
        </w:trPr>
        <w:tc>
          <w:tcPr>
            <w:tcW w:w="4815" w:type="dxa"/>
            <w:shd w:val="clear" w:color="auto" w:fill="auto"/>
            <w:noWrap/>
            <w:vAlign w:val="center"/>
            <w:hideMark/>
          </w:tcPr>
          <w:p w14:paraId="201222F8" w14:textId="77777777" w:rsidR="0031631E" w:rsidRPr="002E734A" w:rsidRDefault="0031631E" w:rsidP="0031631E">
            <w:pPr>
              <w:spacing w:after="0"/>
              <w:ind w:firstLine="309"/>
              <w:rPr>
                <w:b/>
                <w:szCs w:val="24"/>
                <w:lang w:eastAsia="lv-LV"/>
              </w:rPr>
            </w:pPr>
            <w:r w:rsidRPr="002E734A">
              <w:rPr>
                <w:b/>
                <w:szCs w:val="24"/>
                <w:lang w:eastAsia="lv-LV"/>
              </w:rPr>
              <w:t>2.3. Sociālie maksājumi</w:t>
            </w:r>
          </w:p>
        </w:tc>
        <w:tc>
          <w:tcPr>
            <w:tcW w:w="1276" w:type="dxa"/>
            <w:shd w:val="clear" w:color="auto" w:fill="auto"/>
            <w:vAlign w:val="center"/>
            <w:hideMark/>
          </w:tcPr>
          <w:p w14:paraId="72D44E45" w14:textId="77777777" w:rsidR="0031631E" w:rsidRPr="00040EDF" w:rsidRDefault="0031631E" w:rsidP="0031631E">
            <w:pPr>
              <w:spacing w:after="0"/>
              <w:ind w:firstLine="0"/>
              <w:rPr>
                <w:szCs w:val="24"/>
                <w:lang w:eastAsia="lv-LV"/>
              </w:rPr>
            </w:pPr>
            <w:r w:rsidRPr="00040EDF">
              <w:rPr>
                <w:szCs w:val="24"/>
                <w:lang w:eastAsia="lv-LV"/>
              </w:rPr>
              <w:t xml:space="preserve">D.62 D.632 </w:t>
            </w:r>
          </w:p>
        </w:tc>
        <w:tc>
          <w:tcPr>
            <w:tcW w:w="1559" w:type="dxa"/>
            <w:shd w:val="clear" w:color="auto" w:fill="auto"/>
            <w:noWrap/>
            <w:vAlign w:val="center"/>
            <w:hideMark/>
          </w:tcPr>
          <w:p w14:paraId="55CBA686" w14:textId="77777777" w:rsidR="0031631E" w:rsidRPr="0031631E" w:rsidRDefault="0031631E" w:rsidP="0031631E">
            <w:pPr>
              <w:spacing w:after="0"/>
              <w:ind w:firstLine="0"/>
              <w:jc w:val="center"/>
              <w:rPr>
                <w:szCs w:val="24"/>
                <w:lang w:eastAsia="lv-LV"/>
              </w:rPr>
            </w:pPr>
            <w:r w:rsidRPr="0031631E">
              <w:rPr>
                <w:color w:val="000000"/>
                <w:szCs w:val="24"/>
              </w:rPr>
              <w:t>11,6</w:t>
            </w:r>
          </w:p>
        </w:tc>
        <w:tc>
          <w:tcPr>
            <w:tcW w:w="1417" w:type="dxa"/>
            <w:shd w:val="clear" w:color="auto" w:fill="auto"/>
            <w:noWrap/>
            <w:vAlign w:val="center"/>
            <w:hideMark/>
          </w:tcPr>
          <w:p w14:paraId="00C04D75" w14:textId="77777777" w:rsidR="0031631E" w:rsidRPr="0031631E" w:rsidRDefault="0031631E" w:rsidP="0031631E">
            <w:pPr>
              <w:spacing w:after="0"/>
              <w:ind w:firstLine="0"/>
              <w:jc w:val="center"/>
              <w:rPr>
                <w:szCs w:val="24"/>
                <w:lang w:eastAsia="lv-LV"/>
              </w:rPr>
            </w:pPr>
            <w:r w:rsidRPr="0031631E">
              <w:rPr>
                <w:color w:val="000000"/>
                <w:szCs w:val="24"/>
              </w:rPr>
              <w:t>11,7</w:t>
            </w:r>
          </w:p>
        </w:tc>
      </w:tr>
      <w:tr w:rsidR="0031631E" w:rsidRPr="00A209F9" w14:paraId="72AA9D75" w14:textId="77777777" w:rsidTr="006C783C">
        <w:trPr>
          <w:trHeight w:val="300"/>
        </w:trPr>
        <w:tc>
          <w:tcPr>
            <w:tcW w:w="4815" w:type="dxa"/>
            <w:shd w:val="clear" w:color="auto" w:fill="DBE5F1" w:themeFill="accent1" w:themeFillTint="33"/>
            <w:noWrap/>
            <w:vAlign w:val="center"/>
            <w:hideMark/>
          </w:tcPr>
          <w:p w14:paraId="73D6BD96" w14:textId="77777777" w:rsidR="0031631E" w:rsidRPr="002E734A" w:rsidRDefault="0031631E" w:rsidP="0031631E">
            <w:pPr>
              <w:spacing w:after="0"/>
              <w:ind w:firstLine="309"/>
              <w:rPr>
                <w:b/>
                <w:szCs w:val="24"/>
                <w:lang w:eastAsia="lv-LV"/>
              </w:rPr>
            </w:pPr>
            <w:r>
              <w:rPr>
                <w:b/>
                <w:szCs w:val="24"/>
                <w:lang w:eastAsia="lv-LV"/>
              </w:rPr>
              <w:t>t.</w:t>
            </w:r>
            <w:r w:rsidRPr="002E734A">
              <w:rPr>
                <w:b/>
                <w:szCs w:val="24"/>
                <w:lang w:eastAsia="lv-LV"/>
              </w:rPr>
              <w:t>sk</w:t>
            </w:r>
            <w:r>
              <w:rPr>
                <w:b/>
                <w:szCs w:val="24"/>
                <w:lang w:eastAsia="lv-LV"/>
              </w:rPr>
              <w:t xml:space="preserve">. </w:t>
            </w:r>
            <w:r w:rsidRPr="002E734A">
              <w:rPr>
                <w:b/>
                <w:szCs w:val="24"/>
                <w:lang w:eastAsia="lv-LV"/>
              </w:rPr>
              <w:t>bezdarbnieku pabalsti</w:t>
            </w:r>
          </w:p>
        </w:tc>
        <w:tc>
          <w:tcPr>
            <w:tcW w:w="1276" w:type="dxa"/>
            <w:shd w:val="clear" w:color="auto" w:fill="DBE5F1" w:themeFill="accent1" w:themeFillTint="33"/>
            <w:noWrap/>
            <w:vAlign w:val="center"/>
            <w:hideMark/>
          </w:tcPr>
          <w:p w14:paraId="10342BA4" w14:textId="77777777" w:rsidR="0031631E" w:rsidRPr="00040EDF" w:rsidRDefault="0031631E" w:rsidP="0031631E">
            <w:pPr>
              <w:spacing w:after="0"/>
              <w:ind w:firstLine="0"/>
              <w:rPr>
                <w:szCs w:val="24"/>
                <w:lang w:eastAsia="lv-LV"/>
              </w:rPr>
            </w:pPr>
            <w:r w:rsidRPr="00040EDF">
              <w:rPr>
                <w:szCs w:val="24"/>
                <w:lang w:eastAsia="lv-LV"/>
              </w:rPr>
              <w:t> </w:t>
            </w:r>
          </w:p>
        </w:tc>
        <w:tc>
          <w:tcPr>
            <w:tcW w:w="1559" w:type="dxa"/>
            <w:shd w:val="clear" w:color="auto" w:fill="DBE5F1" w:themeFill="accent1" w:themeFillTint="33"/>
            <w:noWrap/>
            <w:vAlign w:val="center"/>
            <w:hideMark/>
          </w:tcPr>
          <w:p w14:paraId="3C7AE7B4" w14:textId="77777777" w:rsidR="0031631E" w:rsidRPr="0031631E" w:rsidRDefault="0031631E" w:rsidP="0031631E">
            <w:pPr>
              <w:spacing w:after="0"/>
              <w:ind w:firstLine="0"/>
              <w:jc w:val="center"/>
              <w:rPr>
                <w:szCs w:val="24"/>
                <w:lang w:eastAsia="lv-LV"/>
              </w:rPr>
            </w:pPr>
            <w:r w:rsidRPr="0031631E">
              <w:rPr>
                <w:color w:val="000000"/>
                <w:szCs w:val="24"/>
              </w:rPr>
              <w:t>0,4</w:t>
            </w:r>
          </w:p>
        </w:tc>
        <w:tc>
          <w:tcPr>
            <w:tcW w:w="1417" w:type="dxa"/>
            <w:shd w:val="clear" w:color="auto" w:fill="DBE5F1" w:themeFill="accent1" w:themeFillTint="33"/>
            <w:noWrap/>
            <w:vAlign w:val="center"/>
            <w:hideMark/>
          </w:tcPr>
          <w:p w14:paraId="5217B5E9" w14:textId="77777777" w:rsidR="0031631E" w:rsidRPr="0031631E" w:rsidRDefault="0031631E" w:rsidP="0031631E">
            <w:pPr>
              <w:spacing w:after="0"/>
              <w:ind w:firstLine="0"/>
              <w:jc w:val="center"/>
              <w:rPr>
                <w:szCs w:val="24"/>
                <w:lang w:eastAsia="lv-LV"/>
              </w:rPr>
            </w:pPr>
            <w:r w:rsidRPr="0031631E">
              <w:rPr>
                <w:color w:val="000000"/>
                <w:szCs w:val="24"/>
              </w:rPr>
              <w:t>0,4</w:t>
            </w:r>
          </w:p>
        </w:tc>
      </w:tr>
      <w:tr w:rsidR="0031631E" w:rsidRPr="00A209F9" w14:paraId="7BF4DB44" w14:textId="77777777" w:rsidTr="006C783C">
        <w:trPr>
          <w:trHeight w:val="300"/>
        </w:trPr>
        <w:tc>
          <w:tcPr>
            <w:tcW w:w="4815" w:type="dxa"/>
            <w:shd w:val="clear" w:color="auto" w:fill="auto"/>
            <w:noWrap/>
            <w:vAlign w:val="center"/>
            <w:hideMark/>
          </w:tcPr>
          <w:p w14:paraId="16678E56" w14:textId="77777777" w:rsidR="0031631E" w:rsidRPr="002E734A" w:rsidRDefault="0031631E" w:rsidP="0031631E">
            <w:pPr>
              <w:spacing w:after="0"/>
              <w:ind w:firstLine="309"/>
              <w:rPr>
                <w:b/>
                <w:szCs w:val="24"/>
                <w:lang w:eastAsia="lv-LV"/>
              </w:rPr>
            </w:pPr>
            <w:r w:rsidRPr="002E734A">
              <w:rPr>
                <w:b/>
                <w:szCs w:val="24"/>
                <w:lang w:eastAsia="lv-LV"/>
              </w:rPr>
              <w:t>2.4. Procentu izdevumi</w:t>
            </w:r>
          </w:p>
        </w:tc>
        <w:tc>
          <w:tcPr>
            <w:tcW w:w="1276" w:type="dxa"/>
            <w:shd w:val="clear" w:color="auto" w:fill="auto"/>
            <w:noWrap/>
            <w:vAlign w:val="center"/>
            <w:hideMark/>
          </w:tcPr>
          <w:p w14:paraId="1DCC4466" w14:textId="77777777" w:rsidR="0031631E" w:rsidRPr="00040EDF" w:rsidRDefault="0031631E" w:rsidP="0031631E">
            <w:pPr>
              <w:spacing w:after="0"/>
              <w:ind w:firstLine="0"/>
              <w:rPr>
                <w:szCs w:val="24"/>
                <w:lang w:eastAsia="lv-LV"/>
              </w:rPr>
            </w:pPr>
            <w:r w:rsidRPr="00040EDF">
              <w:rPr>
                <w:szCs w:val="24"/>
                <w:lang w:eastAsia="lv-LV"/>
              </w:rPr>
              <w:t xml:space="preserve">D.41  </w:t>
            </w:r>
          </w:p>
        </w:tc>
        <w:tc>
          <w:tcPr>
            <w:tcW w:w="1559" w:type="dxa"/>
            <w:shd w:val="clear" w:color="auto" w:fill="auto"/>
            <w:noWrap/>
            <w:vAlign w:val="center"/>
            <w:hideMark/>
          </w:tcPr>
          <w:p w14:paraId="4068B7A6" w14:textId="77777777" w:rsidR="0031631E" w:rsidRPr="0031631E" w:rsidRDefault="0031631E" w:rsidP="0031631E">
            <w:pPr>
              <w:spacing w:after="0"/>
              <w:ind w:firstLine="0"/>
              <w:jc w:val="center"/>
              <w:rPr>
                <w:szCs w:val="24"/>
                <w:lang w:eastAsia="lv-LV"/>
              </w:rPr>
            </w:pPr>
            <w:r w:rsidRPr="0031631E">
              <w:rPr>
                <w:color w:val="000000"/>
                <w:szCs w:val="24"/>
              </w:rPr>
              <w:t>0,8</w:t>
            </w:r>
          </w:p>
        </w:tc>
        <w:tc>
          <w:tcPr>
            <w:tcW w:w="1417" w:type="dxa"/>
            <w:shd w:val="clear" w:color="auto" w:fill="auto"/>
            <w:noWrap/>
            <w:vAlign w:val="center"/>
            <w:hideMark/>
          </w:tcPr>
          <w:p w14:paraId="0C5A36CC" w14:textId="77777777" w:rsidR="0031631E" w:rsidRPr="0031631E" w:rsidRDefault="0031631E" w:rsidP="0031631E">
            <w:pPr>
              <w:spacing w:after="0"/>
              <w:ind w:firstLine="0"/>
              <w:jc w:val="center"/>
              <w:rPr>
                <w:szCs w:val="24"/>
                <w:lang w:eastAsia="lv-LV"/>
              </w:rPr>
            </w:pPr>
            <w:r w:rsidRPr="0031631E">
              <w:rPr>
                <w:color w:val="000000"/>
                <w:szCs w:val="24"/>
              </w:rPr>
              <w:t>0,8</w:t>
            </w:r>
          </w:p>
        </w:tc>
      </w:tr>
      <w:tr w:rsidR="0031631E" w:rsidRPr="00A209F9" w14:paraId="4964865A" w14:textId="77777777" w:rsidTr="006C783C">
        <w:trPr>
          <w:trHeight w:val="300"/>
        </w:trPr>
        <w:tc>
          <w:tcPr>
            <w:tcW w:w="4815" w:type="dxa"/>
            <w:shd w:val="clear" w:color="auto" w:fill="DBE5F1" w:themeFill="accent1" w:themeFillTint="33"/>
            <w:noWrap/>
            <w:vAlign w:val="center"/>
            <w:hideMark/>
          </w:tcPr>
          <w:p w14:paraId="7B8CB184" w14:textId="77777777" w:rsidR="0031631E" w:rsidRPr="002E734A" w:rsidRDefault="0031631E" w:rsidP="0031631E">
            <w:pPr>
              <w:spacing w:after="0"/>
              <w:ind w:firstLine="309"/>
              <w:rPr>
                <w:b/>
                <w:szCs w:val="24"/>
                <w:lang w:eastAsia="lv-LV"/>
              </w:rPr>
            </w:pPr>
            <w:r w:rsidRPr="002E734A">
              <w:rPr>
                <w:b/>
                <w:szCs w:val="24"/>
                <w:lang w:eastAsia="lv-LV"/>
              </w:rPr>
              <w:t>2.5. Subsīdijas</w:t>
            </w:r>
          </w:p>
        </w:tc>
        <w:tc>
          <w:tcPr>
            <w:tcW w:w="1276" w:type="dxa"/>
            <w:shd w:val="clear" w:color="auto" w:fill="DBE5F1" w:themeFill="accent1" w:themeFillTint="33"/>
            <w:noWrap/>
            <w:vAlign w:val="center"/>
            <w:hideMark/>
          </w:tcPr>
          <w:p w14:paraId="5F8311DB" w14:textId="77777777" w:rsidR="0031631E" w:rsidRPr="00040EDF" w:rsidRDefault="0031631E" w:rsidP="0031631E">
            <w:pPr>
              <w:spacing w:after="0"/>
              <w:ind w:firstLine="0"/>
              <w:rPr>
                <w:szCs w:val="24"/>
                <w:lang w:eastAsia="lv-LV"/>
              </w:rPr>
            </w:pPr>
            <w:r w:rsidRPr="00040EDF">
              <w:rPr>
                <w:szCs w:val="24"/>
                <w:lang w:eastAsia="lv-LV"/>
              </w:rPr>
              <w:t xml:space="preserve">D.3 </w:t>
            </w:r>
          </w:p>
        </w:tc>
        <w:tc>
          <w:tcPr>
            <w:tcW w:w="1559" w:type="dxa"/>
            <w:shd w:val="clear" w:color="auto" w:fill="DBE5F1" w:themeFill="accent1" w:themeFillTint="33"/>
            <w:noWrap/>
            <w:vAlign w:val="center"/>
            <w:hideMark/>
          </w:tcPr>
          <w:p w14:paraId="4250F6F8" w14:textId="77777777" w:rsidR="0031631E" w:rsidRPr="0031631E" w:rsidRDefault="0031631E" w:rsidP="0031631E">
            <w:pPr>
              <w:spacing w:after="0"/>
              <w:ind w:firstLine="0"/>
              <w:jc w:val="center"/>
              <w:rPr>
                <w:szCs w:val="24"/>
                <w:lang w:eastAsia="lv-LV"/>
              </w:rPr>
            </w:pPr>
            <w:r w:rsidRPr="0031631E">
              <w:rPr>
                <w:color w:val="000000"/>
                <w:szCs w:val="24"/>
              </w:rPr>
              <w:t>1,7</w:t>
            </w:r>
          </w:p>
        </w:tc>
        <w:tc>
          <w:tcPr>
            <w:tcW w:w="1417" w:type="dxa"/>
            <w:shd w:val="clear" w:color="auto" w:fill="DBE5F1" w:themeFill="accent1" w:themeFillTint="33"/>
            <w:noWrap/>
            <w:vAlign w:val="center"/>
            <w:hideMark/>
          </w:tcPr>
          <w:p w14:paraId="371F5DF6" w14:textId="77777777" w:rsidR="0031631E" w:rsidRPr="0031631E" w:rsidRDefault="0031631E" w:rsidP="0031631E">
            <w:pPr>
              <w:spacing w:after="0"/>
              <w:ind w:firstLine="0"/>
              <w:jc w:val="center"/>
              <w:rPr>
                <w:szCs w:val="24"/>
                <w:lang w:eastAsia="lv-LV"/>
              </w:rPr>
            </w:pPr>
            <w:r w:rsidRPr="0031631E">
              <w:rPr>
                <w:color w:val="000000"/>
                <w:szCs w:val="24"/>
              </w:rPr>
              <w:t>1,6</w:t>
            </w:r>
          </w:p>
        </w:tc>
      </w:tr>
      <w:tr w:rsidR="0031631E" w:rsidRPr="00A209F9" w14:paraId="67550079" w14:textId="77777777" w:rsidTr="006C783C">
        <w:trPr>
          <w:trHeight w:val="300"/>
        </w:trPr>
        <w:tc>
          <w:tcPr>
            <w:tcW w:w="4815" w:type="dxa"/>
            <w:shd w:val="clear" w:color="auto" w:fill="auto"/>
            <w:noWrap/>
            <w:vAlign w:val="center"/>
            <w:hideMark/>
          </w:tcPr>
          <w:p w14:paraId="3082F853" w14:textId="77777777" w:rsidR="0031631E" w:rsidRPr="002E734A" w:rsidRDefault="0031631E" w:rsidP="0031631E">
            <w:pPr>
              <w:spacing w:after="0"/>
              <w:ind w:firstLine="309"/>
              <w:rPr>
                <w:b/>
                <w:szCs w:val="24"/>
                <w:lang w:eastAsia="lv-LV"/>
              </w:rPr>
            </w:pPr>
            <w:r w:rsidRPr="002E734A">
              <w:rPr>
                <w:b/>
                <w:szCs w:val="24"/>
                <w:lang w:eastAsia="lv-LV"/>
              </w:rPr>
              <w:t>2.6. Bruto kopējā pamatkapitāla veidošana</w:t>
            </w:r>
          </w:p>
        </w:tc>
        <w:tc>
          <w:tcPr>
            <w:tcW w:w="1276" w:type="dxa"/>
            <w:shd w:val="clear" w:color="auto" w:fill="auto"/>
            <w:noWrap/>
            <w:vAlign w:val="center"/>
            <w:hideMark/>
          </w:tcPr>
          <w:p w14:paraId="2B7D4286" w14:textId="77777777" w:rsidR="0031631E" w:rsidRPr="00040EDF" w:rsidRDefault="0031631E" w:rsidP="0031631E">
            <w:pPr>
              <w:spacing w:after="0"/>
              <w:ind w:firstLine="0"/>
              <w:rPr>
                <w:szCs w:val="24"/>
                <w:lang w:eastAsia="lv-LV"/>
              </w:rPr>
            </w:pPr>
            <w:r w:rsidRPr="00040EDF">
              <w:rPr>
                <w:szCs w:val="24"/>
                <w:lang w:eastAsia="lv-LV"/>
              </w:rPr>
              <w:t xml:space="preserve">P.51 </w:t>
            </w:r>
          </w:p>
        </w:tc>
        <w:tc>
          <w:tcPr>
            <w:tcW w:w="1559" w:type="dxa"/>
            <w:shd w:val="clear" w:color="auto" w:fill="auto"/>
            <w:noWrap/>
            <w:vAlign w:val="center"/>
            <w:hideMark/>
          </w:tcPr>
          <w:p w14:paraId="7F6DD542" w14:textId="77777777" w:rsidR="0031631E" w:rsidRPr="0031631E" w:rsidRDefault="0031631E" w:rsidP="0031631E">
            <w:pPr>
              <w:spacing w:after="0"/>
              <w:ind w:firstLine="0"/>
              <w:jc w:val="center"/>
              <w:rPr>
                <w:szCs w:val="24"/>
                <w:lang w:eastAsia="lv-LV"/>
              </w:rPr>
            </w:pPr>
            <w:r w:rsidRPr="0031631E">
              <w:rPr>
                <w:color w:val="000000"/>
                <w:szCs w:val="24"/>
              </w:rPr>
              <w:t>5,4</w:t>
            </w:r>
          </w:p>
        </w:tc>
        <w:tc>
          <w:tcPr>
            <w:tcW w:w="1417" w:type="dxa"/>
            <w:shd w:val="clear" w:color="auto" w:fill="auto"/>
            <w:noWrap/>
            <w:vAlign w:val="center"/>
            <w:hideMark/>
          </w:tcPr>
          <w:p w14:paraId="339B493A" w14:textId="77777777" w:rsidR="0031631E" w:rsidRPr="0031631E" w:rsidRDefault="0031631E" w:rsidP="0031631E">
            <w:pPr>
              <w:spacing w:after="0"/>
              <w:ind w:firstLine="0"/>
              <w:jc w:val="center"/>
              <w:rPr>
                <w:szCs w:val="24"/>
                <w:lang w:eastAsia="lv-LV"/>
              </w:rPr>
            </w:pPr>
            <w:r w:rsidRPr="0031631E">
              <w:rPr>
                <w:color w:val="000000"/>
                <w:szCs w:val="24"/>
              </w:rPr>
              <w:t>5,3</w:t>
            </w:r>
          </w:p>
        </w:tc>
      </w:tr>
      <w:tr w:rsidR="0031631E" w:rsidRPr="00A209F9" w14:paraId="35E4B4BA" w14:textId="77777777" w:rsidTr="006C783C">
        <w:trPr>
          <w:trHeight w:val="300"/>
        </w:trPr>
        <w:tc>
          <w:tcPr>
            <w:tcW w:w="4815" w:type="dxa"/>
            <w:shd w:val="clear" w:color="auto" w:fill="DBE5F1" w:themeFill="accent1" w:themeFillTint="33"/>
            <w:noWrap/>
            <w:vAlign w:val="center"/>
            <w:hideMark/>
          </w:tcPr>
          <w:p w14:paraId="430009F5" w14:textId="77777777" w:rsidR="0031631E" w:rsidRPr="002E734A" w:rsidRDefault="0031631E" w:rsidP="0031631E">
            <w:pPr>
              <w:spacing w:after="0"/>
              <w:ind w:firstLine="309"/>
              <w:rPr>
                <w:b/>
                <w:szCs w:val="24"/>
                <w:lang w:eastAsia="lv-LV"/>
              </w:rPr>
            </w:pPr>
            <w:r w:rsidRPr="002E734A">
              <w:rPr>
                <w:b/>
                <w:szCs w:val="24"/>
                <w:lang w:eastAsia="lv-LV"/>
              </w:rPr>
              <w:t>2.7. Kapitālo izdevumu transferti</w:t>
            </w:r>
          </w:p>
        </w:tc>
        <w:tc>
          <w:tcPr>
            <w:tcW w:w="1276" w:type="dxa"/>
            <w:shd w:val="clear" w:color="auto" w:fill="DBE5F1" w:themeFill="accent1" w:themeFillTint="33"/>
            <w:noWrap/>
            <w:vAlign w:val="center"/>
            <w:hideMark/>
          </w:tcPr>
          <w:p w14:paraId="738ADA56" w14:textId="77777777" w:rsidR="0031631E" w:rsidRPr="00040EDF" w:rsidRDefault="0031631E" w:rsidP="0031631E">
            <w:pPr>
              <w:spacing w:after="0"/>
              <w:ind w:firstLine="0"/>
              <w:rPr>
                <w:szCs w:val="24"/>
                <w:lang w:eastAsia="lv-LV"/>
              </w:rPr>
            </w:pPr>
            <w:r w:rsidRPr="00040EDF">
              <w:rPr>
                <w:szCs w:val="24"/>
                <w:lang w:eastAsia="lv-LV"/>
              </w:rPr>
              <w:t xml:space="preserve">D.9  </w:t>
            </w:r>
          </w:p>
        </w:tc>
        <w:tc>
          <w:tcPr>
            <w:tcW w:w="1559" w:type="dxa"/>
            <w:shd w:val="clear" w:color="auto" w:fill="DBE5F1" w:themeFill="accent1" w:themeFillTint="33"/>
            <w:noWrap/>
            <w:vAlign w:val="center"/>
            <w:hideMark/>
          </w:tcPr>
          <w:p w14:paraId="30E70962" w14:textId="77777777" w:rsidR="0031631E" w:rsidRPr="0031631E" w:rsidRDefault="0031631E" w:rsidP="0031631E">
            <w:pPr>
              <w:spacing w:after="0"/>
              <w:ind w:firstLine="0"/>
              <w:jc w:val="center"/>
              <w:rPr>
                <w:szCs w:val="24"/>
                <w:lang w:eastAsia="lv-LV"/>
              </w:rPr>
            </w:pPr>
            <w:r w:rsidRPr="0031631E">
              <w:rPr>
                <w:color w:val="000000"/>
                <w:szCs w:val="24"/>
              </w:rPr>
              <w:t>0,2</w:t>
            </w:r>
          </w:p>
        </w:tc>
        <w:tc>
          <w:tcPr>
            <w:tcW w:w="1417" w:type="dxa"/>
            <w:shd w:val="clear" w:color="auto" w:fill="DBE5F1" w:themeFill="accent1" w:themeFillTint="33"/>
            <w:noWrap/>
            <w:vAlign w:val="center"/>
            <w:hideMark/>
          </w:tcPr>
          <w:p w14:paraId="2A5FBD0F" w14:textId="77777777" w:rsidR="0031631E" w:rsidRPr="0031631E" w:rsidRDefault="0031631E" w:rsidP="0031631E">
            <w:pPr>
              <w:spacing w:after="0"/>
              <w:ind w:firstLine="0"/>
              <w:jc w:val="center"/>
              <w:rPr>
                <w:szCs w:val="24"/>
                <w:lang w:eastAsia="lv-LV"/>
              </w:rPr>
            </w:pPr>
            <w:r w:rsidRPr="0031631E">
              <w:rPr>
                <w:color w:val="000000"/>
                <w:szCs w:val="24"/>
              </w:rPr>
              <w:t>0,1</w:t>
            </w:r>
          </w:p>
        </w:tc>
      </w:tr>
      <w:tr w:rsidR="0031631E" w:rsidRPr="00A209F9" w14:paraId="68D3BD51" w14:textId="77777777" w:rsidTr="006C783C">
        <w:trPr>
          <w:trHeight w:val="300"/>
        </w:trPr>
        <w:tc>
          <w:tcPr>
            <w:tcW w:w="4815" w:type="dxa"/>
            <w:shd w:val="clear" w:color="auto" w:fill="auto"/>
            <w:noWrap/>
            <w:vAlign w:val="center"/>
            <w:hideMark/>
          </w:tcPr>
          <w:p w14:paraId="21F619F7" w14:textId="77777777" w:rsidR="0031631E" w:rsidRPr="002E734A" w:rsidRDefault="0031631E" w:rsidP="0031631E">
            <w:pPr>
              <w:spacing w:after="0"/>
              <w:ind w:firstLine="309"/>
              <w:rPr>
                <w:b/>
                <w:szCs w:val="24"/>
                <w:lang w:eastAsia="lv-LV"/>
              </w:rPr>
            </w:pPr>
            <w:r w:rsidRPr="002E734A">
              <w:rPr>
                <w:b/>
                <w:szCs w:val="24"/>
                <w:lang w:eastAsia="lv-LV"/>
              </w:rPr>
              <w:t>2.8. Pārējie izdevumi</w:t>
            </w:r>
          </w:p>
        </w:tc>
        <w:tc>
          <w:tcPr>
            <w:tcW w:w="1276" w:type="dxa"/>
            <w:shd w:val="clear" w:color="auto" w:fill="auto"/>
            <w:noWrap/>
            <w:vAlign w:val="center"/>
            <w:hideMark/>
          </w:tcPr>
          <w:p w14:paraId="794EDCC3" w14:textId="77777777" w:rsidR="0031631E" w:rsidRPr="00040EDF" w:rsidRDefault="0031631E" w:rsidP="0031631E">
            <w:pPr>
              <w:spacing w:after="0"/>
              <w:ind w:firstLine="0"/>
              <w:rPr>
                <w:szCs w:val="24"/>
                <w:lang w:eastAsia="lv-LV"/>
              </w:rPr>
            </w:pPr>
            <w:r w:rsidRPr="00040EDF">
              <w:rPr>
                <w:szCs w:val="24"/>
                <w:lang w:eastAsia="lv-LV"/>
              </w:rPr>
              <w:t xml:space="preserve"> </w:t>
            </w:r>
          </w:p>
        </w:tc>
        <w:tc>
          <w:tcPr>
            <w:tcW w:w="1559" w:type="dxa"/>
            <w:shd w:val="clear" w:color="auto" w:fill="auto"/>
            <w:noWrap/>
            <w:vAlign w:val="center"/>
            <w:hideMark/>
          </w:tcPr>
          <w:p w14:paraId="61782258" w14:textId="77777777" w:rsidR="0031631E" w:rsidRPr="0031631E" w:rsidRDefault="0031631E" w:rsidP="0031631E">
            <w:pPr>
              <w:spacing w:after="0"/>
              <w:ind w:firstLine="0"/>
              <w:jc w:val="center"/>
              <w:rPr>
                <w:szCs w:val="24"/>
                <w:lang w:eastAsia="lv-LV"/>
              </w:rPr>
            </w:pPr>
            <w:r w:rsidRPr="0031631E">
              <w:rPr>
                <w:color w:val="000000"/>
                <w:szCs w:val="24"/>
              </w:rPr>
              <w:t>2,1</w:t>
            </w:r>
          </w:p>
        </w:tc>
        <w:tc>
          <w:tcPr>
            <w:tcW w:w="1417" w:type="dxa"/>
            <w:shd w:val="clear" w:color="auto" w:fill="auto"/>
            <w:noWrap/>
            <w:vAlign w:val="center"/>
            <w:hideMark/>
          </w:tcPr>
          <w:p w14:paraId="58CA6D66" w14:textId="77777777" w:rsidR="0031631E" w:rsidRPr="0031631E" w:rsidRDefault="0031631E" w:rsidP="0031631E">
            <w:pPr>
              <w:spacing w:after="0"/>
              <w:ind w:firstLine="0"/>
              <w:jc w:val="center"/>
              <w:rPr>
                <w:szCs w:val="24"/>
                <w:lang w:eastAsia="lv-LV"/>
              </w:rPr>
            </w:pPr>
            <w:r w:rsidRPr="0031631E">
              <w:rPr>
                <w:color w:val="000000"/>
                <w:szCs w:val="24"/>
              </w:rPr>
              <w:t>1,6</w:t>
            </w:r>
          </w:p>
        </w:tc>
      </w:tr>
    </w:tbl>
    <w:p w14:paraId="1E12AF69" w14:textId="77777777" w:rsidR="00040EDF" w:rsidRDefault="00040EDF" w:rsidP="00375924">
      <w:pPr>
        <w:pStyle w:val="Heading1"/>
        <w:tabs>
          <w:tab w:val="left" w:pos="1276"/>
        </w:tabs>
        <w:spacing w:before="0" w:after="240"/>
        <w:ind w:left="1276" w:hanging="1276"/>
        <w:jc w:val="left"/>
        <w:rPr>
          <w:rFonts w:ascii="Times New Roman" w:hAnsi="Times New Roman"/>
          <w:color w:val="18185F"/>
          <w:sz w:val="24"/>
        </w:rPr>
      </w:pPr>
    </w:p>
    <w:p w14:paraId="4DE00099" w14:textId="77777777" w:rsidR="00F322FE" w:rsidRPr="001D5709" w:rsidRDefault="00F322FE" w:rsidP="00375924">
      <w:pPr>
        <w:pStyle w:val="Heading1"/>
        <w:tabs>
          <w:tab w:val="left" w:pos="1276"/>
        </w:tabs>
        <w:spacing w:before="0" w:after="240"/>
        <w:ind w:left="1276" w:hanging="1276"/>
        <w:jc w:val="left"/>
        <w:rPr>
          <w:rFonts w:ascii="Times New Roman" w:hAnsi="Times New Roman"/>
          <w:color w:val="18185F"/>
          <w:sz w:val="24"/>
        </w:rPr>
      </w:pPr>
      <w:bookmarkStart w:id="15" w:name="_Toc1374666"/>
      <w:r w:rsidRPr="001D5709">
        <w:rPr>
          <w:rFonts w:ascii="Times New Roman" w:hAnsi="Times New Roman"/>
          <w:color w:val="18185F"/>
          <w:sz w:val="24"/>
        </w:rPr>
        <w:t>Tabula 4.b: Izdevumi, kas tiek izslēgti no izdevumu kritērija</w:t>
      </w:r>
      <w:bookmarkEnd w:id="15"/>
    </w:p>
    <w:tbl>
      <w:tblPr>
        <w:tblStyle w:val="GridTable3-Accent11"/>
        <w:tblW w:w="9067" w:type="dxa"/>
        <w:jc w:val="center"/>
        <w:tblLayout w:type="fixed"/>
        <w:tblLook w:val="0000" w:firstRow="0" w:lastRow="0" w:firstColumn="0" w:lastColumn="0" w:noHBand="0" w:noVBand="0"/>
      </w:tblPr>
      <w:tblGrid>
        <w:gridCol w:w="4820"/>
        <w:gridCol w:w="851"/>
        <w:gridCol w:w="850"/>
        <w:gridCol w:w="709"/>
        <w:gridCol w:w="851"/>
        <w:gridCol w:w="986"/>
      </w:tblGrid>
      <w:tr w:rsidR="00356B1E" w:rsidRPr="005030D2" w14:paraId="39F838AD" w14:textId="77777777" w:rsidTr="00EF38D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2583C2ED" w14:textId="77777777" w:rsidR="00356B1E" w:rsidRPr="005030D2" w:rsidRDefault="00356B1E" w:rsidP="00003E2F">
            <w:pPr>
              <w:spacing w:after="0"/>
              <w:ind w:firstLine="0"/>
              <w:jc w:val="left"/>
              <w:rPr>
                <w:szCs w:val="24"/>
                <w:lang w:eastAsia="lv-LV"/>
              </w:rPr>
            </w:pPr>
          </w:p>
        </w:tc>
        <w:tc>
          <w:tcPr>
            <w:tcW w:w="851" w:type="dxa"/>
            <w:shd w:val="clear" w:color="auto" w:fill="FFFFFF" w:themeFill="background1"/>
            <w:vAlign w:val="center"/>
          </w:tcPr>
          <w:p w14:paraId="4AD9D3AA" w14:textId="77777777" w:rsidR="00356B1E" w:rsidRPr="005030D2" w:rsidRDefault="00356B1E" w:rsidP="00287764">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5030D2">
              <w:rPr>
                <w:b/>
                <w:sz w:val="24"/>
                <w:szCs w:val="24"/>
              </w:rPr>
              <w:t>EKS Kods</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219A0B3C" w14:textId="77777777" w:rsidR="00356B1E" w:rsidRPr="005030D2" w:rsidRDefault="00365765" w:rsidP="006A676E">
            <w:pPr>
              <w:pStyle w:val="tabteksts"/>
              <w:jc w:val="center"/>
              <w:rPr>
                <w:b/>
                <w:sz w:val="24"/>
                <w:szCs w:val="24"/>
              </w:rPr>
            </w:pPr>
            <w:r w:rsidRPr="005030D2">
              <w:rPr>
                <w:b/>
                <w:sz w:val="24"/>
                <w:szCs w:val="24"/>
              </w:rPr>
              <w:t>201</w:t>
            </w:r>
            <w:r w:rsidR="006A676E">
              <w:rPr>
                <w:b/>
                <w:sz w:val="24"/>
                <w:szCs w:val="24"/>
              </w:rPr>
              <w:t>7</w:t>
            </w:r>
          </w:p>
        </w:tc>
        <w:tc>
          <w:tcPr>
            <w:tcW w:w="709" w:type="dxa"/>
            <w:shd w:val="clear" w:color="auto" w:fill="FFFFFF" w:themeFill="background1"/>
            <w:vAlign w:val="center"/>
          </w:tcPr>
          <w:p w14:paraId="2DADB48C" w14:textId="77777777" w:rsidR="00356B1E" w:rsidRPr="005030D2" w:rsidRDefault="00365765" w:rsidP="00356B1E">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5030D2">
              <w:rPr>
                <w:b/>
                <w:sz w:val="24"/>
                <w:szCs w:val="24"/>
              </w:rPr>
              <w:t>201</w:t>
            </w:r>
            <w:r w:rsidR="006A676E">
              <w:rPr>
                <w:b/>
                <w:sz w:val="24"/>
                <w:szCs w:val="24"/>
              </w:rPr>
              <w:t>7</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7BF417BA" w14:textId="77777777" w:rsidR="00356B1E" w:rsidRPr="005030D2" w:rsidRDefault="00365765" w:rsidP="00356B1E">
            <w:pPr>
              <w:pStyle w:val="tabteksts"/>
              <w:jc w:val="center"/>
              <w:rPr>
                <w:b/>
                <w:sz w:val="24"/>
                <w:szCs w:val="24"/>
              </w:rPr>
            </w:pPr>
            <w:r w:rsidRPr="005030D2">
              <w:rPr>
                <w:b/>
                <w:sz w:val="24"/>
                <w:szCs w:val="24"/>
              </w:rPr>
              <w:t>20</w:t>
            </w:r>
            <w:r w:rsidR="006A676E">
              <w:rPr>
                <w:b/>
                <w:sz w:val="24"/>
                <w:szCs w:val="24"/>
              </w:rPr>
              <w:t>18</w:t>
            </w:r>
          </w:p>
        </w:tc>
        <w:tc>
          <w:tcPr>
            <w:tcW w:w="986" w:type="dxa"/>
            <w:shd w:val="clear" w:color="auto" w:fill="FFFFFF" w:themeFill="background1"/>
            <w:vAlign w:val="center"/>
          </w:tcPr>
          <w:p w14:paraId="5E3F359A" w14:textId="77777777" w:rsidR="00356B1E" w:rsidRPr="005030D2" w:rsidRDefault="00365765" w:rsidP="00356B1E">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5030D2">
              <w:rPr>
                <w:b/>
                <w:sz w:val="24"/>
                <w:szCs w:val="24"/>
              </w:rPr>
              <w:t>20</w:t>
            </w:r>
            <w:r w:rsidR="006A676E">
              <w:rPr>
                <w:b/>
                <w:sz w:val="24"/>
                <w:szCs w:val="24"/>
              </w:rPr>
              <w:t>19</w:t>
            </w:r>
          </w:p>
        </w:tc>
      </w:tr>
      <w:tr w:rsidR="00356B1E" w:rsidRPr="005030D2" w14:paraId="7845D908" w14:textId="77777777" w:rsidTr="00EF38D1">
        <w:trPr>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DBE5F1"/>
          </w:tcPr>
          <w:p w14:paraId="02A315A0" w14:textId="77777777" w:rsidR="00356B1E" w:rsidRPr="005030D2" w:rsidRDefault="00356B1E" w:rsidP="00003E2F">
            <w:pPr>
              <w:spacing w:after="0"/>
              <w:ind w:firstLine="0"/>
              <w:jc w:val="left"/>
              <w:rPr>
                <w:szCs w:val="24"/>
                <w:lang w:eastAsia="lv-LV"/>
              </w:rPr>
            </w:pPr>
          </w:p>
        </w:tc>
        <w:tc>
          <w:tcPr>
            <w:tcW w:w="851" w:type="dxa"/>
            <w:shd w:val="clear" w:color="auto" w:fill="DBE5F1"/>
          </w:tcPr>
          <w:p w14:paraId="45814742" w14:textId="77777777" w:rsidR="00356B1E" w:rsidRPr="005030D2" w:rsidRDefault="00356B1E" w:rsidP="00F322FE">
            <w:pPr>
              <w:pStyle w:val="tabteksts"/>
              <w:cnfStyle w:val="000000000000" w:firstRow="0" w:lastRow="0" w:firstColumn="0" w:lastColumn="0" w:oddVBand="0" w:evenVBand="0" w:oddHBand="0" w:evenHBand="0" w:firstRowFirstColumn="0" w:firstRowLastColumn="0" w:lastRowFirstColumn="0" w:lastRowLastColumn="0"/>
              <w:rPr>
                <w:noProof/>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tcPr>
          <w:p w14:paraId="0B97884C" w14:textId="77777777" w:rsidR="00356B1E" w:rsidRPr="005030D2" w:rsidRDefault="00356B1E" w:rsidP="00AF5E23">
            <w:pPr>
              <w:pStyle w:val="tabteksts"/>
              <w:jc w:val="center"/>
              <w:rPr>
                <w:noProof/>
                <w:sz w:val="24"/>
                <w:szCs w:val="24"/>
              </w:rPr>
            </w:pPr>
            <w:r w:rsidRPr="005030D2">
              <w:rPr>
                <w:noProof/>
                <w:sz w:val="24"/>
                <w:szCs w:val="24"/>
              </w:rPr>
              <w:t xml:space="preserve">milj. </w:t>
            </w:r>
            <w:r w:rsidRPr="005030D2">
              <w:rPr>
                <w:i/>
                <w:noProof/>
                <w:sz w:val="24"/>
                <w:szCs w:val="24"/>
              </w:rPr>
              <w:t>euro</w:t>
            </w:r>
          </w:p>
        </w:tc>
        <w:tc>
          <w:tcPr>
            <w:tcW w:w="2546" w:type="dxa"/>
            <w:gridSpan w:val="3"/>
            <w:shd w:val="clear" w:color="auto" w:fill="DBE5F1"/>
          </w:tcPr>
          <w:p w14:paraId="4F548381" w14:textId="77777777" w:rsidR="00356B1E" w:rsidRPr="005030D2" w:rsidRDefault="00356B1E" w:rsidP="00F322FE">
            <w:pPr>
              <w:pStyle w:val="tabteksts"/>
              <w:jc w:val="center"/>
              <w:cnfStyle w:val="000000000000" w:firstRow="0" w:lastRow="0" w:firstColumn="0" w:lastColumn="0" w:oddVBand="0" w:evenVBand="0" w:oddHBand="0" w:evenHBand="0" w:firstRowFirstColumn="0" w:firstRowLastColumn="0" w:lastRowFirstColumn="0" w:lastRowLastColumn="0"/>
              <w:rPr>
                <w:sz w:val="24"/>
                <w:szCs w:val="24"/>
              </w:rPr>
            </w:pPr>
            <w:r w:rsidRPr="005030D2">
              <w:rPr>
                <w:sz w:val="24"/>
                <w:szCs w:val="24"/>
              </w:rPr>
              <w:t>% no IKP</w:t>
            </w:r>
          </w:p>
        </w:tc>
      </w:tr>
      <w:tr w:rsidR="006A676E" w:rsidRPr="005030D2" w14:paraId="1A10EEBE" w14:textId="77777777" w:rsidTr="006A67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2AA3FAB3" w14:textId="77777777" w:rsidR="006A676E" w:rsidRPr="005030D2" w:rsidRDefault="006A676E" w:rsidP="006A676E">
            <w:pPr>
              <w:spacing w:after="0"/>
              <w:ind w:firstLine="0"/>
              <w:rPr>
                <w:b/>
                <w:szCs w:val="24"/>
                <w:lang w:eastAsia="lv-LV"/>
              </w:rPr>
            </w:pPr>
            <w:r w:rsidRPr="005030D2">
              <w:rPr>
                <w:b/>
                <w:szCs w:val="24"/>
                <w:lang w:eastAsia="lv-LV"/>
              </w:rPr>
              <w:t xml:space="preserve">1. Izdevumi ārvalstu </w:t>
            </w:r>
            <w:r>
              <w:rPr>
                <w:b/>
                <w:szCs w:val="24"/>
                <w:lang w:eastAsia="lv-LV"/>
              </w:rPr>
              <w:t xml:space="preserve">finanšu palīdzības projektiem, </w:t>
            </w:r>
            <w:r w:rsidRPr="005030D2">
              <w:rPr>
                <w:b/>
                <w:szCs w:val="24"/>
                <w:lang w:eastAsia="lv-LV"/>
              </w:rPr>
              <w:t>kas atbilst saņemtajiem ārvalstu finanšu palīdzības ieņēmumiem</w:t>
            </w:r>
          </w:p>
        </w:tc>
        <w:tc>
          <w:tcPr>
            <w:tcW w:w="851" w:type="dxa"/>
            <w:shd w:val="clear" w:color="auto" w:fill="FFFFFF" w:themeFill="background1"/>
          </w:tcPr>
          <w:p w14:paraId="6FD562FE" w14:textId="77777777" w:rsidR="006A676E" w:rsidRPr="005030D2" w:rsidRDefault="006A676E" w:rsidP="006A676E">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68438C6D" w14:textId="77777777" w:rsidR="006A676E" w:rsidRPr="006713C8" w:rsidRDefault="006A676E" w:rsidP="006A676E">
            <w:pPr>
              <w:spacing w:after="0"/>
              <w:ind w:firstLine="0"/>
              <w:jc w:val="center"/>
              <w:rPr>
                <w:color w:val="000000"/>
                <w:szCs w:val="24"/>
              </w:rPr>
            </w:pPr>
            <w:r>
              <w:rPr>
                <w:color w:val="000000"/>
                <w:sz w:val="22"/>
                <w:szCs w:val="22"/>
              </w:rPr>
              <w:t>325,0</w:t>
            </w:r>
          </w:p>
        </w:tc>
        <w:tc>
          <w:tcPr>
            <w:tcW w:w="709" w:type="dxa"/>
            <w:shd w:val="clear" w:color="auto" w:fill="FFFFFF" w:themeFill="background1"/>
            <w:vAlign w:val="center"/>
          </w:tcPr>
          <w:p w14:paraId="026F3001" w14:textId="77777777" w:rsidR="006A676E" w:rsidRPr="006713C8" w:rsidRDefault="006A676E" w:rsidP="006A676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 w:val="22"/>
                <w:szCs w:val="22"/>
              </w:rPr>
              <w:t>1,2</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7E915A3F" w14:textId="77777777" w:rsidR="006A676E" w:rsidRPr="006713C8" w:rsidRDefault="006A676E" w:rsidP="006A676E">
            <w:pPr>
              <w:spacing w:after="0"/>
              <w:ind w:firstLine="0"/>
              <w:jc w:val="center"/>
              <w:rPr>
                <w:color w:val="000000"/>
                <w:szCs w:val="24"/>
              </w:rPr>
            </w:pPr>
            <w:r>
              <w:rPr>
                <w:color w:val="000000"/>
                <w:sz w:val="22"/>
                <w:szCs w:val="22"/>
              </w:rPr>
              <w:t>1,7</w:t>
            </w:r>
          </w:p>
        </w:tc>
        <w:tc>
          <w:tcPr>
            <w:tcW w:w="986" w:type="dxa"/>
            <w:shd w:val="clear" w:color="auto" w:fill="FFFFFF" w:themeFill="background1"/>
            <w:vAlign w:val="center"/>
          </w:tcPr>
          <w:p w14:paraId="29401276" w14:textId="77777777" w:rsidR="006A676E" w:rsidRPr="006713C8" w:rsidRDefault="006A676E" w:rsidP="006A676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 w:val="22"/>
                <w:szCs w:val="22"/>
              </w:rPr>
              <w:t>1,4</w:t>
            </w:r>
          </w:p>
        </w:tc>
      </w:tr>
      <w:tr w:rsidR="006A676E" w:rsidRPr="005030D2" w14:paraId="5C386D2A" w14:textId="77777777" w:rsidTr="006A676E">
        <w:trPr>
          <w:jc w:val="center"/>
        </w:trPr>
        <w:tc>
          <w:tcPr>
            <w:cnfStyle w:val="000010000000" w:firstRow="0" w:lastRow="0" w:firstColumn="0" w:lastColumn="0" w:oddVBand="1" w:evenVBand="0" w:oddHBand="0" w:evenHBand="0" w:firstRowFirstColumn="0" w:firstRowLastColumn="0" w:lastRowFirstColumn="0" w:lastRowLastColumn="0"/>
            <w:tcW w:w="4820" w:type="dxa"/>
          </w:tcPr>
          <w:p w14:paraId="16A3B981" w14:textId="77777777" w:rsidR="006A676E" w:rsidRPr="005030D2" w:rsidRDefault="006A676E" w:rsidP="006A676E">
            <w:pPr>
              <w:spacing w:after="0"/>
              <w:ind w:firstLine="0"/>
              <w:rPr>
                <w:szCs w:val="24"/>
                <w:lang w:eastAsia="lv-LV"/>
              </w:rPr>
            </w:pPr>
            <w:r w:rsidRPr="005030D2">
              <w:rPr>
                <w:szCs w:val="24"/>
                <w:lang w:eastAsia="lv-LV"/>
              </w:rPr>
              <w:t>1.a no kuriem kapitālie izdevumi (bruto pamatkapitāla veidošana), kas atbilst saņemtajiem ārvalstu finanšu palīdzības ieņēmumiem</w:t>
            </w:r>
            <w:r w:rsidRPr="005030D2">
              <w:rPr>
                <w:szCs w:val="24"/>
              </w:rPr>
              <w:t xml:space="preserve"> </w:t>
            </w:r>
          </w:p>
        </w:tc>
        <w:tc>
          <w:tcPr>
            <w:tcW w:w="851" w:type="dxa"/>
            <w:shd w:val="clear" w:color="auto" w:fill="DBE5F1" w:themeFill="accent1" w:themeFillTint="33"/>
          </w:tcPr>
          <w:p w14:paraId="22105279" w14:textId="77777777" w:rsidR="006A676E" w:rsidRPr="005030D2" w:rsidRDefault="006A676E" w:rsidP="006A676E">
            <w:pPr>
              <w:pStyle w:val="tabteksts"/>
              <w:cnfStyle w:val="000000000000" w:firstRow="0" w:lastRow="0" w:firstColumn="0" w:lastColumn="0" w:oddVBand="0" w:evenVBand="0" w:oddHBand="0"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67389FCE" w14:textId="77777777" w:rsidR="006A676E" w:rsidRPr="006713C8" w:rsidRDefault="006A676E" w:rsidP="006A676E">
            <w:pPr>
              <w:spacing w:after="0"/>
              <w:ind w:firstLine="0"/>
              <w:jc w:val="center"/>
              <w:rPr>
                <w:color w:val="000000"/>
                <w:szCs w:val="24"/>
              </w:rPr>
            </w:pPr>
            <w:r>
              <w:rPr>
                <w:color w:val="000000"/>
                <w:sz w:val="22"/>
                <w:szCs w:val="22"/>
              </w:rPr>
              <w:t>174,0</w:t>
            </w:r>
          </w:p>
        </w:tc>
        <w:tc>
          <w:tcPr>
            <w:tcW w:w="709" w:type="dxa"/>
            <w:shd w:val="clear" w:color="auto" w:fill="DBE5F1" w:themeFill="accent1" w:themeFillTint="33"/>
            <w:vAlign w:val="center"/>
          </w:tcPr>
          <w:p w14:paraId="0257965B" w14:textId="77777777" w:rsidR="006A676E" w:rsidRPr="006713C8" w:rsidRDefault="006A676E" w:rsidP="006A676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 w:val="22"/>
                <w:szCs w:val="22"/>
              </w:rPr>
              <w:t>0,6</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752FBF7A" w14:textId="77777777" w:rsidR="006A676E" w:rsidRPr="006713C8" w:rsidRDefault="006A676E" w:rsidP="006A676E">
            <w:pPr>
              <w:spacing w:after="0"/>
              <w:ind w:firstLine="0"/>
              <w:jc w:val="center"/>
              <w:rPr>
                <w:color w:val="000000"/>
                <w:szCs w:val="24"/>
              </w:rPr>
            </w:pPr>
            <w:r>
              <w:rPr>
                <w:color w:val="000000"/>
                <w:sz w:val="22"/>
                <w:szCs w:val="22"/>
              </w:rPr>
              <w:t>1,1</w:t>
            </w:r>
          </w:p>
        </w:tc>
        <w:tc>
          <w:tcPr>
            <w:tcW w:w="986" w:type="dxa"/>
            <w:shd w:val="clear" w:color="auto" w:fill="DBE5F1" w:themeFill="accent1" w:themeFillTint="33"/>
            <w:vAlign w:val="center"/>
          </w:tcPr>
          <w:p w14:paraId="43D1A1C9" w14:textId="77777777" w:rsidR="006A676E" w:rsidRPr="006713C8" w:rsidRDefault="006A676E" w:rsidP="006A676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 w:val="22"/>
                <w:szCs w:val="22"/>
              </w:rPr>
              <w:t>0,9</w:t>
            </w:r>
          </w:p>
        </w:tc>
      </w:tr>
      <w:tr w:rsidR="006A676E" w:rsidRPr="005030D2" w14:paraId="047738BF" w14:textId="77777777" w:rsidTr="006A676E">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7BC0D998" w14:textId="77777777" w:rsidR="006A676E" w:rsidRPr="005030D2" w:rsidRDefault="006A676E" w:rsidP="006A676E">
            <w:pPr>
              <w:spacing w:after="0"/>
              <w:ind w:firstLine="0"/>
              <w:rPr>
                <w:b/>
                <w:szCs w:val="24"/>
                <w:lang w:eastAsia="lv-LV"/>
              </w:rPr>
            </w:pPr>
            <w:r w:rsidRPr="005030D2">
              <w:rPr>
                <w:b/>
                <w:szCs w:val="24"/>
                <w:lang w:eastAsia="lv-LV"/>
              </w:rPr>
              <w:t>2. Cikliskie izdevumi bezdarbnieku pabalstiem</w:t>
            </w:r>
          </w:p>
        </w:tc>
        <w:tc>
          <w:tcPr>
            <w:tcW w:w="851" w:type="dxa"/>
            <w:shd w:val="clear" w:color="auto" w:fill="FFFFFF" w:themeFill="background1"/>
          </w:tcPr>
          <w:p w14:paraId="3068874B" w14:textId="77777777" w:rsidR="006A676E" w:rsidRPr="005030D2" w:rsidRDefault="006A676E" w:rsidP="006A676E">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351B1174" w14:textId="77777777" w:rsidR="006A676E" w:rsidRPr="006713C8" w:rsidRDefault="006A676E" w:rsidP="006A676E">
            <w:pPr>
              <w:spacing w:after="0"/>
              <w:ind w:firstLine="0"/>
              <w:jc w:val="center"/>
              <w:rPr>
                <w:color w:val="000000"/>
                <w:szCs w:val="24"/>
              </w:rPr>
            </w:pPr>
            <w:r>
              <w:rPr>
                <w:color w:val="000000"/>
                <w:sz w:val="22"/>
                <w:szCs w:val="22"/>
              </w:rPr>
              <w:t>-30,4</w:t>
            </w:r>
          </w:p>
        </w:tc>
        <w:tc>
          <w:tcPr>
            <w:tcW w:w="709" w:type="dxa"/>
            <w:shd w:val="clear" w:color="auto" w:fill="FFFFFF" w:themeFill="background1"/>
            <w:vAlign w:val="center"/>
          </w:tcPr>
          <w:p w14:paraId="6A79545F" w14:textId="77777777" w:rsidR="006A676E" w:rsidRPr="006713C8" w:rsidRDefault="006A676E" w:rsidP="006A676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 w:val="22"/>
                <w:szCs w:val="22"/>
              </w:rPr>
              <w:t>-0,1</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4BA6BA6B" w14:textId="77777777" w:rsidR="006A676E" w:rsidRPr="006713C8" w:rsidRDefault="006A676E" w:rsidP="006A676E">
            <w:pPr>
              <w:spacing w:after="0"/>
              <w:ind w:firstLine="0"/>
              <w:jc w:val="center"/>
              <w:rPr>
                <w:color w:val="000000"/>
                <w:szCs w:val="24"/>
              </w:rPr>
            </w:pPr>
            <w:r>
              <w:rPr>
                <w:color w:val="000000"/>
                <w:sz w:val="22"/>
                <w:szCs w:val="22"/>
              </w:rPr>
              <w:t>-0,1</w:t>
            </w:r>
          </w:p>
        </w:tc>
        <w:tc>
          <w:tcPr>
            <w:tcW w:w="986" w:type="dxa"/>
            <w:shd w:val="clear" w:color="auto" w:fill="FFFFFF" w:themeFill="background1"/>
            <w:vAlign w:val="center"/>
          </w:tcPr>
          <w:p w14:paraId="564A8904" w14:textId="77777777" w:rsidR="006A676E" w:rsidRPr="006713C8" w:rsidRDefault="006A676E" w:rsidP="006A676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 w:val="22"/>
                <w:szCs w:val="22"/>
              </w:rPr>
              <w:t>-0,1</w:t>
            </w:r>
          </w:p>
        </w:tc>
      </w:tr>
      <w:tr w:rsidR="006A676E" w:rsidRPr="005030D2" w14:paraId="7395D577" w14:textId="77777777" w:rsidTr="006A676E">
        <w:trPr>
          <w:jc w:val="center"/>
        </w:trPr>
        <w:tc>
          <w:tcPr>
            <w:cnfStyle w:val="000010000000" w:firstRow="0" w:lastRow="0" w:firstColumn="0" w:lastColumn="0" w:oddVBand="1" w:evenVBand="0" w:oddHBand="0" w:evenHBand="0" w:firstRowFirstColumn="0" w:firstRowLastColumn="0" w:lastRowFirstColumn="0" w:lastRowLastColumn="0"/>
            <w:tcW w:w="4820" w:type="dxa"/>
          </w:tcPr>
          <w:p w14:paraId="6CC8A624" w14:textId="77777777" w:rsidR="006A676E" w:rsidRPr="005030D2" w:rsidRDefault="006A676E" w:rsidP="006A676E">
            <w:pPr>
              <w:spacing w:after="0"/>
              <w:ind w:firstLine="0"/>
              <w:rPr>
                <w:b/>
                <w:szCs w:val="24"/>
                <w:lang w:eastAsia="lv-LV"/>
              </w:rPr>
            </w:pPr>
            <w:r w:rsidRPr="005030D2">
              <w:rPr>
                <w:b/>
                <w:szCs w:val="24"/>
                <w:lang w:eastAsia="lv-LV"/>
              </w:rPr>
              <w:t>3. Diskrecionāri ieņēmumu pasākumi</w:t>
            </w:r>
          </w:p>
        </w:tc>
        <w:tc>
          <w:tcPr>
            <w:tcW w:w="851" w:type="dxa"/>
            <w:shd w:val="clear" w:color="auto" w:fill="DBE5F1" w:themeFill="accent1" w:themeFillTint="33"/>
          </w:tcPr>
          <w:p w14:paraId="689A9A1A" w14:textId="77777777" w:rsidR="006A676E" w:rsidRPr="005030D2" w:rsidRDefault="006A676E" w:rsidP="006A676E">
            <w:pPr>
              <w:pStyle w:val="tabteksts"/>
              <w:cnfStyle w:val="000000000000" w:firstRow="0" w:lastRow="0" w:firstColumn="0" w:lastColumn="0" w:oddVBand="0" w:evenVBand="0" w:oddHBand="0"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0E16CE5C" w14:textId="77777777" w:rsidR="006A676E" w:rsidRPr="006713C8" w:rsidRDefault="006A676E" w:rsidP="006A676E">
            <w:pPr>
              <w:spacing w:after="0"/>
              <w:ind w:firstLine="0"/>
              <w:jc w:val="center"/>
              <w:rPr>
                <w:color w:val="000000"/>
                <w:szCs w:val="24"/>
              </w:rPr>
            </w:pPr>
            <w:r>
              <w:rPr>
                <w:color w:val="000000"/>
                <w:sz w:val="22"/>
                <w:szCs w:val="22"/>
              </w:rPr>
              <w:t>215,1</w:t>
            </w:r>
          </w:p>
        </w:tc>
        <w:tc>
          <w:tcPr>
            <w:tcW w:w="709" w:type="dxa"/>
            <w:shd w:val="clear" w:color="auto" w:fill="DBE5F1" w:themeFill="accent1" w:themeFillTint="33"/>
            <w:vAlign w:val="center"/>
          </w:tcPr>
          <w:p w14:paraId="1BF75D04" w14:textId="77777777" w:rsidR="006A676E" w:rsidRPr="006713C8" w:rsidRDefault="006A676E" w:rsidP="006A676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 w:val="22"/>
                <w:szCs w:val="22"/>
              </w:rPr>
              <w:t>0,8</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7BB821C4" w14:textId="77777777" w:rsidR="006A676E" w:rsidRPr="006713C8" w:rsidRDefault="006A676E" w:rsidP="006A676E">
            <w:pPr>
              <w:spacing w:after="0"/>
              <w:ind w:firstLine="0"/>
              <w:jc w:val="center"/>
              <w:rPr>
                <w:color w:val="000000"/>
                <w:szCs w:val="24"/>
              </w:rPr>
            </w:pPr>
            <w:r>
              <w:rPr>
                <w:color w:val="000000"/>
                <w:sz w:val="22"/>
                <w:szCs w:val="22"/>
              </w:rPr>
              <w:t>-0,2</w:t>
            </w:r>
          </w:p>
        </w:tc>
        <w:tc>
          <w:tcPr>
            <w:tcW w:w="986" w:type="dxa"/>
            <w:shd w:val="clear" w:color="auto" w:fill="DBE5F1" w:themeFill="accent1" w:themeFillTint="33"/>
            <w:vAlign w:val="center"/>
          </w:tcPr>
          <w:p w14:paraId="61F448B3" w14:textId="77777777" w:rsidR="006A676E" w:rsidRPr="006713C8" w:rsidRDefault="006A676E" w:rsidP="006A676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 w:val="22"/>
                <w:szCs w:val="22"/>
              </w:rPr>
              <w:t>0,2</w:t>
            </w:r>
          </w:p>
        </w:tc>
      </w:tr>
      <w:tr w:rsidR="00356B1E" w:rsidRPr="005030D2" w14:paraId="783512D0" w14:textId="77777777" w:rsidTr="0044427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562B1949" w14:textId="77777777" w:rsidR="00356B1E" w:rsidRPr="005D69BA" w:rsidRDefault="00356B1E" w:rsidP="00E77A83">
            <w:pPr>
              <w:spacing w:after="0"/>
              <w:ind w:firstLine="0"/>
              <w:rPr>
                <w:b/>
                <w:szCs w:val="24"/>
                <w:highlight w:val="yellow"/>
                <w:lang w:eastAsia="lv-LV"/>
              </w:rPr>
            </w:pPr>
            <w:r w:rsidRPr="005D69BA">
              <w:rPr>
                <w:b/>
                <w:szCs w:val="24"/>
                <w:lang w:eastAsia="lv-LV"/>
              </w:rPr>
              <w:t>4. Ieņēmumu palielinājums, kas apstiprināts ar likumu</w:t>
            </w:r>
          </w:p>
        </w:tc>
        <w:tc>
          <w:tcPr>
            <w:tcW w:w="851" w:type="dxa"/>
            <w:shd w:val="clear" w:color="auto" w:fill="FFFFFF" w:themeFill="background1"/>
          </w:tcPr>
          <w:p w14:paraId="4E75E474" w14:textId="77777777" w:rsidR="00356B1E" w:rsidRPr="005D69BA" w:rsidRDefault="00356B1E"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BCA154D" w14:textId="77777777" w:rsidR="00356B1E" w:rsidRPr="005D69BA" w:rsidRDefault="00356B1E" w:rsidP="00E77A83">
            <w:pPr>
              <w:pStyle w:val="tabteksts"/>
              <w:rPr>
                <w:snapToGrid w:val="0"/>
                <w:sz w:val="24"/>
                <w:szCs w:val="24"/>
                <w:highlight w:val="yellow"/>
              </w:rPr>
            </w:pPr>
          </w:p>
        </w:tc>
        <w:tc>
          <w:tcPr>
            <w:tcW w:w="709" w:type="dxa"/>
            <w:shd w:val="clear" w:color="auto" w:fill="FFFFFF" w:themeFill="background1"/>
          </w:tcPr>
          <w:p w14:paraId="329FF8AD" w14:textId="77777777" w:rsidR="00356B1E" w:rsidRPr="005D69BA" w:rsidRDefault="00356B1E"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3E13C630" w14:textId="77777777" w:rsidR="00356B1E" w:rsidRPr="005D69BA" w:rsidRDefault="00356B1E" w:rsidP="00E77A83">
            <w:pPr>
              <w:pStyle w:val="tabteksts"/>
              <w:rPr>
                <w:snapToGrid w:val="0"/>
                <w:sz w:val="24"/>
                <w:szCs w:val="24"/>
                <w:highlight w:val="yellow"/>
              </w:rPr>
            </w:pPr>
          </w:p>
        </w:tc>
        <w:tc>
          <w:tcPr>
            <w:tcW w:w="986" w:type="dxa"/>
            <w:shd w:val="clear" w:color="auto" w:fill="FFFFFF" w:themeFill="background1"/>
          </w:tcPr>
          <w:p w14:paraId="17A6E1E7" w14:textId="77777777" w:rsidR="00356B1E" w:rsidRPr="005D69BA" w:rsidRDefault="00356B1E"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highlight w:val="yellow"/>
              </w:rPr>
            </w:pPr>
          </w:p>
        </w:tc>
      </w:tr>
    </w:tbl>
    <w:p w14:paraId="271FA2BC" w14:textId="77777777" w:rsidR="004D377A" w:rsidRDefault="002F0C44" w:rsidP="002F0C44">
      <w:pPr>
        <w:pStyle w:val="Heading1"/>
        <w:tabs>
          <w:tab w:val="left" w:pos="1276"/>
        </w:tabs>
        <w:spacing w:before="0" w:after="240"/>
        <w:ind w:left="1276" w:hanging="1276"/>
        <w:jc w:val="left"/>
        <w:rPr>
          <w:rFonts w:ascii="Times New Roman" w:hAnsi="Times New Roman"/>
          <w:color w:val="18185F"/>
          <w:sz w:val="24"/>
          <w:lang w:val="lv-LV"/>
        </w:rPr>
      </w:pPr>
      <w:bookmarkStart w:id="16" w:name="_Toc1374667"/>
      <w:r>
        <w:rPr>
          <w:rFonts w:ascii="Times New Roman" w:hAnsi="Times New Roman"/>
          <w:color w:val="18185F"/>
          <w:sz w:val="24"/>
          <w:lang w:val="lv-LV"/>
        </w:rPr>
        <w:lastRenderedPageBreak/>
        <w:t xml:space="preserve">Tabula </w:t>
      </w:r>
      <w:r w:rsidR="004D377A">
        <w:rPr>
          <w:rFonts w:ascii="Times New Roman" w:hAnsi="Times New Roman"/>
          <w:color w:val="18185F"/>
          <w:sz w:val="24"/>
          <w:lang w:val="lv-LV"/>
        </w:rPr>
        <w:t>4.c Vispārējās valdības izdevu</w:t>
      </w:r>
      <w:r w:rsidR="00524163">
        <w:rPr>
          <w:rFonts w:ascii="Times New Roman" w:hAnsi="Times New Roman"/>
          <w:color w:val="18185F"/>
          <w:sz w:val="24"/>
          <w:lang w:val="lv-LV"/>
        </w:rPr>
        <w:t>mi</w:t>
      </w:r>
      <w:r w:rsidR="004D377A">
        <w:rPr>
          <w:rFonts w:ascii="Times New Roman" w:hAnsi="Times New Roman"/>
          <w:color w:val="18185F"/>
          <w:sz w:val="24"/>
          <w:lang w:val="lv-LV"/>
        </w:rPr>
        <w:t xml:space="preserve"> </w:t>
      </w:r>
      <w:r w:rsidR="00D27E4E" w:rsidRPr="00AA5591">
        <w:rPr>
          <w:rFonts w:ascii="Times New Roman" w:hAnsi="Times New Roman"/>
          <w:color w:val="18185F"/>
          <w:sz w:val="24"/>
        </w:rPr>
        <w:t>funkciju sadalījumā</w:t>
      </w:r>
      <w:bookmarkEnd w:id="16"/>
    </w:p>
    <w:p w14:paraId="03B2D2CD" w14:textId="77777777" w:rsidR="00AA5591" w:rsidRPr="00AA5591" w:rsidRDefault="00F900B2" w:rsidP="00AA5591">
      <w:pPr>
        <w:pStyle w:val="Heading1"/>
        <w:tabs>
          <w:tab w:val="left" w:pos="1276"/>
        </w:tabs>
        <w:spacing w:before="0" w:after="240"/>
        <w:ind w:left="1276" w:hanging="1276"/>
        <w:jc w:val="left"/>
        <w:rPr>
          <w:rFonts w:ascii="Times New Roman" w:hAnsi="Times New Roman"/>
          <w:color w:val="18185F"/>
          <w:sz w:val="24"/>
        </w:rPr>
      </w:pPr>
      <w:bookmarkStart w:id="17" w:name="_Toc1374668"/>
      <w:r>
        <w:rPr>
          <w:rFonts w:ascii="Times New Roman" w:hAnsi="Times New Roman"/>
          <w:color w:val="18185F"/>
          <w:sz w:val="24"/>
          <w:lang w:val="lv-LV"/>
        </w:rPr>
        <w:t>Tabula</w:t>
      </w:r>
      <w:r w:rsidRPr="00AA5591">
        <w:rPr>
          <w:rFonts w:ascii="Times New Roman" w:hAnsi="Times New Roman"/>
          <w:color w:val="18185F"/>
          <w:sz w:val="24"/>
        </w:rPr>
        <w:t xml:space="preserve"> </w:t>
      </w:r>
      <w:r w:rsidR="00AA5591" w:rsidRPr="00AA5591">
        <w:rPr>
          <w:rFonts w:ascii="Times New Roman" w:hAnsi="Times New Roman"/>
          <w:color w:val="18185F"/>
          <w:sz w:val="24"/>
        </w:rPr>
        <w:t>4.c.i) Vispārējās valdības izdevumi izglītībai, veselības aprūpei un nodarbinātībai</w:t>
      </w:r>
      <w:bookmarkEnd w:id="17"/>
    </w:p>
    <w:tbl>
      <w:tblPr>
        <w:tblStyle w:val="GridTable6Colorful-Accent11"/>
        <w:tblW w:w="9072" w:type="dxa"/>
        <w:jc w:val="center"/>
        <w:tblLook w:val="04A0" w:firstRow="1" w:lastRow="0" w:firstColumn="1" w:lastColumn="0" w:noHBand="0" w:noVBand="1"/>
      </w:tblPr>
      <w:tblGrid>
        <w:gridCol w:w="1724"/>
        <w:gridCol w:w="960"/>
        <w:gridCol w:w="2764"/>
        <w:gridCol w:w="905"/>
        <w:gridCol w:w="2719"/>
      </w:tblGrid>
      <w:tr w:rsidR="00AA5591" w:rsidRPr="005030D2" w14:paraId="5F988076" w14:textId="77777777" w:rsidTr="007E32F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7E4DC767" w14:textId="77777777" w:rsidR="00AA5591" w:rsidRPr="005030D2" w:rsidRDefault="00AA5591" w:rsidP="00AA5591">
            <w:pPr>
              <w:spacing w:after="0"/>
              <w:ind w:firstLine="0"/>
              <w:jc w:val="center"/>
              <w:rPr>
                <w:color w:val="auto"/>
                <w:szCs w:val="24"/>
                <w:lang w:eastAsia="lv-LV"/>
              </w:rPr>
            </w:pPr>
          </w:p>
        </w:tc>
        <w:tc>
          <w:tcPr>
            <w:tcW w:w="3724" w:type="dxa"/>
            <w:gridSpan w:val="2"/>
            <w:vAlign w:val="center"/>
            <w:hideMark/>
          </w:tcPr>
          <w:p w14:paraId="08E7BED2" w14:textId="77777777" w:rsidR="00AA5591" w:rsidRPr="005030D2" w:rsidRDefault="00D85FDB" w:rsidP="0027687A">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5030D2">
              <w:rPr>
                <w:color w:val="auto"/>
                <w:szCs w:val="24"/>
                <w:lang w:eastAsia="lv-LV"/>
              </w:rPr>
              <w:t>201</w:t>
            </w:r>
            <w:r w:rsidR="0027687A" w:rsidRPr="005030D2">
              <w:rPr>
                <w:color w:val="auto"/>
                <w:szCs w:val="24"/>
                <w:lang w:eastAsia="lv-LV"/>
              </w:rPr>
              <w:t>8</w:t>
            </w:r>
          </w:p>
        </w:tc>
        <w:tc>
          <w:tcPr>
            <w:tcW w:w="3624" w:type="dxa"/>
            <w:gridSpan w:val="2"/>
            <w:vAlign w:val="center"/>
            <w:hideMark/>
          </w:tcPr>
          <w:p w14:paraId="3D903044" w14:textId="77777777" w:rsidR="00AA5591" w:rsidRPr="005030D2" w:rsidRDefault="00D85FDB" w:rsidP="0027687A">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5030D2">
              <w:rPr>
                <w:color w:val="auto"/>
                <w:szCs w:val="24"/>
                <w:lang w:eastAsia="lv-LV"/>
              </w:rPr>
              <w:t>201</w:t>
            </w:r>
            <w:r w:rsidR="0027687A" w:rsidRPr="005030D2">
              <w:rPr>
                <w:color w:val="auto"/>
                <w:szCs w:val="24"/>
                <w:lang w:eastAsia="lv-LV"/>
              </w:rPr>
              <w:t>9</w:t>
            </w:r>
          </w:p>
        </w:tc>
      </w:tr>
      <w:tr w:rsidR="00AA5591" w:rsidRPr="005030D2" w14:paraId="4EE63C05" w14:textId="77777777" w:rsidTr="007E32F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78850DF3" w14:textId="77777777" w:rsidR="00AA5591" w:rsidRPr="005030D2" w:rsidRDefault="00AA5591" w:rsidP="00AA5591">
            <w:pPr>
              <w:spacing w:after="0"/>
              <w:ind w:firstLine="0"/>
              <w:jc w:val="center"/>
              <w:rPr>
                <w:color w:val="auto"/>
                <w:szCs w:val="24"/>
                <w:lang w:eastAsia="lv-LV"/>
              </w:rPr>
            </w:pPr>
          </w:p>
        </w:tc>
        <w:tc>
          <w:tcPr>
            <w:tcW w:w="960" w:type="dxa"/>
            <w:vAlign w:val="center"/>
            <w:hideMark/>
          </w:tcPr>
          <w:p w14:paraId="23751060" w14:textId="77777777"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 xml:space="preserve">% </w:t>
            </w:r>
            <w:r w:rsidR="00D27E4E" w:rsidRPr="005030D2">
              <w:rPr>
                <w:color w:val="auto"/>
                <w:szCs w:val="24"/>
                <w:lang w:eastAsia="lv-LV"/>
              </w:rPr>
              <w:t xml:space="preserve">no </w:t>
            </w:r>
            <w:r w:rsidRPr="005030D2">
              <w:rPr>
                <w:color w:val="auto"/>
                <w:szCs w:val="24"/>
                <w:lang w:eastAsia="lv-LV"/>
              </w:rPr>
              <w:t>IKP</w:t>
            </w:r>
          </w:p>
        </w:tc>
        <w:tc>
          <w:tcPr>
            <w:tcW w:w="2764" w:type="dxa"/>
            <w:vAlign w:val="center"/>
            <w:hideMark/>
          </w:tcPr>
          <w:p w14:paraId="5D01F855" w14:textId="77777777"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vispārējās valdības izdevumi</w:t>
            </w:r>
            <w:r w:rsidR="00D27E4E" w:rsidRPr="005030D2">
              <w:rPr>
                <w:color w:val="auto"/>
                <w:szCs w:val="24"/>
                <w:lang w:eastAsia="lv-LV"/>
              </w:rPr>
              <w:t>, %</w:t>
            </w:r>
          </w:p>
        </w:tc>
        <w:tc>
          <w:tcPr>
            <w:tcW w:w="905" w:type="dxa"/>
            <w:vAlign w:val="center"/>
            <w:hideMark/>
          </w:tcPr>
          <w:p w14:paraId="2FA0BD55" w14:textId="77777777"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 xml:space="preserve">% </w:t>
            </w:r>
            <w:r w:rsidR="00D27E4E" w:rsidRPr="005030D2">
              <w:rPr>
                <w:color w:val="auto"/>
                <w:szCs w:val="24"/>
                <w:lang w:eastAsia="lv-LV"/>
              </w:rPr>
              <w:t xml:space="preserve">no </w:t>
            </w:r>
            <w:r w:rsidRPr="005030D2">
              <w:rPr>
                <w:color w:val="auto"/>
                <w:szCs w:val="24"/>
                <w:lang w:eastAsia="lv-LV"/>
              </w:rPr>
              <w:t>IKP</w:t>
            </w:r>
          </w:p>
        </w:tc>
        <w:tc>
          <w:tcPr>
            <w:tcW w:w="2719" w:type="dxa"/>
            <w:vAlign w:val="center"/>
            <w:hideMark/>
          </w:tcPr>
          <w:p w14:paraId="448C214C" w14:textId="77777777"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vispārējās valdības izdevumi</w:t>
            </w:r>
            <w:r w:rsidR="00D27E4E" w:rsidRPr="005030D2">
              <w:rPr>
                <w:color w:val="auto"/>
                <w:szCs w:val="24"/>
                <w:lang w:eastAsia="lv-LV"/>
              </w:rPr>
              <w:t>, %</w:t>
            </w:r>
          </w:p>
        </w:tc>
      </w:tr>
      <w:tr w:rsidR="0031631E" w:rsidRPr="005030D2" w14:paraId="10D79121" w14:textId="77777777" w:rsidTr="007E32F5">
        <w:trPr>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71997CBB" w14:textId="77777777" w:rsidR="0031631E" w:rsidRPr="005030D2" w:rsidRDefault="0031631E" w:rsidP="0031631E">
            <w:pPr>
              <w:spacing w:after="0"/>
              <w:ind w:firstLine="0"/>
              <w:jc w:val="left"/>
              <w:rPr>
                <w:color w:val="auto"/>
                <w:szCs w:val="24"/>
                <w:lang w:eastAsia="lv-LV"/>
              </w:rPr>
            </w:pPr>
            <w:r w:rsidRPr="005030D2">
              <w:rPr>
                <w:color w:val="auto"/>
                <w:szCs w:val="24"/>
                <w:lang w:eastAsia="lv-LV"/>
              </w:rPr>
              <w:t>Izglītība</w:t>
            </w:r>
          </w:p>
        </w:tc>
        <w:tc>
          <w:tcPr>
            <w:tcW w:w="960" w:type="dxa"/>
            <w:vAlign w:val="center"/>
          </w:tcPr>
          <w:p w14:paraId="285307DF"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31631E">
              <w:rPr>
                <w:color w:val="000000"/>
                <w:szCs w:val="24"/>
              </w:rPr>
              <w:t>5,6</w:t>
            </w:r>
          </w:p>
        </w:tc>
        <w:tc>
          <w:tcPr>
            <w:tcW w:w="2764" w:type="dxa"/>
            <w:vAlign w:val="center"/>
          </w:tcPr>
          <w:p w14:paraId="1461CC42"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31631E">
              <w:rPr>
                <w:color w:val="000000"/>
                <w:szCs w:val="24"/>
              </w:rPr>
              <w:t>14,8</w:t>
            </w:r>
          </w:p>
        </w:tc>
        <w:tc>
          <w:tcPr>
            <w:tcW w:w="905" w:type="dxa"/>
            <w:vAlign w:val="center"/>
          </w:tcPr>
          <w:p w14:paraId="06E5B614"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31631E">
              <w:rPr>
                <w:color w:val="000000"/>
                <w:szCs w:val="24"/>
              </w:rPr>
              <w:t>5,5</w:t>
            </w:r>
          </w:p>
        </w:tc>
        <w:tc>
          <w:tcPr>
            <w:tcW w:w="2719" w:type="dxa"/>
            <w:vAlign w:val="center"/>
          </w:tcPr>
          <w:p w14:paraId="3586D649"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31631E">
              <w:rPr>
                <w:color w:val="000000"/>
                <w:szCs w:val="24"/>
              </w:rPr>
              <w:t>14,9</w:t>
            </w:r>
          </w:p>
        </w:tc>
      </w:tr>
      <w:tr w:rsidR="0031631E" w:rsidRPr="005030D2" w14:paraId="57F1EB60" w14:textId="77777777" w:rsidTr="007E32F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38E753F7" w14:textId="77777777" w:rsidR="0031631E" w:rsidRPr="005030D2" w:rsidRDefault="0031631E" w:rsidP="0031631E">
            <w:pPr>
              <w:spacing w:after="0"/>
              <w:ind w:firstLine="0"/>
              <w:jc w:val="left"/>
              <w:rPr>
                <w:color w:val="auto"/>
                <w:szCs w:val="24"/>
                <w:lang w:eastAsia="lv-LV"/>
              </w:rPr>
            </w:pPr>
            <w:r w:rsidRPr="005030D2">
              <w:rPr>
                <w:color w:val="auto"/>
                <w:szCs w:val="24"/>
                <w:lang w:eastAsia="lv-LV"/>
              </w:rPr>
              <w:t>Veselība</w:t>
            </w:r>
          </w:p>
        </w:tc>
        <w:tc>
          <w:tcPr>
            <w:tcW w:w="960" w:type="dxa"/>
            <w:vAlign w:val="center"/>
          </w:tcPr>
          <w:p w14:paraId="1D8CEE51"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31631E">
              <w:rPr>
                <w:color w:val="000000"/>
                <w:szCs w:val="24"/>
              </w:rPr>
              <w:t>4,0</w:t>
            </w:r>
          </w:p>
        </w:tc>
        <w:tc>
          <w:tcPr>
            <w:tcW w:w="2764" w:type="dxa"/>
            <w:vAlign w:val="center"/>
          </w:tcPr>
          <w:p w14:paraId="429F6D1F"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31631E">
              <w:rPr>
                <w:color w:val="000000"/>
                <w:szCs w:val="24"/>
              </w:rPr>
              <w:t>10,5</w:t>
            </w:r>
          </w:p>
        </w:tc>
        <w:tc>
          <w:tcPr>
            <w:tcW w:w="905" w:type="dxa"/>
            <w:vAlign w:val="center"/>
          </w:tcPr>
          <w:p w14:paraId="792A13FA"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31631E">
              <w:rPr>
                <w:color w:val="000000"/>
                <w:szCs w:val="24"/>
              </w:rPr>
              <w:t>4,2</w:t>
            </w:r>
          </w:p>
        </w:tc>
        <w:tc>
          <w:tcPr>
            <w:tcW w:w="2719" w:type="dxa"/>
            <w:vAlign w:val="center"/>
          </w:tcPr>
          <w:p w14:paraId="5E4D563B"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31631E">
              <w:rPr>
                <w:color w:val="000000"/>
                <w:szCs w:val="24"/>
              </w:rPr>
              <w:t>11,4</w:t>
            </w:r>
          </w:p>
        </w:tc>
      </w:tr>
      <w:tr w:rsidR="0031631E" w:rsidRPr="005030D2" w14:paraId="5D95F824" w14:textId="77777777" w:rsidTr="007E32F5">
        <w:trPr>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76DFA8D3" w14:textId="77777777" w:rsidR="0031631E" w:rsidRPr="005030D2" w:rsidRDefault="0031631E" w:rsidP="0031631E">
            <w:pPr>
              <w:spacing w:after="0"/>
              <w:ind w:firstLine="0"/>
              <w:jc w:val="left"/>
              <w:rPr>
                <w:color w:val="auto"/>
                <w:szCs w:val="24"/>
                <w:lang w:eastAsia="lv-LV"/>
              </w:rPr>
            </w:pPr>
            <w:r w:rsidRPr="005030D2">
              <w:rPr>
                <w:color w:val="auto"/>
                <w:szCs w:val="24"/>
                <w:lang w:eastAsia="lv-LV"/>
              </w:rPr>
              <w:t>Nodarbinātība</w:t>
            </w:r>
          </w:p>
        </w:tc>
        <w:tc>
          <w:tcPr>
            <w:tcW w:w="960" w:type="dxa"/>
            <w:vAlign w:val="center"/>
          </w:tcPr>
          <w:p w14:paraId="7D5C9684"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31631E">
              <w:rPr>
                <w:color w:val="000000"/>
                <w:szCs w:val="24"/>
              </w:rPr>
              <w:t>0,2</w:t>
            </w:r>
          </w:p>
        </w:tc>
        <w:tc>
          <w:tcPr>
            <w:tcW w:w="2764" w:type="dxa"/>
            <w:vAlign w:val="center"/>
          </w:tcPr>
          <w:p w14:paraId="64074D7F"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31631E">
              <w:rPr>
                <w:color w:val="000000"/>
                <w:szCs w:val="24"/>
              </w:rPr>
              <w:t>0,4</w:t>
            </w:r>
          </w:p>
        </w:tc>
        <w:tc>
          <w:tcPr>
            <w:tcW w:w="905" w:type="dxa"/>
            <w:vAlign w:val="center"/>
          </w:tcPr>
          <w:p w14:paraId="0734F19C"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31631E">
              <w:rPr>
                <w:color w:val="000000"/>
                <w:szCs w:val="24"/>
              </w:rPr>
              <w:t>0,1</w:t>
            </w:r>
          </w:p>
        </w:tc>
        <w:tc>
          <w:tcPr>
            <w:tcW w:w="2719" w:type="dxa"/>
            <w:vAlign w:val="center"/>
          </w:tcPr>
          <w:p w14:paraId="15259370"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31631E">
              <w:rPr>
                <w:color w:val="000000"/>
                <w:szCs w:val="24"/>
              </w:rPr>
              <w:t>0,3</w:t>
            </w:r>
          </w:p>
        </w:tc>
      </w:tr>
    </w:tbl>
    <w:p w14:paraId="5D5D6FB8" w14:textId="77777777" w:rsidR="00B95048" w:rsidRDefault="00B95048" w:rsidP="00B95048">
      <w:pPr>
        <w:rPr>
          <w:lang w:val="x-none" w:eastAsia="x-none"/>
        </w:rPr>
      </w:pPr>
    </w:p>
    <w:p w14:paraId="6493BC3C" w14:textId="77777777" w:rsidR="006C783C" w:rsidRDefault="006C783C" w:rsidP="00B95048">
      <w:pPr>
        <w:rPr>
          <w:lang w:val="x-none" w:eastAsia="x-none"/>
        </w:rPr>
      </w:pPr>
    </w:p>
    <w:p w14:paraId="12A93433" w14:textId="77777777" w:rsidR="006C783C" w:rsidRPr="00B95048" w:rsidRDefault="006C783C" w:rsidP="00B95048">
      <w:pPr>
        <w:rPr>
          <w:lang w:val="x-none" w:eastAsia="x-none"/>
        </w:rPr>
      </w:pPr>
    </w:p>
    <w:p w14:paraId="0044394F" w14:textId="77777777" w:rsidR="00AA5591" w:rsidRPr="00AA5591" w:rsidRDefault="00F900B2" w:rsidP="00150E39">
      <w:pPr>
        <w:pStyle w:val="Heading1"/>
        <w:tabs>
          <w:tab w:val="left" w:pos="1276"/>
        </w:tabs>
        <w:spacing w:before="0" w:after="240"/>
        <w:ind w:firstLine="0"/>
        <w:jc w:val="left"/>
        <w:rPr>
          <w:rFonts w:ascii="Times New Roman" w:hAnsi="Times New Roman"/>
          <w:color w:val="18185F"/>
          <w:sz w:val="24"/>
        </w:rPr>
      </w:pPr>
      <w:bookmarkStart w:id="18" w:name="_Toc1374669"/>
      <w:r>
        <w:rPr>
          <w:rFonts w:ascii="Times New Roman" w:hAnsi="Times New Roman"/>
          <w:color w:val="18185F"/>
          <w:sz w:val="24"/>
          <w:lang w:val="lv-LV"/>
        </w:rPr>
        <w:t>Tabula</w:t>
      </w:r>
      <w:r w:rsidRPr="00AA5591">
        <w:rPr>
          <w:rFonts w:ascii="Times New Roman" w:hAnsi="Times New Roman"/>
          <w:color w:val="18185F"/>
          <w:sz w:val="24"/>
        </w:rPr>
        <w:t xml:space="preserve"> </w:t>
      </w:r>
      <w:r w:rsidR="00AA5591" w:rsidRPr="00AA5591">
        <w:rPr>
          <w:rFonts w:ascii="Times New Roman" w:hAnsi="Times New Roman"/>
          <w:color w:val="18185F"/>
          <w:sz w:val="24"/>
        </w:rPr>
        <w:t>4.c.ii) Vispārējās valdības izdevumi funkciju sadalījumā</w:t>
      </w:r>
      <w:bookmarkEnd w:id="18"/>
    </w:p>
    <w:tbl>
      <w:tblPr>
        <w:tblStyle w:val="GridTable6Colorful-Accent11"/>
        <w:tblW w:w="7933" w:type="dxa"/>
        <w:jc w:val="center"/>
        <w:tblLayout w:type="fixed"/>
        <w:tblLook w:val="04A0" w:firstRow="1" w:lastRow="0" w:firstColumn="1" w:lastColumn="0" w:noHBand="0" w:noVBand="1"/>
      </w:tblPr>
      <w:tblGrid>
        <w:gridCol w:w="4253"/>
        <w:gridCol w:w="1149"/>
        <w:gridCol w:w="1256"/>
        <w:gridCol w:w="1275"/>
      </w:tblGrid>
      <w:tr w:rsidR="00AA5591" w:rsidRPr="006C783C" w14:paraId="48B4404E" w14:textId="77777777" w:rsidTr="00D27E4E">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545748B1" w14:textId="77777777" w:rsidR="00AA5591" w:rsidRPr="006C783C" w:rsidRDefault="00AA5591" w:rsidP="00AA5591">
            <w:pPr>
              <w:spacing w:after="0"/>
              <w:ind w:firstLine="0"/>
              <w:jc w:val="center"/>
              <w:rPr>
                <w:color w:val="auto"/>
                <w:szCs w:val="24"/>
                <w:lang w:eastAsia="lv-LV"/>
              </w:rPr>
            </w:pPr>
          </w:p>
        </w:tc>
        <w:tc>
          <w:tcPr>
            <w:tcW w:w="1149" w:type="dxa"/>
            <w:vAlign w:val="center"/>
            <w:hideMark/>
          </w:tcPr>
          <w:p w14:paraId="338C8299" w14:textId="77777777" w:rsidR="00AA5591" w:rsidRPr="006C783C" w:rsidRDefault="00AA5591"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6C783C">
              <w:rPr>
                <w:color w:val="auto"/>
                <w:szCs w:val="24"/>
              </w:rPr>
              <w:t>COFOG kods</w:t>
            </w:r>
          </w:p>
        </w:tc>
        <w:tc>
          <w:tcPr>
            <w:tcW w:w="1256" w:type="dxa"/>
            <w:vAlign w:val="center"/>
            <w:hideMark/>
          </w:tcPr>
          <w:p w14:paraId="307AF6B5" w14:textId="77777777" w:rsidR="00AA5591" w:rsidRPr="006C783C" w:rsidRDefault="00D85FDB" w:rsidP="00480057">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6C783C">
              <w:rPr>
                <w:bCs w:val="0"/>
                <w:color w:val="auto"/>
                <w:szCs w:val="24"/>
              </w:rPr>
              <w:t>201</w:t>
            </w:r>
            <w:r w:rsidR="00480057" w:rsidRPr="006C783C">
              <w:rPr>
                <w:bCs w:val="0"/>
                <w:color w:val="auto"/>
                <w:szCs w:val="24"/>
              </w:rPr>
              <w:t>8</w:t>
            </w:r>
          </w:p>
        </w:tc>
        <w:tc>
          <w:tcPr>
            <w:tcW w:w="1275" w:type="dxa"/>
            <w:vAlign w:val="center"/>
            <w:hideMark/>
          </w:tcPr>
          <w:p w14:paraId="78575066" w14:textId="77777777" w:rsidR="00AA5591" w:rsidRPr="006C783C" w:rsidRDefault="00D85FDB" w:rsidP="00480057">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auto"/>
                <w:szCs w:val="24"/>
              </w:rPr>
            </w:pPr>
            <w:r w:rsidRPr="006C783C">
              <w:rPr>
                <w:bCs w:val="0"/>
                <w:color w:val="auto"/>
                <w:szCs w:val="24"/>
              </w:rPr>
              <w:t>201</w:t>
            </w:r>
            <w:r w:rsidR="00480057" w:rsidRPr="006C783C">
              <w:rPr>
                <w:bCs w:val="0"/>
                <w:color w:val="auto"/>
                <w:szCs w:val="24"/>
              </w:rPr>
              <w:t>9</w:t>
            </w:r>
          </w:p>
        </w:tc>
      </w:tr>
      <w:tr w:rsidR="00AF5E23" w:rsidRPr="006C783C" w14:paraId="6C1B361C" w14:textId="77777777" w:rsidTr="00533AB8">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4613D5DD" w14:textId="77777777" w:rsidR="00AF5E23" w:rsidRPr="006C783C" w:rsidRDefault="00AF5E23" w:rsidP="00AA5591">
            <w:pPr>
              <w:spacing w:after="0"/>
              <w:jc w:val="center"/>
              <w:rPr>
                <w:b w:val="0"/>
                <w:bCs w:val="0"/>
                <w:color w:val="auto"/>
                <w:szCs w:val="24"/>
              </w:rPr>
            </w:pPr>
          </w:p>
        </w:tc>
        <w:tc>
          <w:tcPr>
            <w:tcW w:w="1149" w:type="dxa"/>
            <w:vAlign w:val="center"/>
            <w:hideMark/>
          </w:tcPr>
          <w:p w14:paraId="02005DD9" w14:textId="77777777" w:rsidR="00AF5E23" w:rsidRPr="006C783C" w:rsidRDefault="00AF5E23" w:rsidP="00AA5591">
            <w:pPr>
              <w:spacing w:after="0"/>
              <w:jc w:val="center"/>
              <w:cnfStyle w:val="000000100000" w:firstRow="0" w:lastRow="0" w:firstColumn="0" w:lastColumn="0" w:oddVBand="0" w:evenVBand="0" w:oddHBand="1" w:evenHBand="0" w:firstRowFirstColumn="0" w:firstRowLastColumn="0" w:lastRowFirstColumn="0" w:lastRowLastColumn="0"/>
              <w:rPr>
                <w:color w:val="auto"/>
                <w:szCs w:val="24"/>
              </w:rPr>
            </w:pPr>
          </w:p>
        </w:tc>
        <w:tc>
          <w:tcPr>
            <w:tcW w:w="2531" w:type="dxa"/>
            <w:gridSpan w:val="2"/>
            <w:vAlign w:val="center"/>
            <w:hideMark/>
          </w:tcPr>
          <w:p w14:paraId="631D0A26" w14:textId="77777777" w:rsidR="00AF5E23" w:rsidRPr="006C783C" w:rsidRDefault="00AF5E23" w:rsidP="00AF5E2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 no IKP</w:t>
            </w:r>
          </w:p>
        </w:tc>
      </w:tr>
      <w:tr w:rsidR="0031631E" w:rsidRPr="006C783C" w14:paraId="30153BC4" w14:textId="77777777" w:rsidTr="00C22F2C">
        <w:trPr>
          <w:trHeight w:val="26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6AF7CD00" w14:textId="77777777" w:rsidR="0031631E" w:rsidRPr="006C783C" w:rsidRDefault="0031631E" w:rsidP="0031631E">
            <w:pPr>
              <w:spacing w:after="0"/>
              <w:ind w:firstLine="0"/>
              <w:jc w:val="left"/>
              <w:rPr>
                <w:color w:val="auto"/>
                <w:szCs w:val="24"/>
              </w:rPr>
            </w:pPr>
            <w:r w:rsidRPr="006C783C">
              <w:rPr>
                <w:color w:val="auto"/>
                <w:szCs w:val="24"/>
              </w:rPr>
              <w:t>1. Vispārējie sabiedriskie pakalpojumi</w:t>
            </w:r>
          </w:p>
        </w:tc>
        <w:tc>
          <w:tcPr>
            <w:tcW w:w="1149" w:type="dxa"/>
            <w:vAlign w:val="center"/>
            <w:hideMark/>
          </w:tcPr>
          <w:p w14:paraId="3F806A84" w14:textId="77777777" w:rsidR="0031631E" w:rsidRPr="006C783C"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1</w:t>
            </w:r>
          </w:p>
        </w:tc>
        <w:tc>
          <w:tcPr>
            <w:tcW w:w="1256" w:type="dxa"/>
            <w:vAlign w:val="center"/>
          </w:tcPr>
          <w:p w14:paraId="3C832AFC"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4,6</w:t>
            </w:r>
          </w:p>
        </w:tc>
        <w:tc>
          <w:tcPr>
            <w:tcW w:w="1275" w:type="dxa"/>
            <w:vAlign w:val="center"/>
          </w:tcPr>
          <w:p w14:paraId="0F14E802"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4,2</w:t>
            </w:r>
          </w:p>
        </w:tc>
      </w:tr>
      <w:tr w:rsidR="0031631E" w:rsidRPr="006C783C" w14:paraId="571E9AAD" w14:textId="77777777" w:rsidTr="00C22F2C">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9A29A08" w14:textId="77777777" w:rsidR="0031631E" w:rsidRPr="006C783C" w:rsidRDefault="0031631E" w:rsidP="0031631E">
            <w:pPr>
              <w:spacing w:after="0"/>
              <w:ind w:firstLine="0"/>
              <w:jc w:val="left"/>
              <w:rPr>
                <w:color w:val="auto"/>
                <w:szCs w:val="24"/>
              </w:rPr>
            </w:pPr>
            <w:r w:rsidRPr="006C783C">
              <w:rPr>
                <w:color w:val="auto"/>
                <w:szCs w:val="24"/>
              </w:rPr>
              <w:t>2. Aizsardzība</w:t>
            </w:r>
          </w:p>
        </w:tc>
        <w:tc>
          <w:tcPr>
            <w:tcW w:w="1149" w:type="dxa"/>
            <w:vAlign w:val="center"/>
            <w:hideMark/>
          </w:tcPr>
          <w:p w14:paraId="2DFBF7DA" w14:textId="77777777" w:rsidR="0031631E" w:rsidRPr="006C783C"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2</w:t>
            </w:r>
          </w:p>
        </w:tc>
        <w:tc>
          <w:tcPr>
            <w:tcW w:w="1256" w:type="dxa"/>
            <w:vAlign w:val="center"/>
          </w:tcPr>
          <w:p w14:paraId="366042F5"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31631E">
              <w:rPr>
                <w:color w:val="000000"/>
                <w:szCs w:val="24"/>
              </w:rPr>
              <w:t>2,0</w:t>
            </w:r>
          </w:p>
        </w:tc>
        <w:tc>
          <w:tcPr>
            <w:tcW w:w="1275" w:type="dxa"/>
            <w:vAlign w:val="center"/>
          </w:tcPr>
          <w:p w14:paraId="25F585E6"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31631E">
              <w:rPr>
                <w:color w:val="000000"/>
                <w:szCs w:val="24"/>
              </w:rPr>
              <w:t>2,0</w:t>
            </w:r>
          </w:p>
        </w:tc>
      </w:tr>
      <w:tr w:rsidR="0031631E" w:rsidRPr="006C783C" w14:paraId="687B8D25" w14:textId="77777777" w:rsidTr="00C22F2C">
        <w:trPr>
          <w:trHeight w:val="23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4C20BBAF" w14:textId="77777777" w:rsidR="0031631E" w:rsidRPr="006C783C" w:rsidRDefault="0031631E" w:rsidP="0031631E">
            <w:pPr>
              <w:spacing w:after="0"/>
              <w:ind w:firstLine="0"/>
              <w:jc w:val="left"/>
              <w:rPr>
                <w:color w:val="auto"/>
                <w:szCs w:val="24"/>
              </w:rPr>
            </w:pPr>
            <w:r w:rsidRPr="006C783C">
              <w:rPr>
                <w:color w:val="auto"/>
                <w:szCs w:val="24"/>
              </w:rPr>
              <w:t>3. Sabiedriskā kārtība un drošība</w:t>
            </w:r>
          </w:p>
        </w:tc>
        <w:tc>
          <w:tcPr>
            <w:tcW w:w="1149" w:type="dxa"/>
            <w:vAlign w:val="center"/>
            <w:hideMark/>
          </w:tcPr>
          <w:p w14:paraId="1ECD0470" w14:textId="77777777" w:rsidR="0031631E" w:rsidRPr="006C783C"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3</w:t>
            </w:r>
          </w:p>
        </w:tc>
        <w:tc>
          <w:tcPr>
            <w:tcW w:w="1256" w:type="dxa"/>
            <w:vAlign w:val="center"/>
          </w:tcPr>
          <w:p w14:paraId="3A300AB0"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2,2</w:t>
            </w:r>
          </w:p>
        </w:tc>
        <w:tc>
          <w:tcPr>
            <w:tcW w:w="1275" w:type="dxa"/>
            <w:vAlign w:val="center"/>
          </w:tcPr>
          <w:p w14:paraId="6016DF26"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2,0</w:t>
            </w:r>
          </w:p>
        </w:tc>
      </w:tr>
      <w:tr w:rsidR="0031631E" w:rsidRPr="006C783C" w14:paraId="05A8F5B5" w14:textId="77777777" w:rsidTr="00C22F2C">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66E2A433" w14:textId="77777777" w:rsidR="0031631E" w:rsidRPr="006C783C" w:rsidRDefault="0031631E" w:rsidP="0031631E">
            <w:pPr>
              <w:spacing w:after="0"/>
              <w:ind w:firstLine="0"/>
              <w:jc w:val="left"/>
              <w:rPr>
                <w:color w:val="auto"/>
                <w:szCs w:val="24"/>
              </w:rPr>
            </w:pPr>
            <w:r w:rsidRPr="006C783C">
              <w:rPr>
                <w:color w:val="auto"/>
                <w:szCs w:val="24"/>
              </w:rPr>
              <w:t>4. Ekonomiskā darbība</w:t>
            </w:r>
          </w:p>
        </w:tc>
        <w:tc>
          <w:tcPr>
            <w:tcW w:w="1149" w:type="dxa"/>
            <w:vAlign w:val="center"/>
            <w:hideMark/>
          </w:tcPr>
          <w:p w14:paraId="1FC2179D" w14:textId="77777777" w:rsidR="0031631E" w:rsidRPr="006C783C"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4</w:t>
            </w:r>
          </w:p>
        </w:tc>
        <w:tc>
          <w:tcPr>
            <w:tcW w:w="1256" w:type="dxa"/>
            <w:vAlign w:val="center"/>
          </w:tcPr>
          <w:p w14:paraId="7410A8C4"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31631E">
              <w:rPr>
                <w:color w:val="000000"/>
                <w:szCs w:val="24"/>
              </w:rPr>
              <w:t>5,1</w:t>
            </w:r>
          </w:p>
        </w:tc>
        <w:tc>
          <w:tcPr>
            <w:tcW w:w="1275" w:type="dxa"/>
            <w:vAlign w:val="center"/>
          </w:tcPr>
          <w:p w14:paraId="3E275306"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31631E">
              <w:rPr>
                <w:color w:val="000000"/>
                <w:szCs w:val="24"/>
              </w:rPr>
              <w:t>4,7</w:t>
            </w:r>
          </w:p>
        </w:tc>
      </w:tr>
      <w:tr w:rsidR="0031631E" w:rsidRPr="006C783C" w14:paraId="5D12BA4B" w14:textId="77777777" w:rsidTr="00C22F2C">
        <w:trPr>
          <w:trHeight w:val="193"/>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DE6E324" w14:textId="77777777" w:rsidR="0031631E" w:rsidRPr="006C783C" w:rsidRDefault="0031631E" w:rsidP="0031631E">
            <w:pPr>
              <w:spacing w:after="0"/>
              <w:ind w:firstLine="0"/>
              <w:jc w:val="left"/>
              <w:rPr>
                <w:color w:val="auto"/>
                <w:szCs w:val="24"/>
              </w:rPr>
            </w:pPr>
            <w:r w:rsidRPr="006C783C">
              <w:rPr>
                <w:color w:val="auto"/>
                <w:szCs w:val="24"/>
              </w:rPr>
              <w:t>5. Vides aizsardzība</w:t>
            </w:r>
          </w:p>
        </w:tc>
        <w:tc>
          <w:tcPr>
            <w:tcW w:w="1149" w:type="dxa"/>
            <w:vAlign w:val="center"/>
            <w:hideMark/>
          </w:tcPr>
          <w:p w14:paraId="5DA4B35E" w14:textId="77777777" w:rsidR="0031631E" w:rsidRPr="006C783C"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5</w:t>
            </w:r>
          </w:p>
        </w:tc>
        <w:tc>
          <w:tcPr>
            <w:tcW w:w="1256" w:type="dxa"/>
            <w:vAlign w:val="center"/>
          </w:tcPr>
          <w:p w14:paraId="12820E71"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0,6</w:t>
            </w:r>
          </w:p>
        </w:tc>
        <w:tc>
          <w:tcPr>
            <w:tcW w:w="1275" w:type="dxa"/>
            <w:vAlign w:val="center"/>
          </w:tcPr>
          <w:p w14:paraId="2270D11B"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0,4</w:t>
            </w:r>
          </w:p>
        </w:tc>
      </w:tr>
      <w:tr w:rsidR="0031631E" w:rsidRPr="006C783C" w14:paraId="437BF017" w14:textId="77777777" w:rsidTr="00C22F2C">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3281C602" w14:textId="77777777" w:rsidR="0031631E" w:rsidRPr="006C783C" w:rsidRDefault="0031631E" w:rsidP="0031631E">
            <w:pPr>
              <w:spacing w:after="0"/>
              <w:ind w:firstLine="0"/>
              <w:jc w:val="left"/>
              <w:rPr>
                <w:color w:val="auto"/>
                <w:szCs w:val="24"/>
              </w:rPr>
            </w:pPr>
            <w:r w:rsidRPr="006C783C">
              <w:rPr>
                <w:color w:val="auto"/>
                <w:szCs w:val="24"/>
              </w:rPr>
              <w:t>6. Mājoklis un komunālā saimniecība</w:t>
            </w:r>
          </w:p>
        </w:tc>
        <w:tc>
          <w:tcPr>
            <w:tcW w:w="1149" w:type="dxa"/>
            <w:vAlign w:val="center"/>
            <w:hideMark/>
          </w:tcPr>
          <w:p w14:paraId="379610BF" w14:textId="77777777" w:rsidR="0031631E" w:rsidRPr="006C783C"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6</w:t>
            </w:r>
          </w:p>
        </w:tc>
        <w:tc>
          <w:tcPr>
            <w:tcW w:w="1256" w:type="dxa"/>
            <w:vAlign w:val="center"/>
          </w:tcPr>
          <w:p w14:paraId="130D36F2"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31631E">
              <w:rPr>
                <w:color w:val="000000"/>
                <w:szCs w:val="24"/>
              </w:rPr>
              <w:t>0,9</w:t>
            </w:r>
          </w:p>
        </w:tc>
        <w:tc>
          <w:tcPr>
            <w:tcW w:w="1275" w:type="dxa"/>
            <w:vAlign w:val="center"/>
          </w:tcPr>
          <w:p w14:paraId="7D01A74B"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31631E">
              <w:rPr>
                <w:color w:val="000000"/>
                <w:szCs w:val="24"/>
              </w:rPr>
              <w:t>0,7</w:t>
            </w:r>
          </w:p>
        </w:tc>
      </w:tr>
      <w:tr w:rsidR="0031631E" w:rsidRPr="006C783C" w14:paraId="66501B4B" w14:textId="77777777" w:rsidTr="00C22F2C">
        <w:trPr>
          <w:trHeight w:val="259"/>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04B68856" w14:textId="77777777" w:rsidR="0031631E" w:rsidRPr="006C783C" w:rsidRDefault="0031631E" w:rsidP="0031631E">
            <w:pPr>
              <w:spacing w:after="0"/>
              <w:ind w:firstLine="0"/>
              <w:jc w:val="left"/>
              <w:rPr>
                <w:color w:val="auto"/>
                <w:szCs w:val="24"/>
              </w:rPr>
            </w:pPr>
            <w:r w:rsidRPr="006C783C">
              <w:rPr>
                <w:color w:val="auto"/>
                <w:szCs w:val="24"/>
              </w:rPr>
              <w:t>7. Veselība</w:t>
            </w:r>
          </w:p>
        </w:tc>
        <w:tc>
          <w:tcPr>
            <w:tcW w:w="1149" w:type="dxa"/>
            <w:vAlign w:val="center"/>
            <w:hideMark/>
          </w:tcPr>
          <w:p w14:paraId="699906E2" w14:textId="77777777" w:rsidR="0031631E" w:rsidRPr="006C783C"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7</w:t>
            </w:r>
          </w:p>
        </w:tc>
        <w:tc>
          <w:tcPr>
            <w:tcW w:w="1256" w:type="dxa"/>
            <w:vAlign w:val="center"/>
          </w:tcPr>
          <w:p w14:paraId="2EA9FC6C"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4,0</w:t>
            </w:r>
          </w:p>
        </w:tc>
        <w:tc>
          <w:tcPr>
            <w:tcW w:w="1275" w:type="dxa"/>
            <w:vAlign w:val="center"/>
          </w:tcPr>
          <w:p w14:paraId="4A45796D"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4,2</w:t>
            </w:r>
          </w:p>
        </w:tc>
      </w:tr>
      <w:tr w:rsidR="0031631E" w:rsidRPr="006C783C" w14:paraId="23B40E1C" w14:textId="77777777" w:rsidTr="00C22F2C">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2A33FE24" w14:textId="77777777" w:rsidR="0031631E" w:rsidRPr="006C783C" w:rsidRDefault="0031631E" w:rsidP="0031631E">
            <w:pPr>
              <w:spacing w:after="0"/>
              <w:ind w:firstLine="0"/>
              <w:jc w:val="left"/>
              <w:rPr>
                <w:color w:val="auto"/>
                <w:szCs w:val="24"/>
              </w:rPr>
            </w:pPr>
            <w:r w:rsidRPr="006C783C">
              <w:rPr>
                <w:color w:val="auto"/>
                <w:szCs w:val="24"/>
              </w:rPr>
              <w:t>8. Atpūta, kultūra un reliģija</w:t>
            </w:r>
          </w:p>
        </w:tc>
        <w:tc>
          <w:tcPr>
            <w:tcW w:w="1149" w:type="dxa"/>
            <w:vAlign w:val="center"/>
            <w:hideMark/>
          </w:tcPr>
          <w:p w14:paraId="27A96227" w14:textId="77777777" w:rsidR="0031631E" w:rsidRPr="006C783C"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8</w:t>
            </w:r>
          </w:p>
        </w:tc>
        <w:tc>
          <w:tcPr>
            <w:tcW w:w="1256" w:type="dxa"/>
            <w:vAlign w:val="center"/>
          </w:tcPr>
          <w:p w14:paraId="2827390D"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31631E">
              <w:rPr>
                <w:color w:val="000000"/>
                <w:szCs w:val="24"/>
              </w:rPr>
              <w:t>1,5</w:t>
            </w:r>
          </w:p>
        </w:tc>
        <w:tc>
          <w:tcPr>
            <w:tcW w:w="1275" w:type="dxa"/>
            <w:vAlign w:val="center"/>
          </w:tcPr>
          <w:p w14:paraId="03C47B1F"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31631E">
              <w:rPr>
                <w:color w:val="000000"/>
                <w:szCs w:val="24"/>
              </w:rPr>
              <w:t>1,4</w:t>
            </w:r>
          </w:p>
        </w:tc>
      </w:tr>
      <w:tr w:rsidR="0031631E" w:rsidRPr="006C783C" w14:paraId="6A202206" w14:textId="77777777" w:rsidTr="00C22F2C">
        <w:trPr>
          <w:trHeight w:val="25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4D8E0457" w14:textId="77777777" w:rsidR="0031631E" w:rsidRPr="006C783C" w:rsidRDefault="0031631E" w:rsidP="0031631E">
            <w:pPr>
              <w:spacing w:after="0"/>
              <w:ind w:firstLine="0"/>
              <w:jc w:val="left"/>
              <w:rPr>
                <w:color w:val="auto"/>
                <w:szCs w:val="24"/>
              </w:rPr>
            </w:pPr>
            <w:r w:rsidRPr="006C783C">
              <w:rPr>
                <w:color w:val="auto"/>
                <w:szCs w:val="24"/>
              </w:rPr>
              <w:t>9. Izglītība</w:t>
            </w:r>
          </w:p>
        </w:tc>
        <w:tc>
          <w:tcPr>
            <w:tcW w:w="1149" w:type="dxa"/>
            <w:vAlign w:val="center"/>
            <w:hideMark/>
          </w:tcPr>
          <w:p w14:paraId="5C4951F9" w14:textId="77777777" w:rsidR="0031631E" w:rsidRPr="006C783C"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9</w:t>
            </w:r>
          </w:p>
        </w:tc>
        <w:tc>
          <w:tcPr>
            <w:tcW w:w="1256" w:type="dxa"/>
            <w:vAlign w:val="center"/>
          </w:tcPr>
          <w:p w14:paraId="03DAAB88"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5,6</w:t>
            </w:r>
          </w:p>
        </w:tc>
        <w:tc>
          <w:tcPr>
            <w:tcW w:w="1275" w:type="dxa"/>
            <w:vAlign w:val="center"/>
          </w:tcPr>
          <w:p w14:paraId="76F32D5C"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5,5</w:t>
            </w:r>
          </w:p>
        </w:tc>
      </w:tr>
      <w:tr w:rsidR="0031631E" w:rsidRPr="006C783C" w14:paraId="7F451706" w14:textId="77777777" w:rsidTr="00C22F2C">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6DC626E7" w14:textId="77777777" w:rsidR="0031631E" w:rsidRPr="006C783C" w:rsidRDefault="0031631E" w:rsidP="0031631E">
            <w:pPr>
              <w:spacing w:after="0"/>
              <w:ind w:firstLine="0"/>
              <w:jc w:val="left"/>
              <w:rPr>
                <w:color w:val="auto"/>
                <w:szCs w:val="24"/>
              </w:rPr>
            </w:pPr>
            <w:r w:rsidRPr="006C783C">
              <w:rPr>
                <w:color w:val="auto"/>
                <w:szCs w:val="24"/>
              </w:rPr>
              <w:t>10. Sociālā aizsardzība</w:t>
            </w:r>
          </w:p>
        </w:tc>
        <w:tc>
          <w:tcPr>
            <w:tcW w:w="1149" w:type="dxa"/>
            <w:vAlign w:val="center"/>
            <w:hideMark/>
          </w:tcPr>
          <w:p w14:paraId="65CF6D3E" w14:textId="77777777" w:rsidR="0031631E" w:rsidRPr="006C783C"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10</w:t>
            </w:r>
          </w:p>
        </w:tc>
        <w:tc>
          <w:tcPr>
            <w:tcW w:w="1256" w:type="dxa"/>
            <w:vAlign w:val="center"/>
          </w:tcPr>
          <w:p w14:paraId="619ED124"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31631E">
              <w:rPr>
                <w:color w:val="000000"/>
                <w:szCs w:val="24"/>
              </w:rPr>
              <w:t>11,6</w:t>
            </w:r>
          </w:p>
        </w:tc>
        <w:tc>
          <w:tcPr>
            <w:tcW w:w="1275" w:type="dxa"/>
            <w:vAlign w:val="center"/>
          </w:tcPr>
          <w:p w14:paraId="24CA4851"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31631E">
              <w:rPr>
                <w:color w:val="000000"/>
                <w:szCs w:val="24"/>
              </w:rPr>
              <w:t>11,8</w:t>
            </w:r>
          </w:p>
        </w:tc>
      </w:tr>
      <w:tr w:rsidR="0031631E" w:rsidRPr="006C783C" w14:paraId="540FBCBC" w14:textId="77777777" w:rsidTr="00C22F2C">
        <w:trPr>
          <w:trHeight w:val="207"/>
          <w:jc w:val="center"/>
        </w:trPr>
        <w:tc>
          <w:tcPr>
            <w:cnfStyle w:val="001000000000" w:firstRow="0" w:lastRow="0" w:firstColumn="1" w:lastColumn="0" w:oddVBand="0" w:evenVBand="0" w:oddHBand="0" w:evenHBand="0" w:firstRowFirstColumn="0" w:firstRowLastColumn="0" w:lastRowFirstColumn="0" w:lastRowLastColumn="0"/>
            <w:tcW w:w="4253" w:type="dxa"/>
            <w:hideMark/>
          </w:tcPr>
          <w:p w14:paraId="18914BF3" w14:textId="77777777" w:rsidR="0031631E" w:rsidRPr="006C783C" w:rsidRDefault="0031631E" w:rsidP="0031631E">
            <w:pPr>
              <w:spacing w:after="0"/>
              <w:ind w:firstLine="0"/>
              <w:jc w:val="left"/>
              <w:rPr>
                <w:color w:val="auto"/>
                <w:szCs w:val="24"/>
              </w:rPr>
            </w:pPr>
            <w:r w:rsidRPr="006C783C">
              <w:rPr>
                <w:color w:val="auto"/>
                <w:szCs w:val="24"/>
              </w:rPr>
              <w:t>11. Kopējie izdevumi</w:t>
            </w:r>
          </w:p>
        </w:tc>
        <w:tc>
          <w:tcPr>
            <w:tcW w:w="1149" w:type="dxa"/>
            <w:vAlign w:val="center"/>
            <w:hideMark/>
          </w:tcPr>
          <w:p w14:paraId="191B6C0B" w14:textId="77777777" w:rsidR="0031631E" w:rsidRPr="006C783C"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TE</w:t>
            </w:r>
          </w:p>
        </w:tc>
        <w:tc>
          <w:tcPr>
            <w:tcW w:w="1256" w:type="dxa"/>
            <w:vAlign w:val="center"/>
          </w:tcPr>
          <w:p w14:paraId="4C0C8F67"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38,0</w:t>
            </w:r>
          </w:p>
        </w:tc>
        <w:tc>
          <w:tcPr>
            <w:tcW w:w="1275" w:type="dxa"/>
            <w:vAlign w:val="center"/>
          </w:tcPr>
          <w:p w14:paraId="18E63F1B"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31631E">
              <w:rPr>
                <w:color w:val="000000"/>
                <w:szCs w:val="24"/>
              </w:rPr>
              <w:t>36,9</w:t>
            </w:r>
          </w:p>
        </w:tc>
      </w:tr>
    </w:tbl>
    <w:p w14:paraId="7AC84E89" w14:textId="77777777" w:rsidR="005119CA" w:rsidRDefault="005119CA" w:rsidP="00BF53B7">
      <w:pPr>
        <w:pStyle w:val="Heading1"/>
        <w:tabs>
          <w:tab w:val="left" w:pos="0"/>
        </w:tabs>
        <w:spacing w:before="0" w:after="240"/>
        <w:ind w:firstLine="0"/>
        <w:rPr>
          <w:rFonts w:ascii="Times New Roman" w:hAnsi="Times New Roman"/>
          <w:color w:val="18185F"/>
          <w:sz w:val="24"/>
        </w:rPr>
      </w:pPr>
      <w:bookmarkStart w:id="19" w:name="_Toc400715669"/>
    </w:p>
    <w:p w14:paraId="7179E097" w14:textId="77777777" w:rsidR="00646008" w:rsidRDefault="00646008" w:rsidP="00646008">
      <w:pPr>
        <w:rPr>
          <w:lang w:val="x-none" w:eastAsia="x-none"/>
        </w:rPr>
      </w:pPr>
    </w:p>
    <w:p w14:paraId="6BAA06C0" w14:textId="77777777" w:rsidR="00646008" w:rsidRPr="00646008" w:rsidRDefault="00646008" w:rsidP="00646008">
      <w:pPr>
        <w:rPr>
          <w:lang w:val="x-none" w:eastAsia="x-none"/>
        </w:rPr>
        <w:sectPr w:rsidR="00646008" w:rsidRPr="00646008" w:rsidSect="008A4D03">
          <w:headerReference w:type="first" r:id="rId52"/>
          <w:pgSz w:w="11906" w:h="16838"/>
          <w:pgMar w:top="1418" w:right="1134" w:bottom="709" w:left="1701" w:header="1077" w:footer="624" w:gutter="0"/>
          <w:cols w:space="708"/>
          <w:docGrid w:linePitch="360"/>
        </w:sectPr>
      </w:pPr>
    </w:p>
    <w:p w14:paraId="74D1E45D" w14:textId="77777777" w:rsidR="00646008" w:rsidRPr="00685A33" w:rsidRDefault="00646008" w:rsidP="00646008">
      <w:pPr>
        <w:pStyle w:val="Heading1"/>
        <w:tabs>
          <w:tab w:val="left" w:pos="1276"/>
        </w:tabs>
        <w:spacing w:before="0" w:after="240"/>
        <w:ind w:left="1276" w:hanging="1276"/>
        <w:jc w:val="left"/>
        <w:rPr>
          <w:rFonts w:ascii="Times New Roman" w:hAnsi="Times New Roman"/>
          <w:color w:val="18185F"/>
          <w:sz w:val="24"/>
        </w:rPr>
      </w:pPr>
      <w:bookmarkStart w:id="20" w:name="_Toc494786352"/>
      <w:bookmarkStart w:id="21" w:name="_Toc1374670"/>
      <w:r w:rsidRPr="00685A33">
        <w:rPr>
          <w:rFonts w:ascii="Times New Roman" w:hAnsi="Times New Roman"/>
          <w:color w:val="18185F"/>
          <w:sz w:val="24"/>
        </w:rPr>
        <w:lastRenderedPageBreak/>
        <w:t>Tabula 5</w:t>
      </w:r>
      <w:r w:rsidRPr="00685A33">
        <w:rPr>
          <w:rFonts w:ascii="Times New Roman" w:hAnsi="Times New Roman"/>
          <w:color w:val="18185F"/>
          <w:sz w:val="24"/>
          <w:lang w:val="lv-LV"/>
        </w:rPr>
        <w:t>:</w:t>
      </w:r>
      <w:r>
        <w:rPr>
          <w:rFonts w:ascii="Times New Roman" w:hAnsi="Times New Roman"/>
          <w:color w:val="18185F"/>
          <w:sz w:val="24"/>
        </w:rPr>
        <w:t xml:space="preserve"> </w:t>
      </w:r>
      <w:r w:rsidRPr="00685A33">
        <w:rPr>
          <w:rFonts w:ascii="Times New Roman" w:hAnsi="Times New Roman"/>
          <w:color w:val="18185F"/>
          <w:sz w:val="24"/>
        </w:rPr>
        <w:t>Diskrecionāro pasākumu apraksts, kas iekļauti budžeta projektā</w:t>
      </w:r>
      <w:bookmarkEnd w:id="20"/>
      <w:bookmarkEnd w:id="21"/>
    </w:p>
    <w:p w14:paraId="3332C44A" w14:textId="77777777" w:rsidR="00646008" w:rsidRDefault="00F900B2" w:rsidP="00646008">
      <w:pPr>
        <w:pStyle w:val="Heading1"/>
        <w:tabs>
          <w:tab w:val="left" w:pos="1276"/>
        </w:tabs>
        <w:spacing w:before="0" w:after="240"/>
        <w:ind w:left="1276" w:hanging="1276"/>
        <w:jc w:val="left"/>
        <w:rPr>
          <w:rFonts w:ascii="Times New Roman" w:hAnsi="Times New Roman"/>
          <w:color w:val="18185F"/>
          <w:sz w:val="24"/>
          <w:lang w:val="lv-LV"/>
        </w:rPr>
      </w:pPr>
      <w:bookmarkStart w:id="22" w:name="_Toc430608615"/>
      <w:bookmarkStart w:id="23" w:name="_Toc494786353"/>
      <w:bookmarkStart w:id="24" w:name="_Toc1374671"/>
      <w:r>
        <w:rPr>
          <w:rFonts w:ascii="Times New Roman" w:hAnsi="Times New Roman"/>
          <w:color w:val="18185F"/>
          <w:sz w:val="24"/>
          <w:lang w:val="lv-LV"/>
        </w:rPr>
        <w:t>Tabula</w:t>
      </w:r>
      <w:r w:rsidRPr="00685A33">
        <w:rPr>
          <w:rFonts w:ascii="Times New Roman" w:hAnsi="Times New Roman"/>
          <w:color w:val="18185F"/>
          <w:sz w:val="24"/>
        </w:rPr>
        <w:t xml:space="preserve"> </w:t>
      </w:r>
      <w:r w:rsidR="00646008" w:rsidRPr="00685A33">
        <w:rPr>
          <w:rFonts w:ascii="Times New Roman" w:hAnsi="Times New Roman"/>
          <w:color w:val="18185F"/>
          <w:sz w:val="24"/>
        </w:rPr>
        <w:t>5.a</w:t>
      </w:r>
      <w:r w:rsidR="005B2F54">
        <w:rPr>
          <w:rFonts w:ascii="Times New Roman" w:hAnsi="Times New Roman"/>
          <w:color w:val="18185F"/>
          <w:sz w:val="24"/>
          <w:lang w:val="lv-LV"/>
        </w:rPr>
        <w:t>.i)</w:t>
      </w:r>
      <w:r w:rsidR="00006BD6">
        <w:rPr>
          <w:rFonts w:ascii="Times New Roman" w:hAnsi="Times New Roman"/>
          <w:color w:val="18185F"/>
          <w:sz w:val="24"/>
          <w:lang w:val="lv-LV"/>
        </w:rPr>
        <w:t>:</w:t>
      </w:r>
      <w:r w:rsidR="00646008" w:rsidRPr="00685A33">
        <w:rPr>
          <w:rFonts w:ascii="Times New Roman" w:hAnsi="Times New Roman"/>
          <w:color w:val="18185F"/>
          <w:sz w:val="24"/>
        </w:rPr>
        <w:t xml:space="preserve"> Diskrecionārie </w:t>
      </w:r>
      <w:r w:rsidR="00646008" w:rsidRPr="00685A33">
        <w:rPr>
          <w:rFonts w:ascii="Times New Roman" w:hAnsi="Times New Roman"/>
          <w:color w:val="18185F"/>
          <w:sz w:val="24"/>
          <w:lang w:val="lv-LV"/>
        </w:rPr>
        <w:t xml:space="preserve">ieņēmumu </w:t>
      </w:r>
      <w:r w:rsidR="00646008" w:rsidRPr="00685A33">
        <w:rPr>
          <w:rFonts w:ascii="Times New Roman" w:hAnsi="Times New Roman"/>
          <w:color w:val="18185F"/>
          <w:sz w:val="24"/>
        </w:rPr>
        <w:t>pasākumi visp</w:t>
      </w:r>
      <w:r w:rsidR="00646008" w:rsidRPr="00685A33">
        <w:rPr>
          <w:rFonts w:ascii="Times New Roman" w:hAnsi="Times New Roman"/>
          <w:color w:val="18185F"/>
          <w:sz w:val="24"/>
          <w:lang w:val="lv-LV"/>
        </w:rPr>
        <w:t>ārējās valdības budžetā</w:t>
      </w:r>
      <w:bookmarkEnd w:id="22"/>
      <w:bookmarkEnd w:id="23"/>
      <w:bookmarkEnd w:id="24"/>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115"/>
        <w:gridCol w:w="3115"/>
        <w:gridCol w:w="1413"/>
        <w:gridCol w:w="791"/>
        <w:gridCol w:w="1255"/>
        <w:gridCol w:w="1481"/>
        <w:gridCol w:w="730"/>
        <w:gridCol w:w="932"/>
        <w:gridCol w:w="932"/>
        <w:gridCol w:w="932"/>
      </w:tblGrid>
      <w:tr w:rsidR="00646008" w:rsidRPr="00646008" w14:paraId="38B156E9" w14:textId="77777777" w:rsidTr="009029CB">
        <w:trPr>
          <w:trHeight w:val="227"/>
        </w:trPr>
        <w:tc>
          <w:tcPr>
            <w:tcW w:w="3115" w:type="dxa"/>
            <w:vMerge w:val="restart"/>
            <w:shd w:val="clear" w:color="auto" w:fill="auto"/>
            <w:vAlign w:val="center"/>
            <w:hideMark/>
          </w:tcPr>
          <w:p w14:paraId="3DA11224" w14:textId="77777777" w:rsidR="00646008" w:rsidRPr="00646008" w:rsidRDefault="00646008" w:rsidP="00646008">
            <w:pPr>
              <w:spacing w:after="0"/>
              <w:ind w:firstLine="0"/>
              <w:jc w:val="center"/>
              <w:rPr>
                <w:b/>
                <w:bCs/>
                <w:color w:val="000000"/>
                <w:sz w:val="22"/>
                <w:szCs w:val="22"/>
                <w:lang w:eastAsia="lv-LV"/>
              </w:rPr>
            </w:pPr>
            <w:r w:rsidRPr="00646008">
              <w:rPr>
                <w:b/>
                <w:bCs/>
                <w:color w:val="000000"/>
                <w:sz w:val="22"/>
                <w:szCs w:val="22"/>
                <w:lang w:eastAsia="lv-LV"/>
              </w:rPr>
              <w:t>Pasākumu saraksts</w:t>
            </w:r>
          </w:p>
        </w:tc>
        <w:tc>
          <w:tcPr>
            <w:tcW w:w="3115" w:type="dxa"/>
            <w:vMerge w:val="restart"/>
            <w:shd w:val="clear" w:color="auto" w:fill="auto"/>
            <w:vAlign w:val="center"/>
            <w:hideMark/>
          </w:tcPr>
          <w:p w14:paraId="6741BEF3" w14:textId="77777777" w:rsidR="00646008" w:rsidRPr="00646008" w:rsidRDefault="00646008" w:rsidP="00646008">
            <w:pPr>
              <w:spacing w:after="0"/>
              <w:ind w:firstLine="0"/>
              <w:jc w:val="center"/>
              <w:rPr>
                <w:b/>
                <w:bCs/>
                <w:color w:val="000000"/>
                <w:sz w:val="22"/>
                <w:szCs w:val="22"/>
                <w:lang w:eastAsia="lv-LV"/>
              </w:rPr>
            </w:pPr>
            <w:r w:rsidRPr="00646008">
              <w:rPr>
                <w:b/>
                <w:bCs/>
                <w:color w:val="000000"/>
                <w:sz w:val="22"/>
                <w:szCs w:val="22"/>
                <w:lang w:eastAsia="lv-LV"/>
              </w:rPr>
              <w:t>Detalizēts apraksts*</w:t>
            </w:r>
          </w:p>
        </w:tc>
        <w:tc>
          <w:tcPr>
            <w:tcW w:w="1413" w:type="dxa"/>
            <w:vMerge w:val="restart"/>
            <w:shd w:val="clear" w:color="auto" w:fill="auto"/>
            <w:vAlign w:val="center"/>
            <w:hideMark/>
          </w:tcPr>
          <w:p w14:paraId="6047623E" w14:textId="77777777" w:rsidR="00646008" w:rsidRPr="00646008" w:rsidRDefault="00646008" w:rsidP="008C010D">
            <w:pPr>
              <w:spacing w:after="0"/>
              <w:ind w:firstLine="0"/>
              <w:jc w:val="center"/>
              <w:rPr>
                <w:b/>
                <w:bCs/>
                <w:color w:val="000000"/>
                <w:sz w:val="22"/>
                <w:szCs w:val="22"/>
                <w:lang w:eastAsia="lv-LV"/>
              </w:rPr>
            </w:pPr>
            <w:r w:rsidRPr="00646008">
              <w:rPr>
                <w:b/>
                <w:bCs/>
                <w:color w:val="000000"/>
                <w:sz w:val="22"/>
                <w:szCs w:val="22"/>
                <w:lang w:eastAsia="lv-LV"/>
              </w:rPr>
              <w:t>Nodokļu veids</w:t>
            </w:r>
          </w:p>
        </w:tc>
        <w:tc>
          <w:tcPr>
            <w:tcW w:w="791" w:type="dxa"/>
            <w:vMerge w:val="restart"/>
            <w:shd w:val="clear" w:color="auto" w:fill="auto"/>
            <w:vAlign w:val="center"/>
            <w:hideMark/>
          </w:tcPr>
          <w:p w14:paraId="2D90C8EE" w14:textId="77777777" w:rsidR="00646008" w:rsidRPr="00646008" w:rsidRDefault="00646008" w:rsidP="00646008">
            <w:pPr>
              <w:spacing w:after="0"/>
              <w:ind w:firstLine="0"/>
              <w:jc w:val="center"/>
              <w:rPr>
                <w:b/>
                <w:bCs/>
                <w:color w:val="000000"/>
                <w:sz w:val="22"/>
                <w:szCs w:val="22"/>
                <w:lang w:eastAsia="lv-LV"/>
              </w:rPr>
            </w:pPr>
            <w:r w:rsidRPr="00646008">
              <w:rPr>
                <w:b/>
                <w:bCs/>
                <w:color w:val="000000"/>
                <w:sz w:val="22"/>
                <w:szCs w:val="22"/>
                <w:lang w:eastAsia="lv-LV"/>
              </w:rPr>
              <w:t>ESA kods</w:t>
            </w:r>
          </w:p>
        </w:tc>
        <w:tc>
          <w:tcPr>
            <w:tcW w:w="1255" w:type="dxa"/>
            <w:vMerge w:val="restart"/>
            <w:shd w:val="clear" w:color="auto" w:fill="auto"/>
            <w:vAlign w:val="center"/>
            <w:hideMark/>
          </w:tcPr>
          <w:p w14:paraId="26791539" w14:textId="77777777" w:rsidR="00646008" w:rsidRPr="00646008" w:rsidRDefault="00646008" w:rsidP="00646008">
            <w:pPr>
              <w:spacing w:after="0"/>
              <w:ind w:firstLine="0"/>
              <w:jc w:val="center"/>
              <w:rPr>
                <w:b/>
                <w:bCs/>
                <w:color w:val="000000"/>
                <w:sz w:val="22"/>
                <w:szCs w:val="22"/>
                <w:lang w:eastAsia="lv-LV"/>
              </w:rPr>
            </w:pPr>
            <w:r w:rsidRPr="00646008">
              <w:rPr>
                <w:b/>
                <w:bCs/>
                <w:color w:val="000000"/>
                <w:sz w:val="22"/>
                <w:szCs w:val="22"/>
                <w:lang w:eastAsia="lv-LV"/>
              </w:rPr>
              <w:t>Uzskaites princips</w:t>
            </w:r>
          </w:p>
        </w:tc>
        <w:tc>
          <w:tcPr>
            <w:tcW w:w="1481" w:type="dxa"/>
            <w:vMerge w:val="restart"/>
            <w:shd w:val="clear" w:color="auto" w:fill="auto"/>
            <w:vAlign w:val="center"/>
            <w:hideMark/>
          </w:tcPr>
          <w:p w14:paraId="0E2FFF7B" w14:textId="77777777" w:rsidR="00646008" w:rsidRPr="00646008" w:rsidRDefault="00646008" w:rsidP="00646008">
            <w:pPr>
              <w:spacing w:after="0"/>
              <w:ind w:firstLine="0"/>
              <w:jc w:val="center"/>
              <w:rPr>
                <w:b/>
                <w:bCs/>
                <w:color w:val="000000"/>
                <w:sz w:val="22"/>
                <w:szCs w:val="22"/>
                <w:lang w:eastAsia="lv-LV"/>
              </w:rPr>
            </w:pPr>
            <w:r w:rsidRPr="00646008">
              <w:rPr>
                <w:b/>
                <w:bCs/>
                <w:color w:val="000000"/>
                <w:sz w:val="22"/>
                <w:szCs w:val="22"/>
                <w:lang w:eastAsia="lv-LV"/>
              </w:rPr>
              <w:t>Pieņemšanas statuss</w:t>
            </w:r>
          </w:p>
        </w:tc>
        <w:tc>
          <w:tcPr>
            <w:tcW w:w="730" w:type="dxa"/>
            <w:shd w:val="clear" w:color="auto" w:fill="auto"/>
            <w:noWrap/>
            <w:vAlign w:val="bottom"/>
            <w:hideMark/>
          </w:tcPr>
          <w:p w14:paraId="6268C801" w14:textId="77777777" w:rsidR="00646008" w:rsidRPr="00646008" w:rsidRDefault="00646008" w:rsidP="00646008">
            <w:pPr>
              <w:spacing w:after="0"/>
              <w:ind w:firstLine="0"/>
              <w:jc w:val="left"/>
              <w:rPr>
                <w:b/>
                <w:bCs/>
                <w:color w:val="000000"/>
                <w:sz w:val="22"/>
                <w:szCs w:val="22"/>
                <w:lang w:eastAsia="lv-LV"/>
              </w:rPr>
            </w:pPr>
            <w:r w:rsidRPr="00646008">
              <w:rPr>
                <w:b/>
                <w:bCs/>
                <w:color w:val="000000"/>
                <w:sz w:val="22"/>
                <w:szCs w:val="22"/>
                <w:lang w:eastAsia="lv-LV"/>
              </w:rPr>
              <w:t> </w:t>
            </w:r>
          </w:p>
        </w:tc>
        <w:tc>
          <w:tcPr>
            <w:tcW w:w="2796" w:type="dxa"/>
            <w:gridSpan w:val="3"/>
            <w:shd w:val="clear" w:color="auto" w:fill="auto"/>
            <w:noWrap/>
            <w:vAlign w:val="bottom"/>
            <w:hideMark/>
          </w:tcPr>
          <w:p w14:paraId="68CDC2A6" w14:textId="77777777" w:rsidR="00646008" w:rsidRPr="00646008" w:rsidRDefault="00646008" w:rsidP="00646008">
            <w:pPr>
              <w:spacing w:after="0"/>
              <w:ind w:firstLine="0"/>
              <w:jc w:val="center"/>
              <w:rPr>
                <w:b/>
                <w:bCs/>
                <w:color w:val="000000"/>
                <w:sz w:val="22"/>
                <w:szCs w:val="22"/>
                <w:lang w:eastAsia="lv-LV"/>
              </w:rPr>
            </w:pPr>
            <w:r w:rsidRPr="00646008">
              <w:rPr>
                <w:b/>
                <w:bCs/>
                <w:color w:val="000000"/>
                <w:sz w:val="22"/>
                <w:szCs w:val="22"/>
                <w:lang w:eastAsia="lv-LV"/>
              </w:rPr>
              <w:t>Ietekme uz budžetu</w:t>
            </w:r>
          </w:p>
        </w:tc>
      </w:tr>
      <w:tr w:rsidR="00646008" w:rsidRPr="00646008" w14:paraId="16052EEA" w14:textId="77777777" w:rsidTr="009029CB">
        <w:trPr>
          <w:trHeight w:val="227"/>
        </w:trPr>
        <w:tc>
          <w:tcPr>
            <w:tcW w:w="3115" w:type="dxa"/>
            <w:vMerge/>
            <w:vAlign w:val="center"/>
            <w:hideMark/>
          </w:tcPr>
          <w:p w14:paraId="0660051C" w14:textId="77777777" w:rsidR="00646008" w:rsidRPr="00646008" w:rsidRDefault="00646008" w:rsidP="00646008">
            <w:pPr>
              <w:spacing w:after="0"/>
              <w:ind w:firstLine="0"/>
              <w:jc w:val="left"/>
              <w:rPr>
                <w:b/>
                <w:bCs/>
                <w:color w:val="000000"/>
                <w:sz w:val="22"/>
                <w:szCs w:val="22"/>
                <w:lang w:eastAsia="lv-LV"/>
              </w:rPr>
            </w:pPr>
          </w:p>
        </w:tc>
        <w:tc>
          <w:tcPr>
            <w:tcW w:w="3115" w:type="dxa"/>
            <w:vMerge/>
            <w:vAlign w:val="center"/>
            <w:hideMark/>
          </w:tcPr>
          <w:p w14:paraId="2CB0BC32" w14:textId="77777777" w:rsidR="00646008" w:rsidRPr="00646008" w:rsidRDefault="00646008" w:rsidP="00646008">
            <w:pPr>
              <w:spacing w:after="0"/>
              <w:ind w:firstLine="0"/>
              <w:jc w:val="left"/>
              <w:rPr>
                <w:b/>
                <w:bCs/>
                <w:color w:val="000000"/>
                <w:sz w:val="22"/>
                <w:szCs w:val="22"/>
                <w:lang w:eastAsia="lv-LV"/>
              </w:rPr>
            </w:pPr>
          </w:p>
        </w:tc>
        <w:tc>
          <w:tcPr>
            <w:tcW w:w="1413" w:type="dxa"/>
            <w:vMerge/>
            <w:vAlign w:val="center"/>
            <w:hideMark/>
          </w:tcPr>
          <w:p w14:paraId="13308669" w14:textId="77777777" w:rsidR="00646008" w:rsidRPr="00646008" w:rsidRDefault="00646008" w:rsidP="008C010D">
            <w:pPr>
              <w:spacing w:after="0"/>
              <w:ind w:firstLine="0"/>
              <w:jc w:val="center"/>
              <w:rPr>
                <w:b/>
                <w:bCs/>
                <w:color w:val="000000"/>
                <w:sz w:val="22"/>
                <w:szCs w:val="22"/>
                <w:lang w:eastAsia="lv-LV"/>
              </w:rPr>
            </w:pPr>
          </w:p>
        </w:tc>
        <w:tc>
          <w:tcPr>
            <w:tcW w:w="791" w:type="dxa"/>
            <w:vMerge/>
            <w:vAlign w:val="center"/>
            <w:hideMark/>
          </w:tcPr>
          <w:p w14:paraId="47A11F1E" w14:textId="77777777" w:rsidR="00646008" w:rsidRPr="00646008" w:rsidRDefault="00646008" w:rsidP="00646008">
            <w:pPr>
              <w:spacing w:after="0"/>
              <w:ind w:firstLine="0"/>
              <w:jc w:val="left"/>
              <w:rPr>
                <w:b/>
                <w:bCs/>
                <w:color w:val="000000"/>
                <w:sz w:val="22"/>
                <w:szCs w:val="22"/>
                <w:lang w:eastAsia="lv-LV"/>
              </w:rPr>
            </w:pPr>
          </w:p>
        </w:tc>
        <w:tc>
          <w:tcPr>
            <w:tcW w:w="1255" w:type="dxa"/>
            <w:vMerge/>
            <w:vAlign w:val="center"/>
            <w:hideMark/>
          </w:tcPr>
          <w:p w14:paraId="0B33ABDA" w14:textId="77777777" w:rsidR="00646008" w:rsidRPr="00646008" w:rsidRDefault="00646008" w:rsidP="00646008">
            <w:pPr>
              <w:spacing w:after="0"/>
              <w:ind w:firstLine="0"/>
              <w:jc w:val="left"/>
              <w:rPr>
                <w:b/>
                <w:bCs/>
                <w:color w:val="000000"/>
                <w:sz w:val="22"/>
                <w:szCs w:val="22"/>
                <w:lang w:eastAsia="lv-LV"/>
              </w:rPr>
            </w:pPr>
          </w:p>
        </w:tc>
        <w:tc>
          <w:tcPr>
            <w:tcW w:w="1481" w:type="dxa"/>
            <w:vMerge/>
            <w:vAlign w:val="center"/>
            <w:hideMark/>
          </w:tcPr>
          <w:p w14:paraId="58547787" w14:textId="77777777" w:rsidR="00646008" w:rsidRPr="00646008" w:rsidRDefault="00646008" w:rsidP="00646008">
            <w:pPr>
              <w:spacing w:after="0"/>
              <w:ind w:firstLine="0"/>
              <w:jc w:val="left"/>
              <w:rPr>
                <w:b/>
                <w:bCs/>
                <w:color w:val="000000"/>
                <w:sz w:val="22"/>
                <w:szCs w:val="22"/>
                <w:lang w:eastAsia="lv-LV"/>
              </w:rPr>
            </w:pPr>
          </w:p>
        </w:tc>
        <w:tc>
          <w:tcPr>
            <w:tcW w:w="730" w:type="dxa"/>
            <w:vMerge w:val="restart"/>
            <w:shd w:val="clear" w:color="auto" w:fill="auto"/>
            <w:noWrap/>
            <w:vAlign w:val="bottom"/>
            <w:hideMark/>
          </w:tcPr>
          <w:p w14:paraId="3B7A4BC3" w14:textId="77777777" w:rsidR="00646008" w:rsidRPr="00646008" w:rsidRDefault="00646008" w:rsidP="00646008">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auto"/>
            <w:vAlign w:val="center"/>
            <w:hideMark/>
          </w:tcPr>
          <w:p w14:paraId="5DB949E3" w14:textId="77777777" w:rsidR="00646008" w:rsidRPr="00646008" w:rsidRDefault="009029CB" w:rsidP="00646008">
            <w:pPr>
              <w:spacing w:after="0"/>
              <w:ind w:firstLine="0"/>
              <w:jc w:val="center"/>
              <w:rPr>
                <w:b/>
                <w:bCs/>
                <w:color w:val="000000"/>
                <w:sz w:val="22"/>
                <w:szCs w:val="22"/>
                <w:lang w:eastAsia="lv-LV"/>
              </w:rPr>
            </w:pPr>
            <w:r>
              <w:rPr>
                <w:b/>
                <w:bCs/>
                <w:color w:val="000000"/>
                <w:sz w:val="22"/>
                <w:szCs w:val="22"/>
                <w:lang w:eastAsia="lv-LV"/>
              </w:rPr>
              <w:t>2019</w:t>
            </w:r>
          </w:p>
        </w:tc>
        <w:tc>
          <w:tcPr>
            <w:tcW w:w="932" w:type="dxa"/>
            <w:shd w:val="clear" w:color="auto" w:fill="auto"/>
            <w:vAlign w:val="center"/>
            <w:hideMark/>
          </w:tcPr>
          <w:p w14:paraId="28545F56" w14:textId="77777777" w:rsidR="00646008" w:rsidRPr="00646008" w:rsidRDefault="009029CB" w:rsidP="00646008">
            <w:pPr>
              <w:spacing w:after="0"/>
              <w:ind w:firstLine="0"/>
              <w:jc w:val="center"/>
              <w:rPr>
                <w:b/>
                <w:bCs/>
                <w:color w:val="000000"/>
                <w:sz w:val="22"/>
                <w:szCs w:val="22"/>
                <w:lang w:eastAsia="lv-LV"/>
              </w:rPr>
            </w:pPr>
            <w:r>
              <w:rPr>
                <w:b/>
                <w:bCs/>
                <w:color w:val="000000"/>
                <w:sz w:val="22"/>
                <w:szCs w:val="22"/>
                <w:lang w:eastAsia="lv-LV"/>
              </w:rPr>
              <w:t>2020</w:t>
            </w:r>
          </w:p>
        </w:tc>
        <w:tc>
          <w:tcPr>
            <w:tcW w:w="932" w:type="dxa"/>
            <w:shd w:val="clear" w:color="auto" w:fill="auto"/>
            <w:vAlign w:val="center"/>
            <w:hideMark/>
          </w:tcPr>
          <w:p w14:paraId="47DA1FDD" w14:textId="77777777" w:rsidR="00646008" w:rsidRPr="00646008" w:rsidRDefault="009029CB" w:rsidP="00646008">
            <w:pPr>
              <w:spacing w:after="0"/>
              <w:ind w:firstLine="0"/>
              <w:jc w:val="center"/>
              <w:rPr>
                <w:b/>
                <w:bCs/>
                <w:color w:val="000000"/>
                <w:sz w:val="22"/>
                <w:szCs w:val="22"/>
                <w:lang w:eastAsia="lv-LV"/>
              </w:rPr>
            </w:pPr>
            <w:r>
              <w:rPr>
                <w:b/>
                <w:bCs/>
                <w:color w:val="000000"/>
                <w:sz w:val="22"/>
                <w:szCs w:val="22"/>
                <w:lang w:eastAsia="lv-LV"/>
              </w:rPr>
              <w:t>2021</w:t>
            </w:r>
          </w:p>
        </w:tc>
      </w:tr>
      <w:tr w:rsidR="00646008" w:rsidRPr="00646008" w14:paraId="34092F68" w14:textId="77777777" w:rsidTr="009029CB">
        <w:trPr>
          <w:trHeight w:val="227"/>
        </w:trPr>
        <w:tc>
          <w:tcPr>
            <w:tcW w:w="3115" w:type="dxa"/>
            <w:vMerge/>
            <w:vAlign w:val="center"/>
            <w:hideMark/>
          </w:tcPr>
          <w:p w14:paraId="5FE58160" w14:textId="77777777" w:rsidR="00646008" w:rsidRPr="00646008" w:rsidRDefault="00646008" w:rsidP="00646008">
            <w:pPr>
              <w:spacing w:after="0"/>
              <w:ind w:firstLine="0"/>
              <w:jc w:val="left"/>
              <w:rPr>
                <w:b/>
                <w:bCs/>
                <w:color w:val="000000"/>
                <w:sz w:val="22"/>
                <w:szCs w:val="22"/>
                <w:lang w:eastAsia="lv-LV"/>
              </w:rPr>
            </w:pPr>
          </w:p>
        </w:tc>
        <w:tc>
          <w:tcPr>
            <w:tcW w:w="3115" w:type="dxa"/>
            <w:vMerge/>
            <w:vAlign w:val="center"/>
            <w:hideMark/>
          </w:tcPr>
          <w:p w14:paraId="02A12CD3" w14:textId="77777777" w:rsidR="00646008" w:rsidRPr="00646008" w:rsidRDefault="00646008" w:rsidP="00646008">
            <w:pPr>
              <w:spacing w:after="0"/>
              <w:ind w:firstLine="0"/>
              <w:jc w:val="left"/>
              <w:rPr>
                <w:b/>
                <w:bCs/>
                <w:color w:val="000000"/>
                <w:sz w:val="22"/>
                <w:szCs w:val="22"/>
                <w:lang w:eastAsia="lv-LV"/>
              </w:rPr>
            </w:pPr>
          </w:p>
        </w:tc>
        <w:tc>
          <w:tcPr>
            <w:tcW w:w="1413" w:type="dxa"/>
            <w:vMerge/>
            <w:vAlign w:val="center"/>
            <w:hideMark/>
          </w:tcPr>
          <w:p w14:paraId="7C41522C" w14:textId="77777777" w:rsidR="00646008" w:rsidRPr="00646008" w:rsidRDefault="00646008" w:rsidP="008C010D">
            <w:pPr>
              <w:spacing w:after="0"/>
              <w:ind w:firstLine="0"/>
              <w:jc w:val="center"/>
              <w:rPr>
                <w:b/>
                <w:bCs/>
                <w:color w:val="000000"/>
                <w:sz w:val="22"/>
                <w:szCs w:val="22"/>
                <w:lang w:eastAsia="lv-LV"/>
              </w:rPr>
            </w:pPr>
          </w:p>
        </w:tc>
        <w:tc>
          <w:tcPr>
            <w:tcW w:w="791" w:type="dxa"/>
            <w:vMerge/>
            <w:vAlign w:val="center"/>
            <w:hideMark/>
          </w:tcPr>
          <w:p w14:paraId="70FA52AD" w14:textId="77777777" w:rsidR="00646008" w:rsidRPr="00646008" w:rsidRDefault="00646008" w:rsidP="00646008">
            <w:pPr>
              <w:spacing w:after="0"/>
              <w:ind w:firstLine="0"/>
              <w:jc w:val="left"/>
              <w:rPr>
                <w:b/>
                <w:bCs/>
                <w:color w:val="000000"/>
                <w:sz w:val="22"/>
                <w:szCs w:val="22"/>
                <w:lang w:eastAsia="lv-LV"/>
              </w:rPr>
            </w:pPr>
          </w:p>
        </w:tc>
        <w:tc>
          <w:tcPr>
            <w:tcW w:w="1255" w:type="dxa"/>
            <w:vMerge/>
            <w:vAlign w:val="center"/>
            <w:hideMark/>
          </w:tcPr>
          <w:p w14:paraId="4E42AEF5" w14:textId="77777777" w:rsidR="00646008" w:rsidRPr="00646008" w:rsidRDefault="00646008" w:rsidP="00646008">
            <w:pPr>
              <w:spacing w:after="0"/>
              <w:ind w:firstLine="0"/>
              <w:jc w:val="left"/>
              <w:rPr>
                <w:b/>
                <w:bCs/>
                <w:color w:val="000000"/>
                <w:sz w:val="22"/>
                <w:szCs w:val="22"/>
                <w:lang w:eastAsia="lv-LV"/>
              </w:rPr>
            </w:pPr>
          </w:p>
        </w:tc>
        <w:tc>
          <w:tcPr>
            <w:tcW w:w="1481" w:type="dxa"/>
            <w:vMerge/>
            <w:vAlign w:val="center"/>
            <w:hideMark/>
          </w:tcPr>
          <w:p w14:paraId="6F3ECD6F" w14:textId="77777777" w:rsidR="00646008" w:rsidRPr="00646008" w:rsidRDefault="00646008" w:rsidP="00646008">
            <w:pPr>
              <w:spacing w:after="0"/>
              <w:ind w:firstLine="0"/>
              <w:jc w:val="left"/>
              <w:rPr>
                <w:b/>
                <w:bCs/>
                <w:color w:val="000000"/>
                <w:sz w:val="22"/>
                <w:szCs w:val="22"/>
                <w:lang w:eastAsia="lv-LV"/>
              </w:rPr>
            </w:pPr>
          </w:p>
        </w:tc>
        <w:tc>
          <w:tcPr>
            <w:tcW w:w="730" w:type="dxa"/>
            <w:vMerge/>
            <w:vAlign w:val="center"/>
            <w:hideMark/>
          </w:tcPr>
          <w:p w14:paraId="575C12C2" w14:textId="77777777" w:rsidR="00646008" w:rsidRPr="00646008" w:rsidRDefault="00646008" w:rsidP="00646008">
            <w:pPr>
              <w:spacing w:after="0"/>
              <w:ind w:firstLine="0"/>
              <w:jc w:val="left"/>
              <w:rPr>
                <w:b/>
                <w:bCs/>
                <w:color w:val="000000"/>
                <w:sz w:val="22"/>
                <w:szCs w:val="22"/>
                <w:lang w:eastAsia="lv-LV"/>
              </w:rPr>
            </w:pPr>
          </w:p>
        </w:tc>
        <w:tc>
          <w:tcPr>
            <w:tcW w:w="2796" w:type="dxa"/>
            <w:gridSpan w:val="3"/>
            <w:shd w:val="clear" w:color="auto" w:fill="auto"/>
            <w:vAlign w:val="center"/>
            <w:hideMark/>
          </w:tcPr>
          <w:p w14:paraId="02488B00" w14:textId="77777777" w:rsidR="00646008" w:rsidRPr="00646008" w:rsidRDefault="00646008" w:rsidP="00646008">
            <w:pPr>
              <w:spacing w:after="0"/>
              <w:ind w:firstLine="0"/>
              <w:jc w:val="center"/>
              <w:rPr>
                <w:b/>
                <w:bCs/>
                <w:color w:val="000000"/>
                <w:sz w:val="22"/>
                <w:szCs w:val="22"/>
                <w:lang w:eastAsia="lv-LV"/>
              </w:rPr>
            </w:pPr>
            <w:r w:rsidRPr="00646008">
              <w:rPr>
                <w:b/>
                <w:bCs/>
                <w:color w:val="000000"/>
                <w:sz w:val="22"/>
                <w:szCs w:val="22"/>
                <w:lang w:eastAsia="lv-LV"/>
              </w:rPr>
              <w:t>% IKP</w:t>
            </w:r>
          </w:p>
        </w:tc>
      </w:tr>
      <w:tr w:rsidR="005D6F59" w:rsidRPr="00646008" w14:paraId="7CF8343D" w14:textId="77777777" w:rsidTr="009029CB">
        <w:trPr>
          <w:trHeight w:val="227"/>
        </w:trPr>
        <w:tc>
          <w:tcPr>
            <w:tcW w:w="3115" w:type="dxa"/>
            <w:vMerge w:val="restart"/>
            <w:shd w:val="clear" w:color="auto" w:fill="DBE5F1" w:themeFill="accent1" w:themeFillTint="33"/>
            <w:vAlign w:val="center"/>
            <w:hideMark/>
          </w:tcPr>
          <w:p w14:paraId="5F6C694C"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 xml:space="preserve">Ēnu ekonomikas mazinošie pasākumi </w:t>
            </w:r>
            <w:r>
              <w:rPr>
                <w:color w:val="000000" w:themeColor="text1"/>
                <w:sz w:val="22"/>
                <w:szCs w:val="22"/>
              </w:rPr>
              <w:t>–</w:t>
            </w:r>
            <w:r w:rsidRPr="00646008">
              <w:rPr>
                <w:color w:val="000000"/>
                <w:sz w:val="22"/>
                <w:szCs w:val="22"/>
                <w:lang w:eastAsia="lv-LV"/>
              </w:rPr>
              <w:t xml:space="preserve"> Nelicencētā azartspēļu un izložu tirgus samazināšana</w:t>
            </w:r>
          </w:p>
        </w:tc>
        <w:tc>
          <w:tcPr>
            <w:tcW w:w="3115" w:type="dxa"/>
            <w:vMerge w:val="restart"/>
            <w:shd w:val="clear" w:color="auto" w:fill="DBE5F1" w:themeFill="accent1" w:themeFillTint="33"/>
            <w:vAlign w:val="center"/>
            <w:hideMark/>
          </w:tcPr>
          <w:p w14:paraId="5D106226"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 xml:space="preserve">Ēnu ekonomikas mazinošie pasākumi </w:t>
            </w:r>
            <w:r>
              <w:rPr>
                <w:color w:val="000000" w:themeColor="text1"/>
                <w:sz w:val="22"/>
                <w:szCs w:val="22"/>
              </w:rPr>
              <w:t>–</w:t>
            </w:r>
            <w:r w:rsidRPr="00646008">
              <w:rPr>
                <w:color w:val="000000"/>
                <w:sz w:val="22"/>
                <w:szCs w:val="22"/>
                <w:lang w:eastAsia="lv-LV"/>
              </w:rPr>
              <w:t xml:space="preserve"> Nelicencētā azartspēļu un izložu tirgus samazināšana</w:t>
            </w:r>
          </w:p>
        </w:tc>
        <w:tc>
          <w:tcPr>
            <w:tcW w:w="1413" w:type="dxa"/>
            <w:shd w:val="clear" w:color="auto" w:fill="DBE5F1" w:themeFill="accent1" w:themeFillTint="33"/>
            <w:vAlign w:val="center"/>
            <w:hideMark/>
          </w:tcPr>
          <w:p w14:paraId="589227F7"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Azartspēļu nodoklis</w:t>
            </w:r>
          </w:p>
        </w:tc>
        <w:tc>
          <w:tcPr>
            <w:tcW w:w="791" w:type="dxa"/>
            <w:shd w:val="clear" w:color="auto" w:fill="DBE5F1" w:themeFill="accent1" w:themeFillTint="33"/>
            <w:vAlign w:val="center"/>
            <w:hideMark/>
          </w:tcPr>
          <w:p w14:paraId="7A14189A"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D.21</w:t>
            </w:r>
          </w:p>
        </w:tc>
        <w:tc>
          <w:tcPr>
            <w:tcW w:w="1255" w:type="dxa"/>
            <w:shd w:val="clear" w:color="auto" w:fill="DBE5F1" w:themeFill="accent1" w:themeFillTint="33"/>
            <w:vAlign w:val="center"/>
            <w:hideMark/>
          </w:tcPr>
          <w:p w14:paraId="7000BF08"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DBE5F1" w:themeFill="accent1" w:themeFillTint="33"/>
            <w:vAlign w:val="center"/>
            <w:hideMark/>
          </w:tcPr>
          <w:p w14:paraId="67AD961B"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Daļēji pieņemts</w:t>
            </w:r>
          </w:p>
        </w:tc>
        <w:tc>
          <w:tcPr>
            <w:tcW w:w="730" w:type="dxa"/>
            <w:shd w:val="clear" w:color="auto" w:fill="DBE5F1" w:themeFill="accent1" w:themeFillTint="33"/>
            <w:noWrap/>
            <w:vAlign w:val="bottom"/>
            <w:hideMark/>
          </w:tcPr>
          <w:p w14:paraId="096481EC"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DBE5F1" w:themeFill="accent1" w:themeFillTint="33"/>
            <w:vAlign w:val="center"/>
            <w:hideMark/>
          </w:tcPr>
          <w:p w14:paraId="6FD8F4BA" w14:textId="77777777" w:rsidR="005D6F59" w:rsidRPr="00646008" w:rsidRDefault="005D6F59" w:rsidP="005D6F59">
            <w:pPr>
              <w:spacing w:after="0"/>
              <w:ind w:firstLine="0"/>
              <w:jc w:val="center"/>
              <w:rPr>
                <w:color w:val="000000"/>
                <w:sz w:val="22"/>
                <w:szCs w:val="22"/>
                <w:lang w:eastAsia="lv-LV"/>
              </w:rPr>
            </w:pPr>
            <w:r>
              <w:rPr>
                <w:color w:val="000000"/>
                <w:sz w:val="22"/>
                <w:szCs w:val="22"/>
              </w:rPr>
              <w:t>0,01</w:t>
            </w:r>
          </w:p>
        </w:tc>
        <w:tc>
          <w:tcPr>
            <w:tcW w:w="932" w:type="dxa"/>
            <w:shd w:val="clear" w:color="auto" w:fill="DBE5F1" w:themeFill="accent1" w:themeFillTint="33"/>
            <w:vAlign w:val="center"/>
            <w:hideMark/>
          </w:tcPr>
          <w:p w14:paraId="71317409"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DBE5F1" w:themeFill="accent1" w:themeFillTint="33"/>
            <w:vAlign w:val="center"/>
            <w:hideMark/>
          </w:tcPr>
          <w:p w14:paraId="113D6FD7"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75388E57" w14:textId="77777777" w:rsidTr="009029CB">
        <w:trPr>
          <w:trHeight w:val="227"/>
        </w:trPr>
        <w:tc>
          <w:tcPr>
            <w:tcW w:w="3115" w:type="dxa"/>
            <w:vMerge/>
            <w:vAlign w:val="center"/>
            <w:hideMark/>
          </w:tcPr>
          <w:p w14:paraId="58F8FDA6" w14:textId="77777777" w:rsidR="005D6F59" w:rsidRPr="00646008" w:rsidRDefault="005D6F59" w:rsidP="005D6F59">
            <w:pPr>
              <w:spacing w:after="0"/>
              <w:ind w:firstLine="0"/>
              <w:rPr>
                <w:color w:val="000000"/>
                <w:sz w:val="22"/>
                <w:szCs w:val="22"/>
                <w:lang w:eastAsia="lv-LV"/>
              </w:rPr>
            </w:pPr>
          </w:p>
        </w:tc>
        <w:tc>
          <w:tcPr>
            <w:tcW w:w="3115" w:type="dxa"/>
            <w:vMerge/>
            <w:vAlign w:val="center"/>
            <w:hideMark/>
          </w:tcPr>
          <w:p w14:paraId="63279BF3" w14:textId="77777777" w:rsidR="005D6F59" w:rsidRPr="00646008" w:rsidRDefault="005D6F59" w:rsidP="005D6F59">
            <w:pPr>
              <w:spacing w:after="0"/>
              <w:ind w:firstLine="0"/>
              <w:rPr>
                <w:color w:val="000000"/>
                <w:sz w:val="22"/>
                <w:szCs w:val="22"/>
                <w:lang w:eastAsia="lv-LV"/>
              </w:rPr>
            </w:pPr>
          </w:p>
        </w:tc>
        <w:tc>
          <w:tcPr>
            <w:tcW w:w="1413" w:type="dxa"/>
            <w:shd w:val="clear" w:color="auto" w:fill="auto"/>
            <w:vAlign w:val="center"/>
            <w:hideMark/>
          </w:tcPr>
          <w:p w14:paraId="0196A088"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IIN</w:t>
            </w:r>
          </w:p>
        </w:tc>
        <w:tc>
          <w:tcPr>
            <w:tcW w:w="791" w:type="dxa"/>
            <w:shd w:val="clear" w:color="auto" w:fill="auto"/>
            <w:vAlign w:val="center"/>
            <w:hideMark/>
          </w:tcPr>
          <w:p w14:paraId="0A99406D"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D.5</w:t>
            </w:r>
          </w:p>
        </w:tc>
        <w:tc>
          <w:tcPr>
            <w:tcW w:w="1255" w:type="dxa"/>
            <w:shd w:val="clear" w:color="auto" w:fill="auto"/>
            <w:vAlign w:val="center"/>
            <w:hideMark/>
          </w:tcPr>
          <w:p w14:paraId="34493FDC"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auto"/>
            <w:vAlign w:val="center"/>
            <w:hideMark/>
          </w:tcPr>
          <w:p w14:paraId="7923AAFB"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Daļēji pieņemts</w:t>
            </w:r>
          </w:p>
        </w:tc>
        <w:tc>
          <w:tcPr>
            <w:tcW w:w="730" w:type="dxa"/>
            <w:shd w:val="clear" w:color="auto" w:fill="auto"/>
            <w:noWrap/>
            <w:vAlign w:val="bottom"/>
            <w:hideMark/>
          </w:tcPr>
          <w:p w14:paraId="68634F63"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auto"/>
            <w:vAlign w:val="center"/>
            <w:hideMark/>
          </w:tcPr>
          <w:p w14:paraId="44E97649"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auto"/>
            <w:vAlign w:val="center"/>
            <w:hideMark/>
          </w:tcPr>
          <w:p w14:paraId="4B6BA8E2"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auto"/>
            <w:vAlign w:val="center"/>
            <w:hideMark/>
          </w:tcPr>
          <w:p w14:paraId="7C3AC22F"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1829677B" w14:textId="77777777" w:rsidTr="009029CB">
        <w:trPr>
          <w:trHeight w:val="227"/>
        </w:trPr>
        <w:tc>
          <w:tcPr>
            <w:tcW w:w="3115" w:type="dxa"/>
            <w:vMerge w:val="restart"/>
            <w:shd w:val="clear" w:color="auto" w:fill="auto"/>
            <w:vAlign w:val="center"/>
            <w:hideMark/>
          </w:tcPr>
          <w:p w14:paraId="15B996D2"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 xml:space="preserve">Ēnu ekonomikas mazinošie pasākumi </w:t>
            </w:r>
            <w:r>
              <w:rPr>
                <w:color w:val="000000" w:themeColor="text1"/>
                <w:sz w:val="22"/>
                <w:szCs w:val="22"/>
              </w:rPr>
              <w:t>–</w:t>
            </w:r>
            <w:r w:rsidRPr="00646008">
              <w:rPr>
                <w:color w:val="000000"/>
                <w:sz w:val="22"/>
                <w:szCs w:val="22"/>
                <w:lang w:eastAsia="lv-LV"/>
              </w:rPr>
              <w:t xml:space="preserve"> Elektroniskā darba laika uzskaite būvniecībā</w:t>
            </w:r>
          </w:p>
        </w:tc>
        <w:tc>
          <w:tcPr>
            <w:tcW w:w="3115" w:type="dxa"/>
            <w:vMerge w:val="restart"/>
            <w:shd w:val="clear" w:color="auto" w:fill="auto"/>
            <w:vAlign w:val="center"/>
            <w:hideMark/>
          </w:tcPr>
          <w:p w14:paraId="0BDBA978"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 xml:space="preserve">Ēnu ekonomikas mazinošie pasākumi </w:t>
            </w:r>
            <w:r>
              <w:rPr>
                <w:color w:val="000000" w:themeColor="text1"/>
                <w:sz w:val="22"/>
                <w:szCs w:val="22"/>
              </w:rPr>
              <w:t>–</w:t>
            </w:r>
            <w:r w:rsidRPr="00646008">
              <w:rPr>
                <w:color w:val="000000"/>
                <w:sz w:val="22"/>
                <w:szCs w:val="22"/>
                <w:lang w:eastAsia="lv-LV"/>
              </w:rPr>
              <w:t xml:space="preserve"> Elektroniskā darba laika uzskaite būvniecībā</w:t>
            </w:r>
          </w:p>
        </w:tc>
        <w:tc>
          <w:tcPr>
            <w:tcW w:w="1413" w:type="dxa"/>
            <w:shd w:val="clear" w:color="auto" w:fill="DBE5F1" w:themeFill="accent1" w:themeFillTint="33"/>
            <w:vAlign w:val="center"/>
            <w:hideMark/>
          </w:tcPr>
          <w:p w14:paraId="05011665"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IIN</w:t>
            </w:r>
          </w:p>
        </w:tc>
        <w:tc>
          <w:tcPr>
            <w:tcW w:w="791" w:type="dxa"/>
            <w:shd w:val="clear" w:color="auto" w:fill="DBE5F1" w:themeFill="accent1" w:themeFillTint="33"/>
            <w:vAlign w:val="center"/>
            <w:hideMark/>
          </w:tcPr>
          <w:p w14:paraId="15C4E434"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D.5</w:t>
            </w:r>
          </w:p>
        </w:tc>
        <w:tc>
          <w:tcPr>
            <w:tcW w:w="1255" w:type="dxa"/>
            <w:shd w:val="clear" w:color="auto" w:fill="DBE5F1" w:themeFill="accent1" w:themeFillTint="33"/>
            <w:vAlign w:val="center"/>
            <w:hideMark/>
          </w:tcPr>
          <w:p w14:paraId="3D736B9E"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DBE5F1" w:themeFill="accent1" w:themeFillTint="33"/>
            <w:vAlign w:val="center"/>
            <w:hideMark/>
          </w:tcPr>
          <w:p w14:paraId="0FF4663E"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Daļēji pieņemts</w:t>
            </w:r>
          </w:p>
        </w:tc>
        <w:tc>
          <w:tcPr>
            <w:tcW w:w="730" w:type="dxa"/>
            <w:shd w:val="clear" w:color="auto" w:fill="DBE5F1" w:themeFill="accent1" w:themeFillTint="33"/>
            <w:noWrap/>
            <w:vAlign w:val="bottom"/>
            <w:hideMark/>
          </w:tcPr>
          <w:p w14:paraId="2E0303D5"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DBE5F1" w:themeFill="accent1" w:themeFillTint="33"/>
            <w:vAlign w:val="center"/>
            <w:hideMark/>
          </w:tcPr>
          <w:p w14:paraId="44B6DBC5"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DBE5F1" w:themeFill="accent1" w:themeFillTint="33"/>
            <w:vAlign w:val="center"/>
            <w:hideMark/>
          </w:tcPr>
          <w:p w14:paraId="3619E2CB"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DBE5F1" w:themeFill="accent1" w:themeFillTint="33"/>
            <w:vAlign w:val="center"/>
            <w:hideMark/>
          </w:tcPr>
          <w:p w14:paraId="1A1E5180"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6B5C3F3A" w14:textId="77777777" w:rsidTr="009029CB">
        <w:trPr>
          <w:trHeight w:val="227"/>
        </w:trPr>
        <w:tc>
          <w:tcPr>
            <w:tcW w:w="3115" w:type="dxa"/>
            <w:vMerge/>
            <w:vAlign w:val="center"/>
            <w:hideMark/>
          </w:tcPr>
          <w:p w14:paraId="07739435" w14:textId="77777777" w:rsidR="005D6F59" w:rsidRPr="00646008" w:rsidRDefault="005D6F59" w:rsidP="005D6F59">
            <w:pPr>
              <w:spacing w:after="0"/>
              <w:ind w:firstLine="0"/>
              <w:rPr>
                <w:color w:val="000000"/>
                <w:sz w:val="22"/>
                <w:szCs w:val="22"/>
                <w:lang w:eastAsia="lv-LV"/>
              </w:rPr>
            </w:pPr>
          </w:p>
        </w:tc>
        <w:tc>
          <w:tcPr>
            <w:tcW w:w="3115" w:type="dxa"/>
            <w:vMerge/>
            <w:vAlign w:val="center"/>
            <w:hideMark/>
          </w:tcPr>
          <w:p w14:paraId="78096368" w14:textId="77777777" w:rsidR="005D6F59" w:rsidRPr="00646008" w:rsidRDefault="005D6F59" w:rsidP="005D6F59">
            <w:pPr>
              <w:spacing w:after="0"/>
              <w:ind w:firstLine="0"/>
              <w:rPr>
                <w:color w:val="000000"/>
                <w:sz w:val="22"/>
                <w:szCs w:val="22"/>
                <w:lang w:eastAsia="lv-LV"/>
              </w:rPr>
            </w:pPr>
          </w:p>
        </w:tc>
        <w:tc>
          <w:tcPr>
            <w:tcW w:w="1413" w:type="dxa"/>
            <w:shd w:val="clear" w:color="auto" w:fill="auto"/>
            <w:vAlign w:val="center"/>
            <w:hideMark/>
          </w:tcPr>
          <w:p w14:paraId="1B3788CA"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SOC</w:t>
            </w:r>
          </w:p>
        </w:tc>
        <w:tc>
          <w:tcPr>
            <w:tcW w:w="791" w:type="dxa"/>
            <w:shd w:val="clear" w:color="auto" w:fill="auto"/>
            <w:vAlign w:val="center"/>
            <w:hideMark/>
          </w:tcPr>
          <w:p w14:paraId="3C877889"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D.61</w:t>
            </w:r>
          </w:p>
        </w:tc>
        <w:tc>
          <w:tcPr>
            <w:tcW w:w="1255" w:type="dxa"/>
            <w:shd w:val="clear" w:color="auto" w:fill="auto"/>
            <w:vAlign w:val="center"/>
            <w:hideMark/>
          </w:tcPr>
          <w:p w14:paraId="342800BA"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auto"/>
            <w:vAlign w:val="center"/>
            <w:hideMark/>
          </w:tcPr>
          <w:p w14:paraId="7DB0BB0E"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Daļēji pieņemts</w:t>
            </w:r>
          </w:p>
        </w:tc>
        <w:tc>
          <w:tcPr>
            <w:tcW w:w="730" w:type="dxa"/>
            <w:shd w:val="clear" w:color="auto" w:fill="auto"/>
            <w:noWrap/>
            <w:vAlign w:val="bottom"/>
            <w:hideMark/>
          </w:tcPr>
          <w:p w14:paraId="0004FFFA"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auto"/>
            <w:vAlign w:val="center"/>
            <w:hideMark/>
          </w:tcPr>
          <w:p w14:paraId="5ADCBEE9" w14:textId="77777777" w:rsidR="005D6F59" w:rsidRPr="00646008" w:rsidRDefault="005D6F59" w:rsidP="005D6F59">
            <w:pPr>
              <w:spacing w:after="0"/>
              <w:ind w:firstLine="0"/>
              <w:jc w:val="center"/>
              <w:rPr>
                <w:color w:val="000000"/>
                <w:sz w:val="22"/>
                <w:szCs w:val="22"/>
                <w:lang w:eastAsia="lv-LV"/>
              </w:rPr>
            </w:pPr>
            <w:r>
              <w:rPr>
                <w:color w:val="000000"/>
                <w:sz w:val="22"/>
                <w:szCs w:val="22"/>
              </w:rPr>
              <w:t>0,01</w:t>
            </w:r>
          </w:p>
        </w:tc>
        <w:tc>
          <w:tcPr>
            <w:tcW w:w="932" w:type="dxa"/>
            <w:shd w:val="clear" w:color="auto" w:fill="auto"/>
            <w:vAlign w:val="center"/>
            <w:hideMark/>
          </w:tcPr>
          <w:p w14:paraId="6194C71D"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auto"/>
            <w:vAlign w:val="center"/>
            <w:hideMark/>
          </w:tcPr>
          <w:p w14:paraId="23A77C67"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06421F9C" w14:textId="77777777" w:rsidTr="009029CB">
        <w:trPr>
          <w:trHeight w:val="227"/>
        </w:trPr>
        <w:tc>
          <w:tcPr>
            <w:tcW w:w="3115" w:type="dxa"/>
            <w:vMerge/>
            <w:vAlign w:val="center"/>
            <w:hideMark/>
          </w:tcPr>
          <w:p w14:paraId="4CF27CAB" w14:textId="77777777" w:rsidR="005D6F59" w:rsidRPr="00646008" w:rsidRDefault="005D6F59" w:rsidP="005D6F59">
            <w:pPr>
              <w:spacing w:after="0"/>
              <w:ind w:firstLine="0"/>
              <w:rPr>
                <w:color w:val="000000"/>
                <w:sz w:val="22"/>
                <w:szCs w:val="22"/>
                <w:lang w:eastAsia="lv-LV"/>
              </w:rPr>
            </w:pPr>
          </w:p>
        </w:tc>
        <w:tc>
          <w:tcPr>
            <w:tcW w:w="3115" w:type="dxa"/>
            <w:vMerge/>
            <w:vAlign w:val="center"/>
            <w:hideMark/>
          </w:tcPr>
          <w:p w14:paraId="0DA59BD8" w14:textId="77777777" w:rsidR="005D6F59" w:rsidRPr="00646008" w:rsidRDefault="005D6F59" w:rsidP="005D6F59">
            <w:pPr>
              <w:spacing w:after="0"/>
              <w:ind w:firstLine="0"/>
              <w:rPr>
                <w:color w:val="000000"/>
                <w:sz w:val="22"/>
                <w:szCs w:val="22"/>
                <w:lang w:eastAsia="lv-LV"/>
              </w:rPr>
            </w:pPr>
          </w:p>
        </w:tc>
        <w:tc>
          <w:tcPr>
            <w:tcW w:w="1413" w:type="dxa"/>
            <w:shd w:val="clear" w:color="auto" w:fill="DBE5F1" w:themeFill="accent1" w:themeFillTint="33"/>
            <w:vAlign w:val="center"/>
            <w:hideMark/>
          </w:tcPr>
          <w:p w14:paraId="25585A47"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SOC veselības finansēšanai</w:t>
            </w:r>
          </w:p>
        </w:tc>
        <w:tc>
          <w:tcPr>
            <w:tcW w:w="791" w:type="dxa"/>
            <w:shd w:val="clear" w:color="auto" w:fill="DBE5F1" w:themeFill="accent1" w:themeFillTint="33"/>
            <w:vAlign w:val="center"/>
            <w:hideMark/>
          </w:tcPr>
          <w:p w14:paraId="498C2118"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D.61</w:t>
            </w:r>
          </w:p>
        </w:tc>
        <w:tc>
          <w:tcPr>
            <w:tcW w:w="1255" w:type="dxa"/>
            <w:shd w:val="clear" w:color="auto" w:fill="DBE5F1" w:themeFill="accent1" w:themeFillTint="33"/>
            <w:vAlign w:val="center"/>
            <w:hideMark/>
          </w:tcPr>
          <w:p w14:paraId="1FDE849D"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DBE5F1" w:themeFill="accent1" w:themeFillTint="33"/>
            <w:vAlign w:val="center"/>
            <w:hideMark/>
          </w:tcPr>
          <w:p w14:paraId="36924E48"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Daļēji pieņemts</w:t>
            </w:r>
          </w:p>
        </w:tc>
        <w:tc>
          <w:tcPr>
            <w:tcW w:w="730" w:type="dxa"/>
            <w:shd w:val="clear" w:color="auto" w:fill="DBE5F1" w:themeFill="accent1" w:themeFillTint="33"/>
            <w:noWrap/>
            <w:vAlign w:val="bottom"/>
            <w:hideMark/>
          </w:tcPr>
          <w:p w14:paraId="25D1F26E"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DBE5F1" w:themeFill="accent1" w:themeFillTint="33"/>
            <w:vAlign w:val="center"/>
            <w:hideMark/>
          </w:tcPr>
          <w:p w14:paraId="024E2A60"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DBE5F1" w:themeFill="accent1" w:themeFillTint="33"/>
            <w:vAlign w:val="center"/>
            <w:hideMark/>
          </w:tcPr>
          <w:p w14:paraId="0BBC5223"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DBE5F1" w:themeFill="accent1" w:themeFillTint="33"/>
            <w:vAlign w:val="center"/>
            <w:hideMark/>
          </w:tcPr>
          <w:p w14:paraId="52A7B11A"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55FFB55E" w14:textId="77777777" w:rsidTr="009029CB">
        <w:trPr>
          <w:trHeight w:val="227"/>
        </w:trPr>
        <w:tc>
          <w:tcPr>
            <w:tcW w:w="3115" w:type="dxa"/>
            <w:shd w:val="clear" w:color="auto" w:fill="auto"/>
            <w:vAlign w:val="center"/>
            <w:hideMark/>
          </w:tcPr>
          <w:p w14:paraId="31C360D1"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Solidaritātes nodokļa izmaiņas</w:t>
            </w:r>
          </w:p>
        </w:tc>
        <w:tc>
          <w:tcPr>
            <w:tcW w:w="3115" w:type="dxa"/>
            <w:shd w:val="clear" w:color="auto" w:fill="auto"/>
            <w:vAlign w:val="center"/>
            <w:hideMark/>
          </w:tcPr>
          <w:p w14:paraId="2F65EDCB"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Solidaritātes nodokļa izmaiņas</w:t>
            </w:r>
          </w:p>
        </w:tc>
        <w:tc>
          <w:tcPr>
            <w:tcW w:w="1413" w:type="dxa"/>
            <w:shd w:val="clear" w:color="auto" w:fill="auto"/>
            <w:vAlign w:val="center"/>
            <w:hideMark/>
          </w:tcPr>
          <w:p w14:paraId="7460639A"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SOC</w:t>
            </w:r>
          </w:p>
        </w:tc>
        <w:tc>
          <w:tcPr>
            <w:tcW w:w="791" w:type="dxa"/>
            <w:shd w:val="clear" w:color="auto" w:fill="auto"/>
            <w:vAlign w:val="center"/>
            <w:hideMark/>
          </w:tcPr>
          <w:p w14:paraId="30DA0980"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D.61</w:t>
            </w:r>
          </w:p>
        </w:tc>
        <w:tc>
          <w:tcPr>
            <w:tcW w:w="1255" w:type="dxa"/>
            <w:shd w:val="clear" w:color="auto" w:fill="auto"/>
            <w:vAlign w:val="center"/>
            <w:hideMark/>
          </w:tcPr>
          <w:p w14:paraId="37AB4566"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auto"/>
            <w:vAlign w:val="center"/>
            <w:hideMark/>
          </w:tcPr>
          <w:p w14:paraId="409221FC"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auto"/>
            <w:noWrap/>
            <w:vAlign w:val="bottom"/>
            <w:hideMark/>
          </w:tcPr>
          <w:p w14:paraId="412EA8C6"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auto"/>
            <w:vAlign w:val="center"/>
            <w:hideMark/>
          </w:tcPr>
          <w:p w14:paraId="360D80CF" w14:textId="77777777" w:rsidR="005D6F59" w:rsidRPr="00646008" w:rsidRDefault="005D6F59" w:rsidP="005D6F59">
            <w:pPr>
              <w:spacing w:after="0"/>
              <w:ind w:firstLine="0"/>
              <w:jc w:val="center"/>
              <w:rPr>
                <w:color w:val="000000"/>
                <w:sz w:val="22"/>
                <w:szCs w:val="22"/>
                <w:lang w:eastAsia="lv-LV"/>
              </w:rPr>
            </w:pPr>
            <w:r>
              <w:rPr>
                <w:color w:val="000000"/>
                <w:sz w:val="22"/>
                <w:szCs w:val="22"/>
              </w:rPr>
              <w:t>0,02</w:t>
            </w:r>
          </w:p>
        </w:tc>
        <w:tc>
          <w:tcPr>
            <w:tcW w:w="932" w:type="dxa"/>
            <w:shd w:val="clear" w:color="auto" w:fill="auto"/>
            <w:vAlign w:val="center"/>
            <w:hideMark/>
          </w:tcPr>
          <w:p w14:paraId="3F13469D" w14:textId="77777777" w:rsidR="005D6F59" w:rsidRPr="00646008" w:rsidRDefault="005D6F59" w:rsidP="005D6F59">
            <w:pPr>
              <w:spacing w:after="0"/>
              <w:ind w:firstLine="0"/>
              <w:jc w:val="center"/>
              <w:rPr>
                <w:color w:val="000000"/>
                <w:sz w:val="22"/>
                <w:szCs w:val="22"/>
                <w:lang w:eastAsia="lv-LV"/>
              </w:rPr>
            </w:pPr>
            <w:r>
              <w:rPr>
                <w:color w:val="000000"/>
                <w:sz w:val="22"/>
                <w:szCs w:val="22"/>
              </w:rPr>
              <w:t>-0,01</w:t>
            </w:r>
          </w:p>
        </w:tc>
        <w:tc>
          <w:tcPr>
            <w:tcW w:w="932" w:type="dxa"/>
            <w:shd w:val="clear" w:color="auto" w:fill="auto"/>
            <w:vAlign w:val="center"/>
            <w:hideMark/>
          </w:tcPr>
          <w:p w14:paraId="6188BE77"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6D9E3A60" w14:textId="77777777" w:rsidTr="009029CB">
        <w:trPr>
          <w:trHeight w:val="227"/>
        </w:trPr>
        <w:tc>
          <w:tcPr>
            <w:tcW w:w="3115" w:type="dxa"/>
            <w:shd w:val="clear" w:color="auto" w:fill="DBE5F1" w:themeFill="accent1" w:themeFillTint="33"/>
            <w:vAlign w:val="center"/>
            <w:hideMark/>
          </w:tcPr>
          <w:p w14:paraId="4DDDC4B1"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No 2020.gada valsts fondēto pensiju struktūras izmaiņas</w:t>
            </w:r>
          </w:p>
        </w:tc>
        <w:tc>
          <w:tcPr>
            <w:tcW w:w="3115" w:type="dxa"/>
            <w:shd w:val="clear" w:color="auto" w:fill="DBE5F1" w:themeFill="accent1" w:themeFillTint="33"/>
            <w:vAlign w:val="center"/>
            <w:hideMark/>
          </w:tcPr>
          <w:p w14:paraId="4FCFA992"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No 2020.gada valsts fondēto pensiju struktūras izmaiņas</w:t>
            </w:r>
          </w:p>
        </w:tc>
        <w:tc>
          <w:tcPr>
            <w:tcW w:w="1413" w:type="dxa"/>
            <w:shd w:val="clear" w:color="auto" w:fill="DBE5F1" w:themeFill="accent1" w:themeFillTint="33"/>
            <w:vAlign w:val="center"/>
            <w:hideMark/>
          </w:tcPr>
          <w:p w14:paraId="6CA915C3"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SOC</w:t>
            </w:r>
          </w:p>
        </w:tc>
        <w:tc>
          <w:tcPr>
            <w:tcW w:w="791" w:type="dxa"/>
            <w:shd w:val="clear" w:color="auto" w:fill="DBE5F1" w:themeFill="accent1" w:themeFillTint="33"/>
            <w:vAlign w:val="center"/>
            <w:hideMark/>
          </w:tcPr>
          <w:p w14:paraId="2DB4BDDF"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D.61</w:t>
            </w:r>
          </w:p>
        </w:tc>
        <w:tc>
          <w:tcPr>
            <w:tcW w:w="1255" w:type="dxa"/>
            <w:shd w:val="clear" w:color="auto" w:fill="DBE5F1" w:themeFill="accent1" w:themeFillTint="33"/>
            <w:vAlign w:val="center"/>
            <w:hideMark/>
          </w:tcPr>
          <w:p w14:paraId="09E4DA5F"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DBE5F1" w:themeFill="accent1" w:themeFillTint="33"/>
            <w:vAlign w:val="center"/>
            <w:hideMark/>
          </w:tcPr>
          <w:p w14:paraId="2B9A377E"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DBE5F1" w:themeFill="accent1" w:themeFillTint="33"/>
            <w:noWrap/>
            <w:vAlign w:val="bottom"/>
            <w:hideMark/>
          </w:tcPr>
          <w:p w14:paraId="564FB377"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DBE5F1" w:themeFill="accent1" w:themeFillTint="33"/>
            <w:vAlign w:val="center"/>
            <w:hideMark/>
          </w:tcPr>
          <w:p w14:paraId="4AA4BC23"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DBE5F1" w:themeFill="accent1" w:themeFillTint="33"/>
            <w:vAlign w:val="center"/>
            <w:hideMark/>
          </w:tcPr>
          <w:p w14:paraId="2CD277BD" w14:textId="77777777" w:rsidR="005D6F59" w:rsidRPr="00646008" w:rsidRDefault="005D6F59" w:rsidP="005D6F59">
            <w:pPr>
              <w:spacing w:after="0"/>
              <w:ind w:firstLine="0"/>
              <w:jc w:val="center"/>
              <w:rPr>
                <w:color w:val="000000"/>
                <w:sz w:val="22"/>
                <w:szCs w:val="22"/>
                <w:lang w:eastAsia="lv-LV"/>
              </w:rPr>
            </w:pPr>
            <w:r>
              <w:rPr>
                <w:color w:val="000000"/>
                <w:sz w:val="22"/>
                <w:szCs w:val="22"/>
              </w:rPr>
              <w:t>0,08</w:t>
            </w:r>
          </w:p>
        </w:tc>
        <w:tc>
          <w:tcPr>
            <w:tcW w:w="932" w:type="dxa"/>
            <w:shd w:val="clear" w:color="auto" w:fill="DBE5F1" w:themeFill="accent1" w:themeFillTint="33"/>
            <w:vAlign w:val="center"/>
            <w:hideMark/>
          </w:tcPr>
          <w:p w14:paraId="21484C27" w14:textId="77777777" w:rsidR="005D6F59" w:rsidRPr="00646008" w:rsidRDefault="005D6F59" w:rsidP="005D6F59">
            <w:pPr>
              <w:spacing w:after="0"/>
              <w:ind w:firstLine="0"/>
              <w:jc w:val="center"/>
              <w:rPr>
                <w:color w:val="000000"/>
                <w:sz w:val="22"/>
                <w:szCs w:val="22"/>
                <w:lang w:eastAsia="lv-LV"/>
              </w:rPr>
            </w:pPr>
            <w:r>
              <w:rPr>
                <w:color w:val="000000"/>
                <w:sz w:val="22"/>
                <w:szCs w:val="22"/>
              </w:rPr>
              <w:t>0,05</w:t>
            </w:r>
          </w:p>
        </w:tc>
      </w:tr>
      <w:tr w:rsidR="005D6F59" w:rsidRPr="00646008" w14:paraId="30E76684" w14:textId="77777777" w:rsidTr="009029CB">
        <w:trPr>
          <w:trHeight w:val="227"/>
        </w:trPr>
        <w:tc>
          <w:tcPr>
            <w:tcW w:w="3115" w:type="dxa"/>
            <w:vMerge w:val="restart"/>
            <w:shd w:val="clear" w:color="auto" w:fill="auto"/>
            <w:vAlign w:val="center"/>
            <w:hideMark/>
          </w:tcPr>
          <w:p w14:paraId="6A325648" w14:textId="77777777" w:rsidR="005D6F59" w:rsidRPr="00646008" w:rsidRDefault="005D6F59" w:rsidP="005137D2">
            <w:pPr>
              <w:spacing w:after="0"/>
              <w:ind w:firstLine="0"/>
              <w:rPr>
                <w:color w:val="000000"/>
                <w:sz w:val="22"/>
                <w:szCs w:val="22"/>
                <w:lang w:eastAsia="lv-LV"/>
              </w:rPr>
            </w:pPr>
            <w:r w:rsidRPr="00646008">
              <w:rPr>
                <w:color w:val="000000"/>
                <w:sz w:val="22"/>
                <w:szCs w:val="22"/>
                <w:lang w:eastAsia="lv-LV"/>
              </w:rPr>
              <w:t xml:space="preserve">Palielināt </w:t>
            </w:r>
            <w:r w:rsidR="005137D2">
              <w:rPr>
                <w:color w:val="000000"/>
                <w:sz w:val="22"/>
                <w:szCs w:val="22"/>
                <w:lang w:eastAsia="lv-LV"/>
              </w:rPr>
              <w:t>VAS</w:t>
            </w:r>
            <w:r w:rsidRPr="00646008">
              <w:rPr>
                <w:color w:val="000000"/>
                <w:sz w:val="22"/>
                <w:szCs w:val="22"/>
                <w:lang w:eastAsia="lv-LV"/>
              </w:rPr>
              <w:t xml:space="preserve"> "Latvijas valsts meži" dividendēs izmaksājamo peļņas daļu.</w:t>
            </w:r>
          </w:p>
        </w:tc>
        <w:tc>
          <w:tcPr>
            <w:tcW w:w="3115" w:type="dxa"/>
            <w:vMerge w:val="restart"/>
            <w:shd w:val="clear" w:color="auto" w:fill="auto"/>
            <w:vAlign w:val="center"/>
            <w:hideMark/>
          </w:tcPr>
          <w:p w14:paraId="2824E718" w14:textId="77777777" w:rsidR="005D6F59" w:rsidRPr="00646008" w:rsidRDefault="005D6F59" w:rsidP="005137D2">
            <w:pPr>
              <w:spacing w:after="0"/>
              <w:ind w:firstLine="0"/>
              <w:rPr>
                <w:color w:val="000000"/>
                <w:sz w:val="22"/>
                <w:szCs w:val="22"/>
                <w:lang w:eastAsia="lv-LV"/>
              </w:rPr>
            </w:pPr>
            <w:r w:rsidRPr="00646008">
              <w:rPr>
                <w:color w:val="000000"/>
                <w:sz w:val="22"/>
                <w:szCs w:val="22"/>
                <w:lang w:eastAsia="lv-LV"/>
              </w:rPr>
              <w:t xml:space="preserve">Palielināt </w:t>
            </w:r>
            <w:r w:rsidR="005137D2">
              <w:rPr>
                <w:color w:val="000000"/>
                <w:sz w:val="22"/>
                <w:szCs w:val="22"/>
                <w:lang w:eastAsia="lv-LV"/>
              </w:rPr>
              <w:t>VAS</w:t>
            </w:r>
            <w:r w:rsidRPr="00646008">
              <w:rPr>
                <w:color w:val="000000"/>
                <w:sz w:val="22"/>
                <w:szCs w:val="22"/>
                <w:lang w:eastAsia="lv-LV"/>
              </w:rPr>
              <w:t xml:space="preserve"> "Latvijas valsts meži" dividendēs izmaksājamo peļņas daļu par 2018.gadu.</w:t>
            </w:r>
          </w:p>
        </w:tc>
        <w:tc>
          <w:tcPr>
            <w:tcW w:w="1413" w:type="dxa"/>
            <w:shd w:val="clear" w:color="auto" w:fill="auto"/>
            <w:vAlign w:val="center"/>
            <w:hideMark/>
          </w:tcPr>
          <w:p w14:paraId="2AC23C84"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Nenodokļi</w:t>
            </w:r>
          </w:p>
        </w:tc>
        <w:tc>
          <w:tcPr>
            <w:tcW w:w="791" w:type="dxa"/>
            <w:shd w:val="clear" w:color="auto" w:fill="auto"/>
            <w:vAlign w:val="center"/>
            <w:hideMark/>
          </w:tcPr>
          <w:p w14:paraId="789861A7"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D.421</w:t>
            </w:r>
          </w:p>
        </w:tc>
        <w:tc>
          <w:tcPr>
            <w:tcW w:w="1255" w:type="dxa"/>
            <w:shd w:val="clear" w:color="auto" w:fill="auto"/>
            <w:vAlign w:val="center"/>
            <w:hideMark/>
          </w:tcPr>
          <w:p w14:paraId="08E72B5F"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auto"/>
            <w:vAlign w:val="center"/>
            <w:hideMark/>
          </w:tcPr>
          <w:p w14:paraId="27779DFA"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auto"/>
            <w:noWrap/>
            <w:vAlign w:val="bottom"/>
            <w:hideMark/>
          </w:tcPr>
          <w:p w14:paraId="32F437B8"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auto"/>
            <w:vAlign w:val="center"/>
            <w:hideMark/>
          </w:tcPr>
          <w:p w14:paraId="5E0A54A6" w14:textId="77777777" w:rsidR="005D6F59" w:rsidRPr="00646008" w:rsidRDefault="005D6F59" w:rsidP="005D6F59">
            <w:pPr>
              <w:spacing w:after="0"/>
              <w:ind w:firstLine="0"/>
              <w:jc w:val="center"/>
              <w:rPr>
                <w:color w:val="000000"/>
                <w:sz w:val="22"/>
                <w:szCs w:val="22"/>
                <w:lang w:eastAsia="lv-LV"/>
              </w:rPr>
            </w:pPr>
            <w:r>
              <w:rPr>
                <w:color w:val="000000"/>
                <w:sz w:val="22"/>
                <w:szCs w:val="22"/>
              </w:rPr>
              <w:t>0,12</w:t>
            </w:r>
          </w:p>
        </w:tc>
        <w:tc>
          <w:tcPr>
            <w:tcW w:w="932" w:type="dxa"/>
            <w:shd w:val="clear" w:color="auto" w:fill="auto"/>
            <w:vAlign w:val="center"/>
            <w:hideMark/>
          </w:tcPr>
          <w:p w14:paraId="4D5E5718" w14:textId="77777777" w:rsidR="005D6F59" w:rsidRPr="00646008" w:rsidRDefault="005D6F59" w:rsidP="005D6F59">
            <w:pPr>
              <w:spacing w:after="0"/>
              <w:ind w:firstLine="0"/>
              <w:jc w:val="center"/>
              <w:rPr>
                <w:color w:val="000000"/>
                <w:sz w:val="22"/>
                <w:szCs w:val="22"/>
                <w:lang w:eastAsia="lv-LV"/>
              </w:rPr>
            </w:pPr>
            <w:r>
              <w:rPr>
                <w:color w:val="000000"/>
                <w:sz w:val="22"/>
                <w:szCs w:val="22"/>
              </w:rPr>
              <w:t>-0,11</w:t>
            </w:r>
          </w:p>
        </w:tc>
        <w:tc>
          <w:tcPr>
            <w:tcW w:w="932" w:type="dxa"/>
            <w:shd w:val="clear" w:color="auto" w:fill="auto"/>
            <w:vAlign w:val="center"/>
            <w:hideMark/>
          </w:tcPr>
          <w:p w14:paraId="3740180C"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2F30484B" w14:textId="77777777" w:rsidTr="009029CB">
        <w:trPr>
          <w:trHeight w:val="227"/>
        </w:trPr>
        <w:tc>
          <w:tcPr>
            <w:tcW w:w="3115" w:type="dxa"/>
            <w:vMerge/>
            <w:vAlign w:val="center"/>
            <w:hideMark/>
          </w:tcPr>
          <w:p w14:paraId="3854ADD8" w14:textId="77777777" w:rsidR="005D6F59" w:rsidRPr="00646008" w:rsidRDefault="005D6F59" w:rsidP="005D6F59">
            <w:pPr>
              <w:spacing w:after="0"/>
              <w:ind w:firstLine="0"/>
              <w:rPr>
                <w:color w:val="000000"/>
                <w:sz w:val="22"/>
                <w:szCs w:val="22"/>
                <w:lang w:eastAsia="lv-LV"/>
              </w:rPr>
            </w:pPr>
          </w:p>
        </w:tc>
        <w:tc>
          <w:tcPr>
            <w:tcW w:w="3115" w:type="dxa"/>
            <w:vMerge/>
            <w:vAlign w:val="center"/>
            <w:hideMark/>
          </w:tcPr>
          <w:p w14:paraId="239E13C8" w14:textId="77777777" w:rsidR="005D6F59" w:rsidRPr="00646008" w:rsidRDefault="005D6F59" w:rsidP="005D6F59">
            <w:pPr>
              <w:spacing w:after="0"/>
              <w:ind w:firstLine="0"/>
              <w:rPr>
                <w:color w:val="000000"/>
                <w:sz w:val="22"/>
                <w:szCs w:val="22"/>
                <w:lang w:eastAsia="lv-LV"/>
              </w:rPr>
            </w:pPr>
          </w:p>
        </w:tc>
        <w:tc>
          <w:tcPr>
            <w:tcW w:w="1413" w:type="dxa"/>
            <w:shd w:val="clear" w:color="auto" w:fill="DBE5F1" w:themeFill="accent1" w:themeFillTint="33"/>
            <w:vAlign w:val="center"/>
            <w:hideMark/>
          </w:tcPr>
          <w:p w14:paraId="0269B11B"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UIN</w:t>
            </w:r>
          </w:p>
        </w:tc>
        <w:tc>
          <w:tcPr>
            <w:tcW w:w="791" w:type="dxa"/>
            <w:shd w:val="clear" w:color="auto" w:fill="DBE5F1" w:themeFill="accent1" w:themeFillTint="33"/>
            <w:vAlign w:val="center"/>
            <w:hideMark/>
          </w:tcPr>
          <w:p w14:paraId="2BBC1D4B"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D.5</w:t>
            </w:r>
          </w:p>
        </w:tc>
        <w:tc>
          <w:tcPr>
            <w:tcW w:w="1255" w:type="dxa"/>
            <w:shd w:val="clear" w:color="auto" w:fill="DBE5F1" w:themeFill="accent1" w:themeFillTint="33"/>
            <w:vAlign w:val="center"/>
            <w:hideMark/>
          </w:tcPr>
          <w:p w14:paraId="6ABCA0D6"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DBE5F1" w:themeFill="accent1" w:themeFillTint="33"/>
            <w:vAlign w:val="center"/>
            <w:hideMark/>
          </w:tcPr>
          <w:p w14:paraId="6173135F"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DBE5F1" w:themeFill="accent1" w:themeFillTint="33"/>
            <w:noWrap/>
            <w:vAlign w:val="bottom"/>
            <w:hideMark/>
          </w:tcPr>
          <w:p w14:paraId="16BB175B"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DBE5F1" w:themeFill="accent1" w:themeFillTint="33"/>
            <w:vAlign w:val="center"/>
            <w:hideMark/>
          </w:tcPr>
          <w:p w14:paraId="227BAA7E" w14:textId="77777777" w:rsidR="005D6F59" w:rsidRPr="00646008" w:rsidRDefault="005D6F59" w:rsidP="005D6F59">
            <w:pPr>
              <w:spacing w:after="0"/>
              <w:ind w:firstLine="0"/>
              <w:jc w:val="center"/>
              <w:rPr>
                <w:color w:val="000000"/>
                <w:sz w:val="22"/>
                <w:szCs w:val="22"/>
                <w:lang w:eastAsia="lv-LV"/>
              </w:rPr>
            </w:pPr>
            <w:r>
              <w:rPr>
                <w:color w:val="000000"/>
                <w:sz w:val="22"/>
                <w:szCs w:val="22"/>
              </w:rPr>
              <w:t>0,03</w:t>
            </w:r>
          </w:p>
        </w:tc>
        <w:tc>
          <w:tcPr>
            <w:tcW w:w="932" w:type="dxa"/>
            <w:shd w:val="clear" w:color="auto" w:fill="DBE5F1" w:themeFill="accent1" w:themeFillTint="33"/>
            <w:vAlign w:val="center"/>
            <w:hideMark/>
          </w:tcPr>
          <w:p w14:paraId="7D487298" w14:textId="77777777" w:rsidR="005D6F59" w:rsidRPr="00646008" w:rsidRDefault="005D6F59" w:rsidP="005D6F59">
            <w:pPr>
              <w:spacing w:after="0"/>
              <w:ind w:firstLine="0"/>
              <w:jc w:val="center"/>
              <w:rPr>
                <w:color w:val="000000"/>
                <w:sz w:val="22"/>
                <w:szCs w:val="22"/>
                <w:lang w:eastAsia="lv-LV"/>
              </w:rPr>
            </w:pPr>
            <w:r>
              <w:rPr>
                <w:color w:val="000000"/>
                <w:sz w:val="22"/>
                <w:szCs w:val="22"/>
              </w:rPr>
              <w:t>-0,03</w:t>
            </w:r>
          </w:p>
        </w:tc>
        <w:tc>
          <w:tcPr>
            <w:tcW w:w="932" w:type="dxa"/>
            <w:shd w:val="clear" w:color="auto" w:fill="DBE5F1" w:themeFill="accent1" w:themeFillTint="33"/>
            <w:vAlign w:val="center"/>
            <w:hideMark/>
          </w:tcPr>
          <w:p w14:paraId="5F6134B7"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152CB5DB" w14:textId="77777777" w:rsidTr="009029CB">
        <w:trPr>
          <w:trHeight w:val="227"/>
        </w:trPr>
        <w:tc>
          <w:tcPr>
            <w:tcW w:w="3115" w:type="dxa"/>
            <w:vMerge w:val="restart"/>
            <w:shd w:val="clear" w:color="auto" w:fill="DBE5F1" w:themeFill="accent1" w:themeFillTint="33"/>
            <w:vAlign w:val="center"/>
            <w:hideMark/>
          </w:tcPr>
          <w:p w14:paraId="6A5229BA" w14:textId="77777777" w:rsidR="005D6F59" w:rsidRPr="00646008" w:rsidRDefault="005D6F59" w:rsidP="00BB535C">
            <w:pPr>
              <w:spacing w:after="0"/>
              <w:ind w:firstLine="0"/>
              <w:rPr>
                <w:color w:val="000000"/>
                <w:sz w:val="22"/>
                <w:szCs w:val="22"/>
                <w:lang w:eastAsia="lv-LV"/>
              </w:rPr>
            </w:pPr>
            <w:r w:rsidRPr="00646008">
              <w:rPr>
                <w:color w:val="000000"/>
                <w:sz w:val="22"/>
                <w:szCs w:val="22"/>
                <w:lang w:eastAsia="lv-LV"/>
              </w:rPr>
              <w:t xml:space="preserve">MK 08.02.2019. sēdes protokllēmums samazināt valsts pamatbudžeta prognozējamos ieņēmumus valsts budžetā no valsts nodevas par naftas produktu drošības rezervju uzturēšanu un no </w:t>
            </w:r>
            <w:r w:rsidR="00BB535C">
              <w:rPr>
                <w:color w:val="000000"/>
                <w:sz w:val="22"/>
                <w:szCs w:val="22"/>
                <w:lang w:eastAsia="lv-LV"/>
              </w:rPr>
              <w:t>PVN</w:t>
            </w:r>
            <w:r w:rsidRPr="00646008">
              <w:rPr>
                <w:color w:val="000000"/>
                <w:sz w:val="22"/>
                <w:szCs w:val="22"/>
                <w:lang w:eastAsia="lv-LV"/>
              </w:rPr>
              <w:t xml:space="preserve"> 2019.gadā.</w:t>
            </w:r>
          </w:p>
        </w:tc>
        <w:tc>
          <w:tcPr>
            <w:tcW w:w="3115" w:type="dxa"/>
            <w:vMerge w:val="restart"/>
            <w:shd w:val="clear" w:color="auto" w:fill="DBE5F1" w:themeFill="accent1" w:themeFillTint="33"/>
            <w:vAlign w:val="center"/>
            <w:hideMark/>
          </w:tcPr>
          <w:p w14:paraId="6D17C585" w14:textId="77777777" w:rsidR="005D6F59" w:rsidRPr="00646008" w:rsidRDefault="005D6F59" w:rsidP="00BB535C">
            <w:pPr>
              <w:spacing w:after="0"/>
              <w:ind w:firstLine="0"/>
              <w:rPr>
                <w:color w:val="000000"/>
                <w:sz w:val="22"/>
                <w:szCs w:val="22"/>
                <w:lang w:eastAsia="lv-LV"/>
              </w:rPr>
            </w:pPr>
            <w:r w:rsidRPr="00646008">
              <w:rPr>
                <w:color w:val="000000"/>
                <w:sz w:val="22"/>
                <w:szCs w:val="22"/>
                <w:lang w:eastAsia="lv-LV"/>
              </w:rPr>
              <w:t xml:space="preserve">MK 08.02.2019. sēdes protokllēmums samazināt valsts pamatbudžeta prognozējamos ieņēmumus valsts budžetā no valsts nodevas par naftas produktu drošības rezervju uzturēšanu un no </w:t>
            </w:r>
            <w:r w:rsidR="00BB535C">
              <w:rPr>
                <w:color w:val="000000"/>
                <w:sz w:val="22"/>
                <w:szCs w:val="22"/>
                <w:lang w:eastAsia="lv-LV"/>
              </w:rPr>
              <w:t>PVN</w:t>
            </w:r>
            <w:r w:rsidRPr="00646008">
              <w:rPr>
                <w:color w:val="000000"/>
                <w:sz w:val="22"/>
                <w:szCs w:val="22"/>
                <w:lang w:eastAsia="lv-LV"/>
              </w:rPr>
              <w:t xml:space="preserve"> 2019.gadā.</w:t>
            </w:r>
          </w:p>
        </w:tc>
        <w:tc>
          <w:tcPr>
            <w:tcW w:w="1413" w:type="dxa"/>
            <w:shd w:val="clear" w:color="auto" w:fill="auto"/>
            <w:vAlign w:val="center"/>
            <w:hideMark/>
          </w:tcPr>
          <w:p w14:paraId="4401704F"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PVN</w:t>
            </w:r>
          </w:p>
        </w:tc>
        <w:tc>
          <w:tcPr>
            <w:tcW w:w="791" w:type="dxa"/>
            <w:shd w:val="clear" w:color="auto" w:fill="auto"/>
            <w:vAlign w:val="center"/>
            <w:hideMark/>
          </w:tcPr>
          <w:p w14:paraId="063E5D3F"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D.2</w:t>
            </w:r>
          </w:p>
        </w:tc>
        <w:tc>
          <w:tcPr>
            <w:tcW w:w="1255" w:type="dxa"/>
            <w:shd w:val="clear" w:color="auto" w:fill="auto"/>
            <w:vAlign w:val="center"/>
            <w:hideMark/>
          </w:tcPr>
          <w:p w14:paraId="218BE57F"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auto"/>
            <w:vAlign w:val="center"/>
            <w:hideMark/>
          </w:tcPr>
          <w:p w14:paraId="0EF0080A"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auto"/>
            <w:noWrap/>
            <w:vAlign w:val="bottom"/>
            <w:hideMark/>
          </w:tcPr>
          <w:p w14:paraId="29712560"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auto"/>
            <w:vAlign w:val="center"/>
            <w:hideMark/>
          </w:tcPr>
          <w:p w14:paraId="74B3A120"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auto"/>
            <w:vAlign w:val="center"/>
            <w:hideMark/>
          </w:tcPr>
          <w:p w14:paraId="2A392CE1"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auto"/>
            <w:vAlign w:val="center"/>
            <w:hideMark/>
          </w:tcPr>
          <w:p w14:paraId="6E7B8F13"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077DDAD7" w14:textId="77777777" w:rsidTr="009029CB">
        <w:trPr>
          <w:trHeight w:val="227"/>
        </w:trPr>
        <w:tc>
          <w:tcPr>
            <w:tcW w:w="3115" w:type="dxa"/>
            <w:vMerge/>
            <w:shd w:val="clear" w:color="auto" w:fill="DBE5F1" w:themeFill="accent1" w:themeFillTint="33"/>
            <w:vAlign w:val="center"/>
            <w:hideMark/>
          </w:tcPr>
          <w:p w14:paraId="6F49400A" w14:textId="77777777" w:rsidR="005D6F59" w:rsidRPr="00646008" w:rsidRDefault="005D6F59" w:rsidP="005D6F59">
            <w:pPr>
              <w:spacing w:after="0"/>
              <w:ind w:firstLine="0"/>
              <w:rPr>
                <w:color w:val="000000"/>
                <w:sz w:val="22"/>
                <w:szCs w:val="22"/>
                <w:lang w:eastAsia="lv-LV"/>
              </w:rPr>
            </w:pPr>
          </w:p>
        </w:tc>
        <w:tc>
          <w:tcPr>
            <w:tcW w:w="3115" w:type="dxa"/>
            <w:vMerge/>
            <w:shd w:val="clear" w:color="auto" w:fill="DBE5F1" w:themeFill="accent1" w:themeFillTint="33"/>
            <w:vAlign w:val="center"/>
            <w:hideMark/>
          </w:tcPr>
          <w:p w14:paraId="682AA349" w14:textId="77777777" w:rsidR="005D6F59" w:rsidRPr="00646008" w:rsidRDefault="005D6F59" w:rsidP="005D6F59">
            <w:pPr>
              <w:spacing w:after="0"/>
              <w:ind w:firstLine="0"/>
              <w:rPr>
                <w:color w:val="000000"/>
                <w:sz w:val="22"/>
                <w:szCs w:val="22"/>
                <w:lang w:eastAsia="lv-LV"/>
              </w:rPr>
            </w:pPr>
          </w:p>
        </w:tc>
        <w:tc>
          <w:tcPr>
            <w:tcW w:w="1413" w:type="dxa"/>
            <w:shd w:val="clear" w:color="auto" w:fill="DBE5F1" w:themeFill="accent1" w:themeFillTint="33"/>
            <w:vAlign w:val="center"/>
            <w:hideMark/>
          </w:tcPr>
          <w:p w14:paraId="46C717D6"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Nenodokļi</w:t>
            </w:r>
          </w:p>
        </w:tc>
        <w:tc>
          <w:tcPr>
            <w:tcW w:w="791" w:type="dxa"/>
            <w:shd w:val="clear" w:color="auto" w:fill="DBE5F1" w:themeFill="accent1" w:themeFillTint="33"/>
            <w:vAlign w:val="center"/>
            <w:hideMark/>
          </w:tcPr>
          <w:p w14:paraId="5EEA514B"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D.214</w:t>
            </w:r>
          </w:p>
        </w:tc>
        <w:tc>
          <w:tcPr>
            <w:tcW w:w="1255" w:type="dxa"/>
            <w:shd w:val="clear" w:color="auto" w:fill="DBE5F1" w:themeFill="accent1" w:themeFillTint="33"/>
            <w:vAlign w:val="center"/>
            <w:hideMark/>
          </w:tcPr>
          <w:p w14:paraId="5E3DA14E"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Uzkrājuma</w:t>
            </w:r>
          </w:p>
        </w:tc>
        <w:tc>
          <w:tcPr>
            <w:tcW w:w="1481" w:type="dxa"/>
            <w:shd w:val="clear" w:color="auto" w:fill="DBE5F1" w:themeFill="accent1" w:themeFillTint="33"/>
            <w:vAlign w:val="center"/>
            <w:hideMark/>
          </w:tcPr>
          <w:p w14:paraId="7D621F39"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DBE5F1" w:themeFill="accent1" w:themeFillTint="33"/>
            <w:noWrap/>
            <w:vAlign w:val="bottom"/>
            <w:hideMark/>
          </w:tcPr>
          <w:p w14:paraId="3854D182"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DBE5F1" w:themeFill="accent1" w:themeFillTint="33"/>
            <w:vAlign w:val="center"/>
            <w:hideMark/>
          </w:tcPr>
          <w:p w14:paraId="28F62F2F" w14:textId="77777777" w:rsidR="005D6F59" w:rsidRPr="00646008" w:rsidRDefault="005D6F59" w:rsidP="005D6F59">
            <w:pPr>
              <w:spacing w:after="0"/>
              <w:ind w:firstLine="0"/>
              <w:jc w:val="center"/>
              <w:rPr>
                <w:color w:val="000000"/>
                <w:sz w:val="22"/>
                <w:szCs w:val="22"/>
                <w:lang w:eastAsia="lv-LV"/>
              </w:rPr>
            </w:pPr>
            <w:r>
              <w:rPr>
                <w:color w:val="000000"/>
                <w:sz w:val="22"/>
                <w:szCs w:val="22"/>
              </w:rPr>
              <w:t>-0,01</w:t>
            </w:r>
          </w:p>
        </w:tc>
        <w:tc>
          <w:tcPr>
            <w:tcW w:w="932" w:type="dxa"/>
            <w:shd w:val="clear" w:color="auto" w:fill="DBE5F1" w:themeFill="accent1" w:themeFillTint="33"/>
            <w:vAlign w:val="center"/>
            <w:hideMark/>
          </w:tcPr>
          <w:p w14:paraId="077CF871" w14:textId="77777777" w:rsidR="005D6F59" w:rsidRPr="00646008" w:rsidRDefault="005D6F59" w:rsidP="005D6F59">
            <w:pPr>
              <w:spacing w:after="0"/>
              <w:ind w:firstLine="0"/>
              <w:jc w:val="center"/>
              <w:rPr>
                <w:color w:val="000000"/>
                <w:sz w:val="22"/>
                <w:szCs w:val="22"/>
                <w:lang w:eastAsia="lv-LV"/>
              </w:rPr>
            </w:pPr>
            <w:r>
              <w:rPr>
                <w:color w:val="000000"/>
                <w:sz w:val="22"/>
                <w:szCs w:val="22"/>
              </w:rPr>
              <w:t>0,01</w:t>
            </w:r>
          </w:p>
        </w:tc>
        <w:tc>
          <w:tcPr>
            <w:tcW w:w="932" w:type="dxa"/>
            <w:shd w:val="clear" w:color="auto" w:fill="DBE5F1" w:themeFill="accent1" w:themeFillTint="33"/>
            <w:vAlign w:val="center"/>
            <w:hideMark/>
          </w:tcPr>
          <w:p w14:paraId="6053BCC6"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4AB442C2" w14:textId="77777777" w:rsidTr="009029CB">
        <w:trPr>
          <w:trHeight w:val="227"/>
        </w:trPr>
        <w:tc>
          <w:tcPr>
            <w:tcW w:w="3115" w:type="dxa"/>
            <w:vMerge w:val="restart"/>
            <w:shd w:val="clear" w:color="auto" w:fill="auto"/>
            <w:vAlign w:val="center"/>
            <w:hideMark/>
          </w:tcPr>
          <w:p w14:paraId="02411498"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 xml:space="preserve">Papildu finansējums veselības aprūpes darbinieku (veselības, tieslietu, izglītības, iekšlietu un </w:t>
            </w:r>
            <w:r w:rsidRPr="00646008">
              <w:rPr>
                <w:color w:val="000000"/>
                <w:sz w:val="22"/>
                <w:szCs w:val="22"/>
                <w:lang w:eastAsia="lv-LV"/>
              </w:rPr>
              <w:lastRenderedPageBreak/>
              <w:t xml:space="preserve">labklājības nozares jomā strādājošiem) darba samaksas paaugstināšanai </w:t>
            </w:r>
          </w:p>
        </w:tc>
        <w:tc>
          <w:tcPr>
            <w:tcW w:w="3115" w:type="dxa"/>
            <w:vMerge w:val="restart"/>
            <w:shd w:val="clear" w:color="auto" w:fill="auto"/>
            <w:vAlign w:val="center"/>
            <w:hideMark/>
          </w:tcPr>
          <w:p w14:paraId="15BFBE53"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lastRenderedPageBreak/>
              <w:t xml:space="preserve">Papildu finansējums veselības aprūpes darbinieku (veselības, tieslietu, izglītības, iekšlietu un </w:t>
            </w:r>
            <w:r w:rsidRPr="00646008">
              <w:rPr>
                <w:color w:val="000000"/>
                <w:sz w:val="22"/>
                <w:szCs w:val="22"/>
                <w:lang w:eastAsia="lv-LV"/>
              </w:rPr>
              <w:lastRenderedPageBreak/>
              <w:t xml:space="preserve">labklājības nozares jomā strādājošiem) darba samaksas paaugstināšanai </w:t>
            </w:r>
          </w:p>
        </w:tc>
        <w:tc>
          <w:tcPr>
            <w:tcW w:w="1413" w:type="dxa"/>
            <w:shd w:val="clear" w:color="auto" w:fill="auto"/>
            <w:vAlign w:val="center"/>
            <w:hideMark/>
          </w:tcPr>
          <w:p w14:paraId="77F524FB"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lastRenderedPageBreak/>
              <w:t>IIN</w:t>
            </w:r>
          </w:p>
        </w:tc>
        <w:tc>
          <w:tcPr>
            <w:tcW w:w="791" w:type="dxa"/>
            <w:shd w:val="clear" w:color="auto" w:fill="auto"/>
            <w:vAlign w:val="center"/>
            <w:hideMark/>
          </w:tcPr>
          <w:p w14:paraId="1298B62F"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D.5</w:t>
            </w:r>
          </w:p>
        </w:tc>
        <w:tc>
          <w:tcPr>
            <w:tcW w:w="1255" w:type="dxa"/>
            <w:shd w:val="clear" w:color="auto" w:fill="auto"/>
            <w:vAlign w:val="center"/>
            <w:hideMark/>
          </w:tcPr>
          <w:p w14:paraId="0791EC70"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Naudas plūsmas</w:t>
            </w:r>
          </w:p>
        </w:tc>
        <w:tc>
          <w:tcPr>
            <w:tcW w:w="1481" w:type="dxa"/>
            <w:shd w:val="clear" w:color="auto" w:fill="auto"/>
            <w:vAlign w:val="center"/>
            <w:hideMark/>
          </w:tcPr>
          <w:p w14:paraId="0428437B"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auto"/>
            <w:noWrap/>
            <w:vAlign w:val="bottom"/>
            <w:hideMark/>
          </w:tcPr>
          <w:p w14:paraId="17B18167"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auto"/>
            <w:vAlign w:val="center"/>
            <w:hideMark/>
          </w:tcPr>
          <w:p w14:paraId="0FBE1D58" w14:textId="77777777" w:rsidR="005D6F59" w:rsidRPr="00646008" w:rsidRDefault="005D6F59" w:rsidP="005D6F59">
            <w:pPr>
              <w:spacing w:after="0"/>
              <w:ind w:firstLine="0"/>
              <w:jc w:val="center"/>
              <w:rPr>
                <w:color w:val="000000"/>
                <w:sz w:val="22"/>
                <w:szCs w:val="22"/>
                <w:lang w:eastAsia="lv-LV"/>
              </w:rPr>
            </w:pPr>
            <w:r>
              <w:rPr>
                <w:color w:val="000000"/>
                <w:sz w:val="22"/>
                <w:szCs w:val="22"/>
              </w:rPr>
              <w:t>0,04</w:t>
            </w:r>
          </w:p>
        </w:tc>
        <w:tc>
          <w:tcPr>
            <w:tcW w:w="932" w:type="dxa"/>
            <w:shd w:val="clear" w:color="auto" w:fill="auto"/>
            <w:vAlign w:val="center"/>
            <w:hideMark/>
          </w:tcPr>
          <w:p w14:paraId="0B78730B"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auto"/>
            <w:vAlign w:val="center"/>
            <w:hideMark/>
          </w:tcPr>
          <w:p w14:paraId="26E217B5"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6EC3EB9B" w14:textId="77777777" w:rsidTr="009029CB">
        <w:trPr>
          <w:trHeight w:val="227"/>
        </w:trPr>
        <w:tc>
          <w:tcPr>
            <w:tcW w:w="3115" w:type="dxa"/>
            <w:vMerge/>
            <w:vAlign w:val="center"/>
            <w:hideMark/>
          </w:tcPr>
          <w:p w14:paraId="0071FBAD" w14:textId="77777777" w:rsidR="005D6F59" w:rsidRPr="00646008" w:rsidRDefault="005D6F59" w:rsidP="005D6F59">
            <w:pPr>
              <w:spacing w:after="0"/>
              <w:ind w:firstLine="0"/>
              <w:rPr>
                <w:color w:val="000000"/>
                <w:sz w:val="22"/>
                <w:szCs w:val="22"/>
                <w:lang w:eastAsia="lv-LV"/>
              </w:rPr>
            </w:pPr>
          </w:p>
        </w:tc>
        <w:tc>
          <w:tcPr>
            <w:tcW w:w="3115" w:type="dxa"/>
            <w:vMerge/>
            <w:vAlign w:val="center"/>
            <w:hideMark/>
          </w:tcPr>
          <w:p w14:paraId="2FD0BE3E" w14:textId="77777777" w:rsidR="005D6F59" w:rsidRPr="00646008" w:rsidRDefault="005D6F59" w:rsidP="005D6F59">
            <w:pPr>
              <w:spacing w:after="0"/>
              <w:ind w:firstLine="0"/>
              <w:rPr>
                <w:color w:val="000000"/>
                <w:sz w:val="22"/>
                <w:szCs w:val="22"/>
                <w:lang w:eastAsia="lv-LV"/>
              </w:rPr>
            </w:pPr>
          </w:p>
        </w:tc>
        <w:tc>
          <w:tcPr>
            <w:tcW w:w="1413" w:type="dxa"/>
            <w:shd w:val="clear" w:color="auto" w:fill="DBE5F1" w:themeFill="accent1" w:themeFillTint="33"/>
            <w:vAlign w:val="center"/>
            <w:hideMark/>
          </w:tcPr>
          <w:p w14:paraId="761F124F"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SOC</w:t>
            </w:r>
          </w:p>
        </w:tc>
        <w:tc>
          <w:tcPr>
            <w:tcW w:w="791" w:type="dxa"/>
            <w:shd w:val="clear" w:color="auto" w:fill="DBE5F1" w:themeFill="accent1" w:themeFillTint="33"/>
            <w:vAlign w:val="center"/>
            <w:hideMark/>
          </w:tcPr>
          <w:p w14:paraId="210E5879"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D.61</w:t>
            </w:r>
          </w:p>
        </w:tc>
        <w:tc>
          <w:tcPr>
            <w:tcW w:w="1255" w:type="dxa"/>
            <w:shd w:val="clear" w:color="auto" w:fill="DBE5F1" w:themeFill="accent1" w:themeFillTint="33"/>
            <w:vAlign w:val="center"/>
            <w:hideMark/>
          </w:tcPr>
          <w:p w14:paraId="3E64EE40"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 xml:space="preserve">Naudas </w:t>
            </w:r>
            <w:r w:rsidRPr="00646008">
              <w:rPr>
                <w:color w:val="000000"/>
                <w:sz w:val="22"/>
                <w:szCs w:val="22"/>
                <w:lang w:eastAsia="lv-LV"/>
              </w:rPr>
              <w:lastRenderedPageBreak/>
              <w:t>plūsmas</w:t>
            </w:r>
          </w:p>
        </w:tc>
        <w:tc>
          <w:tcPr>
            <w:tcW w:w="1481" w:type="dxa"/>
            <w:shd w:val="clear" w:color="auto" w:fill="DBE5F1" w:themeFill="accent1" w:themeFillTint="33"/>
            <w:vAlign w:val="center"/>
            <w:hideMark/>
          </w:tcPr>
          <w:p w14:paraId="4114F45A"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lastRenderedPageBreak/>
              <w:t>Pieņemts</w:t>
            </w:r>
          </w:p>
        </w:tc>
        <w:tc>
          <w:tcPr>
            <w:tcW w:w="730" w:type="dxa"/>
            <w:shd w:val="clear" w:color="auto" w:fill="DBE5F1" w:themeFill="accent1" w:themeFillTint="33"/>
            <w:noWrap/>
            <w:vAlign w:val="bottom"/>
            <w:hideMark/>
          </w:tcPr>
          <w:p w14:paraId="5BEEF823"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DBE5F1" w:themeFill="accent1" w:themeFillTint="33"/>
            <w:vAlign w:val="center"/>
            <w:hideMark/>
          </w:tcPr>
          <w:p w14:paraId="79B22F94" w14:textId="77777777" w:rsidR="005D6F59" w:rsidRPr="00646008" w:rsidRDefault="005D6F59" w:rsidP="005D6F59">
            <w:pPr>
              <w:spacing w:after="0"/>
              <w:ind w:firstLine="0"/>
              <w:jc w:val="center"/>
              <w:rPr>
                <w:color w:val="000000"/>
                <w:sz w:val="22"/>
                <w:szCs w:val="22"/>
                <w:lang w:eastAsia="lv-LV"/>
              </w:rPr>
            </w:pPr>
            <w:r>
              <w:rPr>
                <w:color w:val="000000"/>
                <w:sz w:val="22"/>
                <w:szCs w:val="22"/>
              </w:rPr>
              <w:t>0,06</w:t>
            </w:r>
          </w:p>
        </w:tc>
        <w:tc>
          <w:tcPr>
            <w:tcW w:w="932" w:type="dxa"/>
            <w:shd w:val="clear" w:color="auto" w:fill="DBE5F1" w:themeFill="accent1" w:themeFillTint="33"/>
            <w:vAlign w:val="center"/>
            <w:hideMark/>
          </w:tcPr>
          <w:p w14:paraId="43D82AF0"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DBE5F1" w:themeFill="accent1" w:themeFillTint="33"/>
            <w:vAlign w:val="center"/>
            <w:hideMark/>
          </w:tcPr>
          <w:p w14:paraId="56F421DC"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1E63BC44" w14:textId="77777777" w:rsidTr="009029CB">
        <w:trPr>
          <w:trHeight w:val="227"/>
        </w:trPr>
        <w:tc>
          <w:tcPr>
            <w:tcW w:w="3115" w:type="dxa"/>
            <w:vMerge/>
            <w:vAlign w:val="center"/>
            <w:hideMark/>
          </w:tcPr>
          <w:p w14:paraId="6D328EB8" w14:textId="77777777" w:rsidR="005D6F59" w:rsidRPr="00646008" w:rsidRDefault="005D6F59" w:rsidP="005D6F59">
            <w:pPr>
              <w:spacing w:after="0"/>
              <w:ind w:firstLine="0"/>
              <w:rPr>
                <w:color w:val="000000"/>
                <w:sz w:val="22"/>
                <w:szCs w:val="22"/>
                <w:lang w:eastAsia="lv-LV"/>
              </w:rPr>
            </w:pPr>
          </w:p>
        </w:tc>
        <w:tc>
          <w:tcPr>
            <w:tcW w:w="3115" w:type="dxa"/>
            <w:vMerge/>
            <w:vAlign w:val="center"/>
            <w:hideMark/>
          </w:tcPr>
          <w:p w14:paraId="479A1AF6" w14:textId="77777777" w:rsidR="005D6F59" w:rsidRPr="00646008" w:rsidRDefault="005D6F59" w:rsidP="005D6F59">
            <w:pPr>
              <w:spacing w:after="0"/>
              <w:ind w:firstLine="0"/>
              <w:rPr>
                <w:color w:val="000000"/>
                <w:sz w:val="22"/>
                <w:szCs w:val="22"/>
                <w:lang w:eastAsia="lv-LV"/>
              </w:rPr>
            </w:pPr>
          </w:p>
        </w:tc>
        <w:tc>
          <w:tcPr>
            <w:tcW w:w="1413" w:type="dxa"/>
            <w:shd w:val="clear" w:color="auto" w:fill="auto"/>
            <w:vAlign w:val="center"/>
            <w:hideMark/>
          </w:tcPr>
          <w:p w14:paraId="7E091B6A"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SOC veselības finansēšanai</w:t>
            </w:r>
          </w:p>
        </w:tc>
        <w:tc>
          <w:tcPr>
            <w:tcW w:w="791" w:type="dxa"/>
            <w:shd w:val="clear" w:color="auto" w:fill="auto"/>
            <w:vAlign w:val="center"/>
            <w:hideMark/>
          </w:tcPr>
          <w:p w14:paraId="3E6DBFB9"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D.61</w:t>
            </w:r>
          </w:p>
        </w:tc>
        <w:tc>
          <w:tcPr>
            <w:tcW w:w="1255" w:type="dxa"/>
            <w:shd w:val="clear" w:color="auto" w:fill="auto"/>
            <w:vAlign w:val="center"/>
            <w:hideMark/>
          </w:tcPr>
          <w:p w14:paraId="1360ECC2"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Naudas plūsmas</w:t>
            </w:r>
          </w:p>
        </w:tc>
        <w:tc>
          <w:tcPr>
            <w:tcW w:w="1481" w:type="dxa"/>
            <w:shd w:val="clear" w:color="auto" w:fill="auto"/>
            <w:vAlign w:val="center"/>
            <w:hideMark/>
          </w:tcPr>
          <w:p w14:paraId="08678C12"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auto"/>
            <w:noWrap/>
            <w:vAlign w:val="bottom"/>
            <w:hideMark/>
          </w:tcPr>
          <w:p w14:paraId="07754DDB"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auto"/>
            <w:vAlign w:val="center"/>
            <w:hideMark/>
          </w:tcPr>
          <w:p w14:paraId="3A3890B1"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auto"/>
            <w:vAlign w:val="center"/>
            <w:hideMark/>
          </w:tcPr>
          <w:p w14:paraId="2713B0BE"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auto"/>
            <w:vAlign w:val="center"/>
            <w:hideMark/>
          </w:tcPr>
          <w:p w14:paraId="397025B7"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3ED6F525" w14:textId="77777777" w:rsidTr="009029CB">
        <w:trPr>
          <w:trHeight w:val="227"/>
        </w:trPr>
        <w:tc>
          <w:tcPr>
            <w:tcW w:w="3115" w:type="dxa"/>
            <w:vMerge/>
            <w:vAlign w:val="center"/>
            <w:hideMark/>
          </w:tcPr>
          <w:p w14:paraId="733A4DEC" w14:textId="77777777" w:rsidR="005D6F59" w:rsidRPr="00646008" w:rsidRDefault="005D6F59" w:rsidP="005D6F59">
            <w:pPr>
              <w:spacing w:after="0"/>
              <w:ind w:firstLine="0"/>
              <w:rPr>
                <w:color w:val="000000"/>
                <w:sz w:val="22"/>
                <w:szCs w:val="22"/>
                <w:lang w:eastAsia="lv-LV"/>
              </w:rPr>
            </w:pPr>
          </w:p>
        </w:tc>
        <w:tc>
          <w:tcPr>
            <w:tcW w:w="3115" w:type="dxa"/>
            <w:vMerge/>
            <w:vAlign w:val="center"/>
            <w:hideMark/>
          </w:tcPr>
          <w:p w14:paraId="1ECC530B" w14:textId="77777777" w:rsidR="005D6F59" w:rsidRPr="00646008" w:rsidRDefault="005D6F59" w:rsidP="005D6F59">
            <w:pPr>
              <w:spacing w:after="0"/>
              <w:ind w:firstLine="0"/>
              <w:rPr>
                <w:color w:val="000000"/>
                <w:sz w:val="22"/>
                <w:szCs w:val="22"/>
                <w:lang w:eastAsia="lv-LV"/>
              </w:rPr>
            </w:pPr>
          </w:p>
        </w:tc>
        <w:tc>
          <w:tcPr>
            <w:tcW w:w="1413" w:type="dxa"/>
            <w:shd w:val="clear" w:color="auto" w:fill="DBE5F1" w:themeFill="accent1" w:themeFillTint="33"/>
            <w:vAlign w:val="center"/>
            <w:hideMark/>
          </w:tcPr>
          <w:p w14:paraId="1F9A8DA9"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PVN</w:t>
            </w:r>
          </w:p>
        </w:tc>
        <w:tc>
          <w:tcPr>
            <w:tcW w:w="791" w:type="dxa"/>
            <w:shd w:val="clear" w:color="auto" w:fill="DBE5F1" w:themeFill="accent1" w:themeFillTint="33"/>
            <w:vAlign w:val="center"/>
            <w:hideMark/>
          </w:tcPr>
          <w:p w14:paraId="07395CDF"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D.2</w:t>
            </w:r>
          </w:p>
        </w:tc>
        <w:tc>
          <w:tcPr>
            <w:tcW w:w="1255" w:type="dxa"/>
            <w:shd w:val="clear" w:color="auto" w:fill="DBE5F1" w:themeFill="accent1" w:themeFillTint="33"/>
            <w:vAlign w:val="center"/>
            <w:hideMark/>
          </w:tcPr>
          <w:p w14:paraId="3EAC8DA3"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Naudas plūsmas</w:t>
            </w:r>
          </w:p>
        </w:tc>
        <w:tc>
          <w:tcPr>
            <w:tcW w:w="1481" w:type="dxa"/>
            <w:shd w:val="clear" w:color="auto" w:fill="DBE5F1" w:themeFill="accent1" w:themeFillTint="33"/>
            <w:vAlign w:val="center"/>
            <w:hideMark/>
          </w:tcPr>
          <w:p w14:paraId="7CC269A6"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DBE5F1" w:themeFill="accent1" w:themeFillTint="33"/>
            <w:noWrap/>
            <w:vAlign w:val="bottom"/>
            <w:hideMark/>
          </w:tcPr>
          <w:p w14:paraId="495BF16D"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DBE5F1" w:themeFill="accent1" w:themeFillTint="33"/>
            <w:vAlign w:val="center"/>
            <w:hideMark/>
          </w:tcPr>
          <w:p w14:paraId="6749C0A1"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DBE5F1" w:themeFill="accent1" w:themeFillTint="33"/>
            <w:vAlign w:val="center"/>
            <w:hideMark/>
          </w:tcPr>
          <w:p w14:paraId="136FDF1F"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DBE5F1" w:themeFill="accent1" w:themeFillTint="33"/>
            <w:vAlign w:val="center"/>
            <w:hideMark/>
          </w:tcPr>
          <w:p w14:paraId="45CF5AB0"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71AC1A35" w14:textId="77777777" w:rsidTr="009029CB">
        <w:trPr>
          <w:trHeight w:val="227"/>
        </w:trPr>
        <w:tc>
          <w:tcPr>
            <w:tcW w:w="3115" w:type="dxa"/>
            <w:vMerge w:val="restart"/>
            <w:shd w:val="clear" w:color="auto" w:fill="DBE5F1" w:themeFill="accent1" w:themeFillTint="33"/>
            <w:vAlign w:val="center"/>
            <w:hideMark/>
          </w:tcPr>
          <w:p w14:paraId="578752CC"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Papildu finansējums algu palielināšana tiesnešiem un prokuroriem, izdienas piemaksu nodrošināšanai KNAB un izdienas pabalsts pēc katriem 5 nepārtrauktas izdienas gadiem I</w:t>
            </w:r>
            <w:r w:rsidR="006A676E">
              <w:rPr>
                <w:color w:val="000000"/>
                <w:sz w:val="22"/>
                <w:szCs w:val="22"/>
                <w:lang w:eastAsia="lv-LV"/>
              </w:rPr>
              <w:t>E</w:t>
            </w:r>
            <w:r w:rsidRPr="00646008">
              <w:rPr>
                <w:color w:val="000000"/>
                <w:sz w:val="22"/>
                <w:szCs w:val="22"/>
                <w:lang w:eastAsia="lv-LV"/>
              </w:rPr>
              <w:t>M amatpersonām</w:t>
            </w:r>
          </w:p>
        </w:tc>
        <w:tc>
          <w:tcPr>
            <w:tcW w:w="3115" w:type="dxa"/>
            <w:vMerge w:val="restart"/>
            <w:shd w:val="clear" w:color="auto" w:fill="DBE5F1" w:themeFill="accent1" w:themeFillTint="33"/>
            <w:vAlign w:val="center"/>
            <w:hideMark/>
          </w:tcPr>
          <w:p w14:paraId="7D804B73" w14:textId="77777777" w:rsidR="005D6F59" w:rsidRPr="00646008" w:rsidRDefault="005D6F59" w:rsidP="005D6F59">
            <w:pPr>
              <w:spacing w:after="0"/>
              <w:ind w:firstLine="0"/>
              <w:rPr>
                <w:color w:val="000000"/>
                <w:sz w:val="22"/>
                <w:szCs w:val="22"/>
                <w:lang w:eastAsia="lv-LV"/>
              </w:rPr>
            </w:pPr>
            <w:r w:rsidRPr="00646008">
              <w:rPr>
                <w:color w:val="000000"/>
                <w:sz w:val="22"/>
                <w:szCs w:val="22"/>
                <w:lang w:eastAsia="lv-LV"/>
              </w:rPr>
              <w:t>Papildu finansējums algu palielināšana tiesnešiem un prokuroriem, izdienas piemaksu nodrošināšanai KNAB un izdienas pabalsts pēc katriem 5 nepārtrauktas izdienas gadiem I</w:t>
            </w:r>
            <w:r w:rsidR="006A676E">
              <w:rPr>
                <w:color w:val="000000"/>
                <w:sz w:val="22"/>
                <w:szCs w:val="22"/>
                <w:lang w:eastAsia="lv-LV"/>
              </w:rPr>
              <w:t>E</w:t>
            </w:r>
            <w:r w:rsidRPr="00646008">
              <w:rPr>
                <w:color w:val="000000"/>
                <w:sz w:val="22"/>
                <w:szCs w:val="22"/>
                <w:lang w:eastAsia="lv-LV"/>
              </w:rPr>
              <w:t>M amatpersonām</w:t>
            </w:r>
          </w:p>
        </w:tc>
        <w:tc>
          <w:tcPr>
            <w:tcW w:w="1413" w:type="dxa"/>
            <w:shd w:val="clear" w:color="auto" w:fill="auto"/>
            <w:vAlign w:val="center"/>
            <w:hideMark/>
          </w:tcPr>
          <w:p w14:paraId="3DDB77D5"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IIN</w:t>
            </w:r>
          </w:p>
        </w:tc>
        <w:tc>
          <w:tcPr>
            <w:tcW w:w="791" w:type="dxa"/>
            <w:shd w:val="clear" w:color="auto" w:fill="auto"/>
            <w:vAlign w:val="center"/>
            <w:hideMark/>
          </w:tcPr>
          <w:p w14:paraId="2791065D"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D.5</w:t>
            </w:r>
          </w:p>
        </w:tc>
        <w:tc>
          <w:tcPr>
            <w:tcW w:w="1255" w:type="dxa"/>
            <w:shd w:val="clear" w:color="auto" w:fill="auto"/>
            <w:vAlign w:val="center"/>
            <w:hideMark/>
          </w:tcPr>
          <w:p w14:paraId="01ADEB6A"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Naudas plūsmas</w:t>
            </w:r>
          </w:p>
        </w:tc>
        <w:tc>
          <w:tcPr>
            <w:tcW w:w="1481" w:type="dxa"/>
            <w:shd w:val="clear" w:color="auto" w:fill="auto"/>
            <w:vAlign w:val="center"/>
            <w:hideMark/>
          </w:tcPr>
          <w:p w14:paraId="082CFBE1"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auto"/>
            <w:noWrap/>
            <w:vAlign w:val="bottom"/>
            <w:hideMark/>
          </w:tcPr>
          <w:p w14:paraId="40C7AD53"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auto"/>
            <w:vAlign w:val="center"/>
            <w:hideMark/>
          </w:tcPr>
          <w:p w14:paraId="475117AB" w14:textId="77777777" w:rsidR="005D6F59" w:rsidRPr="00646008" w:rsidRDefault="005D6F59" w:rsidP="005D6F59">
            <w:pPr>
              <w:spacing w:after="0"/>
              <w:ind w:firstLine="0"/>
              <w:jc w:val="center"/>
              <w:rPr>
                <w:color w:val="000000"/>
                <w:sz w:val="22"/>
                <w:szCs w:val="22"/>
                <w:lang w:eastAsia="lv-LV"/>
              </w:rPr>
            </w:pPr>
            <w:r>
              <w:rPr>
                <w:color w:val="000000"/>
                <w:sz w:val="22"/>
                <w:szCs w:val="22"/>
              </w:rPr>
              <w:t>0,02</w:t>
            </w:r>
          </w:p>
        </w:tc>
        <w:tc>
          <w:tcPr>
            <w:tcW w:w="932" w:type="dxa"/>
            <w:shd w:val="clear" w:color="auto" w:fill="auto"/>
            <w:vAlign w:val="center"/>
            <w:hideMark/>
          </w:tcPr>
          <w:p w14:paraId="0D05D377" w14:textId="77777777" w:rsidR="005D6F59" w:rsidRPr="00646008" w:rsidRDefault="005D6F59" w:rsidP="005D6F59">
            <w:pPr>
              <w:spacing w:after="0"/>
              <w:ind w:firstLine="0"/>
              <w:jc w:val="center"/>
              <w:rPr>
                <w:color w:val="000000"/>
                <w:sz w:val="22"/>
                <w:szCs w:val="22"/>
                <w:lang w:eastAsia="lv-LV"/>
              </w:rPr>
            </w:pPr>
            <w:r>
              <w:rPr>
                <w:color w:val="000000"/>
                <w:sz w:val="22"/>
                <w:szCs w:val="22"/>
              </w:rPr>
              <w:t>-0,02</w:t>
            </w:r>
          </w:p>
        </w:tc>
        <w:tc>
          <w:tcPr>
            <w:tcW w:w="932" w:type="dxa"/>
            <w:shd w:val="clear" w:color="auto" w:fill="auto"/>
            <w:vAlign w:val="center"/>
            <w:hideMark/>
          </w:tcPr>
          <w:p w14:paraId="338E35A0"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6F95B242" w14:textId="77777777" w:rsidTr="009029CB">
        <w:trPr>
          <w:trHeight w:val="227"/>
        </w:trPr>
        <w:tc>
          <w:tcPr>
            <w:tcW w:w="3115" w:type="dxa"/>
            <w:vMerge/>
            <w:shd w:val="clear" w:color="auto" w:fill="DBE5F1" w:themeFill="accent1" w:themeFillTint="33"/>
            <w:vAlign w:val="center"/>
            <w:hideMark/>
          </w:tcPr>
          <w:p w14:paraId="72765059" w14:textId="77777777" w:rsidR="005D6F59" w:rsidRPr="00646008" w:rsidRDefault="005D6F59" w:rsidP="005D6F59">
            <w:pPr>
              <w:spacing w:after="0"/>
              <w:ind w:firstLine="0"/>
              <w:jc w:val="left"/>
              <w:rPr>
                <w:color w:val="000000"/>
                <w:sz w:val="22"/>
                <w:szCs w:val="22"/>
                <w:lang w:eastAsia="lv-LV"/>
              </w:rPr>
            </w:pPr>
          </w:p>
        </w:tc>
        <w:tc>
          <w:tcPr>
            <w:tcW w:w="3115" w:type="dxa"/>
            <w:vMerge/>
            <w:shd w:val="clear" w:color="auto" w:fill="DBE5F1" w:themeFill="accent1" w:themeFillTint="33"/>
            <w:vAlign w:val="center"/>
            <w:hideMark/>
          </w:tcPr>
          <w:p w14:paraId="3FF55227" w14:textId="77777777" w:rsidR="005D6F59" w:rsidRPr="00646008" w:rsidRDefault="005D6F59" w:rsidP="005D6F59">
            <w:pPr>
              <w:spacing w:after="0"/>
              <w:ind w:firstLine="0"/>
              <w:jc w:val="left"/>
              <w:rPr>
                <w:color w:val="000000"/>
                <w:sz w:val="22"/>
                <w:szCs w:val="22"/>
                <w:lang w:eastAsia="lv-LV"/>
              </w:rPr>
            </w:pPr>
          </w:p>
        </w:tc>
        <w:tc>
          <w:tcPr>
            <w:tcW w:w="1413" w:type="dxa"/>
            <w:shd w:val="clear" w:color="auto" w:fill="DBE5F1" w:themeFill="accent1" w:themeFillTint="33"/>
            <w:vAlign w:val="center"/>
            <w:hideMark/>
          </w:tcPr>
          <w:p w14:paraId="415D8AB1"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SOC</w:t>
            </w:r>
          </w:p>
        </w:tc>
        <w:tc>
          <w:tcPr>
            <w:tcW w:w="791" w:type="dxa"/>
            <w:shd w:val="clear" w:color="auto" w:fill="DBE5F1" w:themeFill="accent1" w:themeFillTint="33"/>
            <w:vAlign w:val="center"/>
            <w:hideMark/>
          </w:tcPr>
          <w:p w14:paraId="3C9E910D"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D.61</w:t>
            </w:r>
          </w:p>
        </w:tc>
        <w:tc>
          <w:tcPr>
            <w:tcW w:w="1255" w:type="dxa"/>
            <w:shd w:val="clear" w:color="auto" w:fill="DBE5F1" w:themeFill="accent1" w:themeFillTint="33"/>
            <w:vAlign w:val="center"/>
            <w:hideMark/>
          </w:tcPr>
          <w:p w14:paraId="2A2F7704"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Naudas plūsmas</w:t>
            </w:r>
          </w:p>
        </w:tc>
        <w:tc>
          <w:tcPr>
            <w:tcW w:w="1481" w:type="dxa"/>
            <w:shd w:val="clear" w:color="auto" w:fill="DBE5F1" w:themeFill="accent1" w:themeFillTint="33"/>
            <w:vAlign w:val="center"/>
            <w:hideMark/>
          </w:tcPr>
          <w:p w14:paraId="79F59F61"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DBE5F1" w:themeFill="accent1" w:themeFillTint="33"/>
            <w:noWrap/>
            <w:vAlign w:val="bottom"/>
            <w:hideMark/>
          </w:tcPr>
          <w:p w14:paraId="5EF03EA7"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DBE5F1" w:themeFill="accent1" w:themeFillTint="33"/>
            <w:vAlign w:val="center"/>
            <w:hideMark/>
          </w:tcPr>
          <w:p w14:paraId="41A07498" w14:textId="77777777" w:rsidR="005D6F59" w:rsidRPr="00646008" w:rsidRDefault="005D6F59" w:rsidP="005D6F59">
            <w:pPr>
              <w:spacing w:after="0"/>
              <w:ind w:firstLine="0"/>
              <w:jc w:val="center"/>
              <w:rPr>
                <w:color w:val="000000"/>
                <w:sz w:val="22"/>
                <w:szCs w:val="22"/>
                <w:lang w:eastAsia="lv-LV"/>
              </w:rPr>
            </w:pPr>
            <w:r>
              <w:rPr>
                <w:color w:val="000000"/>
                <w:sz w:val="22"/>
                <w:szCs w:val="22"/>
              </w:rPr>
              <w:t>0,04</w:t>
            </w:r>
          </w:p>
        </w:tc>
        <w:tc>
          <w:tcPr>
            <w:tcW w:w="932" w:type="dxa"/>
            <w:shd w:val="clear" w:color="auto" w:fill="DBE5F1" w:themeFill="accent1" w:themeFillTint="33"/>
            <w:vAlign w:val="center"/>
            <w:hideMark/>
          </w:tcPr>
          <w:p w14:paraId="43A5C296" w14:textId="77777777" w:rsidR="005D6F59" w:rsidRPr="00646008" w:rsidRDefault="005D6F59" w:rsidP="005D6F59">
            <w:pPr>
              <w:spacing w:after="0"/>
              <w:ind w:firstLine="0"/>
              <w:jc w:val="center"/>
              <w:rPr>
                <w:color w:val="000000"/>
                <w:sz w:val="22"/>
                <w:szCs w:val="22"/>
                <w:lang w:eastAsia="lv-LV"/>
              </w:rPr>
            </w:pPr>
            <w:r>
              <w:rPr>
                <w:color w:val="000000"/>
                <w:sz w:val="22"/>
                <w:szCs w:val="22"/>
              </w:rPr>
              <w:t>-0,03</w:t>
            </w:r>
          </w:p>
        </w:tc>
        <w:tc>
          <w:tcPr>
            <w:tcW w:w="932" w:type="dxa"/>
            <w:shd w:val="clear" w:color="auto" w:fill="DBE5F1" w:themeFill="accent1" w:themeFillTint="33"/>
            <w:vAlign w:val="center"/>
            <w:hideMark/>
          </w:tcPr>
          <w:p w14:paraId="4926C663"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5A53D036" w14:textId="77777777" w:rsidTr="009029CB">
        <w:trPr>
          <w:trHeight w:val="227"/>
        </w:trPr>
        <w:tc>
          <w:tcPr>
            <w:tcW w:w="3115" w:type="dxa"/>
            <w:vMerge/>
            <w:shd w:val="clear" w:color="auto" w:fill="DBE5F1" w:themeFill="accent1" w:themeFillTint="33"/>
            <w:vAlign w:val="center"/>
            <w:hideMark/>
          </w:tcPr>
          <w:p w14:paraId="5CE47633" w14:textId="77777777" w:rsidR="005D6F59" w:rsidRPr="00646008" w:rsidRDefault="005D6F59" w:rsidP="005D6F59">
            <w:pPr>
              <w:spacing w:after="0"/>
              <w:ind w:firstLine="0"/>
              <w:jc w:val="left"/>
              <w:rPr>
                <w:color w:val="000000"/>
                <w:sz w:val="22"/>
                <w:szCs w:val="22"/>
                <w:lang w:eastAsia="lv-LV"/>
              </w:rPr>
            </w:pPr>
          </w:p>
        </w:tc>
        <w:tc>
          <w:tcPr>
            <w:tcW w:w="3115" w:type="dxa"/>
            <w:vMerge/>
            <w:shd w:val="clear" w:color="auto" w:fill="DBE5F1" w:themeFill="accent1" w:themeFillTint="33"/>
            <w:vAlign w:val="center"/>
            <w:hideMark/>
          </w:tcPr>
          <w:p w14:paraId="439775D8" w14:textId="77777777" w:rsidR="005D6F59" w:rsidRPr="00646008" w:rsidRDefault="005D6F59" w:rsidP="005D6F59">
            <w:pPr>
              <w:spacing w:after="0"/>
              <w:ind w:firstLine="0"/>
              <w:jc w:val="left"/>
              <w:rPr>
                <w:color w:val="000000"/>
                <w:sz w:val="22"/>
                <w:szCs w:val="22"/>
                <w:lang w:eastAsia="lv-LV"/>
              </w:rPr>
            </w:pPr>
          </w:p>
        </w:tc>
        <w:tc>
          <w:tcPr>
            <w:tcW w:w="1413" w:type="dxa"/>
            <w:shd w:val="clear" w:color="auto" w:fill="auto"/>
            <w:vAlign w:val="center"/>
            <w:hideMark/>
          </w:tcPr>
          <w:p w14:paraId="2490A7DA"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SOC veselības finansēšanai</w:t>
            </w:r>
          </w:p>
        </w:tc>
        <w:tc>
          <w:tcPr>
            <w:tcW w:w="791" w:type="dxa"/>
            <w:shd w:val="clear" w:color="auto" w:fill="auto"/>
            <w:vAlign w:val="center"/>
            <w:hideMark/>
          </w:tcPr>
          <w:p w14:paraId="5C841B81"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D.61</w:t>
            </w:r>
          </w:p>
        </w:tc>
        <w:tc>
          <w:tcPr>
            <w:tcW w:w="1255" w:type="dxa"/>
            <w:shd w:val="clear" w:color="auto" w:fill="auto"/>
            <w:vAlign w:val="center"/>
            <w:hideMark/>
          </w:tcPr>
          <w:p w14:paraId="531FFE60"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Naudas plūsmas</w:t>
            </w:r>
          </w:p>
        </w:tc>
        <w:tc>
          <w:tcPr>
            <w:tcW w:w="1481" w:type="dxa"/>
            <w:shd w:val="clear" w:color="auto" w:fill="auto"/>
            <w:vAlign w:val="center"/>
            <w:hideMark/>
          </w:tcPr>
          <w:p w14:paraId="0D6E92E7" w14:textId="77777777" w:rsidR="005D6F59" w:rsidRPr="00646008" w:rsidRDefault="005D6F59" w:rsidP="005D6F59">
            <w:pPr>
              <w:spacing w:after="0"/>
              <w:ind w:firstLine="0"/>
              <w:jc w:val="center"/>
              <w:rPr>
                <w:color w:val="000000"/>
                <w:sz w:val="22"/>
                <w:szCs w:val="22"/>
                <w:lang w:eastAsia="lv-LV"/>
              </w:rPr>
            </w:pPr>
            <w:r w:rsidRPr="00646008">
              <w:rPr>
                <w:color w:val="000000"/>
                <w:sz w:val="22"/>
                <w:szCs w:val="22"/>
                <w:lang w:eastAsia="lv-LV"/>
              </w:rPr>
              <w:t>Pieņemts</w:t>
            </w:r>
          </w:p>
        </w:tc>
        <w:tc>
          <w:tcPr>
            <w:tcW w:w="730" w:type="dxa"/>
            <w:shd w:val="clear" w:color="auto" w:fill="auto"/>
            <w:noWrap/>
            <w:vAlign w:val="bottom"/>
            <w:hideMark/>
          </w:tcPr>
          <w:p w14:paraId="66065C37" w14:textId="77777777" w:rsidR="005D6F59" w:rsidRPr="00646008" w:rsidRDefault="005D6F59" w:rsidP="005D6F59">
            <w:pPr>
              <w:spacing w:after="0"/>
              <w:ind w:firstLine="0"/>
              <w:jc w:val="center"/>
              <w:rPr>
                <w:b/>
                <w:bCs/>
                <w:color w:val="000000"/>
                <w:sz w:val="22"/>
                <w:szCs w:val="22"/>
                <w:lang w:eastAsia="lv-LV"/>
              </w:rPr>
            </w:pPr>
            <w:r w:rsidRPr="00646008">
              <w:rPr>
                <w:b/>
                <w:bCs/>
                <w:color w:val="000000"/>
                <w:sz w:val="22"/>
                <w:szCs w:val="22"/>
                <w:lang w:eastAsia="lv-LV"/>
              </w:rPr>
              <w:t> </w:t>
            </w:r>
          </w:p>
        </w:tc>
        <w:tc>
          <w:tcPr>
            <w:tcW w:w="932" w:type="dxa"/>
            <w:shd w:val="clear" w:color="auto" w:fill="auto"/>
            <w:vAlign w:val="center"/>
            <w:hideMark/>
          </w:tcPr>
          <w:p w14:paraId="1D0CA1F1"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auto"/>
            <w:vAlign w:val="center"/>
            <w:hideMark/>
          </w:tcPr>
          <w:p w14:paraId="08AD6CFA"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c>
          <w:tcPr>
            <w:tcW w:w="932" w:type="dxa"/>
            <w:shd w:val="clear" w:color="auto" w:fill="auto"/>
            <w:vAlign w:val="center"/>
            <w:hideMark/>
          </w:tcPr>
          <w:p w14:paraId="003A5ECF" w14:textId="77777777" w:rsidR="005D6F59" w:rsidRPr="00646008" w:rsidRDefault="005D6F59" w:rsidP="005D6F59">
            <w:pPr>
              <w:spacing w:after="0"/>
              <w:ind w:firstLine="0"/>
              <w:jc w:val="center"/>
              <w:rPr>
                <w:color w:val="000000"/>
                <w:sz w:val="22"/>
                <w:szCs w:val="22"/>
                <w:lang w:eastAsia="lv-LV"/>
              </w:rPr>
            </w:pPr>
            <w:r>
              <w:rPr>
                <w:color w:val="000000"/>
                <w:sz w:val="22"/>
                <w:szCs w:val="22"/>
              </w:rPr>
              <w:t>0,00</w:t>
            </w:r>
          </w:p>
        </w:tc>
      </w:tr>
      <w:tr w:rsidR="005D6F59" w:rsidRPr="00646008" w14:paraId="2D4ED667" w14:textId="77777777" w:rsidTr="009029CB">
        <w:trPr>
          <w:trHeight w:val="227"/>
        </w:trPr>
        <w:tc>
          <w:tcPr>
            <w:tcW w:w="3115" w:type="dxa"/>
            <w:shd w:val="clear" w:color="auto" w:fill="auto"/>
            <w:vAlign w:val="center"/>
            <w:hideMark/>
          </w:tcPr>
          <w:p w14:paraId="5C679D7B" w14:textId="77777777" w:rsidR="005D6F59" w:rsidRPr="00646008" w:rsidRDefault="005D6F59" w:rsidP="005D6F59">
            <w:pPr>
              <w:spacing w:after="0"/>
              <w:ind w:firstLine="0"/>
              <w:jc w:val="left"/>
              <w:rPr>
                <w:sz w:val="22"/>
                <w:szCs w:val="22"/>
                <w:lang w:eastAsia="lv-LV"/>
              </w:rPr>
            </w:pPr>
            <w:r w:rsidRPr="00646008">
              <w:rPr>
                <w:sz w:val="22"/>
                <w:szCs w:val="22"/>
                <w:lang w:eastAsia="lv-LV"/>
              </w:rPr>
              <w:t>Citi pasākumi kopā</w:t>
            </w:r>
          </w:p>
        </w:tc>
        <w:tc>
          <w:tcPr>
            <w:tcW w:w="3115" w:type="dxa"/>
            <w:shd w:val="clear" w:color="auto" w:fill="auto"/>
            <w:vAlign w:val="center"/>
            <w:hideMark/>
          </w:tcPr>
          <w:p w14:paraId="0E115533" w14:textId="77777777" w:rsidR="005D6F59" w:rsidRPr="00646008" w:rsidRDefault="005D6F59" w:rsidP="005D6F59">
            <w:pPr>
              <w:spacing w:after="0"/>
              <w:ind w:firstLine="0"/>
              <w:jc w:val="center"/>
              <w:rPr>
                <w:sz w:val="22"/>
                <w:szCs w:val="22"/>
                <w:lang w:eastAsia="lv-LV"/>
              </w:rPr>
            </w:pPr>
            <w:r w:rsidRPr="00646008">
              <w:rPr>
                <w:sz w:val="22"/>
                <w:szCs w:val="22"/>
                <w:lang w:eastAsia="lv-LV"/>
              </w:rPr>
              <w:t> </w:t>
            </w:r>
          </w:p>
        </w:tc>
        <w:tc>
          <w:tcPr>
            <w:tcW w:w="1413" w:type="dxa"/>
            <w:shd w:val="clear" w:color="auto" w:fill="auto"/>
            <w:vAlign w:val="center"/>
            <w:hideMark/>
          </w:tcPr>
          <w:p w14:paraId="49FE2D04" w14:textId="77777777" w:rsidR="005D6F59" w:rsidRPr="00646008" w:rsidRDefault="005D6F59" w:rsidP="005D6F59">
            <w:pPr>
              <w:spacing w:after="0"/>
              <w:ind w:firstLine="0"/>
              <w:jc w:val="center"/>
              <w:rPr>
                <w:sz w:val="22"/>
                <w:szCs w:val="22"/>
                <w:lang w:eastAsia="lv-LV"/>
              </w:rPr>
            </w:pPr>
          </w:p>
        </w:tc>
        <w:tc>
          <w:tcPr>
            <w:tcW w:w="791" w:type="dxa"/>
            <w:shd w:val="clear" w:color="auto" w:fill="auto"/>
            <w:vAlign w:val="center"/>
            <w:hideMark/>
          </w:tcPr>
          <w:p w14:paraId="3711C1BA" w14:textId="77777777" w:rsidR="005D6F59" w:rsidRPr="00646008" w:rsidRDefault="005D6F59" w:rsidP="005D6F59">
            <w:pPr>
              <w:spacing w:after="0"/>
              <w:ind w:firstLine="0"/>
              <w:jc w:val="center"/>
              <w:rPr>
                <w:sz w:val="22"/>
                <w:szCs w:val="22"/>
                <w:lang w:eastAsia="lv-LV"/>
              </w:rPr>
            </w:pPr>
            <w:r w:rsidRPr="00646008">
              <w:rPr>
                <w:sz w:val="22"/>
                <w:szCs w:val="22"/>
                <w:lang w:eastAsia="lv-LV"/>
              </w:rPr>
              <w:t> </w:t>
            </w:r>
          </w:p>
        </w:tc>
        <w:tc>
          <w:tcPr>
            <w:tcW w:w="1255" w:type="dxa"/>
            <w:shd w:val="clear" w:color="auto" w:fill="auto"/>
            <w:vAlign w:val="center"/>
            <w:hideMark/>
          </w:tcPr>
          <w:p w14:paraId="3F41DD27" w14:textId="77777777" w:rsidR="005D6F59" w:rsidRPr="00646008" w:rsidRDefault="005D6F59" w:rsidP="005D6F59">
            <w:pPr>
              <w:spacing w:after="0"/>
              <w:ind w:firstLine="0"/>
              <w:jc w:val="center"/>
              <w:rPr>
                <w:sz w:val="22"/>
                <w:szCs w:val="22"/>
                <w:lang w:eastAsia="lv-LV"/>
              </w:rPr>
            </w:pPr>
            <w:r w:rsidRPr="00646008">
              <w:rPr>
                <w:sz w:val="22"/>
                <w:szCs w:val="22"/>
                <w:lang w:eastAsia="lv-LV"/>
              </w:rPr>
              <w:t> </w:t>
            </w:r>
          </w:p>
        </w:tc>
        <w:tc>
          <w:tcPr>
            <w:tcW w:w="1481" w:type="dxa"/>
            <w:shd w:val="clear" w:color="auto" w:fill="auto"/>
            <w:vAlign w:val="center"/>
            <w:hideMark/>
          </w:tcPr>
          <w:p w14:paraId="5CCE002D" w14:textId="77777777" w:rsidR="005D6F59" w:rsidRPr="00646008" w:rsidRDefault="005D6F59" w:rsidP="005D6F59">
            <w:pPr>
              <w:spacing w:after="0"/>
              <w:ind w:firstLine="0"/>
              <w:jc w:val="center"/>
              <w:rPr>
                <w:sz w:val="22"/>
                <w:szCs w:val="22"/>
                <w:lang w:eastAsia="lv-LV"/>
              </w:rPr>
            </w:pPr>
            <w:r w:rsidRPr="00646008">
              <w:rPr>
                <w:sz w:val="22"/>
                <w:szCs w:val="22"/>
                <w:lang w:eastAsia="lv-LV"/>
              </w:rPr>
              <w:t> </w:t>
            </w:r>
          </w:p>
        </w:tc>
        <w:tc>
          <w:tcPr>
            <w:tcW w:w="730" w:type="dxa"/>
            <w:shd w:val="clear" w:color="auto" w:fill="auto"/>
            <w:noWrap/>
            <w:vAlign w:val="bottom"/>
            <w:hideMark/>
          </w:tcPr>
          <w:p w14:paraId="65E9A479" w14:textId="77777777" w:rsidR="005D6F59" w:rsidRPr="00646008" w:rsidRDefault="005D6F59" w:rsidP="005D6F59">
            <w:pPr>
              <w:spacing w:after="0"/>
              <w:ind w:firstLine="0"/>
              <w:jc w:val="center"/>
              <w:rPr>
                <w:b/>
                <w:bCs/>
                <w:sz w:val="22"/>
                <w:szCs w:val="22"/>
                <w:lang w:eastAsia="lv-LV"/>
              </w:rPr>
            </w:pPr>
            <w:r w:rsidRPr="00646008">
              <w:rPr>
                <w:b/>
                <w:bCs/>
                <w:sz w:val="22"/>
                <w:szCs w:val="22"/>
                <w:lang w:eastAsia="lv-LV"/>
              </w:rPr>
              <w:t> </w:t>
            </w:r>
          </w:p>
        </w:tc>
        <w:tc>
          <w:tcPr>
            <w:tcW w:w="932" w:type="dxa"/>
            <w:shd w:val="clear" w:color="auto" w:fill="auto"/>
            <w:vAlign w:val="center"/>
            <w:hideMark/>
          </w:tcPr>
          <w:p w14:paraId="4F57A5E6" w14:textId="77777777" w:rsidR="005D6F59" w:rsidRPr="00646008" w:rsidRDefault="005D6F59" w:rsidP="005D6F59">
            <w:pPr>
              <w:spacing w:after="0"/>
              <w:ind w:firstLine="0"/>
              <w:jc w:val="center"/>
              <w:rPr>
                <w:sz w:val="22"/>
                <w:szCs w:val="22"/>
                <w:lang w:eastAsia="lv-LV"/>
              </w:rPr>
            </w:pPr>
            <w:r>
              <w:rPr>
                <w:sz w:val="22"/>
                <w:szCs w:val="22"/>
              </w:rPr>
              <w:t>0,01</w:t>
            </w:r>
          </w:p>
        </w:tc>
        <w:tc>
          <w:tcPr>
            <w:tcW w:w="932" w:type="dxa"/>
            <w:shd w:val="clear" w:color="auto" w:fill="auto"/>
            <w:vAlign w:val="center"/>
            <w:hideMark/>
          </w:tcPr>
          <w:p w14:paraId="708450A1" w14:textId="77777777" w:rsidR="005D6F59" w:rsidRPr="00646008" w:rsidRDefault="005D6F59" w:rsidP="005D6F59">
            <w:pPr>
              <w:spacing w:after="0"/>
              <w:ind w:firstLine="0"/>
              <w:jc w:val="center"/>
              <w:rPr>
                <w:sz w:val="22"/>
                <w:szCs w:val="22"/>
                <w:lang w:eastAsia="lv-LV"/>
              </w:rPr>
            </w:pPr>
            <w:r>
              <w:rPr>
                <w:sz w:val="22"/>
                <w:szCs w:val="22"/>
              </w:rPr>
              <w:t>0,00</w:t>
            </w:r>
          </w:p>
        </w:tc>
        <w:tc>
          <w:tcPr>
            <w:tcW w:w="932" w:type="dxa"/>
            <w:shd w:val="clear" w:color="auto" w:fill="auto"/>
            <w:vAlign w:val="center"/>
            <w:hideMark/>
          </w:tcPr>
          <w:p w14:paraId="1F1615CB" w14:textId="77777777" w:rsidR="005D6F59" w:rsidRPr="00646008" w:rsidRDefault="005D6F59" w:rsidP="005D6F59">
            <w:pPr>
              <w:spacing w:after="0"/>
              <w:ind w:firstLine="0"/>
              <w:jc w:val="center"/>
              <w:rPr>
                <w:sz w:val="22"/>
                <w:szCs w:val="22"/>
                <w:lang w:eastAsia="lv-LV"/>
              </w:rPr>
            </w:pPr>
            <w:r>
              <w:rPr>
                <w:sz w:val="22"/>
                <w:szCs w:val="22"/>
              </w:rPr>
              <w:t>0,00</w:t>
            </w:r>
          </w:p>
        </w:tc>
      </w:tr>
      <w:tr w:rsidR="00646008" w:rsidRPr="00646008" w14:paraId="4D5CA9AF" w14:textId="77777777" w:rsidTr="009029CB">
        <w:trPr>
          <w:trHeight w:val="227"/>
        </w:trPr>
        <w:tc>
          <w:tcPr>
            <w:tcW w:w="3115" w:type="dxa"/>
            <w:shd w:val="clear" w:color="auto" w:fill="DBE5F1" w:themeFill="accent1" w:themeFillTint="33"/>
            <w:noWrap/>
            <w:vAlign w:val="bottom"/>
            <w:hideMark/>
          </w:tcPr>
          <w:p w14:paraId="4483F619" w14:textId="77777777" w:rsidR="00646008" w:rsidRPr="00646008" w:rsidRDefault="00646008" w:rsidP="00646008">
            <w:pPr>
              <w:spacing w:after="0"/>
              <w:ind w:firstLine="0"/>
              <w:jc w:val="center"/>
              <w:rPr>
                <w:sz w:val="22"/>
                <w:szCs w:val="22"/>
                <w:lang w:eastAsia="lv-LV"/>
              </w:rPr>
            </w:pPr>
          </w:p>
        </w:tc>
        <w:tc>
          <w:tcPr>
            <w:tcW w:w="3115" w:type="dxa"/>
            <w:shd w:val="clear" w:color="auto" w:fill="DBE5F1" w:themeFill="accent1" w:themeFillTint="33"/>
            <w:noWrap/>
            <w:vAlign w:val="bottom"/>
            <w:hideMark/>
          </w:tcPr>
          <w:p w14:paraId="1584FE44" w14:textId="77777777" w:rsidR="00646008" w:rsidRPr="00646008" w:rsidRDefault="00646008" w:rsidP="00646008">
            <w:pPr>
              <w:spacing w:after="0"/>
              <w:ind w:firstLine="0"/>
              <w:jc w:val="left"/>
              <w:rPr>
                <w:sz w:val="22"/>
                <w:szCs w:val="22"/>
                <w:lang w:eastAsia="lv-LV"/>
              </w:rPr>
            </w:pPr>
          </w:p>
        </w:tc>
        <w:tc>
          <w:tcPr>
            <w:tcW w:w="1413" w:type="dxa"/>
            <w:shd w:val="clear" w:color="auto" w:fill="DBE5F1" w:themeFill="accent1" w:themeFillTint="33"/>
            <w:noWrap/>
            <w:vAlign w:val="bottom"/>
            <w:hideMark/>
          </w:tcPr>
          <w:p w14:paraId="2A1B40BC" w14:textId="77777777" w:rsidR="00646008" w:rsidRPr="00646008" w:rsidRDefault="00646008" w:rsidP="008C010D">
            <w:pPr>
              <w:spacing w:after="0"/>
              <w:ind w:firstLine="0"/>
              <w:jc w:val="center"/>
              <w:rPr>
                <w:sz w:val="22"/>
                <w:szCs w:val="22"/>
                <w:lang w:eastAsia="lv-LV"/>
              </w:rPr>
            </w:pPr>
          </w:p>
        </w:tc>
        <w:tc>
          <w:tcPr>
            <w:tcW w:w="791" w:type="dxa"/>
            <w:shd w:val="clear" w:color="auto" w:fill="DBE5F1" w:themeFill="accent1" w:themeFillTint="33"/>
            <w:noWrap/>
            <w:vAlign w:val="center"/>
            <w:hideMark/>
          </w:tcPr>
          <w:p w14:paraId="728F3174" w14:textId="77777777" w:rsidR="00646008" w:rsidRPr="00646008" w:rsidRDefault="00646008" w:rsidP="00646008">
            <w:pPr>
              <w:spacing w:after="0"/>
              <w:ind w:firstLine="0"/>
              <w:jc w:val="left"/>
              <w:rPr>
                <w:sz w:val="22"/>
                <w:szCs w:val="22"/>
                <w:lang w:eastAsia="lv-LV"/>
              </w:rPr>
            </w:pPr>
          </w:p>
        </w:tc>
        <w:tc>
          <w:tcPr>
            <w:tcW w:w="1255" w:type="dxa"/>
            <w:shd w:val="clear" w:color="auto" w:fill="DBE5F1" w:themeFill="accent1" w:themeFillTint="33"/>
            <w:noWrap/>
            <w:vAlign w:val="bottom"/>
            <w:hideMark/>
          </w:tcPr>
          <w:p w14:paraId="7A692214" w14:textId="77777777" w:rsidR="00646008" w:rsidRPr="00646008" w:rsidRDefault="00646008" w:rsidP="00646008">
            <w:pPr>
              <w:spacing w:after="0"/>
              <w:ind w:firstLine="0"/>
              <w:jc w:val="center"/>
              <w:rPr>
                <w:sz w:val="22"/>
                <w:szCs w:val="22"/>
                <w:lang w:eastAsia="lv-LV"/>
              </w:rPr>
            </w:pPr>
          </w:p>
        </w:tc>
        <w:tc>
          <w:tcPr>
            <w:tcW w:w="1481" w:type="dxa"/>
            <w:shd w:val="clear" w:color="auto" w:fill="DBE5F1" w:themeFill="accent1" w:themeFillTint="33"/>
            <w:noWrap/>
            <w:vAlign w:val="bottom"/>
            <w:hideMark/>
          </w:tcPr>
          <w:p w14:paraId="2E4D4BAF" w14:textId="77777777" w:rsidR="00646008" w:rsidRPr="00646008" w:rsidRDefault="00646008" w:rsidP="00646008">
            <w:pPr>
              <w:spacing w:after="0"/>
              <w:ind w:firstLine="0"/>
              <w:jc w:val="left"/>
              <w:rPr>
                <w:sz w:val="22"/>
                <w:szCs w:val="22"/>
                <w:lang w:eastAsia="lv-LV"/>
              </w:rPr>
            </w:pPr>
          </w:p>
        </w:tc>
        <w:tc>
          <w:tcPr>
            <w:tcW w:w="730" w:type="dxa"/>
            <w:shd w:val="clear" w:color="auto" w:fill="DBE5F1" w:themeFill="accent1" w:themeFillTint="33"/>
            <w:noWrap/>
            <w:vAlign w:val="bottom"/>
            <w:hideMark/>
          </w:tcPr>
          <w:p w14:paraId="665D3A22" w14:textId="77777777" w:rsidR="00646008" w:rsidRPr="00646008" w:rsidRDefault="00646008" w:rsidP="00646008">
            <w:pPr>
              <w:spacing w:after="0"/>
              <w:ind w:firstLine="0"/>
              <w:jc w:val="left"/>
              <w:rPr>
                <w:b/>
                <w:bCs/>
                <w:color w:val="000000"/>
                <w:sz w:val="22"/>
                <w:szCs w:val="22"/>
                <w:lang w:eastAsia="lv-LV"/>
              </w:rPr>
            </w:pPr>
            <w:r w:rsidRPr="00646008">
              <w:rPr>
                <w:b/>
                <w:bCs/>
                <w:color w:val="000000"/>
                <w:sz w:val="22"/>
                <w:szCs w:val="22"/>
                <w:lang w:eastAsia="lv-LV"/>
              </w:rPr>
              <w:t>Kopā</w:t>
            </w:r>
          </w:p>
        </w:tc>
        <w:tc>
          <w:tcPr>
            <w:tcW w:w="932" w:type="dxa"/>
            <w:shd w:val="clear" w:color="auto" w:fill="DBE5F1" w:themeFill="accent1" w:themeFillTint="33"/>
            <w:noWrap/>
            <w:vAlign w:val="center"/>
            <w:hideMark/>
          </w:tcPr>
          <w:p w14:paraId="218C2815" w14:textId="77777777" w:rsidR="00646008" w:rsidRPr="00646008" w:rsidRDefault="00BF5A82" w:rsidP="00F74DF0">
            <w:pPr>
              <w:spacing w:after="0"/>
              <w:ind w:firstLine="0"/>
              <w:jc w:val="center"/>
              <w:rPr>
                <w:b/>
                <w:bCs/>
                <w:color w:val="000000"/>
                <w:sz w:val="22"/>
                <w:szCs w:val="22"/>
                <w:lang w:eastAsia="lv-LV"/>
              </w:rPr>
            </w:pPr>
            <w:r>
              <w:rPr>
                <w:b/>
                <w:bCs/>
                <w:color w:val="000000"/>
                <w:sz w:val="22"/>
                <w:szCs w:val="22"/>
                <w:lang w:eastAsia="lv-LV"/>
              </w:rPr>
              <w:t>0,</w:t>
            </w:r>
            <w:r w:rsidR="00F74DF0">
              <w:rPr>
                <w:b/>
                <w:bCs/>
                <w:color w:val="000000"/>
                <w:sz w:val="22"/>
                <w:szCs w:val="22"/>
                <w:lang w:eastAsia="lv-LV"/>
              </w:rPr>
              <w:t>3</w:t>
            </w:r>
            <w:r w:rsidR="00646008" w:rsidRPr="00646008">
              <w:rPr>
                <w:b/>
                <w:bCs/>
                <w:color w:val="000000"/>
                <w:sz w:val="22"/>
                <w:szCs w:val="22"/>
                <w:lang w:eastAsia="lv-LV"/>
              </w:rPr>
              <w:t>5</w:t>
            </w:r>
          </w:p>
        </w:tc>
        <w:tc>
          <w:tcPr>
            <w:tcW w:w="932" w:type="dxa"/>
            <w:shd w:val="clear" w:color="auto" w:fill="DBE5F1" w:themeFill="accent1" w:themeFillTint="33"/>
            <w:noWrap/>
            <w:vAlign w:val="center"/>
            <w:hideMark/>
          </w:tcPr>
          <w:p w14:paraId="18EA7F87" w14:textId="77777777" w:rsidR="00646008" w:rsidRPr="00646008" w:rsidRDefault="005D6F59" w:rsidP="00646008">
            <w:pPr>
              <w:spacing w:after="0"/>
              <w:ind w:firstLine="0"/>
              <w:jc w:val="center"/>
              <w:rPr>
                <w:b/>
                <w:bCs/>
                <w:color w:val="000000"/>
                <w:sz w:val="22"/>
                <w:szCs w:val="22"/>
                <w:lang w:eastAsia="lv-LV"/>
              </w:rPr>
            </w:pPr>
            <w:r>
              <w:rPr>
                <w:b/>
                <w:bCs/>
                <w:color w:val="000000"/>
                <w:sz w:val="22"/>
                <w:szCs w:val="22"/>
                <w:lang w:eastAsia="lv-LV"/>
              </w:rPr>
              <w:t>-0,11</w:t>
            </w:r>
          </w:p>
        </w:tc>
        <w:tc>
          <w:tcPr>
            <w:tcW w:w="932" w:type="dxa"/>
            <w:shd w:val="clear" w:color="auto" w:fill="DBE5F1" w:themeFill="accent1" w:themeFillTint="33"/>
            <w:noWrap/>
            <w:vAlign w:val="center"/>
            <w:hideMark/>
          </w:tcPr>
          <w:p w14:paraId="772B25F9" w14:textId="77777777" w:rsidR="00646008" w:rsidRPr="00646008" w:rsidRDefault="005D6F59" w:rsidP="00646008">
            <w:pPr>
              <w:spacing w:after="0"/>
              <w:ind w:firstLine="0"/>
              <w:jc w:val="center"/>
              <w:rPr>
                <w:b/>
                <w:bCs/>
                <w:color w:val="000000"/>
                <w:sz w:val="22"/>
                <w:szCs w:val="22"/>
                <w:lang w:eastAsia="lv-LV"/>
              </w:rPr>
            </w:pPr>
            <w:r>
              <w:rPr>
                <w:b/>
                <w:bCs/>
                <w:color w:val="000000"/>
                <w:sz w:val="22"/>
                <w:szCs w:val="22"/>
                <w:lang w:eastAsia="lv-LV"/>
              </w:rPr>
              <w:t>0,04</w:t>
            </w:r>
          </w:p>
        </w:tc>
      </w:tr>
    </w:tbl>
    <w:p w14:paraId="76E66B86" w14:textId="77777777" w:rsidR="00646008" w:rsidRDefault="00646008" w:rsidP="00CF6873">
      <w:pPr>
        <w:pStyle w:val="Heading1"/>
        <w:tabs>
          <w:tab w:val="left" w:pos="1276"/>
        </w:tabs>
        <w:spacing w:before="0" w:after="240"/>
        <w:ind w:firstLine="0"/>
        <w:jc w:val="left"/>
        <w:rPr>
          <w:rFonts w:ascii="Times New Roman" w:hAnsi="Times New Roman"/>
          <w:color w:val="18185F"/>
          <w:sz w:val="24"/>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503"/>
        <w:gridCol w:w="1727"/>
        <w:gridCol w:w="1413"/>
        <w:gridCol w:w="791"/>
        <w:gridCol w:w="1255"/>
        <w:gridCol w:w="1481"/>
        <w:gridCol w:w="730"/>
        <w:gridCol w:w="932"/>
      </w:tblGrid>
      <w:tr w:rsidR="00F74DF0" w:rsidRPr="00646008" w14:paraId="15479269" w14:textId="77777777" w:rsidTr="00652C66">
        <w:trPr>
          <w:trHeight w:val="227"/>
        </w:trPr>
        <w:tc>
          <w:tcPr>
            <w:tcW w:w="4503" w:type="dxa"/>
            <w:shd w:val="clear" w:color="auto" w:fill="DBE5F1" w:themeFill="accent1" w:themeFillTint="33"/>
            <w:vAlign w:val="center"/>
          </w:tcPr>
          <w:p w14:paraId="00B7E26E" w14:textId="5CB63B37" w:rsidR="00F74DF0" w:rsidRPr="00BF5A82" w:rsidRDefault="00F74DF0" w:rsidP="00F74DF0">
            <w:pPr>
              <w:spacing w:after="0"/>
              <w:ind w:firstLine="0"/>
              <w:jc w:val="left"/>
              <w:rPr>
                <w:color w:val="000000"/>
                <w:sz w:val="22"/>
                <w:szCs w:val="22"/>
                <w:lang w:eastAsia="lv-LV"/>
              </w:rPr>
            </w:pPr>
            <w:r w:rsidRPr="00BF5A82">
              <w:rPr>
                <w:color w:val="000000"/>
                <w:sz w:val="22"/>
                <w:szCs w:val="22"/>
                <w:lang w:eastAsia="lv-LV"/>
              </w:rPr>
              <w:t>Izmaiņas</w:t>
            </w:r>
            <w:r>
              <w:rPr>
                <w:color w:val="000000"/>
                <w:sz w:val="22"/>
                <w:szCs w:val="22"/>
                <w:lang w:eastAsia="lv-LV"/>
              </w:rPr>
              <w:t xml:space="preserve"> 2019.gadā</w:t>
            </w:r>
            <w:r w:rsidRPr="00BF5A82">
              <w:rPr>
                <w:color w:val="000000"/>
                <w:sz w:val="22"/>
                <w:szCs w:val="22"/>
                <w:lang w:eastAsia="lv-LV"/>
              </w:rPr>
              <w:t xml:space="preserve"> sakarā ar fiskālo prognožu aktualizēšanu</w:t>
            </w:r>
            <w:r w:rsidR="00652C66">
              <w:rPr>
                <w:color w:val="000000"/>
                <w:sz w:val="22"/>
                <w:szCs w:val="22"/>
                <w:lang w:eastAsia="lv-LV"/>
              </w:rPr>
              <w:t xml:space="preserve"> pēc 2018.</w:t>
            </w:r>
            <w:r>
              <w:rPr>
                <w:color w:val="000000"/>
                <w:sz w:val="22"/>
                <w:szCs w:val="22"/>
                <w:lang w:eastAsia="lv-LV"/>
              </w:rPr>
              <w:t>gada oktobrī iesniegtā budžeta plāna projekta</w:t>
            </w:r>
            <w:r w:rsidRPr="00BF5A82">
              <w:rPr>
                <w:color w:val="000000"/>
                <w:sz w:val="22"/>
                <w:szCs w:val="22"/>
                <w:lang w:eastAsia="lv-LV"/>
              </w:rPr>
              <w:t xml:space="preserve"> t.sk.:</w:t>
            </w:r>
          </w:p>
        </w:tc>
        <w:tc>
          <w:tcPr>
            <w:tcW w:w="1727" w:type="dxa"/>
            <w:shd w:val="clear" w:color="auto" w:fill="DBE5F1" w:themeFill="accent1" w:themeFillTint="33"/>
            <w:vAlign w:val="center"/>
          </w:tcPr>
          <w:p w14:paraId="2976350F" w14:textId="77777777" w:rsidR="00F74DF0" w:rsidRPr="00646008" w:rsidRDefault="00F74DF0" w:rsidP="00F74DF0">
            <w:pPr>
              <w:spacing w:after="0"/>
              <w:ind w:firstLine="0"/>
              <w:jc w:val="center"/>
              <w:rPr>
                <w:sz w:val="22"/>
                <w:szCs w:val="22"/>
                <w:lang w:eastAsia="lv-LV"/>
              </w:rPr>
            </w:pPr>
          </w:p>
        </w:tc>
        <w:tc>
          <w:tcPr>
            <w:tcW w:w="1413" w:type="dxa"/>
            <w:shd w:val="clear" w:color="auto" w:fill="DBE5F1" w:themeFill="accent1" w:themeFillTint="33"/>
            <w:vAlign w:val="center"/>
          </w:tcPr>
          <w:p w14:paraId="36DE428A" w14:textId="77777777" w:rsidR="00F74DF0" w:rsidRPr="00646008" w:rsidRDefault="00F74DF0" w:rsidP="00F74DF0">
            <w:pPr>
              <w:spacing w:after="0"/>
              <w:ind w:firstLine="0"/>
              <w:jc w:val="center"/>
              <w:rPr>
                <w:sz w:val="22"/>
                <w:szCs w:val="22"/>
                <w:lang w:eastAsia="lv-LV"/>
              </w:rPr>
            </w:pPr>
          </w:p>
        </w:tc>
        <w:tc>
          <w:tcPr>
            <w:tcW w:w="791" w:type="dxa"/>
            <w:shd w:val="clear" w:color="auto" w:fill="DBE5F1" w:themeFill="accent1" w:themeFillTint="33"/>
            <w:vAlign w:val="center"/>
          </w:tcPr>
          <w:p w14:paraId="07AB6F0E" w14:textId="77777777" w:rsidR="00F74DF0" w:rsidRPr="00646008" w:rsidRDefault="00F74DF0" w:rsidP="00F74DF0">
            <w:pPr>
              <w:spacing w:after="0"/>
              <w:ind w:firstLine="0"/>
              <w:jc w:val="center"/>
              <w:rPr>
                <w:sz w:val="22"/>
                <w:szCs w:val="22"/>
                <w:lang w:eastAsia="lv-LV"/>
              </w:rPr>
            </w:pPr>
          </w:p>
        </w:tc>
        <w:tc>
          <w:tcPr>
            <w:tcW w:w="1255" w:type="dxa"/>
            <w:shd w:val="clear" w:color="auto" w:fill="DBE5F1" w:themeFill="accent1" w:themeFillTint="33"/>
            <w:vAlign w:val="center"/>
          </w:tcPr>
          <w:p w14:paraId="56D02FD2" w14:textId="77777777" w:rsidR="00F74DF0" w:rsidRPr="00646008" w:rsidRDefault="00F74DF0" w:rsidP="00F74DF0">
            <w:pPr>
              <w:spacing w:after="0"/>
              <w:ind w:firstLine="0"/>
              <w:jc w:val="center"/>
              <w:rPr>
                <w:sz w:val="22"/>
                <w:szCs w:val="22"/>
                <w:lang w:eastAsia="lv-LV"/>
              </w:rPr>
            </w:pPr>
          </w:p>
        </w:tc>
        <w:tc>
          <w:tcPr>
            <w:tcW w:w="1481" w:type="dxa"/>
            <w:shd w:val="clear" w:color="auto" w:fill="DBE5F1" w:themeFill="accent1" w:themeFillTint="33"/>
            <w:vAlign w:val="center"/>
          </w:tcPr>
          <w:p w14:paraId="0BC76CED" w14:textId="77777777" w:rsidR="00F74DF0" w:rsidRPr="00646008" w:rsidRDefault="00F74DF0" w:rsidP="00F74DF0">
            <w:pPr>
              <w:spacing w:after="0"/>
              <w:ind w:firstLine="0"/>
              <w:jc w:val="center"/>
              <w:rPr>
                <w:sz w:val="22"/>
                <w:szCs w:val="22"/>
                <w:lang w:eastAsia="lv-LV"/>
              </w:rPr>
            </w:pPr>
          </w:p>
        </w:tc>
        <w:tc>
          <w:tcPr>
            <w:tcW w:w="730" w:type="dxa"/>
            <w:shd w:val="clear" w:color="auto" w:fill="DBE5F1" w:themeFill="accent1" w:themeFillTint="33"/>
            <w:noWrap/>
            <w:vAlign w:val="bottom"/>
          </w:tcPr>
          <w:p w14:paraId="7CAA6735" w14:textId="77777777" w:rsidR="00F74DF0" w:rsidRPr="00646008" w:rsidRDefault="00F74DF0" w:rsidP="00F74DF0">
            <w:pPr>
              <w:spacing w:after="0"/>
              <w:ind w:firstLine="0"/>
              <w:jc w:val="center"/>
              <w:rPr>
                <w:b/>
                <w:bCs/>
                <w:sz w:val="22"/>
                <w:szCs w:val="22"/>
                <w:lang w:eastAsia="lv-LV"/>
              </w:rPr>
            </w:pPr>
          </w:p>
        </w:tc>
        <w:tc>
          <w:tcPr>
            <w:tcW w:w="932" w:type="dxa"/>
            <w:shd w:val="clear" w:color="auto" w:fill="DBE5F1" w:themeFill="accent1" w:themeFillTint="33"/>
            <w:vAlign w:val="center"/>
          </w:tcPr>
          <w:p w14:paraId="3046556A" w14:textId="77777777" w:rsidR="00F74DF0" w:rsidRPr="00646008" w:rsidRDefault="00F74DF0" w:rsidP="00F74DF0">
            <w:pPr>
              <w:spacing w:after="0"/>
              <w:ind w:firstLine="0"/>
              <w:jc w:val="center"/>
              <w:rPr>
                <w:sz w:val="22"/>
                <w:szCs w:val="22"/>
                <w:lang w:eastAsia="lv-LV"/>
              </w:rPr>
            </w:pPr>
            <w:r>
              <w:rPr>
                <w:sz w:val="22"/>
                <w:szCs w:val="22"/>
                <w:lang w:eastAsia="lv-LV"/>
              </w:rPr>
              <w:t>2019</w:t>
            </w:r>
          </w:p>
        </w:tc>
      </w:tr>
      <w:tr w:rsidR="00F74DF0" w:rsidRPr="00646008" w14:paraId="35D303C0" w14:textId="77777777" w:rsidTr="00652C66">
        <w:trPr>
          <w:trHeight w:val="227"/>
        </w:trPr>
        <w:tc>
          <w:tcPr>
            <w:tcW w:w="4503" w:type="dxa"/>
            <w:shd w:val="clear" w:color="auto" w:fill="auto"/>
            <w:vAlign w:val="center"/>
          </w:tcPr>
          <w:p w14:paraId="75C883E2" w14:textId="2DE46771" w:rsidR="00F74DF0" w:rsidRPr="00AD663A" w:rsidRDefault="00652C66" w:rsidP="00652C66">
            <w:pPr>
              <w:spacing w:after="0"/>
              <w:ind w:firstLine="0"/>
              <w:jc w:val="left"/>
              <w:rPr>
                <w:i/>
                <w:color w:val="000000"/>
                <w:sz w:val="22"/>
                <w:szCs w:val="22"/>
                <w:lang w:eastAsia="lv-LV"/>
              </w:rPr>
            </w:pPr>
            <w:r>
              <w:rPr>
                <w:i/>
                <w:color w:val="000000"/>
                <w:sz w:val="22"/>
                <w:szCs w:val="22"/>
                <w:lang w:eastAsia="lv-LV"/>
              </w:rPr>
              <w:t>Nodokļu korekcija atbilstoši</w:t>
            </w:r>
            <w:r w:rsidR="00F74DF0">
              <w:rPr>
                <w:i/>
                <w:color w:val="000000"/>
                <w:sz w:val="22"/>
                <w:szCs w:val="22"/>
                <w:lang w:eastAsia="lv-LV"/>
              </w:rPr>
              <w:t xml:space="preserve"> </w:t>
            </w:r>
            <w:r w:rsidR="00F74DF0" w:rsidRPr="00AD663A">
              <w:rPr>
                <w:i/>
                <w:color w:val="000000"/>
                <w:sz w:val="22"/>
                <w:szCs w:val="22"/>
                <w:lang w:eastAsia="lv-LV"/>
              </w:rPr>
              <w:t>EKS metodoloģijai</w:t>
            </w:r>
          </w:p>
        </w:tc>
        <w:tc>
          <w:tcPr>
            <w:tcW w:w="1727" w:type="dxa"/>
            <w:shd w:val="clear" w:color="auto" w:fill="auto"/>
            <w:vAlign w:val="center"/>
          </w:tcPr>
          <w:p w14:paraId="287868B8" w14:textId="77777777" w:rsidR="00F74DF0" w:rsidRPr="00646008" w:rsidRDefault="00F74DF0" w:rsidP="00F74DF0">
            <w:pPr>
              <w:spacing w:after="0"/>
              <w:ind w:firstLine="0"/>
              <w:jc w:val="center"/>
              <w:rPr>
                <w:sz w:val="22"/>
                <w:szCs w:val="22"/>
                <w:lang w:eastAsia="lv-LV"/>
              </w:rPr>
            </w:pPr>
          </w:p>
        </w:tc>
        <w:tc>
          <w:tcPr>
            <w:tcW w:w="1413" w:type="dxa"/>
            <w:shd w:val="clear" w:color="auto" w:fill="auto"/>
            <w:vAlign w:val="center"/>
          </w:tcPr>
          <w:p w14:paraId="2E5618D0" w14:textId="77777777" w:rsidR="00F74DF0" w:rsidRPr="00646008" w:rsidRDefault="00F74DF0" w:rsidP="00F74DF0">
            <w:pPr>
              <w:spacing w:after="0"/>
              <w:ind w:firstLine="0"/>
              <w:jc w:val="center"/>
              <w:rPr>
                <w:sz w:val="22"/>
                <w:szCs w:val="22"/>
                <w:lang w:eastAsia="lv-LV"/>
              </w:rPr>
            </w:pPr>
          </w:p>
        </w:tc>
        <w:tc>
          <w:tcPr>
            <w:tcW w:w="791" w:type="dxa"/>
            <w:shd w:val="clear" w:color="auto" w:fill="auto"/>
            <w:vAlign w:val="center"/>
          </w:tcPr>
          <w:p w14:paraId="38029F5B" w14:textId="77777777" w:rsidR="00F74DF0" w:rsidRPr="00646008" w:rsidRDefault="00F74DF0" w:rsidP="00F74DF0">
            <w:pPr>
              <w:spacing w:after="0"/>
              <w:ind w:firstLine="0"/>
              <w:jc w:val="center"/>
              <w:rPr>
                <w:sz w:val="22"/>
                <w:szCs w:val="22"/>
                <w:lang w:eastAsia="lv-LV"/>
              </w:rPr>
            </w:pPr>
          </w:p>
        </w:tc>
        <w:tc>
          <w:tcPr>
            <w:tcW w:w="1255" w:type="dxa"/>
            <w:shd w:val="clear" w:color="auto" w:fill="auto"/>
            <w:vAlign w:val="center"/>
          </w:tcPr>
          <w:p w14:paraId="57A83DF3" w14:textId="77777777" w:rsidR="00F74DF0" w:rsidRPr="00646008" w:rsidRDefault="00F74DF0" w:rsidP="00F74DF0">
            <w:pPr>
              <w:spacing w:after="0"/>
              <w:ind w:firstLine="0"/>
              <w:jc w:val="center"/>
              <w:rPr>
                <w:sz w:val="22"/>
                <w:szCs w:val="22"/>
                <w:lang w:eastAsia="lv-LV"/>
              </w:rPr>
            </w:pPr>
          </w:p>
        </w:tc>
        <w:tc>
          <w:tcPr>
            <w:tcW w:w="1481" w:type="dxa"/>
            <w:shd w:val="clear" w:color="auto" w:fill="auto"/>
            <w:vAlign w:val="center"/>
          </w:tcPr>
          <w:p w14:paraId="6C5D6F96" w14:textId="77777777" w:rsidR="00F74DF0" w:rsidRPr="00646008" w:rsidRDefault="00F74DF0" w:rsidP="00F74DF0">
            <w:pPr>
              <w:spacing w:after="0"/>
              <w:ind w:firstLine="0"/>
              <w:jc w:val="center"/>
              <w:rPr>
                <w:sz w:val="22"/>
                <w:szCs w:val="22"/>
                <w:lang w:eastAsia="lv-LV"/>
              </w:rPr>
            </w:pPr>
          </w:p>
        </w:tc>
        <w:tc>
          <w:tcPr>
            <w:tcW w:w="730" w:type="dxa"/>
            <w:shd w:val="clear" w:color="auto" w:fill="auto"/>
            <w:noWrap/>
            <w:vAlign w:val="bottom"/>
          </w:tcPr>
          <w:p w14:paraId="578EC54D" w14:textId="77777777" w:rsidR="00F74DF0" w:rsidRPr="00646008" w:rsidRDefault="00F74DF0" w:rsidP="00F74DF0">
            <w:pPr>
              <w:spacing w:after="0"/>
              <w:ind w:firstLine="0"/>
              <w:jc w:val="center"/>
              <w:rPr>
                <w:b/>
                <w:bCs/>
                <w:sz w:val="22"/>
                <w:szCs w:val="22"/>
                <w:lang w:eastAsia="lv-LV"/>
              </w:rPr>
            </w:pPr>
          </w:p>
        </w:tc>
        <w:tc>
          <w:tcPr>
            <w:tcW w:w="932" w:type="dxa"/>
            <w:shd w:val="clear" w:color="auto" w:fill="auto"/>
            <w:vAlign w:val="center"/>
          </w:tcPr>
          <w:p w14:paraId="1B3405E6" w14:textId="77777777" w:rsidR="00F74DF0" w:rsidRPr="00646008" w:rsidRDefault="00F74DF0" w:rsidP="00F74DF0">
            <w:pPr>
              <w:spacing w:after="0"/>
              <w:ind w:firstLine="0"/>
              <w:jc w:val="center"/>
              <w:rPr>
                <w:sz w:val="22"/>
                <w:szCs w:val="22"/>
                <w:lang w:eastAsia="lv-LV"/>
              </w:rPr>
            </w:pPr>
            <w:r>
              <w:rPr>
                <w:sz w:val="22"/>
                <w:szCs w:val="22"/>
              </w:rPr>
              <w:t>0,03</w:t>
            </w:r>
          </w:p>
        </w:tc>
      </w:tr>
      <w:tr w:rsidR="00F74DF0" w:rsidRPr="00646008" w14:paraId="13F5AC75" w14:textId="77777777" w:rsidTr="00652C66">
        <w:trPr>
          <w:trHeight w:val="227"/>
        </w:trPr>
        <w:tc>
          <w:tcPr>
            <w:tcW w:w="4503" w:type="dxa"/>
            <w:shd w:val="clear" w:color="auto" w:fill="DBE5F1" w:themeFill="accent1" w:themeFillTint="33"/>
            <w:vAlign w:val="center"/>
          </w:tcPr>
          <w:p w14:paraId="7B43A341" w14:textId="0F068F36" w:rsidR="00F74DF0" w:rsidRPr="00AD663A" w:rsidRDefault="00F74DF0" w:rsidP="00F74DF0">
            <w:pPr>
              <w:spacing w:after="0"/>
              <w:ind w:firstLine="0"/>
              <w:jc w:val="left"/>
              <w:rPr>
                <w:i/>
                <w:color w:val="000000"/>
                <w:sz w:val="22"/>
                <w:szCs w:val="22"/>
                <w:lang w:eastAsia="lv-LV"/>
              </w:rPr>
            </w:pPr>
            <w:r w:rsidRPr="00AD663A">
              <w:rPr>
                <w:i/>
                <w:color w:val="000000"/>
                <w:sz w:val="22"/>
                <w:szCs w:val="22"/>
                <w:lang w:eastAsia="lv-LV"/>
              </w:rPr>
              <w:t>Nenodokļu ieņēmumu korekcija atbilstoši EKS metodoloģijai</w:t>
            </w:r>
            <w:r>
              <w:rPr>
                <w:i/>
                <w:color w:val="000000"/>
                <w:sz w:val="22"/>
                <w:szCs w:val="22"/>
                <w:lang w:eastAsia="lv-LV"/>
              </w:rPr>
              <w:t xml:space="preserve"> </w:t>
            </w:r>
            <w:r>
              <w:rPr>
                <w:rStyle w:val="FootnoteReference"/>
                <w:i/>
                <w:color w:val="000000"/>
                <w:szCs w:val="22"/>
                <w:lang w:eastAsia="lv-LV"/>
              </w:rPr>
              <w:footnoteReference w:id="4"/>
            </w:r>
          </w:p>
        </w:tc>
        <w:tc>
          <w:tcPr>
            <w:tcW w:w="1727" w:type="dxa"/>
            <w:shd w:val="clear" w:color="auto" w:fill="DBE5F1" w:themeFill="accent1" w:themeFillTint="33"/>
            <w:vAlign w:val="center"/>
          </w:tcPr>
          <w:p w14:paraId="6CDAF1E4" w14:textId="77777777" w:rsidR="00F74DF0" w:rsidRPr="00646008" w:rsidRDefault="00F74DF0" w:rsidP="00F74DF0">
            <w:pPr>
              <w:spacing w:after="0"/>
              <w:ind w:firstLine="0"/>
              <w:jc w:val="center"/>
              <w:rPr>
                <w:sz w:val="22"/>
                <w:szCs w:val="22"/>
                <w:lang w:eastAsia="lv-LV"/>
              </w:rPr>
            </w:pPr>
          </w:p>
        </w:tc>
        <w:tc>
          <w:tcPr>
            <w:tcW w:w="1413" w:type="dxa"/>
            <w:shd w:val="clear" w:color="auto" w:fill="DBE5F1" w:themeFill="accent1" w:themeFillTint="33"/>
            <w:vAlign w:val="center"/>
          </w:tcPr>
          <w:p w14:paraId="267EACA5" w14:textId="77777777" w:rsidR="00F74DF0" w:rsidRPr="00646008" w:rsidRDefault="00F74DF0" w:rsidP="00F74DF0">
            <w:pPr>
              <w:spacing w:after="0"/>
              <w:ind w:firstLine="0"/>
              <w:jc w:val="center"/>
              <w:rPr>
                <w:sz w:val="22"/>
                <w:szCs w:val="22"/>
                <w:lang w:eastAsia="lv-LV"/>
              </w:rPr>
            </w:pPr>
          </w:p>
        </w:tc>
        <w:tc>
          <w:tcPr>
            <w:tcW w:w="791" w:type="dxa"/>
            <w:shd w:val="clear" w:color="auto" w:fill="DBE5F1" w:themeFill="accent1" w:themeFillTint="33"/>
            <w:vAlign w:val="center"/>
          </w:tcPr>
          <w:p w14:paraId="64B1F04F" w14:textId="77777777" w:rsidR="00F74DF0" w:rsidRPr="00646008" w:rsidRDefault="00F74DF0" w:rsidP="00F74DF0">
            <w:pPr>
              <w:spacing w:after="0"/>
              <w:ind w:firstLine="0"/>
              <w:jc w:val="center"/>
              <w:rPr>
                <w:sz w:val="22"/>
                <w:szCs w:val="22"/>
                <w:lang w:eastAsia="lv-LV"/>
              </w:rPr>
            </w:pPr>
          </w:p>
        </w:tc>
        <w:tc>
          <w:tcPr>
            <w:tcW w:w="1255" w:type="dxa"/>
            <w:shd w:val="clear" w:color="auto" w:fill="DBE5F1" w:themeFill="accent1" w:themeFillTint="33"/>
            <w:vAlign w:val="center"/>
          </w:tcPr>
          <w:p w14:paraId="195CF3A6" w14:textId="77777777" w:rsidR="00F74DF0" w:rsidRPr="00646008" w:rsidRDefault="00F74DF0" w:rsidP="00F74DF0">
            <w:pPr>
              <w:spacing w:after="0"/>
              <w:ind w:firstLine="0"/>
              <w:jc w:val="center"/>
              <w:rPr>
                <w:sz w:val="22"/>
                <w:szCs w:val="22"/>
                <w:lang w:eastAsia="lv-LV"/>
              </w:rPr>
            </w:pPr>
          </w:p>
        </w:tc>
        <w:tc>
          <w:tcPr>
            <w:tcW w:w="1481" w:type="dxa"/>
            <w:shd w:val="clear" w:color="auto" w:fill="DBE5F1" w:themeFill="accent1" w:themeFillTint="33"/>
            <w:vAlign w:val="center"/>
          </w:tcPr>
          <w:p w14:paraId="1DFBDED4" w14:textId="77777777" w:rsidR="00F74DF0" w:rsidRPr="00646008" w:rsidRDefault="00F74DF0" w:rsidP="00F74DF0">
            <w:pPr>
              <w:spacing w:after="0"/>
              <w:ind w:firstLine="0"/>
              <w:jc w:val="center"/>
              <w:rPr>
                <w:sz w:val="22"/>
                <w:szCs w:val="22"/>
                <w:lang w:eastAsia="lv-LV"/>
              </w:rPr>
            </w:pPr>
          </w:p>
        </w:tc>
        <w:tc>
          <w:tcPr>
            <w:tcW w:w="730" w:type="dxa"/>
            <w:shd w:val="clear" w:color="auto" w:fill="DBE5F1" w:themeFill="accent1" w:themeFillTint="33"/>
            <w:noWrap/>
            <w:vAlign w:val="bottom"/>
          </w:tcPr>
          <w:p w14:paraId="62A03558" w14:textId="77777777" w:rsidR="00F74DF0" w:rsidRPr="00646008" w:rsidRDefault="00F74DF0" w:rsidP="00F74DF0">
            <w:pPr>
              <w:spacing w:after="0"/>
              <w:ind w:firstLine="0"/>
              <w:jc w:val="center"/>
              <w:rPr>
                <w:b/>
                <w:bCs/>
                <w:sz w:val="22"/>
                <w:szCs w:val="22"/>
                <w:lang w:eastAsia="lv-LV"/>
              </w:rPr>
            </w:pPr>
          </w:p>
        </w:tc>
        <w:tc>
          <w:tcPr>
            <w:tcW w:w="932" w:type="dxa"/>
            <w:shd w:val="clear" w:color="auto" w:fill="DBE5F1" w:themeFill="accent1" w:themeFillTint="33"/>
            <w:vAlign w:val="center"/>
          </w:tcPr>
          <w:p w14:paraId="372B5200" w14:textId="77777777" w:rsidR="00F74DF0" w:rsidRPr="00646008" w:rsidRDefault="00F74DF0" w:rsidP="00F74DF0">
            <w:pPr>
              <w:spacing w:after="0"/>
              <w:ind w:firstLine="0"/>
              <w:jc w:val="center"/>
              <w:rPr>
                <w:sz w:val="22"/>
                <w:szCs w:val="22"/>
                <w:lang w:eastAsia="lv-LV"/>
              </w:rPr>
            </w:pPr>
            <w:r>
              <w:rPr>
                <w:sz w:val="22"/>
                <w:szCs w:val="22"/>
              </w:rPr>
              <w:t>0,23</w:t>
            </w:r>
          </w:p>
        </w:tc>
      </w:tr>
      <w:tr w:rsidR="00F74DF0" w:rsidRPr="00646008" w14:paraId="2C93B733" w14:textId="77777777" w:rsidTr="00652C66">
        <w:trPr>
          <w:trHeight w:val="227"/>
        </w:trPr>
        <w:tc>
          <w:tcPr>
            <w:tcW w:w="4503" w:type="dxa"/>
            <w:shd w:val="clear" w:color="auto" w:fill="auto"/>
            <w:vAlign w:val="center"/>
          </w:tcPr>
          <w:p w14:paraId="52E5D1E7" w14:textId="37B32F2F" w:rsidR="00F74DF0" w:rsidRPr="00AD663A" w:rsidRDefault="00F74DF0" w:rsidP="00F74DF0">
            <w:pPr>
              <w:spacing w:after="0"/>
              <w:ind w:firstLine="0"/>
              <w:jc w:val="left"/>
              <w:rPr>
                <w:i/>
                <w:color w:val="000000"/>
                <w:sz w:val="22"/>
                <w:szCs w:val="22"/>
                <w:lang w:eastAsia="lv-LV"/>
              </w:rPr>
            </w:pPr>
            <w:r w:rsidRPr="00AD663A">
              <w:rPr>
                <w:i/>
                <w:color w:val="000000"/>
                <w:sz w:val="22"/>
                <w:szCs w:val="22"/>
                <w:lang w:eastAsia="lv-LV"/>
              </w:rPr>
              <w:t>ES fondu korekcija atbilstoši EKS metodoloģijai</w:t>
            </w:r>
          </w:p>
        </w:tc>
        <w:tc>
          <w:tcPr>
            <w:tcW w:w="1727" w:type="dxa"/>
            <w:shd w:val="clear" w:color="auto" w:fill="auto"/>
            <w:vAlign w:val="center"/>
          </w:tcPr>
          <w:p w14:paraId="55B27D1C" w14:textId="77777777" w:rsidR="00F74DF0" w:rsidRPr="00646008" w:rsidRDefault="00F74DF0" w:rsidP="00F74DF0">
            <w:pPr>
              <w:spacing w:after="0"/>
              <w:ind w:firstLine="0"/>
              <w:jc w:val="center"/>
              <w:rPr>
                <w:sz w:val="22"/>
                <w:szCs w:val="22"/>
                <w:lang w:eastAsia="lv-LV"/>
              </w:rPr>
            </w:pPr>
          </w:p>
        </w:tc>
        <w:tc>
          <w:tcPr>
            <w:tcW w:w="1413" w:type="dxa"/>
            <w:shd w:val="clear" w:color="auto" w:fill="auto"/>
            <w:vAlign w:val="center"/>
          </w:tcPr>
          <w:p w14:paraId="3B766E1E" w14:textId="77777777" w:rsidR="00F74DF0" w:rsidRPr="00646008" w:rsidRDefault="00F74DF0" w:rsidP="00F74DF0">
            <w:pPr>
              <w:spacing w:after="0"/>
              <w:ind w:firstLine="0"/>
              <w:jc w:val="center"/>
              <w:rPr>
                <w:sz w:val="22"/>
                <w:szCs w:val="22"/>
                <w:lang w:eastAsia="lv-LV"/>
              </w:rPr>
            </w:pPr>
          </w:p>
        </w:tc>
        <w:tc>
          <w:tcPr>
            <w:tcW w:w="791" w:type="dxa"/>
            <w:shd w:val="clear" w:color="auto" w:fill="auto"/>
            <w:vAlign w:val="center"/>
          </w:tcPr>
          <w:p w14:paraId="496B51A9" w14:textId="77777777" w:rsidR="00F74DF0" w:rsidRPr="00646008" w:rsidRDefault="00F74DF0" w:rsidP="00F74DF0">
            <w:pPr>
              <w:spacing w:after="0"/>
              <w:ind w:firstLine="0"/>
              <w:jc w:val="center"/>
              <w:rPr>
                <w:sz w:val="22"/>
                <w:szCs w:val="22"/>
                <w:lang w:eastAsia="lv-LV"/>
              </w:rPr>
            </w:pPr>
          </w:p>
        </w:tc>
        <w:tc>
          <w:tcPr>
            <w:tcW w:w="1255" w:type="dxa"/>
            <w:shd w:val="clear" w:color="auto" w:fill="auto"/>
            <w:vAlign w:val="center"/>
          </w:tcPr>
          <w:p w14:paraId="3528954A" w14:textId="77777777" w:rsidR="00F74DF0" w:rsidRPr="00646008" w:rsidRDefault="00F74DF0" w:rsidP="00F74DF0">
            <w:pPr>
              <w:spacing w:after="0"/>
              <w:ind w:firstLine="0"/>
              <w:jc w:val="center"/>
              <w:rPr>
                <w:sz w:val="22"/>
                <w:szCs w:val="22"/>
                <w:lang w:eastAsia="lv-LV"/>
              </w:rPr>
            </w:pPr>
          </w:p>
        </w:tc>
        <w:tc>
          <w:tcPr>
            <w:tcW w:w="1481" w:type="dxa"/>
            <w:shd w:val="clear" w:color="auto" w:fill="auto"/>
            <w:vAlign w:val="center"/>
          </w:tcPr>
          <w:p w14:paraId="70F40A00" w14:textId="77777777" w:rsidR="00F74DF0" w:rsidRPr="00646008" w:rsidRDefault="00F74DF0" w:rsidP="00F74DF0">
            <w:pPr>
              <w:spacing w:after="0"/>
              <w:ind w:firstLine="0"/>
              <w:jc w:val="center"/>
              <w:rPr>
                <w:sz w:val="22"/>
                <w:szCs w:val="22"/>
                <w:lang w:eastAsia="lv-LV"/>
              </w:rPr>
            </w:pPr>
          </w:p>
        </w:tc>
        <w:tc>
          <w:tcPr>
            <w:tcW w:w="730" w:type="dxa"/>
            <w:shd w:val="clear" w:color="auto" w:fill="auto"/>
            <w:noWrap/>
            <w:vAlign w:val="bottom"/>
          </w:tcPr>
          <w:p w14:paraId="5D30A533" w14:textId="77777777" w:rsidR="00F74DF0" w:rsidRPr="00646008" w:rsidRDefault="00F74DF0" w:rsidP="00F74DF0">
            <w:pPr>
              <w:spacing w:after="0"/>
              <w:ind w:firstLine="0"/>
              <w:jc w:val="center"/>
              <w:rPr>
                <w:b/>
                <w:bCs/>
                <w:sz w:val="22"/>
                <w:szCs w:val="22"/>
                <w:lang w:eastAsia="lv-LV"/>
              </w:rPr>
            </w:pPr>
          </w:p>
        </w:tc>
        <w:tc>
          <w:tcPr>
            <w:tcW w:w="932" w:type="dxa"/>
            <w:shd w:val="clear" w:color="auto" w:fill="auto"/>
            <w:vAlign w:val="center"/>
          </w:tcPr>
          <w:p w14:paraId="2E3E7177" w14:textId="77777777" w:rsidR="00F74DF0" w:rsidRPr="00646008" w:rsidRDefault="00F74DF0" w:rsidP="00F74DF0">
            <w:pPr>
              <w:spacing w:after="0"/>
              <w:ind w:firstLine="0"/>
              <w:jc w:val="center"/>
              <w:rPr>
                <w:sz w:val="22"/>
                <w:szCs w:val="22"/>
                <w:lang w:eastAsia="lv-LV"/>
              </w:rPr>
            </w:pPr>
            <w:r>
              <w:rPr>
                <w:sz w:val="22"/>
                <w:szCs w:val="22"/>
              </w:rPr>
              <w:t>0,04</w:t>
            </w:r>
          </w:p>
        </w:tc>
      </w:tr>
      <w:tr w:rsidR="00F74DF0" w:rsidRPr="00646008" w14:paraId="71D3EB12" w14:textId="77777777" w:rsidTr="00652C66">
        <w:trPr>
          <w:trHeight w:val="227"/>
        </w:trPr>
        <w:tc>
          <w:tcPr>
            <w:tcW w:w="4503" w:type="dxa"/>
            <w:shd w:val="clear" w:color="auto" w:fill="DBE5F1" w:themeFill="accent1" w:themeFillTint="33"/>
            <w:vAlign w:val="center"/>
          </w:tcPr>
          <w:p w14:paraId="39E7F89E" w14:textId="629C57D6" w:rsidR="00F74DF0" w:rsidRPr="00AD663A" w:rsidRDefault="00F74DF0" w:rsidP="00F74DF0">
            <w:pPr>
              <w:spacing w:after="0"/>
              <w:ind w:firstLine="0"/>
              <w:jc w:val="left"/>
              <w:rPr>
                <w:i/>
                <w:color w:val="000000"/>
                <w:sz w:val="22"/>
                <w:szCs w:val="22"/>
                <w:lang w:eastAsia="lv-LV"/>
              </w:rPr>
            </w:pPr>
            <w:r w:rsidRPr="00AD663A">
              <w:rPr>
                <w:i/>
                <w:color w:val="000000"/>
                <w:sz w:val="22"/>
                <w:szCs w:val="22"/>
                <w:lang w:eastAsia="lv-LV"/>
              </w:rPr>
              <w:t xml:space="preserve">Pašu ieņēmumi </w:t>
            </w:r>
          </w:p>
        </w:tc>
        <w:tc>
          <w:tcPr>
            <w:tcW w:w="1727" w:type="dxa"/>
            <w:shd w:val="clear" w:color="auto" w:fill="DBE5F1" w:themeFill="accent1" w:themeFillTint="33"/>
            <w:vAlign w:val="center"/>
          </w:tcPr>
          <w:p w14:paraId="13399E1E" w14:textId="77777777" w:rsidR="00F74DF0" w:rsidRPr="00646008" w:rsidRDefault="00F74DF0" w:rsidP="00F74DF0">
            <w:pPr>
              <w:spacing w:after="0"/>
              <w:ind w:firstLine="0"/>
              <w:jc w:val="center"/>
              <w:rPr>
                <w:sz w:val="22"/>
                <w:szCs w:val="22"/>
                <w:lang w:eastAsia="lv-LV"/>
              </w:rPr>
            </w:pPr>
          </w:p>
        </w:tc>
        <w:tc>
          <w:tcPr>
            <w:tcW w:w="1413" w:type="dxa"/>
            <w:shd w:val="clear" w:color="auto" w:fill="DBE5F1" w:themeFill="accent1" w:themeFillTint="33"/>
            <w:vAlign w:val="center"/>
          </w:tcPr>
          <w:p w14:paraId="24739AC6" w14:textId="77777777" w:rsidR="00F74DF0" w:rsidRPr="00646008" w:rsidRDefault="00F74DF0" w:rsidP="00F74DF0">
            <w:pPr>
              <w:spacing w:after="0"/>
              <w:ind w:firstLine="0"/>
              <w:jc w:val="center"/>
              <w:rPr>
                <w:sz w:val="22"/>
                <w:szCs w:val="22"/>
                <w:lang w:eastAsia="lv-LV"/>
              </w:rPr>
            </w:pPr>
          </w:p>
        </w:tc>
        <w:tc>
          <w:tcPr>
            <w:tcW w:w="791" w:type="dxa"/>
            <w:shd w:val="clear" w:color="auto" w:fill="DBE5F1" w:themeFill="accent1" w:themeFillTint="33"/>
            <w:vAlign w:val="center"/>
          </w:tcPr>
          <w:p w14:paraId="0205686A" w14:textId="77777777" w:rsidR="00F74DF0" w:rsidRPr="00646008" w:rsidRDefault="00F74DF0" w:rsidP="00F74DF0">
            <w:pPr>
              <w:spacing w:after="0"/>
              <w:ind w:firstLine="0"/>
              <w:jc w:val="center"/>
              <w:rPr>
                <w:sz w:val="22"/>
                <w:szCs w:val="22"/>
                <w:lang w:eastAsia="lv-LV"/>
              </w:rPr>
            </w:pPr>
          </w:p>
        </w:tc>
        <w:tc>
          <w:tcPr>
            <w:tcW w:w="1255" w:type="dxa"/>
            <w:shd w:val="clear" w:color="auto" w:fill="DBE5F1" w:themeFill="accent1" w:themeFillTint="33"/>
            <w:vAlign w:val="center"/>
          </w:tcPr>
          <w:p w14:paraId="24834CC1" w14:textId="77777777" w:rsidR="00F74DF0" w:rsidRPr="00646008" w:rsidRDefault="00F74DF0" w:rsidP="00F74DF0">
            <w:pPr>
              <w:spacing w:after="0"/>
              <w:ind w:firstLine="0"/>
              <w:jc w:val="center"/>
              <w:rPr>
                <w:sz w:val="22"/>
                <w:szCs w:val="22"/>
                <w:lang w:eastAsia="lv-LV"/>
              </w:rPr>
            </w:pPr>
          </w:p>
        </w:tc>
        <w:tc>
          <w:tcPr>
            <w:tcW w:w="1481" w:type="dxa"/>
            <w:shd w:val="clear" w:color="auto" w:fill="DBE5F1" w:themeFill="accent1" w:themeFillTint="33"/>
            <w:vAlign w:val="center"/>
          </w:tcPr>
          <w:p w14:paraId="5C243BF7" w14:textId="77777777" w:rsidR="00F74DF0" w:rsidRPr="00646008" w:rsidRDefault="00F74DF0" w:rsidP="00F74DF0">
            <w:pPr>
              <w:spacing w:after="0"/>
              <w:ind w:firstLine="0"/>
              <w:jc w:val="center"/>
              <w:rPr>
                <w:sz w:val="22"/>
                <w:szCs w:val="22"/>
                <w:lang w:eastAsia="lv-LV"/>
              </w:rPr>
            </w:pPr>
          </w:p>
        </w:tc>
        <w:tc>
          <w:tcPr>
            <w:tcW w:w="730" w:type="dxa"/>
            <w:shd w:val="clear" w:color="auto" w:fill="DBE5F1" w:themeFill="accent1" w:themeFillTint="33"/>
            <w:noWrap/>
            <w:vAlign w:val="bottom"/>
          </w:tcPr>
          <w:p w14:paraId="751D57E1" w14:textId="77777777" w:rsidR="00F74DF0" w:rsidRPr="00646008" w:rsidRDefault="00F74DF0" w:rsidP="00F74DF0">
            <w:pPr>
              <w:spacing w:after="0"/>
              <w:ind w:firstLine="0"/>
              <w:jc w:val="center"/>
              <w:rPr>
                <w:b/>
                <w:bCs/>
                <w:sz w:val="22"/>
                <w:szCs w:val="22"/>
                <w:lang w:eastAsia="lv-LV"/>
              </w:rPr>
            </w:pPr>
          </w:p>
        </w:tc>
        <w:tc>
          <w:tcPr>
            <w:tcW w:w="932" w:type="dxa"/>
            <w:shd w:val="clear" w:color="auto" w:fill="DBE5F1" w:themeFill="accent1" w:themeFillTint="33"/>
            <w:vAlign w:val="center"/>
          </w:tcPr>
          <w:p w14:paraId="01C15B30" w14:textId="77777777" w:rsidR="00F74DF0" w:rsidRPr="00646008" w:rsidRDefault="00F74DF0" w:rsidP="00F74DF0">
            <w:pPr>
              <w:spacing w:after="0"/>
              <w:ind w:firstLine="0"/>
              <w:jc w:val="center"/>
              <w:rPr>
                <w:sz w:val="22"/>
                <w:szCs w:val="22"/>
                <w:lang w:eastAsia="lv-LV"/>
              </w:rPr>
            </w:pPr>
            <w:r>
              <w:rPr>
                <w:sz w:val="22"/>
                <w:szCs w:val="22"/>
              </w:rPr>
              <w:t>0,04</w:t>
            </w:r>
          </w:p>
        </w:tc>
      </w:tr>
      <w:tr w:rsidR="00F74DF0" w:rsidRPr="00646008" w14:paraId="678EE9E4" w14:textId="77777777" w:rsidTr="00652C66">
        <w:trPr>
          <w:trHeight w:val="227"/>
        </w:trPr>
        <w:tc>
          <w:tcPr>
            <w:tcW w:w="4503" w:type="dxa"/>
            <w:shd w:val="clear" w:color="auto" w:fill="auto"/>
            <w:vAlign w:val="center"/>
          </w:tcPr>
          <w:p w14:paraId="69EDF8F1" w14:textId="7FEE2F10" w:rsidR="00F74DF0" w:rsidRPr="00AD663A" w:rsidRDefault="00F74DF0" w:rsidP="00F74DF0">
            <w:pPr>
              <w:spacing w:after="0"/>
              <w:ind w:firstLine="0"/>
              <w:jc w:val="left"/>
              <w:rPr>
                <w:i/>
                <w:color w:val="000000"/>
                <w:sz w:val="22"/>
                <w:szCs w:val="22"/>
                <w:lang w:eastAsia="lv-LV"/>
              </w:rPr>
            </w:pPr>
            <w:r w:rsidRPr="00AD663A">
              <w:rPr>
                <w:i/>
                <w:color w:val="000000"/>
                <w:sz w:val="22"/>
                <w:szCs w:val="22"/>
                <w:lang w:eastAsia="lv-LV"/>
              </w:rPr>
              <w:t>Ārvalstu finanšu palīdzības ieņēmumi</w:t>
            </w:r>
          </w:p>
        </w:tc>
        <w:tc>
          <w:tcPr>
            <w:tcW w:w="1727" w:type="dxa"/>
            <w:shd w:val="clear" w:color="auto" w:fill="auto"/>
            <w:vAlign w:val="center"/>
          </w:tcPr>
          <w:p w14:paraId="69741994" w14:textId="77777777" w:rsidR="00F74DF0" w:rsidRPr="00646008" w:rsidRDefault="00F74DF0" w:rsidP="00F74DF0">
            <w:pPr>
              <w:spacing w:after="0"/>
              <w:ind w:firstLine="0"/>
              <w:jc w:val="center"/>
              <w:rPr>
                <w:sz w:val="22"/>
                <w:szCs w:val="22"/>
                <w:lang w:eastAsia="lv-LV"/>
              </w:rPr>
            </w:pPr>
          </w:p>
        </w:tc>
        <w:tc>
          <w:tcPr>
            <w:tcW w:w="1413" w:type="dxa"/>
            <w:shd w:val="clear" w:color="auto" w:fill="auto"/>
            <w:vAlign w:val="center"/>
          </w:tcPr>
          <w:p w14:paraId="26062F6A" w14:textId="77777777" w:rsidR="00F74DF0" w:rsidRPr="00646008" w:rsidRDefault="00F74DF0" w:rsidP="00F74DF0">
            <w:pPr>
              <w:spacing w:after="0"/>
              <w:ind w:firstLine="0"/>
              <w:jc w:val="center"/>
              <w:rPr>
                <w:sz w:val="22"/>
                <w:szCs w:val="22"/>
                <w:lang w:eastAsia="lv-LV"/>
              </w:rPr>
            </w:pPr>
          </w:p>
        </w:tc>
        <w:tc>
          <w:tcPr>
            <w:tcW w:w="791" w:type="dxa"/>
            <w:shd w:val="clear" w:color="auto" w:fill="auto"/>
            <w:vAlign w:val="center"/>
          </w:tcPr>
          <w:p w14:paraId="5655B785" w14:textId="77777777" w:rsidR="00F74DF0" w:rsidRPr="00646008" w:rsidRDefault="00F74DF0" w:rsidP="00F74DF0">
            <w:pPr>
              <w:spacing w:after="0"/>
              <w:ind w:firstLine="0"/>
              <w:jc w:val="center"/>
              <w:rPr>
                <w:sz w:val="22"/>
                <w:szCs w:val="22"/>
                <w:lang w:eastAsia="lv-LV"/>
              </w:rPr>
            </w:pPr>
          </w:p>
        </w:tc>
        <w:tc>
          <w:tcPr>
            <w:tcW w:w="1255" w:type="dxa"/>
            <w:shd w:val="clear" w:color="auto" w:fill="auto"/>
            <w:vAlign w:val="center"/>
          </w:tcPr>
          <w:p w14:paraId="316E4421" w14:textId="77777777" w:rsidR="00F74DF0" w:rsidRPr="00646008" w:rsidRDefault="00F74DF0" w:rsidP="00F74DF0">
            <w:pPr>
              <w:spacing w:after="0"/>
              <w:ind w:firstLine="0"/>
              <w:jc w:val="center"/>
              <w:rPr>
                <w:sz w:val="22"/>
                <w:szCs w:val="22"/>
                <w:lang w:eastAsia="lv-LV"/>
              </w:rPr>
            </w:pPr>
          </w:p>
        </w:tc>
        <w:tc>
          <w:tcPr>
            <w:tcW w:w="1481" w:type="dxa"/>
            <w:shd w:val="clear" w:color="auto" w:fill="auto"/>
            <w:vAlign w:val="center"/>
          </w:tcPr>
          <w:p w14:paraId="6E388585" w14:textId="77777777" w:rsidR="00F74DF0" w:rsidRPr="00646008" w:rsidRDefault="00F74DF0" w:rsidP="00F74DF0">
            <w:pPr>
              <w:spacing w:after="0"/>
              <w:ind w:firstLine="0"/>
              <w:jc w:val="center"/>
              <w:rPr>
                <w:sz w:val="22"/>
                <w:szCs w:val="22"/>
                <w:lang w:eastAsia="lv-LV"/>
              </w:rPr>
            </w:pPr>
          </w:p>
        </w:tc>
        <w:tc>
          <w:tcPr>
            <w:tcW w:w="730" w:type="dxa"/>
            <w:shd w:val="clear" w:color="auto" w:fill="auto"/>
            <w:noWrap/>
            <w:vAlign w:val="bottom"/>
          </w:tcPr>
          <w:p w14:paraId="09672FDD" w14:textId="77777777" w:rsidR="00F74DF0" w:rsidRPr="00646008" w:rsidRDefault="00F74DF0" w:rsidP="00F74DF0">
            <w:pPr>
              <w:spacing w:after="0"/>
              <w:ind w:firstLine="0"/>
              <w:jc w:val="center"/>
              <w:rPr>
                <w:b/>
                <w:bCs/>
                <w:sz w:val="22"/>
                <w:szCs w:val="22"/>
                <w:lang w:eastAsia="lv-LV"/>
              </w:rPr>
            </w:pPr>
          </w:p>
        </w:tc>
        <w:tc>
          <w:tcPr>
            <w:tcW w:w="932" w:type="dxa"/>
            <w:shd w:val="clear" w:color="auto" w:fill="auto"/>
            <w:vAlign w:val="center"/>
          </w:tcPr>
          <w:p w14:paraId="56A3DE2B" w14:textId="77777777" w:rsidR="00F74DF0" w:rsidRPr="00646008" w:rsidRDefault="00F74DF0" w:rsidP="00F74DF0">
            <w:pPr>
              <w:spacing w:after="0"/>
              <w:ind w:firstLine="0"/>
              <w:jc w:val="center"/>
              <w:rPr>
                <w:sz w:val="22"/>
                <w:szCs w:val="22"/>
                <w:lang w:eastAsia="lv-LV"/>
              </w:rPr>
            </w:pPr>
            <w:r>
              <w:rPr>
                <w:sz w:val="22"/>
                <w:szCs w:val="22"/>
              </w:rPr>
              <w:t>0,06</w:t>
            </w:r>
          </w:p>
        </w:tc>
      </w:tr>
      <w:tr w:rsidR="00F74DF0" w:rsidRPr="00646008" w14:paraId="37229F6D" w14:textId="77777777" w:rsidTr="00652C66">
        <w:trPr>
          <w:trHeight w:val="227"/>
        </w:trPr>
        <w:tc>
          <w:tcPr>
            <w:tcW w:w="4503" w:type="dxa"/>
            <w:shd w:val="clear" w:color="auto" w:fill="DBE5F1" w:themeFill="accent1" w:themeFillTint="33"/>
            <w:noWrap/>
            <w:vAlign w:val="bottom"/>
            <w:hideMark/>
          </w:tcPr>
          <w:p w14:paraId="70AFBA99" w14:textId="77777777" w:rsidR="00F74DF0" w:rsidRPr="00646008" w:rsidRDefault="00F74DF0" w:rsidP="00F74DF0">
            <w:pPr>
              <w:spacing w:after="0"/>
              <w:ind w:firstLine="0"/>
              <w:jc w:val="center"/>
              <w:rPr>
                <w:sz w:val="22"/>
                <w:szCs w:val="22"/>
                <w:lang w:eastAsia="lv-LV"/>
              </w:rPr>
            </w:pPr>
          </w:p>
        </w:tc>
        <w:tc>
          <w:tcPr>
            <w:tcW w:w="1727" w:type="dxa"/>
            <w:shd w:val="clear" w:color="auto" w:fill="DBE5F1" w:themeFill="accent1" w:themeFillTint="33"/>
            <w:noWrap/>
            <w:vAlign w:val="bottom"/>
            <w:hideMark/>
          </w:tcPr>
          <w:p w14:paraId="20967991" w14:textId="77777777" w:rsidR="00F74DF0" w:rsidRPr="00646008" w:rsidRDefault="00F74DF0" w:rsidP="00F74DF0">
            <w:pPr>
              <w:spacing w:after="0"/>
              <w:ind w:firstLine="0"/>
              <w:jc w:val="left"/>
              <w:rPr>
                <w:sz w:val="22"/>
                <w:szCs w:val="22"/>
                <w:lang w:eastAsia="lv-LV"/>
              </w:rPr>
            </w:pPr>
          </w:p>
        </w:tc>
        <w:tc>
          <w:tcPr>
            <w:tcW w:w="1413" w:type="dxa"/>
            <w:shd w:val="clear" w:color="auto" w:fill="DBE5F1" w:themeFill="accent1" w:themeFillTint="33"/>
            <w:noWrap/>
            <w:vAlign w:val="bottom"/>
            <w:hideMark/>
          </w:tcPr>
          <w:p w14:paraId="47C27E6D" w14:textId="77777777" w:rsidR="00F74DF0" w:rsidRPr="00646008" w:rsidRDefault="00F74DF0" w:rsidP="00F74DF0">
            <w:pPr>
              <w:spacing w:after="0"/>
              <w:ind w:firstLine="0"/>
              <w:jc w:val="center"/>
              <w:rPr>
                <w:sz w:val="22"/>
                <w:szCs w:val="22"/>
                <w:lang w:eastAsia="lv-LV"/>
              </w:rPr>
            </w:pPr>
          </w:p>
        </w:tc>
        <w:tc>
          <w:tcPr>
            <w:tcW w:w="791" w:type="dxa"/>
            <w:shd w:val="clear" w:color="auto" w:fill="DBE5F1" w:themeFill="accent1" w:themeFillTint="33"/>
            <w:noWrap/>
            <w:vAlign w:val="center"/>
            <w:hideMark/>
          </w:tcPr>
          <w:p w14:paraId="0B78F1C5" w14:textId="77777777" w:rsidR="00F74DF0" w:rsidRPr="00646008" w:rsidRDefault="00F74DF0" w:rsidP="00F74DF0">
            <w:pPr>
              <w:spacing w:after="0"/>
              <w:ind w:firstLine="0"/>
              <w:jc w:val="left"/>
              <w:rPr>
                <w:sz w:val="22"/>
                <w:szCs w:val="22"/>
                <w:lang w:eastAsia="lv-LV"/>
              </w:rPr>
            </w:pPr>
          </w:p>
        </w:tc>
        <w:tc>
          <w:tcPr>
            <w:tcW w:w="1255" w:type="dxa"/>
            <w:shd w:val="clear" w:color="auto" w:fill="DBE5F1" w:themeFill="accent1" w:themeFillTint="33"/>
            <w:noWrap/>
            <w:vAlign w:val="bottom"/>
            <w:hideMark/>
          </w:tcPr>
          <w:p w14:paraId="39DFC1B2" w14:textId="77777777" w:rsidR="00F74DF0" w:rsidRPr="00646008" w:rsidRDefault="00F74DF0" w:rsidP="00F74DF0">
            <w:pPr>
              <w:spacing w:after="0"/>
              <w:ind w:firstLine="0"/>
              <w:jc w:val="center"/>
              <w:rPr>
                <w:sz w:val="22"/>
                <w:szCs w:val="22"/>
                <w:lang w:eastAsia="lv-LV"/>
              </w:rPr>
            </w:pPr>
          </w:p>
        </w:tc>
        <w:tc>
          <w:tcPr>
            <w:tcW w:w="1481" w:type="dxa"/>
            <w:shd w:val="clear" w:color="auto" w:fill="DBE5F1" w:themeFill="accent1" w:themeFillTint="33"/>
            <w:noWrap/>
            <w:vAlign w:val="bottom"/>
            <w:hideMark/>
          </w:tcPr>
          <w:p w14:paraId="5816AD2B" w14:textId="77777777" w:rsidR="00F74DF0" w:rsidRPr="00646008" w:rsidRDefault="00F74DF0" w:rsidP="00F74DF0">
            <w:pPr>
              <w:spacing w:after="0"/>
              <w:ind w:firstLine="0"/>
              <w:jc w:val="left"/>
              <w:rPr>
                <w:sz w:val="22"/>
                <w:szCs w:val="22"/>
                <w:lang w:eastAsia="lv-LV"/>
              </w:rPr>
            </w:pPr>
          </w:p>
        </w:tc>
        <w:tc>
          <w:tcPr>
            <w:tcW w:w="730" w:type="dxa"/>
            <w:shd w:val="clear" w:color="auto" w:fill="DBE5F1" w:themeFill="accent1" w:themeFillTint="33"/>
            <w:noWrap/>
            <w:vAlign w:val="bottom"/>
            <w:hideMark/>
          </w:tcPr>
          <w:p w14:paraId="78FE2CD9" w14:textId="77777777" w:rsidR="00F74DF0" w:rsidRPr="00646008" w:rsidRDefault="00F74DF0" w:rsidP="00F74DF0">
            <w:pPr>
              <w:spacing w:after="0"/>
              <w:ind w:firstLine="0"/>
              <w:jc w:val="left"/>
              <w:rPr>
                <w:b/>
                <w:bCs/>
                <w:color w:val="000000"/>
                <w:sz w:val="22"/>
                <w:szCs w:val="22"/>
                <w:lang w:eastAsia="lv-LV"/>
              </w:rPr>
            </w:pPr>
            <w:r w:rsidRPr="00646008">
              <w:rPr>
                <w:b/>
                <w:bCs/>
                <w:color w:val="000000"/>
                <w:sz w:val="22"/>
                <w:szCs w:val="22"/>
                <w:lang w:eastAsia="lv-LV"/>
              </w:rPr>
              <w:t>Kopā</w:t>
            </w:r>
          </w:p>
        </w:tc>
        <w:tc>
          <w:tcPr>
            <w:tcW w:w="932" w:type="dxa"/>
            <w:shd w:val="clear" w:color="auto" w:fill="DBE5F1" w:themeFill="accent1" w:themeFillTint="33"/>
            <w:noWrap/>
            <w:vAlign w:val="center"/>
            <w:hideMark/>
          </w:tcPr>
          <w:p w14:paraId="4A0B860E" w14:textId="77777777" w:rsidR="00F74DF0" w:rsidRPr="00646008" w:rsidRDefault="00F74DF0" w:rsidP="00F74DF0">
            <w:pPr>
              <w:spacing w:after="0"/>
              <w:ind w:firstLine="0"/>
              <w:jc w:val="center"/>
              <w:rPr>
                <w:b/>
                <w:bCs/>
                <w:color w:val="000000"/>
                <w:sz w:val="22"/>
                <w:szCs w:val="22"/>
                <w:lang w:eastAsia="lv-LV"/>
              </w:rPr>
            </w:pPr>
            <w:r>
              <w:rPr>
                <w:b/>
                <w:bCs/>
                <w:color w:val="000000"/>
                <w:sz w:val="22"/>
                <w:szCs w:val="22"/>
                <w:lang w:eastAsia="lv-LV"/>
              </w:rPr>
              <w:t>0,40</w:t>
            </w:r>
          </w:p>
        </w:tc>
      </w:tr>
    </w:tbl>
    <w:p w14:paraId="45269A25" w14:textId="34A83BD0" w:rsidR="005B2F54" w:rsidRPr="00CA695A" w:rsidRDefault="00006BD6" w:rsidP="005B2F54">
      <w:pPr>
        <w:pStyle w:val="Heading1"/>
        <w:tabs>
          <w:tab w:val="left" w:pos="1276"/>
        </w:tabs>
        <w:spacing w:before="0" w:after="240"/>
        <w:ind w:left="1276" w:hanging="1276"/>
        <w:jc w:val="left"/>
        <w:rPr>
          <w:rFonts w:ascii="Times New Roman" w:hAnsi="Times New Roman"/>
          <w:color w:val="18185F"/>
          <w:sz w:val="24"/>
          <w:lang w:val="lv-LV"/>
        </w:rPr>
      </w:pPr>
      <w:r>
        <w:br w:type="page"/>
      </w:r>
      <w:bookmarkStart w:id="25" w:name="_Toc494786354"/>
      <w:bookmarkStart w:id="26" w:name="_Toc1374672"/>
      <w:r w:rsidR="001563FD" w:rsidRPr="001563FD">
        <w:rPr>
          <w:rFonts w:ascii="Times New Roman" w:hAnsi="Times New Roman"/>
          <w:color w:val="18185F"/>
          <w:sz w:val="24"/>
        </w:rPr>
        <w:lastRenderedPageBreak/>
        <w:t xml:space="preserve">Tabula </w:t>
      </w:r>
      <w:r w:rsidR="005B2F54" w:rsidRPr="001563FD">
        <w:rPr>
          <w:rFonts w:ascii="Times New Roman" w:hAnsi="Times New Roman"/>
          <w:color w:val="18185F"/>
          <w:sz w:val="24"/>
        </w:rPr>
        <w:t xml:space="preserve">5.a.ii) </w:t>
      </w:r>
      <w:r w:rsidR="005B2F54" w:rsidRPr="00AF1EE1">
        <w:rPr>
          <w:rFonts w:ascii="Times New Roman" w:hAnsi="Times New Roman"/>
          <w:color w:val="18185F"/>
          <w:sz w:val="24"/>
        </w:rPr>
        <w:t xml:space="preserve">Diskrecionārie </w:t>
      </w:r>
      <w:r w:rsidR="005B2F54" w:rsidRPr="00AF1EE1">
        <w:rPr>
          <w:rFonts w:ascii="Times New Roman" w:hAnsi="Times New Roman"/>
          <w:color w:val="18185F"/>
          <w:sz w:val="24"/>
          <w:lang w:val="lv-LV"/>
        </w:rPr>
        <w:t xml:space="preserve">izdevumu </w:t>
      </w:r>
      <w:r w:rsidR="005B2F54" w:rsidRPr="00AF1EE1">
        <w:rPr>
          <w:rFonts w:ascii="Times New Roman" w:hAnsi="Times New Roman"/>
          <w:color w:val="18185F"/>
          <w:sz w:val="24"/>
        </w:rPr>
        <w:t xml:space="preserve">pasākumi </w:t>
      </w:r>
      <w:r w:rsidR="005B2F54" w:rsidRPr="00AF1EE1">
        <w:rPr>
          <w:rFonts w:ascii="Times New Roman" w:hAnsi="Times New Roman"/>
          <w:color w:val="18185F"/>
          <w:sz w:val="24"/>
          <w:lang w:val="lv-LV"/>
        </w:rPr>
        <w:t>vispārējās valdības budžetā</w:t>
      </w:r>
      <w:bookmarkEnd w:id="25"/>
      <w:bookmarkEnd w:id="26"/>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729"/>
        <w:gridCol w:w="5762"/>
        <w:gridCol w:w="1047"/>
        <w:gridCol w:w="1430"/>
        <w:gridCol w:w="1501"/>
        <w:gridCol w:w="709"/>
        <w:gridCol w:w="709"/>
        <w:gridCol w:w="814"/>
      </w:tblGrid>
      <w:tr w:rsidR="00647F74" w:rsidRPr="005B2F54" w14:paraId="43F77E42" w14:textId="77777777" w:rsidTr="001563FD">
        <w:trPr>
          <w:trHeight w:val="945"/>
        </w:trPr>
        <w:tc>
          <w:tcPr>
            <w:tcW w:w="2729" w:type="dxa"/>
            <w:shd w:val="clear" w:color="auto" w:fill="auto"/>
            <w:noWrap/>
            <w:vAlign w:val="center"/>
            <w:hideMark/>
          </w:tcPr>
          <w:p w14:paraId="74F4442C"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noWrap/>
            <w:vAlign w:val="center"/>
            <w:hideMark/>
          </w:tcPr>
          <w:p w14:paraId="59E837CE" w14:textId="77777777" w:rsidR="00647F74" w:rsidRPr="00647F74" w:rsidRDefault="00647F74" w:rsidP="00647F74">
            <w:pPr>
              <w:spacing w:after="0"/>
              <w:ind w:firstLine="0"/>
              <w:jc w:val="center"/>
              <w:rPr>
                <w:b/>
                <w:bCs/>
                <w:color w:val="000000"/>
                <w:sz w:val="22"/>
                <w:szCs w:val="22"/>
                <w:lang w:eastAsia="lv-LV"/>
              </w:rPr>
            </w:pPr>
            <w:r w:rsidRPr="00647F74">
              <w:rPr>
                <w:b/>
                <w:bCs/>
                <w:color w:val="000000"/>
                <w:sz w:val="22"/>
                <w:szCs w:val="22"/>
                <w:lang w:eastAsia="lv-LV"/>
              </w:rPr>
              <w:t>Pasākumu saraksts</w:t>
            </w:r>
          </w:p>
        </w:tc>
        <w:tc>
          <w:tcPr>
            <w:tcW w:w="1047" w:type="dxa"/>
            <w:shd w:val="clear" w:color="auto" w:fill="auto"/>
            <w:noWrap/>
            <w:vAlign w:val="center"/>
            <w:hideMark/>
          </w:tcPr>
          <w:p w14:paraId="3CB1C25D" w14:textId="77777777" w:rsidR="00647F74" w:rsidRPr="005B2F54" w:rsidRDefault="00647F74" w:rsidP="001135DE">
            <w:pPr>
              <w:spacing w:after="0"/>
              <w:ind w:firstLine="0"/>
              <w:jc w:val="center"/>
              <w:rPr>
                <w:b/>
                <w:bCs/>
                <w:color w:val="000000"/>
                <w:sz w:val="22"/>
                <w:szCs w:val="22"/>
                <w:lang w:eastAsia="lv-LV"/>
              </w:rPr>
            </w:pPr>
            <w:r w:rsidRPr="005B2F54">
              <w:rPr>
                <w:b/>
                <w:bCs/>
                <w:color w:val="000000"/>
                <w:sz w:val="22"/>
                <w:szCs w:val="22"/>
                <w:lang w:eastAsia="lv-LV"/>
              </w:rPr>
              <w:t>ESA kods</w:t>
            </w:r>
          </w:p>
        </w:tc>
        <w:tc>
          <w:tcPr>
            <w:tcW w:w="1430" w:type="dxa"/>
            <w:shd w:val="clear" w:color="auto" w:fill="auto"/>
            <w:vAlign w:val="center"/>
            <w:hideMark/>
          </w:tcPr>
          <w:p w14:paraId="0A7A2C2D" w14:textId="77777777" w:rsidR="00647F74" w:rsidRPr="005B2F54" w:rsidRDefault="00647F74" w:rsidP="001135DE">
            <w:pPr>
              <w:spacing w:after="0"/>
              <w:ind w:firstLine="0"/>
              <w:jc w:val="center"/>
              <w:rPr>
                <w:b/>
                <w:bCs/>
                <w:color w:val="000000"/>
                <w:sz w:val="22"/>
                <w:szCs w:val="22"/>
                <w:lang w:eastAsia="lv-LV"/>
              </w:rPr>
            </w:pPr>
            <w:r w:rsidRPr="005B2F54">
              <w:rPr>
                <w:b/>
                <w:bCs/>
                <w:color w:val="000000"/>
                <w:sz w:val="22"/>
                <w:szCs w:val="22"/>
                <w:lang w:eastAsia="lv-LV"/>
              </w:rPr>
              <w:t>Uzskaites princips</w:t>
            </w:r>
          </w:p>
        </w:tc>
        <w:tc>
          <w:tcPr>
            <w:tcW w:w="1501" w:type="dxa"/>
            <w:shd w:val="clear" w:color="auto" w:fill="auto"/>
            <w:vAlign w:val="center"/>
            <w:hideMark/>
          </w:tcPr>
          <w:p w14:paraId="0BFD6B48" w14:textId="77777777" w:rsidR="00647F74" w:rsidRPr="005B2F54" w:rsidRDefault="00647F74" w:rsidP="001135DE">
            <w:pPr>
              <w:spacing w:after="0"/>
              <w:ind w:firstLine="0"/>
              <w:jc w:val="center"/>
              <w:rPr>
                <w:b/>
                <w:bCs/>
                <w:color w:val="000000"/>
                <w:sz w:val="22"/>
                <w:szCs w:val="22"/>
                <w:lang w:eastAsia="lv-LV"/>
              </w:rPr>
            </w:pPr>
            <w:r w:rsidRPr="005B2F54">
              <w:rPr>
                <w:b/>
                <w:bCs/>
                <w:color w:val="000000"/>
                <w:sz w:val="22"/>
                <w:szCs w:val="22"/>
                <w:lang w:eastAsia="lv-LV"/>
              </w:rPr>
              <w:t>Pieņemšanas statuss</w:t>
            </w:r>
          </w:p>
        </w:tc>
        <w:tc>
          <w:tcPr>
            <w:tcW w:w="2232" w:type="dxa"/>
            <w:gridSpan w:val="3"/>
            <w:shd w:val="clear" w:color="auto" w:fill="auto"/>
            <w:noWrap/>
            <w:vAlign w:val="center"/>
            <w:hideMark/>
          </w:tcPr>
          <w:p w14:paraId="14094DB9" w14:textId="77777777" w:rsidR="00647F74" w:rsidRPr="005B2F54" w:rsidRDefault="00647F74" w:rsidP="001135DE">
            <w:pPr>
              <w:spacing w:after="0"/>
              <w:ind w:firstLine="0"/>
              <w:jc w:val="center"/>
              <w:rPr>
                <w:b/>
                <w:bCs/>
                <w:color w:val="000000"/>
                <w:sz w:val="22"/>
                <w:szCs w:val="22"/>
                <w:lang w:eastAsia="lv-LV"/>
              </w:rPr>
            </w:pPr>
            <w:r w:rsidRPr="005B2F54">
              <w:rPr>
                <w:b/>
                <w:bCs/>
                <w:color w:val="000000"/>
                <w:sz w:val="22"/>
                <w:szCs w:val="22"/>
                <w:lang w:eastAsia="lv-LV"/>
              </w:rPr>
              <w:t>Ietekme uz budžetu</w:t>
            </w:r>
          </w:p>
        </w:tc>
      </w:tr>
      <w:tr w:rsidR="00647F74" w:rsidRPr="005B2F54" w14:paraId="4CADDF0F" w14:textId="77777777" w:rsidTr="001563FD">
        <w:trPr>
          <w:trHeight w:val="315"/>
        </w:trPr>
        <w:tc>
          <w:tcPr>
            <w:tcW w:w="2729" w:type="dxa"/>
            <w:shd w:val="clear" w:color="auto" w:fill="DBE5F1" w:themeFill="accent1" w:themeFillTint="33"/>
            <w:noWrap/>
            <w:vAlign w:val="center"/>
            <w:hideMark/>
          </w:tcPr>
          <w:p w14:paraId="08B391D5"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noWrap/>
            <w:vAlign w:val="center"/>
            <w:hideMark/>
          </w:tcPr>
          <w:p w14:paraId="6BEE4269" w14:textId="77777777" w:rsidR="00647F74" w:rsidRPr="00647F74" w:rsidRDefault="00647F74" w:rsidP="00647F74">
            <w:pPr>
              <w:spacing w:after="0"/>
              <w:ind w:firstLine="0"/>
              <w:rPr>
                <w:color w:val="000000"/>
                <w:sz w:val="22"/>
                <w:szCs w:val="22"/>
                <w:lang w:eastAsia="lv-LV"/>
              </w:rPr>
            </w:pPr>
          </w:p>
        </w:tc>
        <w:tc>
          <w:tcPr>
            <w:tcW w:w="1047" w:type="dxa"/>
            <w:shd w:val="clear" w:color="auto" w:fill="DBE5F1" w:themeFill="accent1" w:themeFillTint="33"/>
            <w:noWrap/>
            <w:vAlign w:val="center"/>
            <w:hideMark/>
          </w:tcPr>
          <w:p w14:paraId="2E76B287" w14:textId="77777777" w:rsidR="00647F74" w:rsidRPr="005B2F54" w:rsidRDefault="00647F74" w:rsidP="001135DE">
            <w:pPr>
              <w:spacing w:after="0"/>
              <w:ind w:firstLine="0"/>
              <w:jc w:val="center"/>
              <w:rPr>
                <w:color w:val="000000"/>
                <w:sz w:val="22"/>
                <w:szCs w:val="22"/>
                <w:lang w:eastAsia="lv-LV"/>
              </w:rPr>
            </w:pPr>
          </w:p>
        </w:tc>
        <w:tc>
          <w:tcPr>
            <w:tcW w:w="1430" w:type="dxa"/>
            <w:shd w:val="clear" w:color="auto" w:fill="DBE5F1" w:themeFill="accent1" w:themeFillTint="33"/>
            <w:noWrap/>
            <w:vAlign w:val="center"/>
            <w:hideMark/>
          </w:tcPr>
          <w:p w14:paraId="1AABAC9A"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DBE5F1" w:themeFill="accent1" w:themeFillTint="33"/>
            <w:noWrap/>
            <w:vAlign w:val="center"/>
            <w:hideMark/>
          </w:tcPr>
          <w:p w14:paraId="47095554"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DBE5F1" w:themeFill="accent1" w:themeFillTint="33"/>
            <w:noWrap/>
            <w:vAlign w:val="center"/>
            <w:hideMark/>
          </w:tcPr>
          <w:p w14:paraId="4C1B58FF" w14:textId="77777777" w:rsidR="00647F74" w:rsidRPr="005B2F54" w:rsidRDefault="00647F74" w:rsidP="001135DE">
            <w:pPr>
              <w:spacing w:after="0"/>
              <w:ind w:firstLine="0"/>
              <w:jc w:val="center"/>
              <w:rPr>
                <w:b/>
                <w:bCs/>
                <w:color w:val="000000"/>
                <w:sz w:val="22"/>
                <w:szCs w:val="22"/>
                <w:lang w:eastAsia="lv-LV"/>
              </w:rPr>
            </w:pPr>
            <w:r w:rsidRPr="005B2F54">
              <w:rPr>
                <w:b/>
                <w:bCs/>
                <w:color w:val="000000"/>
                <w:sz w:val="22"/>
                <w:szCs w:val="22"/>
                <w:lang w:eastAsia="lv-LV"/>
              </w:rPr>
              <w:t>2019</w:t>
            </w:r>
          </w:p>
        </w:tc>
        <w:tc>
          <w:tcPr>
            <w:tcW w:w="709" w:type="dxa"/>
            <w:shd w:val="clear" w:color="auto" w:fill="DBE5F1" w:themeFill="accent1" w:themeFillTint="33"/>
            <w:noWrap/>
            <w:vAlign w:val="center"/>
            <w:hideMark/>
          </w:tcPr>
          <w:p w14:paraId="5032148A" w14:textId="77777777" w:rsidR="00647F74" w:rsidRPr="005B2F54" w:rsidRDefault="00647F74" w:rsidP="001135DE">
            <w:pPr>
              <w:spacing w:after="0"/>
              <w:ind w:firstLine="0"/>
              <w:jc w:val="center"/>
              <w:rPr>
                <w:b/>
                <w:bCs/>
                <w:color w:val="000000"/>
                <w:sz w:val="22"/>
                <w:szCs w:val="22"/>
                <w:lang w:eastAsia="lv-LV"/>
              </w:rPr>
            </w:pPr>
            <w:r w:rsidRPr="005B2F54">
              <w:rPr>
                <w:b/>
                <w:bCs/>
                <w:color w:val="000000"/>
                <w:sz w:val="22"/>
                <w:szCs w:val="22"/>
                <w:lang w:eastAsia="lv-LV"/>
              </w:rPr>
              <w:t>20</w:t>
            </w:r>
            <w:r>
              <w:rPr>
                <w:b/>
                <w:bCs/>
                <w:color w:val="000000"/>
                <w:sz w:val="22"/>
                <w:szCs w:val="22"/>
                <w:lang w:eastAsia="lv-LV"/>
              </w:rPr>
              <w:t>20</w:t>
            </w:r>
          </w:p>
        </w:tc>
        <w:tc>
          <w:tcPr>
            <w:tcW w:w="814" w:type="dxa"/>
            <w:shd w:val="clear" w:color="auto" w:fill="DBE5F1" w:themeFill="accent1" w:themeFillTint="33"/>
            <w:noWrap/>
            <w:vAlign w:val="center"/>
            <w:hideMark/>
          </w:tcPr>
          <w:p w14:paraId="2C4ACD2C" w14:textId="77777777" w:rsidR="00647F74" w:rsidRPr="005B2F54" w:rsidRDefault="00647F74" w:rsidP="001135DE">
            <w:pPr>
              <w:spacing w:after="0"/>
              <w:ind w:firstLine="0"/>
              <w:jc w:val="center"/>
              <w:rPr>
                <w:b/>
                <w:bCs/>
                <w:color w:val="000000"/>
                <w:sz w:val="22"/>
                <w:szCs w:val="22"/>
                <w:lang w:eastAsia="lv-LV"/>
              </w:rPr>
            </w:pPr>
            <w:r w:rsidRPr="005B2F54">
              <w:rPr>
                <w:b/>
                <w:bCs/>
                <w:color w:val="000000"/>
                <w:sz w:val="22"/>
                <w:szCs w:val="22"/>
                <w:lang w:eastAsia="lv-LV"/>
              </w:rPr>
              <w:t>20</w:t>
            </w:r>
            <w:r>
              <w:rPr>
                <w:b/>
                <w:bCs/>
                <w:color w:val="000000"/>
                <w:sz w:val="22"/>
                <w:szCs w:val="22"/>
                <w:lang w:eastAsia="lv-LV"/>
              </w:rPr>
              <w:t>21</w:t>
            </w:r>
          </w:p>
        </w:tc>
      </w:tr>
      <w:tr w:rsidR="00647F74" w:rsidRPr="005B2F54" w14:paraId="7B8E80C9" w14:textId="77777777" w:rsidTr="001563FD">
        <w:trPr>
          <w:trHeight w:val="315"/>
        </w:trPr>
        <w:tc>
          <w:tcPr>
            <w:tcW w:w="2729" w:type="dxa"/>
            <w:shd w:val="clear" w:color="auto" w:fill="auto"/>
            <w:noWrap/>
            <w:vAlign w:val="center"/>
            <w:hideMark/>
          </w:tcPr>
          <w:p w14:paraId="455326A1"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noWrap/>
            <w:vAlign w:val="center"/>
            <w:hideMark/>
          </w:tcPr>
          <w:p w14:paraId="21FDC2B6" w14:textId="77777777" w:rsidR="00647F74" w:rsidRPr="00647F74" w:rsidRDefault="00647F74" w:rsidP="00647F74">
            <w:pPr>
              <w:spacing w:after="0"/>
              <w:ind w:firstLine="0"/>
              <w:rPr>
                <w:color w:val="000000"/>
                <w:sz w:val="22"/>
                <w:szCs w:val="22"/>
                <w:lang w:eastAsia="lv-LV"/>
              </w:rPr>
            </w:pPr>
          </w:p>
        </w:tc>
        <w:tc>
          <w:tcPr>
            <w:tcW w:w="1047" w:type="dxa"/>
            <w:shd w:val="clear" w:color="auto" w:fill="auto"/>
            <w:noWrap/>
            <w:vAlign w:val="center"/>
            <w:hideMark/>
          </w:tcPr>
          <w:p w14:paraId="1F2379E4" w14:textId="77777777" w:rsidR="00647F74" w:rsidRPr="005B2F54" w:rsidRDefault="00647F74" w:rsidP="001135DE">
            <w:pPr>
              <w:spacing w:after="0"/>
              <w:ind w:firstLine="0"/>
              <w:jc w:val="center"/>
              <w:rPr>
                <w:color w:val="000000"/>
                <w:sz w:val="22"/>
                <w:szCs w:val="22"/>
                <w:lang w:eastAsia="lv-LV"/>
              </w:rPr>
            </w:pPr>
          </w:p>
        </w:tc>
        <w:tc>
          <w:tcPr>
            <w:tcW w:w="1430" w:type="dxa"/>
            <w:shd w:val="clear" w:color="auto" w:fill="auto"/>
            <w:noWrap/>
            <w:vAlign w:val="center"/>
            <w:hideMark/>
          </w:tcPr>
          <w:p w14:paraId="2F07D507"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auto"/>
            <w:noWrap/>
            <w:vAlign w:val="center"/>
            <w:hideMark/>
          </w:tcPr>
          <w:p w14:paraId="5A844608" w14:textId="77777777" w:rsidR="00647F74" w:rsidRPr="005B2F54" w:rsidRDefault="00647F74" w:rsidP="001135DE">
            <w:pPr>
              <w:spacing w:after="0"/>
              <w:ind w:firstLine="0"/>
              <w:jc w:val="center"/>
              <w:rPr>
                <w:color w:val="000000"/>
                <w:sz w:val="22"/>
                <w:szCs w:val="22"/>
                <w:lang w:eastAsia="lv-LV"/>
              </w:rPr>
            </w:pPr>
          </w:p>
        </w:tc>
        <w:tc>
          <w:tcPr>
            <w:tcW w:w="2232" w:type="dxa"/>
            <w:gridSpan w:val="3"/>
            <w:shd w:val="clear" w:color="auto" w:fill="auto"/>
            <w:noWrap/>
            <w:vAlign w:val="center"/>
            <w:hideMark/>
          </w:tcPr>
          <w:p w14:paraId="1F7F8E9B" w14:textId="77777777" w:rsidR="00647F74" w:rsidRPr="005B2F54" w:rsidRDefault="00647F74" w:rsidP="001135DE">
            <w:pPr>
              <w:spacing w:after="0"/>
              <w:ind w:firstLine="0"/>
              <w:jc w:val="center"/>
              <w:rPr>
                <w:b/>
                <w:bCs/>
                <w:color w:val="000000"/>
                <w:sz w:val="22"/>
                <w:szCs w:val="22"/>
                <w:lang w:eastAsia="lv-LV"/>
              </w:rPr>
            </w:pPr>
            <w:r w:rsidRPr="005B2F54">
              <w:rPr>
                <w:b/>
                <w:bCs/>
                <w:color w:val="000000"/>
                <w:sz w:val="22"/>
                <w:szCs w:val="22"/>
                <w:lang w:eastAsia="lv-LV"/>
              </w:rPr>
              <w:t>% no IKP</w:t>
            </w:r>
          </w:p>
        </w:tc>
      </w:tr>
      <w:tr w:rsidR="00647F74" w:rsidRPr="005B2F54" w14:paraId="5E242C64" w14:textId="77777777" w:rsidTr="001563FD">
        <w:trPr>
          <w:trHeight w:val="315"/>
        </w:trPr>
        <w:tc>
          <w:tcPr>
            <w:tcW w:w="2729" w:type="dxa"/>
            <w:vMerge w:val="restart"/>
            <w:shd w:val="clear" w:color="auto" w:fill="DBE5F1" w:themeFill="accent1" w:themeFillTint="33"/>
            <w:vAlign w:val="center"/>
            <w:hideMark/>
          </w:tcPr>
          <w:p w14:paraId="24EF8CDE"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Aizsardzības ministrija</w:t>
            </w:r>
          </w:p>
        </w:tc>
        <w:tc>
          <w:tcPr>
            <w:tcW w:w="5762" w:type="dxa"/>
            <w:shd w:val="clear" w:color="auto" w:fill="DBE5F1" w:themeFill="accent1" w:themeFillTint="33"/>
            <w:vAlign w:val="center"/>
            <w:hideMark/>
          </w:tcPr>
          <w:p w14:paraId="14FBDF37"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Palielināts finansējums būvniecības projektu īstenošanai</w:t>
            </w:r>
          </w:p>
        </w:tc>
        <w:tc>
          <w:tcPr>
            <w:tcW w:w="1047" w:type="dxa"/>
            <w:shd w:val="clear" w:color="auto" w:fill="DBE5F1" w:themeFill="accent1" w:themeFillTint="33"/>
            <w:vAlign w:val="center"/>
            <w:hideMark/>
          </w:tcPr>
          <w:p w14:paraId="1DAF0E29"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P.51</w:t>
            </w:r>
          </w:p>
        </w:tc>
        <w:tc>
          <w:tcPr>
            <w:tcW w:w="1430" w:type="dxa"/>
            <w:shd w:val="clear" w:color="auto" w:fill="DBE5F1" w:themeFill="accent1" w:themeFillTint="33"/>
            <w:noWrap/>
            <w:vAlign w:val="center"/>
            <w:hideMark/>
          </w:tcPr>
          <w:p w14:paraId="5FBEF1D1"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3B4FBE3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7D41DF6E"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632584C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3163D66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7234476E" w14:textId="77777777" w:rsidTr="001563FD">
        <w:trPr>
          <w:trHeight w:val="630"/>
        </w:trPr>
        <w:tc>
          <w:tcPr>
            <w:tcW w:w="2729" w:type="dxa"/>
            <w:vMerge/>
            <w:shd w:val="clear" w:color="auto" w:fill="DBE5F1" w:themeFill="accent1" w:themeFillTint="33"/>
            <w:vAlign w:val="center"/>
            <w:hideMark/>
          </w:tcPr>
          <w:p w14:paraId="2CC7DA69"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0A12BF12"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Tehniskie precizējumi* (t.sk. izdevumi Nacionālo bruņoto spēku uzturēšanai, izdevumi NATO investīciju projektiem)</w:t>
            </w:r>
          </w:p>
        </w:tc>
        <w:tc>
          <w:tcPr>
            <w:tcW w:w="1047" w:type="dxa"/>
            <w:shd w:val="clear" w:color="auto" w:fill="auto"/>
            <w:vAlign w:val="center"/>
            <w:hideMark/>
          </w:tcPr>
          <w:p w14:paraId="0C38CF9D"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auto"/>
            <w:noWrap/>
            <w:vAlign w:val="center"/>
            <w:hideMark/>
          </w:tcPr>
          <w:p w14:paraId="7A8164BE"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auto"/>
            <w:noWrap/>
            <w:vAlign w:val="center"/>
            <w:hideMark/>
          </w:tcPr>
          <w:p w14:paraId="5102BB64"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auto"/>
            <w:noWrap/>
            <w:vAlign w:val="center"/>
            <w:hideMark/>
          </w:tcPr>
          <w:p w14:paraId="70DBDA9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0,05</w:t>
            </w:r>
          </w:p>
        </w:tc>
        <w:tc>
          <w:tcPr>
            <w:tcW w:w="709" w:type="dxa"/>
            <w:shd w:val="clear" w:color="auto" w:fill="auto"/>
            <w:noWrap/>
            <w:vAlign w:val="center"/>
            <w:hideMark/>
          </w:tcPr>
          <w:p w14:paraId="3D5DEF4E"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-0,05</w:t>
            </w:r>
          </w:p>
        </w:tc>
        <w:tc>
          <w:tcPr>
            <w:tcW w:w="814" w:type="dxa"/>
            <w:shd w:val="clear" w:color="auto" w:fill="auto"/>
            <w:noWrap/>
            <w:vAlign w:val="center"/>
            <w:hideMark/>
          </w:tcPr>
          <w:p w14:paraId="57B2675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45ED066C" w14:textId="77777777" w:rsidTr="001563FD">
        <w:trPr>
          <w:trHeight w:val="630"/>
        </w:trPr>
        <w:tc>
          <w:tcPr>
            <w:tcW w:w="2729" w:type="dxa"/>
            <w:vMerge w:val="restart"/>
            <w:shd w:val="clear" w:color="auto" w:fill="auto"/>
            <w:vAlign w:val="center"/>
            <w:hideMark/>
          </w:tcPr>
          <w:p w14:paraId="5AA52F5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Ekonomikas ministrija</w:t>
            </w:r>
          </w:p>
        </w:tc>
        <w:tc>
          <w:tcPr>
            <w:tcW w:w="5762" w:type="dxa"/>
            <w:shd w:val="clear" w:color="auto" w:fill="DBE5F1" w:themeFill="accent1" w:themeFillTint="33"/>
            <w:vAlign w:val="center"/>
            <w:hideMark/>
          </w:tcPr>
          <w:p w14:paraId="0E15D122"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 xml:space="preserve">Palielināti izdevumi, lai ALTUM </w:t>
            </w:r>
            <w:r>
              <w:rPr>
                <w:iCs/>
                <w:color w:val="000000"/>
                <w:sz w:val="22"/>
                <w:szCs w:val="22"/>
                <w:lang w:eastAsia="lv-LV"/>
              </w:rPr>
              <w:t>t</w:t>
            </w:r>
            <w:r w:rsidRPr="00647F74">
              <w:rPr>
                <w:iCs/>
                <w:color w:val="000000"/>
                <w:sz w:val="22"/>
                <w:szCs w:val="22"/>
                <w:lang w:eastAsia="lv-LV"/>
              </w:rPr>
              <w:t>urpinātu mājokļu atbalsta programmas īstenošanu</w:t>
            </w:r>
          </w:p>
        </w:tc>
        <w:tc>
          <w:tcPr>
            <w:tcW w:w="1047" w:type="dxa"/>
            <w:shd w:val="clear" w:color="auto" w:fill="DBE5F1" w:themeFill="accent1" w:themeFillTint="33"/>
            <w:vAlign w:val="center"/>
            <w:hideMark/>
          </w:tcPr>
          <w:p w14:paraId="7604C57D"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D.3</w:t>
            </w:r>
          </w:p>
        </w:tc>
        <w:tc>
          <w:tcPr>
            <w:tcW w:w="1430" w:type="dxa"/>
            <w:shd w:val="clear" w:color="auto" w:fill="DBE5F1" w:themeFill="accent1" w:themeFillTint="33"/>
            <w:noWrap/>
            <w:vAlign w:val="center"/>
            <w:hideMark/>
          </w:tcPr>
          <w:p w14:paraId="301938D5"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52A616E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48CA49E1"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1381170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5A5D3CA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5D2A35C3" w14:textId="77777777" w:rsidTr="001563FD">
        <w:trPr>
          <w:trHeight w:val="630"/>
        </w:trPr>
        <w:tc>
          <w:tcPr>
            <w:tcW w:w="2729" w:type="dxa"/>
            <w:vMerge/>
            <w:vAlign w:val="center"/>
            <w:hideMark/>
          </w:tcPr>
          <w:p w14:paraId="311C2DB5"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211255BE"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Samazināts finansējums naftas produktu rezervju uzturēšanai</w:t>
            </w:r>
            <w:r>
              <w:rPr>
                <w:iCs/>
                <w:color w:val="000000"/>
                <w:sz w:val="22"/>
                <w:szCs w:val="22"/>
                <w:lang w:eastAsia="lv-LV"/>
              </w:rPr>
              <w:t xml:space="preserve"> </w:t>
            </w:r>
            <w:r w:rsidRPr="00647F74">
              <w:rPr>
                <w:iCs/>
                <w:color w:val="000000"/>
                <w:sz w:val="22"/>
                <w:szCs w:val="22"/>
                <w:lang w:eastAsia="lv-LV"/>
              </w:rPr>
              <w:t>saistībā ar nodevas samazināšanu</w:t>
            </w:r>
          </w:p>
        </w:tc>
        <w:tc>
          <w:tcPr>
            <w:tcW w:w="1047" w:type="dxa"/>
            <w:shd w:val="clear" w:color="auto" w:fill="auto"/>
            <w:vAlign w:val="center"/>
            <w:hideMark/>
          </w:tcPr>
          <w:p w14:paraId="57701D75"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D.2</w:t>
            </w:r>
          </w:p>
        </w:tc>
        <w:tc>
          <w:tcPr>
            <w:tcW w:w="1430" w:type="dxa"/>
            <w:shd w:val="clear" w:color="auto" w:fill="auto"/>
            <w:noWrap/>
            <w:vAlign w:val="center"/>
            <w:hideMark/>
          </w:tcPr>
          <w:p w14:paraId="0326FDA1"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09DCC11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74E83A4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0C111CC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auto"/>
            <w:noWrap/>
            <w:vAlign w:val="center"/>
            <w:hideMark/>
          </w:tcPr>
          <w:p w14:paraId="078A3BF1"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72F201B3" w14:textId="77777777" w:rsidTr="001563FD">
        <w:trPr>
          <w:trHeight w:val="315"/>
        </w:trPr>
        <w:tc>
          <w:tcPr>
            <w:tcW w:w="2729" w:type="dxa"/>
            <w:vMerge w:val="restart"/>
            <w:shd w:val="clear" w:color="auto" w:fill="DBE5F1" w:themeFill="accent1" w:themeFillTint="33"/>
            <w:vAlign w:val="center"/>
            <w:hideMark/>
          </w:tcPr>
          <w:p w14:paraId="375D4FE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Finanšu ministrija</w:t>
            </w:r>
          </w:p>
        </w:tc>
        <w:tc>
          <w:tcPr>
            <w:tcW w:w="5762" w:type="dxa"/>
            <w:shd w:val="clear" w:color="auto" w:fill="DBE5F1" w:themeFill="accent1" w:themeFillTint="33"/>
            <w:vAlign w:val="center"/>
            <w:hideMark/>
          </w:tcPr>
          <w:p w14:paraId="11D0525A"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Palielināti izdevumi atbilstoši MK 08.11.2018 rīkojumam Nr.597-s</w:t>
            </w:r>
          </w:p>
        </w:tc>
        <w:tc>
          <w:tcPr>
            <w:tcW w:w="1047" w:type="dxa"/>
            <w:shd w:val="clear" w:color="auto" w:fill="DBE5F1" w:themeFill="accent1" w:themeFillTint="33"/>
            <w:vAlign w:val="center"/>
            <w:hideMark/>
          </w:tcPr>
          <w:p w14:paraId="7FF407F4"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4FE223D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3186917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1286E383"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709" w:type="dxa"/>
            <w:shd w:val="clear" w:color="auto" w:fill="DBE5F1" w:themeFill="accent1" w:themeFillTint="33"/>
            <w:noWrap/>
            <w:vAlign w:val="center"/>
            <w:hideMark/>
          </w:tcPr>
          <w:p w14:paraId="5BD2E04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43F396EE"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0,04</w:t>
            </w:r>
          </w:p>
        </w:tc>
      </w:tr>
      <w:tr w:rsidR="00647F74" w:rsidRPr="005B2F54" w14:paraId="6EF72250" w14:textId="77777777" w:rsidTr="001563FD">
        <w:trPr>
          <w:trHeight w:val="945"/>
        </w:trPr>
        <w:tc>
          <w:tcPr>
            <w:tcW w:w="2729" w:type="dxa"/>
            <w:vMerge/>
            <w:shd w:val="clear" w:color="auto" w:fill="DBE5F1" w:themeFill="accent1" w:themeFillTint="33"/>
            <w:vAlign w:val="center"/>
            <w:hideMark/>
          </w:tcPr>
          <w:p w14:paraId="493816AE"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07CAE55C"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Palielināts finansējums prioritārā pasākuma "Pasākumu plāna noziedzīgi iegūtu</w:t>
            </w:r>
            <w:r>
              <w:rPr>
                <w:iCs/>
                <w:color w:val="000000"/>
                <w:sz w:val="22"/>
                <w:szCs w:val="22"/>
                <w:lang w:eastAsia="lv-LV"/>
              </w:rPr>
              <w:t xml:space="preserve"> </w:t>
            </w:r>
            <w:r w:rsidRPr="00647F74">
              <w:rPr>
                <w:iCs/>
                <w:color w:val="000000"/>
                <w:sz w:val="22"/>
                <w:szCs w:val="22"/>
                <w:lang w:eastAsia="lv-LV"/>
              </w:rPr>
              <w:t>līdzekļu legalizācijas un terorisma finansēšanas novēršanai</w:t>
            </w:r>
            <w:r>
              <w:rPr>
                <w:iCs/>
                <w:color w:val="000000"/>
                <w:sz w:val="22"/>
                <w:szCs w:val="22"/>
                <w:lang w:eastAsia="lv-LV"/>
              </w:rPr>
              <w:t xml:space="preserve"> </w:t>
            </w:r>
            <w:r w:rsidRPr="00647F74">
              <w:rPr>
                <w:iCs/>
                <w:color w:val="000000"/>
                <w:sz w:val="22"/>
                <w:szCs w:val="22"/>
                <w:lang w:eastAsia="lv-LV"/>
              </w:rPr>
              <w:t>laika periodam līdz 2019.gada 31.decembrim īstenošana" īstenošanai</w:t>
            </w:r>
          </w:p>
        </w:tc>
        <w:tc>
          <w:tcPr>
            <w:tcW w:w="1047" w:type="dxa"/>
            <w:shd w:val="clear" w:color="auto" w:fill="auto"/>
            <w:vAlign w:val="center"/>
            <w:hideMark/>
          </w:tcPr>
          <w:p w14:paraId="0DCDAD3A"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auto"/>
            <w:noWrap/>
            <w:vAlign w:val="center"/>
            <w:hideMark/>
          </w:tcPr>
          <w:p w14:paraId="267B436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61D52B71"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49F07F4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2A4F3F2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3D3680C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218F1BED" w14:textId="77777777" w:rsidTr="001563FD">
        <w:trPr>
          <w:trHeight w:val="945"/>
        </w:trPr>
        <w:tc>
          <w:tcPr>
            <w:tcW w:w="2729" w:type="dxa"/>
            <w:vMerge/>
            <w:shd w:val="clear" w:color="auto" w:fill="DBE5F1" w:themeFill="accent1" w:themeFillTint="33"/>
            <w:vAlign w:val="center"/>
            <w:hideMark/>
          </w:tcPr>
          <w:p w14:paraId="19EC56F8"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1AD11DF8"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Tehniskie precizējumi (t.sk. palielināti izdevumi ERAF avansa, starpposma un noslēguma maksājumiem, palielināti izdevumi KF tehniskās palīdzības projektu īstenošanai)</w:t>
            </w:r>
          </w:p>
        </w:tc>
        <w:tc>
          <w:tcPr>
            <w:tcW w:w="1047" w:type="dxa"/>
            <w:shd w:val="clear" w:color="auto" w:fill="DBE5F1" w:themeFill="accent1" w:themeFillTint="33"/>
            <w:vAlign w:val="center"/>
            <w:hideMark/>
          </w:tcPr>
          <w:p w14:paraId="63777D92"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7A193901"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DBE5F1" w:themeFill="accent1" w:themeFillTint="33"/>
            <w:noWrap/>
            <w:vAlign w:val="center"/>
            <w:hideMark/>
          </w:tcPr>
          <w:p w14:paraId="34ACDBF1"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DBE5F1" w:themeFill="accent1" w:themeFillTint="33"/>
            <w:noWrap/>
            <w:vAlign w:val="center"/>
            <w:hideMark/>
          </w:tcPr>
          <w:p w14:paraId="667E7AB3"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0,18</w:t>
            </w:r>
          </w:p>
        </w:tc>
        <w:tc>
          <w:tcPr>
            <w:tcW w:w="709" w:type="dxa"/>
            <w:shd w:val="clear" w:color="auto" w:fill="DBE5F1" w:themeFill="accent1" w:themeFillTint="33"/>
            <w:noWrap/>
            <w:vAlign w:val="center"/>
            <w:hideMark/>
          </w:tcPr>
          <w:p w14:paraId="1D36102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-0,11</w:t>
            </w:r>
          </w:p>
        </w:tc>
        <w:tc>
          <w:tcPr>
            <w:tcW w:w="814" w:type="dxa"/>
            <w:shd w:val="clear" w:color="auto" w:fill="DBE5F1" w:themeFill="accent1" w:themeFillTint="33"/>
            <w:noWrap/>
            <w:vAlign w:val="center"/>
            <w:hideMark/>
          </w:tcPr>
          <w:p w14:paraId="3E175E7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r>
      <w:tr w:rsidR="00647F74" w:rsidRPr="005B2F54" w14:paraId="508F63BA" w14:textId="77777777" w:rsidTr="001563FD">
        <w:trPr>
          <w:trHeight w:val="945"/>
        </w:trPr>
        <w:tc>
          <w:tcPr>
            <w:tcW w:w="2729" w:type="dxa"/>
            <w:vMerge w:val="restart"/>
            <w:shd w:val="clear" w:color="auto" w:fill="auto"/>
            <w:vAlign w:val="center"/>
            <w:hideMark/>
          </w:tcPr>
          <w:p w14:paraId="0A2F04C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Iekšlietu ministrija</w:t>
            </w:r>
          </w:p>
        </w:tc>
        <w:tc>
          <w:tcPr>
            <w:tcW w:w="5762" w:type="dxa"/>
            <w:shd w:val="clear" w:color="auto" w:fill="auto"/>
            <w:vAlign w:val="center"/>
            <w:hideMark/>
          </w:tcPr>
          <w:p w14:paraId="48D70A2E"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Izdevumu palielinājums, lai nodrošinātu pabalsta izmaksu amatpersonām ar  speciālajām dienesta pakāpēm pēc katriem pieciem nepārtrauktas izdienas gadiem</w:t>
            </w:r>
          </w:p>
        </w:tc>
        <w:tc>
          <w:tcPr>
            <w:tcW w:w="1047" w:type="dxa"/>
            <w:shd w:val="clear" w:color="auto" w:fill="auto"/>
            <w:vAlign w:val="center"/>
            <w:hideMark/>
          </w:tcPr>
          <w:p w14:paraId="7CAE4FEA"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auto"/>
            <w:noWrap/>
            <w:vAlign w:val="center"/>
            <w:hideMark/>
          </w:tcPr>
          <w:p w14:paraId="463CAF9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2129A0D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550CB95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0,12</w:t>
            </w:r>
          </w:p>
        </w:tc>
        <w:tc>
          <w:tcPr>
            <w:tcW w:w="709" w:type="dxa"/>
            <w:shd w:val="clear" w:color="auto" w:fill="auto"/>
            <w:noWrap/>
            <w:vAlign w:val="center"/>
            <w:hideMark/>
          </w:tcPr>
          <w:p w14:paraId="642F18E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-0,10</w:t>
            </w:r>
          </w:p>
        </w:tc>
        <w:tc>
          <w:tcPr>
            <w:tcW w:w="814" w:type="dxa"/>
            <w:shd w:val="clear" w:color="auto" w:fill="auto"/>
            <w:noWrap/>
            <w:vAlign w:val="center"/>
            <w:hideMark/>
          </w:tcPr>
          <w:p w14:paraId="7DDADE4E"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00CB4270" w14:textId="77777777" w:rsidTr="001563FD">
        <w:trPr>
          <w:trHeight w:val="945"/>
        </w:trPr>
        <w:tc>
          <w:tcPr>
            <w:tcW w:w="2729" w:type="dxa"/>
            <w:vMerge/>
            <w:vAlign w:val="center"/>
            <w:hideMark/>
          </w:tcPr>
          <w:p w14:paraId="27F1A71F"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7CA50DD9"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Izdevumu palielinājums, lai nodrošinātu prioritārā pasākuma "Pasākumu plāna noziedzīgi iegūtu līdzekļu legalizācijas un terorisma finansēšanas novēršanai laika</w:t>
            </w:r>
            <w:r>
              <w:rPr>
                <w:iCs/>
                <w:color w:val="000000"/>
                <w:sz w:val="22"/>
                <w:szCs w:val="22"/>
                <w:lang w:eastAsia="lv-LV"/>
              </w:rPr>
              <w:t xml:space="preserve"> </w:t>
            </w:r>
            <w:r w:rsidRPr="00647F74">
              <w:rPr>
                <w:iCs/>
                <w:color w:val="000000"/>
                <w:sz w:val="22"/>
                <w:szCs w:val="22"/>
                <w:lang w:eastAsia="lv-LV"/>
              </w:rPr>
              <w:t>periodam līdz 2019.gada 31.decembrim īstenošana" īstenošanu</w:t>
            </w:r>
          </w:p>
        </w:tc>
        <w:tc>
          <w:tcPr>
            <w:tcW w:w="1047" w:type="dxa"/>
            <w:shd w:val="clear" w:color="auto" w:fill="DBE5F1" w:themeFill="accent1" w:themeFillTint="33"/>
            <w:vAlign w:val="center"/>
            <w:hideMark/>
          </w:tcPr>
          <w:p w14:paraId="631149DF"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294BDC9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5E5A218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42C563B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298ECF8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66BD21E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0266B5D9" w14:textId="77777777" w:rsidTr="001563FD">
        <w:trPr>
          <w:trHeight w:val="945"/>
        </w:trPr>
        <w:tc>
          <w:tcPr>
            <w:tcW w:w="2729" w:type="dxa"/>
            <w:vMerge/>
            <w:vAlign w:val="center"/>
            <w:hideMark/>
          </w:tcPr>
          <w:p w14:paraId="10C08527"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44C0E111"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Tehniskie precizējumi (t.sk. palielināti izdevumi projekta "ABC vārtu uzstādīšana Starptautiskajā lidostā "Rīga"" īstenošanai un citu ES politikas instrumentu finansēšanai)</w:t>
            </w:r>
          </w:p>
        </w:tc>
        <w:tc>
          <w:tcPr>
            <w:tcW w:w="1047" w:type="dxa"/>
            <w:shd w:val="clear" w:color="auto" w:fill="auto"/>
            <w:vAlign w:val="center"/>
            <w:hideMark/>
          </w:tcPr>
          <w:p w14:paraId="36871B7C"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auto"/>
            <w:noWrap/>
            <w:vAlign w:val="center"/>
            <w:hideMark/>
          </w:tcPr>
          <w:p w14:paraId="78363F28"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auto"/>
            <w:noWrap/>
            <w:vAlign w:val="center"/>
            <w:hideMark/>
          </w:tcPr>
          <w:p w14:paraId="5421DCF0"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auto"/>
            <w:noWrap/>
            <w:vAlign w:val="center"/>
            <w:hideMark/>
          </w:tcPr>
          <w:p w14:paraId="3225C35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auto"/>
            <w:noWrap/>
            <w:vAlign w:val="center"/>
            <w:hideMark/>
          </w:tcPr>
          <w:p w14:paraId="6DC2FC5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auto"/>
            <w:noWrap/>
            <w:vAlign w:val="center"/>
            <w:hideMark/>
          </w:tcPr>
          <w:p w14:paraId="6C57E12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4339AFB8" w14:textId="77777777" w:rsidTr="001563FD">
        <w:trPr>
          <w:trHeight w:val="630"/>
        </w:trPr>
        <w:tc>
          <w:tcPr>
            <w:tcW w:w="2729" w:type="dxa"/>
            <w:shd w:val="clear" w:color="auto" w:fill="DBE5F1" w:themeFill="accent1" w:themeFillTint="33"/>
            <w:vAlign w:val="center"/>
            <w:hideMark/>
          </w:tcPr>
          <w:p w14:paraId="395AFD5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Izglītības un zinātnes ministrija</w:t>
            </w:r>
          </w:p>
        </w:tc>
        <w:tc>
          <w:tcPr>
            <w:tcW w:w="5762" w:type="dxa"/>
            <w:shd w:val="clear" w:color="auto" w:fill="DBE5F1" w:themeFill="accent1" w:themeFillTint="33"/>
            <w:vAlign w:val="center"/>
            <w:hideMark/>
          </w:tcPr>
          <w:p w14:paraId="72B65663"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Tehniskie precizējumi</w:t>
            </w:r>
            <w:r w:rsidR="005137D2">
              <w:rPr>
                <w:iCs/>
                <w:color w:val="000000"/>
                <w:sz w:val="22"/>
                <w:szCs w:val="22"/>
                <w:lang w:eastAsia="lv-LV"/>
              </w:rPr>
              <w:t xml:space="preserve"> </w:t>
            </w:r>
            <w:r w:rsidRPr="00647F74">
              <w:rPr>
                <w:iCs/>
                <w:color w:val="000000"/>
                <w:sz w:val="22"/>
                <w:szCs w:val="22"/>
                <w:lang w:eastAsia="lv-LV"/>
              </w:rPr>
              <w:t>(t.sk. palielināti izdevumi ES programmas Erasmus+ projektu īstenošanas nodrošināšanai)</w:t>
            </w:r>
          </w:p>
        </w:tc>
        <w:tc>
          <w:tcPr>
            <w:tcW w:w="1047" w:type="dxa"/>
            <w:shd w:val="clear" w:color="auto" w:fill="DBE5F1" w:themeFill="accent1" w:themeFillTint="33"/>
            <w:vAlign w:val="center"/>
            <w:hideMark/>
          </w:tcPr>
          <w:p w14:paraId="581D0C00"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6D623589"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DBE5F1" w:themeFill="accent1" w:themeFillTint="33"/>
            <w:noWrap/>
            <w:vAlign w:val="center"/>
            <w:hideMark/>
          </w:tcPr>
          <w:p w14:paraId="6BACCB4B"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DBE5F1" w:themeFill="accent1" w:themeFillTint="33"/>
            <w:noWrap/>
            <w:vAlign w:val="center"/>
            <w:hideMark/>
          </w:tcPr>
          <w:p w14:paraId="5EFFE645"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0,04</w:t>
            </w:r>
          </w:p>
        </w:tc>
        <w:tc>
          <w:tcPr>
            <w:tcW w:w="709" w:type="dxa"/>
            <w:shd w:val="clear" w:color="auto" w:fill="DBE5F1" w:themeFill="accent1" w:themeFillTint="33"/>
            <w:noWrap/>
            <w:vAlign w:val="center"/>
            <w:hideMark/>
          </w:tcPr>
          <w:p w14:paraId="1A31BFC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-0,03</w:t>
            </w:r>
          </w:p>
        </w:tc>
        <w:tc>
          <w:tcPr>
            <w:tcW w:w="814" w:type="dxa"/>
            <w:shd w:val="clear" w:color="auto" w:fill="DBE5F1" w:themeFill="accent1" w:themeFillTint="33"/>
            <w:noWrap/>
            <w:vAlign w:val="center"/>
            <w:hideMark/>
          </w:tcPr>
          <w:p w14:paraId="01981A6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r>
      <w:tr w:rsidR="00647F74" w:rsidRPr="005B2F54" w14:paraId="41FC2BDF" w14:textId="77777777" w:rsidTr="001563FD">
        <w:trPr>
          <w:trHeight w:val="315"/>
        </w:trPr>
        <w:tc>
          <w:tcPr>
            <w:tcW w:w="2729" w:type="dxa"/>
            <w:vMerge w:val="restart"/>
            <w:shd w:val="clear" w:color="auto" w:fill="auto"/>
            <w:vAlign w:val="center"/>
            <w:hideMark/>
          </w:tcPr>
          <w:p w14:paraId="1716F89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Zemkopības ministrija</w:t>
            </w:r>
          </w:p>
        </w:tc>
        <w:tc>
          <w:tcPr>
            <w:tcW w:w="5762" w:type="dxa"/>
            <w:shd w:val="clear" w:color="auto" w:fill="auto"/>
            <w:vAlign w:val="center"/>
            <w:hideMark/>
          </w:tcPr>
          <w:p w14:paraId="674AA5FE"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Apropriācijas palielinājums ALTUM aizdevumu programmas īstenošanai</w:t>
            </w:r>
          </w:p>
        </w:tc>
        <w:tc>
          <w:tcPr>
            <w:tcW w:w="1047" w:type="dxa"/>
            <w:shd w:val="clear" w:color="auto" w:fill="auto"/>
            <w:vAlign w:val="center"/>
            <w:hideMark/>
          </w:tcPr>
          <w:p w14:paraId="35CF00E1"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D.3</w:t>
            </w:r>
          </w:p>
        </w:tc>
        <w:tc>
          <w:tcPr>
            <w:tcW w:w="1430" w:type="dxa"/>
            <w:shd w:val="clear" w:color="auto" w:fill="auto"/>
            <w:noWrap/>
            <w:vAlign w:val="center"/>
            <w:hideMark/>
          </w:tcPr>
          <w:p w14:paraId="6161780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7346788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718B115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7F25DE5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auto"/>
            <w:noWrap/>
            <w:vAlign w:val="center"/>
            <w:hideMark/>
          </w:tcPr>
          <w:p w14:paraId="6ACFD3C5"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3ABDCC3E" w14:textId="77777777" w:rsidTr="001563FD">
        <w:trPr>
          <w:trHeight w:val="630"/>
        </w:trPr>
        <w:tc>
          <w:tcPr>
            <w:tcW w:w="2729" w:type="dxa"/>
            <w:vMerge/>
            <w:vAlign w:val="center"/>
            <w:hideMark/>
          </w:tcPr>
          <w:p w14:paraId="022BD4DF"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66920DBB"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Āfrikas cūku mēra uzraudzības un apkarošanas programmas īstenošana un Pārtikas un veterinārā dienesta kapacitātes nodrošināšana</w:t>
            </w:r>
          </w:p>
        </w:tc>
        <w:tc>
          <w:tcPr>
            <w:tcW w:w="1047" w:type="dxa"/>
            <w:shd w:val="clear" w:color="auto" w:fill="DBE5F1" w:themeFill="accent1" w:themeFillTint="33"/>
            <w:vAlign w:val="center"/>
            <w:hideMark/>
          </w:tcPr>
          <w:p w14:paraId="0C25AAE9"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D.1</w:t>
            </w:r>
          </w:p>
        </w:tc>
        <w:tc>
          <w:tcPr>
            <w:tcW w:w="1430" w:type="dxa"/>
            <w:shd w:val="clear" w:color="auto" w:fill="DBE5F1" w:themeFill="accent1" w:themeFillTint="33"/>
            <w:noWrap/>
            <w:vAlign w:val="center"/>
            <w:hideMark/>
          </w:tcPr>
          <w:p w14:paraId="1C1A6D4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3CE0402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020AB4F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709" w:type="dxa"/>
            <w:shd w:val="clear" w:color="auto" w:fill="DBE5F1" w:themeFill="accent1" w:themeFillTint="33"/>
            <w:noWrap/>
            <w:vAlign w:val="center"/>
            <w:hideMark/>
          </w:tcPr>
          <w:p w14:paraId="6FCD77E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387D51F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41C73CB3" w14:textId="77777777" w:rsidTr="001563FD">
        <w:trPr>
          <w:trHeight w:val="945"/>
        </w:trPr>
        <w:tc>
          <w:tcPr>
            <w:tcW w:w="2729" w:type="dxa"/>
            <w:vMerge/>
            <w:vAlign w:val="center"/>
            <w:hideMark/>
          </w:tcPr>
          <w:p w14:paraId="1E512EC2"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2B7B7FDA" w14:textId="77777777" w:rsidR="00647F74" w:rsidRPr="00647F74" w:rsidRDefault="00647F74" w:rsidP="005137D2">
            <w:pPr>
              <w:spacing w:after="0"/>
              <w:ind w:firstLine="0"/>
              <w:rPr>
                <w:iCs/>
                <w:color w:val="000000"/>
                <w:sz w:val="22"/>
                <w:szCs w:val="22"/>
                <w:lang w:eastAsia="lv-LV"/>
              </w:rPr>
            </w:pPr>
            <w:r w:rsidRPr="00647F74">
              <w:rPr>
                <w:iCs/>
                <w:color w:val="000000"/>
                <w:sz w:val="22"/>
                <w:szCs w:val="22"/>
                <w:lang w:eastAsia="lv-LV"/>
              </w:rPr>
              <w:t>Tehniskie precizējumi (t.sk. palielināti izdevumi citu ES politiku instrumentu projektu un pasākumu īstenošanai</w:t>
            </w:r>
            <w:r w:rsidR="005137D2">
              <w:rPr>
                <w:iCs/>
                <w:color w:val="000000"/>
                <w:sz w:val="22"/>
                <w:szCs w:val="22"/>
                <w:lang w:eastAsia="lv-LV"/>
              </w:rPr>
              <w:t>)</w:t>
            </w:r>
          </w:p>
        </w:tc>
        <w:tc>
          <w:tcPr>
            <w:tcW w:w="1047" w:type="dxa"/>
            <w:shd w:val="clear" w:color="auto" w:fill="auto"/>
            <w:vAlign w:val="center"/>
            <w:hideMark/>
          </w:tcPr>
          <w:p w14:paraId="3BE48A97"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auto"/>
            <w:noWrap/>
            <w:vAlign w:val="center"/>
            <w:hideMark/>
          </w:tcPr>
          <w:p w14:paraId="49A585C4"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auto"/>
            <w:noWrap/>
            <w:vAlign w:val="center"/>
            <w:hideMark/>
          </w:tcPr>
          <w:p w14:paraId="6E0991E8"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auto"/>
            <w:noWrap/>
            <w:vAlign w:val="center"/>
            <w:hideMark/>
          </w:tcPr>
          <w:p w14:paraId="002F6C1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0,07</w:t>
            </w:r>
          </w:p>
        </w:tc>
        <w:tc>
          <w:tcPr>
            <w:tcW w:w="709" w:type="dxa"/>
            <w:shd w:val="clear" w:color="auto" w:fill="auto"/>
            <w:noWrap/>
            <w:vAlign w:val="center"/>
            <w:hideMark/>
          </w:tcPr>
          <w:p w14:paraId="36527D1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-0,06</w:t>
            </w:r>
          </w:p>
        </w:tc>
        <w:tc>
          <w:tcPr>
            <w:tcW w:w="814" w:type="dxa"/>
            <w:shd w:val="clear" w:color="auto" w:fill="auto"/>
            <w:noWrap/>
            <w:vAlign w:val="center"/>
            <w:hideMark/>
          </w:tcPr>
          <w:p w14:paraId="15964AF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r>
      <w:tr w:rsidR="00647F74" w:rsidRPr="005B2F54" w14:paraId="248670E7" w14:textId="77777777" w:rsidTr="001563FD">
        <w:trPr>
          <w:trHeight w:val="630"/>
        </w:trPr>
        <w:tc>
          <w:tcPr>
            <w:tcW w:w="2729" w:type="dxa"/>
            <w:shd w:val="clear" w:color="auto" w:fill="DBE5F1" w:themeFill="accent1" w:themeFillTint="33"/>
            <w:vAlign w:val="center"/>
            <w:hideMark/>
          </w:tcPr>
          <w:p w14:paraId="13707DB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Satiksmes ministrija</w:t>
            </w:r>
          </w:p>
        </w:tc>
        <w:tc>
          <w:tcPr>
            <w:tcW w:w="5762" w:type="dxa"/>
            <w:shd w:val="clear" w:color="auto" w:fill="DBE5F1" w:themeFill="accent1" w:themeFillTint="33"/>
            <w:vAlign w:val="center"/>
            <w:hideMark/>
          </w:tcPr>
          <w:p w14:paraId="5D9485EA"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 precizējumi (t.sk. palielināti izdevumi citu ES politiku instrumentu projektu un pasākumu īstenošanai)</w:t>
            </w:r>
          </w:p>
        </w:tc>
        <w:tc>
          <w:tcPr>
            <w:tcW w:w="1047" w:type="dxa"/>
            <w:shd w:val="clear" w:color="auto" w:fill="DBE5F1" w:themeFill="accent1" w:themeFillTint="33"/>
            <w:vAlign w:val="center"/>
            <w:hideMark/>
          </w:tcPr>
          <w:p w14:paraId="25E23C13"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7327651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495EFCE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5C19DF7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DBE5F1" w:themeFill="accent1" w:themeFillTint="33"/>
            <w:noWrap/>
            <w:vAlign w:val="center"/>
            <w:hideMark/>
          </w:tcPr>
          <w:p w14:paraId="679DFFF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-0,02</w:t>
            </w:r>
          </w:p>
        </w:tc>
        <w:tc>
          <w:tcPr>
            <w:tcW w:w="814" w:type="dxa"/>
            <w:shd w:val="clear" w:color="auto" w:fill="DBE5F1" w:themeFill="accent1" w:themeFillTint="33"/>
            <w:noWrap/>
            <w:vAlign w:val="center"/>
            <w:hideMark/>
          </w:tcPr>
          <w:p w14:paraId="3371819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7F9CC116" w14:textId="77777777" w:rsidTr="001563FD">
        <w:trPr>
          <w:trHeight w:val="315"/>
        </w:trPr>
        <w:tc>
          <w:tcPr>
            <w:tcW w:w="2729" w:type="dxa"/>
            <w:vMerge w:val="restart"/>
            <w:shd w:val="clear" w:color="auto" w:fill="auto"/>
            <w:vAlign w:val="center"/>
            <w:hideMark/>
          </w:tcPr>
          <w:p w14:paraId="54A613F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Tieslietu ministrija</w:t>
            </w:r>
          </w:p>
        </w:tc>
        <w:tc>
          <w:tcPr>
            <w:tcW w:w="5762" w:type="dxa"/>
            <w:shd w:val="clear" w:color="auto" w:fill="auto"/>
            <w:vAlign w:val="center"/>
            <w:hideMark/>
          </w:tcPr>
          <w:p w14:paraId="0259314B"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Palielināti izdevumi, lai nodrošinātu tiesnešu atalgojuma palielināšanu</w:t>
            </w:r>
          </w:p>
        </w:tc>
        <w:tc>
          <w:tcPr>
            <w:tcW w:w="1047" w:type="dxa"/>
            <w:shd w:val="clear" w:color="auto" w:fill="auto"/>
            <w:vAlign w:val="center"/>
            <w:hideMark/>
          </w:tcPr>
          <w:p w14:paraId="32C4CB0F"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D.1</w:t>
            </w:r>
          </w:p>
        </w:tc>
        <w:tc>
          <w:tcPr>
            <w:tcW w:w="1430" w:type="dxa"/>
            <w:shd w:val="clear" w:color="auto" w:fill="auto"/>
            <w:noWrap/>
            <w:vAlign w:val="center"/>
            <w:hideMark/>
          </w:tcPr>
          <w:p w14:paraId="42AEDCD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495BCFA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623AB49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012F5DD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113028E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674D8933" w14:textId="77777777" w:rsidTr="001563FD">
        <w:trPr>
          <w:trHeight w:val="315"/>
        </w:trPr>
        <w:tc>
          <w:tcPr>
            <w:tcW w:w="2729" w:type="dxa"/>
            <w:vMerge/>
            <w:vAlign w:val="center"/>
            <w:hideMark/>
          </w:tcPr>
          <w:p w14:paraId="3BA858AC"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445EA177"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Palielināti izdevumi saskaņā ar Ministru kabineta rīkojuma Nr.572-s 3.punktu</w:t>
            </w:r>
          </w:p>
        </w:tc>
        <w:tc>
          <w:tcPr>
            <w:tcW w:w="1047" w:type="dxa"/>
            <w:shd w:val="clear" w:color="auto" w:fill="DBE5F1" w:themeFill="accent1" w:themeFillTint="33"/>
            <w:vAlign w:val="center"/>
            <w:hideMark/>
          </w:tcPr>
          <w:p w14:paraId="7D652A0B"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2D0AE3B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15CE460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2561925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2B383A53"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27223B6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0,07</w:t>
            </w:r>
          </w:p>
        </w:tc>
      </w:tr>
      <w:tr w:rsidR="00647F74" w:rsidRPr="005B2F54" w14:paraId="7ECA8D7E" w14:textId="77777777" w:rsidTr="001563FD">
        <w:trPr>
          <w:trHeight w:val="945"/>
        </w:trPr>
        <w:tc>
          <w:tcPr>
            <w:tcW w:w="2729" w:type="dxa"/>
            <w:vMerge/>
            <w:vAlign w:val="center"/>
            <w:hideMark/>
          </w:tcPr>
          <w:p w14:paraId="24955EDE"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11652F5C"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Palielināti izdevumi, lai nodrošinātu izdienas pabalstu izmaksu Ieslodzījuma vietu pārvaldes amatpersonām ar speciālo dienesta</w:t>
            </w:r>
            <w:r>
              <w:rPr>
                <w:iCs/>
                <w:color w:val="000000"/>
                <w:sz w:val="22"/>
                <w:szCs w:val="22"/>
                <w:lang w:eastAsia="lv-LV"/>
              </w:rPr>
              <w:t xml:space="preserve"> </w:t>
            </w:r>
            <w:r w:rsidRPr="00647F74">
              <w:rPr>
                <w:iCs/>
                <w:color w:val="000000"/>
                <w:sz w:val="22"/>
                <w:szCs w:val="22"/>
                <w:lang w:eastAsia="lv-LV"/>
              </w:rPr>
              <w:t>pakāpi pēc katriem pieciem nepārtrauktas izdienas gadie</w:t>
            </w:r>
            <w:r>
              <w:rPr>
                <w:iCs/>
                <w:color w:val="000000"/>
                <w:sz w:val="22"/>
                <w:szCs w:val="22"/>
                <w:lang w:eastAsia="lv-LV"/>
              </w:rPr>
              <w:t>m</w:t>
            </w:r>
          </w:p>
        </w:tc>
        <w:tc>
          <w:tcPr>
            <w:tcW w:w="1047" w:type="dxa"/>
            <w:shd w:val="clear" w:color="auto" w:fill="auto"/>
            <w:vAlign w:val="center"/>
            <w:hideMark/>
          </w:tcPr>
          <w:p w14:paraId="71D6A58D"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auto"/>
            <w:noWrap/>
            <w:vAlign w:val="center"/>
            <w:hideMark/>
          </w:tcPr>
          <w:p w14:paraId="5299F6D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779FE0E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4B85259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auto"/>
            <w:noWrap/>
            <w:vAlign w:val="center"/>
            <w:hideMark/>
          </w:tcPr>
          <w:p w14:paraId="4DFEDF2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-0,02</w:t>
            </w:r>
          </w:p>
        </w:tc>
        <w:tc>
          <w:tcPr>
            <w:tcW w:w="814" w:type="dxa"/>
            <w:shd w:val="clear" w:color="auto" w:fill="auto"/>
            <w:noWrap/>
            <w:vAlign w:val="center"/>
            <w:hideMark/>
          </w:tcPr>
          <w:p w14:paraId="45C3ACD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05D90ECE" w14:textId="77777777" w:rsidTr="001563FD">
        <w:trPr>
          <w:trHeight w:val="630"/>
        </w:trPr>
        <w:tc>
          <w:tcPr>
            <w:tcW w:w="2729" w:type="dxa"/>
            <w:vMerge/>
            <w:vAlign w:val="center"/>
            <w:hideMark/>
          </w:tcPr>
          <w:p w14:paraId="3BA30F5D"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79912E89"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Papildu finansējums, lai nodrošinātu valsts garantēto uzturlīdzekļu izmaksu no Uzturlīdzekļu garantiju fonda</w:t>
            </w:r>
          </w:p>
        </w:tc>
        <w:tc>
          <w:tcPr>
            <w:tcW w:w="1047" w:type="dxa"/>
            <w:shd w:val="clear" w:color="auto" w:fill="DBE5F1" w:themeFill="accent1" w:themeFillTint="33"/>
            <w:vAlign w:val="center"/>
            <w:hideMark/>
          </w:tcPr>
          <w:p w14:paraId="51B3301C"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DBE5F1" w:themeFill="accent1" w:themeFillTint="33"/>
            <w:noWrap/>
            <w:vAlign w:val="center"/>
            <w:hideMark/>
          </w:tcPr>
          <w:p w14:paraId="6249833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393B445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31B9D7B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0,03</w:t>
            </w:r>
          </w:p>
        </w:tc>
        <w:tc>
          <w:tcPr>
            <w:tcW w:w="709" w:type="dxa"/>
            <w:shd w:val="clear" w:color="auto" w:fill="DBE5F1" w:themeFill="accent1" w:themeFillTint="33"/>
            <w:noWrap/>
            <w:vAlign w:val="center"/>
            <w:hideMark/>
          </w:tcPr>
          <w:p w14:paraId="4196132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3568859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630DE014" w14:textId="77777777" w:rsidTr="001563FD">
        <w:trPr>
          <w:trHeight w:val="315"/>
        </w:trPr>
        <w:tc>
          <w:tcPr>
            <w:tcW w:w="2729" w:type="dxa"/>
            <w:vMerge/>
            <w:vAlign w:val="center"/>
            <w:hideMark/>
          </w:tcPr>
          <w:p w14:paraId="7319A35D"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399D1F45"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Palielināti izdevumi s</w:t>
            </w:r>
            <w:r>
              <w:rPr>
                <w:iCs/>
                <w:color w:val="000000"/>
                <w:sz w:val="22"/>
                <w:szCs w:val="22"/>
                <w:lang w:eastAsia="lv-LV"/>
              </w:rPr>
              <w:t>o</w:t>
            </w:r>
            <w:r w:rsidRPr="00647F74">
              <w:rPr>
                <w:iCs/>
                <w:color w:val="000000"/>
                <w:sz w:val="22"/>
                <w:szCs w:val="22"/>
                <w:lang w:eastAsia="lv-LV"/>
              </w:rPr>
              <w:t>ciālajiem pabalstiem</w:t>
            </w:r>
          </w:p>
        </w:tc>
        <w:tc>
          <w:tcPr>
            <w:tcW w:w="1047" w:type="dxa"/>
            <w:shd w:val="clear" w:color="auto" w:fill="auto"/>
            <w:vAlign w:val="center"/>
            <w:hideMark/>
          </w:tcPr>
          <w:p w14:paraId="5BC576E7"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auto"/>
            <w:noWrap/>
            <w:vAlign w:val="center"/>
            <w:hideMark/>
          </w:tcPr>
          <w:p w14:paraId="416F57C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678761A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4FBA473E"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384BEDD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auto"/>
            <w:noWrap/>
            <w:vAlign w:val="center"/>
            <w:hideMark/>
          </w:tcPr>
          <w:p w14:paraId="53F1170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5269AE55" w14:textId="77777777" w:rsidTr="001563FD">
        <w:trPr>
          <w:trHeight w:val="630"/>
        </w:trPr>
        <w:tc>
          <w:tcPr>
            <w:tcW w:w="2729" w:type="dxa"/>
            <w:vMerge/>
            <w:vAlign w:val="center"/>
            <w:hideMark/>
          </w:tcPr>
          <w:p w14:paraId="265A4C5D"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7130513E"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Tehniskie precizējumi (t.sk. palielināti izdevumi, lai nodrošinātu valsts garantēto uzturlīdzekļu izmaksu no Uzturlīdzekļu garantiju fonda)</w:t>
            </w:r>
          </w:p>
        </w:tc>
        <w:tc>
          <w:tcPr>
            <w:tcW w:w="1047" w:type="dxa"/>
            <w:shd w:val="clear" w:color="auto" w:fill="DBE5F1" w:themeFill="accent1" w:themeFillTint="33"/>
            <w:vAlign w:val="center"/>
            <w:hideMark/>
          </w:tcPr>
          <w:p w14:paraId="65A99FF9"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376AF564"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DBE5F1" w:themeFill="accent1" w:themeFillTint="33"/>
            <w:noWrap/>
            <w:vAlign w:val="center"/>
            <w:hideMark/>
          </w:tcPr>
          <w:p w14:paraId="1D54C051"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DBE5F1" w:themeFill="accent1" w:themeFillTint="33"/>
            <w:noWrap/>
            <w:vAlign w:val="center"/>
            <w:hideMark/>
          </w:tcPr>
          <w:p w14:paraId="5762A5B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DBE5F1" w:themeFill="accent1" w:themeFillTint="33"/>
            <w:noWrap/>
            <w:vAlign w:val="center"/>
            <w:hideMark/>
          </w:tcPr>
          <w:p w14:paraId="7E7D13F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1F74799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5DC6739A" w14:textId="77777777" w:rsidTr="001563FD">
        <w:trPr>
          <w:trHeight w:val="945"/>
        </w:trPr>
        <w:tc>
          <w:tcPr>
            <w:tcW w:w="2729" w:type="dxa"/>
            <w:shd w:val="clear" w:color="auto" w:fill="auto"/>
            <w:vAlign w:val="center"/>
            <w:hideMark/>
          </w:tcPr>
          <w:p w14:paraId="3B51E53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lastRenderedPageBreak/>
              <w:t>Vides aizsardzības un reģionālās attīstības ministrija</w:t>
            </w:r>
          </w:p>
        </w:tc>
        <w:tc>
          <w:tcPr>
            <w:tcW w:w="5762" w:type="dxa"/>
            <w:shd w:val="clear" w:color="auto" w:fill="auto"/>
            <w:vAlign w:val="center"/>
            <w:hideMark/>
          </w:tcPr>
          <w:p w14:paraId="4FD3763A"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Tehniskie precizējumi (t.sk. finansējuma pārrobežu sadarbības programmu darbības nodrošināšanai, projektiem un pasākumiem)</w:t>
            </w:r>
          </w:p>
        </w:tc>
        <w:tc>
          <w:tcPr>
            <w:tcW w:w="1047" w:type="dxa"/>
            <w:shd w:val="clear" w:color="auto" w:fill="auto"/>
            <w:vAlign w:val="center"/>
            <w:hideMark/>
          </w:tcPr>
          <w:p w14:paraId="7E6B6396"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auto"/>
            <w:noWrap/>
            <w:vAlign w:val="center"/>
            <w:hideMark/>
          </w:tcPr>
          <w:p w14:paraId="78D86D7F"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auto"/>
            <w:noWrap/>
            <w:vAlign w:val="center"/>
            <w:hideMark/>
          </w:tcPr>
          <w:p w14:paraId="21ED92A8"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auto"/>
            <w:noWrap/>
            <w:vAlign w:val="center"/>
            <w:hideMark/>
          </w:tcPr>
          <w:p w14:paraId="321FF1B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0,05</w:t>
            </w:r>
          </w:p>
        </w:tc>
        <w:tc>
          <w:tcPr>
            <w:tcW w:w="709" w:type="dxa"/>
            <w:shd w:val="clear" w:color="auto" w:fill="auto"/>
            <w:noWrap/>
            <w:vAlign w:val="center"/>
            <w:hideMark/>
          </w:tcPr>
          <w:p w14:paraId="0E88427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-0,03</w:t>
            </w:r>
          </w:p>
        </w:tc>
        <w:tc>
          <w:tcPr>
            <w:tcW w:w="814" w:type="dxa"/>
            <w:shd w:val="clear" w:color="auto" w:fill="auto"/>
            <w:noWrap/>
            <w:vAlign w:val="center"/>
            <w:hideMark/>
          </w:tcPr>
          <w:p w14:paraId="1C6B5C73"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19BFF1CC" w14:textId="77777777" w:rsidTr="001563FD">
        <w:trPr>
          <w:trHeight w:val="1260"/>
        </w:trPr>
        <w:tc>
          <w:tcPr>
            <w:tcW w:w="2729" w:type="dxa"/>
            <w:shd w:val="clear" w:color="auto" w:fill="DBE5F1" w:themeFill="accent1" w:themeFillTint="33"/>
            <w:vAlign w:val="center"/>
            <w:hideMark/>
          </w:tcPr>
          <w:p w14:paraId="214DD44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Kultūras ministrija</w:t>
            </w:r>
          </w:p>
        </w:tc>
        <w:tc>
          <w:tcPr>
            <w:tcW w:w="5762" w:type="dxa"/>
            <w:shd w:val="clear" w:color="auto" w:fill="DBE5F1" w:themeFill="accent1" w:themeFillTint="33"/>
            <w:vAlign w:val="center"/>
            <w:hideMark/>
          </w:tcPr>
          <w:p w14:paraId="41D49E60"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 precizējumi (t.sk. finansējuma palielinājums ERAF projektu "Infrastruktūras modernizācija", "Infrastruktūras attīstība", "Kultūras mantojuma satura digitalizācija" un "Profesionālās kultūrizglītības mācību vides modernizēšana" īstenošanai)</w:t>
            </w:r>
          </w:p>
        </w:tc>
        <w:tc>
          <w:tcPr>
            <w:tcW w:w="1047" w:type="dxa"/>
            <w:shd w:val="clear" w:color="auto" w:fill="DBE5F1" w:themeFill="accent1" w:themeFillTint="33"/>
            <w:vAlign w:val="center"/>
            <w:hideMark/>
          </w:tcPr>
          <w:p w14:paraId="14CC9DC6"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08CD60B1"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4A031CC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7473B3C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DBE5F1" w:themeFill="accent1" w:themeFillTint="33"/>
            <w:noWrap/>
            <w:vAlign w:val="center"/>
            <w:hideMark/>
          </w:tcPr>
          <w:p w14:paraId="15C540C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4B51BCA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45CDD038" w14:textId="77777777" w:rsidTr="001563FD">
        <w:trPr>
          <w:trHeight w:val="315"/>
        </w:trPr>
        <w:tc>
          <w:tcPr>
            <w:tcW w:w="2729" w:type="dxa"/>
            <w:vMerge w:val="restart"/>
            <w:shd w:val="clear" w:color="auto" w:fill="auto"/>
            <w:vAlign w:val="center"/>
            <w:hideMark/>
          </w:tcPr>
          <w:p w14:paraId="73ABD461"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Veselības ministrija</w:t>
            </w:r>
          </w:p>
        </w:tc>
        <w:tc>
          <w:tcPr>
            <w:tcW w:w="5762" w:type="dxa"/>
            <w:shd w:val="clear" w:color="auto" w:fill="auto"/>
            <w:vAlign w:val="center"/>
            <w:hideMark/>
          </w:tcPr>
          <w:p w14:paraId="21FF9310"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Palielināti izdevumi, lai nodrošinātu e-veselības sistēmas darbību</w:t>
            </w:r>
          </w:p>
        </w:tc>
        <w:tc>
          <w:tcPr>
            <w:tcW w:w="1047" w:type="dxa"/>
            <w:shd w:val="clear" w:color="auto" w:fill="auto"/>
            <w:vAlign w:val="center"/>
            <w:hideMark/>
          </w:tcPr>
          <w:p w14:paraId="64B9902C"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P.51</w:t>
            </w:r>
          </w:p>
        </w:tc>
        <w:tc>
          <w:tcPr>
            <w:tcW w:w="1430" w:type="dxa"/>
            <w:shd w:val="clear" w:color="auto" w:fill="auto"/>
            <w:noWrap/>
            <w:vAlign w:val="center"/>
            <w:hideMark/>
          </w:tcPr>
          <w:p w14:paraId="3DDCCD23"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5AB699C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2A36F80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19D62B5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484979A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50D453F3" w14:textId="77777777" w:rsidTr="001563FD">
        <w:trPr>
          <w:trHeight w:val="945"/>
        </w:trPr>
        <w:tc>
          <w:tcPr>
            <w:tcW w:w="2729" w:type="dxa"/>
            <w:vMerge/>
            <w:vAlign w:val="center"/>
            <w:hideMark/>
          </w:tcPr>
          <w:p w14:paraId="03B9BD2E"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079B301B" w14:textId="77777777" w:rsidR="00647F74" w:rsidRPr="00647F74" w:rsidRDefault="00647F74" w:rsidP="00647F74">
            <w:pPr>
              <w:spacing w:after="0"/>
              <w:ind w:firstLine="0"/>
              <w:rPr>
                <w:iCs/>
                <w:sz w:val="22"/>
                <w:szCs w:val="22"/>
                <w:lang w:eastAsia="lv-LV"/>
              </w:rPr>
            </w:pPr>
            <w:r w:rsidRPr="00647F74">
              <w:rPr>
                <w:iCs/>
                <w:sz w:val="22"/>
                <w:szCs w:val="22"/>
                <w:lang w:eastAsia="lv-LV"/>
              </w:rPr>
              <w:t>Palielināti izdevumi, lai nodrošinātu darba samaksas palielināšanu pārējam personālam, kas nav ārstniecības personas, saistībā ar valsts apmaksāto veselības aprūpes pakalpojumu sniegšanu</w:t>
            </w:r>
          </w:p>
        </w:tc>
        <w:tc>
          <w:tcPr>
            <w:tcW w:w="1047" w:type="dxa"/>
            <w:shd w:val="clear" w:color="auto" w:fill="DBE5F1" w:themeFill="accent1" w:themeFillTint="33"/>
            <w:vAlign w:val="center"/>
            <w:hideMark/>
          </w:tcPr>
          <w:p w14:paraId="67913D98" w14:textId="77777777" w:rsidR="00647F74" w:rsidRPr="005B2F54" w:rsidRDefault="00647F74" w:rsidP="001135DE">
            <w:pPr>
              <w:spacing w:after="0"/>
              <w:ind w:firstLine="0"/>
              <w:jc w:val="center"/>
              <w:rPr>
                <w:i/>
                <w:iCs/>
                <w:sz w:val="22"/>
                <w:szCs w:val="22"/>
                <w:lang w:eastAsia="lv-LV"/>
              </w:rPr>
            </w:pPr>
            <w:r w:rsidRPr="005B2F54">
              <w:rPr>
                <w:i/>
                <w:iCs/>
                <w:sz w:val="22"/>
                <w:szCs w:val="22"/>
                <w:lang w:eastAsia="lv-LV"/>
              </w:rPr>
              <w:t>D.1</w:t>
            </w:r>
          </w:p>
        </w:tc>
        <w:tc>
          <w:tcPr>
            <w:tcW w:w="1430" w:type="dxa"/>
            <w:shd w:val="clear" w:color="auto" w:fill="DBE5F1" w:themeFill="accent1" w:themeFillTint="33"/>
            <w:noWrap/>
            <w:vAlign w:val="center"/>
            <w:hideMark/>
          </w:tcPr>
          <w:p w14:paraId="49F4DC7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51BB934E"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240F06C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0,03</w:t>
            </w:r>
          </w:p>
        </w:tc>
        <w:tc>
          <w:tcPr>
            <w:tcW w:w="709" w:type="dxa"/>
            <w:shd w:val="clear" w:color="auto" w:fill="DBE5F1" w:themeFill="accent1" w:themeFillTint="33"/>
            <w:noWrap/>
            <w:vAlign w:val="center"/>
            <w:hideMark/>
          </w:tcPr>
          <w:p w14:paraId="6F82F7C5"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0E6842B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6C078BB3" w14:textId="77777777" w:rsidTr="001563FD">
        <w:trPr>
          <w:trHeight w:val="630"/>
        </w:trPr>
        <w:tc>
          <w:tcPr>
            <w:tcW w:w="2729" w:type="dxa"/>
            <w:vMerge/>
            <w:vAlign w:val="center"/>
            <w:hideMark/>
          </w:tcPr>
          <w:p w14:paraId="7CA57993"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7335F69C" w14:textId="77777777" w:rsidR="00647F74" w:rsidRPr="00647F74" w:rsidRDefault="00647F74" w:rsidP="00647F74">
            <w:pPr>
              <w:spacing w:after="0"/>
              <w:ind w:firstLine="0"/>
              <w:rPr>
                <w:iCs/>
                <w:sz w:val="22"/>
                <w:szCs w:val="22"/>
                <w:lang w:eastAsia="lv-LV"/>
              </w:rPr>
            </w:pPr>
            <w:r w:rsidRPr="00647F74">
              <w:rPr>
                <w:iCs/>
                <w:sz w:val="22"/>
                <w:szCs w:val="22"/>
                <w:lang w:eastAsia="lv-LV"/>
              </w:rPr>
              <w:t>Palielināti izdevumi, lai nodrošinātu darba samaksas palielināšanu ārstniecības personām, tai skaitā saistībā ar pagarinātā normālā darba laika atcelšanu</w:t>
            </w:r>
          </w:p>
        </w:tc>
        <w:tc>
          <w:tcPr>
            <w:tcW w:w="1047" w:type="dxa"/>
            <w:shd w:val="clear" w:color="auto" w:fill="auto"/>
            <w:vAlign w:val="center"/>
            <w:hideMark/>
          </w:tcPr>
          <w:p w14:paraId="7842A266" w14:textId="77777777" w:rsidR="00647F74" w:rsidRPr="005B2F54" w:rsidRDefault="00647F74" w:rsidP="001135DE">
            <w:pPr>
              <w:spacing w:after="0"/>
              <w:ind w:firstLine="0"/>
              <w:jc w:val="center"/>
              <w:rPr>
                <w:i/>
                <w:iCs/>
                <w:sz w:val="22"/>
                <w:szCs w:val="22"/>
                <w:lang w:eastAsia="lv-LV"/>
              </w:rPr>
            </w:pPr>
            <w:r w:rsidRPr="005B2F54">
              <w:rPr>
                <w:i/>
                <w:iCs/>
                <w:sz w:val="22"/>
                <w:szCs w:val="22"/>
                <w:lang w:eastAsia="lv-LV"/>
              </w:rPr>
              <w:t>D.1</w:t>
            </w:r>
          </w:p>
        </w:tc>
        <w:tc>
          <w:tcPr>
            <w:tcW w:w="1430" w:type="dxa"/>
            <w:shd w:val="clear" w:color="auto" w:fill="auto"/>
            <w:noWrap/>
            <w:vAlign w:val="center"/>
            <w:hideMark/>
          </w:tcPr>
          <w:p w14:paraId="2F5D1A4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21C57C3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303C32B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10714D73"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65B5018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24B79FD8" w14:textId="77777777" w:rsidTr="001563FD">
        <w:trPr>
          <w:trHeight w:val="630"/>
        </w:trPr>
        <w:tc>
          <w:tcPr>
            <w:tcW w:w="2729" w:type="dxa"/>
            <w:vMerge/>
            <w:vAlign w:val="center"/>
            <w:hideMark/>
          </w:tcPr>
          <w:p w14:paraId="78874A0F"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79312159" w14:textId="77777777" w:rsidR="00647F74" w:rsidRPr="00647F74" w:rsidRDefault="00647F74" w:rsidP="00647F74">
            <w:pPr>
              <w:spacing w:after="0"/>
              <w:ind w:firstLine="0"/>
              <w:rPr>
                <w:iCs/>
                <w:sz w:val="22"/>
                <w:szCs w:val="22"/>
                <w:lang w:eastAsia="lv-LV"/>
              </w:rPr>
            </w:pPr>
            <w:r w:rsidRPr="00647F74">
              <w:rPr>
                <w:iCs/>
                <w:sz w:val="22"/>
                <w:szCs w:val="22"/>
                <w:lang w:eastAsia="lv-LV"/>
              </w:rPr>
              <w:t>Palielināti izdevumi, lai nodrošinātu ārstniecības personu zemāko mēnešalgas likmes palielināšanu</w:t>
            </w:r>
          </w:p>
        </w:tc>
        <w:tc>
          <w:tcPr>
            <w:tcW w:w="1047" w:type="dxa"/>
            <w:shd w:val="clear" w:color="auto" w:fill="DBE5F1" w:themeFill="accent1" w:themeFillTint="33"/>
            <w:vAlign w:val="center"/>
            <w:hideMark/>
          </w:tcPr>
          <w:p w14:paraId="6CD955EE" w14:textId="77777777" w:rsidR="00647F74" w:rsidRPr="005B2F54" w:rsidRDefault="00647F74" w:rsidP="001135DE">
            <w:pPr>
              <w:spacing w:after="0"/>
              <w:ind w:firstLine="0"/>
              <w:jc w:val="center"/>
              <w:rPr>
                <w:i/>
                <w:iCs/>
                <w:sz w:val="22"/>
                <w:szCs w:val="22"/>
                <w:lang w:eastAsia="lv-LV"/>
              </w:rPr>
            </w:pPr>
            <w:r w:rsidRPr="005B2F54">
              <w:rPr>
                <w:i/>
                <w:iCs/>
                <w:sz w:val="22"/>
                <w:szCs w:val="22"/>
                <w:lang w:eastAsia="lv-LV"/>
              </w:rPr>
              <w:t>D.1</w:t>
            </w:r>
          </w:p>
        </w:tc>
        <w:tc>
          <w:tcPr>
            <w:tcW w:w="1430" w:type="dxa"/>
            <w:shd w:val="clear" w:color="auto" w:fill="DBE5F1" w:themeFill="accent1" w:themeFillTint="33"/>
            <w:noWrap/>
            <w:vAlign w:val="center"/>
            <w:hideMark/>
          </w:tcPr>
          <w:p w14:paraId="68C27C6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082A64E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5D6D358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0,20</w:t>
            </w:r>
          </w:p>
        </w:tc>
        <w:tc>
          <w:tcPr>
            <w:tcW w:w="709" w:type="dxa"/>
            <w:shd w:val="clear" w:color="auto" w:fill="DBE5F1" w:themeFill="accent1" w:themeFillTint="33"/>
            <w:noWrap/>
            <w:vAlign w:val="center"/>
            <w:hideMark/>
          </w:tcPr>
          <w:p w14:paraId="41AB467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62BA6B6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12061B4F" w14:textId="77777777" w:rsidTr="001563FD">
        <w:trPr>
          <w:trHeight w:val="1260"/>
        </w:trPr>
        <w:tc>
          <w:tcPr>
            <w:tcW w:w="2729" w:type="dxa"/>
            <w:vMerge/>
            <w:vAlign w:val="center"/>
            <w:hideMark/>
          </w:tcPr>
          <w:p w14:paraId="337BEF3F"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34960C32" w14:textId="77777777" w:rsidR="00647F74" w:rsidRPr="00647F74" w:rsidRDefault="00647F74" w:rsidP="00647F74">
            <w:pPr>
              <w:spacing w:after="0"/>
              <w:ind w:firstLine="0"/>
              <w:rPr>
                <w:iCs/>
                <w:sz w:val="22"/>
                <w:szCs w:val="22"/>
                <w:lang w:eastAsia="lv-LV"/>
              </w:rPr>
            </w:pPr>
            <w:r w:rsidRPr="00647F74">
              <w:rPr>
                <w:iCs/>
                <w:sz w:val="22"/>
                <w:szCs w:val="22"/>
                <w:lang w:eastAsia="lv-LV"/>
              </w:rPr>
              <w:t>Palielināti izdevumi, lai nodrošinātu darba samaksas palielināšanu Neatliekamās medicīniskās palīdzības dienestā strādājošām ārstniecības personām un neatliekamās medicīniskās palīdzības brigādes operatīvā medicīniskā transportlīdzekļa vadītājiem</w:t>
            </w:r>
          </w:p>
        </w:tc>
        <w:tc>
          <w:tcPr>
            <w:tcW w:w="1047" w:type="dxa"/>
            <w:shd w:val="clear" w:color="auto" w:fill="auto"/>
            <w:vAlign w:val="center"/>
            <w:hideMark/>
          </w:tcPr>
          <w:p w14:paraId="7B5E9880" w14:textId="77777777" w:rsidR="00647F74" w:rsidRPr="005B2F54" w:rsidRDefault="00647F74" w:rsidP="001135DE">
            <w:pPr>
              <w:spacing w:after="0"/>
              <w:ind w:firstLine="0"/>
              <w:jc w:val="center"/>
              <w:rPr>
                <w:i/>
                <w:iCs/>
                <w:sz w:val="22"/>
                <w:szCs w:val="22"/>
                <w:lang w:eastAsia="lv-LV"/>
              </w:rPr>
            </w:pPr>
            <w:r w:rsidRPr="005B2F54">
              <w:rPr>
                <w:i/>
                <w:iCs/>
                <w:sz w:val="22"/>
                <w:szCs w:val="22"/>
                <w:lang w:eastAsia="lv-LV"/>
              </w:rPr>
              <w:t>D.1</w:t>
            </w:r>
          </w:p>
        </w:tc>
        <w:tc>
          <w:tcPr>
            <w:tcW w:w="1430" w:type="dxa"/>
            <w:shd w:val="clear" w:color="auto" w:fill="auto"/>
            <w:noWrap/>
            <w:vAlign w:val="center"/>
            <w:hideMark/>
          </w:tcPr>
          <w:p w14:paraId="770D6B7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58E1D0D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6A166D2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0,03</w:t>
            </w:r>
          </w:p>
        </w:tc>
        <w:tc>
          <w:tcPr>
            <w:tcW w:w="709" w:type="dxa"/>
            <w:shd w:val="clear" w:color="auto" w:fill="auto"/>
            <w:noWrap/>
            <w:vAlign w:val="center"/>
            <w:hideMark/>
          </w:tcPr>
          <w:p w14:paraId="796633D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60E0255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4497CD52" w14:textId="77777777" w:rsidTr="001563FD">
        <w:trPr>
          <w:trHeight w:val="630"/>
        </w:trPr>
        <w:tc>
          <w:tcPr>
            <w:tcW w:w="2729" w:type="dxa"/>
            <w:vMerge/>
            <w:vAlign w:val="center"/>
            <w:hideMark/>
          </w:tcPr>
          <w:p w14:paraId="0F5253DC"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6467CE33"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Palielināti izdevumi, lai nodrošinātu prioritārā pasākuma “Medikamentu pieejamība reto slimību pacientiem” īstenošanu</w:t>
            </w:r>
          </w:p>
        </w:tc>
        <w:tc>
          <w:tcPr>
            <w:tcW w:w="1047" w:type="dxa"/>
            <w:shd w:val="clear" w:color="auto" w:fill="DBE5F1" w:themeFill="accent1" w:themeFillTint="33"/>
            <w:vAlign w:val="center"/>
            <w:hideMark/>
          </w:tcPr>
          <w:p w14:paraId="7D5E6BF7"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D.3</w:t>
            </w:r>
          </w:p>
        </w:tc>
        <w:tc>
          <w:tcPr>
            <w:tcW w:w="1430" w:type="dxa"/>
            <w:shd w:val="clear" w:color="auto" w:fill="DBE5F1" w:themeFill="accent1" w:themeFillTint="33"/>
            <w:noWrap/>
            <w:vAlign w:val="center"/>
            <w:hideMark/>
          </w:tcPr>
          <w:p w14:paraId="2A60E31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61F47C5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7B51E12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0F386C91"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02A9BBD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100786C1" w14:textId="77777777" w:rsidTr="001563FD">
        <w:trPr>
          <w:trHeight w:val="630"/>
        </w:trPr>
        <w:tc>
          <w:tcPr>
            <w:tcW w:w="2729" w:type="dxa"/>
            <w:vMerge/>
            <w:vAlign w:val="center"/>
            <w:hideMark/>
          </w:tcPr>
          <w:p w14:paraId="0EAC8EB2"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0CEB0D39"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Tehniskie precizējumi (t.sk. palielināti izdevumi ERAF projektu veselības jomā īstenošanai, palielināti izdevumi kompensējamo medikamentu recepšu apmaksai)</w:t>
            </w:r>
          </w:p>
        </w:tc>
        <w:tc>
          <w:tcPr>
            <w:tcW w:w="1047" w:type="dxa"/>
            <w:shd w:val="clear" w:color="auto" w:fill="auto"/>
            <w:vAlign w:val="center"/>
            <w:hideMark/>
          </w:tcPr>
          <w:p w14:paraId="3066ECEB"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auto"/>
            <w:noWrap/>
            <w:vAlign w:val="center"/>
            <w:hideMark/>
          </w:tcPr>
          <w:p w14:paraId="779BC976"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auto"/>
            <w:noWrap/>
            <w:vAlign w:val="center"/>
            <w:hideMark/>
          </w:tcPr>
          <w:p w14:paraId="2E8CA8C2"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auto"/>
            <w:noWrap/>
            <w:vAlign w:val="center"/>
            <w:hideMark/>
          </w:tcPr>
          <w:p w14:paraId="6532DBB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0,03</w:t>
            </w:r>
          </w:p>
        </w:tc>
        <w:tc>
          <w:tcPr>
            <w:tcW w:w="709" w:type="dxa"/>
            <w:shd w:val="clear" w:color="auto" w:fill="auto"/>
            <w:noWrap/>
            <w:vAlign w:val="center"/>
            <w:hideMark/>
          </w:tcPr>
          <w:p w14:paraId="6B24C38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-0,03</w:t>
            </w:r>
          </w:p>
        </w:tc>
        <w:tc>
          <w:tcPr>
            <w:tcW w:w="814" w:type="dxa"/>
            <w:shd w:val="clear" w:color="auto" w:fill="auto"/>
            <w:noWrap/>
            <w:vAlign w:val="center"/>
            <w:hideMark/>
          </w:tcPr>
          <w:p w14:paraId="7C6D8155"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55D3BBF1" w14:textId="77777777" w:rsidTr="001563FD">
        <w:trPr>
          <w:trHeight w:val="315"/>
        </w:trPr>
        <w:tc>
          <w:tcPr>
            <w:tcW w:w="2729" w:type="dxa"/>
            <w:shd w:val="clear" w:color="auto" w:fill="DBE5F1" w:themeFill="accent1" w:themeFillTint="33"/>
            <w:vAlign w:val="center"/>
            <w:hideMark/>
          </w:tcPr>
          <w:p w14:paraId="0BC94AB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Prokuratūra</w:t>
            </w:r>
          </w:p>
        </w:tc>
        <w:tc>
          <w:tcPr>
            <w:tcW w:w="5762" w:type="dxa"/>
            <w:shd w:val="clear" w:color="auto" w:fill="DBE5F1" w:themeFill="accent1" w:themeFillTint="33"/>
            <w:vAlign w:val="center"/>
            <w:hideMark/>
          </w:tcPr>
          <w:p w14:paraId="44453071"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Palielināti izdevumi prokuroru atalgojuma nodrošināšanai</w:t>
            </w:r>
          </w:p>
        </w:tc>
        <w:tc>
          <w:tcPr>
            <w:tcW w:w="1047" w:type="dxa"/>
            <w:shd w:val="clear" w:color="auto" w:fill="DBE5F1" w:themeFill="accent1" w:themeFillTint="33"/>
            <w:vAlign w:val="center"/>
            <w:hideMark/>
          </w:tcPr>
          <w:p w14:paraId="2D603B97"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D.1</w:t>
            </w:r>
          </w:p>
        </w:tc>
        <w:tc>
          <w:tcPr>
            <w:tcW w:w="1430" w:type="dxa"/>
            <w:shd w:val="clear" w:color="auto" w:fill="DBE5F1" w:themeFill="accent1" w:themeFillTint="33"/>
            <w:noWrap/>
            <w:vAlign w:val="center"/>
            <w:hideMark/>
          </w:tcPr>
          <w:p w14:paraId="5FDACFD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68646FF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7027BF5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DBE5F1" w:themeFill="accent1" w:themeFillTint="33"/>
            <w:noWrap/>
            <w:vAlign w:val="center"/>
            <w:hideMark/>
          </w:tcPr>
          <w:p w14:paraId="3FE4C61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469178C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647F74" w14:paraId="61F93870" w14:textId="77777777" w:rsidTr="001563FD">
        <w:trPr>
          <w:trHeight w:val="1320"/>
        </w:trPr>
        <w:tc>
          <w:tcPr>
            <w:tcW w:w="2729" w:type="dxa"/>
            <w:vMerge w:val="restart"/>
            <w:shd w:val="clear" w:color="auto" w:fill="DBE5F1" w:themeFill="accent1" w:themeFillTint="33"/>
            <w:vAlign w:val="center"/>
          </w:tcPr>
          <w:p w14:paraId="36DDEF3B" w14:textId="77777777" w:rsidR="00647F74" w:rsidRPr="00647F74" w:rsidRDefault="00647F74" w:rsidP="001135DE">
            <w:pPr>
              <w:spacing w:after="0"/>
              <w:ind w:firstLine="0"/>
              <w:jc w:val="center"/>
              <w:rPr>
                <w:color w:val="000000"/>
                <w:sz w:val="22"/>
                <w:szCs w:val="22"/>
                <w:lang w:eastAsia="lv-LV"/>
              </w:rPr>
            </w:pPr>
            <w:r w:rsidRPr="00647F74">
              <w:rPr>
                <w:color w:val="000000"/>
                <w:sz w:val="22"/>
                <w:szCs w:val="22"/>
                <w:lang w:eastAsia="lv-LV"/>
              </w:rPr>
              <w:lastRenderedPageBreak/>
              <w:t>Dotācija pašvaldībām</w:t>
            </w:r>
          </w:p>
        </w:tc>
        <w:tc>
          <w:tcPr>
            <w:tcW w:w="5762" w:type="dxa"/>
            <w:shd w:val="clear" w:color="auto" w:fill="auto"/>
            <w:vAlign w:val="center"/>
          </w:tcPr>
          <w:p w14:paraId="7B2F8CBC" w14:textId="77777777" w:rsidR="00647F74" w:rsidRPr="00647F74" w:rsidRDefault="00647F74" w:rsidP="005137D2">
            <w:pPr>
              <w:spacing w:after="0"/>
              <w:ind w:firstLine="0"/>
              <w:rPr>
                <w:iCs/>
                <w:color w:val="000000"/>
                <w:sz w:val="22"/>
                <w:szCs w:val="22"/>
                <w:lang w:eastAsia="lv-LV"/>
              </w:rPr>
            </w:pPr>
            <w:r w:rsidRPr="00647F74">
              <w:rPr>
                <w:iCs/>
                <w:color w:val="000000"/>
                <w:sz w:val="22"/>
                <w:szCs w:val="22"/>
                <w:lang w:eastAsia="lv-LV"/>
              </w:rPr>
              <w:t>Izmaiņas pašvaldību dotācijām saskaņā ar MK 05.02.2019. sēdes protokola Nr.5 30.§ 23.punktu, kas paredz pašvaldību IIN kopā ar speciālo dotāciju ne mazāku kā 1,47 miljardu apmērā</w:t>
            </w:r>
          </w:p>
        </w:tc>
        <w:tc>
          <w:tcPr>
            <w:tcW w:w="1047" w:type="dxa"/>
            <w:shd w:val="clear" w:color="auto" w:fill="auto"/>
            <w:vAlign w:val="center"/>
          </w:tcPr>
          <w:p w14:paraId="6A37147C" w14:textId="77777777" w:rsidR="00647F74" w:rsidRPr="00647F74" w:rsidRDefault="00647F74" w:rsidP="001135DE">
            <w:pPr>
              <w:spacing w:after="0"/>
              <w:ind w:firstLine="0"/>
              <w:jc w:val="center"/>
              <w:rPr>
                <w:i/>
                <w:iCs/>
                <w:color w:val="000000"/>
                <w:sz w:val="22"/>
                <w:szCs w:val="22"/>
                <w:lang w:eastAsia="lv-LV"/>
              </w:rPr>
            </w:pPr>
            <w:r w:rsidRPr="00647F74">
              <w:rPr>
                <w:i/>
                <w:iCs/>
                <w:color w:val="000000"/>
                <w:sz w:val="22"/>
                <w:szCs w:val="22"/>
                <w:lang w:eastAsia="lv-LV"/>
              </w:rPr>
              <w:t>D.7</w:t>
            </w:r>
          </w:p>
        </w:tc>
        <w:tc>
          <w:tcPr>
            <w:tcW w:w="1430" w:type="dxa"/>
            <w:shd w:val="clear" w:color="auto" w:fill="auto"/>
            <w:noWrap/>
            <w:vAlign w:val="center"/>
          </w:tcPr>
          <w:p w14:paraId="5E19D38E" w14:textId="77777777" w:rsidR="00647F74" w:rsidRPr="00647F74" w:rsidRDefault="00647F74" w:rsidP="001135DE">
            <w:pPr>
              <w:spacing w:after="0"/>
              <w:ind w:firstLine="0"/>
              <w:jc w:val="center"/>
              <w:rPr>
                <w:color w:val="000000"/>
                <w:sz w:val="22"/>
                <w:szCs w:val="22"/>
                <w:lang w:eastAsia="lv-LV"/>
              </w:rPr>
            </w:pPr>
            <w:r w:rsidRPr="00647F74">
              <w:rPr>
                <w:color w:val="000000"/>
                <w:sz w:val="22"/>
                <w:szCs w:val="22"/>
                <w:lang w:eastAsia="lv-LV"/>
              </w:rPr>
              <w:t>Naudas plūsma</w:t>
            </w:r>
          </w:p>
        </w:tc>
        <w:tc>
          <w:tcPr>
            <w:tcW w:w="1501" w:type="dxa"/>
            <w:shd w:val="clear" w:color="auto" w:fill="auto"/>
            <w:noWrap/>
            <w:vAlign w:val="center"/>
          </w:tcPr>
          <w:p w14:paraId="1FD5C7C1" w14:textId="77777777" w:rsidR="00647F74" w:rsidRPr="00647F74" w:rsidRDefault="00647F74" w:rsidP="001135DE">
            <w:pPr>
              <w:spacing w:after="0"/>
              <w:ind w:firstLine="0"/>
              <w:jc w:val="center"/>
              <w:rPr>
                <w:color w:val="000000"/>
                <w:sz w:val="22"/>
                <w:szCs w:val="22"/>
                <w:lang w:eastAsia="lv-LV"/>
              </w:rPr>
            </w:pPr>
            <w:r w:rsidRPr="00647F74">
              <w:rPr>
                <w:color w:val="000000"/>
                <w:sz w:val="22"/>
                <w:szCs w:val="22"/>
                <w:lang w:eastAsia="lv-LV"/>
              </w:rPr>
              <w:t>Apstiprināts valdībā</w:t>
            </w:r>
          </w:p>
        </w:tc>
        <w:tc>
          <w:tcPr>
            <w:tcW w:w="709" w:type="dxa"/>
            <w:shd w:val="clear" w:color="auto" w:fill="auto"/>
            <w:noWrap/>
            <w:vAlign w:val="center"/>
          </w:tcPr>
          <w:p w14:paraId="675CF06E" w14:textId="77777777" w:rsidR="00647F74" w:rsidRPr="00647F74" w:rsidRDefault="00647F74" w:rsidP="001135DE">
            <w:pPr>
              <w:spacing w:after="0"/>
              <w:ind w:firstLine="0"/>
              <w:jc w:val="center"/>
              <w:rPr>
                <w:color w:val="000000"/>
                <w:sz w:val="22"/>
                <w:szCs w:val="22"/>
                <w:lang w:eastAsia="lv-LV"/>
              </w:rPr>
            </w:pPr>
            <w:r w:rsidRPr="00647F74">
              <w:rPr>
                <w:color w:val="000000"/>
                <w:sz w:val="22"/>
                <w:szCs w:val="22"/>
                <w:lang w:eastAsia="lv-LV"/>
              </w:rPr>
              <w:t>-0,05</w:t>
            </w:r>
          </w:p>
        </w:tc>
        <w:tc>
          <w:tcPr>
            <w:tcW w:w="709" w:type="dxa"/>
            <w:shd w:val="clear" w:color="auto" w:fill="auto"/>
            <w:noWrap/>
            <w:vAlign w:val="center"/>
          </w:tcPr>
          <w:p w14:paraId="7380AA70" w14:textId="77777777" w:rsidR="00647F74" w:rsidRPr="00647F74" w:rsidRDefault="00647F74" w:rsidP="001135DE">
            <w:pPr>
              <w:spacing w:after="0"/>
              <w:ind w:firstLine="0"/>
              <w:jc w:val="center"/>
              <w:rPr>
                <w:color w:val="000000"/>
                <w:sz w:val="22"/>
                <w:szCs w:val="22"/>
                <w:lang w:eastAsia="lv-LV"/>
              </w:rPr>
            </w:pPr>
            <w:r w:rsidRPr="00647F74">
              <w:rPr>
                <w:color w:val="000000"/>
                <w:sz w:val="22"/>
                <w:szCs w:val="22"/>
                <w:lang w:eastAsia="lv-LV"/>
              </w:rPr>
              <w:t>0,04</w:t>
            </w:r>
          </w:p>
        </w:tc>
        <w:tc>
          <w:tcPr>
            <w:tcW w:w="814" w:type="dxa"/>
            <w:shd w:val="clear" w:color="auto" w:fill="auto"/>
            <w:noWrap/>
            <w:vAlign w:val="center"/>
          </w:tcPr>
          <w:p w14:paraId="2A177BE8" w14:textId="77777777" w:rsidR="00647F74" w:rsidRPr="00647F74" w:rsidRDefault="00647F74" w:rsidP="001135DE">
            <w:pPr>
              <w:spacing w:after="0"/>
              <w:ind w:firstLine="0"/>
              <w:jc w:val="center"/>
              <w:rPr>
                <w:color w:val="000000"/>
                <w:sz w:val="22"/>
                <w:szCs w:val="22"/>
                <w:lang w:eastAsia="lv-LV"/>
              </w:rPr>
            </w:pPr>
            <w:r w:rsidRPr="00647F74">
              <w:rPr>
                <w:color w:val="000000"/>
                <w:sz w:val="22"/>
                <w:szCs w:val="22"/>
                <w:lang w:eastAsia="lv-LV"/>
              </w:rPr>
              <w:t>0,00</w:t>
            </w:r>
          </w:p>
        </w:tc>
      </w:tr>
      <w:tr w:rsidR="00647F74" w:rsidRPr="00647F74" w14:paraId="76E0C8F7" w14:textId="77777777" w:rsidTr="001563FD">
        <w:trPr>
          <w:trHeight w:val="510"/>
        </w:trPr>
        <w:tc>
          <w:tcPr>
            <w:tcW w:w="2729" w:type="dxa"/>
            <w:vMerge/>
            <w:shd w:val="clear" w:color="auto" w:fill="DBE5F1" w:themeFill="accent1" w:themeFillTint="33"/>
            <w:vAlign w:val="center"/>
          </w:tcPr>
          <w:p w14:paraId="30F713A1" w14:textId="77777777" w:rsidR="00647F74" w:rsidRPr="00647F7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tcPr>
          <w:p w14:paraId="11B8D365"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Tehniskie precizējumi</w:t>
            </w:r>
          </w:p>
        </w:tc>
        <w:tc>
          <w:tcPr>
            <w:tcW w:w="1047" w:type="dxa"/>
            <w:shd w:val="clear" w:color="auto" w:fill="DBE5F1" w:themeFill="accent1" w:themeFillTint="33"/>
            <w:vAlign w:val="center"/>
          </w:tcPr>
          <w:p w14:paraId="7A927D3D" w14:textId="77777777" w:rsidR="00647F74" w:rsidRPr="00647F74" w:rsidRDefault="00647F74" w:rsidP="001135DE">
            <w:pPr>
              <w:spacing w:after="0"/>
              <w:ind w:firstLine="0"/>
              <w:jc w:val="center"/>
              <w:rPr>
                <w:i/>
                <w:iCs/>
                <w:color w:val="000000"/>
                <w:sz w:val="22"/>
                <w:szCs w:val="22"/>
                <w:lang w:eastAsia="lv-LV"/>
              </w:rPr>
            </w:pPr>
          </w:p>
        </w:tc>
        <w:tc>
          <w:tcPr>
            <w:tcW w:w="1430" w:type="dxa"/>
            <w:shd w:val="clear" w:color="auto" w:fill="DBE5F1" w:themeFill="accent1" w:themeFillTint="33"/>
            <w:noWrap/>
            <w:vAlign w:val="center"/>
          </w:tcPr>
          <w:p w14:paraId="60DB8C29" w14:textId="77777777" w:rsidR="00647F74" w:rsidRPr="00647F74" w:rsidRDefault="00647F74" w:rsidP="001135DE">
            <w:pPr>
              <w:spacing w:after="0"/>
              <w:ind w:firstLine="0"/>
              <w:jc w:val="center"/>
              <w:rPr>
                <w:color w:val="000000"/>
                <w:sz w:val="22"/>
                <w:szCs w:val="22"/>
                <w:lang w:eastAsia="lv-LV"/>
              </w:rPr>
            </w:pPr>
          </w:p>
        </w:tc>
        <w:tc>
          <w:tcPr>
            <w:tcW w:w="1501" w:type="dxa"/>
            <w:shd w:val="clear" w:color="auto" w:fill="DBE5F1" w:themeFill="accent1" w:themeFillTint="33"/>
            <w:noWrap/>
            <w:vAlign w:val="center"/>
          </w:tcPr>
          <w:p w14:paraId="619CFC99" w14:textId="77777777" w:rsidR="00647F74" w:rsidRPr="00647F74" w:rsidRDefault="00647F74" w:rsidP="001135DE">
            <w:pPr>
              <w:spacing w:after="0"/>
              <w:ind w:firstLine="0"/>
              <w:jc w:val="center"/>
              <w:rPr>
                <w:color w:val="000000"/>
                <w:sz w:val="22"/>
                <w:szCs w:val="22"/>
                <w:lang w:eastAsia="lv-LV"/>
              </w:rPr>
            </w:pPr>
          </w:p>
        </w:tc>
        <w:tc>
          <w:tcPr>
            <w:tcW w:w="709" w:type="dxa"/>
            <w:shd w:val="clear" w:color="auto" w:fill="DBE5F1" w:themeFill="accent1" w:themeFillTint="33"/>
            <w:noWrap/>
            <w:vAlign w:val="center"/>
          </w:tcPr>
          <w:p w14:paraId="5E937583" w14:textId="77777777" w:rsidR="00647F74" w:rsidRPr="00647F74" w:rsidRDefault="00647F74" w:rsidP="001135DE">
            <w:pPr>
              <w:spacing w:after="0"/>
              <w:ind w:firstLine="0"/>
              <w:jc w:val="center"/>
              <w:rPr>
                <w:color w:val="000000"/>
                <w:sz w:val="22"/>
                <w:szCs w:val="22"/>
                <w:lang w:eastAsia="lv-LV"/>
              </w:rPr>
            </w:pPr>
            <w:r w:rsidRPr="00647F74">
              <w:rPr>
                <w:color w:val="000000"/>
                <w:sz w:val="22"/>
                <w:szCs w:val="22"/>
                <w:lang w:eastAsia="lv-LV"/>
              </w:rPr>
              <w:t>-0,01</w:t>
            </w:r>
          </w:p>
        </w:tc>
        <w:tc>
          <w:tcPr>
            <w:tcW w:w="709" w:type="dxa"/>
            <w:shd w:val="clear" w:color="auto" w:fill="DBE5F1" w:themeFill="accent1" w:themeFillTint="33"/>
            <w:noWrap/>
            <w:vAlign w:val="center"/>
          </w:tcPr>
          <w:p w14:paraId="5A100D10" w14:textId="77777777" w:rsidR="00647F74" w:rsidRPr="00647F74" w:rsidRDefault="00647F74" w:rsidP="001135DE">
            <w:pPr>
              <w:spacing w:after="0"/>
              <w:ind w:firstLine="0"/>
              <w:jc w:val="center"/>
              <w:rPr>
                <w:color w:val="000000"/>
                <w:sz w:val="22"/>
                <w:szCs w:val="22"/>
                <w:lang w:eastAsia="lv-LV"/>
              </w:rPr>
            </w:pPr>
            <w:r w:rsidRPr="00647F74">
              <w:rPr>
                <w:color w:val="000000"/>
                <w:sz w:val="22"/>
                <w:szCs w:val="22"/>
                <w:lang w:eastAsia="lv-LV"/>
              </w:rPr>
              <w:t>0,01</w:t>
            </w:r>
          </w:p>
        </w:tc>
        <w:tc>
          <w:tcPr>
            <w:tcW w:w="814" w:type="dxa"/>
            <w:shd w:val="clear" w:color="auto" w:fill="DBE5F1" w:themeFill="accent1" w:themeFillTint="33"/>
            <w:noWrap/>
            <w:vAlign w:val="center"/>
          </w:tcPr>
          <w:p w14:paraId="34D1FCEC" w14:textId="77777777" w:rsidR="00647F74" w:rsidRPr="00647F74" w:rsidRDefault="00647F74" w:rsidP="001135DE">
            <w:pPr>
              <w:spacing w:after="0"/>
              <w:ind w:firstLine="0"/>
              <w:jc w:val="center"/>
              <w:rPr>
                <w:color w:val="000000"/>
                <w:sz w:val="22"/>
                <w:szCs w:val="22"/>
                <w:lang w:eastAsia="lv-LV"/>
              </w:rPr>
            </w:pPr>
            <w:r w:rsidRPr="00647F74">
              <w:rPr>
                <w:color w:val="000000"/>
                <w:sz w:val="22"/>
                <w:szCs w:val="22"/>
                <w:lang w:eastAsia="lv-LV"/>
              </w:rPr>
              <w:t>0,01</w:t>
            </w:r>
          </w:p>
        </w:tc>
      </w:tr>
      <w:tr w:rsidR="00647F74" w:rsidRPr="005B2F54" w14:paraId="2A7EF79B" w14:textId="77777777" w:rsidTr="001563FD">
        <w:trPr>
          <w:trHeight w:val="1320"/>
        </w:trPr>
        <w:tc>
          <w:tcPr>
            <w:tcW w:w="2729" w:type="dxa"/>
            <w:shd w:val="clear" w:color="auto" w:fill="auto"/>
            <w:vAlign w:val="center"/>
            <w:hideMark/>
          </w:tcPr>
          <w:p w14:paraId="288AA6C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Gadskārtējā valsts budžeta izpildes procesā pārdalāmais finansējums</w:t>
            </w:r>
          </w:p>
        </w:tc>
        <w:tc>
          <w:tcPr>
            <w:tcW w:w="5762" w:type="dxa"/>
            <w:shd w:val="clear" w:color="auto" w:fill="auto"/>
            <w:vAlign w:val="center"/>
            <w:hideMark/>
          </w:tcPr>
          <w:p w14:paraId="6A2C6A91"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Tehniskie precizējumi (t.sk. pārdalītais finansējums ES politiku instrumentu un pārējās ārvalstu finanšu palīdzības līdzfinansēto projektu un pasākumu īstenošanai)</w:t>
            </w:r>
          </w:p>
        </w:tc>
        <w:tc>
          <w:tcPr>
            <w:tcW w:w="1047" w:type="dxa"/>
            <w:shd w:val="clear" w:color="auto" w:fill="auto"/>
            <w:vAlign w:val="center"/>
            <w:hideMark/>
          </w:tcPr>
          <w:p w14:paraId="450133D0"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auto"/>
            <w:noWrap/>
            <w:vAlign w:val="center"/>
            <w:hideMark/>
          </w:tcPr>
          <w:p w14:paraId="5A2D850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1F5669C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51244B7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-0,28</w:t>
            </w:r>
          </w:p>
        </w:tc>
        <w:tc>
          <w:tcPr>
            <w:tcW w:w="709" w:type="dxa"/>
            <w:shd w:val="clear" w:color="auto" w:fill="auto"/>
            <w:noWrap/>
            <w:vAlign w:val="center"/>
            <w:hideMark/>
          </w:tcPr>
          <w:p w14:paraId="786FBDB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0,16</w:t>
            </w:r>
          </w:p>
        </w:tc>
        <w:tc>
          <w:tcPr>
            <w:tcW w:w="814" w:type="dxa"/>
            <w:shd w:val="clear" w:color="auto" w:fill="auto"/>
            <w:noWrap/>
            <w:vAlign w:val="center"/>
            <w:hideMark/>
          </w:tcPr>
          <w:p w14:paraId="71CEEDA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0,03</w:t>
            </w:r>
          </w:p>
        </w:tc>
      </w:tr>
      <w:tr w:rsidR="00647F74" w:rsidRPr="005B2F54" w14:paraId="3B349132" w14:textId="77777777" w:rsidTr="001563FD">
        <w:trPr>
          <w:trHeight w:val="945"/>
        </w:trPr>
        <w:tc>
          <w:tcPr>
            <w:tcW w:w="2729" w:type="dxa"/>
            <w:vMerge w:val="restart"/>
            <w:shd w:val="clear" w:color="auto" w:fill="DBE5F1" w:themeFill="accent1" w:themeFillTint="33"/>
            <w:vAlign w:val="center"/>
            <w:hideMark/>
          </w:tcPr>
          <w:p w14:paraId="63EDBF1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Labklājības ministrija</w:t>
            </w:r>
          </w:p>
        </w:tc>
        <w:tc>
          <w:tcPr>
            <w:tcW w:w="5762" w:type="dxa"/>
            <w:shd w:val="clear" w:color="auto" w:fill="DBE5F1" w:themeFill="accent1" w:themeFillTint="33"/>
            <w:vAlign w:val="center"/>
            <w:hideMark/>
          </w:tcPr>
          <w:p w14:paraId="32C99227" w14:textId="77777777" w:rsidR="00647F74" w:rsidRPr="00647F74" w:rsidRDefault="00647F74" w:rsidP="005137D2">
            <w:pPr>
              <w:spacing w:after="0"/>
              <w:ind w:firstLine="0"/>
              <w:rPr>
                <w:iCs/>
                <w:color w:val="000000"/>
                <w:sz w:val="22"/>
                <w:szCs w:val="22"/>
                <w:lang w:eastAsia="lv-LV"/>
              </w:rPr>
            </w:pPr>
            <w:r w:rsidRPr="00647F74">
              <w:rPr>
                <w:iCs/>
                <w:color w:val="000000"/>
                <w:sz w:val="22"/>
                <w:szCs w:val="22"/>
                <w:lang w:eastAsia="lv-LV"/>
              </w:rPr>
              <w:t>Palielināti izdevumi, lai nodrošinātu prioritārā pasākuma</w:t>
            </w:r>
            <w:r>
              <w:rPr>
                <w:iCs/>
                <w:color w:val="000000"/>
                <w:sz w:val="22"/>
                <w:szCs w:val="22"/>
                <w:lang w:eastAsia="lv-LV"/>
              </w:rPr>
              <w:t xml:space="preserve"> </w:t>
            </w:r>
            <w:r w:rsidRPr="00647F74">
              <w:rPr>
                <w:iCs/>
                <w:color w:val="000000"/>
                <w:sz w:val="22"/>
                <w:szCs w:val="22"/>
                <w:lang w:eastAsia="lv-LV"/>
              </w:rPr>
              <w:t>“Īpašas kopšanas pabalsta bērniem un pieaugušajiem ar invaliditāti kopš bērnības pilnveidošana” īstenošanu</w:t>
            </w:r>
          </w:p>
        </w:tc>
        <w:tc>
          <w:tcPr>
            <w:tcW w:w="1047" w:type="dxa"/>
            <w:shd w:val="clear" w:color="auto" w:fill="DBE5F1" w:themeFill="accent1" w:themeFillTint="33"/>
            <w:vAlign w:val="center"/>
            <w:hideMark/>
          </w:tcPr>
          <w:p w14:paraId="79F8BB1B"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DBE5F1" w:themeFill="accent1" w:themeFillTint="33"/>
            <w:noWrap/>
            <w:vAlign w:val="center"/>
            <w:hideMark/>
          </w:tcPr>
          <w:p w14:paraId="562EEBF3"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611EADE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710274F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064D55B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5FDCF875"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4AB59B71" w14:textId="77777777" w:rsidTr="001563FD">
        <w:trPr>
          <w:trHeight w:val="630"/>
        </w:trPr>
        <w:tc>
          <w:tcPr>
            <w:tcW w:w="2729" w:type="dxa"/>
            <w:vMerge/>
            <w:shd w:val="clear" w:color="auto" w:fill="DBE5F1" w:themeFill="accent1" w:themeFillTint="33"/>
            <w:vAlign w:val="center"/>
            <w:hideMark/>
          </w:tcPr>
          <w:p w14:paraId="6AB30C32"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71E7BC9E" w14:textId="77777777" w:rsidR="00647F74" w:rsidRPr="00647F74" w:rsidRDefault="00647F74" w:rsidP="005137D2">
            <w:pPr>
              <w:spacing w:after="0"/>
              <w:ind w:firstLine="0"/>
              <w:rPr>
                <w:iCs/>
                <w:color w:val="000000"/>
                <w:sz w:val="22"/>
                <w:szCs w:val="22"/>
                <w:lang w:eastAsia="lv-LV"/>
              </w:rPr>
            </w:pPr>
            <w:r w:rsidRPr="00647F74">
              <w:rPr>
                <w:iCs/>
                <w:color w:val="000000"/>
                <w:sz w:val="22"/>
                <w:szCs w:val="22"/>
                <w:lang w:eastAsia="lv-LV"/>
              </w:rPr>
              <w:t>Palielināti izdevumi, lai nodrošinātu prioritārā pasākuma</w:t>
            </w:r>
            <w:r>
              <w:rPr>
                <w:iCs/>
                <w:color w:val="000000"/>
                <w:sz w:val="22"/>
                <w:szCs w:val="22"/>
                <w:lang w:eastAsia="lv-LV"/>
              </w:rPr>
              <w:t xml:space="preserve"> </w:t>
            </w:r>
            <w:r w:rsidRPr="00647F74">
              <w:rPr>
                <w:iCs/>
                <w:color w:val="000000"/>
                <w:sz w:val="22"/>
                <w:szCs w:val="22"/>
                <w:lang w:eastAsia="lv-LV"/>
              </w:rPr>
              <w:t>“Ilgstošās sociālās aprūpes pakalpojuma kvalitātes uzlabošana” īstenošanu</w:t>
            </w:r>
          </w:p>
        </w:tc>
        <w:tc>
          <w:tcPr>
            <w:tcW w:w="1047" w:type="dxa"/>
            <w:shd w:val="clear" w:color="auto" w:fill="auto"/>
            <w:vAlign w:val="center"/>
            <w:hideMark/>
          </w:tcPr>
          <w:p w14:paraId="623BED29"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auto"/>
            <w:noWrap/>
            <w:vAlign w:val="center"/>
            <w:hideMark/>
          </w:tcPr>
          <w:p w14:paraId="3006302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78726ECE"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5911D3D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auto"/>
            <w:noWrap/>
            <w:vAlign w:val="center"/>
            <w:hideMark/>
          </w:tcPr>
          <w:p w14:paraId="1BF8B47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2F2F755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34EE554B" w14:textId="77777777" w:rsidTr="001563FD">
        <w:trPr>
          <w:trHeight w:val="315"/>
        </w:trPr>
        <w:tc>
          <w:tcPr>
            <w:tcW w:w="2729" w:type="dxa"/>
            <w:vMerge/>
            <w:shd w:val="clear" w:color="auto" w:fill="DBE5F1" w:themeFill="accent1" w:themeFillTint="33"/>
            <w:vAlign w:val="center"/>
            <w:hideMark/>
          </w:tcPr>
          <w:p w14:paraId="34191C29"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425A3021"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Izdevumu samazinājums maternitātes pabalstiem</w:t>
            </w:r>
          </w:p>
        </w:tc>
        <w:tc>
          <w:tcPr>
            <w:tcW w:w="1047" w:type="dxa"/>
            <w:shd w:val="clear" w:color="auto" w:fill="DBE5F1" w:themeFill="accent1" w:themeFillTint="33"/>
            <w:vAlign w:val="center"/>
            <w:hideMark/>
          </w:tcPr>
          <w:p w14:paraId="18F536A9"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DBE5F1" w:themeFill="accent1" w:themeFillTint="33"/>
            <w:noWrap/>
            <w:vAlign w:val="center"/>
            <w:hideMark/>
          </w:tcPr>
          <w:p w14:paraId="123EAE9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09BD7FE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45DF68C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26C26651"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0ADBFFB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361BE4EE" w14:textId="77777777" w:rsidTr="001563FD">
        <w:trPr>
          <w:trHeight w:val="315"/>
        </w:trPr>
        <w:tc>
          <w:tcPr>
            <w:tcW w:w="2729" w:type="dxa"/>
            <w:vMerge/>
            <w:shd w:val="clear" w:color="auto" w:fill="DBE5F1" w:themeFill="accent1" w:themeFillTint="33"/>
            <w:vAlign w:val="center"/>
            <w:hideMark/>
          </w:tcPr>
          <w:p w14:paraId="364AE61A"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726A54B3"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Izdevumu samazinājums slimības pabalstiem</w:t>
            </w:r>
          </w:p>
        </w:tc>
        <w:tc>
          <w:tcPr>
            <w:tcW w:w="1047" w:type="dxa"/>
            <w:shd w:val="clear" w:color="auto" w:fill="auto"/>
            <w:vAlign w:val="center"/>
            <w:hideMark/>
          </w:tcPr>
          <w:p w14:paraId="74404E63"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auto"/>
            <w:noWrap/>
            <w:vAlign w:val="center"/>
            <w:hideMark/>
          </w:tcPr>
          <w:p w14:paraId="620C137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0452AA0D"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72525996"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-0,06</w:t>
            </w:r>
          </w:p>
        </w:tc>
        <w:tc>
          <w:tcPr>
            <w:tcW w:w="709" w:type="dxa"/>
            <w:shd w:val="clear" w:color="auto" w:fill="auto"/>
            <w:noWrap/>
            <w:vAlign w:val="center"/>
            <w:hideMark/>
          </w:tcPr>
          <w:p w14:paraId="5C43B76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0,03</w:t>
            </w:r>
          </w:p>
        </w:tc>
        <w:tc>
          <w:tcPr>
            <w:tcW w:w="814" w:type="dxa"/>
            <w:shd w:val="clear" w:color="auto" w:fill="auto"/>
            <w:noWrap/>
            <w:vAlign w:val="center"/>
            <w:hideMark/>
          </w:tcPr>
          <w:p w14:paraId="2CE05B50"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15425C4B" w14:textId="77777777" w:rsidTr="001563FD">
        <w:trPr>
          <w:trHeight w:val="315"/>
        </w:trPr>
        <w:tc>
          <w:tcPr>
            <w:tcW w:w="2729" w:type="dxa"/>
            <w:vMerge/>
            <w:shd w:val="clear" w:color="auto" w:fill="DBE5F1" w:themeFill="accent1" w:themeFillTint="33"/>
            <w:vAlign w:val="center"/>
            <w:hideMark/>
          </w:tcPr>
          <w:p w14:paraId="672A4245"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5B3D39AA"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Izdevumu samazinājums vecāku pabalstiem</w:t>
            </w:r>
          </w:p>
        </w:tc>
        <w:tc>
          <w:tcPr>
            <w:tcW w:w="1047" w:type="dxa"/>
            <w:shd w:val="clear" w:color="auto" w:fill="DBE5F1" w:themeFill="accent1" w:themeFillTint="33"/>
            <w:vAlign w:val="center"/>
            <w:hideMark/>
          </w:tcPr>
          <w:p w14:paraId="56DA1E7A"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DBE5F1" w:themeFill="accent1" w:themeFillTint="33"/>
            <w:noWrap/>
            <w:vAlign w:val="center"/>
            <w:hideMark/>
          </w:tcPr>
          <w:p w14:paraId="08D0017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2ED60A14"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644D69CB"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08E08A5C"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29289755"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06B7F551" w14:textId="77777777" w:rsidTr="001563FD">
        <w:trPr>
          <w:trHeight w:val="315"/>
        </w:trPr>
        <w:tc>
          <w:tcPr>
            <w:tcW w:w="2729" w:type="dxa"/>
            <w:vMerge/>
            <w:shd w:val="clear" w:color="auto" w:fill="DBE5F1" w:themeFill="accent1" w:themeFillTint="33"/>
            <w:vAlign w:val="center"/>
            <w:hideMark/>
          </w:tcPr>
          <w:p w14:paraId="2DDB5681"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5292619D"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Izdevumu samazinājums vecuma pensijām</w:t>
            </w:r>
          </w:p>
        </w:tc>
        <w:tc>
          <w:tcPr>
            <w:tcW w:w="1047" w:type="dxa"/>
            <w:shd w:val="clear" w:color="auto" w:fill="auto"/>
            <w:vAlign w:val="center"/>
            <w:hideMark/>
          </w:tcPr>
          <w:p w14:paraId="54B79A34" w14:textId="77777777" w:rsidR="00647F74" w:rsidRPr="005B2F54" w:rsidRDefault="00647F74" w:rsidP="001135DE">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auto"/>
            <w:noWrap/>
            <w:vAlign w:val="center"/>
            <w:hideMark/>
          </w:tcPr>
          <w:p w14:paraId="22A39263"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78339D1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6F1EF70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-0,07</w:t>
            </w:r>
          </w:p>
        </w:tc>
        <w:tc>
          <w:tcPr>
            <w:tcW w:w="709" w:type="dxa"/>
            <w:shd w:val="clear" w:color="auto" w:fill="auto"/>
            <w:noWrap/>
            <w:vAlign w:val="center"/>
            <w:hideMark/>
          </w:tcPr>
          <w:p w14:paraId="11F8199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0,05</w:t>
            </w:r>
          </w:p>
        </w:tc>
        <w:tc>
          <w:tcPr>
            <w:tcW w:w="814" w:type="dxa"/>
            <w:shd w:val="clear" w:color="auto" w:fill="auto"/>
            <w:noWrap/>
            <w:vAlign w:val="center"/>
            <w:hideMark/>
          </w:tcPr>
          <w:p w14:paraId="75F9AEE8"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5209C5CC" w14:textId="77777777" w:rsidTr="001563FD">
        <w:trPr>
          <w:trHeight w:val="630"/>
        </w:trPr>
        <w:tc>
          <w:tcPr>
            <w:tcW w:w="2729" w:type="dxa"/>
            <w:vMerge/>
            <w:shd w:val="clear" w:color="auto" w:fill="DBE5F1" w:themeFill="accent1" w:themeFillTint="33"/>
            <w:vAlign w:val="center"/>
            <w:hideMark/>
          </w:tcPr>
          <w:p w14:paraId="5A4AE1CA"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05C4F986" w14:textId="77777777" w:rsidR="00647F74" w:rsidRPr="00647F74" w:rsidRDefault="00647F74" w:rsidP="00647F74">
            <w:pPr>
              <w:spacing w:after="0"/>
              <w:ind w:firstLine="0"/>
              <w:rPr>
                <w:iCs/>
                <w:color w:val="000000"/>
                <w:sz w:val="22"/>
                <w:szCs w:val="22"/>
                <w:lang w:eastAsia="lv-LV"/>
              </w:rPr>
            </w:pPr>
            <w:r w:rsidRPr="00647F74">
              <w:rPr>
                <w:iCs/>
                <w:color w:val="000000"/>
                <w:sz w:val="22"/>
                <w:szCs w:val="22"/>
                <w:lang w:eastAsia="lv-LV"/>
              </w:rPr>
              <w:t>Tehniskie precizējumi (t.sk. palielināti izdevumi ERAF īstenotajiem projektiem labklājības nozarē)</w:t>
            </w:r>
          </w:p>
        </w:tc>
        <w:tc>
          <w:tcPr>
            <w:tcW w:w="1047" w:type="dxa"/>
            <w:shd w:val="clear" w:color="auto" w:fill="DBE5F1" w:themeFill="accent1" w:themeFillTint="33"/>
            <w:vAlign w:val="center"/>
            <w:hideMark/>
          </w:tcPr>
          <w:p w14:paraId="70A535CF" w14:textId="77777777" w:rsidR="00647F74" w:rsidRPr="005B2F54" w:rsidRDefault="00647F74" w:rsidP="001135DE">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0D0E45E1"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DBE5F1" w:themeFill="accent1" w:themeFillTint="33"/>
            <w:noWrap/>
            <w:vAlign w:val="center"/>
            <w:hideMark/>
          </w:tcPr>
          <w:p w14:paraId="779B8FFE"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DBE5F1" w:themeFill="accent1" w:themeFillTint="33"/>
            <w:noWrap/>
            <w:vAlign w:val="center"/>
            <w:hideMark/>
          </w:tcPr>
          <w:p w14:paraId="25EFF983"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0243E259"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014F15F3"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4053A184" w14:textId="77777777" w:rsidTr="001563FD">
        <w:trPr>
          <w:trHeight w:val="315"/>
        </w:trPr>
        <w:tc>
          <w:tcPr>
            <w:tcW w:w="2729" w:type="dxa"/>
            <w:shd w:val="clear" w:color="auto" w:fill="auto"/>
            <w:vAlign w:val="center"/>
            <w:hideMark/>
          </w:tcPr>
          <w:p w14:paraId="5BF60EA0" w14:textId="77777777" w:rsidR="00647F74" w:rsidRPr="005B2F54" w:rsidRDefault="00647F74" w:rsidP="001135DE">
            <w:pPr>
              <w:spacing w:after="0"/>
              <w:ind w:firstLine="0"/>
              <w:jc w:val="center"/>
              <w:rPr>
                <w:color w:val="000000"/>
                <w:sz w:val="22"/>
                <w:szCs w:val="22"/>
                <w:lang w:eastAsia="lv-LV"/>
              </w:rPr>
            </w:pPr>
          </w:p>
        </w:tc>
        <w:tc>
          <w:tcPr>
            <w:tcW w:w="5762" w:type="dxa"/>
            <w:shd w:val="clear" w:color="auto" w:fill="auto"/>
            <w:vAlign w:val="center"/>
            <w:hideMark/>
          </w:tcPr>
          <w:p w14:paraId="099BEFF6" w14:textId="77777777" w:rsidR="00647F74" w:rsidRPr="00647F74" w:rsidRDefault="00647F74" w:rsidP="00647F74">
            <w:pPr>
              <w:spacing w:after="0"/>
              <w:ind w:firstLine="0"/>
              <w:rPr>
                <w:color w:val="000000"/>
                <w:sz w:val="22"/>
                <w:szCs w:val="22"/>
                <w:lang w:eastAsia="lv-LV"/>
              </w:rPr>
            </w:pPr>
            <w:r w:rsidRPr="00647F74">
              <w:rPr>
                <w:color w:val="000000"/>
                <w:sz w:val="22"/>
                <w:szCs w:val="22"/>
                <w:lang w:eastAsia="lv-LV"/>
              </w:rPr>
              <w:t>Citi MK lēmumi</w:t>
            </w:r>
          </w:p>
        </w:tc>
        <w:tc>
          <w:tcPr>
            <w:tcW w:w="1047" w:type="dxa"/>
            <w:shd w:val="clear" w:color="auto" w:fill="auto"/>
            <w:vAlign w:val="center"/>
            <w:hideMark/>
          </w:tcPr>
          <w:p w14:paraId="3E51700F" w14:textId="77777777" w:rsidR="00647F74" w:rsidRPr="005B2F54" w:rsidRDefault="00647F74" w:rsidP="001135DE">
            <w:pPr>
              <w:spacing w:after="0"/>
              <w:ind w:firstLine="0"/>
              <w:jc w:val="center"/>
              <w:rPr>
                <w:color w:val="000000"/>
                <w:sz w:val="22"/>
                <w:szCs w:val="22"/>
                <w:lang w:eastAsia="lv-LV"/>
              </w:rPr>
            </w:pPr>
          </w:p>
        </w:tc>
        <w:tc>
          <w:tcPr>
            <w:tcW w:w="1430" w:type="dxa"/>
            <w:shd w:val="clear" w:color="auto" w:fill="auto"/>
            <w:noWrap/>
            <w:vAlign w:val="center"/>
            <w:hideMark/>
          </w:tcPr>
          <w:p w14:paraId="5544B20F" w14:textId="77777777" w:rsidR="00647F74" w:rsidRPr="005B2F54" w:rsidRDefault="00647F74" w:rsidP="001135DE">
            <w:pPr>
              <w:spacing w:after="0"/>
              <w:ind w:firstLine="0"/>
              <w:jc w:val="center"/>
              <w:rPr>
                <w:color w:val="000000"/>
                <w:sz w:val="22"/>
                <w:szCs w:val="22"/>
                <w:lang w:eastAsia="lv-LV"/>
              </w:rPr>
            </w:pPr>
          </w:p>
        </w:tc>
        <w:tc>
          <w:tcPr>
            <w:tcW w:w="1501" w:type="dxa"/>
            <w:shd w:val="clear" w:color="auto" w:fill="auto"/>
            <w:noWrap/>
            <w:vAlign w:val="center"/>
            <w:hideMark/>
          </w:tcPr>
          <w:p w14:paraId="476FD5A5" w14:textId="77777777" w:rsidR="00647F74" w:rsidRPr="005B2F54" w:rsidRDefault="00647F74" w:rsidP="001135DE">
            <w:pPr>
              <w:spacing w:after="0"/>
              <w:ind w:firstLine="0"/>
              <w:jc w:val="center"/>
              <w:rPr>
                <w:color w:val="000000"/>
                <w:sz w:val="22"/>
                <w:szCs w:val="22"/>
                <w:lang w:eastAsia="lv-LV"/>
              </w:rPr>
            </w:pPr>
          </w:p>
        </w:tc>
        <w:tc>
          <w:tcPr>
            <w:tcW w:w="709" w:type="dxa"/>
            <w:shd w:val="clear" w:color="auto" w:fill="auto"/>
            <w:noWrap/>
            <w:vAlign w:val="center"/>
            <w:hideMark/>
          </w:tcPr>
          <w:p w14:paraId="2863FFDF"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0,06</w:t>
            </w:r>
          </w:p>
        </w:tc>
        <w:tc>
          <w:tcPr>
            <w:tcW w:w="709" w:type="dxa"/>
            <w:shd w:val="clear" w:color="auto" w:fill="auto"/>
            <w:noWrap/>
            <w:vAlign w:val="center"/>
            <w:hideMark/>
          </w:tcPr>
          <w:p w14:paraId="1F5BDB31"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-0,02</w:t>
            </w:r>
          </w:p>
        </w:tc>
        <w:tc>
          <w:tcPr>
            <w:tcW w:w="814" w:type="dxa"/>
            <w:shd w:val="clear" w:color="auto" w:fill="auto"/>
            <w:noWrap/>
            <w:vAlign w:val="center"/>
            <w:hideMark/>
          </w:tcPr>
          <w:p w14:paraId="21F49DBA"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5EC9F53D" w14:textId="77777777" w:rsidTr="00423C48">
        <w:trPr>
          <w:trHeight w:val="315"/>
        </w:trPr>
        <w:tc>
          <w:tcPr>
            <w:tcW w:w="2729" w:type="dxa"/>
            <w:tcBorders>
              <w:bottom w:val="single" w:sz="4" w:space="0" w:color="548DD4" w:themeColor="text2" w:themeTint="99"/>
            </w:tcBorders>
            <w:shd w:val="clear" w:color="auto" w:fill="DBE5F1" w:themeFill="accent1" w:themeFillTint="33"/>
            <w:vAlign w:val="center"/>
            <w:hideMark/>
          </w:tcPr>
          <w:p w14:paraId="63682097" w14:textId="77777777" w:rsidR="00647F74" w:rsidRPr="005B2F54" w:rsidRDefault="00647F74" w:rsidP="001135DE">
            <w:pPr>
              <w:spacing w:after="0"/>
              <w:ind w:firstLine="0"/>
              <w:jc w:val="center"/>
              <w:rPr>
                <w:color w:val="000000"/>
                <w:sz w:val="22"/>
                <w:szCs w:val="22"/>
                <w:lang w:eastAsia="lv-LV"/>
              </w:rPr>
            </w:pPr>
          </w:p>
        </w:tc>
        <w:tc>
          <w:tcPr>
            <w:tcW w:w="5762" w:type="dxa"/>
            <w:tcBorders>
              <w:bottom w:val="single" w:sz="4" w:space="0" w:color="548DD4" w:themeColor="text2" w:themeTint="99"/>
            </w:tcBorders>
            <w:shd w:val="clear" w:color="auto" w:fill="DBE5F1" w:themeFill="accent1" w:themeFillTint="33"/>
            <w:vAlign w:val="center"/>
            <w:hideMark/>
          </w:tcPr>
          <w:p w14:paraId="2CB72051" w14:textId="77777777" w:rsidR="00647F74" w:rsidRPr="00647F74" w:rsidRDefault="00647F74" w:rsidP="00647F74">
            <w:pPr>
              <w:spacing w:after="0"/>
              <w:ind w:firstLine="0"/>
              <w:rPr>
                <w:color w:val="000000"/>
                <w:sz w:val="22"/>
                <w:szCs w:val="22"/>
                <w:lang w:eastAsia="lv-LV"/>
              </w:rPr>
            </w:pPr>
            <w:r w:rsidRPr="00647F74">
              <w:rPr>
                <w:color w:val="000000"/>
                <w:sz w:val="22"/>
                <w:szCs w:val="22"/>
                <w:lang w:eastAsia="lv-LV"/>
              </w:rPr>
              <w:t>Citi tehniskie precizējumi</w:t>
            </w:r>
          </w:p>
        </w:tc>
        <w:tc>
          <w:tcPr>
            <w:tcW w:w="1047" w:type="dxa"/>
            <w:tcBorders>
              <w:bottom w:val="single" w:sz="4" w:space="0" w:color="548DD4" w:themeColor="text2" w:themeTint="99"/>
            </w:tcBorders>
            <w:shd w:val="clear" w:color="auto" w:fill="DBE5F1" w:themeFill="accent1" w:themeFillTint="33"/>
            <w:vAlign w:val="center"/>
            <w:hideMark/>
          </w:tcPr>
          <w:p w14:paraId="085F86A4" w14:textId="77777777" w:rsidR="00647F74" w:rsidRPr="005B2F54" w:rsidRDefault="00647F74" w:rsidP="001135DE">
            <w:pPr>
              <w:spacing w:after="0"/>
              <w:ind w:firstLine="0"/>
              <w:jc w:val="center"/>
              <w:rPr>
                <w:color w:val="000000"/>
                <w:sz w:val="22"/>
                <w:szCs w:val="22"/>
                <w:lang w:eastAsia="lv-LV"/>
              </w:rPr>
            </w:pPr>
          </w:p>
        </w:tc>
        <w:tc>
          <w:tcPr>
            <w:tcW w:w="1430" w:type="dxa"/>
            <w:tcBorders>
              <w:bottom w:val="single" w:sz="4" w:space="0" w:color="548DD4" w:themeColor="text2" w:themeTint="99"/>
            </w:tcBorders>
            <w:shd w:val="clear" w:color="auto" w:fill="DBE5F1" w:themeFill="accent1" w:themeFillTint="33"/>
            <w:noWrap/>
            <w:vAlign w:val="center"/>
            <w:hideMark/>
          </w:tcPr>
          <w:p w14:paraId="53BCF26E" w14:textId="77777777" w:rsidR="00647F74" w:rsidRPr="005B2F54" w:rsidRDefault="00647F74" w:rsidP="001135DE">
            <w:pPr>
              <w:spacing w:after="0"/>
              <w:ind w:firstLine="0"/>
              <w:jc w:val="center"/>
              <w:rPr>
                <w:color w:val="000000"/>
                <w:sz w:val="22"/>
                <w:szCs w:val="22"/>
                <w:lang w:eastAsia="lv-LV"/>
              </w:rPr>
            </w:pPr>
          </w:p>
        </w:tc>
        <w:tc>
          <w:tcPr>
            <w:tcW w:w="1501" w:type="dxa"/>
            <w:tcBorders>
              <w:bottom w:val="single" w:sz="4" w:space="0" w:color="548DD4" w:themeColor="text2" w:themeTint="99"/>
            </w:tcBorders>
            <w:shd w:val="clear" w:color="auto" w:fill="DBE5F1" w:themeFill="accent1" w:themeFillTint="33"/>
            <w:noWrap/>
            <w:vAlign w:val="center"/>
            <w:hideMark/>
          </w:tcPr>
          <w:p w14:paraId="12AD504A" w14:textId="77777777" w:rsidR="00647F74" w:rsidRPr="005B2F54" w:rsidRDefault="00647F74" w:rsidP="001135DE">
            <w:pPr>
              <w:spacing w:after="0"/>
              <w:ind w:firstLine="0"/>
              <w:jc w:val="center"/>
              <w:rPr>
                <w:color w:val="000000"/>
                <w:sz w:val="22"/>
                <w:szCs w:val="22"/>
                <w:lang w:eastAsia="lv-LV"/>
              </w:rPr>
            </w:pPr>
          </w:p>
        </w:tc>
        <w:tc>
          <w:tcPr>
            <w:tcW w:w="709" w:type="dxa"/>
            <w:tcBorders>
              <w:bottom w:val="single" w:sz="4" w:space="0" w:color="548DD4" w:themeColor="text2" w:themeTint="99"/>
            </w:tcBorders>
            <w:shd w:val="clear" w:color="auto" w:fill="DBE5F1" w:themeFill="accent1" w:themeFillTint="33"/>
            <w:noWrap/>
            <w:vAlign w:val="center"/>
            <w:hideMark/>
          </w:tcPr>
          <w:p w14:paraId="1DEDD0B2"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0,01</w:t>
            </w:r>
          </w:p>
        </w:tc>
        <w:tc>
          <w:tcPr>
            <w:tcW w:w="709" w:type="dxa"/>
            <w:tcBorders>
              <w:bottom w:val="single" w:sz="4" w:space="0" w:color="548DD4" w:themeColor="text2" w:themeTint="99"/>
            </w:tcBorders>
            <w:shd w:val="clear" w:color="auto" w:fill="DBE5F1" w:themeFill="accent1" w:themeFillTint="33"/>
            <w:noWrap/>
            <w:vAlign w:val="center"/>
            <w:hideMark/>
          </w:tcPr>
          <w:p w14:paraId="476BFDC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c>
          <w:tcPr>
            <w:tcW w:w="814" w:type="dxa"/>
            <w:tcBorders>
              <w:bottom w:val="single" w:sz="4" w:space="0" w:color="548DD4" w:themeColor="text2" w:themeTint="99"/>
            </w:tcBorders>
            <w:shd w:val="clear" w:color="auto" w:fill="DBE5F1" w:themeFill="accent1" w:themeFillTint="33"/>
            <w:noWrap/>
            <w:vAlign w:val="center"/>
            <w:hideMark/>
          </w:tcPr>
          <w:p w14:paraId="14F38F37" w14:textId="77777777" w:rsidR="00647F74" w:rsidRPr="005B2F54" w:rsidRDefault="00647F74" w:rsidP="001135DE">
            <w:pPr>
              <w:spacing w:after="0"/>
              <w:ind w:firstLine="0"/>
              <w:jc w:val="center"/>
              <w:rPr>
                <w:color w:val="000000"/>
                <w:sz w:val="22"/>
                <w:szCs w:val="22"/>
                <w:lang w:eastAsia="lv-LV"/>
              </w:rPr>
            </w:pPr>
            <w:r w:rsidRPr="005B2F54">
              <w:rPr>
                <w:color w:val="000000"/>
                <w:sz w:val="22"/>
                <w:szCs w:val="22"/>
                <w:lang w:eastAsia="lv-LV"/>
              </w:rPr>
              <w:t>0,00</w:t>
            </w:r>
          </w:p>
        </w:tc>
      </w:tr>
      <w:tr w:rsidR="00647F74" w:rsidRPr="005B2F54" w14:paraId="380AEC5D" w14:textId="77777777" w:rsidTr="00423C48">
        <w:trPr>
          <w:trHeight w:val="315"/>
        </w:trPr>
        <w:tc>
          <w:tcPr>
            <w:tcW w:w="12469"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4D21136" w14:textId="77777777" w:rsidR="00647F74" w:rsidRPr="00647F74" w:rsidRDefault="00647F74" w:rsidP="00647F74">
            <w:pPr>
              <w:spacing w:after="0"/>
              <w:ind w:firstLine="0"/>
              <w:rPr>
                <w:b/>
                <w:bCs/>
                <w:color w:val="000000"/>
                <w:sz w:val="22"/>
                <w:szCs w:val="22"/>
                <w:lang w:eastAsia="lv-LV"/>
              </w:rPr>
            </w:pPr>
            <w:r w:rsidRPr="00647F74">
              <w:rPr>
                <w:b/>
                <w:bCs/>
                <w:color w:val="000000"/>
                <w:sz w:val="22"/>
                <w:szCs w:val="22"/>
                <w:lang w:eastAsia="lv-LV"/>
              </w:rPr>
              <w:t>Kopā</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09EAF540" w14:textId="77777777" w:rsidR="00647F74" w:rsidRPr="00647F74" w:rsidRDefault="00647F74" w:rsidP="001135DE">
            <w:pPr>
              <w:spacing w:after="0"/>
              <w:ind w:firstLine="0"/>
              <w:jc w:val="center"/>
              <w:rPr>
                <w:b/>
                <w:bCs/>
                <w:color w:val="000000"/>
                <w:sz w:val="22"/>
                <w:szCs w:val="22"/>
                <w:lang w:eastAsia="lv-LV"/>
              </w:rPr>
            </w:pPr>
            <w:r w:rsidRPr="00647F74">
              <w:rPr>
                <w:b/>
                <w:bCs/>
                <w:color w:val="000000"/>
                <w:sz w:val="22"/>
                <w:szCs w:val="22"/>
              </w:rPr>
              <w:t>0,63</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15CF474F" w14:textId="77777777" w:rsidR="00647F74" w:rsidRPr="00647F74" w:rsidRDefault="00647F74" w:rsidP="001135DE">
            <w:pPr>
              <w:spacing w:after="0"/>
              <w:ind w:firstLine="0"/>
              <w:jc w:val="center"/>
              <w:rPr>
                <w:b/>
                <w:bCs/>
                <w:color w:val="000000"/>
                <w:sz w:val="22"/>
                <w:szCs w:val="22"/>
                <w:lang w:eastAsia="lv-LV"/>
              </w:rPr>
            </w:pPr>
            <w:r w:rsidRPr="00647F74">
              <w:rPr>
                <w:b/>
                <w:bCs/>
                <w:color w:val="000000"/>
                <w:sz w:val="22"/>
                <w:szCs w:val="22"/>
              </w:rPr>
              <w:t>-0,23</w:t>
            </w:r>
          </w:p>
        </w:tc>
        <w:tc>
          <w:tcPr>
            <w:tcW w:w="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4BEF57DF" w14:textId="77777777" w:rsidR="00647F74" w:rsidRPr="00647F74" w:rsidRDefault="00647F74" w:rsidP="001135DE">
            <w:pPr>
              <w:spacing w:after="0"/>
              <w:ind w:firstLine="0"/>
              <w:jc w:val="center"/>
              <w:rPr>
                <w:b/>
                <w:bCs/>
                <w:color w:val="000000"/>
                <w:sz w:val="22"/>
                <w:szCs w:val="22"/>
                <w:lang w:eastAsia="lv-LV"/>
              </w:rPr>
            </w:pPr>
            <w:r w:rsidRPr="00647F74">
              <w:rPr>
                <w:b/>
                <w:bCs/>
                <w:color w:val="000000"/>
                <w:sz w:val="22"/>
                <w:szCs w:val="22"/>
              </w:rPr>
              <w:t>0,13</w:t>
            </w:r>
          </w:p>
        </w:tc>
      </w:tr>
      <w:tr w:rsidR="00647F74" w:rsidRPr="005B2F54" w14:paraId="656EAE86" w14:textId="77777777" w:rsidTr="00423C48">
        <w:trPr>
          <w:trHeight w:val="300"/>
        </w:trPr>
        <w:tc>
          <w:tcPr>
            <w:tcW w:w="9538" w:type="dxa"/>
            <w:gridSpan w:val="3"/>
            <w:tcBorders>
              <w:top w:val="single" w:sz="4" w:space="0" w:color="548DD4" w:themeColor="text2" w:themeTint="99"/>
              <w:left w:val="nil"/>
              <w:bottom w:val="nil"/>
              <w:right w:val="nil"/>
            </w:tcBorders>
            <w:shd w:val="clear" w:color="auto" w:fill="auto"/>
            <w:noWrap/>
            <w:vAlign w:val="center"/>
            <w:hideMark/>
          </w:tcPr>
          <w:p w14:paraId="161A8A46" w14:textId="77777777" w:rsidR="00647F74" w:rsidRPr="00647F74" w:rsidRDefault="00647F74" w:rsidP="00647F74">
            <w:pPr>
              <w:spacing w:after="0"/>
              <w:ind w:firstLine="0"/>
              <w:rPr>
                <w:color w:val="000000"/>
                <w:sz w:val="22"/>
                <w:szCs w:val="22"/>
                <w:lang w:eastAsia="lv-LV"/>
              </w:rPr>
            </w:pPr>
            <w:r w:rsidRPr="005137D2">
              <w:rPr>
                <w:color w:val="000000"/>
                <w:sz w:val="20"/>
                <w:szCs w:val="22"/>
                <w:lang w:eastAsia="lv-LV"/>
              </w:rPr>
              <w:t>*Finansējuma pārdales (t.sk., ES fondu īstenošanai, ieņēmumu no maksas pakalpojumiem un citu pašu ieņēmumiem)</w:t>
            </w:r>
          </w:p>
        </w:tc>
        <w:tc>
          <w:tcPr>
            <w:tcW w:w="1430" w:type="dxa"/>
            <w:tcBorders>
              <w:top w:val="single" w:sz="4" w:space="0" w:color="548DD4" w:themeColor="text2" w:themeTint="99"/>
              <w:left w:val="nil"/>
              <w:bottom w:val="nil"/>
              <w:right w:val="nil"/>
            </w:tcBorders>
            <w:shd w:val="clear" w:color="auto" w:fill="auto"/>
            <w:noWrap/>
            <w:vAlign w:val="center"/>
            <w:hideMark/>
          </w:tcPr>
          <w:p w14:paraId="4CBC3CB8" w14:textId="33DF1597" w:rsidR="00F866B5" w:rsidRPr="005B2F54" w:rsidRDefault="00F866B5" w:rsidP="00F866B5">
            <w:pPr>
              <w:spacing w:after="0"/>
              <w:ind w:firstLine="0"/>
              <w:rPr>
                <w:color w:val="000000"/>
                <w:sz w:val="22"/>
                <w:szCs w:val="22"/>
                <w:lang w:eastAsia="lv-LV"/>
              </w:rPr>
            </w:pPr>
          </w:p>
        </w:tc>
        <w:tc>
          <w:tcPr>
            <w:tcW w:w="1501" w:type="dxa"/>
            <w:tcBorders>
              <w:top w:val="single" w:sz="4" w:space="0" w:color="548DD4" w:themeColor="text2" w:themeTint="99"/>
              <w:left w:val="nil"/>
              <w:bottom w:val="nil"/>
              <w:right w:val="nil"/>
            </w:tcBorders>
            <w:shd w:val="clear" w:color="auto" w:fill="auto"/>
            <w:noWrap/>
            <w:vAlign w:val="center"/>
            <w:hideMark/>
          </w:tcPr>
          <w:p w14:paraId="6C72444B" w14:textId="77777777" w:rsidR="00647F74" w:rsidRPr="005B2F54" w:rsidRDefault="00647F74" w:rsidP="001135DE">
            <w:pPr>
              <w:spacing w:after="0"/>
              <w:ind w:firstLine="0"/>
              <w:jc w:val="center"/>
              <w:rPr>
                <w:sz w:val="22"/>
                <w:szCs w:val="22"/>
                <w:lang w:eastAsia="lv-LV"/>
              </w:rPr>
            </w:pPr>
          </w:p>
        </w:tc>
        <w:tc>
          <w:tcPr>
            <w:tcW w:w="709" w:type="dxa"/>
            <w:tcBorders>
              <w:top w:val="single" w:sz="4" w:space="0" w:color="548DD4" w:themeColor="text2" w:themeTint="99"/>
              <w:left w:val="nil"/>
              <w:bottom w:val="nil"/>
              <w:right w:val="nil"/>
            </w:tcBorders>
            <w:shd w:val="clear" w:color="auto" w:fill="auto"/>
            <w:noWrap/>
            <w:vAlign w:val="center"/>
            <w:hideMark/>
          </w:tcPr>
          <w:p w14:paraId="76B2EF33" w14:textId="77777777" w:rsidR="00647F74" w:rsidRPr="005B2F54" w:rsidRDefault="00647F74" w:rsidP="001135DE">
            <w:pPr>
              <w:spacing w:after="0"/>
              <w:ind w:firstLine="0"/>
              <w:jc w:val="center"/>
              <w:rPr>
                <w:sz w:val="22"/>
                <w:szCs w:val="22"/>
                <w:lang w:eastAsia="lv-LV"/>
              </w:rPr>
            </w:pPr>
          </w:p>
        </w:tc>
        <w:tc>
          <w:tcPr>
            <w:tcW w:w="709" w:type="dxa"/>
            <w:tcBorders>
              <w:top w:val="single" w:sz="4" w:space="0" w:color="548DD4" w:themeColor="text2" w:themeTint="99"/>
              <w:left w:val="nil"/>
              <w:bottom w:val="nil"/>
              <w:right w:val="nil"/>
            </w:tcBorders>
            <w:shd w:val="clear" w:color="auto" w:fill="auto"/>
            <w:noWrap/>
            <w:vAlign w:val="center"/>
            <w:hideMark/>
          </w:tcPr>
          <w:p w14:paraId="498F5E67" w14:textId="77777777" w:rsidR="00647F74" w:rsidRPr="005B2F54" w:rsidRDefault="00647F74" w:rsidP="001135DE">
            <w:pPr>
              <w:spacing w:after="0"/>
              <w:ind w:firstLine="0"/>
              <w:jc w:val="center"/>
              <w:rPr>
                <w:sz w:val="22"/>
                <w:szCs w:val="22"/>
                <w:lang w:eastAsia="lv-LV"/>
              </w:rPr>
            </w:pPr>
          </w:p>
        </w:tc>
        <w:tc>
          <w:tcPr>
            <w:tcW w:w="814" w:type="dxa"/>
            <w:tcBorders>
              <w:top w:val="single" w:sz="4" w:space="0" w:color="548DD4" w:themeColor="text2" w:themeTint="99"/>
              <w:left w:val="nil"/>
              <w:bottom w:val="nil"/>
              <w:right w:val="nil"/>
            </w:tcBorders>
            <w:shd w:val="clear" w:color="auto" w:fill="auto"/>
            <w:noWrap/>
            <w:vAlign w:val="center"/>
            <w:hideMark/>
          </w:tcPr>
          <w:p w14:paraId="1C257E65" w14:textId="77777777" w:rsidR="00647F74" w:rsidRPr="005B2F54" w:rsidRDefault="00647F74" w:rsidP="001135DE">
            <w:pPr>
              <w:spacing w:after="0"/>
              <w:ind w:firstLine="0"/>
              <w:jc w:val="center"/>
              <w:rPr>
                <w:sz w:val="22"/>
                <w:szCs w:val="22"/>
                <w:lang w:eastAsia="lv-LV"/>
              </w:rPr>
            </w:pPr>
          </w:p>
        </w:tc>
      </w:tr>
    </w:tbl>
    <w:p w14:paraId="7AAA0E54" w14:textId="010128AA" w:rsidR="00006BD6" w:rsidRDefault="00F900B2" w:rsidP="00006BD6">
      <w:pPr>
        <w:pStyle w:val="Heading1"/>
        <w:tabs>
          <w:tab w:val="left" w:pos="1276"/>
        </w:tabs>
        <w:spacing w:before="0" w:after="240"/>
        <w:ind w:left="1276" w:hanging="1276"/>
        <w:jc w:val="left"/>
        <w:rPr>
          <w:rFonts w:ascii="Times New Roman" w:hAnsi="Times New Roman"/>
          <w:color w:val="18185F"/>
          <w:sz w:val="24"/>
          <w:lang w:val="lv-LV"/>
        </w:rPr>
      </w:pPr>
      <w:bookmarkStart w:id="27" w:name="_Toc494786355"/>
      <w:bookmarkStart w:id="28" w:name="_Toc1374673"/>
      <w:r>
        <w:rPr>
          <w:rFonts w:ascii="Times New Roman" w:hAnsi="Times New Roman"/>
          <w:color w:val="18185F"/>
          <w:sz w:val="24"/>
          <w:lang w:val="lv-LV"/>
        </w:rPr>
        <w:lastRenderedPageBreak/>
        <w:t>Tabula</w:t>
      </w:r>
      <w:r w:rsidRPr="00DC2914">
        <w:rPr>
          <w:rFonts w:ascii="Times New Roman" w:hAnsi="Times New Roman"/>
          <w:color w:val="18185F"/>
          <w:sz w:val="24"/>
        </w:rPr>
        <w:t xml:space="preserve"> </w:t>
      </w:r>
      <w:r w:rsidR="00006BD6" w:rsidRPr="00DC2914">
        <w:rPr>
          <w:rFonts w:ascii="Times New Roman" w:hAnsi="Times New Roman"/>
          <w:color w:val="18185F"/>
          <w:sz w:val="24"/>
        </w:rPr>
        <w:t>5.b</w:t>
      </w:r>
      <w:r w:rsidR="005B2F54">
        <w:rPr>
          <w:rFonts w:ascii="Times New Roman" w:hAnsi="Times New Roman"/>
          <w:color w:val="18185F"/>
          <w:sz w:val="24"/>
          <w:lang w:val="lv-LV"/>
        </w:rPr>
        <w:t>.i)</w:t>
      </w:r>
      <w:r w:rsidR="00006BD6" w:rsidRPr="00DC2914">
        <w:rPr>
          <w:rFonts w:ascii="Times New Roman" w:hAnsi="Times New Roman"/>
          <w:color w:val="18185F"/>
          <w:sz w:val="24"/>
        </w:rPr>
        <w:t>:</w:t>
      </w:r>
      <w:r w:rsidR="00006BD6">
        <w:rPr>
          <w:rFonts w:ascii="Times New Roman" w:hAnsi="Times New Roman"/>
          <w:color w:val="18185F"/>
          <w:sz w:val="24"/>
        </w:rPr>
        <w:t xml:space="preserve"> </w:t>
      </w:r>
      <w:r w:rsidR="00006BD6" w:rsidRPr="00DC2914">
        <w:rPr>
          <w:rFonts w:ascii="Times New Roman" w:hAnsi="Times New Roman"/>
          <w:color w:val="18185F"/>
          <w:sz w:val="24"/>
        </w:rPr>
        <w:t>Diskrecionārie</w:t>
      </w:r>
      <w:r w:rsidR="00006BD6" w:rsidRPr="00DC2914">
        <w:rPr>
          <w:rFonts w:ascii="Times New Roman" w:hAnsi="Times New Roman"/>
          <w:color w:val="18185F"/>
          <w:sz w:val="24"/>
          <w:lang w:val="lv-LV"/>
        </w:rPr>
        <w:t xml:space="preserve"> ieņēmumu</w:t>
      </w:r>
      <w:r w:rsidR="00006BD6" w:rsidRPr="00DC2914">
        <w:rPr>
          <w:rFonts w:ascii="Times New Roman" w:hAnsi="Times New Roman"/>
          <w:color w:val="18185F"/>
          <w:sz w:val="24"/>
        </w:rPr>
        <w:t xml:space="preserve"> pasākumi </w:t>
      </w:r>
      <w:r w:rsidR="00006BD6" w:rsidRPr="00DC2914">
        <w:rPr>
          <w:rFonts w:ascii="Times New Roman" w:hAnsi="Times New Roman"/>
          <w:color w:val="18185F"/>
          <w:sz w:val="24"/>
          <w:lang w:val="lv-LV"/>
        </w:rPr>
        <w:t>centrālās valdības budžetā</w:t>
      </w:r>
      <w:bookmarkEnd w:id="27"/>
      <w:bookmarkEnd w:id="28"/>
    </w:p>
    <w:tbl>
      <w:tblPr>
        <w:tblW w:w="1467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14"/>
        <w:gridCol w:w="3118"/>
        <w:gridCol w:w="1418"/>
        <w:gridCol w:w="850"/>
        <w:gridCol w:w="1194"/>
        <w:gridCol w:w="1560"/>
        <w:gridCol w:w="730"/>
        <w:gridCol w:w="851"/>
        <w:gridCol w:w="992"/>
        <w:gridCol w:w="851"/>
      </w:tblGrid>
      <w:tr w:rsidR="00006BD6" w:rsidRPr="002E1FBD" w14:paraId="48337882" w14:textId="77777777" w:rsidTr="00006BD6">
        <w:trPr>
          <w:trHeight w:val="20"/>
        </w:trPr>
        <w:tc>
          <w:tcPr>
            <w:tcW w:w="3114" w:type="dxa"/>
            <w:vMerge w:val="restart"/>
            <w:shd w:val="clear" w:color="auto" w:fill="auto"/>
            <w:vAlign w:val="center"/>
            <w:hideMark/>
          </w:tcPr>
          <w:p w14:paraId="68F49C62"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Pasākumu saraksts</w:t>
            </w:r>
          </w:p>
        </w:tc>
        <w:tc>
          <w:tcPr>
            <w:tcW w:w="3118" w:type="dxa"/>
            <w:vMerge w:val="restart"/>
            <w:shd w:val="clear" w:color="auto" w:fill="auto"/>
            <w:vAlign w:val="center"/>
            <w:hideMark/>
          </w:tcPr>
          <w:p w14:paraId="0B203CC9"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Detalizēts apraksts*</w:t>
            </w:r>
          </w:p>
        </w:tc>
        <w:tc>
          <w:tcPr>
            <w:tcW w:w="1418" w:type="dxa"/>
            <w:vMerge w:val="restart"/>
            <w:shd w:val="clear" w:color="auto" w:fill="auto"/>
            <w:vAlign w:val="center"/>
            <w:hideMark/>
          </w:tcPr>
          <w:p w14:paraId="6EC8B50C" w14:textId="77777777" w:rsidR="00006BD6" w:rsidRPr="002E1FBD" w:rsidRDefault="00006BD6" w:rsidP="00937EFB">
            <w:pPr>
              <w:spacing w:after="0"/>
              <w:ind w:firstLine="0"/>
              <w:jc w:val="center"/>
              <w:rPr>
                <w:b/>
                <w:bCs/>
                <w:color w:val="000000"/>
                <w:sz w:val="22"/>
                <w:szCs w:val="22"/>
                <w:lang w:eastAsia="lv-LV"/>
              </w:rPr>
            </w:pPr>
            <w:r w:rsidRPr="002E1FBD">
              <w:rPr>
                <w:b/>
                <w:bCs/>
                <w:color w:val="000000"/>
                <w:sz w:val="22"/>
                <w:szCs w:val="22"/>
                <w:lang w:eastAsia="lv-LV"/>
              </w:rPr>
              <w:t>Nodokļu veids</w:t>
            </w:r>
          </w:p>
        </w:tc>
        <w:tc>
          <w:tcPr>
            <w:tcW w:w="850" w:type="dxa"/>
            <w:vMerge w:val="restart"/>
            <w:shd w:val="clear" w:color="auto" w:fill="auto"/>
            <w:vAlign w:val="center"/>
            <w:hideMark/>
          </w:tcPr>
          <w:p w14:paraId="24D678E2"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ESA kods</w:t>
            </w:r>
          </w:p>
        </w:tc>
        <w:tc>
          <w:tcPr>
            <w:tcW w:w="1194" w:type="dxa"/>
            <w:vMerge w:val="restart"/>
            <w:shd w:val="clear" w:color="auto" w:fill="auto"/>
            <w:vAlign w:val="center"/>
            <w:hideMark/>
          </w:tcPr>
          <w:p w14:paraId="52E842C1"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Uzskaites princips</w:t>
            </w:r>
          </w:p>
        </w:tc>
        <w:tc>
          <w:tcPr>
            <w:tcW w:w="1560" w:type="dxa"/>
            <w:vMerge w:val="restart"/>
            <w:shd w:val="clear" w:color="auto" w:fill="auto"/>
            <w:vAlign w:val="center"/>
            <w:hideMark/>
          </w:tcPr>
          <w:p w14:paraId="3355B8FC"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Pieņemšanas statuss</w:t>
            </w:r>
          </w:p>
        </w:tc>
        <w:tc>
          <w:tcPr>
            <w:tcW w:w="730" w:type="dxa"/>
            <w:shd w:val="clear" w:color="auto" w:fill="auto"/>
            <w:noWrap/>
            <w:vAlign w:val="bottom"/>
            <w:hideMark/>
          </w:tcPr>
          <w:p w14:paraId="7AA67156" w14:textId="77777777" w:rsidR="00006BD6" w:rsidRPr="002E1FBD" w:rsidRDefault="00006BD6" w:rsidP="00006BD6">
            <w:pPr>
              <w:spacing w:after="0"/>
              <w:ind w:firstLine="0"/>
              <w:jc w:val="left"/>
              <w:rPr>
                <w:b/>
                <w:bCs/>
                <w:color w:val="000000"/>
                <w:sz w:val="22"/>
                <w:szCs w:val="22"/>
                <w:lang w:eastAsia="lv-LV"/>
              </w:rPr>
            </w:pPr>
            <w:r w:rsidRPr="002E1FBD">
              <w:rPr>
                <w:b/>
                <w:bCs/>
                <w:color w:val="000000"/>
                <w:sz w:val="22"/>
                <w:szCs w:val="22"/>
                <w:lang w:eastAsia="lv-LV"/>
              </w:rPr>
              <w:t> </w:t>
            </w:r>
          </w:p>
        </w:tc>
        <w:tc>
          <w:tcPr>
            <w:tcW w:w="2694" w:type="dxa"/>
            <w:gridSpan w:val="3"/>
            <w:shd w:val="clear" w:color="auto" w:fill="auto"/>
            <w:noWrap/>
            <w:vAlign w:val="bottom"/>
            <w:hideMark/>
          </w:tcPr>
          <w:p w14:paraId="5E56EF9E"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Ietekme uz budžetu</w:t>
            </w:r>
          </w:p>
        </w:tc>
      </w:tr>
      <w:tr w:rsidR="00006BD6" w:rsidRPr="002E1FBD" w14:paraId="0ECF8F8C" w14:textId="77777777" w:rsidTr="00006BD6">
        <w:trPr>
          <w:trHeight w:val="20"/>
        </w:trPr>
        <w:tc>
          <w:tcPr>
            <w:tcW w:w="3114" w:type="dxa"/>
            <w:vMerge/>
            <w:vAlign w:val="center"/>
            <w:hideMark/>
          </w:tcPr>
          <w:p w14:paraId="79A2F395" w14:textId="77777777" w:rsidR="00006BD6" w:rsidRPr="002E1FBD" w:rsidRDefault="00006BD6" w:rsidP="00006BD6">
            <w:pPr>
              <w:spacing w:after="0"/>
              <w:ind w:firstLine="0"/>
              <w:jc w:val="left"/>
              <w:rPr>
                <w:b/>
                <w:bCs/>
                <w:color w:val="000000"/>
                <w:sz w:val="22"/>
                <w:szCs w:val="22"/>
                <w:lang w:eastAsia="lv-LV"/>
              </w:rPr>
            </w:pPr>
          </w:p>
        </w:tc>
        <w:tc>
          <w:tcPr>
            <w:tcW w:w="3118" w:type="dxa"/>
            <w:vMerge/>
            <w:vAlign w:val="center"/>
            <w:hideMark/>
          </w:tcPr>
          <w:p w14:paraId="7B678B98" w14:textId="77777777" w:rsidR="00006BD6" w:rsidRPr="002E1FBD" w:rsidRDefault="00006BD6" w:rsidP="00006BD6">
            <w:pPr>
              <w:spacing w:after="0"/>
              <w:ind w:firstLine="0"/>
              <w:jc w:val="left"/>
              <w:rPr>
                <w:b/>
                <w:bCs/>
                <w:color w:val="000000"/>
                <w:sz w:val="22"/>
                <w:szCs w:val="22"/>
                <w:lang w:eastAsia="lv-LV"/>
              </w:rPr>
            </w:pPr>
          </w:p>
        </w:tc>
        <w:tc>
          <w:tcPr>
            <w:tcW w:w="1418" w:type="dxa"/>
            <w:vMerge/>
            <w:vAlign w:val="center"/>
            <w:hideMark/>
          </w:tcPr>
          <w:p w14:paraId="4E6338C9" w14:textId="77777777" w:rsidR="00006BD6" w:rsidRPr="002E1FBD" w:rsidRDefault="00006BD6" w:rsidP="00937EFB">
            <w:pPr>
              <w:spacing w:after="0"/>
              <w:ind w:firstLine="0"/>
              <w:jc w:val="center"/>
              <w:rPr>
                <w:b/>
                <w:bCs/>
                <w:color w:val="000000"/>
                <w:sz w:val="22"/>
                <w:szCs w:val="22"/>
                <w:lang w:eastAsia="lv-LV"/>
              </w:rPr>
            </w:pPr>
          </w:p>
        </w:tc>
        <w:tc>
          <w:tcPr>
            <w:tcW w:w="850" w:type="dxa"/>
            <w:vMerge/>
            <w:vAlign w:val="center"/>
            <w:hideMark/>
          </w:tcPr>
          <w:p w14:paraId="4F864685" w14:textId="77777777" w:rsidR="00006BD6" w:rsidRPr="002E1FBD" w:rsidRDefault="00006BD6" w:rsidP="00006BD6">
            <w:pPr>
              <w:spacing w:after="0"/>
              <w:ind w:firstLine="0"/>
              <w:jc w:val="left"/>
              <w:rPr>
                <w:b/>
                <w:bCs/>
                <w:color w:val="000000"/>
                <w:sz w:val="22"/>
                <w:szCs w:val="22"/>
                <w:lang w:eastAsia="lv-LV"/>
              </w:rPr>
            </w:pPr>
          </w:p>
        </w:tc>
        <w:tc>
          <w:tcPr>
            <w:tcW w:w="1194" w:type="dxa"/>
            <w:vMerge/>
            <w:vAlign w:val="center"/>
            <w:hideMark/>
          </w:tcPr>
          <w:p w14:paraId="6D4C2B70" w14:textId="77777777" w:rsidR="00006BD6" w:rsidRPr="002E1FBD" w:rsidRDefault="00006BD6" w:rsidP="00006BD6">
            <w:pPr>
              <w:spacing w:after="0"/>
              <w:ind w:firstLine="0"/>
              <w:jc w:val="left"/>
              <w:rPr>
                <w:b/>
                <w:bCs/>
                <w:color w:val="000000"/>
                <w:sz w:val="22"/>
                <w:szCs w:val="22"/>
                <w:lang w:eastAsia="lv-LV"/>
              </w:rPr>
            </w:pPr>
          </w:p>
        </w:tc>
        <w:tc>
          <w:tcPr>
            <w:tcW w:w="1560" w:type="dxa"/>
            <w:vMerge/>
            <w:vAlign w:val="center"/>
            <w:hideMark/>
          </w:tcPr>
          <w:p w14:paraId="1E2B60B3" w14:textId="77777777" w:rsidR="00006BD6" w:rsidRPr="002E1FBD" w:rsidRDefault="00006BD6" w:rsidP="00006BD6">
            <w:pPr>
              <w:spacing w:after="0"/>
              <w:ind w:firstLine="0"/>
              <w:jc w:val="left"/>
              <w:rPr>
                <w:b/>
                <w:bCs/>
                <w:color w:val="000000"/>
                <w:sz w:val="22"/>
                <w:szCs w:val="22"/>
                <w:lang w:eastAsia="lv-LV"/>
              </w:rPr>
            </w:pPr>
          </w:p>
        </w:tc>
        <w:tc>
          <w:tcPr>
            <w:tcW w:w="730" w:type="dxa"/>
            <w:vMerge w:val="restart"/>
            <w:shd w:val="clear" w:color="auto" w:fill="auto"/>
            <w:noWrap/>
            <w:vAlign w:val="bottom"/>
            <w:hideMark/>
          </w:tcPr>
          <w:p w14:paraId="012973FF"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vAlign w:val="center"/>
            <w:hideMark/>
          </w:tcPr>
          <w:p w14:paraId="2E539D42"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2019</w:t>
            </w:r>
          </w:p>
        </w:tc>
        <w:tc>
          <w:tcPr>
            <w:tcW w:w="992" w:type="dxa"/>
            <w:shd w:val="clear" w:color="auto" w:fill="auto"/>
            <w:vAlign w:val="center"/>
            <w:hideMark/>
          </w:tcPr>
          <w:p w14:paraId="58C4B97A"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2020</w:t>
            </w:r>
          </w:p>
        </w:tc>
        <w:tc>
          <w:tcPr>
            <w:tcW w:w="851" w:type="dxa"/>
            <w:shd w:val="clear" w:color="auto" w:fill="auto"/>
            <w:vAlign w:val="center"/>
            <w:hideMark/>
          </w:tcPr>
          <w:p w14:paraId="0E0C741F"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2021</w:t>
            </w:r>
          </w:p>
        </w:tc>
      </w:tr>
      <w:tr w:rsidR="00006BD6" w:rsidRPr="002E1FBD" w14:paraId="42DEF04A" w14:textId="77777777" w:rsidTr="00006BD6">
        <w:trPr>
          <w:trHeight w:val="20"/>
        </w:trPr>
        <w:tc>
          <w:tcPr>
            <w:tcW w:w="3114" w:type="dxa"/>
            <w:vMerge/>
            <w:vAlign w:val="center"/>
            <w:hideMark/>
          </w:tcPr>
          <w:p w14:paraId="4BC2AFDF" w14:textId="77777777" w:rsidR="00006BD6" w:rsidRPr="002E1FBD" w:rsidRDefault="00006BD6" w:rsidP="00006BD6">
            <w:pPr>
              <w:spacing w:after="0"/>
              <w:ind w:firstLine="0"/>
              <w:jc w:val="left"/>
              <w:rPr>
                <w:b/>
                <w:bCs/>
                <w:color w:val="000000"/>
                <w:sz w:val="22"/>
                <w:szCs w:val="22"/>
                <w:lang w:eastAsia="lv-LV"/>
              </w:rPr>
            </w:pPr>
          </w:p>
        </w:tc>
        <w:tc>
          <w:tcPr>
            <w:tcW w:w="3118" w:type="dxa"/>
            <w:vMerge/>
            <w:vAlign w:val="center"/>
            <w:hideMark/>
          </w:tcPr>
          <w:p w14:paraId="06E1D8D4" w14:textId="77777777" w:rsidR="00006BD6" w:rsidRPr="002E1FBD" w:rsidRDefault="00006BD6" w:rsidP="00006BD6">
            <w:pPr>
              <w:spacing w:after="0"/>
              <w:ind w:firstLine="0"/>
              <w:jc w:val="left"/>
              <w:rPr>
                <w:b/>
                <w:bCs/>
                <w:color w:val="000000"/>
                <w:sz w:val="22"/>
                <w:szCs w:val="22"/>
                <w:lang w:eastAsia="lv-LV"/>
              </w:rPr>
            </w:pPr>
          </w:p>
        </w:tc>
        <w:tc>
          <w:tcPr>
            <w:tcW w:w="1418" w:type="dxa"/>
            <w:vMerge/>
            <w:vAlign w:val="center"/>
            <w:hideMark/>
          </w:tcPr>
          <w:p w14:paraId="2147F630" w14:textId="77777777" w:rsidR="00006BD6" w:rsidRPr="002E1FBD" w:rsidRDefault="00006BD6" w:rsidP="00937EFB">
            <w:pPr>
              <w:spacing w:after="0"/>
              <w:ind w:firstLine="0"/>
              <w:jc w:val="center"/>
              <w:rPr>
                <w:b/>
                <w:bCs/>
                <w:color w:val="000000"/>
                <w:sz w:val="22"/>
                <w:szCs w:val="22"/>
                <w:lang w:eastAsia="lv-LV"/>
              </w:rPr>
            </w:pPr>
          </w:p>
        </w:tc>
        <w:tc>
          <w:tcPr>
            <w:tcW w:w="850" w:type="dxa"/>
            <w:vMerge/>
            <w:vAlign w:val="center"/>
            <w:hideMark/>
          </w:tcPr>
          <w:p w14:paraId="60BC599D" w14:textId="77777777" w:rsidR="00006BD6" w:rsidRPr="002E1FBD" w:rsidRDefault="00006BD6" w:rsidP="00006BD6">
            <w:pPr>
              <w:spacing w:after="0"/>
              <w:ind w:firstLine="0"/>
              <w:jc w:val="left"/>
              <w:rPr>
                <w:b/>
                <w:bCs/>
                <w:color w:val="000000"/>
                <w:sz w:val="22"/>
                <w:szCs w:val="22"/>
                <w:lang w:eastAsia="lv-LV"/>
              </w:rPr>
            </w:pPr>
          </w:p>
        </w:tc>
        <w:tc>
          <w:tcPr>
            <w:tcW w:w="1194" w:type="dxa"/>
            <w:vMerge/>
            <w:vAlign w:val="center"/>
            <w:hideMark/>
          </w:tcPr>
          <w:p w14:paraId="34C6D57F" w14:textId="77777777" w:rsidR="00006BD6" w:rsidRPr="002E1FBD" w:rsidRDefault="00006BD6" w:rsidP="00006BD6">
            <w:pPr>
              <w:spacing w:after="0"/>
              <w:ind w:firstLine="0"/>
              <w:jc w:val="left"/>
              <w:rPr>
                <w:b/>
                <w:bCs/>
                <w:color w:val="000000"/>
                <w:sz w:val="22"/>
                <w:szCs w:val="22"/>
                <w:lang w:eastAsia="lv-LV"/>
              </w:rPr>
            </w:pPr>
          </w:p>
        </w:tc>
        <w:tc>
          <w:tcPr>
            <w:tcW w:w="1560" w:type="dxa"/>
            <w:vMerge/>
            <w:vAlign w:val="center"/>
            <w:hideMark/>
          </w:tcPr>
          <w:p w14:paraId="4AF92D79" w14:textId="77777777" w:rsidR="00006BD6" w:rsidRPr="002E1FBD" w:rsidRDefault="00006BD6" w:rsidP="00006BD6">
            <w:pPr>
              <w:spacing w:after="0"/>
              <w:ind w:firstLine="0"/>
              <w:jc w:val="left"/>
              <w:rPr>
                <w:b/>
                <w:bCs/>
                <w:color w:val="000000"/>
                <w:sz w:val="22"/>
                <w:szCs w:val="22"/>
                <w:lang w:eastAsia="lv-LV"/>
              </w:rPr>
            </w:pPr>
          </w:p>
        </w:tc>
        <w:tc>
          <w:tcPr>
            <w:tcW w:w="730" w:type="dxa"/>
            <w:vMerge/>
            <w:vAlign w:val="center"/>
            <w:hideMark/>
          </w:tcPr>
          <w:p w14:paraId="5452479C" w14:textId="77777777" w:rsidR="00006BD6" w:rsidRPr="002E1FBD" w:rsidRDefault="00006BD6" w:rsidP="00006BD6">
            <w:pPr>
              <w:spacing w:after="0"/>
              <w:ind w:firstLine="0"/>
              <w:jc w:val="left"/>
              <w:rPr>
                <w:b/>
                <w:bCs/>
                <w:color w:val="000000"/>
                <w:sz w:val="22"/>
                <w:szCs w:val="22"/>
                <w:lang w:eastAsia="lv-LV"/>
              </w:rPr>
            </w:pPr>
          </w:p>
        </w:tc>
        <w:tc>
          <w:tcPr>
            <w:tcW w:w="2694" w:type="dxa"/>
            <w:gridSpan w:val="3"/>
            <w:shd w:val="clear" w:color="auto" w:fill="auto"/>
            <w:vAlign w:val="center"/>
            <w:hideMark/>
          </w:tcPr>
          <w:p w14:paraId="7391FE8A" w14:textId="77777777" w:rsidR="00006BD6" w:rsidRPr="002E1FBD" w:rsidRDefault="00006BD6" w:rsidP="00006BD6">
            <w:pPr>
              <w:spacing w:after="0"/>
              <w:ind w:firstLine="0"/>
              <w:jc w:val="center"/>
              <w:rPr>
                <w:b/>
                <w:bCs/>
                <w:color w:val="000000"/>
                <w:sz w:val="22"/>
                <w:szCs w:val="22"/>
                <w:lang w:eastAsia="lv-LV"/>
              </w:rPr>
            </w:pPr>
            <w:r w:rsidRPr="002E1FBD">
              <w:rPr>
                <w:b/>
                <w:bCs/>
                <w:color w:val="000000"/>
                <w:sz w:val="22"/>
                <w:szCs w:val="22"/>
                <w:lang w:eastAsia="lv-LV"/>
              </w:rPr>
              <w:t>% IKP</w:t>
            </w:r>
          </w:p>
        </w:tc>
      </w:tr>
      <w:tr w:rsidR="004646FF" w:rsidRPr="002E1FBD" w14:paraId="74FD57F6" w14:textId="77777777" w:rsidTr="00006BD6">
        <w:trPr>
          <w:trHeight w:val="20"/>
        </w:trPr>
        <w:tc>
          <w:tcPr>
            <w:tcW w:w="3114" w:type="dxa"/>
            <w:vMerge w:val="restart"/>
            <w:shd w:val="clear" w:color="auto" w:fill="DBE5F1" w:themeFill="accent1" w:themeFillTint="33"/>
            <w:vAlign w:val="center"/>
            <w:hideMark/>
          </w:tcPr>
          <w:p w14:paraId="7DB51FF8"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 xml:space="preserve">Ēnu ekonomikas mazinošie pasākumi </w:t>
            </w:r>
            <w:r w:rsidRPr="002E1FBD">
              <w:rPr>
                <w:color w:val="000000" w:themeColor="text1"/>
                <w:sz w:val="22"/>
                <w:szCs w:val="22"/>
              </w:rPr>
              <w:t>–</w:t>
            </w:r>
            <w:r w:rsidRPr="002E1FBD">
              <w:rPr>
                <w:color w:val="000000"/>
                <w:sz w:val="22"/>
                <w:szCs w:val="22"/>
                <w:lang w:eastAsia="lv-LV"/>
              </w:rPr>
              <w:t xml:space="preserve"> Nelicencētā azartspēļu un izložu tirgus samazināšana</w:t>
            </w:r>
          </w:p>
        </w:tc>
        <w:tc>
          <w:tcPr>
            <w:tcW w:w="3118" w:type="dxa"/>
            <w:vMerge w:val="restart"/>
            <w:shd w:val="clear" w:color="auto" w:fill="DBE5F1" w:themeFill="accent1" w:themeFillTint="33"/>
            <w:vAlign w:val="center"/>
            <w:hideMark/>
          </w:tcPr>
          <w:p w14:paraId="28986C2D"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 xml:space="preserve">Ēnu ekonomikas mazinošie pasākumi </w:t>
            </w:r>
            <w:r w:rsidRPr="002E1FBD">
              <w:rPr>
                <w:color w:val="000000" w:themeColor="text1"/>
                <w:sz w:val="22"/>
                <w:szCs w:val="22"/>
              </w:rPr>
              <w:t>–</w:t>
            </w:r>
            <w:r w:rsidRPr="002E1FBD">
              <w:rPr>
                <w:color w:val="000000"/>
                <w:sz w:val="22"/>
                <w:szCs w:val="22"/>
                <w:lang w:eastAsia="lv-LV"/>
              </w:rPr>
              <w:t xml:space="preserve"> Nelicencētā azartspēļu un izložu tirgus samazināšana</w:t>
            </w:r>
          </w:p>
        </w:tc>
        <w:tc>
          <w:tcPr>
            <w:tcW w:w="1418" w:type="dxa"/>
            <w:shd w:val="clear" w:color="auto" w:fill="DBE5F1" w:themeFill="accent1" w:themeFillTint="33"/>
            <w:vAlign w:val="center"/>
            <w:hideMark/>
          </w:tcPr>
          <w:p w14:paraId="7A7AB038"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Izložu un azartspēļu nodoklis</w:t>
            </w:r>
          </w:p>
        </w:tc>
        <w:tc>
          <w:tcPr>
            <w:tcW w:w="850" w:type="dxa"/>
            <w:shd w:val="clear" w:color="auto" w:fill="DBE5F1" w:themeFill="accent1" w:themeFillTint="33"/>
            <w:vAlign w:val="center"/>
            <w:hideMark/>
          </w:tcPr>
          <w:p w14:paraId="4FC7452F"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D.21</w:t>
            </w:r>
          </w:p>
        </w:tc>
        <w:tc>
          <w:tcPr>
            <w:tcW w:w="1194" w:type="dxa"/>
            <w:shd w:val="clear" w:color="auto" w:fill="DBE5F1" w:themeFill="accent1" w:themeFillTint="33"/>
            <w:vAlign w:val="center"/>
            <w:hideMark/>
          </w:tcPr>
          <w:p w14:paraId="2AB60B32"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DBE5F1" w:themeFill="accent1" w:themeFillTint="33"/>
            <w:vAlign w:val="center"/>
            <w:hideMark/>
          </w:tcPr>
          <w:p w14:paraId="24D83EF4"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Daļēji pieņemts</w:t>
            </w:r>
          </w:p>
        </w:tc>
        <w:tc>
          <w:tcPr>
            <w:tcW w:w="730" w:type="dxa"/>
            <w:shd w:val="clear" w:color="auto" w:fill="DBE5F1" w:themeFill="accent1" w:themeFillTint="33"/>
            <w:noWrap/>
            <w:vAlign w:val="bottom"/>
            <w:hideMark/>
          </w:tcPr>
          <w:p w14:paraId="16F3DC8D"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DBE5F1" w:themeFill="accent1" w:themeFillTint="33"/>
            <w:noWrap/>
            <w:vAlign w:val="center"/>
            <w:hideMark/>
          </w:tcPr>
          <w:p w14:paraId="2460D2C2" w14:textId="77777777" w:rsidR="004646FF" w:rsidRPr="002E1FBD" w:rsidRDefault="004646FF" w:rsidP="004646FF">
            <w:pPr>
              <w:spacing w:after="0"/>
              <w:ind w:firstLine="0"/>
              <w:jc w:val="center"/>
              <w:rPr>
                <w:color w:val="000000"/>
                <w:sz w:val="22"/>
                <w:szCs w:val="22"/>
                <w:lang w:eastAsia="lv-LV"/>
              </w:rPr>
            </w:pPr>
            <w:r>
              <w:rPr>
                <w:color w:val="000000"/>
              </w:rPr>
              <w:t>0,01</w:t>
            </w:r>
          </w:p>
        </w:tc>
        <w:tc>
          <w:tcPr>
            <w:tcW w:w="992" w:type="dxa"/>
            <w:shd w:val="clear" w:color="auto" w:fill="DBE5F1" w:themeFill="accent1" w:themeFillTint="33"/>
            <w:noWrap/>
            <w:vAlign w:val="center"/>
            <w:hideMark/>
          </w:tcPr>
          <w:p w14:paraId="31822588"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DBE5F1" w:themeFill="accent1" w:themeFillTint="33"/>
            <w:noWrap/>
            <w:vAlign w:val="center"/>
            <w:hideMark/>
          </w:tcPr>
          <w:p w14:paraId="68E6B010"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3077D055" w14:textId="77777777" w:rsidTr="00006BD6">
        <w:trPr>
          <w:trHeight w:val="20"/>
        </w:trPr>
        <w:tc>
          <w:tcPr>
            <w:tcW w:w="3114" w:type="dxa"/>
            <w:vMerge/>
            <w:vAlign w:val="center"/>
            <w:hideMark/>
          </w:tcPr>
          <w:p w14:paraId="362465C3" w14:textId="77777777" w:rsidR="004646FF" w:rsidRPr="002E1FBD" w:rsidRDefault="004646FF" w:rsidP="004646FF">
            <w:pPr>
              <w:spacing w:after="0"/>
              <w:ind w:firstLine="0"/>
              <w:rPr>
                <w:color w:val="000000"/>
                <w:sz w:val="22"/>
                <w:szCs w:val="22"/>
                <w:lang w:eastAsia="lv-LV"/>
              </w:rPr>
            </w:pPr>
          </w:p>
        </w:tc>
        <w:tc>
          <w:tcPr>
            <w:tcW w:w="3118" w:type="dxa"/>
            <w:vMerge/>
            <w:vAlign w:val="center"/>
            <w:hideMark/>
          </w:tcPr>
          <w:p w14:paraId="2D60CB2C" w14:textId="77777777" w:rsidR="004646FF" w:rsidRPr="002E1FBD" w:rsidRDefault="004646FF" w:rsidP="004646FF">
            <w:pPr>
              <w:spacing w:after="0"/>
              <w:ind w:firstLine="0"/>
              <w:rPr>
                <w:color w:val="000000"/>
                <w:sz w:val="22"/>
                <w:szCs w:val="22"/>
                <w:lang w:eastAsia="lv-LV"/>
              </w:rPr>
            </w:pPr>
          </w:p>
        </w:tc>
        <w:tc>
          <w:tcPr>
            <w:tcW w:w="1418" w:type="dxa"/>
            <w:shd w:val="clear" w:color="auto" w:fill="auto"/>
            <w:vAlign w:val="center"/>
            <w:hideMark/>
          </w:tcPr>
          <w:p w14:paraId="755F2EF2"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IIN</w:t>
            </w:r>
          </w:p>
        </w:tc>
        <w:tc>
          <w:tcPr>
            <w:tcW w:w="850" w:type="dxa"/>
            <w:shd w:val="clear" w:color="auto" w:fill="auto"/>
            <w:vAlign w:val="center"/>
            <w:hideMark/>
          </w:tcPr>
          <w:p w14:paraId="5F99038E"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D.5</w:t>
            </w:r>
          </w:p>
        </w:tc>
        <w:tc>
          <w:tcPr>
            <w:tcW w:w="1194" w:type="dxa"/>
            <w:shd w:val="clear" w:color="auto" w:fill="auto"/>
            <w:vAlign w:val="center"/>
            <w:hideMark/>
          </w:tcPr>
          <w:p w14:paraId="0C2A525B"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auto"/>
            <w:vAlign w:val="center"/>
            <w:hideMark/>
          </w:tcPr>
          <w:p w14:paraId="4EA61286"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Daļēji pieņemts</w:t>
            </w:r>
          </w:p>
        </w:tc>
        <w:tc>
          <w:tcPr>
            <w:tcW w:w="730" w:type="dxa"/>
            <w:shd w:val="clear" w:color="auto" w:fill="auto"/>
            <w:noWrap/>
            <w:vAlign w:val="bottom"/>
            <w:hideMark/>
          </w:tcPr>
          <w:p w14:paraId="542171A0"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noWrap/>
            <w:vAlign w:val="center"/>
            <w:hideMark/>
          </w:tcPr>
          <w:p w14:paraId="2210E3E3"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992" w:type="dxa"/>
            <w:shd w:val="clear" w:color="auto" w:fill="auto"/>
            <w:noWrap/>
            <w:vAlign w:val="center"/>
            <w:hideMark/>
          </w:tcPr>
          <w:p w14:paraId="7D03505B"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auto"/>
            <w:noWrap/>
            <w:vAlign w:val="center"/>
            <w:hideMark/>
          </w:tcPr>
          <w:p w14:paraId="032EAB8C"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40441A58" w14:textId="77777777" w:rsidTr="00006BD6">
        <w:trPr>
          <w:trHeight w:val="20"/>
        </w:trPr>
        <w:tc>
          <w:tcPr>
            <w:tcW w:w="3114" w:type="dxa"/>
            <w:vMerge w:val="restart"/>
            <w:shd w:val="clear" w:color="auto" w:fill="auto"/>
            <w:vAlign w:val="center"/>
            <w:hideMark/>
          </w:tcPr>
          <w:p w14:paraId="7F8028BD"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 xml:space="preserve">Ēnu ekonomikas mazinošie pasākumi </w:t>
            </w:r>
            <w:r w:rsidRPr="002E1FBD">
              <w:rPr>
                <w:color w:val="000000" w:themeColor="text1"/>
                <w:sz w:val="22"/>
                <w:szCs w:val="22"/>
              </w:rPr>
              <w:t>–</w:t>
            </w:r>
            <w:r w:rsidRPr="002E1FBD">
              <w:rPr>
                <w:color w:val="000000"/>
                <w:sz w:val="22"/>
                <w:szCs w:val="22"/>
                <w:lang w:eastAsia="lv-LV"/>
              </w:rPr>
              <w:t xml:space="preserve"> Elektroniskā darba laika uzskaite būvniecībā</w:t>
            </w:r>
          </w:p>
        </w:tc>
        <w:tc>
          <w:tcPr>
            <w:tcW w:w="3118" w:type="dxa"/>
            <w:vMerge w:val="restart"/>
            <w:shd w:val="clear" w:color="auto" w:fill="auto"/>
            <w:vAlign w:val="center"/>
            <w:hideMark/>
          </w:tcPr>
          <w:p w14:paraId="72A7E606"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 xml:space="preserve">Ēnu ekonomikas mazinošie pasākumi </w:t>
            </w:r>
            <w:r w:rsidRPr="002E1FBD">
              <w:rPr>
                <w:color w:val="000000" w:themeColor="text1"/>
                <w:sz w:val="22"/>
                <w:szCs w:val="22"/>
              </w:rPr>
              <w:t>–</w:t>
            </w:r>
            <w:r w:rsidRPr="002E1FBD">
              <w:rPr>
                <w:color w:val="000000"/>
                <w:sz w:val="22"/>
                <w:szCs w:val="22"/>
                <w:lang w:eastAsia="lv-LV"/>
              </w:rPr>
              <w:t xml:space="preserve"> Elektroniskā darba laika uzskaite būvniecībā</w:t>
            </w:r>
          </w:p>
        </w:tc>
        <w:tc>
          <w:tcPr>
            <w:tcW w:w="1418" w:type="dxa"/>
            <w:shd w:val="clear" w:color="auto" w:fill="DBE5F1" w:themeFill="accent1" w:themeFillTint="33"/>
            <w:vAlign w:val="center"/>
            <w:hideMark/>
          </w:tcPr>
          <w:p w14:paraId="2E306EB0"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IIN</w:t>
            </w:r>
          </w:p>
        </w:tc>
        <w:tc>
          <w:tcPr>
            <w:tcW w:w="850" w:type="dxa"/>
            <w:shd w:val="clear" w:color="auto" w:fill="DBE5F1" w:themeFill="accent1" w:themeFillTint="33"/>
            <w:vAlign w:val="center"/>
            <w:hideMark/>
          </w:tcPr>
          <w:p w14:paraId="13132F2E"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D.5</w:t>
            </w:r>
          </w:p>
        </w:tc>
        <w:tc>
          <w:tcPr>
            <w:tcW w:w="1194" w:type="dxa"/>
            <w:shd w:val="clear" w:color="auto" w:fill="DBE5F1" w:themeFill="accent1" w:themeFillTint="33"/>
            <w:vAlign w:val="center"/>
            <w:hideMark/>
          </w:tcPr>
          <w:p w14:paraId="6205B7FF"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DBE5F1" w:themeFill="accent1" w:themeFillTint="33"/>
            <w:vAlign w:val="center"/>
            <w:hideMark/>
          </w:tcPr>
          <w:p w14:paraId="1070ABFF"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Daļēji pieņemts</w:t>
            </w:r>
          </w:p>
        </w:tc>
        <w:tc>
          <w:tcPr>
            <w:tcW w:w="730" w:type="dxa"/>
            <w:shd w:val="clear" w:color="auto" w:fill="DBE5F1" w:themeFill="accent1" w:themeFillTint="33"/>
            <w:noWrap/>
            <w:vAlign w:val="bottom"/>
            <w:hideMark/>
          </w:tcPr>
          <w:p w14:paraId="4D8320DD"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DBE5F1" w:themeFill="accent1" w:themeFillTint="33"/>
            <w:noWrap/>
            <w:vAlign w:val="center"/>
            <w:hideMark/>
          </w:tcPr>
          <w:p w14:paraId="3A90A636"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992" w:type="dxa"/>
            <w:shd w:val="clear" w:color="auto" w:fill="DBE5F1" w:themeFill="accent1" w:themeFillTint="33"/>
            <w:noWrap/>
            <w:vAlign w:val="center"/>
            <w:hideMark/>
          </w:tcPr>
          <w:p w14:paraId="5A453CFB"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DBE5F1" w:themeFill="accent1" w:themeFillTint="33"/>
            <w:noWrap/>
            <w:vAlign w:val="center"/>
            <w:hideMark/>
          </w:tcPr>
          <w:p w14:paraId="2D416172"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5940FDD7" w14:textId="77777777" w:rsidTr="00006BD6">
        <w:trPr>
          <w:trHeight w:val="20"/>
        </w:trPr>
        <w:tc>
          <w:tcPr>
            <w:tcW w:w="3114" w:type="dxa"/>
            <w:vMerge/>
            <w:vAlign w:val="center"/>
            <w:hideMark/>
          </w:tcPr>
          <w:p w14:paraId="0FB38A33" w14:textId="77777777" w:rsidR="004646FF" w:rsidRPr="002E1FBD" w:rsidRDefault="004646FF" w:rsidP="004646FF">
            <w:pPr>
              <w:spacing w:after="0"/>
              <w:ind w:firstLine="0"/>
              <w:rPr>
                <w:color w:val="000000"/>
                <w:sz w:val="22"/>
                <w:szCs w:val="22"/>
                <w:lang w:eastAsia="lv-LV"/>
              </w:rPr>
            </w:pPr>
          </w:p>
        </w:tc>
        <w:tc>
          <w:tcPr>
            <w:tcW w:w="3118" w:type="dxa"/>
            <w:vMerge/>
            <w:vAlign w:val="center"/>
            <w:hideMark/>
          </w:tcPr>
          <w:p w14:paraId="75C96D0A" w14:textId="77777777" w:rsidR="004646FF" w:rsidRPr="002E1FBD" w:rsidRDefault="004646FF" w:rsidP="004646FF">
            <w:pPr>
              <w:spacing w:after="0"/>
              <w:ind w:firstLine="0"/>
              <w:rPr>
                <w:color w:val="000000"/>
                <w:sz w:val="22"/>
                <w:szCs w:val="22"/>
                <w:lang w:eastAsia="lv-LV"/>
              </w:rPr>
            </w:pPr>
          </w:p>
        </w:tc>
        <w:tc>
          <w:tcPr>
            <w:tcW w:w="1418" w:type="dxa"/>
            <w:shd w:val="clear" w:color="auto" w:fill="auto"/>
            <w:vAlign w:val="center"/>
            <w:hideMark/>
          </w:tcPr>
          <w:p w14:paraId="4B690068"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SOC</w:t>
            </w:r>
          </w:p>
        </w:tc>
        <w:tc>
          <w:tcPr>
            <w:tcW w:w="850" w:type="dxa"/>
            <w:shd w:val="clear" w:color="auto" w:fill="auto"/>
            <w:vAlign w:val="center"/>
            <w:hideMark/>
          </w:tcPr>
          <w:p w14:paraId="164185A7"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D.61</w:t>
            </w:r>
          </w:p>
        </w:tc>
        <w:tc>
          <w:tcPr>
            <w:tcW w:w="1194" w:type="dxa"/>
            <w:shd w:val="clear" w:color="auto" w:fill="auto"/>
            <w:vAlign w:val="center"/>
            <w:hideMark/>
          </w:tcPr>
          <w:p w14:paraId="6AB11269"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auto"/>
            <w:vAlign w:val="center"/>
            <w:hideMark/>
          </w:tcPr>
          <w:p w14:paraId="261C2F92"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Daļēji pieņemts</w:t>
            </w:r>
          </w:p>
        </w:tc>
        <w:tc>
          <w:tcPr>
            <w:tcW w:w="730" w:type="dxa"/>
            <w:shd w:val="clear" w:color="auto" w:fill="auto"/>
            <w:noWrap/>
            <w:vAlign w:val="bottom"/>
            <w:hideMark/>
          </w:tcPr>
          <w:p w14:paraId="2259BD52"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noWrap/>
            <w:vAlign w:val="center"/>
            <w:hideMark/>
          </w:tcPr>
          <w:p w14:paraId="67C0BEFD" w14:textId="77777777" w:rsidR="004646FF" w:rsidRPr="002E1FBD" w:rsidRDefault="004646FF" w:rsidP="004646FF">
            <w:pPr>
              <w:spacing w:after="0"/>
              <w:ind w:firstLine="0"/>
              <w:jc w:val="center"/>
              <w:rPr>
                <w:color w:val="000000"/>
                <w:sz w:val="22"/>
                <w:szCs w:val="22"/>
                <w:lang w:eastAsia="lv-LV"/>
              </w:rPr>
            </w:pPr>
            <w:r>
              <w:rPr>
                <w:color w:val="000000"/>
              </w:rPr>
              <w:t>0,01</w:t>
            </w:r>
          </w:p>
        </w:tc>
        <w:tc>
          <w:tcPr>
            <w:tcW w:w="992" w:type="dxa"/>
            <w:shd w:val="clear" w:color="auto" w:fill="auto"/>
            <w:noWrap/>
            <w:vAlign w:val="center"/>
            <w:hideMark/>
          </w:tcPr>
          <w:p w14:paraId="686BE5B2"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auto"/>
            <w:noWrap/>
            <w:vAlign w:val="center"/>
            <w:hideMark/>
          </w:tcPr>
          <w:p w14:paraId="0E57CC30"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732A1A15" w14:textId="77777777" w:rsidTr="00006BD6">
        <w:trPr>
          <w:trHeight w:val="20"/>
        </w:trPr>
        <w:tc>
          <w:tcPr>
            <w:tcW w:w="3114" w:type="dxa"/>
            <w:vMerge/>
            <w:vAlign w:val="center"/>
            <w:hideMark/>
          </w:tcPr>
          <w:p w14:paraId="2D5707FC" w14:textId="77777777" w:rsidR="004646FF" w:rsidRPr="002E1FBD" w:rsidRDefault="004646FF" w:rsidP="004646FF">
            <w:pPr>
              <w:spacing w:after="0"/>
              <w:ind w:firstLine="0"/>
              <w:rPr>
                <w:color w:val="000000"/>
                <w:sz w:val="22"/>
                <w:szCs w:val="22"/>
                <w:lang w:eastAsia="lv-LV"/>
              </w:rPr>
            </w:pPr>
          </w:p>
        </w:tc>
        <w:tc>
          <w:tcPr>
            <w:tcW w:w="3118" w:type="dxa"/>
            <w:vMerge/>
            <w:vAlign w:val="center"/>
            <w:hideMark/>
          </w:tcPr>
          <w:p w14:paraId="7EDA1114" w14:textId="77777777" w:rsidR="004646FF" w:rsidRPr="002E1FBD" w:rsidRDefault="004646FF" w:rsidP="004646FF">
            <w:pPr>
              <w:spacing w:after="0"/>
              <w:ind w:firstLine="0"/>
              <w:rPr>
                <w:color w:val="000000"/>
                <w:sz w:val="22"/>
                <w:szCs w:val="22"/>
                <w:lang w:eastAsia="lv-LV"/>
              </w:rPr>
            </w:pPr>
          </w:p>
        </w:tc>
        <w:tc>
          <w:tcPr>
            <w:tcW w:w="1418" w:type="dxa"/>
            <w:shd w:val="clear" w:color="auto" w:fill="DBE5F1" w:themeFill="accent1" w:themeFillTint="33"/>
            <w:vAlign w:val="center"/>
            <w:hideMark/>
          </w:tcPr>
          <w:p w14:paraId="0ECE37DC"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SOC veselības finansēšanai</w:t>
            </w:r>
          </w:p>
        </w:tc>
        <w:tc>
          <w:tcPr>
            <w:tcW w:w="850" w:type="dxa"/>
            <w:shd w:val="clear" w:color="auto" w:fill="DBE5F1" w:themeFill="accent1" w:themeFillTint="33"/>
            <w:vAlign w:val="center"/>
            <w:hideMark/>
          </w:tcPr>
          <w:p w14:paraId="1841B5B0"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D.61</w:t>
            </w:r>
          </w:p>
        </w:tc>
        <w:tc>
          <w:tcPr>
            <w:tcW w:w="1194" w:type="dxa"/>
            <w:shd w:val="clear" w:color="auto" w:fill="DBE5F1" w:themeFill="accent1" w:themeFillTint="33"/>
            <w:vAlign w:val="center"/>
            <w:hideMark/>
          </w:tcPr>
          <w:p w14:paraId="2BE3CE58"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DBE5F1" w:themeFill="accent1" w:themeFillTint="33"/>
            <w:vAlign w:val="center"/>
            <w:hideMark/>
          </w:tcPr>
          <w:p w14:paraId="5D6FE2A7"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Daļēji pieņemts</w:t>
            </w:r>
          </w:p>
        </w:tc>
        <w:tc>
          <w:tcPr>
            <w:tcW w:w="730" w:type="dxa"/>
            <w:shd w:val="clear" w:color="auto" w:fill="DBE5F1" w:themeFill="accent1" w:themeFillTint="33"/>
            <w:noWrap/>
            <w:vAlign w:val="bottom"/>
            <w:hideMark/>
          </w:tcPr>
          <w:p w14:paraId="285714F5"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DBE5F1" w:themeFill="accent1" w:themeFillTint="33"/>
            <w:noWrap/>
            <w:vAlign w:val="center"/>
            <w:hideMark/>
          </w:tcPr>
          <w:p w14:paraId="2FCBD13F"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992" w:type="dxa"/>
            <w:shd w:val="clear" w:color="auto" w:fill="DBE5F1" w:themeFill="accent1" w:themeFillTint="33"/>
            <w:noWrap/>
            <w:vAlign w:val="center"/>
            <w:hideMark/>
          </w:tcPr>
          <w:p w14:paraId="39273A59"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DBE5F1" w:themeFill="accent1" w:themeFillTint="33"/>
            <w:noWrap/>
            <w:vAlign w:val="center"/>
            <w:hideMark/>
          </w:tcPr>
          <w:p w14:paraId="30F647B8"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6EE680CC" w14:textId="77777777" w:rsidTr="00006BD6">
        <w:trPr>
          <w:trHeight w:val="20"/>
        </w:trPr>
        <w:tc>
          <w:tcPr>
            <w:tcW w:w="3114" w:type="dxa"/>
            <w:shd w:val="clear" w:color="auto" w:fill="auto"/>
            <w:vAlign w:val="center"/>
            <w:hideMark/>
          </w:tcPr>
          <w:p w14:paraId="31379955"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Solidaritātes nodokļa izmaiņas</w:t>
            </w:r>
          </w:p>
        </w:tc>
        <w:tc>
          <w:tcPr>
            <w:tcW w:w="3118" w:type="dxa"/>
            <w:shd w:val="clear" w:color="auto" w:fill="auto"/>
            <w:vAlign w:val="center"/>
            <w:hideMark/>
          </w:tcPr>
          <w:p w14:paraId="3D02158A"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Solidaritātes nodokļa izmaiņas</w:t>
            </w:r>
          </w:p>
        </w:tc>
        <w:tc>
          <w:tcPr>
            <w:tcW w:w="1418" w:type="dxa"/>
            <w:shd w:val="clear" w:color="auto" w:fill="auto"/>
            <w:vAlign w:val="center"/>
            <w:hideMark/>
          </w:tcPr>
          <w:p w14:paraId="140129CD"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SOC</w:t>
            </w:r>
          </w:p>
        </w:tc>
        <w:tc>
          <w:tcPr>
            <w:tcW w:w="850" w:type="dxa"/>
            <w:shd w:val="clear" w:color="auto" w:fill="auto"/>
            <w:vAlign w:val="center"/>
            <w:hideMark/>
          </w:tcPr>
          <w:p w14:paraId="0BAD48B6"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D.61</w:t>
            </w:r>
          </w:p>
        </w:tc>
        <w:tc>
          <w:tcPr>
            <w:tcW w:w="1194" w:type="dxa"/>
            <w:shd w:val="clear" w:color="auto" w:fill="auto"/>
            <w:vAlign w:val="center"/>
            <w:hideMark/>
          </w:tcPr>
          <w:p w14:paraId="11CB1A2E"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auto"/>
            <w:vAlign w:val="center"/>
            <w:hideMark/>
          </w:tcPr>
          <w:p w14:paraId="37B802B2"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auto"/>
            <w:noWrap/>
            <w:vAlign w:val="bottom"/>
            <w:hideMark/>
          </w:tcPr>
          <w:p w14:paraId="294C320B"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noWrap/>
            <w:vAlign w:val="center"/>
            <w:hideMark/>
          </w:tcPr>
          <w:p w14:paraId="6B289F7E" w14:textId="77777777" w:rsidR="004646FF" w:rsidRPr="002E1FBD" w:rsidRDefault="004646FF" w:rsidP="004646FF">
            <w:pPr>
              <w:spacing w:after="0"/>
              <w:ind w:firstLine="0"/>
              <w:jc w:val="center"/>
              <w:rPr>
                <w:color w:val="000000"/>
                <w:sz w:val="22"/>
                <w:szCs w:val="22"/>
                <w:lang w:eastAsia="lv-LV"/>
              </w:rPr>
            </w:pPr>
            <w:r>
              <w:rPr>
                <w:color w:val="000000"/>
              </w:rPr>
              <w:t>0,02</w:t>
            </w:r>
          </w:p>
        </w:tc>
        <w:tc>
          <w:tcPr>
            <w:tcW w:w="992" w:type="dxa"/>
            <w:shd w:val="clear" w:color="auto" w:fill="auto"/>
            <w:noWrap/>
            <w:vAlign w:val="center"/>
            <w:hideMark/>
          </w:tcPr>
          <w:p w14:paraId="107B9A44" w14:textId="77777777" w:rsidR="004646FF" w:rsidRPr="002E1FBD" w:rsidRDefault="004646FF" w:rsidP="004646FF">
            <w:pPr>
              <w:spacing w:after="0"/>
              <w:ind w:firstLine="0"/>
              <w:jc w:val="center"/>
              <w:rPr>
                <w:color w:val="000000"/>
                <w:sz w:val="22"/>
                <w:szCs w:val="22"/>
                <w:lang w:eastAsia="lv-LV"/>
              </w:rPr>
            </w:pPr>
            <w:r>
              <w:rPr>
                <w:color w:val="000000"/>
              </w:rPr>
              <w:t>-0,01</w:t>
            </w:r>
          </w:p>
        </w:tc>
        <w:tc>
          <w:tcPr>
            <w:tcW w:w="851" w:type="dxa"/>
            <w:shd w:val="clear" w:color="auto" w:fill="auto"/>
            <w:noWrap/>
            <w:vAlign w:val="center"/>
            <w:hideMark/>
          </w:tcPr>
          <w:p w14:paraId="70D9CEFC"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433D8418" w14:textId="77777777" w:rsidTr="000868D8">
        <w:trPr>
          <w:trHeight w:val="20"/>
        </w:trPr>
        <w:tc>
          <w:tcPr>
            <w:tcW w:w="3114" w:type="dxa"/>
            <w:shd w:val="clear" w:color="auto" w:fill="DBE5F1" w:themeFill="accent1" w:themeFillTint="33"/>
            <w:vAlign w:val="center"/>
            <w:hideMark/>
          </w:tcPr>
          <w:p w14:paraId="1BE7F7A4"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No 2020.gada valsts fondēto pensiju struktūras izmaiņas</w:t>
            </w:r>
          </w:p>
        </w:tc>
        <w:tc>
          <w:tcPr>
            <w:tcW w:w="3118" w:type="dxa"/>
            <w:shd w:val="clear" w:color="auto" w:fill="DBE5F1" w:themeFill="accent1" w:themeFillTint="33"/>
            <w:vAlign w:val="center"/>
            <w:hideMark/>
          </w:tcPr>
          <w:p w14:paraId="2D1406DA"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No 2020.gada valsts fondēto pensiju struktūras izmaiņas</w:t>
            </w:r>
          </w:p>
        </w:tc>
        <w:tc>
          <w:tcPr>
            <w:tcW w:w="1418" w:type="dxa"/>
            <w:shd w:val="clear" w:color="auto" w:fill="DBE5F1" w:themeFill="accent1" w:themeFillTint="33"/>
            <w:vAlign w:val="center"/>
            <w:hideMark/>
          </w:tcPr>
          <w:p w14:paraId="74579C7A"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SOC</w:t>
            </w:r>
          </w:p>
        </w:tc>
        <w:tc>
          <w:tcPr>
            <w:tcW w:w="850" w:type="dxa"/>
            <w:shd w:val="clear" w:color="auto" w:fill="DBE5F1" w:themeFill="accent1" w:themeFillTint="33"/>
            <w:vAlign w:val="center"/>
            <w:hideMark/>
          </w:tcPr>
          <w:p w14:paraId="601AF8DE"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D.61</w:t>
            </w:r>
          </w:p>
        </w:tc>
        <w:tc>
          <w:tcPr>
            <w:tcW w:w="1194" w:type="dxa"/>
            <w:shd w:val="clear" w:color="auto" w:fill="DBE5F1" w:themeFill="accent1" w:themeFillTint="33"/>
            <w:vAlign w:val="center"/>
            <w:hideMark/>
          </w:tcPr>
          <w:p w14:paraId="05CA42EE"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DBE5F1" w:themeFill="accent1" w:themeFillTint="33"/>
            <w:vAlign w:val="center"/>
            <w:hideMark/>
          </w:tcPr>
          <w:p w14:paraId="3B76559D"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DBE5F1" w:themeFill="accent1" w:themeFillTint="33"/>
            <w:noWrap/>
            <w:vAlign w:val="bottom"/>
            <w:hideMark/>
          </w:tcPr>
          <w:p w14:paraId="45BF47DE"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DBE5F1" w:themeFill="accent1" w:themeFillTint="33"/>
            <w:noWrap/>
            <w:vAlign w:val="center"/>
            <w:hideMark/>
          </w:tcPr>
          <w:p w14:paraId="5634F5B3"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992" w:type="dxa"/>
            <w:shd w:val="clear" w:color="auto" w:fill="DBE5F1" w:themeFill="accent1" w:themeFillTint="33"/>
            <w:noWrap/>
            <w:vAlign w:val="center"/>
            <w:hideMark/>
          </w:tcPr>
          <w:p w14:paraId="48C2BD00" w14:textId="77777777" w:rsidR="004646FF" w:rsidRPr="002E1FBD" w:rsidRDefault="004646FF" w:rsidP="004646FF">
            <w:pPr>
              <w:spacing w:after="0"/>
              <w:ind w:firstLine="0"/>
              <w:jc w:val="center"/>
              <w:rPr>
                <w:color w:val="000000"/>
                <w:sz w:val="22"/>
                <w:szCs w:val="22"/>
                <w:lang w:eastAsia="lv-LV"/>
              </w:rPr>
            </w:pPr>
            <w:r>
              <w:rPr>
                <w:color w:val="000000"/>
              </w:rPr>
              <w:t>0,08</w:t>
            </w:r>
          </w:p>
        </w:tc>
        <w:tc>
          <w:tcPr>
            <w:tcW w:w="851" w:type="dxa"/>
            <w:shd w:val="clear" w:color="auto" w:fill="DBE5F1" w:themeFill="accent1" w:themeFillTint="33"/>
            <w:noWrap/>
            <w:vAlign w:val="center"/>
            <w:hideMark/>
          </w:tcPr>
          <w:p w14:paraId="71D99532" w14:textId="77777777" w:rsidR="004646FF" w:rsidRPr="002E1FBD" w:rsidRDefault="004646FF" w:rsidP="004646FF">
            <w:pPr>
              <w:spacing w:after="0"/>
              <w:ind w:firstLine="0"/>
              <w:jc w:val="center"/>
              <w:rPr>
                <w:color w:val="000000"/>
                <w:sz w:val="22"/>
                <w:szCs w:val="22"/>
                <w:lang w:eastAsia="lv-LV"/>
              </w:rPr>
            </w:pPr>
            <w:r>
              <w:rPr>
                <w:color w:val="000000"/>
              </w:rPr>
              <w:t>0,05</w:t>
            </w:r>
          </w:p>
        </w:tc>
      </w:tr>
      <w:tr w:rsidR="004646FF" w:rsidRPr="002E1FBD" w14:paraId="4FC5AF75" w14:textId="77777777" w:rsidTr="00006BD6">
        <w:trPr>
          <w:trHeight w:val="20"/>
        </w:trPr>
        <w:tc>
          <w:tcPr>
            <w:tcW w:w="3114" w:type="dxa"/>
            <w:vMerge w:val="restart"/>
            <w:shd w:val="clear" w:color="auto" w:fill="auto"/>
            <w:vAlign w:val="center"/>
            <w:hideMark/>
          </w:tcPr>
          <w:p w14:paraId="2A0159F9"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Palielināt akciju sabiedrības "Latvijas valsts meži" dividendēs izmaksājamo peļņas daļu.</w:t>
            </w:r>
          </w:p>
        </w:tc>
        <w:tc>
          <w:tcPr>
            <w:tcW w:w="3118" w:type="dxa"/>
            <w:vMerge w:val="restart"/>
            <w:shd w:val="clear" w:color="auto" w:fill="auto"/>
            <w:vAlign w:val="center"/>
            <w:hideMark/>
          </w:tcPr>
          <w:p w14:paraId="10E5635A"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Palielināt akciju sabiedrības "Latvijas valsts meži" dividendēs izmaksājamo peļņas daļu par 2018.gadu.</w:t>
            </w:r>
          </w:p>
        </w:tc>
        <w:tc>
          <w:tcPr>
            <w:tcW w:w="1418" w:type="dxa"/>
            <w:shd w:val="clear" w:color="auto" w:fill="auto"/>
            <w:vAlign w:val="center"/>
            <w:hideMark/>
          </w:tcPr>
          <w:p w14:paraId="4B212885"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Nenodokļi</w:t>
            </w:r>
          </w:p>
        </w:tc>
        <w:tc>
          <w:tcPr>
            <w:tcW w:w="850" w:type="dxa"/>
            <w:shd w:val="clear" w:color="auto" w:fill="auto"/>
            <w:vAlign w:val="center"/>
            <w:hideMark/>
          </w:tcPr>
          <w:p w14:paraId="521C5254"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D.421</w:t>
            </w:r>
          </w:p>
        </w:tc>
        <w:tc>
          <w:tcPr>
            <w:tcW w:w="1194" w:type="dxa"/>
            <w:shd w:val="clear" w:color="auto" w:fill="auto"/>
            <w:vAlign w:val="center"/>
            <w:hideMark/>
          </w:tcPr>
          <w:p w14:paraId="238F3C74"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auto"/>
            <w:vAlign w:val="center"/>
            <w:hideMark/>
          </w:tcPr>
          <w:p w14:paraId="490F031C"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auto"/>
            <w:noWrap/>
            <w:vAlign w:val="bottom"/>
            <w:hideMark/>
          </w:tcPr>
          <w:p w14:paraId="5FF72243"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noWrap/>
            <w:vAlign w:val="center"/>
            <w:hideMark/>
          </w:tcPr>
          <w:p w14:paraId="26EA3D0F" w14:textId="77777777" w:rsidR="004646FF" w:rsidRPr="002E1FBD" w:rsidRDefault="004646FF" w:rsidP="004646FF">
            <w:pPr>
              <w:spacing w:after="0"/>
              <w:ind w:firstLine="0"/>
              <w:jc w:val="center"/>
              <w:rPr>
                <w:color w:val="000000"/>
                <w:sz w:val="22"/>
                <w:szCs w:val="22"/>
                <w:lang w:eastAsia="lv-LV"/>
              </w:rPr>
            </w:pPr>
            <w:r>
              <w:rPr>
                <w:color w:val="000000"/>
              </w:rPr>
              <w:t>0,12</w:t>
            </w:r>
          </w:p>
        </w:tc>
        <w:tc>
          <w:tcPr>
            <w:tcW w:w="992" w:type="dxa"/>
            <w:shd w:val="clear" w:color="auto" w:fill="auto"/>
            <w:noWrap/>
            <w:vAlign w:val="center"/>
            <w:hideMark/>
          </w:tcPr>
          <w:p w14:paraId="03351E54" w14:textId="77777777" w:rsidR="004646FF" w:rsidRPr="002E1FBD" w:rsidRDefault="004646FF" w:rsidP="004646FF">
            <w:pPr>
              <w:spacing w:after="0"/>
              <w:ind w:firstLine="0"/>
              <w:jc w:val="center"/>
              <w:rPr>
                <w:color w:val="000000"/>
                <w:sz w:val="22"/>
                <w:szCs w:val="22"/>
                <w:lang w:eastAsia="lv-LV"/>
              </w:rPr>
            </w:pPr>
            <w:r>
              <w:rPr>
                <w:color w:val="000000"/>
              </w:rPr>
              <w:t>-0,11</w:t>
            </w:r>
          </w:p>
        </w:tc>
        <w:tc>
          <w:tcPr>
            <w:tcW w:w="851" w:type="dxa"/>
            <w:shd w:val="clear" w:color="auto" w:fill="auto"/>
            <w:noWrap/>
            <w:vAlign w:val="center"/>
            <w:hideMark/>
          </w:tcPr>
          <w:p w14:paraId="27D920A2"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1DA0B972" w14:textId="77777777" w:rsidTr="000868D8">
        <w:trPr>
          <w:trHeight w:val="20"/>
        </w:trPr>
        <w:tc>
          <w:tcPr>
            <w:tcW w:w="3114" w:type="dxa"/>
            <w:vMerge/>
            <w:vAlign w:val="center"/>
            <w:hideMark/>
          </w:tcPr>
          <w:p w14:paraId="6DE90CB8" w14:textId="77777777" w:rsidR="004646FF" w:rsidRPr="002E1FBD" w:rsidRDefault="004646FF" w:rsidP="004646FF">
            <w:pPr>
              <w:spacing w:after="0"/>
              <w:ind w:firstLine="0"/>
              <w:rPr>
                <w:color w:val="000000"/>
                <w:sz w:val="22"/>
                <w:szCs w:val="22"/>
                <w:lang w:eastAsia="lv-LV"/>
              </w:rPr>
            </w:pPr>
          </w:p>
        </w:tc>
        <w:tc>
          <w:tcPr>
            <w:tcW w:w="3118" w:type="dxa"/>
            <w:vMerge/>
            <w:vAlign w:val="center"/>
            <w:hideMark/>
          </w:tcPr>
          <w:p w14:paraId="2099DA4B" w14:textId="77777777" w:rsidR="004646FF" w:rsidRPr="002E1FBD" w:rsidRDefault="004646FF" w:rsidP="004646FF">
            <w:pPr>
              <w:spacing w:after="0"/>
              <w:ind w:firstLine="0"/>
              <w:rPr>
                <w:color w:val="000000"/>
                <w:sz w:val="22"/>
                <w:szCs w:val="22"/>
                <w:lang w:eastAsia="lv-LV"/>
              </w:rPr>
            </w:pPr>
          </w:p>
        </w:tc>
        <w:tc>
          <w:tcPr>
            <w:tcW w:w="1418" w:type="dxa"/>
            <w:shd w:val="clear" w:color="auto" w:fill="DBE5F1" w:themeFill="accent1" w:themeFillTint="33"/>
            <w:vAlign w:val="center"/>
            <w:hideMark/>
          </w:tcPr>
          <w:p w14:paraId="49583501"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UIN</w:t>
            </w:r>
          </w:p>
        </w:tc>
        <w:tc>
          <w:tcPr>
            <w:tcW w:w="850" w:type="dxa"/>
            <w:shd w:val="clear" w:color="auto" w:fill="DBE5F1" w:themeFill="accent1" w:themeFillTint="33"/>
            <w:vAlign w:val="center"/>
            <w:hideMark/>
          </w:tcPr>
          <w:p w14:paraId="57F64552"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D.5</w:t>
            </w:r>
          </w:p>
        </w:tc>
        <w:tc>
          <w:tcPr>
            <w:tcW w:w="1194" w:type="dxa"/>
            <w:shd w:val="clear" w:color="auto" w:fill="DBE5F1" w:themeFill="accent1" w:themeFillTint="33"/>
            <w:vAlign w:val="center"/>
            <w:hideMark/>
          </w:tcPr>
          <w:p w14:paraId="1DCE5274"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DBE5F1" w:themeFill="accent1" w:themeFillTint="33"/>
            <w:vAlign w:val="center"/>
            <w:hideMark/>
          </w:tcPr>
          <w:p w14:paraId="0F3DE2B1"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DBE5F1" w:themeFill="accent1" w:themeFillTint="33"/>
            <w:noWrap/>
            <w:vAlign w:val="bottom"/>
            <w:hideMark/>
          </w:tcPr>
          <w:p w14:paraId="542E5CC4"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DBE5F1" w:themeFill="accent1" w:themeFillTint="33"/>
            <w:noWrap/>
            <w:vAlign w:val="center"/>
            <w:hideMark/>
          </w:tcPr>
          <w:p w14:paraId="11A9BB73" w14:textId="77777777" w:rsidR="004646FF" w:rsidRPr="002E1FBD" w:rsidRDefault="004646FF" w:rsidP="004646FF">
            <w:pPr>
              <w:spacing w:after="0"/>
              <w:ind w:firstLine="0"/>
              <w:jc w:val="center"/>
              <w:rPr>
                <w:color w:val="000000"/>
                <w:sz w:val="22"/>
                <w:szCs w:val="22"/>
                <w:lang w:eastAsia="lv-LV"/>
              </w:rPr>
            </w:pPr>
            <w:r>
              <w:rPr>
                <w:color w:val="000000"/>
              </w:rPr>
              <w:t>0,03</w:t>
            </w:r>
          </w:p>
        </w:tc>
        <w:tc>
          <w:tcPr>
            <w:tcW w:w="992" w:type="dxa"/>
            <w:shd w:val="clear" w:color="auto" w:fill="DBE5F1" w:themeFill="accent1" w:themeFillTint="33"/>
            <w:noWrap/>
            <w:vAlign w:val="center"/>
            <w:hideMark/>
          </w:tcPr>
          <w:p w14:paraId="3788E200" w14:textId="77777777" w:rsidR="004646FF" w:rsidRPr="002E1FBD" w:rsidRDefault="004646FF" w:rsidP="004646FF">
            <w:pPr>
              <w:spacing w:after="0"/>
              <w:ind w:firstLine="0"/>
              <w:jc w:val="center"/>
              <w:rPr>
                <w:color w:val="000000"/>
                <w:sz w:val="22"/>
                <w:szCs w:val="22"/>
                <w:lang w:eastAsia="lv-LV"/>
              </w:rPr>
            </w:pPr>
            <w:r>
              <w:rPr>
                <w:color w:val="000000"/>
              </w:rPr>
              <w:t>-0,03</w:t>
            </w:r>
          </w:p>
        </w:tc>
        <w:tc>
          <w:tcPr>
            <w:tcW w:w="851" w:type="dxa"/>
            <w:shd w:val="clear" w:color="auto" w:fill="DBE5F1" w:themeFill="accent1" w:themeFillTint="33"/>
            <w:noWrap/>
            <w:vAlign w:val="center"/>
            <w:hideMark/>
          </w:tcPr>
          <w:p w14:paraId="1952EED2"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5873A117" w14:textId="77777777" w:rsidTr="000868D8">
        <w:trPr>
          <w:trHeight w:val="20"/>
        </w:trPr>
        <w:tc>
          <w:tcPr>
            <w:tcW w:w="3114" w:type="dxa"/>
            <w:vMerge w:val="restart"/>
            <w:shd w:val="clear" w:color="auto" w:fill="DBE5F1" w:themeFill="accent1" w:themeFillTint="33"/>
            <w:vAlign w:val="center"/>
            <w:hideMark/>
          </w:tcPr>
          <w:p w14:paraId="39F70502" w14:textId="77777777" w:rsidR="004646FF" w:rsidRPr="002E1FBD" w:rsidRDefault="004646FF" w:rsidP="00BB535C">
            <w:pPr>
              <w:spacing w:after="0"/>
              <w:ind w:firstLine="0"/>
              <w:rPr>
                <w:color w:val="000000"/>
                <w:sz w:val="22"/>
                <w:szCs w:val="22"/>
                <w:lang w:eastAsia="lv-LV"/>
              </w:rPr>
            </w:pPr>
            <w:r w:rsidRPr="002E1FBD">
              <w:rPr>
                <w:color w:val="000000"/>
                <w:sz w:val="22"/>
                <w:szCs w:val="22"/>
                <w:lang w:eastAsia="lv-LV"/>
              </w:rPr>
              <w:t xml:space="preserve">MK 08.02.2019. sēdes protokllēmums samazināt valsts pamatbudžeta prognozējamos ieņēmumus valsts budžetā no valsts nodevas par naftas produktu drošības rezervju uzturēšanu un no </w:t>
            </w:r>
            <w:r w:rsidR="00BB535C">
              <w:rPr>
                <w:color w:val="000000"/>
                <w:sz w:val="22"/>
                <w:szCs w:val="22"/>
                <w:lang w:eastAsia="lv-LV"/>
              </w:rPr>
              <w:t>PVN</w:t>
            </w:r>
            <w:r w:rsidRPr="002E1FBD">
              <w:rPr>
                <w:color w:val="000000"/>
                <w:sz w:val="22"/>
                <w:szCs w:val="22"/>
                <w:lang w:eastAsia="lv-LV"/>
              </w:rPr>
              <w:t xml:space="preserve"> 2019.gadā.</w:t>
            </w:r>
          </w:p>
        </w:tc>
        <w:tc>
          <w:tcPr>
            <w:tcW w:w="3118" w:type="dxa"/>
            <w:vMerge w:val="restart"/>
            <w:shd w:val="clear" w:color="auto" w:fill="DBE5F1" w:themeFill="accent1" w:themeFillTint="33"/>
            <w:vAlign w:val="center"/>
            <w:hideMark/>
          </w:tcPr>
          <w:p w14:paraId="5487F937" w14:textId="77777777" w:rsidR="004646FF" w:rsidRPr="002E1FBD" w:rsidRDefault="004646FF" w:rsidP="00BB535C">
            <w:pPr>
              <w:spacing w:after="0"/>
              <w:ind w:firstLine="0"/>
              <w:rPr>
                <w:color w:val="000000"/>
                <w:sz w:val="22"/>
                <w:szCs w:val="22"/>
                <w:lang w:eastAsia="lv-LV"/>
              </w:rPr>
            </w:pPr>
            <w:r w:rsidRPr="002E1FBD">
              <w:rPr>
                <w:color w:val="000000"/>
                <w:sz w:val="22"/>
                <w:szCs w:val="22"/>
                <w:lang w:eastAsia="lv-LV"/>
              </w:rPr>
              <w:t xml:space="preserve">MK 08.02.2019. sēdes protokllēmums samazināt valsts pamatbudžeta prognozējamos ieņēmumus valsts budžetā no valsts nodevas par naftas produktu drošības rezervju uzturēšanu un no </w:t>
            </w:r>
            <w:r w:rsidR="00BB535C">
              <w:rPr>
                <w:color w:val="000000"/>
                <w:sz w:val="22"/>
                <w:szCs w:val="22"/>
                <w:lang w:eastAsia="lv-LV"/>
              </w:rPr>
              <w:t>PVN</w:t>
            </w:r>
            <w:r w:rsidRPr="002E1FBD">
              <w:rPr>
                <w:color w:val="000000"/>
                <w:sz w:val="22"/>
                <w:szCs w:val="22"/>
                <w:lang w:eastAsia="lv-LV"/>
              </w:rPr>
              <w:t xml:space="preserve"> 2019.gadā.</w:t>
            </w:r>
          </w:p>
        </w:tc>
        <w:tc>
          <w:tcPr>
            <w:tcW w:w="1418" w:type="dxa"/>
            <w:shd w:val="clear" w:color="auto" w:fill="auto"/>
            <w:vAlign w:val="center"/>
            <w:hideMark/>
          </w:tcPr>
          <w:p w14:paraId="7F708480"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PVN</w:t>
            </w:r>
          </w:p>
        </w:tc>
        <w:tc>
          <w:tcPr>
            <w:tcW w:w="850" w:type="dxa"/>
            <w:shd w:val="clear" w:color="auto" w:fill="auto"/>
            <w:vAlign w:val="center"/>
            <w:hideMark/>
          </w:tcPr>
          <w:p w14:paraId="1A981452"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D.2</w:t>
            </w:r>
          </w:p>
        </w:tc>
        <w:tc>
          <w:tcPr>
            <w:tcW w:w="1194" w:type="dxa"/>
            <w:shd w:val="clear" w:color="auto" w:fill="auto"/>
            <w:vAlign w:val="center"/>
            <w:hideMark/>
          </w:tcPr>
          <w:p w14:paraId="57503DF8"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auto"/>
            <w:vAlign w:val="center"/>
            <w:hideMark/>
          </w:tcPr>
          <w:p w14:paraId="3C662511"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auto"/>
            <w:noWrap/>
            <w:vAlign w:val="bottom"/>
            <w:hideMark/>
          </w:tcPr>
          <w:p w14:paraId="35A8CC14"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noWrap/>
            <w:vAlign w:val="center"/>
            <w:hideMark/>
          </w:tcPr>
          <w:p w14:paraId="27A9D902"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992" w:type="dxa"/>
            <w:shd w:val="clear" w:color="auto" w:fill="auto"/>
            <w:noWrap/>
            <w:vAlign w:val="center"/>
            <w:hideMark/>
          </w:tcPr>
          <w:p w14:paraId="39F6EEFA"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auto"/>
            <w:noWrap/>
            <w:vAlign w:val="center"/>
            <w:hideMark/>
          </w:tcPr>
          <w:p w14:paraId="513AD113"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70C05B85" w14:textId="77777777" w:rsidTr="000868D8">
        <w:trPr>
          <w:trHeight w:val="20"/>
        </w:trPr>
        <w:tc>
          <w:tcPr>
            <w:tcW w:w="3114" w:type="dxa"/>
            <w:vMerge/>
            <w:shd w:val="clear" w:color="auto" w:fill="DBE5F1" w:themeFill="accent1" w:themeFillTint="33"/>
            <w:vAlign w:val="center"/>
            <w:hideMark/>
          </w:tcPr>
          <w:p w14:paraId="66F7CB5E" w14:textId="77777777" w:rsidR="004646FF" w:rsidRPr="002E1FBD" w:rsidRDefault="004646FF" w:rsidP="004646FF">
            <w:pPr>
              <w:spacing w:after="0"/>
              <w:ind w:firstLine="0"/>
              <w:rPr>
                <w:color w:val="000000"/>
                <w:sz w:val="22"/>
                <w:szCs w:val="22"/>
                <w:lang w:eastAsia="lv-LV"/>
              </w:rPr>
            </w:pPr>
          </w:p>
        </w:tc>
        <w:tc>
          <w:tcPr>
            <w:tcW w:w="3118" w:type="dxa"/>
            <w:vMerge/>
            <w:shd w:val="clear" w:color="auto" w:fill="DBE5F1" w:themeFill="accent1" w:themeFillTint="33"/>
            <w:vAlign w:val="center"/>
            <w:hideMark/>
          </w:tcPr>
          <w:p w14:paraId="4B41B116" w14:textId="77777777" w:rsidR="004646FF" w:rsidRPr="002E1FBD" w:rsidRDefault="004646FF" w:rsidP="004646FF">
            <w:pPr>
              <w:spacing w:after="0"/>
              <w:ind w:firstLine="0"/>
              <w:rPr>
                <w:color w:val="000000"/>
                <w:sz w:val="22"/>
                <w:szCs w:val="22"/>
                <w:lang w:eastAsia="lv-LV"/>
              </w:rPr>
            </w:pPr>
          </w:p>
        </w:tc>
        <w:tc>
          <w:tcPr>
            <w:tcW w:w="1418" w:type="dxa"/>
            <w:shd w:val="clear" w:color="auto" w:fill="DBE5F1" w:themeFill="accent1" w:themeFillTint="33"/>
            <w:vAlign w:val="center"/>
            <w:hideMark/>
          </w:tcPr>
          <w:p w14:paraId="32336DF6"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Nenodokļi</w:t>
            </w:r>
          </w:p>
        </w:tc>
        <w:tc>
          <w:tcPr>
            <w:tcW w:w="850" w:type="dxa"/>
            <w:shd w:val="clear" w:color="auto" w:fill="DBE5F1" w:themeFill="accent1" w:themeFillTint="33"/>
            <w:vAlign w:val="center"/>
            <w:hideMark/>
          </w:tcPr>
          <w:p w14:paraId="7A0E4F74"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D.214</w:t>
            </w:r>
          </w:p>
        </w:tc>
        <w:tc>
          <w:tcPr>
            <w:tcW w:w="1194" w:type="dxa"/>
            <w:shd w:val="clear" w:color="auto" w:fill="DBE5F1" w:themeFill="accent1" w:themeFillTint="33"/>
            <w:vAlign w:val="center"/>
            <w:hideMark/>
          </w:tcPr>
          <w:p w14:paraId="120B1439"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Uzkrājuma</w:t>
            </w:r>
          </w:p>
        </w:tc>
        <w:tc>
          <w:tcPr>
            <w:tcW w:w="1560" w:type="dxa"/>
            <w:shd w:val="clear" w:color="auto" w:fill="DBE5F1" w:themeFill="accent1" w:themeFillTint="33"/>
            <w:vAlign w:val="center"/>
            <w:hideMark/>
          </w:tcPr>
          <w:p w14:paraId="4E138494"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DBE5F1" w:themeFill="accent1" w:themeFillTint="33"/>
            <w:noWrap/>
            <w:vAlign w:val="bottom"/>
            <w:hideMark/>
          </w:tcPr>
          <w:p w14:paraId="5DD2129B"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DBE5F1" w:themeFill="accent1" w:themeFillTint="33"/>
            <w:noWrap/>
            <w:vAlign w:val="center"/>
            <w:hideMark/>
          </w:tcPr>
          <w:p w14:paraId="5F20B347" w14:textId="77777777" w:rsidR="004646FF" w:rsidRPr="002E1FBD" w:rsidRDefault="004646FF" w:rsidP="004646FF">
            <w:pPr>
              <w:spacing w:after="0"/>
              <w:ind w:firstLine="0"/>
              <w:jc w:val="center"/>
              <w:rPr>
                <w:color w:val="000000"/>
                <w:sz w:val="22"/>
                <w:szCs w:val="22"/>
                <w:lang w:eastAsia="lv-LV"/>
              </w:rPr>
            </w:pPr>
            <w:r>
              <w:rPr>
                <w:color w:val="000000"/>
              </w:rPr>
              <w:t>-0,01</w:t>
            </w:r>
          </w:p>
        </w:tc>
        <w:tc>
          <w:tcPr>
            <w:tcW w:w="992" w:type="dxa"/>
            <w:shd w:val="clear" w:color="auto" w:fill="DBE5F1" w:themeFill="accent1" w:themeFillTint="33"/>
            <w:noWrap/>
            <w:vAlign w:val="center"/>
            <w:hideMark/>
          </w:tcPr>
          <w:p w14:paraId="048A8503" w14:textId="77777777" w:rsidR="004646FF" w:rsidRPr="002E1FBD" w:rsidRDefault="004646FF" w:rsidP="004646FF">
            <w:pPr>
              <w:spacing w:after="0"/>
              <w:ind w:firstLine="0"/>
              <w:jc w:val="center"/>
              <w:rPr>
                <w:color w:val="000000"/>
                <w:sz w:val="22"/>
                <w:szCs w:val="22"/>
                <w:lang w:eastAsia="lv-LV"/>
              </w:rPr>
            </w:pPr>
            <w:r>
              <w:rPr>
                <w:color w:val="000000"/>
              </w:rPr>
              <w:t>0,01</w:t>
            </w:r>
          </w:p>
        </w:tc>
        <w:tc>
          <w:tcPr>
            <w:tcW w:w="851" w:type="dxa"/>
            <w:shd w:val="clear" w:color="auto" w:fill="DBE5F1" w:themeFill="accent1" w:themeFillTint="33"/>
            <w:noWrap/>
            <w:vAlign w:val="center"/>
            <w:hideMark/>
          </w:tcPr>
          <w:p w14:paraId="511D6BE0"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43A72220" w14:textId="77777777" w:rsidTr="00006BD6">
        <w:trPr>
          <w:trHeight w:val="20"/>
        </w:trPr>
        <w:tc>
          <w:tcPr>
            <w:tcW w:w="3114" w:type="dxa"/>
            <w:vMerge w:val="restart"/>
            <w:shd w:val="clear" w:color="auto" w:fill="auto"/>
            <w:vAlign w:val="center"/>
            <w:hideMark/>
          </w:tcPr>
          <w:p w14:paraId="1E83F3C8"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 xml:space="preserve">Papildu finansējums veselības aprūpes darbinieku (veselības, tieslietu, izglītības, iekšlietu un </w:t>
            </w:r>
            <w:r w:rsidRPr="002E1FBD">
              <w:rPr>
                <w:color w:val="000000"/>
                <w:sz w:val="22"/>
                <w:szCs w:val="22"/>
                <w:lang w:eastAsia="lv-LV"/>
              </w:rPr>
              <w:lastRenderedPageBreak/>
              <w:t xml:space="preserve">labklājības nozares jomā strādājošiem) darba samaksas paaugstināšanai </w:t>
            </w:r>
          </w:p>
        </w:tc>
        <w:tc>
          <w:tcPr>
            <w:tcW w:w="3118" w:type="dxa"/>
            <w:vMerge w:val="restart"/>
            <w:shd w:val="clear" w:color="auto" w:fill="auto"/>
            <w:vAlign w:val="center"/>
            <w:hideMark/>
          </w:tcPr>
          <w:p w14:paraId="472BF9E0"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lastRenderedPageBreak/>
              <w:t xml:space="preserve">Papildu finansējums veselības aprūpes darbinieku (veselības, tieslietu, izglītības, iekšlietu un </w:t>
            </w:r>
            <w:r w:rsidRPr="002E1FBD">
              <w:rPr>
                <w:color w:val="000000"/>
                <w:sz w:val="22"/>
                <w:szCs w:val="22"/>
                <w:lang w:eastAsia="lv-LV"/>
              </w:rPr>
              <w:lastRenderedPageBreak/>
              <w:t xml:space="preserve">labklājības nozares jomā strādājošiem) darba samaksas paaugstināšanai </w:t>
            </w:r>
          </w:p>
        </w:tc>
        <w:tc>
          <w:tcPr>
            <w:tcW w:w="1418" w:type="dxa"/>
            <w:shd w:val="clear" w:color="auto" w:fill="auto"/>
            <w:vAlign w:val="center"/>
            <w:hideMark/>
          </w:tcPr>
          <w:p w14:paraId="7D1DE561"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lastRenderedPageBreak/>
              <w:t>IIN</w:t>
            </w:r>
          </w:p>
        </w:tc>
        <w:tc>
          <w:tcPr>
            <w:tcW w:w="850" w:type="dxa"/>
            <w:shd w:val="clear" w:color="auto" w:fill="auto"/>
            <w:vAlign w:val="center"/>
            <w:hideMark/>
          </w:tcPr>
          <w:p w14:paraId="7EF5C6BA"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D.5</w:t>
            </w:r>
          </w:p>
        </w:tc>
        <w:tc>
          <w:tcPr>
            <w:tcW w:w="1194" w:type="dxa"/>
            <w:shd w:val="clear" w:color="auto" w:fill="auto"/>
            <w:vAlign w:val="center"/>
            <w:hideMark/>
          </w:tcPr>
          <w:p w14:paraId="35D5BD97"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Naudas plūsmas</w:t>
            </w:r>
          </w:p>
        </w:tc>
        <w:tc>
          <w:tcPr>
            <w:tcW w:w="1560" w:type="dxa"/>
            <w:shd w:val="clear" w:color="auto" w:fill="auto"/>
            <w:vAlign w:val="center"/>
            <w:hideMark/>
          </w:tcPr>
          <w:p w14:paraId="63D7129C"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auto"/>
            <w:noWrap/>
            <w:vAlign w:val="bottom"/>
            <w:hideMark/>
          </w:tcPr>
          <w:p w14:paraId="4CF1D2D2"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noWrap/>
            <w:vAlign w:val="center"/>
            <w:hideMark/>
          </w:tcPr>
          <w:p w14:paraId="7431AE8F" w14:textId="77777777" w:rsidR="004646FF" w:rsidRPr="002E1FBD" w:rsidRDefault="004646FF" w:rsidP="004646FF">
            <w:pPr>
              <w:spacing w:after="0"/>
              <w:ind w:firstLine="0"/>
              <w:jc w:val="center"/>
              <w:rPr>
                <w:color w:val="000000"/>
                <w:sz w:val="22"/>
                <w:szCs w:val="22"/>
                <w:lang w:eastAsia="lv-LV"/>
              </w:rPr>
            </w:pPr>
            <w:r>
              <w:rPr>
                <w:color w:val="000000"/>
              </w:rPr>
              <w:t>0,01</w:t>
            </w:r>
          </w:p>
        </w:tc>
        <w:tc>
          <w:tcPr>
            <w:tcW w:w="992" w:type="dxa"/>
            <w:shd w:val="clear" w:color="auto" w:fill="auto"/>
            <w:noWrap/>
            <w:vAlign w:val="center"/>
            <w:hideMark/>
          </w:tcPr>
          <w:p w14:paraId="31028FD9"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auto"/>
            <w:noWrap/>
            <w:vAlign w:val="center"/>
            <w:hideMark/>
          </w:tcPr>
          <w:p w14:paraId="4A5540E3"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000EFB02" w14:textId="77777777" w:rsidTr="000868D8">
        <w:trPr>
          <w:trHeight w:val="20"/>
        </w:trPr>
        <w:tc>
          <w:tcPr>
            <w:tcW w:w="3114" w:type="dxa"/>
            <w:vMerge/>
            <w:vAlign w:val="center"/>
            <w:hideMark/>
          </w:tcPr>
          <w:p w14:paraId="7DD50169" w14:textId="77777777" w:rsidR="004646FF" w:rsidRPr="002E1FBD" w:rsidRDefault="004646FF" w:rsidP="004646FF">
            <w:pPr>
              <w:spacing w:after="0"/>
              <w:ind w:firstLine="0"/>
              <w:rPr>
                <w:color w:val="000000"/>
                <w:sz w:val="22"/>
                <w:szCs w:val="22"/>
                <w:lang w:eastAsia="lv-LV"/>
              </w:rPr>
            </w:pPr>
          </w:p>
        </w:tc>
        <w:tc>
          <w:tcPr>
            <w:tcW w:w="3118" w:type="dxa"/>
            <w:vMerge/>
            <w:vAlign w:val="center"/>
            <w:hideMark/>
          </w:tcPr>
          <w:p w14:paraId="6FA4068A" w14:textId="77777777" w:rsidR="004646FF" w:rsidRPr="002E1FBD" w:rsidRDefault="004646FF" w:rsidP="004646FF">
            <w:pPr>
              <w:spacing w:after="0"/>
              <w:ind w:firstLine="0"/>
              <w:rPr>
                <w:color w:val="000000"/>
                <w:sz w:val="22"/>
                <w:szCs w:val="22"/>
                <w:lang w:eastAsia="lv-LV"/>
              </w:rPr>
            </w:pPr>
          </w:p>
        </w:tc>
        <w:tc>
          <w:tcPr>
            <w:tcW w:w="1418" w:type="dxa"/>
            <w:shd w:val="clear" w:color="auto" w:fill="DBE5F1" w:themeFill="accent1" w:themeFillTint="33"/>
            <w:vAlign w:val="center"/>
            <w:hideMark/>
          </w:tcPr>
          <w:p w14:paraId="029BBD78"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SOC</w:t>
            </w:r>
          </w:p>
        </w:tc>
        <w:tc>
          <w:tcPr>
            <w:tcW w:w="850" w:type="dxa"/>
            <w:shd w:val="clear" w:color="auto" w:fill="DBE5F1" w:themeFill="accent1" w:themeFillTint="33"/>
            <w:vAlign w:val="center"/>
            <w:hideMark/>
          </w:tcPr>
          <w:p w14:paraId="2BC05646"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D.61</w:t>
            </w:r>
          </w:p>
        </w:tc>
        <w:tc>
          <w:tcPr>
            <w:tcW w:w="1194" w:type="dxa"/>
            <w:shd w:val="clear" w:color="auto" w:fill="DBE5F1" w:themeFill="accent1" w:themeFillTint="33"/>
            <w:vAlign w:val="center"/>
            <w:hideMark/>
          </w:tcPr>
          <w:p w14:paraId="0CBA7F52"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 xml:space="preserve">Naudas </w:t>
            </w:r>
            <w:r w:rsidRPr="002E1FBD">
              <w:rPr>
                <w:color w:val="000000"/>
                <w:sz w:val="22"/>
                <w:szCs w:val="22"/>
                <w:lang w:eastAsia="lv-LV"/>
              </w:rPr>
              <w:lastRenderedPageBreak/>
              <w:t>plūsmas</w:t>
            </w:r>
          </w:p>
        </w:tc>
        <w:tc>
          <w:tcPr>
            <w:tcW w:w="1560" w:type="dxa"/>
            <w:shd w:val="clear" w:color="auto" w:fill="DBE5F1" w:themeFill="accent1" w:themeFillTint="33"/>
            <w:vAlign w:val="center"/>
            <w:hideMark/>
          </w:tcPr>
          <w:p w14:paraId="69B326A2"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lastRenderedPageBreak/>
              <w:t>Pieņemts</w:t>
            </w:r>
          </w:p>
        </w:tc>
        <w:tc>
          <w:tcPr>
            <w:tcW w:w="730" w:type="dxa"/>
            <w:shd w:val="clear" w:color="auto" w:fill="DBE5F1" w:themeFill="accent1" w:themeFillTint="33"/>
            <w:noWrap/>
            <w:vAlign w:val="bottom"/>
            <w:hideMark/>
          </w:tcPr>
          <w:p w14:paraId="18DDF763"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DBE5F1" w:themeFill="accent1" w:themeFillTint="33"/>
            <w:noWrap/>
            <w:vAlign w:val="center"/>
            <w:hideMark/>
          </w:tcPr>
          <w:p w14:paraId="16683EF9" w14:textId="77777777" w:rsidR="004646FF" w:rsidRPr="002E1FBD" w:rsidRDefault="004646FF" w:rsidP="004646FF">
            <w:pPr>
              <w:spacing w:after="0"/>
              <w:ind w:firstLine="0"/>
              <w:jc w:val="center"/>
              <w:rPr>
                <w:color w:val="000000"/>
                <w:sz w:val="22"/>
                <w:szCs w:val="22"/>
                <w:lang w:eastAsia="lv-LV"/>
              </w:rPr>
            </w:pPr>
            <w:r>
              <w:rPr>
                <w:color w:val="000000"/>
              </w:rPr>
              <w:t>0,06</w:t>
            </w:r>
          </w:p>
        </w:tc>
        <w:tc>
          <w:tcPr>
            <w:tcW w:w="992" w:type="dxa"/>
            <w:shd w:val="clear" w:color="auto" w:fill="DBE5F1" w:themeFill="accent1" w:themeFillTint="33"/>
            <w:noWrap/>
            <w:vAlign w:val="center"/>
            <w:hideMark/>
          </w:tcPr>
          <w:p w14:paraId="38449E2A"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DBE5F1" w:themeFill="accent1" w:themeFillTint="33"/>
            <w:noWrap/>
            <w:vAlign w:val="center"/>
            <w:hideMark/>
          </w:tcPr>
          <w:p w14:paraId="3B748494"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30AA81B9" w14:textId="77777777" w:rsidTr="00006BD6">
        <w:trPr>
          <w:trHeight w:val="20"/>
        </w:trPr>
        <w:tc>
          <w:tcPr>
            <w:tcW w:w="3114" w:type="dxa"/>
            <w:vMerge/>
            <w:vAlign w:val="center"/>
            <w:hideMark/>
          </w:tcPr>
          <w:p w14:paraId="59C03C04" w14:textId="77777777" w:rsidR="004646FF" w:rsidRPr="002E1FBD" w:rsidRDefault="004646FF" w:rsidP="004646FF">
            <w:pPr>
              <w:spacing w:after="0"/>
              <w:ind w:firstLine="0"/>
              <w:rPr>
                <w:color w:val="000000"/>
                <w:sz w:val="22"/>
                <w:szCs w:val="22"/>
                <w:lang w:eastAsia="lv-LV"/>
              </w:rPr>
            </w:pPr>
          </w:p>
        </w:tc>
        <w:tc>
          <w:tcPr>
            <w:tcW w:w="3118" w:type="dxa"/>
            <w:vMerge/>
            <w:vAlign w:val="center"/>
            <w:hideMark/>
          </w:tcPr>
          <w:p w14:paraId="3ECB3973" w14:textId="77777777" w:rsidR="004646FF" w:rsidRPr="002E1FBD" w:rsidRDefault="004646FF" w:rsidP="004646FF">
            <w:pPr>
              <w:spacing w:after="0"/>
              <w:ind w:firstLine="0"/>
              <w:rPr>
                <w:color w:val="000000"/>
                <w:sz w:val="22"/>
                <w:szCs w:val="22"/>
                <w:lang w:eastAsia="lv-LV"/>
              </w:rPr>
            </w:pPr>
          </w:p>
        </w:tc>
        <w:tc>
          <w:tcPr>
            <w:tcW w:w="1418" w:type="dxa"/>
            <w:shd w:val="clear" w:color="auto" w:fill="auto"/>
            <w:vAlign w:val="center"/>
            <w:hideMark/>
          </w:tcPr>
          <w:p w14:paraId="1567C9A5"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SOC veselības finansēšanai</w:t>
            </w:r>
          </w:p>
        </w:tc>
        <w:tc>
          <w:tcPr>
            <w:tcW w:w="850" w:type="dxa"/>
            <w:shd w:val="clear" w:color="auto" w:fill="auto"/>
            <w:vAlign w:val="center"/>
            <w:hideMark/>
          </w:tcPr>
          <w:p w14:paraId="49AF82C0"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D.61</w:t>
            </w:r>
          </w:p>
        </w:tc>
        <w:tc>
          <w:tcPr>
            <w:tcW w:w="1194" w:type="dxa"/>
            <w:shd w:val="clear" w:color="auto" w:fill="auto"/>
            <w:vAlign w:val="center"/>
            <w:hideMark/>
          </w:tcPr>
          <w:p w14:paraId="6D37E859"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Naudas plūsmas</w:t>
            </w:r>
          </w:p>
        </w:tc>
        <w:tc>
          <w:tcPr>
            <w:tcW w:w="1560" w:type="dxa"/>
            <w:shd w:val="clear" w:color="auto" w:fill="auto"/>
            <w:vAlign w:val="center"/>
            <w:hideMark/>
          </w:tcPr>
          <w:p w14:paraId="14D98E0E"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auto"/>
            <w:noWrap/>
            <w:vAlign w:val="bottom"/>
            <w:hideMark/>
          </w:tcPr>
          <w:p w14:paraId="792B5BF7"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noWrap/>
            <w:vAlign w:val="center"/>
            <w:hideMark/>
          </w:tcPr>
          <w:p w14:paraId="0F740B5E"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992" w:type="dxa"/>
            <w:shd w:val="clear" w:color="auto" w:fill="auto"/>
            <w:noWrap/>
            <w:vAlign w:val="center"/>
            <w:hideMark/>
          </w:tcPr>
          <w:p w14:paraId="71E4D9B5"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auto"/>
            <w:noWrap/>
            <w:vAlign w:val="center"/>
            <w:hideMark/>
          </w:tcPr>
          <w:p w14:paraId="7380D64F"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642115AC" w14:textId="77777777" w:rsidTr="000868D8">
        <w:trPr>
          <w:trHeight w:val="20"/>
        </w:trPr>
        <w:tc>
          <w:tcPr>
            <w:tcW w:w="3114" w:type="dxa"/>
            <w:vMerge/>
            <w:vAlign w:val="center"/>
            <w:hideMark/>
          </w:tcPr>
          <w:p w14:paraId="183F54C6" w14:textId="77777777" w:rsidR="004646FF" w:rsidRPr="002E1FBD" w:rsidRDefault="004646FF" w:rsidP="004646FF">
            <w:pPr>
              <w:spacing w:after="0"/>
              <w:ind w:firstLine="0"/>
              <w:rPr>
                <w:color w:val="000000"/>
                <w:sz w:val="22"/>
                <w:szCs w:val="22"/>
                <w:lang w:eastAsia="lv-LV"/>
              </w:rPr>
            </w:pPr>
          </w:p>
        </w:tc>
        <w:tc>
          <w:tcPr>
            <w:tcW w:w="3118" w:type="dxa"/>
            <w:vMerge/>
            <w:vAlign w:val="center"/>
            <w:hideMark/>
          </w:tcPr>
          <w:p w14:paraId="50A3FD1B" w14:textId="77777777" w:rsidR="004646FF" w:rsidRPr="002E1FBD" w:rsidRDefault="004646FF" w:rsidP="004646FF">
            <w:pPr>
              <w:spacing w:after="0"/>
              <w:ind w:firstLine="0"/>
              <w:rPr>
                <w:color w:val="000000"/>
                <w:sz w:val="22"/>
                <w:szCs w:val="22"/>
                <w:lang w:eastAsia="lv-LV"/>
              </w:rPr>
            </w:pPr>
          </w:p>
        </w:tc>
        <w:tc>
          <w:tcPr>
            <w:tcW w:w="1418" w:type="dxa"/>
            <w:shd w:val="clear" w:color="auto" w:fill="DBE5F1" w:themeFill="accent1" w:themeFillTint="33"/>
            <w:vAlign w:val="center"/>
            <w:hideMark/>
          </w:tcPr>
          <w:p w14:paraId="3E31D218"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PVN</w:t>
            </w:r>
          </w:p>
        </w:tc>
        <w:tc>
          <w:tcPr>
            <w:tcW w:w="850" w:type="dxa"/>
            <w:shd w:val="clear" w:color="auto" w:fill="DBE5F1" w:themeFill="accent1" w:themeFillTint="33"/>
            <w:vAlign w:val="center"/>
            <w:hideMark/>
          </w:tcPr>
          <w:p w14:paraId="1855C208"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D.2</w:t>
            </w:r>
          </w:p>
        </w:tc>
        <w:tc>
          <w:tcPr>
            <w:tcW w:w="1194" w:type="dxa"/>
            <w:shd w:val="clear" w:color="auto" w:fill="DBE5F1" w:themeFill="accent1" w:themeFillTint="33"/>
            <w:vAlign w:val="center"/>
            <w:hideMark/>
          </w:tcPr>
          <w:p w14:paraId="2D01622F"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Naudas plūsmas</w:t>
            </w:r>
          </w:p>
        </w:tc>
        <w:tc>
          <w:tcPr>
            <w:tcW w:w="1560" w:type="dxa"/>
            <w:shd w:val="clear" w:color="auto" w:fill="DBE5F1" w:themeFill="accent1" w:themeFillTint="33"/>
            <w:vAlign w:val="center"/>
            <w:hideMark/>
          </w:tcPr>
          <w:p w14:paraId="29205E2C"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DBE5F1" w:themeFill="accent1" w:themeFillTint="33"/>
            <w:noWrap/>
            <w:vAlign w:val="bottom"/>
            <w:hideMark/>
          </w:tcPr>
          <w:p w14:paraId="59C98132"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DBE5F1" w:themeFill="accent1" w:themeFillTint="33"/>
            <w:noWrap/>
            <w:vAlign w:val="center"/>
            <w:hideMark/>
          </w:tcPr>
          <w:p w14:paraId="226E3262"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992" w:type="dxa"/>
            <w:shd w:val="clear" w:color="auto" w:fill="DBE5F1" w:themeFill="accent1" w:themeFillTint="33"/>
            <w:noWrap/>
            <w:vAlign w:val="center"/>
            <w:hideMark/>
          </w:tcPr>
          <w:p w14:paraId="788F9D8F"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DBE5F1" w:themeFill="accent1" w:themeFillTint="33"/>
            <w:noWrap/>
            <w:vAlign w:val="center"/>
            <w:hideMark/>
          </w:tcPr>
          <w:p w14:paraId="389C6D7D"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0BE15CD5" w14:textId="77777777" w:rsidTr="000868D8">
        <w:trPr>
          <w:trHeight w:val="20"/>
        </w:trPr>
        <w:tc>
          <w:tcPr>
            <w:tcW w:w="3114" w:type="dxa"/>
            <w:vMerge w:val="restart"/>
            <w:shd w:val="clear" w:color="auto" w:fill="DBE5F1" w:themeFill="accent1" w:themeFillTint="33"/>
            <w:vAlign w:val="center"/>
            <w:hideMark/>
          </w:tcPr>
          <w:p w14:paraId="64494957"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Papildu finansējums algu palielināšana tiesnešiem un prokuroriem, izdienas piemaksu nodrošināšanai KNAB un izdienas pabalsts pēc katriem 5 nepārtrauktas izdienas gadiem IeM amatpersonām</w:t>
            </w:r>
          </w:p>
        </w:tc>
        <w:tc>
          <w:tcPr>
            <w:tcW w:w="3118" w:type="dxa"/>
            <w:vMerge w:val="restart"/>
            <w:shd w:val="clear" w:color="auto" w:fill="DBE5F1" w:themeFill="accent1" w:themeFillTint="33"/>
            <w:vAlign w:val="center"/>
            <w:hideMark/>
          </w:tcPr>
          <w:p w14:paraId="6A8F70FC" w14:textId="77777777" w:rsidR="004646FF" w:rsidRPr="002E1FBD" w:rsidRDefault="004646FF" w:rsidP="004646FF">
            <w:pPr>
              <w:spacing w:after="0"/>
              <w:ind w:firstLine="0"/>
              <w:rPr>
                <w:color w:val="000000"/>
                <w:sz w:val="22"/>
                <w:szCs w:val="22"/>
                <w:lang w:eastAsia="lv-LV"/>
              </w:rPr>
            </w:pPr>
            <w:r w:rsidRPr="002E1FBD">
              <w:rPr>
                <w:color w:val="000000"/>
                <w:sz w:val="22"/>
                <w:szCs w:val="22"/>
                <w:lang w:eastAsia="lv-LV"/>
              </w:rPr>
              <w:t>Papildu finansējums algu palielināšana tiesnešiem un prokuroriem, izdienas piemaksu nodrošināšanai KNAB un izdienas pabalsts pēc katriem 5 nepārtrauktas izdienas gadiem IeM amatpersonām</w:t>
            </w:r>
          </w:p>
        </w:tc>
        <w:tc>
          <w:tcPr>
            <w:tcW w:w="1418" w:type="dxa"/>
            <w:shd w:val="clear" w:color="auto" w:fill="auto"/>
            <w:vAlign w:val="center"/>
            <w:hideMark/>
          </w:tcPr>
          <w:p w14:paraId="1BEE6058"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IIN</w:t>
            </w:r>
          </w:p>
        </w:tc>
        <w:tc>
          <w:tcPr>
            <w:tcW w:w="850" w:type="dxa"/>
            <w:shd w:val="clear" w:color="auto" w:fill="auto"/>
            <w:vAlign w:val="center"/>
            <w:hideMark/>
          </w:tcPr>
          <w:p w14:paraId="22F2DFEB"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D.5</w:t>
            </w:r>
          </w:p>
        </w:tc>
        <w:tc>
          <w:tcPr>
            <w:tcW w:w="1194" w:type="dxa"/>
            <w:shd w:val="clear" w:color="auto" w:fill="auto"/>
            <w:vAlign w:val="center"/>
            <w:hideMark/>
          </w:tcPr>
          <w:p w14:paraId="5A850CF1"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Naudas plūsmas</w:t>
            </w:r>
          </w:p>
        </w:tc>
        <w:tc>
          <w:tcPr>
            <w:tcW w:w="1560" w:type="dxa"/>
            <w:shd w:val="clear" w:color="auto" w:fill="auto"/>
            <w:vAlign w:val="center"/>
            <w:hideMark/>
          </w:tcPr>
          <w:p w14:paraId="3D4E59D6"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auto"/>
            <w:noWrap/>
            <w:vAlign w:val="bottom"/>
            <w:hideMark/>
          </w:tcPr>
          <w:p w14:paraId="01D929E2"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noWrap/>
            <w:vAlign w:val="center"/>
            <w:hideMark/>
          </w:tcPr>
          <w:p w14:paraId="03286CFE"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992" w:type="dxa"/>
            <w:shd w:val="clear" w:color="auto" w:fill="auto"/>
            <w:noWrap/>
            <w:vAlign w:val="center"/>
            <w:hideMark/>
          </w:tcPr>
          <w:p w14:paraId="40E9EDFE"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auto"/>
            <w:noWrap/>
            <w:vAlign w:val="center"/>
            <w:hideMark/>
          </w:tcPr>
          <w:p w14:paraId="695C1011"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1A9EBF82" w14:textId="77777777" w:rsidTr="000868D8">
        <w:trPr>
          <w:trHeight w:val="20"/>
        </w:trPr>
        <w:tc>
          <w:tcPr>
            <w:tcW w:w="3114" w:type="dxa"/>
            <w:vMerge/>
            <w:shd w:val="clear" w:color="auto" w:fill="DBE5F1" w:themeFill="accent1" w:themeFillTint="33"/>
            <w:vAlign w:val="center"/>
            <w:hideMark/>
          </w:tcPr>
          <w:p w14:paraId="5FB30622" w14:textId="77777777" w:rsidR="004646FF" w:rsidRPr="002E1FBD" w:rsidRDefault="004646FF" w:rsidP="004646FF">
            <w:pPr>
              <w:spacing w:after="0"/>
              <w:ind w:firstLine="0"/>
              <w:rPr>
                <w:color w:val="000000"/>
                <w:sz w:val="22"/>
                <w:szCs w:val="22"/>
                <w:lang w:eastAsia="lv-LV"/>
              </w:rPr>
            </w:pPr>
          </w:p>
        </w:tc>
        <w:tc>
          <w:tcPr>
            <w:tcW w:w="3118" w:type="dxa"/>
            <w:vMerge/>
            <w:shd w:val="clear" w:color="auto" w:fill="DBE5F1" w:themeFill="accent1" w:themeFillTint="33"/>
            <w:vAlign w:val="center"/>
            <w:hideMark/>
          </w:tcPr>
          <w:p w14:paraId="71FF2D60" w14:textId="77777777" w:rsidR="004646FF" w:rsidRPr="002E1FBD" w:rsidRDefault="004646FF" w:rsidP="004646FF">
            <w:pPr>
              <w:spacing w:after="0"/>
              <w:ind w:firstLine="0"/>
              <w:rPr>
                <w:color w:val="000000"/>
                <w:sz w:val="22"/>
                <w:szCs w:val="22"/>
                <w:lang w:eastAsia="lv-LV"/>
              </w:rPr>
            </w:pPr>
          </w:p>
        </w:tc>
        <w:tc>
          <w:tcPr>
            <w:tcW w:w="1418" w:type="dxa"/>
            <w:shd w:val="clear" w:color="auto" w:fill="DBE5F1" w:themeFill="accent1" w:themeFillTint="33"/>
            <w:vAlign w:val="center"/>
            <w:hideMark/>
          </w:tcPr>
          <w:p w14:paraId="657CB2B6"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SOC</w:t>
            </w:r>
          </w:p>
        </w:tc>
        <w:tc>
          <w:tcPr>
            <w:tcW w:w="850" w:type="dxa"/>
            <w:shd w:val="clear" w:color="auto" w:fill="DBE5F1" w:themeFill="accent1" w:themeFillTint="33"/>
            <w:vAlign w:val="center"/>
            <w:hideMark/>
          </w:tcPr>
          <w:p w14:paraId="7BE0CD40"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D.61</w:t>
            </w:r>
          </w:p>
        </w:tc>
        <w:tc>
          <w:tcPr>
            <w:tcW w:w="1194" w:type="dxa"/>
            <w:shd w:val="clear" w:color="auto" w:fill="DBE5F1" w:themeFill="accent1" w:themeFillTint="33"/>
            <w:vAlign w:val="center"/>
            <w:hideMark/>
          </w:tcPr>
          <w:p w14:paraId="7A2F07FB"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Naudas plūsmas</w:t>
            </w:r>
          </w:p>
        </w:tc>
        <w:tc>
          <w:tcPr>
            <w:tcW w:w="1560" w:type="dxa"/>
            <w:shd w:val="clear" w:color="auto" w:fill="DBE5F1" w:themeFill="accent1" w:themeFillTint="33"/>
            <w:vAlign w:val="center"/>
            <w:hideMark/>
          </w:tcPr>
          <w:p w14:paraId="79523293"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DBE5F1" w:themeFill="accent1" w:themeFillTint="33"/>
            <w:noWrap/>
            <w:vAlign w:val="bottom"/>
            <w:hideMark/>
          </w:tcPr>
          <w:p w14:paraId="616B1E1F"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DBE5F1" w:themeFill="accent1" w:themeFillTint="33"/>
            <w:noWrap/>
            <w:vAlign w:val="center"/>
            <w:hideMark/>
          </w:tcPr>
          <w:p w14:paraId="656F7AAE" w14:textId="77777777" w:rsidR="004646FF" w:rsidRPr="002E1FBD" w:rsidRDefault="004646FF" w:rsidP="004646FF">
            <w:pPr>
              <w:spacing w:after="0"/>
              <w:ind w:firstLine="0"/>
              <w:jc w:val="center"/>
              <w:rPr>
                <w:color w:val="000000"/>
                <w:sz w:val="22"/>
                <w:szCs w:val="22"/>
                <w:lang w:eastAsia="lv-LV"/>
              </w:rPr>
            </w:pPr>
            <w:r>
              <w:rPr>
                <w:color w:val="000000"/>
              </w:rPr>
              <w:t>0,04</w:t>
            </w:r>
          </w:p>
        </w:tc>
        <w:tc>
          <w:tcPr>
            <w:tcW w:w="992" w:type="dxa"/>
            <w:shd w:val="clear" w:color="auto" w:fill="DBE5F1" w:themeFill="accent1" w:themeFillTint="33"/>
            <w:noWrap/>
            <w:vAlign w:val="center"/>
            <w:hideMark/>
          </w:tcPr>
          <w:p w14:paraId="00C242E0" w14:textId="77777777" w:rsidR="004646FF" w:rsidRPr="002E1FBD" w:rsidRDefault="004646FF" w:rsidP="004646FF">
            <w:pPr>
              <w:spacing w:after="0"/>
              <w:ind w:firstLine="0"/>
              <w:jc w:val="center"/>
              <w:rPr>
                <w:color w:val="000000"/>
                <w:sz w:val="22"/>
                <w:szCs w:val="22"/>
                <w:lang w:eastAsia="lv-LV"/>
              </w:rPr>
            </w:pPr>
            <w:r>
              <w:rPr>
                <w:color w:val="000000"/>
              </w:rPr>
              <w:t>-0,03</w:t>
            </w:r>
          </w:p>
        </w:tc>
        <w:tc>
          <w:tcPr>
            <w:tcW w:w="851" w:type="dxa"/>
            <w:shd w:val="clear" w:color="auto" w:fill="DBE5F1" w:themeFill="accent1" w:themeFillTint="33"/>
            <w:noWrap/>
            <w:vAlign w:val="center"/>
            <w:hideMark/>
          </w:tcPr>
          <w:p w14:paraId="378C40CD"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25DACA76" w14:textId="77777777" w:rsidTr="000868D8">
        <w:trPr>
          <w:trHeight w:val="20"/>
        </w:trPr>
        <w:tc>
          <w:tcPr>
            <w:tcW w:w="3114" w:type="dxa"/>
            <w:vMerge/>
            <w:tcBorders>
              <w:bottom w:val="single" w:sz="4" w:space="0" w:color="4F81BD" w:themeColor="accent1"/>
            </w:tcBorders>
            <w:shd w:val="clear" w:color="auto" w:fill="DBE5F1" w:themeFill="accent1" w:themeFillTint="33"/>
            <w:vAlign w:val="center"/>
            <w:hideMark/>
          </w:tcPr>
          <w:p w14:paraId="5725A4A8" w14:textId="77777777" w:rsidR="004646FF" w:rsidRPr="002E1FBD" w:rsidRDefault="004646FF" w:rsidP="004646FF">
            <w:pPr>
              <w:spacing w:after="0"/>
              <w:ind w:firstLine="0"/>
              <w:rPr>
                <w:color w:val="000000"/>
                <w:sz w:val="22"/>
                <w:szCs w:val="22"/>
                <w:lang w:eastAsia="lv-LV"/>
              </w:rPr>
            </w:pPr>
          </w:p>
        </w:tc>
        <w:tc>
          <w:tcPr>
            <w:tcW w:w="3118" w:type="dxa"/>
            <w:vMerge/>
            <w:tcBorders>
              <w:bottom w:val="single" w:sz="4" w:space="0" w:color="4F81BD" w:themeColor="accent1"/>
            </w:tcBorders>
            <w:shd w:val="clear" w:color="auto" w:fill="DBE5F1" w:themeFill="accent1" w:themeFillTint="33"/>
            <w:vAlign w:val="center"/>
            <w:hideMark/>
          </w:tcPr>
          <w:p w14:paraId="5A2AB757" w14:textId="77777777" w:rsidR="004646FF" w:rsidRPr="002E1FBD" w:rsidRDefault="004646FF" w:rsidP="004646FF">
            <w:pPr>
              <w:spacing w:after="0"/>
              <w:ind w:firstLine="0"/>
              <w:rPr>
                <w:color w:val="000000"/>
                <w:sz w:val="22"/>
                <w:szCs w:val="22"/>
                <w:lang w:eastAsia="lv-LV"/>
              </w:rPr>
            </w:pPr>
          </w:p>
        </w:tc>
        <w:tc>
          <w:tcPr>
            <w:tcW w:w="1418" w:type="dxa"/>
            <w:tcBorders>
              <w:bottom w:val="single" w:sz="4" w:space="0" w:color="4F81BD" w:themeColor="accent1"/>
            </w:tcBorders>
            <w:shd w:val="clear" w:color="auto" w:fill="auto"/>
            <w:vAlign w:val="center"/>
            <w:hideMark/>
          </w:tcPr>
          <w:p w14:paraId="33C87D8A"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SOC veselības finansēšanai</w:t>
            </w:r>
          </w:p>
        </w:tc>
        <w:tc>
          <w:tcPr>
            <w:tcW w:w="850" w:type="dxa"/>
            <w:tcBorders>
              <w:bottom w:val="single" w:sz="4" w:space="0" w:color="4F81BD" w:themeColor="accent1"/>
            </w:tcBorders>
            <w:shd w:val="clear" w:color="auto" w:fill="auto"/>
            <w:vAlign w:val="center"/>
            <w:hideMark/>
          </w:tcPr>
          <w:p w14:paraId="2D84F76B"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D.61</w:t>
            </w:r>
          </w:p>
        </w:tc>
        <w:tc>
          <w:tcPr>
            <w:tcW w:w="1194" w:type="dxa"/>
            <w:tcBorders>
              <w:bottom w:val="single" w:sz="4" w:space="0" w:color="4F81BD" w:themeColor="accent1"/>
            </w:tcBorders>
            <w:shd w:val="clear" w:color="auto" w:fill="auto"/>
            <w:vAlign w:val="center"/>
            <w:hideMark/>
          </w:tcPr>
          <w:p w14:paraId="61148701"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Naudas plūsmas</w:t>
            </w:r>
          </w:p>
        </w:tc>
        <w:tc>
          <w:tcPr>
            <w:tcW w:w="1560" w:type="dxa"/>
            <w:tcBorders>
              <w:bottom w:val="single" w:sz="4" w:space="0" w:color="4F81BD" w:themeColor="accent1"/>
            </w:tcBorders>
            <w:shd w:val="clear" w:color="auto" w:fill="auto"/>
            <w:vAlign w:val="center"/>
            <w:hideMark/>
          </w:tcPr>
          <w:p w14:paraId="6B8C27F9" w14:textId="77777777" w:rsidR="004646FF" w:rsidRPr="002E1FBD" w:rsidRDefault="004646FF" w:rsidP="004646FF">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auto"/>
            <w:noWrap/>
            <w:vAlign w:val="bottom"/>
            <w:hideMark/>
          </w:tcPr>
          <w:p w14:paraId="7AE669E6"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noWrap/>
            <w:vAlign w:val="center"/>
            <w:hideMark/>
          </w:tcPr>
          <w:p w14:paraId="747992DD"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992" w:type="dxa"/>
            <w:shd w:val="clear" w:color="auto" w:fill="auto"/>
            <w:noWrap/>
            <w:vAlign w:val="center"/>
            <w:hideMark/>
          </w:tcPr>
          <w:p w14:paraId="7704214B"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auto"/>
            <w:noWrap/>
            <w:vAlign w:val="center"/>
            <w:hideMark/>
          </w:tcPr>
          <w:p w14:paraId="747E2192"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7198D67B" w14:textId="77777777" w:rsidTr="00006BD6">
        <w:trPr>
          <w:trHeight w:val="20"/>
        </w:trPr>
        <w:tc>
          <w:tcPr>
            <w:tcW w:w="3114" w:type="dxa"/>
            <w:tcBorders>
              <w:bottom w:val="single" w:sz="4" w:space="0" w:color="4F81BD" w:themeColor="accent1"/>
            </w:tcBorders>
            <w:shd w:val="clear" w:color="auto" w:fill="auto"/>
            <w:vAlign w:val="center"/>
            <w:hideMark/>
          </w:tcPr>
          <w:p w14:paraId="5595E469" w14:textId="77777777" w:rsidR="004646FF" w:rsidRPr="002E1FBD" w:rsidRDefault="004646FF" w:rsidP="004646FF">
            <w:pPr>
              <w:spacing w:after="0"/>
              <w:ind w:firstLine="0"/>
              <w:rPr>
                <w:sz w:val="22"/>
                <w:szCs w:val="22"/>
                <w:lang w:eastAsia="lv-LV"/>
              </w:rPr>
            </w:pPr>
            <w:r w:rsidRPr="002E1FBD">
              <w:rPr>
                <w:sz w:val="22"/>
                <w:szCs w:val="22"/>
                <w:lang w:eastAsia="lv-LV"/>
              </w:rPr>
              <w:t>Citi pasākumi kopā</w:t>
            </w:r>
          </w:p>
        </w:tc>
        <w:tc>
          <w:tcPr>
            <w:tcW w:w="3118" w:type="dxa"/>
            <w:tcBorders>
              <w:bottom w:val="single" w:sz="4" w:space="0" w:color="4F81BD" w:themeColor="accent1"/>
            </w:tcBorders>
            <w:shd w:val="clear" w:color="auto" w:fill="auto"/>
            <w:vAlign w:val="center"/>
            <w:hideMark/>
          </w:tcPr>
          <w:p w14:paraId="72687E49" w14:textId="77777777" w:rsidR="004646FF" w:rsidRPr="002E1FBD" w:rsidRDefault="004646FF" w:rsidP="004646FF">
            <w:pPr>
              <w:spacing w:after="0"/>
              <w:ind w:firstLine="0"/>
              <w:rPr>
                <w:sz w:val="22"/>
                <w:szCs w:val="22"/>
                <w:lang w:eastAsia="lv-LV"/>
              </w:rPr>
            </w:pPr>
          </w:p>
        </w:tc>
        <w:tc>
          <w:tcPr>
            <w:tcW w:w="1418" w:type="dxa"/>
            <w:tcBorders>
              <w:bottom w:val="single" w:sz="4" w:space="0" w:color="4F81BD" w:themeColor="accent1"/>
            </w:tcBorders>
            <w:shd w:val="clear" w:color="auto" w:fill="auto"/>
            <w:vAlign w:val="center"/>
            <w:hideMark/>
          </w:tcPr>
          <w:p w14:paraId="2DC1B72C" w14:textId="77777777" w:rsidR="004646FF" w:rsidRPr="002E1FBD" w:rsidRDefault="004646FF" w:rsidP="004646FF">
            <w:pPr>
              <w:spacing w:after="0"/>
              <w:ind w:firstLine="0"/>
              <w:jc w:val="center"/>
              <w:rPr>
                <w:sz w:val="22"/>
                <w:szCs w:val="22"/>
                <w:lang w:eastAsia="lv-LV"/>
              </w:rPr>
            </w:pPr>
          </w:p>
        </w:tc>
        <w:tc>
          <w:tcPr>
            <w:tcW w:w="850" w:type="dxa"/>
            <w:tcBorders>
              <w:bottom w:val="single" w:sz="4" w:space="0" w:color="4F81BD" w:themeColor="accent1"/>
            </w:tcBorders>
            <w:shd w:val="clear" w:color="auto" w:fill="auto"/>
            <w:vAlign w:val="center"/>
            <w:hideMark/>
          </w:tcPr>
          <w:p w14:paraId="7B9CE82D" w14:textId="77777777" w:rsidR="004646FF" w:rsidRPr="002E1FBD" w:rsidRDefault="004646FF" w:rsidP="004646FF">
            <w:pPr>
              <w:spacing w:after="0"/>
              <w:ind w:firstLine="0"/>
              <w:jc w:val="left"/>
              <w:rPr>
                <w:sz w:val="22"/>
                <w:szCs w:val="22"/>
                <w:lang w:eastAsia="lv-LV"/>
              </w:rPr>
            </w:pPr>
          </w:p>
        </w:tc>
        <w:tc>
          <w:tcPr>
            <w:tcW w:w="1194" w:type="dxa"/>
            <w:tcBorders>
              <w:bottom w:val="single" w:sz="4" w:space="0" w:color="4F81BD" w:themeColor="accent1"/>
            </w:tcBorders>
            <w:shd w:val="clear" w:color="auto" w:fill="auto"/>
            <w:vAlign w:val="center"/>
            <w:hideMark/>
          </w:tcPr>
          <w:p w14:paraId="4D83F458" w14:textId="77777777" w:rsidR="004646FF" w:rsidRPr="002E1FBD" w:rsidRDefault="004646FF" w:rsidP="004646FF">
            <w:pPr>
              <w:spacing w:after="0"/>
              <w:ind w:firstLine="0"/>
              <w:jc w:val="center"/>
              <w:rPr>
                <w:sz w:val="22"/>
                <w:szCs w:val="22"/>
                <w:lang w:eastAsia="lv-LV"/>
              </w:rPr>
            </w:pPr>
          </w:p>
        </w:tc>
        <w:tc>
          <w:tcPr>
            <w:tcW w:w="1560" w:type="dxa"/>
            <w:tcBorders>
              <w:bottom w:val="single" w:sz="4" w:space="0" w:color="4F81BD" w:themeColor="accent1"/>
            </w:tcBorders>
            <w:shd w:val="clear" w:color="auto" w:fill="auto"/>
            <w:vAlign w:val="center"/>
            <w:hideMark/>
          </w:tcPr>
          <w:p w14:paraId="5A41A052" w14:textId="77777777" w:rsidR="004646FF" w:rsidRPr="002E1FBD" w:rsidRDefault="004646FF" w:rsidP="004646FF">
            <w:pPr>
              <w:spacing w:after="0"/>
              <w:ind w:firstLine="0"/>
              <w:jc w:val="center"/>
              <w:rPr>
                <w:sz w:val="22"/>
                <w:szCs w:val="22"/>
                <w:lang w:eastAsia="lv-LV"/>
              </w:rPr>
            </w:pPr>
          </w:p>
        </w:tc>
        <w:tc>
          <w:tcPr>
            <w:tcW w:w="730" w:type="dxa"/>
            <w:tcBorders>
              <w:bottom w:val="single" w:sz="4" w:space="0" w:color="4F81BD" w:themeColor="accent1"/>
            </w:tcBorders>
            <w:shd w:val="clear" w:color="auto" w:fill="auto"/>
            <w:noWrap/>
            <w:vAlign w:val="bottom"/>
            <w:hideMark/>
          </w:tcPr>
          <w:p w14:paraId="22B04727"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auto"/>
            <w:noWrap/>
            <w:vAlign w:val="center"/>
            <w:hideMark/>
          </w:tcPr>
          <w:p w14:paraId="5FA66315" w14:textId="77777777" w:rsidR="004646FF" w:rsidRPr="002E1FBD" w:rsidRDefault="004646FF" w:rsidP="004646FF">
            <w:pPr>
              <w:spacing w:after="0"/>
              <w:ind w:firstLine="0"/>
              <w:jc w:val="center"/>
              <w:rPr>
                <w:color w:val="000000"/>
                <w:sz w:val="22"/>
                <w:szCs w:val="22"/>
                <w:lang w:eastAsia="lv-LV"/>
              </w:rPr>
            </w:pPr>
            <w:r>
              <w:rPr>
                <w:color w:val="000000"/>
              </w:rPr>
              <w:t>0,01</w:t>
            </w:r>
          </w:p>
        </w:tc>
        <w:tc>
          <w:tcPr>
            <w:tcW w:w="992" w:type="dxa"/>
            <w:shd w:val="clear" w:color="auto" w:fill="auto"/>
            <w:noWrap/>
            <w:vAlign w:val="center"/>
            <w:hideMark/>
          </w:tcPr>
          <w:p w14:paraId="0D33F426" w14:textId="77777777" w:rsidR="004646FF" w:rsidRPr="002E1FBD" w:rsidRDefault="004646FF" w:rsidP="004646FF">
            <w:pPr>
              <w:spacing w:after="0"/>
              <w:ind w:firstLine="0"/>
              <w:jc w:val="center"/>
              <w:rPr>
                <w:color w:val="000000"/>
                <w:sz w:val="22"/>
                <w:szCs w:val="22"/>
                <w:lang w:eastAsia="lv-LV"/>
              </w:rPr>
            </w:pPr>
            <w:r>
              <w:rPr>
                <w:color w:val="000000"/>
              </w:rPr>
              <w:t>0,00</w:t>
            </w:r>
          </w:p>
        </w:tc>
        <w:tc>
          <w:tcPr>
            <w:tcW w:w="851" w:type="dxa"/>
            <w:shd w:val="clear" w:color="auto" w:fill="auto"/>
            <w:noWrap/>
            <w:vAlign w:val="center"/>
            <w:hideMark/>
          </w:tcPr>
          <w:p w14:paraId="1D2A0F47" w14:textId="77777777" w:rsidR="004646FF" w:rsidRPr="002E1FBD" w:rsidRDefault="004646FF" w:rsidP="004646FF">
            <w:pPr>
              <w:spacing w:after="0"/>
              <w:ind w:firstLine="0"/>
              <w:jc w:val="center"/>
              <w:rPr>
                <w:color w:val="000000"/>
                <w:sz w:val="22"/>
                <w:szCs w:val="22"/>
                <w:lang w:eastAsia="lv-LV"/>
              </w:rPr>
            </w:pPr>
            <w:r>
              <w:rPr>
                <w:color w:val="000000"/>
              </w:rPr>
              <w:t>0,00</w:t>
            </w:r>
          </w:p>
        </w:tc>
      </w:tr>
      <w:tr w:rsidR="004646FF" w:rsidRPr="002E1FBD" w14:paraId="1A5F69F8" w14:textId="77777777" w:rsidTr="000868D8">
        <w:trPr>
          <w:trHeight w:val="20"/>
        </w:trPr>
        <w:tc>
          <w:tcPr>
            <w:tcW w:w="311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14:paraId="0F6915A9" w14:textId="77777777" w:rsidR="004646FF" w:rsidRPr="002E1FBD" w:rsidRDefault="004646FF" w:rsidP="004646FF">
            <w:pPr>
              <w:spacing w:after="0"/>
              <w:ind w:firstLine="0"/>
              <w:jc w:val="center"/>
              <w:rPr>
                <w:color w:val="000000"/>
                <w:sz w:val="22"/>
                <w:szCs w:val="22"/>
                <w:lang w:eastAsia="lv-LV"/>
              </w:rPr>
            </w:pPr>
          </w:p>
        </w:tc>
        <w:tc>
          <w:tcPr>
            <w:tcW w:w="31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14:paraId="4D70BA4D" w14:textId="77777777" w:rsidR="004646FF" w:rsidRPr="002E1FBD" w:rsidRDefault="004646FF" w:rsidP="004646FF">
            <w:pPr>
              <w:spacing w:after="0"/>
              <w:ind w:firstLine="0"/>
              <w:jc w:val="left"/>
              <w:rPr>
                <w:sz w:val="22"/>
                <w:szCs w:val="22"/>
                <w:lang w:eastAsia="lv-LV"/>
              </w:rPr>
            </w:pP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14:paraId="78A807DE" w14:textId="77777777" w:rsidR="004646FF" w:rsidRPr="002E1FBD" w:rsidRDefault="004646FF" w:rsidP="004646FF">
            <w:pPr>
              <w:spacing w:after="0"/>
              <w:ind w:firstLine="0"/>
              <w:jc w:val="center"/>
              <w:rPr>
                <w:sz w:val="22"/>
                <w:szCs w:val="22"/>
                <w:lang w:eastAsia="lv-LV"/>
              </w:rPr>
            </w:pP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hideMark/>
          </w:tcPr>
          <w:p w14:paraId="6142BF11" w14:textId="77777777" w:rsidR="004646FF" w:rsidRPr="002E1FBD" w:rsidRDefault="004646FF" w:rsidP="004646FF">
            <w:pPr>
              <w:spacing w:after="0"/>
              <w:ind w:firstLine="0"/>
              <w:jc w:val="left"/>
              <w:rPr>
                <w:sz w:val="22"/>
                <w:szCs w:val="22"/>
                <w:lang w:eastAsia="lv-LV"/>
              </w:rPr>
            </w:pPr>
          </w:p>
        </w:tc>
        <w:tc>
          <w:tcPr>
            <w:tcW w:w="119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14:paraId="58A8CCE9" w14:textId="77777777" w:rsidR="004646FF" w:rsidRPr="002E1FBD" w:rsidRDefault="004646FF" w:rsidP="004646FF">
            <w:pPr>
              <w:spacing w:after="0"/>
              <w:ind w:firstLine="0"/>
              <w:jc w:val="center"/>
              <w:rPr>
                <w:sz w:val="22"/>
                <w:szCs w:val="22"/>
                <w:lang w:eastAsia="lv-LV"/>
              </w:rPr>
            </w:pPr>
          </w:p>
        </w:tc>
        <w:tc>
          <w:tcPr>
            <w:tcW w:w="15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bottom"/>
            <w:hideMark/>
          </w:tcPr>
          <w:p w14:paraId="5EC9E966" w14:textId="77777777" w:rsidR="004646FF" w:rsidRPr="002E1FBD" w:rsidRDefault="004646FF" w:rsidP="004646FF">
            <w:pPr>
              <w:spacing w:after="0"/>
              <w:ind w:firstLine="0"/>
              <w:jc w:val="left"/>
              <w:rPr>
                <w:sz w:val="22"/>
                <w:szCs w:val="22"/>
                <w:lang w:eastAsia="lv-LV"/>
              </w:rPr>
            </w:pPr>
          </w:p>
        </w:tc>
        <w:tc>
          <w:tcPr>
            <w:tcW w:w="730" w:type="dxa"/>
            <w:tcBorders>
              <w:left w:val="single" w:sz="4" w:space="0" w:color="4F81BD" w:themeColor="accent1"/>
            </w:tcBorders>
            <w:shd w:val="clear" w:color="auto" w:fill="DBE5F1" w:themeFill="accent1" w:themeFillTint="33"/>
            <w:vAlign w:val="center"/>
            <w:hideMark/>
          </w:tcPr>
          <w:p w14:paraId="030BD755" w14:textId="77777777" w:rsidR="004646FF" w:rsidRPr="002E1FBD" w:rsidRDefault="004646FF" w:rsidP="004646FF">
            <w:pPr>
              <w:spacing w:after="0"/>
              <w:ind w:firstLine="0"/>
              <w:jc w:val="center"/>
              <w:rPr>
                <w:b/>
                <w:bCs/>
                <w:color w:val="000000"/>
                <w:sz w:val="22"/>
                <w:szCs w:val="22"/>
                <w:lang w:eastAsia="lv-LV"/>
              </w:rPr>
            </w:pPr>
            <w:r w:rsidRPr="002E1FBD">
              <w:rPr>
                <w:b/>
                <w:bCs/>
                <w:color w:val="000000"/>
                <w:sz w:val="22"/>
                <w:szCs w:val="22"/>
                <w:lang w:eastAsia="lv-LV"/>
              </w:rPr>
              <w:t>Kopā</w:t>
            </w:r>
          </w:p>
        </w:tc>
        <w:tc>
          <w:tcPr>
            <w:tcW w:w="851" w:type="dxa"/>
            <w:shd w:val="clear" w:color="auto" w:fill="DBE5F1" w:themeFill="accent1" w:themeFillTint="33"/>
            <w:vAlign w:val="center"/>
            <w:hideMark/>
          </w:tcPr>
          <w:p w14:paraId="78509338" w14:textId="77777777" w:rsidR="004646FF" w:rsidRPr="002E1FBD" w:rsidRDefault="004646FF" w:rsidP="001F6968">
            <w:pPr>
              <w:spacing w:after="0"/>
              <w:ind w:firstLine="0"/>
              <w:jc w:val="center"/>
              <w:rPr>
                <w:b/>
                <w:bCs/>
                <w:color w:val="000000"/>
                <w:sz w:val="22"/>
                <w:szCs w:val="22"/>
                <w:lang w:eastAsia="lv-LV"/>
              </w:rPr>
            </w:pPr>
            <w:r w:rsidRPr="002E1FBD">
              <w:rPr>
                <w:b/>
                <w:bCs/>
                <w:color w:val="000000"/>
                <w:sz w:val="22"/>
                <w:szCs w:val="22"/>
                <w:lang w:eastAsia="lv-LV"/>
              </w:rPr>
              <w:t>0,</w:t>
            </w:r>
            <w:r w:rsidR="00CA6529">
              <w:rPr>
                <w:b/>
                <w:bCs/>
                <w:color w:val="000000"/>
                <w:sz w:val="22"/>
                <w:szCs w:val="22"/>
                <w:lang w:eastAsia="lv-LV"/>
              </w:rPr>
              <w:t>30</w:t>
            </w:r>
          </w:p>
        </w:tc>
        <w:tc>
          <w:tcPr>
            <w:tcW w:w="992" w:type="dxa"/>
            <w:shd w:val="clear" w:color="auto" w:fill="DBE5F1" w:themeFill="accent1" w:themeFillTint="33"/>
            <w:vAlign w:val="center"/>
            <w:hideMark/>
          </w:tcPr>
          <w:p w14:paraId="462CC627" w14:textId="77777777" w:rsidR="004646FF" w:rsidRPr="002E1FBD" w:rsidRDefault="004646FF" w:rsidP="004646FF">
            <w:pPr>
              <w:spacing w:after="0"/>
              <w:ind w:firstLine="0"/>
              <w:jc w:val="center"/>
              <w:rPr>
                <w:b/>
                <w:bCs/>
                <w:color w:val="000000"/>
                <w:sz w:val="22"/>
                <w:szCs w:val="22"/>
                <w:lang w:eastAsia="lv-LV"/>
              </w:rPr>
            </w:pPr>
            <w:r>
              <w:rPr>
                <w:b/>
                <w:bCs/>
                <w:color w:val="000000"/>
                <w:sz w:val="22"/>
                <w:szCs w:val="22"/>
              </w:rPr>
              <w:t>-0,09</w:t>
            </w:r>
          </w:p>
        </w:tc>
        <w:tc>
          <w:tcPr>
            <w:tcW w:w="851" w:type="dxa"/>
            <w:shd w:val="clear" w:color="auto" w:fill="DBE5F1" w:themeFill="accent1" w:themeFillTint="33"/>
            <w:vAlign w:val="center"/>
            <w:hideMark/>
          </w:tcPr>
          <w:p w14:paraId="3EBAABD9" w14:textId="77777777" w:rsidR="004646FF" w:rsidRPr="002E1FBD" w:rsidRDefault="004646FF" w:rsidP="004646FF">
            <w:pPr>
              <w:spacing w:after="0"/>
              <w:ind w:firstLine="0"/>
              <w:jc w:val="center"/>
              <w:rPr>
                <w:b/>
                <w:bCs/>
                <w:color w:val="000000"/>
                <w:sz w:val="22"/>
                <w:szCs w:val="22"/>
                <w:lang w:eastAsia="lv-LV"/>
              </w:rPr>
            </w:pPr>
            <w:r>
              <w:rPr>
                <w:b/>
                <w:bCs/>
                <w:color w:val="000000"/>
                <w:sz w:val="22"/>
                <w:szCs w:val="22"/>
              </w:rPr>
              <w:t>0,04</w:t>
            </w:r>
          </w:p>
        </w:tc>
      </w:tr>
    </w:tbl>
    <w:p w14:paraId="5971032B" w14:textId="77777777" w:rsidR="00382BC7" w:rsidRDefault="00382BC7" w:rsidP="00006BD6">
      <w:pPr>
        <w:rPr>
          <w:lang w:val="x-none" w:eastAsia="x-none"/>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644"/>
        <w:gridCol w:w="1586"/>
        <w:gridCol w:w="1413"/>
        <w:gridCol w:w="791"/>
        <w:gridCol w:w="1255"/>
        <w:gridCol w:w="1481"/>
        <w:gridCol w:w="730"/>
        <w:gridCol w:w="932"/>
      </w:tblGrid>
      <w:tr w:rsidR="001F6968" w:rsidRPr="00646008" w14:paraId="25188124" w14:textId="77777777" w:rsidTr="00F47C73">
        <w:trPr>
          <w:trHeight w:val="227"/>
        </w:trPr>
        <w:tc>
          <w:tcPr>
            <w:tcW w:w="4644" w:type="dxa"/>
            <w:shd w:val="clear" w:color="auto" w:fill="DBE5F1" w:themeFill="accent1" w:themeFillTint="33"/>
            <w:vAlign w:val="center"/>
          </w:tcPr>
          <w:p w14:paraId="5F936BAD" w14:textId="21FBFD29" w:rsidR="001F6968" w:rsidRPr="00BF5A82" w:rsidRDefault="001F6968" w:rsidP="00F866B5">
            <w:pPr>
              <w:spacing w:after="0"/>
              <w:ind w:firstLine="0"/>
              <w:jc w:val="left"/>
              <w:rPr>
                <w:color w:val="000000"/>
                <w:sz w:val="22"/>
                <w:szCs w:val="22"/>
                <w:lang w:eastAsia="lv-LV"/>
              </w:rPr>
            </w:pPr>
            <w:r w:rsidRPr="00BF5A82">
              <w:rPr>
                <w:color w:val="000000"/>
                <w:sz w:val="22"/>
                <w:szCs w:val="22"/>
                <w:lang w:eastAsia="lv-LV"/>
              </w:rPr>
              <w:t>Izmaiņas</w:t>
            </w:r>
            <w:r w:rsidR="00F47C73">
              <w:rPr>
                <w:color w:val="000000"/>
                <w:sz w:val="22"/>
                <w:szCs w:val="22"/>
                <w:lang w:eastAsia="lv-LV"/>
              </w:rPr>
              <w:t xml:space="preserve"> 2019.</w:t>
            </w:r>
            <w:r>
              <w:rPr>
                <w:color w:val="000000"/>
                <w:sz w:val="22"/>
                <w:szCs w:val="22"/>
                <w:lang w:eastAsia="lv-LV"/>
              </w:rPr>
              <w:t>gadā</w:t>
            </w:r>
            <w:r w:rsidRPr="00BF5A82">
              <w:rPr>
                <w:color w:val="000000"/>
                <w:sz w:val="22"/>
                <w:szCs w:val="22"/>
                <w:lang w:eastAsia="lv-LV"/>
              </w:rPr>
              <w:t xml:space="preserve"> sakarā ar fiskālo prognožu aktualizēšanu</w:t>
            </w:r>
            <w:r w:rsidR="00F47C73">
              <w:rPr>
                <w:color w:val="000000"/>
                <w:sz w:val="22"/>
                <w:szCs w:val="22"/>
                <w:lang w:eastAsia="lv-LV"/>
              </w:rPr>
              <w:t xml:space="preserve"> pēc 2018.</w:t>
            </w:r>
            <w:r>
              <w:rPr>
                <w:color w:val="000000"/>
                <w:sz w:val="22"/>
                <w:szCs w:val="22"/>
                <w:lang w:eastAsia="lv-LV"/>
              </w:rPr>
              <w:t>gada oktobrī iesniegtā budžeta plāna projekta</w:t>
            </w:r>
            <w:r w:rsidRPr="00BF5A82">
              <w:rPr>
                <w:color w:val="000000"/>
                <w:sz w:val="22"/>
                <w:szCs w:val="22"/>
                <w:lang w:eastAsia="lv-LV"/>
              </w:rPr>
              <w:t xml:space="preserve"> t.sk.:</w:t>
            </w:r>
          </w:p>
        </w:tc>
        <w:tc>
          <w:tcPr>
            <w:tcW w:w="1586" w:type="dxa"/>
            <w:shd w:val="clear" w:color="auto" w:fill="DBE5F1" w:themeFill="accent1" w:themeFillTint="33"/>
            <w:vAlign w:val="center"/>
          </w:tcPr>
          <w:p w14:paraId="3596AAA2" w14:textId="77777777" w:rsidR="001F6968" w:rsidRPr="00646008" w:rsidRDefault="001F6968" w:rsidP="00F866B5">
            <w:pPr>
              <w:spacing w:after="0"/>
              <w:ind w:firstLine="0"/>
              <w:jc w:val="center"/>
              <w:rPr>
                <w:sz w:val="22"/>
                <w:szCs w:val="22"/>
                <w:lang w:eastAsia="lv-LV"/>
              </w:rPr>
            </w:pPr>
          </w:p>
        </w:tc>
        <w:tc>
          <w:tcPr>
            <w:tcW w:w="1413" w:type="dxa"/>
            <w:shd w:val="clear" w:color="auto" w:fill="DBE5F1" w:themeFill="accent1" w:themeFillTint="33"/>
            <w:vAlign w:val="center"/>
          </w:tcPr>
          <w:p w14:paraId="701CDA12" w14:textId="77777777" w:rsidR="001F6968" w:rsidRPr="00646008" w:rsidRDefault="001F6968" w:rsidP="00F866B5">
            <w:pPr>
              <w:spacing w:after="0"/>
              <w:ind w:firstLine="0"/>
              <w:jc w:val="center"/>
              <w:rPr>
                <w:sz w:val="22"/>
                <w:szCs w:val="22"/>
                <w:lang w:eastAsia="lv-LV"/>
              </w:rPr>
            </w:pPr>
          </w:p>
        </w:tc>
        <w:tc>
          <w:tcPr>
            <w:tcW w:w="791" w:type="dxa"/>
            <w:shd w:val="clear" w:color="auto" w:fill="DBE5F1" w:themeFill="accent1" w:themeFillTint="33"/>
            <w:vAlign w:val="center"/>
          </w:tcPr>
          <w:p w14:paraId="1DE6E0D9" w14:textId="77777777" w:rsidR="001F6968" w:rsidRPr="00646008" w:rsidRDefault="001F6968" w:rsidP="00F866B5">
            <w:pPr>
              <w:spacing w:after="0"/>
              <w:ind w:firstLine="0"/>
              <w:jc w:val="center"/>
              <w:rPr>
                <w:sz w:val="22"/>
                <w:szCs w:val="22"/>
                <w:lang w:eastAsia="lv-LV"/>
              </w:rPr>
            </w:pPr>
          </w:p>
        </w:tc>
        <w:tc>
          <w:tcPr>
            <w:tcW w:w="1255" w:type="dxa"/>
            <w:shd w:val="clear" w:color="auto" w:fill="DBE5F1" w:themeFill="accent1" w:themeFillTint="33"/>
            <w:vAlign w:val="center"/>
          </w:tcPr>
          <w:p w14:paraId="3D4CA57F" w14:textId="77777777" w:rsidR="001F6968" w:rsidRPr="00646008" w:rsidRDefault="001F6968" w:rsidP="00F866B5">
            <w:pPr>
              <w:spacing w:after="0"/>
              <w:ind w:firstLine="0"/>
              <w:jc w:val="center"/>
              <w:rPr>
                <w:sz w:val="22"/>
                <w:szCs w:val="22"/>
                <w:lang w:eastAsia="lv-LV"/>
              </w:rPr>
            </w:pPr>
          </w:p>
        </w:tc>
        <w:tc>
          <w:tcPr>
            <w:tcW w:w="1481" w:type="dxa"/>
            <w:shd w:val="clear" w:color="auto" w:fill="DBE5F1" w:themeFill="accent1" w:themeFillTint="33"/>
            <w:vAlign w:val="center"/>
          </w:tcPr>
          <w:p w14:paraId="4075C99C" w14:textId="77777777" w:rsidR="001F6968" w:rsidRPr="00646008" w:rsidRDefault="001F6968" w:rsidP="00F866B5">
            <w:pPr>
              <w:spacing w:after="0"/>
              <w:ind w:firstLine="0"/>
              <w:jc w:val="center"/>
              <w:rPr>
                <w:sz w:val="22"/>
                <w:szCs w:val="22"/>
                <w:lang w:eastAsia="lv-LV"/>
              </w:rPr>
            </w:pPr>
          </w:p>
        </w:tc>
        <w:tc>
          <w:tcPr>
            <w:tcW w:w="730" w:type="dxa"/>
            <w:shd w:val="clear" w:color="auto" w:fill="DBE5F1" w:themeFill="accent1" w:themeFillTint="33"/>
            <w:noWrap/>
            <w:vAlign w:val="bottom"/>
          </w:tcPr>
          <w:p w14:paraId="01C442A9" w14:textId="77777777" w:rsidR="001F6968" w:rsidRPr="00646008" w:rsidRDefault="001F6968" w:rsidP="00F866B5">
            <w:pPr>
              <w:spacing w:after="0"/>
              <w:ind w:firstLine="0"/>
              <w:jc w:val="center"/>
              <w:rPr>
                <w:b/>
                <w:bCs/>
                <w:sz w:val="22"/>
                <w:szCs w:val="22"/>
                <w:lang w:eastAsia="lv-LV"/>
              </w:rPr>
            </w:pPr>
          </w:p>
        </w:tc>
        <w:tc>
          <w:tcPr>
            <w:tcW w:w="932" w:type="dxa"/>
            <w:shd w:val="clear" w:color="auto" w:fill="DBE5F1" w:themeFill="accent1" w:themeFillTint="33"/>
            <w:vAlign w:val="center"/>
          </w:tcPr>
          <w:p w14:paraId="613E10D4" w14:textId="77777777" w:rsidR="001F6968" w:rsidRPr="00646008" w:rsidRDefault="001F6968" w:rsidP="00F866B5">
            <w:pPr>
              <w:spacing w:after="0"/>
              <w:ind w:firstLine="0"/>
              <w:jc w:val="center"/>
              <w:rPr>
                <w:sz w:val="22"/>
                <w:szCs w:val="22"/>
                <w:lang w:eastAsia="lv-LV"/>
              </w:rPr>
            </w:pPr>
            <w:r>
              <w:rPr>
                <w:sz w:val="22"/>
                <w:szCs w:val="22"/>
                <w:lang w:eastAsia="lv-LV"/>
              </w:rPr>
              <w:t>2019</w:t>
            </w:r>
          </w:p>
        </w:tc>
      </w:tr>
      <w:tr w:rsidR="001F6968" w:rsidRPr="00646008" w14:paraId="5C6DF58B" w14:textId="77777777" w:rsidTr="00F47C73">
        <w:trPr>
          <w:trHeight w:val="227"/>
        </w:trPr>
        <w:tc>
          <w:tcPr>
            <w:tcW w:w="4644" w:type="dxa"/>
            <w:shd w:val="clear" w:color="auto" w:fill="auto"/>
            <w:vAlign w:val="center"/>
          </w:tcPr>
          <w:p w14:paraId="381F10AE" w14:textId="37FCCBCC" w:rsidR="001F6968" w:rsidRPr="00AD663A" w:rsidRDefault="001F6968" w:rsidP="00F47C73">
            <w:pPr>
              <w:spacing w:after="0"/>
              <w:ind w:firstLine="0"/>
              <w:jc w:val="left"/>
              <w:rPr>
                <w:i/>
                <w:color w:val="000000"/>
                <w:sz w:val="22"/>
                <w:szCs w:val="22"/>
                <w:lang w:eastAsia="lv-LV"/>
              </w:rPr>
            </w:pPr>
            <w:r w:rsidRPr="00AD663A">
              <w:rPr>
                <w:i/>
                <w:color w:val="000000"/>
                <w:sz w:val="22"/>
                <w:szCs w:val="22"/>
                <w:lang w:eastAsia="lv-LV"/>
              </w:rPr>
              <w:t>Nodokļu korekcija atbilstoši</w:t>
            </w:r>
            <w:r>
              <w:rPr>
                <w:i/>
                <w:color w:val="000000"/>
                <w:sz w:val="22"/>
                <w:szCs w:val="22"/>
                <w:lang w:eastAsia="lv-LV"/>
              </w:rPr>
              <w:t xml:space="preserve"> </w:t>
            </w:r>
            <w:r w:rsidRPr="00AD663A">
              <w:rPr>
                <w:i/>
                <w:color w:val="000000"/>
                <w:sz w:val="22"/>
                <w:szCs w:val="22"/>
                <w:lang w:eastAsia="lv-LV"/>
              </w:rPr>
              <w:t>EKS metodoloģijai</w:t>
            </w:r>
          </w:p>
        </w:tc>
        <w:tc>
          <w:tcPr>
            <w:tcW w:w="1586" w:type="dxa"/>
            <w:shd w:val="clear" w:color="auto" w:fill="auto"/>
            <w:vAlign w:val="center"/>
          </w:tcPr>
          <w:p w14:paraId="1ACFAB72" w14:textId="77777777" w:rsidR="001F6968" w:rsidRPr="00646008" w:rsidRDefault="001F6968" w:rsidP="00F866B5">
            <w:pPr>
              <w:spacing w:after="0"/>
              <w:ind w:firstLine="0"/>
              <w:jc w:val="center"/>
              <w:rPr>
                <w:sz w:val="22"/>
                <w:szCs w:val="22"/>
                <w:lang w:eastAsia="lv-LV"/>
              </w:rPr>
            </w:pPr>
          </w:p>
        </w:tc>
        <w:tc>
          <w:tcPr>
            <w:tcW w:w="1413" w:type="dxa"/>
            <w:shd w:val="clear" w:color="auto" w:fill="auto"/>
            <w:vAlign w:val="center"/>
          </w:tcPr>
          <w:p w14:paraId="2BF0EBCA" w14:textId="77777777" w:rsidR="001F6968" w:rsidRPr="00646008" w:rsidRDefault="001F6968" w:rsidP="00F866B5">
            <w:pPr>
              <w:spacing w:after="0"/>
              <w:ind w:firstLine="0"/>
              <w:jc w:val="center"/>
              <w:rPr>
                <w:sz w:val="22"/>
                <w:szCs w:val="22"/>
                <w:lang w:eastAsia="lv-LV"/>
              </w:rPr>
            </w:pPr>
          </w:p>
        </w:tc>
        <w:tc>
          <w:tcPr>
            <w:tcW w:w="791" w:type="dxa"/>
            <w:shd w:val="clear" w:color="auto" w:fill="auto"/>
            <w:vAlign w:val="center"/>
          </w:tcPr>
          <w:p w14:paraId="549260C6" w14:textId="77777777" w:rsidR="001F6968" w:rsidRPr="00646008" w:rsidRDefault="001F6968" w:rsidP="00F866B5">
            <w:pPr>
              <w:spacing w:after="0"/>
              <w:ind w:firstLine="0"/>
              <w:jc w:val="center"/>
              <w:rPr>
                <w:sz w:val="22"/>
                <w:szCs w:val="22"/>
                <w:lang w:eastAsia="lv-LV"/>
              </w:rPr>
            </w:pPr>
          </w:p>
        </w:tc>
        <w:tc>
          <w:tcPr>
            <w:tcW w:w="1255" w:type="dxa"/>
            <w:shd w:val="clear" w:color="auto" w:fill="auto"/>
            <w:vAlign w:val="center"/>
          </w:tcPr>
          <w:p w14:paraId="0E977535" w14:textId="77777777" w:rsidR="001F6968" w:rsidRPr="00646008" w:rsidRDefault="001F6968" w:rsidP="00F866B5">
            <w:pPr>
              <w:spacing w:after="0"/>
              <w:ind w:firstLine="0"/>
              <w:jc w:val="center"/>
              <w:rPr>
                <w:sz w:val="22"/>
                <w:szCs w:val="22"/>
                <w:lang w:eastAsia="lv-LV"/>
              </w:rPr>
            </w:pPr>
          </w:p>
        </w:tc>
        <w:tc>
          <w:tcPr>
            <w:tcW w:w="1481" w:type="dxa"/>
            <w:shd w:val="clear" w:color="auto" w:fill="auto"/>
            <w:vAlign w:val="center"/>
          </w:tcPr>
          <w:p w14:paraId="63782D98" w14:textId="77777777" w:rsidR="001F6968" w:rsidRPr="00646008" w:rsidRDefault="001F6968" w:rsidP="00F866B5">
            <w:pPr>
              <w:spacing w:after="0"/>
              <w:ind w:firstLine="0"/>
              <w:jc w:val="center"/>
              <w:rPr>
                <w:sz w:val="22"/>
                <w:szCs w:val="22"/>
                <w:lang w:eastAsia="lv-LV"/>
              </w:rPr>
            </w:pPr>
          </w:p>
        </w:tc>
        <w:tc>
          <w:tcPr>
            <w:tcW w:w="730" w:type="dxa"/>
            <w:shd w:val="clear" w:color="auto" w:fill="auto"/>
            <w:noWrap/>
            <w:vAlign w:val="bottom"/>
          </w:tcPr>
          <w:p w14:paraId="147A1B07" w14:textId="77777777" w:rsidR="001F6968" w:rsidRPr="00646008" w:rsidRDefault="001F6968" w:rsidP="00F866B5">
            <w:pPr>
              <w:spacing w:after="0"/>
              <w:ind w:firstLine="0"/>
              <w:jc w:val="center"/>
              <w:rPr>
                <w:b/>
                <w:bCs/>
                <w:sz w:val="22"/>
                <w:szCs w:val="22"/>
                <w:lang w:eastAsia="lv-LV"/>
              </w:rPr>
            </w:pPr>
          </w:p>
        </w:tc>
        <w:tc>
          <w:tcPr>
            <w:tcW w:w="932" w:type="dxa"/>
            <w:shd w:val="clear" w:color="auto" w:fill="auto"/>
            <w:vAlign w:val="center"/>
          </w:tcPr>
          <w:p w14:paraId="2B6BAA38" w14:textId="77777777" w:rsidR="001F6968" w:rsidRPr="00646008" w:rsidRDefault="001F6968" w:rsidP="00F866B5">
            <w:pPr>
              <w:spacing w:after="0"/>
              <w:ind w:firstLine="0"/>
              <w:jc w:val="center"/>
              <w:rPr>
                <w:sz w:val="22"/>
                <w:szCs w:val="22"/>
                <w:lang w:eastAsia="lv-LV"/>
              </w:rPr>
            </w:pPr>
            <w:r>
              <w:rPr>
                <w:sz w:val="22"/>
                <w:szCs w:val="22"/>
              </w:rPr>
              <w:t>0,03</w:t>
            </w:r>
          </w:p>
        </w:tc>
      </w:tr>
      <w:tr w:rsidR="001F6968" w:rsidRPr="00646008" w14:paraId="4EBD0FC7" w14:textId="77777777" w:rsidTr="00F47C73">
        <w:trPr>
          <w:trHeight w:val="227"/>
        </w:trPr>
        <w:tc>
          <w:tcPr>
            <w:tcW w:w="4644" w:type="dxa"/>
            <w:shd w:val="clear" w:color="auto" w:fill="DBE5F1" w:themeFill="accent1" w:themeFillTint="33"/>
            <w:vAlign w:val="center"/>
          </w:tcPr>
          <w:p w14:paraId="0171AF1D" w14:textId="27F7D1C6" w:rsidR="001F6968" w:rsidRPr="00AD663A" w:rsidRDefault="001F6968" w:rsidP="00F866B5">
            <w:pPr>
              <w:spacing w:after="0"/>
              <w:ind w:firstLine="0"/>
              <w:jc w:val="left"/>
              <w:rPr>
                <w:i/>
                <w:color w:val="000000"/>
                <w:sz w:val="22"/>
                <w:szCs w:val="22"/>
                <w:lang w:eastAsia="lv-LV"/>
              </w:rPr>
            </w:pPr>
            <w:r w:rsidRPr="00AD663A">
              <w:rPr>
                <w:i/>
                <w:color w:val="000000"/>
                <w:sz w:val="22"/>
                <w:szCs w:val="22"/>
                <w:lang w:eastAsia="lv-LV"/>
              </w:rPr>
              <w:t>Nenodokļu ieņēmumu korekcija atbilstoši EKS metodoloģijai</w:t>
            </w:r>
            <w:r>
              <w:rPr>
                <w:i/>
                <w:color w:val="000000"/>
                <w:sz w:val="22"/>
                <w:szCs w:val="22"/>
                <w:lang w:eastAsia="lv-LV"/>
              </w:rPr>
              <w:t xml:space="preserve"> </w:t>
            </w:r>
            <w:r>
              <w:rPr>
                <w:rStyle w:val="FootnoteReference"/>
                <w:i/>
                <w:color w:val="000000"/>
                <w:szCs w:val="22"/>
                <w:lang w:eastAsia="lv-LV"/>
              </w:rPr>
              <w:footnoteReference w:id="5"/>
            </w:r>
          </w:p>
        </w:tc>
        <w:tc>
          <w:tcPr>
            <w:tcW w:w="1586" w:type="dxa"/>
            <w:shd w:val="clear" w:color="auto" w:fill="DBE5F1" w:themeFill="accent1" w:themeFillTint="33"/>
            <w:vAlign w:val="center"/>
          </w:tcPr>
          <w:p w14:paraId="0157A84E" w14:textId="77777777" w:rsidR="001F6968" w:rsidRPr="00646008" w:rsidRDefault="001F6968" w:rsidP="00F866B5">
            <w:pPr>
              <w:spacing w:after="0"/>
              <w:ind w:firstLine="0"/>
              <w:jc w:val="center"/>
              <w:rPr>
                <w:sz w:val="22"/>
                <w:szCs w:val="22"/>
                <w:lang w:eastAsia="lv-LV"/>
              </w:rPr>
            </w:pPr>
          </w:p>
        </w:tc>
        <w:tc>
          <w:tcPr>
            <w:tcW w:w="1413" w:type="dxa"/>
            <w:shd w:val="clear" w:color="auto" w:fill="DBE5F1" w:themeFill="accent1" w:themeFillTint="33"/>
            <w:vAlign w:val="center"/>
          </w:tcPr>
          <w:p w14:paraId="1AE077BB" w14:textId="77777777" w:rsidR="001F6968" w:rsidRPr="00646008" w:rsidRDefault="001F6968" w:rsidP="00F866B5">
            <w:pPr>
              <w:spacing w:after="0"/>
              <w:ind w:firstLine="0"/>
              <w:jc w:val="center"/>
              <w:rPr>
                <w:sz w:val="22"/>
                <w:szCs w:val="22"/>
                <w:lang w:eastAsia="lv-LV"/>
              </w:rPr>
            </w:pPr>
          </w:p>
        </w:tc>
        <w:tc>
          <w:tcPr>
            <w:tcW w:w="791" w:type="dxa"/>
            <w:shd w:val="clear" w:color="auto" w:fill="DBE5F1" w:themeFill="accent1" w:themeFillTint="33"/>
            <w:vAlign w:val="center"/>
          </w:tcPr>
          <w:p w14:paraId="305DF32C" w14:textId="77777777" w:rsidR="001F6968" w:rsidRPr="00646008" w:rsidRDefault="001F6968" w:rsidP="00F866B5">
            <w:pPr>
              <w:spacing w:after="0"/>
              <w:ind w:firstLine="0"/>
              <w:jc w:val="center"/>
              <w:rPr>
                <w:sz w:val="22"/>
                <w:szCs w:val="22"/>
                <w:lang w:eastAsia="lv-LV"/>
              </w:rPr>
            </w:pPr>
          </w:p>
        </w:tc>
        <w:tc>
          <w:tcPr>
            <w:tcW w:w="1255" w:type="dxa"/>
            <w:shd w:val="clear" w:color="auto" w:fill="DBE5F1" w:themeFill="accent1" w:themeFillTint="33"/>
            <w:vAlign w:val="center"/>
          </w:tcPr>
          <w:p w14:paraId="1F46ACF3" w14:textId="77777777" w:rsidR="001F6968" w:rsidRPr="00646008" w:rsidRDefault="001F6968" w:rsidP="00F866B5">
            <w:pPr>
              <w:spacing w:after="0"/>
              <w:ind w:firstLine="0"/>
              <w:jc w:val="center"/>
              <w:rPr>
                <w:sz w:val="22"/>
                <w:szCs w:val="22"/>
                <w:lang w:eastAsia="lv-LV"/>
              </w:rPr>
            </w:pPr>
          </w:p>
        </w:tc>
        <w:tc>
          <w:tcPr>
            <w:tcW w:w="1481" w:type="dxa"/>
            <w:shd w:val="clear" w:color="auto" w:fill="DBE5F1" w:themeFill="accent1" w:themeFillTint="33"/>
            <w:vAlign w:val="center"/>
          </w:tcPr>
          <w:p w14:paraId="7565ACD2" w14:textId="77777777" w:rsidR="001F6968" w:rsidRPr="00646008" w:rsidRDefault="001F6968" w:rsidP="00F866B5">
            <w:pPr>
              <w:spacing w:after="0"/>
              <w:ind w:firstLine="0"/>
              <w:jc w:val="center"/>
              <w:rPr>
                <w:sz w:val="22"/>
                <w:szCs w:val="22"/>
                <w:lang w:eastAsia="lv-LV"/>
              </w:rPr>
            </w:pPr>
          </w:p>
        </w:tc>
        <w:tc>
          <w:tcPr>
            <w:tcW w:w="730" w:type="dxa"/>
            <w:shd w:val="clear" w:color="auto" w:fill="DBE5F1" w:themeFill="accent1" w:themeFillTint="33"/>
            <w:noWrap/>
            <w:vAlign w:val="bottom"/>
          </w:tcPr>
          <w:p w14:paraId="58A3E1DF" w14:textId="77777777" w:rsidR="001F6968" w:rsidRPr="00646008" w:rsidRDefault="001F6968" w:rsidP="00F866B5">
            <w:pPr>
              <w:spacing w:after="0"/>
              <w:ind w:firstLine="0"/>
              <w:jc w:val="center"/>
              <w:rPr>
                <w:b/>
                <w:bCs/>
                <w:sz w:val="22"/>
                <w:szCs w:val="22"/>
                <w:lang w:eastAsia="lv-LV"/>
              </w:rPr>
            </w:pPr>
          </w:p>
        </w:tc>
        <w:tc>
          <w:tcPr>
            <w:tcW w:w="932" w:type="dxa"/>
            <w:shd w:val="clear" w:color="auto" w:fill="DBE5F1" w:themeFill="accent1" w:themeFillTint="33"/>
            <w:vAlign w:val="center"/>
          </w:tcPr>
          <w:p w14:paraId="221D07B3" w14:textId="77777777" w:rsidR="001F6968" w:rsidRPr="00646008" w:rsidRDefault="001F6968" w:rsidP="00F866B5">
            <w:pPr>
              <w:spacing w:after="0"/>
              <w:ind w:firstLine="0"/>
              <w:jc w:val="center"/>
              <w:rPr>
                <w:sz w:val="22"/>
                <w:szCs w:val="22"/>
                <w:lang w:eastAsia="lv-LV"/>
              </w:rPr>
            </w:pPr>
            <w:r>
              <w:rPr>
                <w:sz w:val="22"/>
                <w:szCs w:val="22"/>
              </w:rPr>
              <w:t>0,23</w:t>
            </w:r>
          </w:p>
        </w:tc>
      </w:tr>
      <w:tr w:rsidR="001F6968" w:rsidRPr="00646008" w14:paraId="47AC69EF" w14:textId="77777777" w:rsidTr="00F47C73">
        <w:trPr>
          <w:trHeight w:val="227"/>
        </w:trPr>
        <w:tc>
          <w:tcPr>
            <w:tcW w:w="4644" w:type="dxa"/>
            <w:shd w:val="clear" w:color="auto" w:fill="auto"/>
            <w:vAlign w:val="center"/>
          </w:tcPr>
          <w:p w14:paraId="46133682" w14:textId="26A90BE9" w:rsidR="001F6968" w:rsidRPr="00AD663A" w:rsidRDefault="001F6968" w:rsidP="00F866B5">
            <w:pPr>
              <w:spacing w:after="0"/>
              <w:ind w:firstLine="0"/>
              <w:jc w:val="left"/>
              <w:rPr>
                <w:i/>
                <w:color w:val="000000"/>
                <w:sz w:val="22"/>
                <w:szCs w:val="22"/>
                <w:lang w:eastAsia="lv-LV"/>
              </w:rPr>
            </w:pPr>
            <w:r w:rsidRPr="00AD663A">
              <w:rPr>
                <w:i/>
                <w:color w:val="000000"/>
                <w:sz w:val="22"/>
                <w:szCs w:val="22"/>
                <w:lang w:eastAsia="lv-LV"/>
              </w:rPr>
              <w:t>ES fondu korekcija atbilstoši EKS metodoloģijai</w:t>
            </w:r>
          </w:p>
        </w:tc>
        <w:tc>
          <w:tcPr>
            <w:tcW w:w="1586" w:type="dxa"/>
            <w:shd w:val="clear" w:color="auto" w:fill="auto"/>
            <w:vAlign w:val="center"/>
          </w:tcPr>
          <w:p w14:paraId="6A1F04AC" w14:textId="77777777" w:rsidR="001F6968" w:rsidRPr="00646008" w:rsidRDefault="001F6968" w:rsidP="00F866B5">
            <w:pPr>
              <w:spacing w:after="0"/>
              <w:ind w:firstLine="0"/>
              <w:jc w:val="center"/>
              <w:rPr>
                <w:sz w:val="22"/>
                <w:szCs w:val="22"/>
                <w:lang w:eastAsia="lv-LV"/>
              </w:rPr>
            </w:pPr>
          </w:p>
        </w:tc>
        <w:tc>
          <w:tcPr>
            <w:tcW w:w="1413" w:type="dxa"/>
            <w:shd w:val="clear" w:color="auto" w:fill="auto"/>
            <w:vAlign w:val="center"/>
          </w:tcPr>
          <w:p w14:paraId="43032675" w14:textId="77777777" w:rsidR="001F6968" w:rsidRPr="00646008" w:rsidRDefault="001F6968" w:rsidP="00F866B5">
            <w:pPr>
              <w:spacing w:after="0"/>
              <w:ind w:firstLine="0"/>
              <w:jc w:val="center"/>
              <w:rPr>
                <w:sz w:val="22"/>
                <w:szCs w:val="22"/>
                <w:lang w:eastAsia="lv-LV"/>
              </w:rPr>
            </w:pPr>
          </w:p>
        </w:tc>
        <w:tc>
          <w:tcPr>
            <w:tcW w:w="791" w:type="dxa"/>
            <w:shd w:val="clear" w:color="auto" w:fill="auto"/>
            <w:vAlign w:val="center"/>
          </w:tcPr>
          <w:p w14:paraId="6AE72686" w14:textId="77777777" w:rsidR="001F6968" w:rsidRPr="00646008" w:rsidRDefault="001F6968" w:rsidP="00F866B5">
            <w:pPr>
              <w:spacing w:after="0"/>
              <w:ind w:firstLine="0"/>
              <w:jc w:val="center"/>
              <w:rPr>
                <w:sz w:val="22"/>
                <w:szCs w:val="22"/>
                <w:lang w:eastAsia="lv-LV"/>
              </w:rPr>
            </w:pPr>
          </w:p>
        </w:tc>
        <w:tc>
          <w:tcPr>
            <w:tcW w:w="1255" w:type="dxa"/>
            <w:shd w:val="clear" w:color="auto" w:fill="auto"/>
            <w:vAlign w:val="center"/>
          </w:tcPr>
          <w:p w14:paraId="40BDE295" w14:textId="77777777" w:rsidR="001F6968" w:rsidRPr="00646008" w:rsidRDefault="001F6968" w:rsidP="00F866B5">
            <w:pPr>
              <w:spacing w:after="0"/>
              <w:ind w:firstLine="0"/>
              <w:jc w:val="center"/>
              <w:rPr>
                <w:sz w:val="22"/>
                <w:szCs w:val="22"/>
                <w:lang w:eastAsia="lv-LV"/>
              </w:rPr>
            </w:pPr>
          </w:p>
        </w:tc>
        <w:tc>
          <w:tcPr>
            <w:tcW w:w="1481" w:type="dxa"/>
            <w:shd w:val="clear" w:color="auto" w:fill="auto"/>
            <w:vAlign w:val="center"/>
          </w:tcPr>
          <w:p w14:paraId="4FAA4A5D" w14:textId="77777777" w:rsidR="001F6968" w:rsidRPr="00646008" w:rsidRDefault="001F6968" w:rsidP="00F866B5">
            <w:pPr>
              <w:spacing w:after="0"/>
              <w:ind w:firstLine="0"/>
              <w:jc w:val="center"/>
              <w:rPr>
                <w:sz w:val="22"/>
                <w:szCs w:val="22"/>
                <w:lang w:eastAsia="lv-LV"/>
              </w:rPr>
            </w:pPr>
          </w:p>
        </w:tc>
        <w:tc>
          <w:tcPr>
            <w:tcW w:w="730" w:type="dxa"/>
            <w:shd w:val="clear" w:color="auto" w:fill="auto"/>
            <w:noWrap/>
            <w:vAlign w:val="bottom"/>
          </w:tcPr>
          <w:p w14:paraId="52F3C2A0" w14:textId="77777777" w:rsidR="001F6968" w:rsidRPr="00646008" w:rsidRDefault="001F6968" w:rsidP="00F866B5">
            <w:pPr>
              <w:spacing w:after="0"/>
              <w:ind w:firstLine="0"/>
              <w:jc w:val="center"/>
              <w:rPr>
                <w:b/>
                <w:bCs/>
                <w:sz w:val="22"/>
                <w:szCs w:val="22"/>
                <w:lang w:eastAsia="lv-LV"/>
              </w:rPr>
            </w:pPr>
          </w:p>
        </w:tc>
        <w:tc>
          <w:tcPr>
            <w:tcW w:w="932" w:type="dxa"/>
            <w:shd w:val="clear" w:color="auto" w:fill="auto"/>
            <w:vAlign w:val="center"/>
          </w:tcPr>
          <w:p w14:paraId="6C7E6317" w14:textId="77777777" w:rsidR="001F6968" w:rsidRPr="00646008" w:rsidRDefault="001F6968" w:rsidP="00F866B5">
            <w:pPr>
              <w:spacing w:after="0"/>
              <w:ind w:firstLine="0"/>
              <w:jc w:val="center"/>
              <w:rPr>
                <w:sz w:val="22"/>
                <w:szCs w:val="22"/>
                <w:lang w:eastAsia="lv-LV"/>
              </w:rPr>
            </w:pPr>
            <w:r>
              <w:rPr>
                <w:sz w:val="22"/>
                <w:szCs w:val="22"/>
              </w:rPr>
              <w:t>0,04</w:t>
            </w:r>
          </w:p>
        </w:tc>
      </w:tr>
      <w:tr w:rsidR="001F6968" w:rsidRPr="00646008" w14:paraId="4AADA5BF" w14:textId="77777777" w:rsidTr="00F47C73">
        <w:trPr>
          <w:trHeight w:val="227"/>
        </w:trPr>
        <w:tc>
          <w:tcPr>
            <w:tcW w:w="4644" w:type="dxa"/>
            <w:shd w:val="clear" w:color="auto" w:fill="DBE5F1" w:themeFill="accent1" w:themeFillTint="33"/>
            <w:vAlign w:val="center"/>
          </w:tcPr>
          <w:p w14:paraId="3C68C3FA" w14:textId="349A3810" w:rsidR="001F6968" w:rsidRPr="00AD663A" w:rsidRDefault="001F6968" w:rsidP="00F866B5">
            <w:pPr>
              <w:spacing w:after="0"/>
              <w:ind w:firstLine="0"/>
              <w:jc w:val="left"/>
              <w:rPr>
                <w:i/>
                <w:color w:val="000000"/>
                <w:sz w:val="22"/>
                <w:szCs w:val="22"/>
                <w:lang w:eastAsia="lv-LV"/>
              </w:rPr>
            </w:pPr>
            <w:r w:rsidRPr="00AD663A">
              <w:rPr>
                <w:i/>
                <w:color w:val="000000"/>
                <w:sz w:val="22"/>
                <w:szCs w:val="22"/>
                <w:lang w:eastAsia="lv-LV"/>
              </w:rPr>
              <w:t xml:space="preserve">Pašu ieņēmumi </w:t>
            </w:r>
          </w:p>
        </w:tc>
        <w:tc>
          <w:tcPr>
            <w:tcW w:w="1586" w:type="dxa"/>
            <w:shd w:val="clear" w:color="auto" w:fill="DBE5F1" w:themeFill="accent1" w:themeFillTint="33"/>
            <w:vAlign w:val="center"/>
          </w:tcPr>
          <w:p w14:paraId="1A33129B" w14:textId="77777777" w:rsidR="001F6968" w:rsidRPr="00646008" w:rsidRDefault="001F6968" w:rsidP="00F866B5">
            <w:pPr>
              <w:spacing w:after="0"/>
              <w:ind w:firstLine="0"/>
              <w:jc w:val="center"/>
              <w:rPr>
                <w:sz w:val="22"/>
                <w:szCs w:val="22"/>
                <w:lang w:eastAsia="lv-LV"/>
              </w:rPr>
            </w:pPr>
          </w:p>
        </w:tc>
        <w:tc>
          <w:tcPr>
            <w:tcW w:w="1413" w:type="dxa"/>
            <w:shd w:val="clear" w:color="auto" w:fill="DBE5F1" w:themeFill="accent1" w:themeFillTint="33"/>
            <w:vAlign w:val="center"/>
          </w:tcPr>
          <w:p w14:paraId="345D9468" w14:textId="77777777" w:rsidR="001F6968" w:rsidRPr="00646008" w:rsidRDefault="001F6968" w:rsidP="00F866B5">
            <w:pPr>
              <w:spacing w:after="0"/>
              <w:ind w:firstLine="0"/>
              <w:jc w:val="center"/>
              <w:rPr>
                <w:sz w:val="22"/>
                <w:szCs w:val="22"/>
                <w:lang w:eastAsia="lv-LV"/>
              </w:rPr>
            </w:pPr>
          </w:p>
        </w:tc>
        <w:tc>
          <w:tcPr>
            <w:tcW w:w="791" w:type="dxa"/>
            <w:shd w:val="clear" w:color="auto" w:fill="DBE5F1" w:themeFill="accent1" w:themeFillTint="33"/>
            <w:vAlign w:val="center"/>
          </w:tcPr>
          <w:p w14:paraId="05133A4B" w14:textId="77777777" w:rsidR="001F6968" w:rsidRPr="00646008" w:rsidRDefault="001F6968" w:rsidP="00F866B5">
            <w:pPr>
              <w:spacing w:after="0"/>
              <w:ind w:firstLine="0"/>
              <w:jc w:val="center"/>
              <w:rPr>
                <w:sz w:val="22"/>
                <w:szCs w:val="22"/>
                <w:lang w:eastAsia="lv-LV"/>
              </w:rPr>
            </w:pPr>
          </w:p>
        </w:tc>
        <w:tc>
          <w:tcPr>
            <w:tcW w:w="1255" w:type="dxa"/>
            <w:shd w:val="clear" w:color="auto" w:fill="DBE5F1" w:themeFill="accent1" w:themeFillTint="33"/>
            <w:vAlign w:val="center"/>
          </w:tcPr>
          <w:p w14:paraId="4DB000EC" w14:textId="77777777" w:rsidR="001F6968" w:rsidRPr="00646008" w:rsidRDefault="001F6968" w:rsidP="00F866B5">
            <w:pPr>
              <w:spacing w:after="0"/>
              <w:ind w:firstLine="0"/>
              <w:jc w:val="center"/>
              <w:rPr>
                <w:sz w:val="22"/>
                <w:szCs w:val="22"/>
                <w:lang w:eastAsia="lv-LV"/>
              </w:rPr>
            </w:pPr>
          </w:p>
        </w:tc>
        <w:tc>
          <w:tcPr>
            <w:tcW w:w="1481" w:type="dxa"/>
            <w:shd w:val="clear" w:color="auto" w:fill="DBE5F1" w:themeFill="accent1" w:themeFillTint="33"/>
            <w:vAlign w:val="center"/>
          </w:tcPr>
          <w:p w14:paraId="742047FB" w14:textId="77777777" w:rsidR="001F6968" w:rsidRPr="00646008" w:rsidRDefault="001F6968" w:rsidP="00F866B5">
            <w:pPr>
              <w:spacing w:after="0"/>
              <w:ind w:firstLine="0"/>
              <w:jc w:val="center"/>
              <w:rPr>
                <w:sz w:val="22"/>
                <w:szCs w:val="22"/>
                <w:lang w:eastAsia="lv-LV"/>
              </w:rPr>
            </w:pPr>
          </w:p>
        </w:tc>
        <w:tc>
          <w:tcPr>
            <w:tcW w:w="730" w:type="dxa"/>
            <w:shd w:val="clear" w:color="auto" w:fill="DBE5F1" w:themeFill="accent1" w:themeFillTint="33"/>
            <w:noWrap/>
            <w:vAlign w:val="bottom"/>
          </w:tcPr>
          <w:p w14:paraId="157657C1" w14:textId="77777777" w:rsidR="001F6968" w:rsidRPr="00646008" w:rsidRDefault="001F6968" w:rsidP="00F866B5">
            <w:pPr>
              <w:spacing w:after="0"/>
              <w:ind w:firstLine="0"/>
              <w:jc w:val="center"/>
              <w:rPr>
                <w:b/>
                <w:bCs/>
                <w:sz w:val="22"/>
                <w:szCs w:val="22"/>
                <w:lang w:eastAsia="lv-LV"/>
              </w:rPr>
            </w:pPr>
          </w:p>
        </w:tc>
        <w:tc>
          <w:tcPr>
            <w:tcW w:w="932" w:type="dxa"/>
            <w:shd w:val="clear" w:color="auto" w:fill="DBE5F1" w:themeFill="accent1" w:themeFillTint="33"/>
            <w:vAlign w:val="center"/>
          </w:tcPr>
          <w:p w14:paraId="78114C6B" w14:textId="77777777" w:rsidR="001F6968" w:rsidRPr="00646008" w:rsidRDefault="001F6968" w:rsidP="00F866B5">
            <w:pPr>
              <w:spacing w:after="0"/>
              <w:ind w:firstLine="0"/>
              <w:jc w:val="center"/>
              <w:rPr>
                <w:sz w:val="22"/>
                <w:szCs w:val="22"/>
                <w:lang w:eastAsia="lv-LV"/>
              </w:rPr>
            </w:pPr>
            <w:r>
              <w:rPr>
                <w:sz w:val="22"/>
                <w:szCs w:val="22"/>
              </w:rPr>
              <w:t>0,04</w:t>
            </w:r>
          </w:p>
        </w:tc>
      </w:tr>
      <w:tr w:rsidR="001F6968" w:rsidRPr="00646008" w14:paraId="7558A382" w14:textId="77777777" w:rsidTr="00F47C73">
        <w:trPr>
          <w:trHeight w:val="227"/>
        </w:trPr>
        <w:tc>
          <w:tcPr>
            <w:tcW w:w="4644" w:type="dxa"/>
            <w:shd w:val="clear" w:color="auto" w:fill="auto"/>
            <w:vAlign w:val="center"/>
          </w:tcPr>
          <w:p w14:paraId="02BC7A6A" w14:textId="3DE574E6" w:rsidR="001F6968" w:rsidRPr="00AD663A" w:rsidRDefault="001F6968" w:rsidP="00F47C73">
            <w:pPr>
              <w:spacing w:after="0"/>
              <w:ind w:firstLine="0"/>
              <w:jc w:val="left"/>
              <w:rPr>
                <w:i/>
                <w:color w:val="000000"/>
                <w:sz w:val="22"/>
                <w:szCs w:val="22"/>
                <w:lang w:eastAsia="lv-LV"/>
              </w:rPr>
            </w:pPr>
            <w:r>
              <w:rPr>
                <w:i/>
                <w:color w:val="000000"/>
                <w:sz w:val="22"/>
                <w:szCs w:val="22"/>
                <w:lang w:eastAsia="lv-LV"/>
              </w:rPr>
              <w:t xml:space="preserve">  </w:t>
            </w:r>
            <w:r w:rsidR="00F47C73">
              <w:rPr>
                <w:i/>
                <w:color w:val="000000"/>
                <w:sz w:val="22"/>
                <w:szCs w:val="22"/>
                <w:lang w:eastAsia="lv-LV"/>
              </w:rPr>
              <w:t>Ārvalstu finanšu palīdzības</w:t>
            </w:r>
            <w:r>
              <w:rPr>
                <w:i/>
                <w:color w:val="000000"/>
                <w:sz w:val="22"/>
                <w:szCs w:val="22"/>
                <w:lang w:eastAsia="lv-LV"/>
              </w:rPr>
              <w:t xml:space="preserve"> </w:t>
            </w:r>
            <w:r w:rsidRPr="00AD663A">
              <w:rPr>
                <w:i/>
                <w:color w:val="000000"/>
                <w:sz w:val="22"/>
                <w:szCs w:val="22"/>
                <w:lang w:eastAsia="lv-LV"/>
              </w:rPr>
              <w:t>ieņēmumi</w:t>
            </w:r>
          </w:p>
        </w:tc>
        <w:tc>
          <w:tcPr>
            <w:tcW w:w="1586" w:type="dxa"/>
            <w:shd w:val="clear" w:color="auto" w:fill="auto"/>
            <w:vAlign w:val="center"/>
          </w:tcPr>
          <w:p w14:paraId="13B0E8D0" w14:textId="77777777" w:rsidR="001F6968" w:rsidRPr="00646008" w:rsidRDefault="001F6968" w:rsidP="00F866B5">
            <w:pPr>
              <w:spacing w:after="0"/>
              <w:ind w:firstLine="0"/>
              <w:jc w:val="center"/>
              <w:rPr>
                <w:sz w:val="22"/>
                <w:szCs w:val="22"/>
                <w:lang w:eastAsia="lv-LV"/>
              </w:rPr>
            </w:pPr>
          </w:p>
        </w:tc>
        <w:tc>
          <w:tcPr>
            <w:tcW w:w="1413" w:type="dxa"/>
            <w:shd w:val="clear" w:color="auto" w:fill="auto"/>
            <w:vAlign w:val="center"/>
          </w:tcPr>
          <w:p w14:paraId="04E01ECD" w14:textId="77777777" w:rsidR="001F6968" w:rsidRPr="00646008" w:rsidRDefault="001F6968" w:rsidP="00F866B5">
            <w:pPr>
              <w:spacing w:after="0"/>
              <w:ind w:firstLine="0"/>
              <w:jc w:val="center"/>
              <w:rPr>
                <w:sz w:val="22"/>
                <w:szCs w:val="22"/>
                <w:lang w:eastAsia="lv-LV"/>
              </w:rPr>
            </w:pPr>
          </w:p>
        </w:tc>
        <w:tc>
          <w:tcPr>
            <w:tcW w:w="791" w:type="dxa"/>
            <w:shd w:val="clear" w:color="auto" w:fill="auto"/>
            <w:vAlign w:val="center"/>
          </w:tcPr>
          <w:p w14:paraId="250A6189" w14:textId="77777777" w:rsidR="001F6968" w:rsidRPr="00646008" w:rsidRDefault="001F6968" w:rsidP="00F866B5">
            <w:pPr>
              <w:spacing w:after="0"/>
              <w:ind w:firstLine="0"/>
              <w:jc w:val="center"/>
              <w:rPr>
                <w:sz w:val="22"/>
                <w:szCs w:val="22"/>
                <w:lang w:eastAsia="lv-LV"/>
              </w:rPr>
            </w:pPr>
          </w:p>
        </w:tc>
        <w:tc>
          <w:tcPr>
            <w:tcW w:w="1255" w:type="dxa"/>
            <w:shd w:val="clear" w:color="auto" w:fill="auto"/>
            <w:vAlign w:val="center"/>
          </w:tcPr>
          <w:p w14:paraId="1A4C8E0D" w14:textId="77777777" w:rsidR="001F6968" w:rsidRPr="00646008" w:rsidRDefault="001F6968" w:rsidP="00F866B5">
            <w:pPr>
              <w:spacing w:after="0"/>
              <w:ind w:firstLine="0"/>
              <w:jc w:val="center"/>
              <w:rPr>
                <w:sz w:val="22"/>
                <w:szCs w:val="22"/>
                <w:lang w:eastAsia="lv-LV"/>
              </w:rPr>
            </w:pPr>
          </w:p>
        </w:tc>
        <w:tc>
          <w:tcPr>
            <w:tcW w:w="1481" w:type="dxa"/>
            <w:shd w:val="clear" w:color="auto" w:fill="auto"/>
            <w:vAlign w:val="center"/>
          </w:tcPr>
          <w:p w14:paraId="05F254EE" w14:textId="77777777" w:rsidR="001F6968" w:rsidRPr="00646008" w:rsidRDefault="001F6968" w:rsidP="00F866B5">
            <w:pPr>
              <w:spacing w:after="0"/>
              <w:ind w:firstLine="0"/>
              <w:jc w:val="center"/>
              <w:rPr>
                <w:sz w:val="22"/>
                <w:szCs w:val="22"/>
                <w:lang w:eastAsia="lv-LV"/>
              </w:rPr>
            </w:pPr>
          </w:p>
        </w:tc>
        <w:tc>
          <w:tcPr>
            <w:tcW w:w="730" w:type="dxa"/>
            <w:shd w:val="clear" w:color="auto" w:fill="auto"/>
            <w:noWrap/>
            <w:vAlign w:val="bottom"/>
          </w:tcPr>
          <w:p w14:paraId="3CB0D786" w14:textId="77777777" w:rsidR="001F6968" w:rsidRPr="00646008" w:rsidRDefault="001F6968" w:rsidP="00F866B5">
            <w:pPr>
              <w:spacing w:after="0"/>
              <w:ind w:firstLine="0"/>
              <w:jc w:val="center"/>
              <w:rPr>
                <w:b/>
                <w:bCs/>
                <w:sz w:val="22"/>
                <w:szCs w:val="22"/>
                <w:lang w:eastAsia="lv-LV"/>
              </w:rPr>
            </w:pPr>
          </w:p>
        </w:tc>
        <w:tc>
          <w:tcPr>
            <w:tcW w:w="932" w:type="dxa"/>
            <w:shd w:val="clear" w:color="auto" w:fill="auto"/>
            <w:vAlign w:val="center"/>
          </w:tcPr>
          <w:p w14:paraId="6748F7D5" w14:textId="77777777" w:rsidR="001F6968" w:rsidRPr="00646008" w:rsidRDefault="001F6968" w:rsidP="00F866B5">
            <w:pPr>
              <w:spacing w:after="0"/>
              <w:ind w:firstLine="0"/>
              <w:jc w:val="center"/>
              <w:rPr>
                <w:sz w:val="22"/>
                <w:szCs w:val="22"/>
                <w:lang w:eastAsia="lv-LV"/>
              </w:rPr>
            </w:pPr>
            <w:r>
              <w:rPr>
                <w:sz w:val="22"/>
                <w:szCs w:val="22"/>
              </w:rPr>
              <w:t>0,06</w:t>
            </w:r>
          </w:p>
        </w:tc>
      </w:tr>
      <w:tr w:rsidR="001F6968" w:rsidRPr="00646008" w14:paraId="6F5310DC" w14:textId="77777777" w:rsidTr="00F47C73">
        <w:trPr>
          <w:trHeight w:val="227"/>
        </w:trPr>
        <w:tc>
          <w:tcPr>
            <w:tcW w:w="4644" w:type="dxa"/>
            <w:shd w:val="clear" w:color="auto" w:fill="DBE5F1" w:themeFill="accent1" w:themeFillTint="33"/>
            <w:noWrap/>
            <w:vAlign w:val="bottom"/>
            <w:hideMark/>
          </w:tcPr>
          <w:p w14:paraId="6485991A" w14:textId="77777777" w:rsidR="001F6968" w:rsidRPr="00646008" w:rsidRDefault="001F6968" w:rsidP="00F866B5">
            <w:pPr>
              <w:spacing w:after="0"/>
              <w:ind w:firstLine="0"/>
              <w:jc w:val="center"/>
              <w:rPr>
                <w:sz w:val="22"/>
                <w:szCs w:val="22"/>
                <w:lang w:eastAsia="lv-LV"/>
              </w:rPr>
            </w:pPr>
          </w:p>
        </w:tc>
        <w:tc>
          <w:tcPr>
            <w:tcW w:w="1586" w:type="dxa"/>
            <w:shd w:val="clear" w:color="auto" w:fill="DBE5F1" w:themeFill="accent1" w:themeFillTint="33"/>
            <w:noWrap/>
            <w:vAlign w:val="bottom"/>
            <w:hideMark/>
          </w:tcPr>
          <w:p w14:paraId="744F636B" w14:textId="77777777" w:rsidR="001F6968" w:rsidRPr="00646008" w:rsidRDefault="001F6968" w:rsidP="00F866B5">
            <w:pPr>
              <w:spacing w:after="0"/>
              <w:ind w:firstLine="0"/>
              <w:jc w:val="left"/>
              <w:rPr>
                <w:sz w:val="22"/>
                <w:szCs w:val="22"/>
                <w:lang w:eastAsia="lv-LV"/>
              </w:rPr>
            </w:pPr>
          </w:p>
        </w:tc>
        <w:tc>
          <w:tcPr>
            <w:tcW w:w="1413" w:type="dxa"/>
            <w:shd w:val="clear" w:color="auto" w:fill="DBE5F1" w:themeFill="accent1" w:themeFillTint="33"/>
            <w:noWrap/>
            <w:vAlign w:val="bottom"/>
            <w:hideMark/>
          </w:tcPr>
          <w:p w14:paraId="24A5EC12" w14:textId="77777777" w:rsidR="001F6968" w:rsidRPr="00646008" w:rsidRDefault="001F6968" w:rsidP="00F866B5">
            <w:pPr>
              <w:spacing w:after="0"/>
              <w:ind w:firstLine="0"/>
              <w:jc w:val="center"/>
              <w:rPr>
                <w:sz w:val="22"/>
                <w:szCs w:val="22"/>
                <w:lang w:eastAsia="lv-LV"/>
              </w:rPr>
            </w:pPr>
          </w:p>
        </w:tc>
        <w:tc>
          <w:tcPr>
            <w:tcW w:w="791" w:type="dxa"/>
            <w:shd w:val="clear" w:color="auto" w:fill="DBE5F1" w:themeFill="accent1" w:themeFillTint="33"/>
            <w:noWrap/>
            <w:vAlign w:val="center"/>
            <w:hideMark/>
          </w:tcPr>
          <w:p w14:paraId="0C5E2D1C" w14:textId="77777777" w:rsidR="001F6968" w:rsidRPr="00646008" w:rsidRDefault="001F6968" w:rsidP="00F866B5">
            <w:pPr>
              <w:spacing w:after="0"/>
              <w:ind w:firstLine="0"/>
              <w:jc w:val="left"/>
              <w:rPr>
                <w:sz w:val="22"/>
                <w:szCs w:val="22"/>
                <w:lang w:eastAsia="lv-LV"/>
              </w:rPr>
            </w:pPr>
          </w:p>
        </w:tc>
        <w:tc>
          <w:tcPr>
            <w:tcW w:w="1255" w:type="dxa"/>
            <w:shd w:val="clear" w:color="auto" w:fill="DBE5F1" w:themeFill="accent1" w:themeFillTint="33"/>
            <w:noWrap/>
            <w:vAlign w:val="bottom"/>
            <w:hideMark/>
          </w:tcPr>
          <w:p w14:paraId="13F531FD" w14:textId="77777777" w:rsidR="001F6968" w:rsidRPr="00646008" w:rsidRDefault="001F6968" w:rsidP="00F866B5">
            <w:pPr>
              <w:spacing w:after="0"/>
              <w:ind w:firstLine="0"/>
              <w:jc w:val="center"/>
              <w:rPr>
                <w:sz w:val="22"/>
                <w:szCs w:val="22"/>
                <w:lang w:eastAsia="lv-LV"/>
              </w:rPr>
            </w:pPr>
          </w:p>
        </w:tc>
        <w:tc>
          <w:tcPr>
            <w:tcW w:w="1481" w:type="dxa"/>
            <w:shd w:val="clear" w:color="auto" w:fill="DBE5F1" w:themeFill="accent1" w:themeFillTint="33"/>
            <w:noWrap/>
            <w:vAlign w:val="bottom"/>
            <w:hideMark/>
          </w:tcPr>
          <w:p w14:paraId="408B6DD5" w14:textId="77777777" w:rsidR="001F6968" w:rsidRPr="00646008" w:rsidRDefault="001F6968" w:rsidP="00F866B5">
            <w:pPr>
              <w:spacing w:after="0"/>
              <w:ind w:firstLine="0"/>
              <w:jc w:val="left"/>
              <w:rPr>
                <w:sz w:val="22"/>
                <w:szCs w:val="22"/>
                <w:lang w:eastAsia="lv-LV"/>
              </w:rPr>
            </w:pPr>
          </w:p>
        </w:tc>
        <w:tc>
          <w:tcPr>
            <w:tcW w:w="730" w:type="dxa"/>
            <w:shd w:val="clear" w:color="auto" w:fill="DBE5F1" w:themeFill="accent1" w:themeFillTint="33"/>
            <w:noWrap/>
            <w:vAlign w:val="bottom"/>
            <w:hideMark/>
          </w:tcPr>
          <w:p w14:paraId="400163B0" w14:textId="77777777" w:rsidR="001F6968" w:rsidRPr="00646008" w:rsidRDefault="001F6968" w:rsidP="00F866B5">
            <w:pPr>
              <w:spacing w:after="0"/>
              <w:ind w:firstLine="0"/>
              <w:jc w:val="left"/>
              <w:rPr>
                <w:b/>
                <w:bCs/>
                <w:color w:val="000000"/>
                <w:sz w:val="22"/>
                <w:szCs w:val="22"/>
                <w:lang w:eastAsia="lv-LV"/>
              </w:rPr>
            </w:pPr>
            <w:r w:rsidRPr="00646008">
              <w:rPr>
                <w:b/>
                <w:bCs/>
                <w:color w:val="000000"/>
                <w:sz w:val="22"/>
                <w:szCs w:val="22"/>
                <w:lang w:eastAsia="lv-LV"/>
              </w:rPr>
              <w:t>Kopā</w:t>
            </w:r>
          </w:p>
        </w:tc>
        <w:tc>
          <w:tcPr>
            <w:tcW w:w="932" w:type="dxa"/>
            <w:shd w:val="clear" w:color="auto" w:fill="DBE5F1" w:themeFill="accent1" w:themeFillTint="33"/>
            <w:noWrap/>
            <w:vAlign w:val="center"/>
            <w:hideMark/>
          </w:tcPr>
          <w:p w14:paraId="105A3294" w14:textId="77777777" w:rsidR="001F6968" w:rsidRPr="00646008" w:rsidRDefault="001F6968" w:rsidP="00F866B5">
            <w:pPr>
              <w:spacing w:after="0"/>
              <w:ind w:firstLine="0"/>
              <w:jc w:val="center"/>
              <w:rPr>
                <w:b/>
                <w:bCs/>
                <w:color w:val="000000"/>
                <w:sz w:val="22"/>
                <w:szCs w:val="22"/>
                <w:lang w:eastAsia="lv-LV"/>
              </w:rPr>
            </w:pPr>
            <w:r>
              <w:rPr>
                <w:b/>
                <w:bCs/>
                <w:color w:val="000000"/>
                <w:sz w:val="22"/>
                <w:szCs w:val="22"/>
                <w:lang w:eastAsia="lv-LV"/>
              </w:rPr>
              <w:t>0,40</w:t>
            </w:r>
          </w:p>
        </w:tc>
      </w:tr>
    </w:tbl>
    <w:p w14:paraId="60BAB17F" w14:textId="77777777" w:rsidR="001F6968" w:rsidRDefault="001F6968" w:rsidP="005B2F54">
      <w:pPr>
        <w:pStyle w:val="Heading1"/>
        <w:tabs>
          <w:tab w:val="left" w:pos="1276"/>
        </w:tabs>
        <w:spacing w:before="0" w:after="240"/>
        <w:ind w:left="1276" w:hanging="1276"/>
        <w:jc w:val="left"/>
      </w:pPr>
    </w:p>
    <w:p w14:paraId="75382C6D" w14:textId="61D5FE34" w:rsidR="005B2F54" w:rsidRPr="00C3203D" w:rsidRDefault="00382BC7" w:rsidP="005B2F54">
      <w:pPr>
        <w:pStyle w:val="Heading1"/>
        <w:tabs>
          <w:tab w:val="left" w:pos="1276"/>
        </w:tabs>
        <w:spacing w:before="0" w:after="240"/>
        <w:ind w:left="1276" w:hanging="1276"/>
        <w:jc w:val="left"/>
        <w:rPr>
          <w:rFonts w:ascii="Times New Roman" w:hAnsi="Times New Roman"/>
          <w:color w:val="18185F"/>
          <w:sz w:val="24"/>
          <w:lang w:val="lv-LV"/>
        </w:rPr>
      </w:pPr>
      <w:r w:rsidRPr="001F6968">
        <w:br w:type="page"/>
      </w:r>
      <w:bookmarkStart w:id="29" w:name="_Toc494786356"/>
      <w:bookmarkStart w:id="30" w:name="_Toc1374674"/>
      <w:r w:rsidR="00B228CA" w:rsidRPr="00B228CA">
        <w:rPr>
          <w:rFonts w:ascii="Times New Roman" w:hAnsi="Times New Roman"/>
          <w:color w:val="18185F"/>
          <w:sz w:val="24"/>
        </w:rPr>
        <w:lastRenderedPageBreak/>
        <w:t xml:space="preserve">Tabula </w:t>
      </w:r>
      <w:r w:rsidR="005B2F54" w:rsidRPr="003318B1">
        <w:rPr>
          <w:rFonts w:ascii="Times New Roman" w:hAnsi="Times New Roman"/>
          <w:color w:val="18185F"/>
          <w:sz w:val="24"/>
        </w:rPr>
        <w:t>5.b</w:t>
      </w:r>
      <w:r w:rsidR="005B2F54" w:rsidRPr="00B228CA">
        <w:rPr>
          <w:rFonts w:ascii="Times New Roman" w:hAnsi="Times New Roman"/>
          <w:color w:val="18185F"/>
          <w:sz w:val="24"/>
        </w:rPr>
        <w:t>.</w:t>
      </w:r>
      <w:r w:rsidR="005B2F54" w:rsidRPr="003318B1">
        <w:rPr>
          <w:rFonts w:ascii="Times New Roman" w:hAnsi="Times New Roman"/>
          <w:color w:val="18185F"/>
          <w:sz w:val="24"/>
          <w:lang w:val="lv-LV"/>
        </w:rPr>
        <w:t>ii)</w:t>
      </w:r>
      <w:r w:rsidR="005B2F54" w:rsidRPr="003318B1">
        <w:rPr>
          <w:rFonts w:ascii="Times New Roman" w:hAnsi="Times New Roman"/>
          <w:color w:val="18185F"/>
          <w:sz w:val="24"/>
        </w:rPr>
        <w:t>: Diskrecionārie</w:t>
      </w:r>
      <w:r w:rsidR="005B2F54" w:rsidRPr="003318B1">
        <w:rPr>
          <w:rFonts w:ascii="Times New Roman" w:hAnsi="Times New Roman"/>
          <w:color w:val="18185F"/>
          <w:sz w:val="24"/>
          <w:lang w:val="lv-LV"/>
        </w:rPr>
        <w:t xml:space="preserve"> izdevumi</w:t>
      </w:r>
      <w:r w:rsidR="005B2F54" w:rsidRPr="003318B1">
        <w:rPr>
          <w:rFonts w:ascii="Times New Roman" w:hAnsi="Times New Roman"/>
          <w:color w:val="18185F"/>
          <w:sz w:val="24"/>
        </w:rPr>
        <w:t xml:space="preserve"> pasākumi </w:t>
      </w:r>
      <w:r w:rsidR="005B2F54" w:rsidRPr="003318B1">
        <w:rPr>
          <w:rFonts w:ascii="Times New Roman" w:hAnsi="Times New Roman"/>
          <w:color w:val="18185F"/>
          <w:sz w:val="24"/>
          <w:lang w:val="lv-LV"/>
        </w:rPr>
        <w:t>centrālās valdības budžetā</w:t>
      </w:r>
      <w:bookmarkEnd w:id="29"/>
      <w:bookmarkEnd w:id="30"/>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729"/>
        <w:gridCol w:w="5762"/>
        <w:gridCol w:w="1047"/>
        <w:gridCol w:w="1430"/>
        <w:gridCol w:w="1501"/>
        <w:gridCol w:w="709"/>
        <w:gridCol w:w="709"/>
        <w:gridCol w:w="814"/>
      </w:tblGrid>
      <w:tr w:rsidR="005137D2" w:rsidRPr="005B2F54" w14:paraId="5CF6369A" w14:textId="77777777" w:rsidTr="001563FD">
        <w:trPr>
          <w:trHeight w:val="945"/>
        </w:trPr>
        <w:tc>
          <w:tcPr>
            <w:tcW w:w="2729" w:type="dxa"/>
            <w:shd w:val="clear" w:color="auto" w:fill="auto"/>
            <w:noWrap/>
            <w:vAlign w:val="center"/>
            <w:hideMark/>
          </w:tcPr>
          <w:p w14:paraId="070D42E5" w14:textId="77777777" w:rsidR="005137D2" w:rsidRPr="005B2F54" w:rsidRDefault="005137D2" w:rsidP="00F74DF0">
            <w:pPr>
              <w:spacing w:after="0"/>
              <w:ind w:firstLine="0"/>
              <w:jc w:val="center"/>
              <w:rPr>
                <w:color w:val="000000"/>
                <w:sz w:val="22"/>
                <w:szCs w:val="22"/>
                <w:lang w:eastAsia="lv-LV"/>
              </w:rPr>
            </w:pPr>
            <w:bookmarkStart w:id="31" w:name="_Toc494786357"/>
          </w:p>
        </w:tc>
        <w:tc>
          <w:tcPr>
            <w:tcW w:w="5762" w:type="dxa"/>
            <w:shd w:val="clear" w:color="auto" w:fill="auto"/>
            <w:noWrap/>
            <w:vAlign w:val="center"/>
            <w:hideMark/>
          </w:tcPr>
          <w:p w14:paraId="22CBF0E2" w14:textId="77777777" w:rsidR="005137D2" w:rsidRPr="00647F74" w:rsidRDefault="005137D2" w:rsidP="00F74DF0">
            <w:pPr>
              <w:spacing w:after="0"/>
              <w:ind w:firstLine="0"/>
              <w:jc w:val="center"/>
              <w:rPr>
                <w:b/>
                <w:bCs/>
                <w:color w:val="000000"/>
                <w:sz w:val="22"/>
                <w:szCs w:val="22"/>
                <w:lang w:eastAsia="lv-LV"/>
              </w:rPr>
            </w:pPr>
            <w:r w:rsidRPr="00647F74">
              <w:rPr>
                <w:b/>
                <w:bCs/>
                <w:color w:val="000000"/>
                <w:sz w:val="22"/>
                <w:szCs w:val="22"/>
                <w:lang w:eastAsia="lv-LV"/>
              </w:rPr>
              <w:t>Pasākumu saraksts</w:t>
            </w:r>
          </w:p>
        </w:tc>
        <w:tc>
          <w:tcPr>
            <w:tcW w:w="1047" w:type="dxa"/>
            <w:shd w:val="clear" w:color="auto" w:fill="auto"/>
            <w:noWrap/>
            <w:vAlign w:val="center"/>
            <w:hideMark/>
          </w:tcPr>
          <w:p w14:paraId="04E4CF98" w14:textId="77777777" w:rsidR="005137D2" w:rsidRPr="005B2F54" w:rsidRDefault="005137D2" w:rsidP="00F74DF0">
            <w:pPr>
              <w:spacing w:after="0"/>
              <w:ind w:firstLine="0"/>
              <w:jc w:val="center"/>
              <w:rPr>
                <w:b/>
                <w:bCs/>
                <w:color w:val="000000"/>
                <w:sz w:val="22"/>
                <w:szCs w:val="22"/>
                <w:lang w:eastAsia="lv-LV"/>
              </w:rPr>
            </w:pPr>
            <w:r w:rsidRPr="005B2F54">
              <w:rPr>
                <w:b/>
                <w:bCs/>
                <w:color w:val="000000"/>
                <w:sz w:val="22"/>
                <w:szCs w:val="22"/>
                <w:lang w:eastAsia="lv-LV"/>
              </w:rPr>
              <w:t>ESA kods</w:t>
            </w:r>
          </w:p>
        </w:tc>
        <w:tc>
          <w:tcPr>
            <w:tcW w:w="1430" w:type="dxa"/>
            <w:shd w:val="clear" w:color="auto" w:fill="auto"/>
            <w:vAlign w:val="center"/>
            <w:hideMark/>
          </w:tcPr>
          <w:p w14:paraId="58FCA441" w14:textId="77777777" w:rsidR="005137D2" w:rsidRPr="005B2F54" w:rsidRDefault="005137D2" w:rsidP="00F74DF0">
            <w:pPr>
              <w:spacing w:after="0"/>
              <w:ind w:firstLine="0"/>
              <w:jc w:val="center"/>
              <w:rPr>
                <w:b/>
                <w:bCs/>
                <w:color w:val="000000"/>
                <w:sz w:val="22"/>
                <w:szCs w:val="22"/>
                <w:lang w:eastAsia="lv-LV"/>
              </w:rPr>
            </w:pPr>
            <w:r w:rsidRPr="005B2F54">
              <w:rPr>
                <w:b/>
                <w:bCs/>
                <w:color w:val="000000"/>
                <w:sz w:val="22"/>
                <w:szCs w:val="22"/>
                <w:lang w:eastAsia="lv-LV"/>
              </w:rPr>
              <w:t>Uzskaites princips</w:t>
            </w:r>
          </w:p>
        </w:tc>
        <w:tc>
          <w:tcPr>
            <w:tcW w:w="1501" w:type="dxa"/>
            <w:shd w:val="clear" w:color="auto" w:fill="auto"/>
            <w:vAlign w:val="center"/>
            <w:hideMark/>
          </w:tcPr>
          <w:p w14:paraId="6F3627A1" w14:textId="77777777" w:rsidR="005137D2" w:rsidRPr="005B2F54" w:rsidRDefault="005137D2" w:rsidP="00F74DF0">
            <w:pPr>
              <w:spacing w:after="0"/>
              <w:ind w:firstLine="0"/>
              <w:jc w:val="center"/>
              <w:rPr>
                <w:b/>
                <w:bCs/>
                <w:color w:val="000000"/>
                <w:sz w:val="22"/>
                <w:szCs w:val="22"/>
                <w:lang w:eastAsia="lv-LV"/>
              </w:rPr>
            </w:pPr>
            <w:r w:rsidRPr="005B2F54">
              <w:rPr>
                <w:b/>
                <w:bCs/>
                <w:color w:val="000000"/>
                <w:sz w:val="22"/>
                <w:szCs w:val="22"/>
                <w:lang w:eastAsia="lv-LV"/>
              </w:rPr>
              <w:t>Pieņemšanas statuss</w:t>
            </w:r>
          </w:p>
        </w:tc>
        <w:tc>
          <w:tcPr>
            <w:tcW w:w="2232" w:type="dxa"/>
            <w:gridSpan w:val="3"/>
            <w:shd w:val="clear" w:color="auto" w:fill="auto"/>
            <w:noWrap/>
            <w:vAlign w:val="center"/>
            <w:hideMark/>
          </w:tcPr>
          <w:p w14:paraId="0B9B3969" w14:textId="77777777" w:rsidR="005137D2" w:rsidRPr="005B2F54" w:rsidRDefault="005137D2" w:rsidP="00F74DF0">
            <w:pPr>
              <w:spacing w:after="0"/>
              <w:ind w:firstLine="0"/>
              <w:jc w:val="center"/>
              <w:rPr>
                <w:b/>
                <w:bCs/>
                <w:color w:val="000000"/>
                <w:sz w:val="22"/>
                <w:szCs w:val="22"/>
                <w:lang w:eastAsia="lv-LV"/>
              </w:rPr>
            </w:pPr>
            <w:r w:rsidRPr="005B2F54">
              <w:rPr>
                <w:b/>
                <w:bCs/>
                <w:color w:val="000000"/>
                <w:sz w:val="22"/>
                <w:szCs w:val="22"/>
                <w:lang w:eastAsia="lv-LV"/>
              </w:rPr>
              <w:t>Ietekme uz budžetu</w:t>
            </w:r>
          </w:p>
        </w:tc>
      </w:tr>
      <w:tr w:rsidR="005137D2" w:rsidRPr="005B2F54" w14:paraId="42461091" w14:textId="77777777" w:rsidTr="001563FD">
        <w:trPr>
          <w:trHeight w:val="315"/>
        </w:trPr>
        <w:tc>
          <w:tcPr>
            <w:tcW w:w="2729" w:type="dxa"/>
            <w:shd w:val="clear" w:color="auto" w:fill="DBE5F1" w:themeFill="accent1" w:themeFillTint="33"/>
            <w:noWrap/>
            <w:vAlign w:val="center"/>
            <w:hideMark/>
          </w:tcPr>
          <w:p w14:paraId="6C999A65"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noWrap/>
            <w:vAlign w:val="center"/>
            <w:hideMark/>
          </w:tcPr>
          <w:p w14:paraId="5BC4F679" w14:textId="77777777" w:rsidR="005137D2" w:rsidRPr="00647F74" w:rsidRDefault="005137D2" w:rsidP="00F74DF0">
            <w:pPr>
              <w:spacing w:after="0"/>
              <w:ind w:firstLine="0"/>
              <w:rPr>
                <w:color w:val="000000"/>
                <w:sz w:val="22"/>
                <w:szCs w:val="22"/>
                <w:lang w:eastAsia="lv-LV"/>
              </w:rPr>
            </w:pPr>
          </w:p>
        </w:tc>
        <w:tc>
          <w:tcPr>
            <w:tcW w:w="1047" w:type="dxa"/>
            <w:shd w:val="clear" w:color="auto" w:fill="DBE5F1" w:themeFill="accent1" w:themeFillTint="33"/>
            <w:noWrap/>
            <w:vAlign w:val="center"/>
            <w:hideMark/>
          </w:tcPr>
          <w:p w14:paraId="2E305B72" w14:textId="77777777" w:rsidR="005137D2" w:rsidRPr="005B2F54" w:rsidRDefault="005137D2" w:rsidP="00F74DF0">
            <w:pPr>
              <w:spacing w:after="0"/>
              <w:ind w:firstLine="0"/>
              <w:jc w:val="center"/>
              <w:rPr>
                <w:color w:val="000000"/>
                <w:sz w:val="22"/>
                <w:szCs w:val="22"/>
                <w:lang w:eastAsia="lv-LV"/>
              </w:rPr>
            </w:pPr>
          </w:p>
        </w:tc>
        <w:tc>
          <w:tcPr>
            <w:tcW w:w="1430" w:type="dxa"/>
            <w:shd w:val="clear" w:color="auto" w:fill="DBE5F1" w:themeFill="accent1" w:themeFillTint="33"/>
            <w:noWrap/>
            <w:vAlign w:val="center"/>
            <w:hideMark/>
          </w:tcPr>
          <w:p w14:paraId="1030F5F0"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DBE5F1" w:themeFill="accent1" w:themeFillTint="33"/>
            <w:noWrap/>
            <w:vAlign w:val="center"/>
            <w:hideMark/>
          </w:tcPr>
          <w:p w14:paraId="4157C3A4"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DBE5F1" w:themeFill="accent1" w:themeFillTint="33"/>
            <w:noWrap/>
            <w:vAlign w:val="center"/>
            <w:hideMark/>
          </w:tcPr>
          <w:p w14:paraId="5EF9410B" w14:textId="77777777" w:rsidR="005137D2" w:rsidRPr="005B2F54" w:rsidRDefault="005137D2" w:rsidP="00F74DF0">
            <w:pPr>
              <w:spacing w:after="0"/>
              <w:ind w:firstLine="0"/>
              <w:jc w:val="center"/>
              <w:rPr>
                <w:b/>
                <w:bCs/>
                <w:color w:val="000000"/>
                <w:sz w:val="22"/>
                <w:szCs w:val="22"/>
                <w:lang w:eastAsia="lv-LV"/>
              </w:rPr>
            </w:pPr>
            <w:r w:rsidRPr="005B2F54">
              <w:rPr>
                <w:b/>
                <w:bCs/>
                <w:color w:val="000000"/>
                <w:sz w:val="22"/>
                <w:szCs w:val="22"/>
                <w:lang w:eastAsia="lv-LV"/>
              </w:rPr>
              <w:t>2019</w:t>
            </w:r>
          </w:p>
        </w:tc>
        <w:tc>
          <w:tcPr>
            <w:tcW w:w="709" w:type="dxa"/>
            <w:shd w:val="clear" w:color="auto" w:fill="DBE5F1" w:themeFill="accent1" w:themeFillTint="33"/>
            <w:noWrap/>
            <w:vAlign w:val="center"/>
            <w:hideMark/>
          </w:tcPr>
          <w:p w14:paraId="1B41345D" w14:textId="77777777" w:rsidR="005137D2" w:rsidRPr="005B2F54" w:rsidRDefault="005137D2" w:rsidP="00F74DF0">
            <w:pPr>
              <w:spacing w:after="0"/>
              <w:ind w:firstLine="0"/>
              <w:jc w:val="center"/>
              <w:rPr>
                <w:b/>
                <w:bCs/>
                <w:color w:val="000000"/>
                <w:sz w:val="22"/>
                <w:szCs w:val="22"/>
                <w:lang w:eastAsia="lv-LV"/>
              </w:rPr>
            </w:pPr>
            <w:r w:rsidRPr="005B2F54">
              <w:rPr>
                <w:b/>
                <w:bCs/>
                <w:color w:val="000000"/>
                <w:sz w:val="22"/>
                <w:szCs w:val="22"/>
                <w:lang w:eastAsia="lv-LV"/>
              </w:rPr>
              <w:t>20</w:t>
            </w:r>
            <w:r>
              <w:rPr>
                <w:b/>
                <w:bCs/>
                <w:color w:val="000000"/>
                <w:sz w:val="22"/>
                <w:szCs w:val="22"/>
                <w:lang w:eastAsia="lv-LV"/>
              </w:rPr>
              <w:t>20</w:t>
            </w:r>
          </w:p>
        </w:tc>
        <w:tc>
          <w:tcPr>
            <w:tcW w:w="814" w:type="dxa"/>
            <w:shd w:val="clear" w:color="auto" w:fill="DBE5F1" w:themeFill="accent1" w:themeFillTint="33"/>
            <w:noWrap/>
            <w:vAlign w:val="center"/>
            <w:hideMark/>
          </w:tcPr>
          <w:p w14:paraId="2F82A6CF" w14:textId="77777777" w:rsidR="005137D2" w:rsidRPr="005B2F54" w:rsidRDefault="005137D2" w:rsidP="00F74DF0">
            <w:pPr>
              <w:spacing w:after="0"/>
              <w:ind w:firstLine="0"/>
              <w:jc w:val="center"/>
              <w:rPr>
                <w:b/>
                <w:bCs/>
                <w:color w:val="000000"/>
                <w:sz w:val="22"/>
                <w:szCs w:val="22"/>
                <w:lang w:eastAsia="lv-LV"/>
              </w:rPr>
            </w:pPr>
            <w:r w:rsidRPr="005B2F54">
              <w:rPr>
                <w:b/>
                <w:bCs/>
                <w:color w:val="000000"/>
                <w:sz w:val="22"/>
                <w:szCs w:val="22"/>
                <w:lang w:eastAsia="lv-LV"/>
              </w:rPr>
              <w:t>20</w:t>
            </w:r>
            <w:r>
              <w:rPr>
                <w:b/>
                <w:bCs/>
                <w:color w:val="000000"/>
                <w:sz w:val="22"/>
                <w:szCs w:val="22"/>
                <w:lang w:eastAsia="lv-LV"/>
              </w:rPr>
              <w:t>21</w:t>
            </w:r>
          </w:p>
        </w:tc>
      </w:tr>
      <w:tr w:rsidR="005137D2" w:rsidRPr="005B2F54" w14:paraId="25534686" w14:textId="77777777" w:rsidTr="001563FD">
        <w:trPr>
          <w:trHeight w:val="315"/>
        </w:trPr>
        <w:tc>
          <w:tcPr>
            <w:tcW w:w="2729" w:type="dxa"/>
            <w:shd w:val="clear" w:color="auto" w:fill="auto"/>
            <w:noWrap/>
            <w:vAlign w:val="center"/>
            <w:hideMark/>
          </w:tcPr>
          <w:p w14:paraId="14F65B74"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noWrap/>
            <w:vAlign w:val="center"/>
            <w:hideMark/>
          </w:tcPr>
          <w:p w14:paraId="4A1F1D46" w14:textId="77777777" w:rsidR="005137D2" w:rsidRPr="00647F74" w:rsidRDefault="005137D2" w:rsidP="00F74DF0">
            <w:pPr>
              <w:spacing w:after="0"/>
              <w:ind w:firstLine="0"/>
              <w:rPr>
                <w:color w:val="000000"/>
                <w:sz w:val="22"/>
                <w:szCs w:val="22"/>
                <w:lang w:eastAsia="lv-LV"/>
              </w:rPr>
            </w:pPr>
          </w:p>
        </w:tc>
        <w:tc>
          <w:tcPr>
            <w:tcW w:w="1047" w:type="dxa"/>
            <w:shd w:val="clear" w:color="auto" w:fill="auto"/>
            <w:noWrap/>
            <w:vAlign w:val="center"/>
            <w:hideMark/>
          </w:tcPr>
          <w:p w14:paraId="26B2DFBF" w14:textId="77777777" w:rsidR="005137D2" w:rsidRPr="005B2F54" w:rsidRDefault="005137D2" w:rsidP="00F74DF0">
            <w:pPr>
              <w:spacing w:after="0"/>
              <w:ind w:firstLine="0"/>
              <w:jc w:val="center"/>
              <w:rPr>
                <w:color w:val="000000"/>
                <w:sz w:val="22"/>
                <w:szCs w:val="22"/>
                <w:lang w:eastAsia="lv-LV"/>
              </w:rPr>
            </w:pPr>
          </w:p>
        </w:tc>
        <w:tc>
          <w:tcPr>
            <w:tcW w:w="1430" w:type="dxa"/>
            <w:shd w:val="clear" w:color="auto" w:fill="auto"/>
            <w:noWrap/>
            <w:vAlign w:val="center"/>
            <w:hideMark/>
          </w:tcPr>
          <w:p w14:paraId="373E69A5"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auto"/>
            <w:noWrap/>
            <w:vAlign w:val="center"/>
            <w:hideMark/>
          </w:tcPr>
          <w:p w14:paraId="7067AED0" w14:textId="77777777" w:rsidR="005137D2" w:rsidRPr="005B2F54" w:rsidRDefault="005137D2" w:rsidP="00F74DF0">
            <w:pPr>
              <w:spacing w:after="0"/>
              <w:ind w:firstLine="0"/>
              <w:jc w:val="center"/>
              <w:rPr>
                <w:color w:val="000000"/>
                <w:sz w:val="22"/>
                <w:szCs w:val="22"/>
                <w:lang w:eastAsia="lv-LV"/>
              </w:rPr>
            </w:pPr>
          </w:p>
        </w:tc>
        <w:tc>
          <w:tcPr>
            <w:tcW w:w="2232" w:type="dxa"/>
            <w:gridSpan w:val="3"/>
            <w:shd w:val="clear" w:color="auto" w:fill="auto"/>
            <w:noWrap/>
            <w:vAlign w:val="center"/>
            <w:hideMark/>
          </w:tcPr>
          <w:p w14:paraId="54AA5387" w14:textId="77777777" w:rsidR="005137D2" w:rsidRPr="005B2F54" w:rsidRDefault="005137D2" w:rsidP="00F74DF0">
            <w:pPr>
              <w:spacing w:after="0"/>
              <w:ind w:firstLine="0"/>
              <w:jc w:val="center"/>
              <w:rPr>
                <w:b/>
                <w:bCs/>
                <w:color w:val="000000"/>
                <w:sz w:val="22"/>
                <w:szCs w:val="22"/>
                <w:lang w:eastAsia="lv-LV"/>
              </w:rPr>
            </w:pPr>
            <w:r w:rsidRPr="005B2F54">
              <w:rPr>
                <w:b/>
                <w:bCs/>
                <w:color w:val="000000"/>
                <w:sz w:val="22"/>
                <w:szCs w:val="22"/>
                <w:lang w:eastAsia="lv-LV"/>
              </w:rPr>
              <w:t>% no IKP</w:t>
            </w:r>
          </w:p>
        </w:tc>
      </w:tr>
      <w:tr w:rsidR="005137D2" w:rsidRPr="005B2F54" w14:paraId="0577ED48" w14:textId="77777777" w:rsidTr="001563FD">
        <w:trPr>
          <w:trHeight w:val="315"/>
        </w:trPr>
        <w:tc>
          <w:tcPr>
            <w:tcW w:w="2729" w:type="dxa"/>
            <w:vMerge w:val="restart"/>
            <w:shd w:val="clear" w:color="auto" w:fill="DBE5F1" w:themeFill="accent1" w:themeFillTint="33"/>
            <w:vAlign w:val="center"/>
            <w:hideMark/>
          </w:tcPr>
          <w:p w14:paraId="06C54C6A"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Aizsardzības ministrija</w:t>
            </w:r>
          </w:p>
        </w:tc>
        <w:tc>
          <w:tcPr>
            <w:tcW w:w="5762" w:type="dxa"/>
            <w:shd w:val="clear" w:color="auto" w:fill="DBE5F1" w:themeFill="accent1" w:themeFillTint="33"/>
            <w:vAlign w:val="center"/>
            <w:hideMark/>
          </w:tcPr>
          <w:p w14:paraId="5A1127CB"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Palielināts finansējums būvniecības projektu īstenošanai</w:t>
            </w:r>
          </w:p>
        </w:tc>
        <w:tc>
          <w:tcPr>
            <w:tcW w:w="1047" w:type="dxa"/>
            <w:shd w:val="clear" w:color="auto" w:fill="DBE5F1" w:themeFill="accent1" w:themeFillTint="33"/>
            <w:vAlign w:val="center"/>
            <w:hideMark/>
          </w:tcPr>
          <w:p w14:paraId="5F3073CE"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P.51</w:t>
            </w:r>
          </w:p>
        </w:tc>
        <w:tc>
          <w:tcPr>
            <w:tcW w:w="1430" w:type="dxa"/>
            <w:shd w:val="clear" w:color="auto" w:fill="DBE5F1" w:themeFill="accent1" w:themeFillTint="33"/>
            <w:noWrap/>
            <w:vAlign w:val="center"/>
            <w:hideMark/>
          </w:tcPr>
          <w:p w14:paraId="60D7969A"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49B979F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6B88173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5EF0C00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550394F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03B8E59C" w14:textId="77777777" w:rsidTr="001563FD">
        <w:trPr>
          <w:trHeight w:val="630"/>
        </w:trPr>
        <w:tc>
          <w:tcPr>
            <w:tcW w:w="2729" w:type="dxa"/>
            <w:vMerge/>
            <w:shd w:val="clear" w:color="auto" w:fill="DBE5F1" w:themeFill="accent1" w:themeFillTint="33"/>
            <w:vAlign w:val="center"/>
            <w:hideMark/>
          </w:tcPr>
          <w:p w14:paraId="64D6932F"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16D95C7A"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 (t.sk. izdevumi Nacionālo bruņoto spēku uzturēšanai, izdevumi NATO investīciju projektiem)</w:t>
            </w:r>
          </w:p>
        </w:tc>
        <w:tc>
          <w:tcPr>
            <w:tcW w:w="1047" w:type="dxa"/>
            <w:shd w:val="clear" w:color="auto" w:fill="auto"/>
            <w:vAlign w:val="center"/>
            <w:hideMark/>
          </w:tcPr>
          <w:p w14:paraId="2BBD651A"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auto"/>
            <w:noWrap/>
            <w:vAlign w:val="center"/>
            <w:hideMark/>
          </w:tcPr>
          <w:p w14:paraId="1BDC5371"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auto"/>
            <w:noWrap/>
            <w:vAlign w:val="center"/>
            <w:hideMark/>
          </w:tcPr>
          <w:p w14:paraId="6E79C3FB"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auto"/>
            <w:noWrap/>
            <w:vAlign w:val="center"/>
            <w:hideMark/>
          </w:tcPr>
          <w:p w14:paraId="50605B49"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0,05</w:t>
            </w:r>
          </w:p>
        </w:tc>
        <w:tc>
          <w:tcPr>
            <w:tcW w:w="709" w:type="dxa"/>
            <w:shd w:val="clear" w:color="auto" w:fill="auto"/>
            <w:noWrap/>
            <w:vAlign w:val="center"/>
            <w:hideMark/>
          </w:tcPr>
          <w:p w14:paraId="1B9AD6F7"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-0,05</w:t>
            </w:r>
          </w:p>
        </w:tc>
        <w:tc>
          <w:tcPr>
            <w:tcW w:w="814" w:type="dxa"/>
            <w:shd w:val="clear" w:color="auto" w:fill="auto"/>
            <w:noWrap/>
            <w:vAlign w:val="center"/>
            <w:hideMark/>
          </w:tcPr>
          <w:p w14:paraId="1E35743C"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69F49189" w14:textId="77777777" w:rsidTr="001563FD">
        <w:trPr>
          <w:trHeight w:val="630"/>
        </w:trPr>
        <w:tc>
          <w:tcPr>
            <w:tcW w:w="2729" w:type="dxa"/>
            <w:vMerge w:val="restart"/>
            <w:shd w:val="clear" w:color="auto" w:fill="auto"/>
            <w:vAlign w:val="center"/>
            <w:hideMark/>
          </w:tcPr>
          <w:p w14:paraId="674D53E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Ekonomikas ministrija</w:t>
            </w:r>
          </w:p>
        </w:tc>
        <w:tc>
          <w:tcPr>
            <w:tcW w:w="5762" w:type="dxa"/>
            <w:shd w:val="clear" w:color="auto" w:fill="DBE5F1" w:themeFill="accent1" w:themeFillTint="33"/>
            <w:vAlign w:val="center"/>
            <w:hideMark/>
          </w:tcPr>
          <w:p w14:paraId="1C98DB00"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 xml:space="preserve">Palielināti izdevumi, lai ALTUM </w:t>
            </w:r>
            <w:r>
              <w:rPr>
                <w:iCs/>
                <w:color w:val="000000"/>
                <w:sz w:val="22"/>
                <w:szCs w:val="22"/>
                <w:lang w:eastAsia="lv-LV"/>
              </w:rPr>
              <w:t>t</w:t>
            </w:r>
            <w:r w:rsidRPr="00647F74">
              <w:rPr>
                <w:iCs/>
                <w:color w:val="000000"/>
                <w:sz w:val="22"/>
                <w:szCs w:val="22"/>
                <w:lang w:eastAsia="lv-LV"/>
              </w:rPr>
              <w:t>urpinātu mājokļu atbalsta programmas īstenošanu</w:t>
            </w:r>
          </w:p>
        </w:tc>
        <w:tc>
          <w:tcPr>
            <w:tcW w:w="1047" w:type="dxa"/>
            <w:shd w:val="clear" w:color="auto" w:fill="DBE5F1" w:themeFill="accent1" w:themeFillTint="33"/>
            <w:vAlign w:val="center"/>
            <w:hideMark/>
          </w:tcPr>
          <w:p w14:paraId="2F16622C"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D.3</w:t>
            </w:r>
          </w:p>
        </w:tc>
        <w:tc>
          <w:tcPr>
            <w:tcW w:w="1430" w:type="dxa"/>
            <w:shd w:val="clear" w:color="auto" w:fill="DBE5F1" w:themeFill="accent1" w:themeFillTint="33"/>
            <w:noWrap/>
            <w:vAlign w:val="center"/>
            <w:hideMark/>
          </w:tcPr>
          <w:p w14:paraId="08C0FD4A"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6EC1C869"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1B325DC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76438775"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17B0853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00BE2DD8" w14:textId="77777777" w:rsidTr="001563FD">
        <w:trPr>
          <w:trHeight w:val="630"/>
        </w:trPr>
        <w:tc>
          <w:tcPr>
            <w:tcW w:w="2729" w:type="dxa"/>
            <w:vMerge/>
            <w:vAlign w:val="center"/>
            <w:hideMark/>
          </w:tcPr>
          <w:p w14:paraId="668011D4"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5A38E2C8"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Samazināts finansējums naftas produktu rezervju uzturēšanai</w:t>
            </w:r>
            <w:r>
              <w:rPr>
                <w:iCs/>
                <w:color w:val="000000"/>
                <w:sz w:val="22"/>
                <w:szCs w:val="22"/>
                <w:lang w:eastAsia="lv-LV"/>
              </w:rPr>
              <w:t xml:space="preserve"> </w:t>
            </w:r>
            <w:r w:rsidRPr="00647F74">
              <w:rPr>
                <w:iCs/>
                <w:color w:val="000000"/>
                <w:sz w:val="22"/>
                <w:szCs w:val="22"/>
                <w:lang w:eastAsia="lv-LV"/>
              </w:rPr>
              <w:t>saistībā ar nodevas samazināšanu</w:t>
            </w:r>
          </w:p>
        </w:tc>
        <w:tc>
          <w:tcPr>
            <w:tcW w:w="1047" w:type="dxa"/>
            <w:shd w:val="clear" w:color="auto" w:fill="auto"/>
            <w:vAlign w:val="center"/>
            <w:hideMark/>
          </w:tcPr>
          <w:p w14:paraId="5360FAA8"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D.2</w:t>
            </w:r>
          </w:p>
        </w:tc>
        <w:tc>
          <w:tcPr>
            <w:tcW w:w="1430" w:type="dxa"/>
            <w:shd w:val="clear" w:color="auto" w:fill="auto"/>
            <w:noWrap/>
            <w:vAlign w:val="center"/>
            <w:hideMark/>
          </w:tcPr>
          <w:p w14:paraId="4A7CDD5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33452CE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7FD9486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4DBB7C1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auto"/>
            <w:noWrap/>
            <w:vAlign w:val="center"/>
            <w:hideMark/>
          </w:tcPr>
          <w:p w14:paraId="2C958FE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046DA036" w14:textId="77777777" w:rsidTr="001563FD">
        <w:trPr>
          <w:trHeight w:val="315"/>
        </w:trPr>
        <w:tc>
          <w:tcPr>
            <w:tcW w:w="2729" w:type="dxa"/>
            <w:vMerge w:val="restart"/>
            <w:shd w:val="clear" w:color="auto" w:fill="DBE5F1" w:themeFill="accent1" w:themeFillTint="33"/>
            <w:vAlign w:val="center"/>
            <w:hideMark/>
          </w:tcPr>
          <w:p w14:paraId="1AF16F4B"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Finanšu ministrija</w:t>
            </w:r>
          </w:p>
        </w:tc>
        <w:tc>
          <w:tcPr>
            <w:tcW w:w="5762" w:type="dxa"/>
            <w:shd w:val="clear" w:color="auto" w:fill="DBE5F1" w:themeFill="accent1" w:themeFillTint="33"/>
            <w:vAlign w:val="center"/>
            <w:hideMark/>
          </w:tcPr>
          <w:p w14:paraId="3B475016"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Palielināti izdevumi atbilstoši MK 08.11.2018 rīkojumam Nr.597-s</w:t>
            </w:r>
          </w:p>
        </w:tc>
        <w:tc>
          <w:tcPr>
            <w:tcW w:w="1047" w:type="dxa"/>
            <w:shd w:val="clear" w:color="auto" w:fill="DBE5F1" w:themeFill="accent1" w:themeFillTint="33"/>
            <w:vAlign w:val="center"/>
            <w:hideMark/>
          </w:tcPr>
          <w:p w14:paraId="39D8380B"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36EACA4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685EB5D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147223B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709" w:type="dxa"/>
            <w:shd w:val="clear" w:color="auto" w:fill="DBE5F1" w:themeFill="accent1" w:themeFillTint="33"/>
            <w:noWrap/>
            <w:vAlign w:val="center"/>
            <w:hideMark/>
          </w:tcPr>
          <w:p w14:paraId="79CFEE13"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38ED589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0,04</w:t>
            </w:r>
          </w:p>
        </w:tc>
      </w:tr>
      <w:tr w:rsidR="005137D2" w:rsidRPr="005B2F54" w14:paraId="75A92F12" w14:textId="77777777" w:rsidTr="001563FD">
        <w:trPr>
          <w:trHeight w:val="945"/>
        </w:trPr>
        <w:tc>
          <w:tcPr>
            <w:tcW w:w="2729" w:type="dxa"/>
            <w:vMerge/>
            <w:shd w:val="clear" w:color="auto" w:fill="DBE5F1" w:themeFill="accent1" w:themeFillTint="33"/>
            <w:vAlign w:val="center"/>
            <w:hideMark/>
          </w:tcPr>
          <w:p w14:paraId="7CA7DFED"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4F467CA9"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Palielināts finansējums prioritārā pasākuma "Pasākumu plāna noziedzīgi iegūtu</w:t>
            </w:r>
            <w:r>
              <w:rPr>
                <w:iCs/>
                <w:color w:val="000000"/>
                <w:sz w:val="22"/>
                <w:szCs w:val="22"/>
                <w:lang w:eastAsia="lv-LV"/>
              </w:rPr>
              <w:t xml:space="preserve"> </w:t>
            </w:r>
            <w:r w:rsidRPr="00647F74">
              <w:rPr>
                <w:iCs/>
                <w:color w:val="000000"/>
                <w:sz w:val="22"/>
                <w:szCs w:val="22"/>
                <w:lang w:eastAsia="lv-LV"/>
              </w:rPr>
              <w:t>līdzekļu legalizācijas un terorisma finansēšanas novēršanai</w:t>
            </w:r>
            <w:r>
              <w:rPr>
                <w:iCs/>
                <w:color w:val="000000"/>
                <w:sz w:val="22"/>
                <w:szCs w:val="22"/>
                <w:lang w:eastAsia="lv-LV"/>
              </w:rPr>
              <w:t xml:space="preserve"> </w:t>
            </w:r>
            <w:r w:rsidRPr="00647F74">
              <w:rPr>
                <w:iCs/>
                <w:color w:val="000000"/>
                <w:sz w:val="22"/>
                <w:szCs w:val="22"/>
                <w:lang w:eastAsia="lv-LV"/>
              </w:rPr>
              <w:t>laika periodam līdz 2019.gada 31.decembrim īstenošana" īstenošanai</w:t>
            </w:r>
          </w:p>
        </w:tc>
        <w:tc>
          <w:tcPr>
            <w:tcW w:w="1047" w:type="dxa"/>
            <w:shd w:val="clear" w:color="auto" w:fill="auto"/>
            <w:vAlign w:val="center"/>
            <w:hideMark/>
          </w:tcPr>
          <w:p w14:paraId="5E293915"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auto"/>
            <w:noWrap/>
            <w:vAlign w:val="center"/>
            <w:hideMark/>
          </w:tcPr>
          <w:p w14:paraId="6E7FC4BA"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36AAF53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578D997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6E445DD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4FCFE5A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225D5CD3" w14:textId="77777777" w:rsidTr="00032D04">
        <w:trPr>
          <w:trHeight w:val="704"/>
        </w:trPr>
        <w:tc>
          <w:tcPr>
            <w:tcW w:w="2729" w:type="dxa"/>
            <w:vMerge/>
            <w:shd w:val="clear" w:color="auto" w:fill="DBE5F1" w:themeFill="accent1" w:themeFillTint="33"/>
            <w:vAlign w:val="center"/>
            <w:hideMark/>
          </w:tcPr>
          <w:p w14:paraId="767FC0B8"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1E11445D"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 (t.sk. palielināti izdevumi ERAF avansa, starpposma un noslēguma maksājumiem, palielināti izdevumi KF tehniskās palīdzības projektu īstenošanai)</w:t>
            </w:r>
          </w:p>
        </w:tc>
        <w:tc>
          <w:tcPr>
            <w:tcW w:w="1047" w:type="dxa"/>
            <w:shd w:val="clear" w:color="auto" w:fill="DBE5F1" w:themeFill="accent1" w:themeFillTint="33"/>
            <w:vAlign w:val="center"/>
            <w:hideMark/>
          </w:tcPr>
          <w:p w14:paraId="17785E75"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7FCC6A98"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DBE5F1" w:themeFill="accent1" w:themeFillTint="33"/>
            <w:noWrap/>
            <w:vAlign w:val="center"/>
            <w:hideMark/>
          </w:tcPr>
          <w:p w14:paraId="60223CFB"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DBE5F1" w:themeFill="accent1" w:themeFillTint="33"/>
            <w:noWrap/>
            <w:vAlign w:val="center"/>
            <w:hideMark/>
          </w:tcPr>
          <w:p w14:paraId="1C8A5B7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0,18</w:t>
            </w:r>
          </w:p>
        </w:tc>
        <w:tc>
          <w:tcPr>
            <w:tcW w:w="709" w:type="dxa"/>
            <w:shd w:val="clear" w:color="auto" w:fill="DBE5F1" w:themeFill="accent1" w:themeFillTint="33"/>
            <w:noWrap/>
            <w:vAlign w:val="center"/>
            <w:hideMark/>
          </w:tcPr>
          <w:p w14:paraId="02E324B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-0,11</w:t>
            </w:r>
          </w:p>
        </w:tc>
        <w:tc>
          <w:tcPr>
            <w:tcW w:w="814" w:type="dxa"/>
            <w:shd w:val="clear" w:color="auto" w:fill="DBE5F1" w:themeFill="accent1" w:themeFillTint="33"/>
            <w:noWrap/>
            <w:vAlign w:val="center"/>
            <w:hideMark/>
          </w:tcPr>
          <w:p w14:paraId="5F0372F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r>
      <w:tr w:rsidR="005137D2" w:rsidRPr="005B2F54" w14:paraId="0CF2DDBF" w14:textId="77777777" w:rsidTr="00032D04">
        <w:trPr>
          <w:trHeight w:val="645"/>
        </w:trPr>
        <w:tc>
          <w:tcPr>
            <w:tcW w:w="2729" w:type="dxa"/>
            <w:vMerge w:val="restart"/>
            <w:shd w:val="clear" w:color="auto" w:fill="auto"/>
            <w:vAlign w:val="center"/>
            <w:hideMark/>
          </w:tcPr>
          <w:p w14:paraId="72BEC9E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Iekšlietu ministrija</w:t>
            </w:r>
          </w:p>
        </w:tc>
        <w:tc>
          <w:tcPr>
            <w:tcW w:w="5762" w:type="dxa"/>
            <w:shd w:val="clear" w:color="auto" w:fill="auto"/>
            <w:vAlign w:val="center"/>
            <w:hideMark/>
          </w:tcPr>
          <w:p w14:paraId="1C54155C" w14:textId="10946FA2"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Izdevumu palielinājums, lai nodrošinātu pabalsta izmaksu a</w:t>
            </w:r>
            <w:r w:rsidR="00032D04">
              <w:rPr>
                <w:iCs/>
                <w:color w:val="000000"/>
                <w:sz w:val="22"/>
                <w:szCs w:val="22"/>
                <w:lang w:eastAsia="lv-LV"/>
              </w:rPr>
              <w:t xml:space="preserve">matpersonām ar </w:t>
            </w:r>
            <w:r w:rsidRPr="00647F74">
              <w:rPr>
                <w:iCs/>
                <w:color w:val="000000"/>
                <w:sz w:val="22"/>
                <w:szCs w:val="22"/>
                <w:lang w:eastAsia="lv-LV"/>
              </w:rPr>
              <w:t>speciālajām dienesta pakāpēm pēc katriem pieciem nepārtrauktas izdienas gadiem</w:t>
            </w:r>
          </w:p>
        </w:tc>
        <w:tc>
          <w:tcPr>
            <w:tcW w:w="1047" w:type="dxa"/>
            <w:shd w:val="clear" w:color="auto" w:fill="auto"/>
            <w:vAlign w:val="center"/>
            <w:hideMark/>
          </w:tcPr>
          <w:p w14:paraId="60C422B1"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auto"/>
            <w:noWrap/>
            <w:vAlign w:val="center"/>
            <w:hideMark/>
          </w:tcPr>
          <w:p w14:paraId="5F73C9F3"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78174D7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31038E1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0,12</w:t>
            </w:r>
          </w:p>
        </w:tc>
        <w:tc>
          <w:tcPr>
            <w:tcW w:w="709" w:type="dxa"/>
            <w:shd w:val="clear" w:color="auto" w:fill="auto"/>
            <w:noWrap/>
            <w:vAlign w:val="center"/>
            <w:hideMark/>
          </w:tcPr>
          <w:p w14:paraId="706E191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-0,10</w:t>
            </w:r>
          </w:p>
        </w:tc>
        <w:tc>
          <w:tcPr>
            <w:tcW w:w="814" w:type="dxa"/>
            <w:shd w:val="clear" w:color="auto" w:fill="auto"/>
            <w:noWrap/>
            <w:vAlign w:val="center"/>
            <w:hideMark/>
          </w:tcPr>
          <w:p w14:paraId="4AC544F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51ED6DBE" w14:textId="77777777" w:rsidTr="001563FD">
        <w:trPr>
          <w:trHeight w:val="945"/>
        </w:trPr>
        <w:tc>
          <w:tcPr>
            <w:tcW w:w="2729" w:type="dxa"/>
            <w:vMerge/>
            <w:vAlign w:val="center"/>
            <w:hideMark/>
          </w:tcPr>
          <w:p w14:paraId="5C319617"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7557E8EA"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Izdevumu palielinājums, lai nodrošinātu prioritārā pasākuma "Pasākumu plāna noziedzīgi iegūtu līdzekļu legalizācijas un terorisma finansēšanas novēršanai laika</w:t>
            </w:r>
            <w:r>
              <w:rPr>
                <w:iCs/>
                <w:color w:val="000000"/>
                <w:sz w:val="22"/>
                <w:szCs w:val="22"/>
                <w:lang w:eastAsia="lv-LV"/>
              </w:rPr>
              <w:t xml:space="preserve"> </w:t>
            </w:r>
            <w:r w:rsidRPr="00647F74">
              <w:rPr>
                <w:iCs/>
                <w:color w:val="000000"/>
                <w:sz w:val="22"/>
                <w:szCs w:val="22"/>
                <w:lang w:eastAsia="lv-LV"/>
              </w:rPr>
              <w:t>periodam līdz 2019.gada 31.decembrim īstenošana" īstenošanu</w:t>
            </w:r>
          </w:p>
        </w:tc>
        <w:tc>
          <w:tcPr>
            <w:tcW w:w="1047" w:type="dxa"/>
            <w:shd w:val="clear" w:color="auto" w:fill="DBE5F1" w:themeFill="accent1" w:themeFillTint="33"/>
            <w:vAlign w:val="center"/>
            <w:hideMark/>
          </w:tcPr>
          <w:p w14:paraId="488F3CD0"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3A1CCF4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7E49B1B5"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6C336CC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0BE20503"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78E7066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18BF099F" w14:textId="77777777" w:rsidTr="00032D04">
        <w:trPr>
          <w:trHeight w:val="690"/>
        </w:trPr>
        <w:tc>
          <w:tcPr>
            <w:tcW w:w="2729" w:type="dxa"/>
            <w:vMerge/>
            <w:vAlign w:val="center"/>
            <w:hideMark/>
          </w:tcPr>
          <w:p w14:paraId="1C97E113"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09A26195"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 (t.sk. palielināti izdevumi projekta "ABC vārtu uzstādīšana Starptautiskajā lidostā "Rīga"" īstenošanai un citu ES politikas instrumentu finansēšanai)</w:t>
            </w:r>
          </w:p>
        </w:tc>
        <w:tc>
          <w:tcPr>
            <w:tcW w:w="1047" w:type="dxa"/>
            <w:shd w:val="clear" w:color="auto" w:fill="auto"/>
            <w:vAlign w:val="center"/>
            <w:hideMark/>
          </w:tcPr>
          <w:p w14:paraId="35865624"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auto"/>
            <w:noWrap/>
            <w:vAlign w:val="center"/>
            <w:hideMark/>
          </w:tcPr>
          <w:p w14:paraId="7DA361B7"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auto"/>
            <w:noWrap/>
            <w:vAlign w:val="center"/>
            <w:hideMark/>
          </w:tcPr>
          <w:p w14:paraId="7FE8A3FC"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auto"/>
            <w:noWrap/>
            <w:vAlign w:val="center"/>
            <w:hideMark/>
          </w:tcPr>
          <w:p w14:paraId="1AE7FA27"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auto"/>
            <w:noWrap/>
            <w:vAlign w:val="center"/>
            <w:hideMark/>
          </w:tcPr>
          <w:p w14:paraId="50746A8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auto"/>
            <w:noWrap/>
            <w:vAlign w:val="center"/>
            <w:hideMark/>
          </w:tcPr>
          <w:p w14:paraId="1D27BE5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21E03072" w14:textId="77777777" w:rsidTr="001563FD">
        <w:trPr>
          <w:trHeight w:val="630"/>
        </w:trPr>
        <w:tc>
          <w:tcPr>
            <w:tcW w:w="2729" w:type="dxa"/>
            <w:shd w:val="clear" w:color="auto" w:fill="DBE5F1" w:themeFill="accent1" w:themeFillTint="33"/>
            <w:vAlign w:val="center"/>
            <w:hideMark/>
          </w:tcPr>
          <w:p w14:paraId="73E0DAB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Izglītības un zinātnes ministrija</w:t>
            </w:r>
          </w:p>
        </w:tc>
        <w:tc>
          <w:tcPr>
            <w:tcW w:w="5762" w:type="dxa"/>
            <w:shd w:val="clear" w:color="auto" w:fill="DBE5F1" w:themeFill="accent1" w:themeFillTint="33"/>
            <w:vAlign w:val="center"/>
            <w:hideMark/>
          </w:tcPr>
          <w:p w14:paraId="1432D8E0"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w:t>
            </w:r>
            <w:r>
              <w:rPr>
                <w:iCs/>
                <w:color w:val="000000"/>
                <w:sz w:val="22"/>
                <w:szCs w:val="22"/>
                <w:lang w:eastAsia="lv-LV"/>
              </w:rPr>
              <w:t xml:space="preserve"> </w:t>
            </w:r>
            <w:r w:rsidRPr="00647F74">
              <w:rPr>
                <w:iCs/>
                <w:color w:val="000000"/>
                <w:sz w:val="22"/>
                <w:szCs w:val="22"/>
                <w:lang w:eastAsia="lv-LV"/>
              </w:rPr>
              <w:t>(t.sk. palielināti izdevumi ES programmas Erasmus+ projektu īstenošanas nodrošināšanai)</w:t>
            </w:r>
          </w:p>
        </w:tc>
        <w:tc>
          <w:tcPr>
            <w:tcW w:w="1047" w:type="dxa"/>
            <w:shd w:val="clear" w:color="auto" w:fill="DBE5F1" w:themeFill="accent1" w:themeFillTint="33"/>
            <w:vAlign w:val="center"/>
            <w:hideMark/>
          </w:tcPr>
          <w:p w14:paraId="7DB6C6BD"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67F337CB"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DBE5F1" w:themeFill="accent1" w:themeFillTint="33"/>
            <w:noWrap/>
            <w:vAlign w:val="center"/>
            <w:hideMark/>
          </w:tcPr>
          <w:p w14:paraId="78B05FC1"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DBE5F1" w:themeFill="accent1" w:themeFillTint="33"/>
            <w:noWrap/>
            <w:vAlign w:val="center"/>
            <w:hideMark/>
          </w:tcPr>
          <w:p w14:paraId="2156565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0,04</w:t>
            </w:r>
          </w:p>
        </w:tc>
        <w:tc>
          <w:tcPr>
            <w:tcW w:w="709" w:type="dxa"/>
            <w:shd w:val="clear" w:color="auto" w:fill="DBE5F1" w:themeFill="accent1" w:themeFillTint="33"/>
            <w:noWrap/>
            <w:vAlign w:val="center"/>
            <w:hideMark/>
          </w:tcPr>
          <w:p w14:paraId="083C135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-0,03</w:t>
            </w:r>
          </w:p>
        </w:tc>
        <w:tc>
          <w:tcPr>
            <w:tcW w:w="814" w:type="dxa"/>
            <w:shd w:val="clear" w:color="auto" w:fill="DBE5F1" w:themeFill="accent1" w:themeFillTint="33"/>
            <w:noWrap/>
            <w:vAlign w:val="center"/>
            <w:hideMark/>
          </w:tcPr>
          <w:p w14:paraId="03BDC2A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r>
      <w:tr w:rsidR="005137D2" w:rsidRPr="005B2F54" w14:paraId="0F243258" w14:textId="77777777" w:rsidTr="001563FD">
        <w:trPr>
          <w:trHeight w:val="315"/>
        </w:trPr>
        <w:tc>
          <w:tcPr>
            <w:tcW w:w="2729" w:type="dxa"/>
            <w:vMerge w:val="restart"/>
            <w:shd w:val="clear" w:color="auto" w:fill="auto"/>
            <w:vAlign w:val="center"/>
            <w:hideMark/>
          </w:tcPr>
          <w:p w14:paraId="30AF415C"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Zemkopības ministrija</w:t>
            </w:r>
          </w:p>
        </w:tc>
        <w:tc>
          <w:tcPr>
            <w:tcW w:w="5762" w:type="dxa"/>
            <w:shd w:val="clear" w:color="auto" w:fill="auto"/>
            <w:vAlign w:val="center"/>
            <w:hideMark/>
          </w:tcPr>
          <w:p w14:paraId="4E6B25E3"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Apropriācijas palielinājums ALTUM aizdevumu programmas īstenošanai</w:t>
            </w:r>
          </w:p>
        </w:tc>
        <w:tc>
          <w:tcPr>
            <w:tcW w:w="1047" w:type="dxa"/>
            <w:shd w:val="clear" w:color="auto" w:fill="auto"/>
            <w:vAlign w:val="center"/>
            <w:hideMark/>
          </w:tcPr>
          <w:p w14:paraId="7F994988"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D.3</w:t>
            </w:r>
          </w:p>
        </w:tc>
        <w:tc>
          <w:tcPr>
            <w:tcW w:w="1430" w:type="dxa"/>
            <w:shd w:val="clear" w:color="auto" w:fill="auto"/>
            <w:noWrap/>
            <w:vAlign w:val="center"/>
            <w:hideMark/>
          </w:tcPr>
          <w:p w14:paraId="36A6DEF7"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3AC48D9C"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2179786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4C0C11DB"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auto"/>
            <w:noWrap/>
            <w:vAlign w:val="center"/>
            <w:hideMark/>
          </w:tcPr>
          <w:p w14:paraId="0615D8A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6F40A9D8" w14:textId="77777777" w:rsidTr="001563FD">
        <w:trPr>
          <w:trHeight w:val="630"/>
        </w:trPr>
        <w:tc>
          <w:tcPr>
            <w:tcW w:w="2729" w:type="dxa"/>
            <w:vMerge/>
            <w:vAlign w:val="center"/>
            <w:hideMark/>
          </w:tcPr>
          <w:p w14:paraId="7AAC00A1"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33A11634"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Āfrikas cūku mēra uzraudzības un apkarošanas programmas īstenošana un Pārtikas un veterinārā dienesta kapacitātes nodrošināšana</w:t>
            </w:r>
          </w:p>
        </w:tc>
        <w:tc>
          <w:tcPr>
            <w:tcW w:w="1047" w:type="dxa"/>
            <w:shd w:val="clear" w:color="auto" w:fill="DBE5F1" w:themeFill="accent1" w:themeFillTint="33"/>
            <w:vAlign w:val="center"/>
            <w:hideMark/>
          </w:tcPr>
          <w:p w14:paraId="45DD8A27"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D.1</w:t>
            </w:r>
          </w:p>
        </w:tc>
        <w:tc>
          <w:tcPr>
            <w:tcW w:w="1430" w:type="dxa"/>
            <w:shd w:val="clear" w:color="auto" w:fill="DBE5F1" w:themeFill="accent1" w:themeFillTint="33"/>
            <w:noWrap/>
            <w:vAlign w:val="center"/>
            <w:hideMark/>
          </w:tcPr>
          <w:p w14:paraId="5F09DC0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184AB49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04FDBEC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709" w:type="dxa"/>
            <w:shd w:val="clear" w:color="auto" w:fill="DBE5F1" w:themeFill="accent1" w:themeFillTint="33"/>
            <w:noWrap/>
            <w:vAlign w:val="center"/>
            <w:hideMark/>
          </w:tcPr>
          <w:p w14:paraId="158B7557"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222136D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6F36F6DA" w14:textId="77777777" w:rsidTr="00032D04">
        <w:trPr>
          <w:trHeight w:val="645"/>
        </w:trPr>
        <w:tc>
          <w:tcPr>
            <w:tcW w:w="2729" w:type="dxa"/>
            <w:vMerge/>
            <w:vAlign w:val="center"/>
            <w:hideMark/>
          </w:tcPr>
          <w:p w14:paraId="1EC0ACF8"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60B87657"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 (t.sk. palielināti izdevumi citu ES politiku instrumentu projektu un pasākumu īstenošanai</w:t>
            </w:r>
            <w:r>
              <w:rPr>
                <w:iCs/>
                <w:color w:val="000000"/>
                <w:sz w:val="22"/>
                <w:szCs w:val="22"/>
                <w:lang w:eastAsia="lv-LV"/>
              </w:rPr>
              <w:t>)</w:t>
            </w:r>
          </w:p>
        </w:tc>
        <w:tc>
          <w:tcPr>
            <w:tcW w:w="1047" w:type="dxa"/>
            <w:shd w:val="clear" w:color="auto" w:fill="auto"/>
            <w:vAlign w:val="center"/>
            <w:hideMark/>
          </w:tcPr>
          <w:p w14:paraId="1FA0D60D"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auto"/>
            <w:noWrap/>
            <w:vAlign w:val="center"/>
            <w:hideMark/>
          </w:tcPr>
          <w:p w14:paraId="78408085"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auto"/>
            <w:noWrap/>
            <w:vAlign w:val="center"/>
            <w:hideMark/>
          </w:tcPr>
          <w:p w14:paraId="5D8F5950"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auto"/>
            <w:noWrap/>
            <w:vAlign w:val="center"/>
            <w:hideMark/>
          </w:tcPr>
          <w:p w14:paraId="5F623A9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0,07</w:t>
            </w:r>
          </w:p>
        </w:tc>
        <w:tc>
          <w:tcPr>
            <w:tcW w:w="709" w:type="dxa"/>
            <w:shd w:val="clear" w:color="auto" w:fill="auto"/>
            <w:noWrap/>
            <w:vAlign w:val="center"/>
            <w:hideMark/>
          </w:tcPr>
          <w:p w14:paraId="566E753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-0,06</w:t>
            </w:r>
          </w:p>
        </w:tc>
        <w:tc>
          <w:tcPr>
            <w:tcW w:w="814" w:type="dxa"/>
            <w:shd w:val="clear" w:color="auto" w:fill="auto"/>
            <w:noWrap/>
            <w:vAlign w:val="center"/>
            <w:hideMark/>
          </w:tcPr>
          <w:p w14:paraId="6694A2D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r>
      <w:tr w:rsidR="005137D2" w:rsidRPr="005B2F54" w14:paraId="49083FB2" w14:textId="77777777" w:rsidTr="001563FD">
        <w:trPr>
          <w:trHeight w:val="630"/>
        </w:trPr>
        <w:tc>
          <w:tcPr>
            <w:tcW w:w="2729" w:type="dxa"/>
            <w:shd w:val="clear" w:color="auto" w:fill="DBE5F1" w:themeFill="accent1" w:themeFillTint="33"/>
            <w:vAlign w:val="center"/>
            <w:hideMark/>
          </w:tcPr>
          <w:p w14:paraId="2AA8FB9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Satiksmes ministrija</w:t>
            </w:r>
          </w:p>
        </w:tc>
        <w:tc>
          <w:tcPr>
            <w:tcW w:w="5762" w:type="dxa"/>
            <w:shd w:val="clear" w:color="auto" w:fill="DBE5F1" w:themeFill="accent1" w:themeFillTint="33"/>
            <w:vAlign w:val="center"/>
            <w:hideMark/>
          </w:tcPr>
          <w:p w14:paraId="2FC97799"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 precizējumi (t.sk. palielināti izdevumi citu ES politiku instrumentu projektu un pasākumu īstenošanai)</w:t>
            </w:r>
          </w:p>
        </w:tc>
        <w:tc>
          <w:tcPr>
            <w:tcW w:w="1047" w:type="dxa"/>
            <w:shd w:val="clear" w:color="auto" w:fill="DBE5F1" w:themeFill="accent1" w:themeFillTint="33"/>
            <w:vAlign w:val="center"/>
            <w:hideMark/>
          </w:tcPr>
          <w:p w14:paraId="5EFDFFF2"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5150DF2C"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268E894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45355105"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DBE5F1" w:themeFill="accent1" w:themeFillTint="33"/>
            <w:noWrap/>
            <w:vAlign w:val="center"/>
            <w:hideMark/>
          </w:tcPr>
          <w:p w14:paraId="2971F9B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-0,02</w:t>
            </w:r>
          </w:p>
        </w:tc>
        <w:tc>
          <w:tcPr>
            <w:tcW w:w="814" w:type="dxa"/>
            <w:shd w:val="clear" w:color="auto" w:fill="DBE5F1" w:themeFill="accent1" w:themeFillTint="33"/>
            <w:noWrap/>
            <w:vAlign w:val="center"/>
            <w:hideMark/>
          </w:tcPr>
          <w:p w14:paraId="1484E31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7EAB6186" w14:textId="77777777" w:rsidTr="001563FD">
        <w:trPr>
          <w:trHeight w:val="315"/>
        </w:trPr>
        <w:tc>
          <w:tcPr>
            <w:tcW w:w="2729" w:type="dxa"/>
            <w:vMerge w:val="restart"/>
            <w:shd w:val="clear" w:color="auto" w:fill="auto"/>
            <w:vAlign w:val="center"/>
            <w:hideMark/>
          </w:tcPr>
          <w:p w14:paraId="5C8069C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Tieslietu ministrija</w:t>
            </w:r>
          </w:p>
        </w:tc>
        <w:tc>
          <w:tcPr>
            <w:tcW w:w="5762" w:type="dxa"/>
            <w:shd w:val="clear" w:color="auto" w:fill="auto"/>
            <w:vAlign w:val="center"/>
            <w:hideMark/>
          </w:tcPr>
          <w:p w14:paraId="4567CB05"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Palielināti izdevumi, lai nodrošinātu tiesnešu atalgojuma palielināšanu</w:t>
            </w:r>
          </w:p>
        </w:tc>
        <w:tc>
          <w:tcPr>
            <w:tcW w:w="1047" w:type="dxa"/>
            <w:shd w:val="clear" w:color="auto" w:fill="auto"/>
            <w:vAlign w:val="center"/>
            <w:hideMark/>
          </w:tcPr>
          <w:p w14:paraId="39E447B9"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D.1</w:t>
            </w:r>
          </w:p>
        </w:tc>
        <w:tc>
          <w:tcPr>
            <w:tcW w:w="1430" w:type="dxa"/>
            <w:shd w:val="clear" w:color="auto" w:fill="auto"/>
            <w:noWrap/>
            <w:vAlign w:val="center"/>
            <w:hideMark/>
          </w:tcPr>
          <w:p w14:paraId="05A053E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72C0B57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65FF690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126E269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26CC176C"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1E1951CB" w14:textId="77777777" w:rsidTr="001563FD">
        <w:trPr>
          <w:trHeight w:val="315"/>
        </w:trPr>
        <w:tc>
          <w:tcPr>
            <w:tcW w:w="2729" w:type="dxa"/>
            <w:vMerge/>
            <w:vAlign w:val="center"/>
            <w:hideMark/>
          </w:tcPr>
          <w:p w14:paraId="0FC942F9"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371B1683"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Palielināti izdevumi saskaņā ar Ministru kabineta rīkojuma Nr.572-s 3.punktu</w:t>
            </w:r>
          </w:p>
        </w:tc>
        <w:tc>
          <w:tcPr>
            <w:tcW w:w="1047" w:type="dxa"/>
            <w:shd w:val="clear" w:color="auto" w:fill="DBE5F1" w:themeFill="accent1" w:themeFillTint="33"/>
            <w:vAlign w:val="center"/>
            <w:hideMark/>
          </w:tcPr>
          <w:p w14:paraId="253B6114"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72080CA9"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39DAABC7"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14FCB8DA"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3E4C489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0F89374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0,07</w:t>
            </w:r>
          </w:p>
        </w:tc>
      </w:tr>
      <w:tr w:rsidR="005137D2" w:rsidRPr="005B2F54" w14:paraId="00251CC5" w14:textId="77777777" w:rsidTr="001563FD">
        <w:trPr>
          <w:trHeight w:val="945"/>
        </w:trPr>
        <w:tc>
          <w:tcPr>
            <w:tcW w:w="2729" w:type="dxa"/>
            <w:vMerge/>
            <w:vAlign w:val="center"/>
            <w:hideMark/>
          </w:tcPr>
          <w:p w14:paraId="4C638D6C"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22353650"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Palielināti izdevumi, lai nodrošinātu izdienas pabalstu izmaksu Ieslodzījuma vietu pārvaldes amatpersonām ar speciālo dienesta</w:t>
            </w:r>
            <w:r>
              <w:rPr>
                <w:iCs/>
                <w:color w:val="000000"/>
                <w:sz w:val="22"/>
                <w:szCs w:val="22"/>
                <w:lang w:eastAsia="lv-LV"/>
              </w:rPr>
              <w:t xml:space="preserve"> </w:t>
            </w:r>
            <w:r w:rsidRPr="00647F74">
              <w:rPr>
                <w:iCs/>
                <w:color w:val="000000"/>
                <w:sz w:val="22"/>
                <w:szCs w:val="22"/>
                <w:lang w:eastAsia="lv-LV"/>
              </w:rPr>
              <w:t>pakāpi pēc katriem pieciem nepārtrauktas izdienas gadie</w:t>
            </w:r>
            <w:r>
              <w:rPr>
                <w:iCs/>
                <w:color w:val="000000"/>
                <w:sz w:val="22"/>
                <w:szCs w:val="22"/>
                <w:lang w:eastAsia="lv-LV"/>
              </w:rPr>
              <w:t>m</w:t>
            </w:r>
          </w:p>
        </w:tc>
        <w:tc>
          <w:tcPr>
            <w:tcW w:w="1047" w:type="dxa"/>
            <w:shd w:val="clear" w:color="auto" w:fill="auto"/>
            <w:vAlign w:val="center"/>
            <w:hideMark/>
          </w:tcPr>
          <w:p w14:paraId="6E7158E0"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auto"/>
            <w:noWrap/>
            <w:vAlign w:val="center"/>
            <w:hideMark/>
          </w:tcPr>
          <w:p w14:paraId="0D6B83F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70B22E2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7EA0D04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auto"/>
            <w:noWrap/>
            <w:vAlign w:val="center"/>
            <w:hideMark/>
          </w:tcPr>
          <w:p w14:paraId="7A630C6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-0,02</w:t>
            </w:r>
          </w:p>
        </w:tc>
        <w:tc>
          <w:tcPr>
            <w:tcW w:w="814" w:type="dxa"/>
            <w:shd w:val="clear" w:color="auto" w:fill="auto"/>
            <w:noWrap/>
            <w:vAlign w:val="center"/>
            <w:hideMark/>
          </w:tcPr>
          <w:p w14:paraId="44E0D3AB"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1AA549B8" w14:textId="77777777" w:rsidTr="001563FD">
        <w:trPr>
          <w:trHeight w:val="630"/>
        </w:trPr>
        <w:tc>
          <w:tcPr>
            <w:tcW w:w="2729" w:type="dxa"/>
            <w:vMerge/>
            <w:vAlign w:val="center"/>
            <w:hideMark/>
          </w:tcPr>
          <w:p w14:paraId="2ACD5648"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2273E226"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Papildu finansējums, lai nodrošinātu valsts garantēto uzturlīdzekļu izmaksu no Uzturlīdzekļu garantiju fonda</w:t>
            </w:r>
          </w:p>
        </w:tc>
        <w:tc>
          <w:tcPr>
            <w:tcW w:w="1047" w:type="dxa"/>
            <w:shd w:val="clear" w:color="auto" w:fill="DBE5F1" w:themeFill="accent1" w:themeFillTint="33"/>
            <w:vAlign w:val="center"/>
            <w:hideMark/>
          </w:tcPr>
          <w:p w14:paraId="52B7936F"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DBE5F1" w:themeFill="accent1" w:themeFillTint="33"/>
            <w:noWrap/>
            <w:vAlign w:val="center"/>
            <w:hideMark/>
          </w:tcPr>
          <w:p w14:paraId="679FFC0A"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7F94E8F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0EBB3E8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0,03</w:t>
            </w:r>
          </w:p>
        </w:tc>
        <w:tc>
          <w:tcPr>
            <w:tcW w:w="709" w:type="dxa"/>
            <w:shd w:val="clear" w:color="auto" w:fill="DBE5F1" w:themeFill="accent1" w:themeFillTint="33"/>
            <w:noWrap/>
            <w:vAlign w:val="center"/>
            <w:hideMark/>
          </w:tcPr>
          <w:p w14:paraId="405B7ED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111CD85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21017A84" w14:textId="77777777" w:rsidTr="001563FD">
        <w:trPr>
          <w:trHeight w:val="315"/>
        </w:trPr>
        <w:tc>
          <w:tcPr>
            <w:tcW w:w="2729" w:type="dxa"/>
            <w:vMerge/>
            <w:vAlign w:val="center"/>
            <w:hideMark/>
          </w:tcPr>
          <w:p w14:paraId="5209DAD4"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5F1CDFB0"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Palielināti izdevumi s</w:t>
            </w:r>
            <w:r>
              <w:rPr>
                <w:iCs/>
                <w:color w:val="000000"/>
                <w:sz w:val="22"/>
                <w:szCs w:val="22"/>
                <w:lang w:eastAsia="lv-LV"/>
              </w:rPr>
              <w:t>o</w:t>
            </w:r>
            <w:r w:rsidRPr="00647F74">
              <w:rPr>
                <w:iCs/>
                <w:color w:val="000000"/>
                <w:sz w:val="22"/>
                <w:szCs w:val="22"/>
                <w:lang w:eastAsia="lv-LV"/>
              </w:rPr>
              <w:t>ciālajiem pabalstiem</w:t>
            </w:r>
          </w:p>
        </w:tc>
        <w:tc>
          <w:tcPr>
            <w:tcW w:w="1047" w:type="dxa"/>
            <w:shd w:val="clear" w:color="auto" w:fill="auto"/>
            <w:vAlign w:val="center"/>
            <w:hideMark/>
          </w:tcPr>
          <w:p w14:paraId="71BE599F"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auto"/>
            <w:noWrap/>
            <w:vAlign w:val="center"/>
            <w:hideMark/>
          </w:tcPr>
          <w:p w14:paraId="2E811E2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2A6F701A"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102C616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11A24D1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auto"/>
            <w:noWrap/>
            <w:vAlign w:val="center"/>
            <w:hideMark/>
          </w:tcPr>
          <w:p w14:paraId="1A754C6C"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5DEB2953" w14:textId="77777777" w:rsidTr="001563FD">
        <w:trPr>
          <w:trHeight w:val="630"/>
        </w:trPr>
        <w:tc>
          <w:tcPr>
            <w:tcW w:w="2729" w:type="dxa"/>
            <w:vMerge/>
            <w:vAlign w:val="center"/>
            <w:hideMark/>
          </w:tcPr>
          <w:p w14:paraId="50C5E508"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52F03DE5"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 (t.sk. palielināti izdevumi, lai nodrošinātu valsts garantēto uzturlīdzekļu izmaksu no Uzturlīdzekļu garantiju fonda)</w:t>
            </w:r>
          </w:p>
        </w:tc>
        <w:tc>
          <w:tcPr>
            <w:tcW w:w="1047" w:type="dxa"/>
            <w:shd w:val="clear" w:color="auto" w:fill="DBE5F1" w:themeFill="accent1" w:themeFillTint="33"/>
            <w:vAlign w:val="center"/>
            <w:hideMark/>
          </w:tcPr>
          <w:p w14:paraId="658359CC"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7B18DE9E"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DBE5F1" w:themeFill="accent1" w:themeFillTint="33"/>
            <w:noWrap/>
            <w:vAlign w:val="center"/>
            <w:hideMark/>
          </w:tcPr>
          <w:p w14:paraId="042148BD"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DBE5F1" w:themeFill="accent1" w:themeFillTint="33"/>
            <w:noWrap/>
            <w:vAlign w:val="center"/>
            <w:hideMark/>
          </w:tcPr>
          <w:p w14:paraId="0BF03F8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DBE5F1" w:themeFill="accent1" w:themeFillTint="33"/>
            <w:noWrap/>
            <w:vAlign w:val="center"/>
            <w:hideMark/>
          </w:tcPr>
          <w:p w14:paraId="1AC1A863"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126593F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04D3BB0D" w14:textId="77777777" w:rsidTr="001563FD">
        <w:trPr>
          <w:trHeight w:val="945"/>
        </w:trPr>
        <w:tc>
          <w:tcPr>
            <w:tcW w:w="2729" w:type="dxa"/>
            <w:shd w:val="clear" w:color="auto" w:fill="auto"/>
            <w:vAlign w:val="center"/>
            <w:hideMark/>
          </w:tcPr>
          <w:p w14:paraId="219D3BE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Vides aizsardzības un reģionālās attīstības ministrija</w:t>
            </w:r>
          </w:p>
        </w:tc>
        <w:tc>
          <w:tcPr>
            <w:tcW w:w="5762" w:type="dxa"/>
            <w:shd w:val="clear" w:color="auto" w:fill="auto"/>
            <w:vAlign w:val="center"/>
            <w:hideMark/>
          </w:tcPr>
          <w:p w14:paraId="280F01B4"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 (t.sk. finansējuma pārrobežu sadarbības programmu darbības nodrošināšanai, projektiem un pasākumiem)</w:t>
            </w:r>
          </w:p>
        </w:tc>
        <w:tc>
          <w:tcPr>
            <w:tcW w:w="1047" w:type="dxa"/>
            <w:shd w:val="clear" w:color="auto" w:fill="auto"/>
            <w:vAlign w:val="center"/>
            <w:hideMark/>
          </w:tcPr>
          <w:p w14:paraId="62C11D7F"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auto"/>
            <w:noWrap/>
            <w:vAlign w:val="center"/>
            <w:hideMark/>
          </w:tcPr>
          <w:p w14:paraId="25957970"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auto"/>
            <w:noWrap/>
            <w:vAlign w:val="center"/>
            <w:hideMark/>
          </w:tcPr>
          <w:p w14:paraId="72609188"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auto"/>
            <w:noWrap/>
            <w:vAlign w:val="center"/>
            <w:hideMark/>
          </w:tcPr>
          <w:p w14:paraId="7DBBF20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0,05</w:t>
            </w:r>
          </w:p>
        </w:tc>
        <w:tc>
          <w:tcPr>
            <w:tcW w:w="709" w:type="dxa"/>
            <w:shd w:val="clear" w:color="auto" w:fill="auto"/>
            <w:noWrap/>
            <w:vAlign w:val="center"/>
            <w:hideMark/>
          </w:tcPr>
          <w:p w14:paraId="2E4219C5"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-0,03</w:t>
            </w:r>
          </w:p>
        </w:tc>
        <w:tc>
          <w:tcPr>
            <w:tcW w:w="814" w:type="dxa"/>
            <w:shd w:val="clear" w:color="auto" w:fill="auto"/>
            <w:noWrap/>
            <w:vAlign w:val="center"/>
            <w:hideMark/>
          </w:tcPr>
          <w:p w14:paraId="38E358D5"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355CCF3C" w14:textId="77777777" w:rsidTr="001563FD">
        <w:trPr>
          <w:trHeight w:val="1260"/>
        </w:trPr>
        <w:tc>
          <w:tcPr>
            <w:tcW w:w="2729" w:type="dxa"/>
            <w:shd w:val="clear" w:color="auto" w:fill="DBE5F1" w:themeFill="accent1" w:themeFillTint="33"/>
            <w:vAlign w:val="center"/>
            <w:hideMark/>
          </w:tcPr>
          <w:p w14:paraId="49BB82C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lastRenderedPageBreak/>
              <w:t>Kultūras ministrija</w:t>
            </w:r>
          </w:p>
        </w:tc>
        <w:tc>
          <w:tcPr>
            <w:tcW w:w="5762" w:type="dxa"/>
            <w:shd w:val="clear" w:color="auto" w:fill="DBE5F1" w:themeFill="accent1" w:themeFillTint="33"/>
            <w:vAlign w:val="center"/>
            <w:hideMark/>
          </w:tcPr>
          <w:p w14:paraId="39947704"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 precizējumi (t.sk. finansējuma palielinājums ERAF projektu "Infrastruktūras modernizācija", "Infrastruktūras attīstība", "Kultūras mantojuma satura digitalizācija" un "Profesionālās kultūrizglītības mācību vides modernizēšana" īstenošanai)</w:t>
            </w:r>
          </w:p>
        </w:tc>
        <w:tc>
          <w:tcPr>
            <w:tcW w:w="1047" w:type="dxa"/>
            <w:shd w:val="clear" w:color="auto" w:fill="DBE5F1" w:themeFill="accent1" w:themeFillTint="33"/>
            <w:vAlign w:val="center"/>
            <w:hideMark/>
          </w:tcPr>
          <w:p w14:paraId="0FA697D1"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051AEBB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74D1AD8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2AFC3E3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DBE5F1" w:themeFill="accent1" w:themeFillTint="33"/>
            <w:noWrap/>
            <w:vAlign w:val="center"/>
            <w:hideMark/>
          </w:tcPr>
          <w:p w14:paraId="29EC643B"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6CCDFC8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659A1EA0" w14:textId="77777777" w:rsidTr="001563FD">
        <w:trPr>
          <w:trHeight w:val="315"/>
        </w:trPr>
        <w:tc>
          <w:tcPr>
            <w:tcW w:w="2729" w:type="dxa"/>
            <w:vMerge w:val="restart"/>
            <w:shd w:val="clear" w:color="auto" w:fill="auto"/>
            <w:vAlign w:val="center"/>
            <w:hideMark/>
          </w:tcPr>
          <w:p w14:paraId="4486F9B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Veselības ministrija</w:t>
            </w:r>
          </w:p>
        </w:tc>
        <w:tc>
          <w:tcPr>
            <w:tcW w:w="5762" w:type="dxa"/>
            <w:shd w:val="clear" w:color="auto" w:fill="auto"/>
            <w:vAlign w:val="center"/>
            <w:hideMark/>
          </w:tcPr>
          <w:p w14:paraId="09263E1E"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Palielināti izdevumi, lai nodrošinātu e-veselības sistēmas darbību</w:t>
            </w:r>
          </w:p>
        </w:tc>
        <w:tc>
          <w:tcPr>
            <w:tcW w:w="1047" w:type="dxa"/>
            <w:shd w:val="clear" w:color="auto" w:fill="auto"/>
            <w:vAlign w:val="center"/>
            <w:hideMark/>
          </w:tcPr>
          <w:p w14:paraId="1B29C291"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P.51</w:t>
            </w:r>
          </w:p>
        </w:tc>
        <w:tc>
          <w:tcPr>
            <w:tcW w:w="1430" w:type="dxa"/>
            <w:shd w:val="clear" w:color="auto" w:fill="auto"/>
            <w:noWrap/>
            <w:vAlign w:val="center"/>
            <w:hideMark/>
          </w:tcPr>
          <w:p w14:paraId="2C19FAF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7BBD716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2DB3710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5804DF4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4DF5B12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7EA21946" w14:textId="77777777" w:rsidTr="001563FD">
        <w:trPr>
          <w:trHeight w:val="945"/>
        </w:trPr>
        <w:tc>
          <w:tcPr>
            <w:tcW w:w="2729" w:type="dxa"/>
            <w:vMerge/>
            <w:vAlign w:val="center"/>
            <w:hideMark/>
          </w:tcPr>
          <w:p w14:paraId="6495CAD2"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6192CD4D" w14:textId="77777777" w:rsidR="005137D2" w:rsidRPr="00647F74" w:rsidRDefault="005137D2" w:rsidP="00F74DF0">
            <w:pPr>
              <w:spacing w:after="0"/>
              <w:ind w:firstLine="0"/>
              <w:rPr>
                <w:iCs/>
                <w:sz w:val="22"/>
                <w:szCs w:val="22"/>
                <w:lang w:eastAsia="lv-LV"/>
              </w:rPr>
            </w:pPr>
            <w:r w:rsidRPr="00647F74">
              <w:rPr>
                <w:iCs/>
                <w:sz w:val="22"/>
                <w:szCs w:val="22"/>
                <w:lang w:eastAsia="lv-LV"/>
              </w:rPr>
              <w:t>Palielināti izdevumi, lai nodrošinātu darba samaksas palielināšanu pārējam personālam, kas nav ārstniecības personas, saistībā ar valsts apmaksāto veselības aprūpes pakalpojumu sniegšanu</w:t>
            </w:r>
          </w:p>
        </w:tc>
        <w:tc>
          <w:tcPr>
            <w:tcW w:w="1047" w:type="dxa"/>
            <w:shd w:val="clear" w:color="auto" w:fill="DBE5F1" w:themeFill="accent1" w:themeFillTint="33"/>
            <w:vAlign w:val="center"/>
            <w:hideMark/>
          </w:tcPr>
          <w:p w14:paraId="57DAFC35" w14:textId="77777777" w:rsidR="005137D2" w:rsidRPr="005B2F54" w:rsidRDefault="005137D2" w:rsidP="00F74DF0">
            <w:pPr>
              <w:spacing w:after="0"/>
              <w:ind w:firstLine="0"/>
              <w:jc w:val="center"/>
              <w:rPr>
                <w:i/>
                <w:iCs/>
                <w:sz w:val="22"/>
                <w:szCs w:val="22"/>
                <w:lang w:eastAsia="lv-LV"/>
              </w:rPr>
            </w:pPr>
            <w:r w:rsidRPr="005B2F54">
              <w:rPr>
                <w:i/>
                <w:iCs/>
                <w:sz w:val="22"/>
                <w:szCs w:val="22"/>
                <w:lang w:eastAsia="lv-LV"/>
              </w:rPr>
              <w:t>D.1</w:t>
            </w:r>
          </w:p>
        </w:tc>
        <w:tc>
          <w:tcPr>
            <w:tcW w:w="1430" w:type="dxa"/>
            <w:shd w:val="clear" w:color="auto" w:fill="DBE5F1" w:themeFill="accent1" w:themeFillTint="33"/>
            <w:noWrap/>
            <w:vAlign w:val="center"/>
            <w:hideMark/>
          </w:tcPr>
          <w:p w14:paraId="070A530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3220CC6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2F4D50A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0,03</w:t>
            </w:r>
          </w:p>
        </w:tc>
        <w:tc>
          <w:tcPr>
            <w:tcW w:w="709" w:type="dxa"/>
            <w:shd w:val="clear" w:color="auto" w:fill="DBE5F1" w:themeFill="accent1" w:themeFillTint="33"/>
            <w:noWrap/>
            <w:vAlign w:val="center"/>
            <w:hideMark/>
          </w:tcPr>
          <w:p w14:paraId="441AC41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51E2A35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33011836" w14:textId="77777777" w:rsidTr="001563FD">
        <w:trPr>
          <w:trHeight w:val="630"/>
        </w:trPr>
        <w:tc>
          <w:tcPr>
            <w:tcW w:w="2729" w:type="dxa"/>
            <w:vMerge/>
            <w:vAlign w:val="center"/>
            <w:hideMark/>
          </w:tcPr>
          <w:p w14:paraId="2BB08140"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2D5B409A" w14:textId="77777777" w:rsidR="005137D2" w:rsidRPr="00647F74" w:rsidRDefault="005137D2" w:rsidP="00F74DF0">
            <w:pPr>
              <w:spacing w:after="0"/>
              <w:ind w:firstLine="0"/>
              <w:rPr>
                <w:iCs/>
                <w:sz w:val="22"/>
                <w:szCs w:val="22"/>
                <w:lang w:eastAsia="lv-LV"/>
              </w:rPr>
            </w:pPr>
            <w:r w:rsidRPr="00647F74">
              <w:rPr>
                <w:iCs/>
                <w:sz w:val="22"/>
                <w:szCs w:val="22"/>
                <w:lang w:eastAsia="lv-LV"/>
              </w:rPr>
              <w:t>Palielināti izdevumi, lai nodrošinātu darba samaksas palielināšanu ārstniecības personām, tai skaitā saistībā ar pagarinātā normālā darba laika atcelšanu</w:t>
            </w:r>
          </w:p>
        </w:tc>
        <w:tc>
          <w:tcPr>
            <w:tcW w:w="1047" w:type="dxa"/>
            <w:shd w:val="clear" w:color="auto" w:fill="auto"/>
            <w:vAlign w:val="center"/>
            <w:hideMark/>
          </w:tcPr>
          <w:p w14:paraId="20CA314F" w14:textId="77777777" w:rsidR="005137D2" w:rsidRPr="005B2F54" w:rsidRDefault="005137D2" w:rsidP="00F74DF0">
            <w:pPr>
              <w:spacing w:after="0"/>
              <w:ind w:firstLine="0"/>
              <w:jc w:val="center"/>
              <w:rPr>
                <w:i/>
                <w:iCs/>
                <w:sz w:val="22"/>
                <w:szCs w:val="22"/>
                <w:lang w:eastAsia="lv-LV"/>
              </w:rPr>
            </w:pPr>
            <w:r w:rsidRPr="005B2F54">
              <w:rPr>
                <w:i/>
                <w:iCs/>
                <w:sz w:val="22"/>
                <w:szCs w:val="22"/>
                <w:lang w:eastAsia="lv-LV"/>
              </w:rPr>
              <w:t>D.1</w:t>
            </w:r>
          </w:p>
        </w:tc>
        <w:tc>
          <w:tcPr>
            <w:tcW w:w="1430" w:type="dxa"/>
            <w:shd w:val="clear" w:color="auto" w:fill="auto"/>
            <w:noWrap/>
            <w:vAlign w:val="center"/>
            <w:hideMark/>
          </w:tcPr>
          <w:p w14:paraId="07D2639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2D44558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3192E20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auto"/>
            <w:noWrap/>
            <w:vAlign w:val="center"/>
            <w:hideMark/>
          </w:tcPr>
          <w:p w14:paraId="6AF71923"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248C3CB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0A0FCBCC" w14:textId="77777777" w:rsidTr="001563FD">
        <w:trPr>
          <w:trHeight w:val="630"/>
        </w:trPr>
        <w:tc>
          <w:tcPr>
            <w:tcW w:w="2729" w:type="dxa"/>
            <w:vMerge/>
            <w:vAlign w:val="center"/>
            <w:hideMark/>
          </w:tcPr>
          <w:p w14:paraId="4C0A9526"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4D08C239" w14:textId="77777777" w:rsidR="005137D2" w:rsidRPr="00647F74" w:rsidRDefault="005137D2" w:rsidP="00F74DF0">
            <w:pPr>
              <w:spacing w:after="0"/>
              <w:ind w:firstLine="0"/>
              <w:rPr>
                <w:iCs/>
                <w:sz w:val="22"/>
                <w:szCs w:val="22"/>
                <w:lang w:eastAsia="lv-LV"/>
              </w:rPr>
            </w:pPr>
            <w:r w:rsidRPr="00647F74">
              <w:rPr>
                <w:iCs/>
                <w:sz w:val="22"/>
                <w:szCs w:val="22"/>
                <w:lang w:eastAsia="lv-LV"/>
              </w:rPr>
              <w:t>Palielināti izdevumi, lai nodrošinātu ārstniecības personu zemāko mēnešalgas likmes palielināšanu</w:t>
            </w:r>
          </w:p>
        </w:tc>
        <w:tc>
          <w:tcPr>
            <w:tcW w:w="1047" w:type="dxa"/>
            <w:shd w:val="clear" w:color="auto" w:fill="DBE5F1" w:themeFill="accent1" w:themeFillTint="33"/>
            <w:vAlign w:val="center"/>
            <w:hideMark/>
          </w:tcPr>
          <w:p w14:paraId="640FE25E" w14:textId="77777777" w:rsidR="005137D2" w:rsidRPr="005B2F54" w:rsidRDefault="005137D2" w:rsidP="00F74DF0">
            <w:pPr>
              <w:spacing w:after="0"/>
              <w:ind w:firstLine="0"/>
              <w:jc w:val="center"/>
              <w:rPr>
                <w:i/>
                <w:iCs/>
                <w:sz w:val="22"/>
                <w:szCs w:val="22"/>
                <w:lang w:eastAsia="lv-LV"/>
              </w:rPr>
            </w:pPr>
            <w:r w:rsidRPr="005B2F54">
              <w:rPr>
                <w:i/>
                <w:iCs/>
                <w:sz w:val="22"/>
                <w:szCs w:val="22"/>
                <w:lang w:eastAsia="lv-LV"/>
              </w:rPr>
              <w:t>D.1</w:t>
            </w:r>
          </w:p>
        </w:tc>
        <w:tc>
          <w:tcPr>
            <w:tcW w:w="1430" w:type="dxa"/>
            <w:shd w:val="clear" w:color="auto" w:fill="DBE5F1" w:themeFill="accent1" w:themeFillTint="33"/>
            <w:noWrap/>
            <w:vAlign w:val="center"/>
            <w:hideMark/>
          </w:tcPr>
          <w:p w14:paraId="506C0BE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5C12BD3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55F1EEA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0,20</w:t>
            </w:r>
          </w:p>
        </w:tc>
        <w:tc>
          <w:tcPr>
            <w:tcW w:w="709" w:type="dxa"/>
            <w:shd w:val="clear" w:color="auto" w:fill="DBE5F1" w:themeFill="accent1" w:themeFillTint="33"/>
            <w:noWrap/>
            <w:vAlign w:val="center"/>
            <w:hideMark/>
          </w:tcPr>
          <w:p w14:paraId="3D5E3AD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630320D7"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01F87A95" w14:textId="77777777" w:rsidTr="001563FD">
        <w:trPr>
          <w:trHeight w:val="1260"/>
        </w:trPr>
        <w:tc>
          <w:tcPr>
            <w:tcW w:w="2729" w:type="dxa"/>
            <w:vMerge/>
            <w:vAlign w:val="center"/>
            <w:hideMark/>
          </w:tcPr>
          <w:p w14:paraId="1B0A15F9"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6CF9A228" w14:textId="77777777" w:rsidR="005137D2" w:rsidRPr="00647F74" w:rsidRDefault="005137D2" w:rsidP="00F74DF0">
            <w:pPr>
              <w:spacing w:after="0"/>
              <w:ind w:firstLine="0"/>
              <w:rPr>
                <w:iCs/>
                <w:sz w:val="22"/>
                <w:szCs w:val="22"/>
                <w:lang w:eastAsia="lv-LV"/>
              </w:rPr>
            </w:pPr>
            <w:r w:rsidRPr="00647F74">
              <w:rPr>
                <w:iCs/>
                <w:sz w:val="22"/>
                <w:szCs w:val="22"/>
                <w:lang w:eastAsia="lv-LV"/>
              </w:rPr>
              <w:t>Palielināti izdevumi, lai nodrošinātu darba samaksas palielināšanu Neatliekamās medicīniskās palīdzības dienestā strādājošām ārstniecības personām un neatliekamās medicīniskās palīdzības brigādes operatīvā medicīniskā transportlīdzekļa vadītājiem</w:t>
            </w:r>
          </w:p>
        </w:tc>
        <w:tc>
          <w:tcPr>
            <w:tcW w:w="1047" w:type="dxa"/>
            <w:shd w:val="clear" w:color="auto" w:fill="auto"/>
            <w:vAlign w:val="center"/>
            <w:hideMark/>
          </w:tcPr>
          <w:p w14:paraId="3FCEDB48" w14:textId="77777777" w:rsidR="005137D2" w:rsidRPr="005B2F54" w:rsidRDefault="005137D2" w:rsidP="00F74DF0">
            <w:pPr>
              <w:spacing w:after="0"/>
              <w:ind w:firstLine="0"/>
              <w:jc w:val="center"/>
              <w:rPr>
                <w:i/>
                <w:iCs/>
                <w:sz w:val="22"/>
                <w:szCs w:val="22"/>
                <w:lang w:eastAsia="lv-LV"/>
              </w:rPr>
            </w:pPr>
            <w:r w:rsidRPr="005B2F54">
              <w:rPr>
                <w:i/>
                <w:iCs/>
                <w:sz w:val="22"/>
                <w:szCs w:val="22"/>
                <w:lang w:eastAsia="lv-LV"/>
              </w:rPr>
              <w:t>D.1</w:t>
            </w:r>
          </w:p>
        </w:tc>
        <w:tc>
          <w:tcPr>
            <w:tcW w:w="1430" w:type="dxa"/>
            <w:shd w:val="clear" w:color="auto" w:fill="auto"/>
            <w:noWrap/>
            <w:vAlign w:val="center"/>
            <w:hideMark/>
          </w:tcPr>
          <w:p w14:paraId="7DBF31A5"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2AE074A3"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7FE7680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0,03</w:t>
            </w:r>
          </w:p>
        </w:tc>
        <w:tc>
          <w:tcPr>
            <w:tcW w:w="709" w:type="dxa"/>
            <w:shd w:val="clear" w:color="auto" w:fill="auto"/>
            <w:noWrap/>
            <w:vAlign w:val="center"/>
            <w:hideMark/>
          </w:tcPr>
          <w:p w14:paraId="6B8FCEE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07026565"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0879FC18" w14:textId="77777777" w:rsidTr="001563FD">
        <w:trPr>
          <w:trHeight w:val="630"/>
        </w:trPr>
        <w:tc>
          <w:tcPr>
            <w:tcW w:w="2729" w:type="dxa"/>
            <w:vMerge/>
            <w:vAlign w:val="center"/>
            <w:hideMark/>
          </w:tcPr>
          <w:p w14:paraId="34836405"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2FA0EF02"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Palielināti izdevumi, lai nodrošinātu prioritārā pasākuma “Medikamentu pieejamība reto slimību pacientiem” īstenošanu</w:t>
            </w:r>
          </w:p>
        </w:tc>
        <w:tc>
          <w:tcPr>
            <w:tcW w:w="1047" w:type="dxa"/>
            <w:shd w:val="clear" w:color="auto" w:fill="DBE5F1" w:themeFill="accent1" w:themeFillTint="33"/>
            <w:vAlign w:val="center"/>
            <w:hideMark/>
          </w:tcPr>
          <w:p w14:paraId="4BFDEC61"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D.3</w:t>
            </w:r>
          </w:p>
        </w:tc>
        <w:tc>
          <w:tcPr>
            <w:tcW w:w="1430" w:type="dxa"/>
            <w:shd w:val="clear" w:color="auto" w:fill="DBE5F1" w:themeFill="accent1" w:themeFillTint="33"/>
            <w:noWrap/>
            <w:vAlign w:val="center"/>
            <w:hideMark/>
          </w:tcPr>
          <w:p w14:paraId="6762181B"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3943BFF7"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77283FB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5E22542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66027CC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3794E07A" w14:textId="77777777" w:rsidTr="001563FD">
        <w:trPr>
          <w:trHeight w:val="630"/>
        </w:trPr>
        <w:tc>
          <w:tcPr>
            <w:tcW w:w="2729" w:type="dxa"/>
            <w:vMerge/>
            <w:vAlign w:val="center"/>
            <w:hideMark/>
          </w:tcPr>
          <w:p w14:paraId="4AC8ECB9"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192E6467"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 (t.sk. palielināti izdevumi ERAF projektu veselības jomā īstenošanai, palielināti izdevumi kompensējamo medikamentu recepšu apmaksai)</w:t>
            </w:r>
          </w:p>
        </w:tc>
        <w:tc>
          <w:tcPr>
            <w:tcW w:w="1047" w:type="dxa"/>
            <w:shd w:val="clear" w:color="auto" w:fill="auto"/>
            <w:vAlign w:val="center"/>
            <w:hideMark/>
          </w:tcPr>
          <w:p w14:paraId="23CE8C2D"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auto"/>
            <w:noWrap/>
            <w:vAlign w:val="center"/>
            <w:hideMark/>
          </w:tcPr>
          <w:p w14:paraId="45E45C22"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auto"/>
            <w:noWrap/>
            <w:vAlign w:val="center"/>
            <w:hideMark/>
          </w:tcPr>
          <w:p w14:paraId="64AF709F"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auto"/>
            <w:noWrap/>
            <w:vAlign w:val="center"/>
            <w:hideMark/>
          </w:tcPr>
          <w:p w14:paraId="39806FA9"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0,03</w:t>
            </w:r>
          </w:p>
        </w:tc>
        <w:tc>
          <w:tcPr>
            <w:tcW w:w="709" w:type="dxa"/>
            <w:shd w:val="clear" w:color="auto" w:fill="auto"/>
            <w:noWrap/>
            <w:vAlign w:val="center"/>
            <w:hideMark/>
          </w:tcPr>
          <w:p w14:paraId="0F486F7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-0,03</w:t>
            </w:r>
          </w:p>
        </w:tc>
        <w:tc>
          <w:tcPr>
            <w:tcW w:w="814" w:type="dxa"/>
            <w:shd w:val="clear" w:color="auto" w:fill="auto"/>
            <w:noWrap/>
            <w:vAlign w:val="center"/>
            <w:hideMark/>
          </w:tcPr>
          <w:p w14:paraId="68E86C6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5E4EE8F4" w14:textId="77777777" w:rsidTr="00032D04">
        <w:trPr>
          <w:trHeight w:val="463"/>
        </w:trPr>
        <w:tc>
          <w:tcPr>
            <w:tcW w:w="2729" w:type="dxa"/>
            <w:shd w:val="clear" w:color="auto" w:fill="DBE5F1" w:themeFill="accent1" w:themeFillTint="33"/>
            <w:vAlign w:val="center"/>
            <w:hideMark/>
          </w:tcPr>
          <w:p w14:paraId="65746F5A"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Prokuratūra</w:t>
            </w:r>
          </w:p>
        </w:tc>
        <w:tc>
          <w:tcPr>
            <w:tcW w:w="5762" w:type="dxa"/>
            <w:shd w:val="clear" w:color="auto" w:fill="DBE5F1" w:themeFill="accent1" w:themeFillTint="33"/>
            <w:vAlign w:val="center"/>
            <w:hideMark/>
          </w:tcPr>
          <w:p w14:paraId="3EE0B107"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Palielināti izdevumi prokuroru atalgojuma nodrošināšanai</w:t>
            </w:r>
          </w:p>
        </w:tc>
        <w:tc>
          <w:tcPr>
            <w:tcW w:w="1047" w:type="dxa"/>
            <w:shd w:val="clear" w:color="auto" w:fill="DBE5F1" w:themeFill="accent1" w:themeFillTint="33"/>
            <w:vAlign w:val="center"/>
            <w:hideMark/>
          </w:tcPr>
          <w:p w14:paraId="4CF43182"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D.1</w:t>
            </w:r>
          </w:p>
        </w:tc>
        <w:tc>
          <w:tcPr>
            <w:tcW w:w="1430" w:type="dxa"/>
            <w:shd w:val="clear" w:color="auto" w:fill="DBE5F1" w:themeFill="accent1" w:themeFillTint="33"/>
            <w:noWrap/>
            <w:vAlign w:val="center"/>
            <w:hideMark/>
          </w:tcPr>
          <w:p w14:paraId="4F1C2B8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06BDE78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3E68F77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DBE5F1" w:themeFill="accent1" w:themeFillTint="33"/>
            <w:noWrap/>
            <w:vAlign w:val="center"/>
            <w:hideMark/>
          </w:tcPr>
          <w:p w14:paraId="5BE9A77B"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2DCAF61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647F74" w14:paraId="63BD40F3" w14:textId="77777777" w:rsidTr="001563FD">
        <w:trPr>
          <w:trHeight w:val="1320"/>
        </w:trPr>
        <w:tc>
          <w:tcPr>
            <w:tcW w:w="2729" w:type="dxa"/>
            <w:vMerge w:val="restart"/>
            <w:shd w:val="clear" w:color="auto" w:fill="DBE5F1" w:themeFill="accent1" w:themeFillTint="33"/>
            <w:vAlign w:val="center"/>
          </w:tcPr>
          <w:p w14:paraId="144BBF5F" w14:textId="77777777" w:rsidR="005137D2" w:rsidRPr="00647F74" w:rsidRDefault="005137D2" w:rsidP="00F74DF0">
            <w:pPr>
              <w:spacing w:after="0"/>
              <w:ind w:firstLine="0"/>
              <w:jc w:val="center"/>
              <w:rPr>
                <w:color w:val="000000"/>
                <w:sz w:val="22"/>
                <w:szCs w:val="22"/>
                <w:lang w:eastAsia="lv-LV"/>
              </w:rPr>
            </w:pPr>
            <w:r w:rsidRPr="00647F74">
              <w:rPr>
                <w:color w:val="000000"/>
                <w:sz w:val="22"/>
                <w:szCs w:val="22"/>
                <w:lang w:eastAsia="lv-LV"/>
              </w:rPr>
              <w:t>Dotācija pašvaldībām</w:t>
            </w:r>
          </w:p>
        </w:tc>
        <w:tc>
          <w:tcPr>
            <w:tcW w:w="5762" w:type="dxa"/>
            <w:shd w:val="clear" w:color="auto" w:fill="auto"/>
            <w:vAlign w:val="center"/>
          </w:tcPr>
          <w:p w14:paraId="38F9541D"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Izmaiņas pašvaldību dotācijām saskaņā ar MK 05.02.2019. sēdes protokola Nr.5 30.§ 23.punktu, kas paredz pašvaldību IIN kopā ar speciālo dotāciju ne mazāku kā 1,47 miljardu apmērā</w:t>
            </w:r>
          </w:p>
        </w:tc>
        <w:tc>
          <w:tcPr>
            <w:tcW w:w="1047" w:type="dxa"/>
            <w:shd w:val="clear" w:color="auto" w:fill="auto"/>
            <w:vAlign w:val="center"/>
          </w:tcPr>
          <w:p w14:paraId="501CA3A4" w14:textId="77777777" w:rsidR="005137D2" w:rsidRPr="00647F74" w:rsidRDefault="005137D2" w:rsidP="00F74DF0">
            <w:pPr>
              <w:spacing w:after="0"/>
              <w:ind w:firstLine="0"/>
              <w:jc w:val="center"/>
              <w:rPr>
                <w:i/>
                <w:iCs/>
                <w:color w:val="000000"/>
                <w:sz w:val="22"/>
                <w:szCs w:val="22"/>
                <w:lang w:eastAsia="lv-LV"/>
              </w:rPr>
            </w:pPr>
            <w:r w:rsidRPr="00647F74">
              <w:rPr>
                <w:i/>
                <w:iCs/>
                <w:color w:val="000000"/>
                <w:sz w:val="22"/>
                <w:szCs w:val="22"/>
                <w:lang w:eastAsia="lv-LV"/>
              </w:rPr>
              <w:t>D.7</w:t>
            </w:r>
          </w:p>
        </w:tc>
        <w:tc>
          <w:tcPr>
            <w:tcW w:w="1430" w:type="dxa"/>
            <w:shd w:val="clear" w:color="auto" w:fill="auto"/>
            <w:noWrap/>
            <w:vAlign w:val="center"/>
          </w:tcPr>
          <w:p w14:paraId="75BEB2E0" w14:textId="77777777" w:rsidR="005137D2" w:rsidRPr="00647F74" w:rsidRDefault="005137D2" w:rsidP="00F74DF0">
            <w:pPr>
              <w:spacing w:after="0"/>
              <w:ind w:firstLine="0"/>
              <w:jc w:val="center"/>
              <w:rPr>
                <w:color w:val="000000"/>
                <w:sz w:val="22"/>
                <w:szCs w:val="22"/>
                <w:lang w:eastAsia="lv-LV"/>
              </w:rPr>
            </w:pPr>
            <w:r w:rsidRPr="00647F74">
              <w:rPr>
                <w:color w:val="000000"/>
                <w:sz w:val="22"/>
                <w:szCs w:val="22"/>
                <w:lang w:eastAsia="lv-LV"/>
              </w:rPr>
              <w:t>Naudas plūsma</w:t>
            </w:r>
          </w:p>
        </w:tc>
        <w:tc>
          <w:tcPr>
            <w:tcW w:w="1501" w:type="dxa"/>
            <w:shd w:val="clear" w:color="auto" w:fill="auto"/>
            <w:noWrap/>
            <w:vAlign w:val="center"/>
          </w:tcPr>
          <w:p w14:paraId="2FE13596" w14:textId="77777777" w:rsidR="005137D2" w:rsidRPr="00647F74" w:rsidRDefault="005137D2" w:rsidP="00F74DF0">
            <w:pPr>
              <w:spacing w:after="0"/>
              <w:ind w:firstLine="0"/>
              <w:jc w:val="center"/>
              <w:rPr>
                <w:color w:val="000000"/>
                <w:sz w:val="22"/>
                <w:szCs w:val="22"/>
                <w:lang w:eastAsia="lv-LV"/>
              </w:rPr>
            </w:pPr>
            <w:r w:rsidRPr="00647F74">
              <w:rPr>
                <w:color w:val="000000"/>
                <w:sz w:val="22"/>
                <w:szCs w:val="22"/>
                <w:lang w:eastAsia="lv-LV"/>
              </w:rPr>
              <w:t>Apstiprināts valdībā</w:t>
            </w:r>
          </w:p>
        </w:tc>
        <w:tc>
          <w:tcPr>
            <w:tcW w:w="709" w:type="dxa"/>
            <w:shd w:val="clear" w:color="auto" w:fill="auto"/>
            <w:noWrap/>
            <w:vAlign w:val="center"/>
          </w:tcPr>
          <w:p w14:paraId="6DD178DB" w14:textId="77777777" w:rsidR="005137D2" w:rsidRPr="00647F74" w:rsidRDefault="005137D2" w:rsidP="00F74DF0">
            <w:pPr>
              <w:spacing w:after="0"/>
              <w:ind w:firstLine="0"/>
              <w:jc w:val="center"/>
              <w:rPr>
                <w:color w:val="000000"/>
                <w:sz w:val="22"/>
                <w:szCs w:val="22"/>
                <w:lang w:eastAsia="lv-LV"/>
              </w:rPr>
            </w:pPr>
            <w:r w:rsidRPr="00647F74">
              <w:rPr>
                <w:color w:val="000000"/>
                <w:sz w:val="22"/>
                <w:szCs w:val="22"/>
                <w:lang w:eastAsia="lv-LV"/>
              </w:rPr>
              <w:t>-0,05</w:t>
            </w:r>
          </w:p>
        </w:tc>
        <w:tc>
          <w:tcPr>
            <w:tcW w:w="709" w:type="dxa"/>
            <w:shd w:val="clear" w:color="auto" w:fill="auto"/>
            <w:noWrap/>
            <w:vAlign w:val="center"/>
          </w:tcPr>
          <w:p w14:paraId="181660B3" w14:textId="77777777" w:rsidR="005137D2" w:rsidRPr="00647F74" w:rsidRDefault="005137D2" w:rsidP="00F74DF0">
            <w:pPr>
              <w:spacing w:after="0"/>
              <w:ind w:firstLine="0"/>
              <w:jc w:val="center"/>
              <w:rPr>
                <w:color w:val="000000"/>
                <w:sz w:val="22"/>
                <w:szCs w:val="22"/>
                <w:lang w:eastAsia="lv-LV"/>
              </w:rPr>
            </w:pPr>
            <w:r w:rsidRPr="00647F74">
              <w:rPr>
                <w:color w:val="000000"/>
                <w:sz w:val="22"/>
                <w:szCs w:val="22"/>
                <w:lang w:eastAsia="lv-LV"/>
              </w:rPr>
              <w:t>0,04</w:t>
            </w:r>
          </w:p>
        </w:tc>
        <w:tc>
          <w:tcPr>
            <w:tcW w:w="814" w:type="dxa"/>
            <w:shd w:val="clear" w:color="auto" w:fill="auto"/>
            <w:noWrap/>
            <w:vAlign w:val="center"/>
          </w:tcPr>
          <w:p w14:paraId="2D885F50" w14:textId="77777777" w:rsidR="005137D2" w:rsidRPr="00647F74" w:rsidRDefault="005137D2" w:rsidP="00F74DF0">
            <w:pPr>
              <w:spacing w:after="0"/>
              <w:ind w:firstLine="0"/>
              <w:jc w:val="center"/>
              <w:rPr>
                <w:color w:val="000000"/>
                <w:sz w:val="22"/>
                <w:szCs w:val="22"/>
                <w:lang w:eastAsia="lv-LV"/>
              </w:rPr>
            </w:pPr>
            <w:r w:rsidRPr="00647F74">
              <w:rPr>
                <w:color w:val="000000"/>
                <w:sz w:val="22"/>
                <w:szCs w:val="22"/>
                <w:lang w:eastAsia="lv-LV"/>
              </w:rPr>
              <w:t>0,00</w:t>
            </w:r>
          </w:p>
        </w:tc>
      </w:tr>
      <w:tr w:rsidR="005137D2" w:rsidRPr="00647F74" w14:paraId="6684B85C" w14:textId="77777777" w:rsidTr="001563FD">
        <w:trPr>
          <w:trHeight w:val="510"/>
        </w:trPr>
        <w:tc>
          <w:tcPr>
            <w:tcW w:w="2729" w:type="dxa"/>
            <w:vMerge/>
            <w:shd w:val="clear" w:color="auto" w:fill="DBE5F1" w:themeFill="accent1" w:themeFillTint="33"/>
            <w:vAlign w:val="center"/>
          </w:tcPr>
          <w:p w14:paraId="6E718FA7" w14:textId="77777777" w:rsidR="005137D2" w:rsidRPr="00647F7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tcPr>
          <w:p w14:paraId="15A0F0A8"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w:t>
            </w:r>
          </w:p>
        </w:tc>
        <w:tc>
          <w:tcPr>
            <w:tcW w:w="1047" w:type="dxa"/>
            <w:shd w:val="clear" w:color="auto" w:fill="DBE5F1" w:themeFill="accent1" w:themeFillTint="33"/>
            <w:vAlign w:val="center"/>
          </w:tcPr>
          <w:p w14:paraId="5A3D2197" w14:textId="77777777" w:rsidR="005137D2" w:rsidRPr="00647F74" w:rsidRDefault="005137D2" w:rsidP="00F74DF0">
            <w:pPr>
              <w:spacing w:after="0"/>
              <w:ind w:firstLine="0"/>
              <w:jc w:val="center"/>
              <w:rPr>
                <w:i/>
                <w:iCs/>
                <w:color w:val="000000"/>
                <w:sz w:val="22"/>
                <w:szCs w:val="22"/>
                <w:lang w:eastAsia="lv-LV"/>
              </w:rPr>
            </w:pPr>
          </w:p>
        </w:tc>
        <w:tc>
          <w:tcPr>
            <w:tcW w:w="1430" w:type="dxa"/>
            <w:shd w:val="clear" w:color="auto" w:fill="DBE5F1" w:themeFill="accent1" w:themeFillTint="33"/>
            <w:noWrap/>
            <w:vAlign w:val="center"/>
          </w:tcPr>
          <w:p w14:paraId="763E7F69" w14:textId="77777777" w:rsidR="005137D2" w:rsidRPr="00647F74" w:rsidRDefault="005137D2" w:rsidP="00F74DF0">
            <w:pPr>
              <w:spacing w:after="0"/>
              <w:ind w:firstLine="0"/>
              <w:jc w:val="center"/>
              <w:rPr>
                <w:color w:val="000000"/>
                <w:sz w:val="22"/>
                <w:szCs w:val="22"/>
                <w:lang w:eastAsia="lv-LV"/>
              </w:rPr>
            </w:pPr>
          </w:p>
        </w:tc>
        <w:tc>
          <w:tcPr>
            <w:tcW w:w="1501" w:type="dxa"/>
            <w:shd w:val="clear" w:color="auto" w:fill="DBE5F1" w:themeFill="accent1" w:themeFillTint="33"/>
            <w:noWrap/>
            <w:vAlign w:val="center"/>
          </w:tcPr>
          <w:p w14:paraId="56AACC04" w14:textId="77777777" w:rsidR="005137D2" w:rsidRPr="00647F74" w:rsidRDefault="005137D2" w:rsidP="00F74DF0">
            <w:pPr>
              <w:spacing w:after="0"/>
              <w:ind w:firstLine="0"/>
              <w:jc w:val="center"/>
              <w:rPr>
                <w:color w:val="000000"/>
                <w:sz w:val="22"/>
                <w:szCs w:val="22"/>
                <w:lang w:eastAsia="lv-LV"/>
              </w:rPr>
            </w:pPr>
          </w:p>
        </w:tc>
        <w:tc>
          <w:tcPr>
            <w:tcW w:w="709" w:type="dxa"/>
            <w:shd w:val="clear" w:color="auto" w:fill="DBE5F1" w:themeFill="accent1" w:themeFillTint="33"/>
            <w:noWrap/>
            <w:vAlign w:val="center"/>
          </w:tcPr>
          <w:p w14:paraId="71618C71" w14:textId="77777777" w:rsidR="005137D2" w:rsidRPr="00647F74" w:rsidRDefault="005137D2" w:rsidP="00F74DF0">
            <w:pPr>
              <w:spacing w:after="0"/>
              <w:ind w:firstLine="0"/>
              <w:jc w:val="center"/>
              <w:rPr>
                <w:color w:val="000000"/>
                <w:sz w:val="22"/>
                <w:szCs w:val="22"/>
                <w:lang w:eastAsia="lv-LV"/>
              </w:rPr>
            </w:pPr>
            <w:r w:rsidRPr="00647F74">
              <w:rPr>
                <w:color w:val="000000"/>
                <w:sz w:val="22"/>
                <w:szCs w:val="22"/>
                <w:lang w:eastAsia="lv-LV"/>
              </w:rPr>
              <w:t>-0,01</w:t>
            </w:r>
          </w:p>
        </w:tc>
        <w:tc>
          <w:tcPr>
            <w:tcW w:w="709" w:type="dxa"/>
            <w:shd w:val="clear" w:color="auto" w:fill="DBE5F1" w:themeFill="accent1" w:themeFillTint="33"/>
            <w:noWrap/>
            <w:vAlign w:val="center"/>
          </w:tcPr>
          <w:p w14:paraId="4655C6D5" w14:textId="77777777" w:rsidR="005137D2" w:rsidRPr="00647F74" w:rsidRDefault="005137D2" w:rsidP="00F74DF0">
            <w:pPr>
              <w:spacing w:after="0"/>
              <w:ind w:firstLine="0"/>
              <w:jc w:val="center"/>
              <w:rPr>
                <w:color w:val="000000"/>
                <w:sz w:val="22"/>
                <w:szCs w:val="22"/>
                <w:lang w:eastAsia="lv-LV"/>
              </w:rPr>
            </w:pPr>
            <w:r w:rsidRPr="00647F74">
              <w:rPr>
                <w:color w:val="000000"/>
                <w:sz w:val="22"/>
                <w:szCs w:val="22"/>
                <w:lang w:eastAsia="lv-LV"/>
              </w:rPr>
              <w:t>0,01</w:t>
            </w:r>
          </w:p>
        </w:tc>
        <w:tc>
          <w:tcPr>
            <w:tcW w:w="814" w:type="dxa"/>
            <w:shd w:val="clear" w:color="auto" w:fill="DBE5F1" w:themeFill="accent1" w:themeFillTint="33"/>
            <w:noWrap/>
            <w:vAlign w:val="center"/>
          </w:tcPr>
          <w:p w14:paraId="63B9B5EA" w14:textId="77777777" w:rsidR="005137D2" w:rsidRPr="00647F74" w:rsidRDefault="005137D2" w:rsidP="00F74DF0">
            <w:pPr>
              <w:spacing w:after="0"/>
              <w:ind w:firstLine="0"/>
              <w:jc w:val="center"/>
              <w:rPr>
                <w:color w:val="000000"/>
                <w:sz w:val="22"/>
                <w:szCs w:val="22"/>
                <w:lang w:eastAsia="lv-LV"/>
              </w:rPr>
            </w:pPr>
            <w:r w:rsidRPr="00647F74">
              <w:rPr>
                <w:color w:val="000000"/>
                <w:sz w:val="22"/>
                <w:szCs w:val="22"/>
                <w:lang w:eastAsia="lv-LV"/>
              </w:rPr>
              <w:t>0,01</w:t>
            </w:r>
          </w:p>
        </w:tc>
      </w:tr>
      <w:tr w:rsidR="005137D2" w:rsidRPr="005B2F54" w14:paraId="0AA907A3" w14:textId="77777777" w:rsidTr="00032D04">
        <w:trPr>
          <w:trHeight w:val="881"/>
        </w:trPr>
        <w:tc>
          <w:tcPr>
            <w:tcW w:w="2729" w:type="dxa"/>
            <w:shd w:val="clear" w:color="auto" w:fill="auto"/>
            <w:vAlign w:val="center"/>
            <w:hideMark/>
          </w:tcPr>
          <w:p w14:paraId="0CA17FE9"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Gadskārtējā valsts budžeta izpildes procesā pārdalāmais finansējums</w:t>
            </w:r>
          </w:p>
        </w:tc>
        <w:tc>
          <w:tcPr>
            <w:tcW w:w="5762" w:type="dxa"/>
            <w:shd w:val="clear" w:color="auto" w:fill="auto"/>
            <w:vAlign w:val="center"/>
            <w:hideMark/>
          </w:tcPr>
          <w:p w14:paraId="2AB4C2FF"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 (t.sk. pārdalītais finansējums ES politiku instrumentu un pārējās ārvalstu finanšu palīdzības līdzfinansēto projektu un pasākumu īstenošanai)</w:t>
            </w:r>
          </w:p>
        </w:tc>
        <w:tc>
          <w:tcPr>
            <w:tcW w:w="1047" w:type="dxa"/>
            <w:shd w:val="clear" w:color="auto" w:fill="auto"/>
            <w:vAlign w:val="center"/>
            <w:hideMark/>
          </w:tcPr>
          <w:p w14:paraId="73A970B3"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auto"/>
            <w:noWrap/>
            <w:vAlign w:val="center"/>
            <w:hideMark/>
          </w:tcPr>
          <w:p w14:paraId="4655687B"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55960E6C"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78B439F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-0,28</w:t>
            </w:r>
          </w:p>
        </w:tc>
        <w:tc>
          <w:tcPr>
            <w:tcW w:w="709" w:type="dxa"/>
            <w:shd w:val="clear" w:color="auto" w:fill="auto"/>
            <w:noWrap/>
            <w:vAlign w:val="center"/>
            <w:hideMark/>
          </w:tcPr>
          <w:p w14:paraId="3520DF2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0,16</w:t>
            </w:r>
          </w:p>
        </w:tc>
        <w:tc>
          <w:tcPr>
            <w:tcW w:w="814" w:type="dxa"/>
            <w:shd w:val="clear" w:color="auto" w:fill="auto"/>
            <w:noWrap/>
            <w:vAlign w:val="center"/>
            <w:hideMark/>
          </w:tcPr>
          <w:p w14:paraId="491D789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0,03</w:t>
            </w:r>
          </w:p>
        </w:tc>
      </w:tr>
      <w:tr w:rsidR="005137D2" w:rsidRPr="005B2F54" w14:paraId="0B7583FD" w14:textId="77777777" w:rsidTr="001563FD">
        <w:trPr>
          <w:trHeight w:val="945"/>
        </w:trPr>
        <w:tc>
          <w:tcPr>
            <w:tcW w:w="2729" w:type="dxa"/>
            <w:vMerge w:val="restart"/>
            <w:shd w:val="clear" w:color="auto" w:fill="DBE5F1" w:themeFill="accent1" w:themeFillTint="33"/>
            <w:vAlign w:val="center"/>
            <w:hideMark/>
          </w:tcPr>
          <w:p w14:paraId="1196C193"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Labklājības ministrija</w:t>
            </w:r>
          </w:p>
        </w:tc>
        <w:tc>
          <w:tcPr>
            <w:tcW w:w="5762" w:type="dxa"/>
            <w:shd w:val="clear" w:color="auto" w:fill="DBE5F1" w:themeFill="accent1" w:themeFillTint="33"/>
            <w:vAlign w:val="center"/>
            <w:hideMark/>
          </w:tcPr>
          <w:p w14:paraId="5F8CD135"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Palielināti izdevumi, lai nodrošinātu prioritārā pasākuma</w:t>
            </w:r>
            <w:r>
              <w:rPr>
                <w:iCs/>
                <w:color w:val="000000"/>
                <w:sz w:val="22"/>
                <w:szCs w:val="22"/>
                <w:lang w:eastAsia="lv-LV"/>
              </w:rPr>
              <w:t xml:space="preserve"> </w:t>
            </w:r>
            <w:r w:rsidRPr="00647F74">
              <w:rPr>
                <w:iCs/>
                <w:color w:val="000000"/>
                <w:sz w:val="22"/>
                <w:szCs w:val="22"/>
                <w:lang w:eastAsia="lv-LV"/>
              </w:rPr>
              <w:t>“Īpašas kopšanas pabalsta bērniem un pieaugušajiem ar invaliditāti kopš bērnības pilnveidošana” īstenošanu</w:t>
            </w:r>
          </w:p>
        </w:tc>
        <w:tc>
          <w:tcPr>
            <w:tcW w:w="1047" w:type="dxa"/>
            <w:shd w:val="clear" w:color="auto" w:fill="DBE5F1" w:themeFill="accent1" w:themeFillTint="33"/>
            <w:vAlign w:val="center"/>
            <w:hideMark/>
          </w:tcPr>
          <w:p w14:paraId="3842CFEC"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DBE5F1" w:themeFill="accent1" w:themeFillTint="33"/>
            <w:noWrap/>
            <w:vAlign w:val="center"/>
            <w:hideMark/>
          </w:tcPr>
          <w:p w14:paraId="762F5943"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118058F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03E134A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71ACA98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07EF895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78F5131A" w14:textId="77777777" w:rsidTr="001563FD">
        <w:trPr>
          <w:trHeight w:val="630"/>
        </w:trPr>
        <w:tc>
          <w:tcPr>
            <w:tcW w:w="2729" w:type="dxa"/>
            <w:vMerge/>
            <w:shd w:val="clear" w:color="auto" w:fill="DBE5F1" w:themeFill="accent1" w:themeFillTint="33"/>
            <w:vAlign w:val="center"/>
            <w:hideMark/>
          </w:tcPr>
          <w:p w14:paraId="36553429"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7DBEEC05"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Palielināti izdevumi, lai nodrošinātu prioritārā pasākuma</w:t>
            </w:r>
            <w:r>
              <w:rPr>
                <w:iCs/>
                <w:color w:val="000000"/>
                <w:sz w:val="22"/>
                <w:szCs w:val="22"/>
                <w:lang w:eastAsia="lv-LV"/>
              </w:rPr>
              <w:t xml:space="preserve"> </w:t>
            </w:r>
            <w:r w:rsidRPr="00647F74">
              <w:rPr>
                <w:iCs/>
                <w:color w:val="000000"/>
                <w:sz w:val="22"/>
                <w:szCs w:val="22"/>
                <w:lang w:eastAsia="lv-LV"/>
              </w:rPr>
              <w:t>“Ilgstošās sociālās aprūpes pakalpojuma kvalitātes uzlabošana” īstenošanu</w:t>
            </w:r>
          </w:p>
        </w:tc>
        <w:tc>
          <w:tcPr>
            <w:tcW w:w="1047" w:type="dxa"/>
            <w:shd w:val="clear" w:color="auto" w:fill="auto"/>
            <w:vAlign w:val="center"/>
            <w:hideMark/>
          </w:tcPr>
          <w:p w14:paraId="207187EF"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auto"/>
            <w:noWrap/>
            <w:vAlign w:val="center"/>
            <w:hideMark/>
          </w:tcPr>
          <w:p w14:paraId="3E78A913"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35FB222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7E5A33B7"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0,02</w:t>
            </w:r>
          </w:p>
        </w:tc>
        <w:tc>
          <w:tcPr>
            <w:tcW w:w="709" w:type="dxa"/>
            <w:shd w:val="clear" w:color="auto" w:fill="auto"/>
            <w:noWrap/>
            <w:vAlign w:val="center"/>
            <w:hideMark/>
          </w:tcPr>
          <w:p w14:paraId="657EF5DB"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auto"/>
            <w:noWrap/>
            <w:vAlign w:val="center"/>
            <w:hideMark/>
          </w:tcPr>
          <w:p w14:paraId="52AAAE7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1C9AFBED" w14:textId="77777777" w:rsidTr="001563FD">
        <w:trPr>
          <w:trHeight w:val="315"/>
        </w:trPr>
        <w:tc>
          <w:tcPr>
            <w:tcW w:w="2729" w:type="dxa"/>
            <w:vMerge/>
            <w:shd w:val="clear" w:color="auto" w:fill="DBE5F1" w:themeFill="accent1" w:themeFillTint="33"/>
            <w:vAlign w:val="center"/>
            <w:hideMark/>
          </w:tcPr>
          <w:p w14:paraId="6CEACBE5"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069D0F59"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Izdevumu samazinājums maternitātes pabalstiem</w:t>
            </w:r>
          </w:p>
        </w:tc>
        <w:tc>
          <w:tcPr>
            <w:tcW w:w="1047" w:type="dxa"/>
            <w:shd w:val="clear" w:color="auto" w:fill="DBE5F1" w:themeFill="accent1" w:themeFillTint="33"/>
            <w:vAlign w:val="center"/>
            <w:hideMark/>
          </w:tcPr>
          <w:p w14:paraId="5262863F"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DBE5F1" w:themeFill="accent1" w:themeFillTint="33"/>
            <w:noWrap/>
            <w:vAlign w:val="center"/>
            <w:hideMark/>
          </w:tcPr>
          <w:p w14:paraId="28C5129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2B667CA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15C7DD32"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2F7D7D3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7C3872D9"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25FDA853" w14:textId="77777777" w:rsidTr="001563FD">
        <w:trPr>
          <w:trHeight w:val="315"/>
        </w:trPr>
        <w:tc>
          <w:tcPr>
            <w:tcW w:w="2729" w:type="dxa"/>
            <w:vMerge/>
            <w:shd w:val="clear" w:color="auto" w:fill="DBE5F1" w:themeFill="accent1" w:themeFillTint="33"/>
            <w:vAlign w:val="center"/>
            <w:hideMark/>
          </w:tcPr>
          <w:p w14:paraId="00BF67C7"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49FCE501"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Izdevumu samazinājums slimības pabalstiem</w:t>
            </w:r>
          </w:p>
        </w:tc>
        <w:tc>
          <w:tcPr>
            <w:tcW w:w="1047" w:type="dxa"/>
            <w:shd w:val="clear" w:color="auto" w:fill="auto"/>
            <w:vAlign w:val="center"/>
            <w:hideMark/>
          </w:tcPr>
          <w:p w14:paraId="05EA3B8C"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auto"/>
            <w:noWrap/>
            <w:vAlign w:val="center"/>
            <w:hideMark/>
          </w:tcPr>
          <w:p w14:paraId="05FB232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0E8173D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174556D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-0,06</w:t>
            </w:r>
          </w:p>
        </w:tc>
        <w:tc>
          <w:tcPr>
            <w:tcW w:w="709" w:type="dxa"/>
            <w:shd w:val="clear" w:color="auto" w:fill="auto"/>
            <w:noWrap/>
            <w:vAlign w:val="center"/>
            <w:hideMark/>
          </w:tcPr>
          <w:p w14:paraId="5A226E1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0,03</w:t>
            </w:r>
          </w:p>
        </w:tc>
        <w:tc>
          <w:tcPr>
            <w:tcW w:w="814" w:type="dxa"/>
            <w:shd w:val="clear" w:color="auto" w:fill="auto"/>
            <w:noWrap/>
            <w:vAlign w:val="center"/>
            <w:hideMark/>
          </w:tcPr>
          <w:p w14:paraId="75E67AB0"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49D60DFA" w14:textId="77777777" w:rsidTr="001563FD">
        <w:trPr>
          <w:trHeight w:val="315"/>
        </w:trPr>
        <w:tc>
          <w:tcPr>
            <w:tcW w:w="2729" w:type="dxa"/>
            <w:vMerge/>
            <w:shd w:val="clear" w:color="auto" w:fill="DBE5F1" w:themeFill="accent1" w:themeFillTint="33"/>
            <w:vAlign w:val="center"/>
            <w:hideMark/>
          </w:tcPr>
          <w:p w14:paraId="0F2F51B2"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255DCF77"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Izdevumu samazinājums vecāku pabalstiem</w:t>
            </w:r>
          </w:p>
        </w:tc>
        <w:tc>
          <w:tcPr>
            <w:tcW w:w="1047" w:type="dxa"/>
            <w:shd w:val="clear" w:color="auto" w:fill="DBE5F1" w:themeFill="accent1" w:themeFillTint="33"/>
            <w:vAlign w:val="center"/>
            <w:hideMark/>
          </w:tcPr>
          <w:p w14:paraId="1AECCBBE"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DBE5F1" w:themeFill="accent1" w:themeFillTint="33"/>
            <w:noWrap/>
            <w:vAlign w:val="center"/>
            <w:hideMark/>
          </w:tcPr>
          <w:p w14:paraId="095104C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DBE5F1" w:themeFill="accent1" w:themeFillTint="33"/>
            <w:noWrap/>
            <w:vAlign w:val="center"/>
            <w:hideMark/>
          </w:tcPr>
          <w:p w14:paraId="0430139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DBE5F1" w:themeFill="accent1" w:themeFillTint="33"/>
            <w:noWrap/>
            <w:vAlign w:val="center"/>
            <w:hideMark/>
          </w:tcPr>
          <w:p w14:paraId="436C5987"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2EB3696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shd w:val="clear" w:color="auto" w:fill="DBE5F1" w:themeFill="accent1" w:themeFillTint="33"/>
            <w:noWrap/>
            <w:vAlign w:val="center"/>
            <w:hideMark/>
          </w:tcPr>
          <w:p w14:paraId="33E0958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4C1D8D83" w14:textId="77777777" w:rsidTr="001563FD">
        <w:trPr>
          <w:trHeight w:val="315"/>
        </w:trPr>
        <w:tc>
          <w:tcPr>
            <w:tcW w:w="2729" w:type="dxa"/>
            <w:vMerge/>
            <w:shd w:val="clear" w:color="auto" w:fill="DBE5F1" w:themeFill="accent1" w:themeFillTint="33"/>
            <w:vAlign w:val="center"/>
            <w:hideMark/>
          </w:tcPr>
          <w:p w14:paraId="33E2FBCC"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25E2A1FE"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Izdevumu samazinājums vecuma pensijām</w:t>
            </w:r>
          </w:p>
        </w:tc>
        <w:tc>
          <w:tcPr>
            <w:tcW w:w="1047" w:type="dxa"/>
            <w:shd w:val="clear" w:color="auto" w:fill="auto"/>
            <w:vAlign w:val="center"/>
            <w:hideMark/>
          </w:tcPr>
          <w:p w14:paraId="026D61CC" w14:textId="77777777" w:rsidR="005137D2" w:rsidRPr="005B2F54" w:rsidRDefault="005137D2" w:rsidP="00F74DF0">
            <w:pPr>
              <w:spacing w:after="0"/>
              <w:ind w:firstLine="0"/>
              <w:jc w:val="center"/>
              <w:rPr>
                <w:i/>
                <w:iCs/>
                <w:color w:val="000000"/>
                <w:sz w:val="22"/>
                <w:szCs w:val="22"/>
                <w:lang w:eastAsia="lv-LV"/>
              </w:rPr>
            </w:pPr>
            <w:r w:rsidRPr="005B2F54">
              <w:rPr>
                <w:i/>
                <w:iCs/>
                <w:color w:val="000000"/>
                <w:sz w:val="22"/>
                <w:szCs w:val="22"/>
                <w:lang w:eastAsia="lv-LV"/>
              </w:rPr>
              <w:t>D.6</w:t>
            </w:r>
          </w:p>
        </w:tc>
        <w:tc>
          <w:tcPr>
            <w:tcW w:w="1430" w:type="dxa"/>
            <w:shd w:val="clear" w:color="auto" w:fill="auto"/>
            <w:noWrap/>
            <w:vAlign w:val="center"/>
            <w:hideMark/>
          </w:tcPr>
          <w:p w14:paraId="394D7E64"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Naudas plūsma</w:t>
            </w:r>
          </w:p>
        </w:tc>
        <w:tc>
          <w:tcPr>
            <w:tcW w:w="1501" w:type="dxa"/>
            <w:shd w:val="clear" w:color="auto" w:fill="auto"/>
            <w:noWrap/>
            <w:vAlign w:val="center"/>
            <w:hideMark/>
          </w:tcPr>
          <w:p w14:paraId="6CF68D6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Apstiprināts valdībā</w:t>
            </w:r>
          </w:p>
        </w:tc>
        <w:tc>
          <w:tcPr>
            <w:tcW w:w="709" w:type="dxa"/>
            <w:shd w:val="clear" w:color="auto" w:fill="auto"/>
            <w:noWrap/>
            <w:vAlign w:val="center"/>
            <w:hideMark/>
          </w:tcPr>
          <w:p w14:paraId="499BBFC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-0,07</w:t>
            </w:r>
          </w:p>
        </w:tc>
        <w:tc>
          <w:tcPr>
            <w:tcW w:w="709" w:type="dxa"/>
            <w:shd w:val="clear" w:color="auto" w:fill="auto"/>
            <w:noWrap/>
            <w:vAlign w:val="center"/>
            <w:hideMark/>
          </w:tcPr>
          <w:p w14:paraId="7718E578"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0,05</w:t>
            </w:r>
          </w:p>
        </w:tc>
        <w:tc>
          <w:tcPr>
            <w:tcW w:w="814" w:type="dxa"/>
            <w:shd w:val="clear" w:color="auto" w:fill="auto"/>
            <w:noWrap/>
            <w:vAlign w:val="center"/>
            <w:hideMark/>
          </w:tcPr>
          <w:p w14:paraId="112824EF"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296B65E4" w14:textId="77777777" w:rsidTr="001563FD">
        <w:trPr>
          <w:trHeight w:val="630"/>
        </w:trPr>
        <w:tc>
          <w:tcPr>
            <w:tcW w:w="2729" w:type="dxa"/>
            <w:vMerge/>
            <w:shd w:val="clear" w:color="auto" w:fill="DBE5F1" w:themeFill="accent1" w:themeFillTint="33"/>
            <w:vAlign w:val="center"/>
            <w:hideMark/>
          </w:tcPr>
          <w:p w14:paraId="24CAA645"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DBE5F1" w:themeFill="accent1" w:themeFillTint="33"/>
            <w:vAlign w:val="center"/>
            <w:hideMark/>
          </w:tcPr>
          <w:p w14:paraId="0D596A14" w14:textId="77777777" w:rsidR="005137D2" w:rsidRPr="00647F74" w:rsidRDefault="005137D2" w:rsidP="00F74DF0">
            <w:pPr>
              <w:spacing w:after="0"/>
              <w:ind w:firstLine="0"/>
              <w:rPr>
                <w:iCs/>
                <w:color w:val="000000"/>
                <w:sz w:val="22"/>
                <w:szCs w:val="22"/>
                <w:lang w:eastAsia="lv-LV"/>
              </w:rPr>
            </w:pPr>
            <w:r w:rsidRPr="00647F74">
              <w:rPr>
                <w:iCs/>
                <w:color w:val="000000"/>
                <w:sz w:val="22"/>
                <w:szCs w:val="22"/>
                <w:lang w:eastAsia="lv-LV"/>
              </w:rPr>
              <w:t>Tehniskie precizējumi (t.sk. palielināti izdevumi ERAF īstenotajiem projektiem labklājības nozarē)</w:t>
            </w:r>
          </w:p>
        </w:tc>
        <w:tc>
          <w:tcPr>
            <w:tcW w:w="1047" w:type="dxa"/>
            <w:shd w:val="clear" w:color="auto" w:fill="DBE5F1" w:themeFill="accent1" w:themeFillTint="33"/>
            <w:vAlign w:val="center"/>
            <w:hideMark/>
          </w:tcPr>
          <w:p w14:paraId="3A473FE8" w14:textId="77777777" w:rsidR="005137D2" w:rsidRPr="005B2F54" w:rsidRDefault="005137D2" w:rsidP="00F74DF0">
            <w:pPr>
              <w:spacing w:after="0"/>
              <w:ind w:firstLine="0"/>
              <w:jc w:val="center"/>
              <w:rPr>
                <w:i/>
                <w:iCs/>
                <w:color w:val="000000"/>
                <w:sz w:val="22"/>
                <w:szCs w:val="22"/>
                <w:lang w:eastAsia="lv-LV"/>
              </w:rPr>
            </w:pPr>
          </w:p>
        </w:tc>
        <w:tc>
          <w:tcPr>
            <w:tcW w:w="1430" w:type="dxa"/>
            <w:shd w:val="clear" w:color="auto" w:fill="DBE5F1" w:themeFill="accent1" w:themeFillTint="33"/>
            <w:noWrap/>
            <w:vAlign w:val="center"/>
            <w:hideMark/>
          </w:tcPr>
          <w:p w14:paraId="5A6B7B6D"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DBE5F1" w:themeFill="accent1" w:themeFillTint="33"/>
            <w:noWrap/>
            <w:vAlign w:val="center"/>
            <w:hideMark/>
          </w:tcPr>
          <w:p w14:paraId="686ADDC3"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DBE5F1" w:themeFill="accent1" w:themeFillTint="33"/>
            <w:noWrap/>
            <w:vAlign w:val="center"/>
            <w:hideMark/>
          </w:tcPr>
          <w:p w14:paraId="66CA6185"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shd w:val="clear" w:color="auto" w:fill="DBE5F1" w:themeFill="accent1" w:themeFillTint="33"/>
            <w:noWrap/>
            <w:vAlign w:val="center"/>
            <w:hideMark/>
          </w:tcPr>
          <w:p w14:paraId="7D0C29CB"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814" w:type="dxa"/>
            <w:shd w:val="clear" w:color="auto" w:fill="DBE5F1" w:themeFill="accent1" w:themeFillTint="33"/>
            <w:noWrap/>
            <w:vAlign w:val="center"/>
            <w:hideMark/>
          </w:tcPr>
          <w:p w14:paraId="56AC41F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265B15E7" w14:textId="77777777" w:rsidTr="001563FD">
        <w:trPr>
          <w:trHeight w:val="315"/>
        </w:trPr>
        <w:tc>
          <w:tcPr>
            <w:tcW w:w="2729" w:type="dxa"/>
            <w:shd w:val="clear" w:color="auto" w:fill="auto"/>
            <w:vAlign w:val="center"/>
            <w:hideMark/>
          </w:tcPr>
          <w:p w14:paraId="1830A868" w14:textId="77777777" w:rsidR="005137D2" w:rsidRPr="005B2F54" w:rsidRDefault="005137D2" w:rsidP="00F74DF0">
            <w:pPr>
              <w:spacing w:after="0"/>
              <w:ind w:firstLine="0"/>
              <w:jc w:val="center"/>
              <w:rPr>
                <w:color w:val="000000"/>
                <w:sz w:val="22"/>
                <w:szCs w:val="22"/>
                <w:lang w:eastAsia="lv-LV"/>
              </w:rPr>
            </w:pPr>
          </w:p>
        </w:tc>
        <w:tc>
          <w:tcPr>
            <w:tcW w:w="5762" w:type="dxa"/>
            <w:shd w:val="clear" w:color="auto" w:fill="auto"/>
            <w:vAlign w:val="center"/>
            <w:hideMark/>
          </w:tcPr>
          <w:p w14:paraId="1DB969B0" w14:textId="77777777" w:rsidR="005137D2" w:rsidRPr="00647F74" w:rsidRDefault="005137D2" w:rsidP="00F74DF0">
            <w:pPr>
              <w:spacing w:after="0"/>
              <w:ind w:firstLine="0"/>
              <w:rPr>
                <w:color w:val="000000"/>
                <w:sz w:val="22"/>
                <w:szCs w:val="22"/>
                <w:lang w:eastAsia="lv-LV"/>
              </w:rPr>
            </w:pPr>
            <w:r w:rsidRPr="00647F74">
              <w:rPr>
                <w:color w:val="000000"/>
                <w:sz w:val="22"/>
                <w:szCs w:val="22"/>
                <w:lang w:eastAsia="lv-LV"/>
              </w:rPr>
              <w:t>Citi MK lēmumi</w:t>
            </w:r>
          </w:p>
        </w:tc>
        <w:tc>
          <w:tcPr>
            <w:tcW w:w="1047" w:type="dxa"/>
            <w:shd w:val="clear" w:color="auto" w:fill="auto"/>
            <w:vAlign w:val="center"/>
            <w:hideMark/>
          </w:tcPr>
          <w:p w14:paraId="6D18387C" w14:textId="77777777" w:rsidR="005137D2" w:rsidRPr="005B2F54" w:rsidRDefault="005137D2" w:rsidP="00F74DF0">
            <w:pPr>
              <w:spacing w:after="0"/>
              <w:ind w:firstLine="0"/>
              <w:jc w:val="center"/>
              <w:rPr>
                <w:color w:val="000000"/>
                <w:sz w:val="22"/>
                <w:szCs w:val="22"/>
                <w:lang w:eastAsia="lv-LV"/>
              </w:rPr>
            </w:pPr>
          </w:p>
        </w:tc>
        <w:tc>
          <w:tcPr>
            <w:tcW w:w="1430" w:type="dxa"/>
            <w:shd w:val="clear" w:color="auto" w:fill="auto"/>
            <w:noWrap/>
            <w:vAlign w:val="center"/>
            <w:hideMark/>
          </w:tcPr>
          <w:p w14:paraId="553BEC0D" w14:textId="77777777" w:rsidR="005137D2" w:rsidRPr="005B2F54" w:rsidRDefault="005137D2" w:rsidP="00F74DF0">
            <w:pPr>
              <w:spacing w:after="0"/>
              <w:ind w:firstLine="0"/>
              <w:jc w:val="center"/>
              <w:rPr>
                <w:color w:val="000000"/>
                <w:sz w:val="22"/>
                <w:szCs w:val="22"/>
                <w:lang w:eastAsia="lv-LV"/>
              </w:rPr>
            </w:pPr>
          </w:p>
        </w:tc>
        <w:tc>
          <w:tcPr>
            <w:tcW w:w="1501" w:type="dxa"/>
            <w:shd w:val="clear" w:color="auto" w:fill="auto"/>
            <w:noWrap/>
            <w:vAlign w:val="center"/>
            <w:hideMark/>
          </w:tcPr>
          <w:p w14:paraId="76DB8410" w14:textId="77777777" w:rsidR="005137D2" w:rsidRPr="005B2F54" w:rsidRDefault="005137D2" w:rsidP="00F74DF0">
            <w:pPr>
              <w:spacing w:after="0"/>
              <w:ind w:firstLine="0"/>
              <w:jc w:val="center"/>
              <w:rPr>
                <w:color w:val="000000"/>
                <w:sz w:val="22"/>
                <w:szCs w:val="22"/>
                <w:lang w:eastAsia="lv-LV"/>
              </w:rPr>
            </w:pPr>
          </w:p>
        </w:tc>
        <w:tc>
          <w:tcPr>
            <w:tcW w:w="709" w:type="dxa"/>
            <w:shd w:val="clear" w:color="auto" w:fill="auto"/>
            <w:noWrap/>
            <w:vAlign w:val="center"/>
            <w:hideMark/>
          </w:tcPr>
          <w:p w14:paraId="5E6655BE"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0,06</w:t>
            </w:r>
          </w:p>
        </w:tc>
        <w:tc>
          <w:tcPr>
            <w:tcW w:w="709" w:type="dxa"/>
            <w:shd w:val="clear" w:color="auto" w:fill="auto"/>
            <w:noWrap/>
            <w:vAlign w:val="center"/>
            <w:hideMark/>
          </w:tcPr>
          <w:p w14:paraId="16F444A6"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-0,02</w:t>
            </w:r>
          </w:p>
        </w:tc>
        <w:tc>
          <w:tcPr>
            <w:tcW w:w="814" w:type="dxa"/>
            <w:shd w:val="clear" w:color="auto" w:fill="auto"/>
            <w:noWrap/>
            <w:vAlign w:val="center"/>
            <w:hideMark/>
          </w:tcPr>
          <w:p w14:paraId="33FA59FD"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0CEB105D" w14:textId="77777777" w:rsidTr="00423C48">
        <w:trPr>
          <w:trHeight w:val="315"/>
        </w:trPr>
        <w:tc>
          <w:tcPr>
            <w:tcW w:w="2729" w:type="dxa"/>
            <w:tcBorders>
              <w:bottom w:val="single" w:sz="4" w:space="0" w:color="548DD4" w:themeColor="text2" w:themeTint="99"/>
            </w:tcBorders>
            <w:shd w:val="clear" w:color="auto" w:fill="DBE5F1" w:themeFill="accent1" w:themeFillTint="33"/>
            <w:vAlign w:val="center"/>
            <w:hideMark/>
          </w:tcPr>
          <w:p w14:paraId="0F641457" w14:textId="77777777" w:rsidR="005137D2" w:rsidRPr="005B2F54" w:rsidRDefault="005137D2" w:rsidP="00F74DF0">
            <w:pPr>
              <w:spacing w:after="0"/>
              <w:ind w:firstLine="0"/>
              <w:jc w:val="center"/>
              <w:rPr>
                <w:color w:val="000000"/>
                <w:sz w:val="22"/>
                <w:szCs w:val="22"/>
                <w:lang w:eastAsia="lv-LV"/>
              </w:rPr>
            </w:pPr>
          </w:p>
        </w:tc>
        <w:tc>
          <w:tcPr>
            <w:tcW w:w="5762" w:type="dxa"/>
            <w:tcBorders>
              <w:bottom w:val="single" w:sz="4" w:space="0" w:color="548DD4" w:themeColor="text2" w:themeTint="99"/>
            </w:tcBorders>
            <w:shd w:val="clear" w:color="auto" w:fill="DBE5F1" w:themeFill="accent1" w:themeFillTint="33"/>
            <w:vAlign w:val="center"/>
            <w:hideMark/>
          </w:tcPr>
          <w:p w14:paraId="0D6D03C8" w14:textId="77777777" w:rsidR="005137D2" w:rsidRPr="00647F74" w:rsidRDefault="005137D2" w:rsidP="00F74DF0">
            <w:pPr>
              <w:spacing w:after="0"/>
              <w:ind w:firstLine="0"/>
              <w:rPr>
                <w:color w:val="000000"/>
                <w:sz w:val="22"/>
                <w:szCs w:val="22"/>
                <w:lang w:eastAsia="lv-LV"/>
              </w:rPr>
            </w:pPr>
            <w:r w:rsidRPr="00647F74">
              <w:rPr>
                <w:color w:val="000000"/>
                <w:sz w:val="22"/>
                <w:szCs w:val="22"/>
                <w:lang w:eastAsia="lv-LV"/>
              </w:rPr>
              <w:t>Citi tehniskie precizējumi</w:t>
            </w:r>
          </w:p>
        </w:tc>
        <w:tc>
          <w:tcPr>
            <w:tcW w:w="1047" w:type="dxa"/>
            <w:tcBorders>
              <w:bottom w:val="single" w:sz="4" w:space="0" w:color="548DD4" w:themeColor="text2" w:themeTint="99"/>
            </w:tcBorders>
            <w:shd w:val="clear" w:color="auto" w:fill="DBE5F1" w:themeFill="accent1" w:themeFillTint="33"/>
            <w:vAlign w:val="center"/>
            <w:hideMark/>
          </w:tcPr>
          <w:p w14:paraId="2A36CFA6" w14:textId="77777777" w:rsidR="005137D2" w:rsidRPr="005B2F54" w:rsidRDefault="005137D2" w:rsidP="00F74DF0">
            <w:pPr>
              <w:spacing w:after="0"/>
              <w:ind w:firstLine="0"/>
              <w:jc w:val="center"/>
              <w:rPr>
                <w:color w:val="000000"/>
                <w:sz w:val="22"/>
                <w:szCs w:val="22"/>
                <w:lang w:eastAsia="lv-LV"/>
              </w:rPr>
            </w:pPr>
          </w:p>
        </w:tc>
        <w:tc>
          <w:tcPr>
            <w:tcW w:w="1430" w:type="dxa"/>
            <w:tcBorders>
              <w:bottom w:val="single" w:sz="4" w:space="0" w:color="548DD4" w:themeColor="text2" w:themeTint="99"/>
            </w:tcBorders>
            <w:shd w:val="clear" w:color="auto" w:fill="DBE5F1" w:themeFill="accent1" w:themeFillTint="33"/>
            <w:noWrap/>
            <w:vAlign w:val="center"/>
            <w:hideMark/>
          </w:tcPr>
          <w:p w14:paraId="13C8CB6E" w14:textId="77777777" w:rsidR="005137D2" w:rsidRPr="005B2F54" w:rsidRDefault="005137D2" w:rsidP="00F74DF0">
            <w:pPr>
              <w:spacing w:after="0"/>
              <w:ind w:firstLine="0"/>
              <w:jc w:val="center"/>
              <w:rPr>
                <w:color w:val="000000"/>
                <w:sz w:val="22"/>
                <w:szCs w:val="22"/>
                <w:lang w:eastAsia="lv-LV"/>
              </w:rPr>
            </w:pPr>
          </w:p>
        </w:tc>
        <w:tc>
          <w:tcPr>
            <w:tcW w:w="1501" w:type="dxa"/>
            <w:tcBorders>
              <w:bottom w:val="single" w:sz="4" w:space="0" w:color="548DD4" w:themeColor="text2" w:themeTint="99"/>
            </w:tcBorders>
            <w:shd w:val="clear" w:color="auto" w:fill="DBE5F1" w:themeFill="accent1" w:themeFillTint="33"/>
            <w:noWrap/>
            <w:vAlign w:val="center"/>
            <w:hideMark/>
          </w:tcPr>
          <w:p w14:paraId="1930F050" w14:textId="77777777" w:rsidR="005137D2" w:rsidRPr="005B2F54" w:rsidRDefault="005137D2" w:rsidP="00F74DF0">
            <w:pPr>
              <w:spacing w:after="0"/>
              <w:ind w:firstLine="0"/>
              <w:jc w:val="center"/>
              <w:rPr>
                <w:color w:val="000000"/>
                <w:sz w:val="22"/>
                <w:szCs w:val="22"/>
                <w:lang w:eastAsia="lv-LV"/>
              </w:rPr>
            </w:pPr>
          </w:p>
        </w:tc>
        <w:tc>
          <w:tcPr>
            <w:tcW w:w="709" w:type="dxa"/>
            <w:tcBorders>
              <w:bottom w:val="single" w:sz="4" w:space="0" w:color="548DD4" w:themeColor="text2" w:themeTint="99"/>
            </w:tcBorders>
            <w:shd w:val="clear" w:color="auto" w:fill="DBE5F1" w:themeFill="accent1" w:themeFillTint="33"/>
            <w:noWrap/>
            <w:vAlign w:val="center"/>
            <w:hideMark/>
          </w:tcPr>
          <w:p w14:paraId="057FED21"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0,01</w:t>
            </w:r>
          </w:p>
        </w:tc>
        <w:tc>
          <w:tcPr>
            <w:tcW w:w="709" w:type="dxa"/>
            <w:tcBorders>
              <w:bottom w:val="single" w:sz="4" w:space="0" w:color="548DD4" w:themeColor="text2" w:themeTint="99"/>
            </w:tcBorders>
            <w:shd w:val="clear" w:color="auto" w:fill="DBE5F1" w:themeFill="accent1" w:themeFillTint="33"/>
            <w:noWrap/>
            <w:vAlign w:val="center"/>
            <w:hideMark/>
          </w:tcPr>
          <w:p w14:paraId="17B8CA15"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c>
          <w:tcPr>
            <w:tcW w:w="814" w:type="dxa"/>
            <w:tcBorders>
              <w:bottom w:val="single" w:sz="4" w:space="0" w:color="548DD4" w:themeColor="text2" w:themeTint="99"/>
            </w:tcBorders>
            <w:shd w:val="clear" w:color="auto" w:fill="DBE5F1" w:themeFill="accent1" w:themeFillTint="33"/>
            <w:noWrap/>
            <w:vAlign w:val="center"/>
            <w:hideMark/>
          </w:tcPr>
          <w:p w14:paraId="272D38DC" w14:textId="77777777" w:rsidR="005137D2" w:rsidRPr="005B2F54" w:rsidRDefault="005137D2" w:rsidP="00F74DF0">
            <w:pPr>
              <w:spacing w:after="0"/>
              <w:ind w:firstLine="0"/>
              <w:jc w:val="center"/>
              <w:rPr>
                <w:color w:val="000000"/>
                <w:sz w:val="22"/>
                <w:szCs w:val="22"/>
                <w:lang w:eastAsia="lv-LV"/>
              </w:rPr>
            </w:pPr>
            <w:r w:rsidRPr="005B2F54">
              <w:rPr>
                <w:color w:val="000000"/>
                <w:sz w:val="22"/>
                <w:szCs w:val="22"/>
                <w:lang w:eastAsia="lv-LV"/>
              </w:rPr>
              <w:t>0,00</w:t>
            </w:r>
          </w:p>
        </w:tc>
      </w:tr>
      <w:tr w:rsidR="005137D2" w:rsidRPr="005B2F54" w14:paraId="0BDC3941" w14:textId="77777777" w:rsidTr="00423C48">
        <w:trPr>
          <w:trHeight w:val="315"/>
        </w:trPr>
        <w:tc>
          <w:tcPr>
            <w:tcW w:w="12469" w:type="dxa"/>
            <w:gridSpan w:val="5"/>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30DF7B5B" w14:textId="77777777" w:rsidR="005137D2" w:rsidRPr="00647F74" w:rsidRDefault="005137D2" w:rsidP="00F74DF0">
            <w:pPr>
              <w:spacing w:after="0"/>
              <w:ind w:firstLine="0"/>
              <w:rPr>
                <w:b/>
                <w:bCs/>
                <w:color w:val="000000"/>
                <w:sz w:val="22"/>
                <w:szCs w:val="22"/>
                <w:lang w:eastAsia="lv-LV"/>
              </w:rPr>
            </w:pPr>
            <w:r w:rsidRPr="00647F74">
              <w:rPr>
                <w:b/>
                <w:bCs/>
                <w:color w:val="000000"/>
                <w:sz w:val="22"/>
                <w:szCs w:val="22"/>
                <w:lang w:eastAsia="lv-LV"/>
              </w:rPr>
              <w:t>Kopā</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088C150C" w14:textId="77777777" w:rsidR="005137D2" w:rsidRPr="00647F74" w:rsidRDefault="005137D2" w:rsidP="00F74DF0">
            <w:pPr>
              <w:spacing w:after="0"/>
              <w:ind w:firstLine="0"/>
              <w:jc w:val="center"/>
              <w:rPr>
                <w:b/>
                <w:bCs/>
                <w:color w:val="000000"/>
                <w:sz w:val="22"/>
                <w:szCs w:val="22"/>
                <w:lang w:eastAsia="lv-LV"/>
              </w:rPr>
            </w:pPr>
            <w:r w:rsidRPr="00647F74">
              <w:rPr>
                <w:b/>
                <w:bCs/>
                <w:color w:val="000000"/>
                <w:sz w:val="22"/>
                <w:szCs w:val="22"/>
              </w:rPr>
              <w:t>0,63</w:t>
            </w:r>
          </w:p>
        </w:tc>
        <w:tc>
          <w:tcPr>
            <w:tcW w:w="70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01102FAD" w14:textId="77777777" w:rsidR="005137D2" w:rsidRPr="00647F74" w:rsidRDefault="005137D2" w:rsidP="00F74DF0">
            <w:pPr>
              <w:spacing w:after="0"/>
              <w:ind w:firstLine="0"/>
              <w:jc w:val="center"/>
              <w:rPr>
                <w:b/>
                <w:bCs/>
                <w:color w:val="000000"/>
                <w:sz w:val="22"/>
                <w:szCs w:val="22"/>
                <w:lang w:eastAsia="lv-LV"/>
              </w:rPr>
            </w:pPr>
            <w:r w:rsidRPr="00647F74">
              <w:rPr>
                <w:b/>
                <w:bCs/>
                <w:color w:val="000000"/>
                <w:sz w:val="22"/>
                <w:szCs w:val="22"/>
              </w:rPr>
              <w:t>-0,23</w:t>
            </w:r>
          </w:p>
        </w:tc>
        <w:tc>
          <w:tcPr>
            <w:tcW w:w="81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hideMark/>
          </w:tcPr>
          <w:p w14:paraId="6501A9CE" w14:textId="77777777" w:rsidR="005137D2" w:rsidRPr="00647F74" w:rsidRDefault="005137D2" w:rsidP="00F74DF0">
            <w:pPr>
              <w:spacing w:after="0"/>
              <w:ind w:firstLine="0"/>
              <w:jc w:val="center"/>
              <w:rPr>
                <w:b/>
                <w:bCs/>
                <w:color w:val="000000"/>
                <w:sz w:val="22"/>
                <w:szCs w:val="22"/>
                <w:lang w:eastAsia="lv-LV"/>
              </w:rPr>
            </w:pPr>
            <w:r w:rsidRPr="00647F74">
              <w:rPr>
                <w:b/>
                <w:bCs/>
                <w:color w:val="000000"/>
                <w:sz w:val="22"/>
                <w:szCs w:val="22"/>
              </w:rPr>
              <w:t>0,13</w:t>
            </w:r>
          </w:p>
        </w:tc>
      </w:tr>
      <w:tr w:rsidR="005137D2" w:rsidRPr="005B2F54" w14:paraId="41966AEE" w14:textId="77777777" w:rsidTr="00423C48">
        <w:trPr>
          <w:trHeight w:val="300"/>
        </w:trPr>
        <w:tc>
          <w:tcPr>
            <w:tcW w:w="9538" w:type="dxa"/>
            <w:gridSpan w:val="3"/>
            <w:tcBorders>
              <w:top w:val="single" w:sz="4" w:space="0" w:color="548DD4" w:themeColor="text2" w:themeTint="99"/>
              <w:left w:val="nil"/>
              <w:bottom w:val="nil"/>
              <w:right w:val="nil"/>
            </w:tcBorders>
            <w:shd w:val="clear" w:color="auto" w:fill="auto"/>
            <w:noWrap/>
            <w:vAlign w:val="center"/>
            <w:hideMark/>
          </w:tcPr>
          <w:p w14:paraId="1A8D2365" w14:textId="77777777" w:rsidR="005137D2" w:rsidRPr="00647F74" w:rsidRDefault="005137D2" w:rsidP="00F74DF0">
            <w:pPr>
              <w:spacing w:after="0"/>
              <w:ind w:firstLine="0"/>
              <w:rPr>
                <w:color w:val="000000"/>
                <w:sz w:val="22"/>
                <w:szCs w:val="22"/>
                <w:lang w:eastAsia="lv-LV"/>
              </w:rPr>
            </w:pPr>
            <w:r w:rsidRPr="005137D2">
              <w:rPr>
                <w:color w:val="000000"/>
                <w:sz w:val="20"/>
                <w:szCs w:val="22"/>
                <w:lang w:eastAsia="lv-LV"/>
              </w:rPr>
              <w:t>*Finansējuma pārdales (t.sk., ES fondu īstenošanai, ieņēmumu no maksas pakalpojumiem un citu pašu ieņēmumiem)</w:t>
            </w:r>
          </w:p>
        </w:tc>
        <w:tc>
          <w:tcPr>
            <w:tcW w:w="1430" w:type="dxa"/>
            <w:tcBorders>
              <w:top w:val="single" w:sz="4" w:space="0" w:color="548DD4" w:themeColor="text2" w:themeTint="99"/>
              <w:left w:val="nil"/>
              <w:bottom w:val="nil"/>
              <w:right w:val="nil"/>
            </w:tcBorders>
            <w:shd w:val="clear" w:color="auto" w:fill="auto"/>
            <w:noWrap/>
            <w:vAlign w:val="center"/>
            <w:hideMark/>
          </w:tcPr>
          <w:p w14:paraId="339396AF" w14:textId="77777777" w:rsidR="005137D2" w:rsidRPr="005B2F54" w:rsidRDefault="005137D2" w:rsidP="00F74DF0">
            <w:pPr>
              <w:spacing w:after="0"/>
              <w:ind w:firstLine="0"/>
              <w:jc w:val="center"/>
              <w:rPr>
                <w:color w:val="000000"/>
                <w:sz w:val="22"/>
                <w:szCs w:val="22"/>
                <w:lang w:eastAsia="lv-LV"/>
              </w:rPr>
            </w:pPr>
          </w:p>
        </w:tc>
        <w:tc>
          <w:tcPr>
            <w:tcW w:w="1501" w:type="dxa"/>
            <w:tcBorders>
              <w:top w:val="single" w:sz="4" w:space="0" w:color="548DD4" w:themeColor="text2" w:themeTint="99"/>
              <w:left w:val="nil"/>
              <w:bottom w:val="nil"/>
              <w:right w:val="nil"/>
            </w:tcBorders>
            <w:shd w:val="clear" w:color="auto" w:fill="auto"/>
            <w:noWrap/>
            <w:vAlign w:val="center"/>
            <w:hideMark/>
          </w:tcPr>
          <w:p w14:paraId="40088BDE" w14:textId="77777777" w:rsidR="005137D2" w:rsidRPr="005B2F54" w:rsidRDefault="005137D2" w:rsidP="00F74DF0">
            <w:pPr>
              <w:spacing w:after="0"/>
              <w:ind w:firstLine="0"/>
              <w:jc w:val="center"/>
              <w:rPr>
                <w:sz w:val="22"/>
                <w:szCs w:val="22"/>
                <w:lang w:eastAsia="lv-LV"/>
              </w:rPr>
            </w:pPr>
          </w:p>
        </w:tc>
        <w:tc>
          <w:tcPr>
            <w:tcW w:w="709" w:type="dxa"/>
            <w:tcBorders>
              <w:top w:val="single" w:sz="4" w:space="0" w:color="548DD4" w:themeColor="text2" w:themeTint="99"/>
              <w:left w:val="nil"/>
              <w:bottom w:val="nil"/>
              <w:right w:val="nil"/>
            </w:tcBorders>
            <w:shd w:val="clear" w:color="auto" w:fill="auto"/>
            <w:noWrap/>
            <w:vAlign w:val="center"/>
            <w:hideMark/>
          </w:tcPr>
          <w:p w14:paraId="22EAAAC0" w14:textId="77777777" w:rsidR="005137D2" w:rsidRPr="005B2F54" w:rsidRDefault="005137D2" w:rsidP="00F74DF0">
            <w:pPr>
              <w:spacing w:after="0"/>
              <w:ind w:firstLine="0"/>
              <w:jc w:val="center"/>
              <w:rPr>
                <w:sz w:val="22"/>
                <w:szCs w:val="22"/>
                <w:lang w:eastAsia="lv-LV"/>
              </w:rPr>
            </w:pPr>
          </w:p>
        </w:tc>
        <w:tc>
          <w:tcPr>
            <w:tcW w:w="709" w:type="dxa"/>
            <w:tcBorders>
              <w:top w:val="single" w:sz="4" w:space="0" w:color="548DD4" w:themeColor="text2" w:themeTint="99"/>
              <w:left w:val="nil"/>
              <w:bottom w:val="nil"/>
              <w:right w:val="nil"/>
            </w:tcBorders>
            <w:shd w:val="clear" w:color="auto" w:fill="auto"/>
            <w:noWrap/>
            <w:vAlign w:val="center"/>
            <w:hideMark/>
          </w:tcPr>
          <w:p w14:paraId="1FA55F32" w14:textId="77777777" w:rsidR="005137D2" w:rsidRPr="005B2F54" w:rsidRDefault="005137D2" w:rsidP="00F74DF0">
            <w:pPr>
              <w:spacing w:after="0"/>
              <w:ind w:firstLine="0"/>
              <w:jc w:val="center"/>
              <w:rPr>
                <w:sz w:val="22"/>
                <w:szCs w:val="22"/>
                <w:lang w:eastAsia="lv-LV"/>
              </w:rPr>
            </w:pPr>
          </w:p>
        </w:tc>
        <w:tc>
          <w:tcPr>
            <w:tcW w:w="814" w:type="dxa"/>
            <w:tcBorders>
              <w:top w:val="single" w:sz="4" w:space="0" w:color="548DD4" w:themeColor="text2" w:themeTint="99"/>
              <w:left w:val="nil"/>
              <w:bottom w:val="nil"/>
              <w:right w:val="nil"/>
            </w:tcBorders>
            <w:shd w:val="clear" w:color="auto" w:fill="auto"/>
            <w:noWrap/>
            <w:vAlign w:val="center"/>
            <w:hideMark/>
          </w:tcPr>
          <w:p w14:paraId="2641B3AB" w14:textId="77777777" w:rsidR="005137D2" w:rsidRPr="005B2F54" w:rsidRDefault="005137D2" w:rsidP="00F74DF0">
            <w:pPr>
              <w:spacing w:after="0"/>
              <w:ind w:firstLine="0"/>
              <w:jc w:val="center"/>
              <w:rPr>
                <w:sz w:val="22"/>
                <w:szCs w:val="22"/>
                <w:lang w:eastAsia="lv-LV"/>
              </w:rPr>
            </w:pPr>
          </w:p>
        </w:tc>
      </w:tr>
    </w:tbl>
    <w:p w14:paraId="2B61FDAE" w14:textId="77777777" w:rsidR="00423C48" w:rsidRDefault="00423C48" w:rsidP="00382BC7">
      <w:pPr>
        <w:pStyle w:val="Heading1"/>
        <w:tabs>
          <w:tab w:val="left" w:pos="1276"/>
        </w:tabs>
        <w:spacing w:before="0" w:after="240"/>
        <w:ind w:left="1276" w:hanging="1276"/>
        <w:jc w:val="left"/>
        <w:rPr>
          <w:rFonts w:ascii="Times New Roman" w:hAnsi="Times New Roman"/>
          <w:color w:val="18185F"/>
          <w:sz w:val="24"/>
          <w:lang w:val="lv-LV"/>
        </w:rPr>
      </w:pPr>
    </w:p>
    <w:p w14:paraId="6875D546" w14:textId="77777777" w:rsidR="00423C48" w:rsidRDefault="00423C48">
      <w:pPr>
        <w:spacing w:after="0"/>
        <w:ind w:firstLine="0"/>
        <w:jc w:val="left"/>
        <w:rPr>
          <w:b/>
          <w:bCs/>
          <w:color w:val="18185F"/>
          <w:szCs w:val="28"/>
          <w:lang w:eastAsia="x-none"/>
        </w:rPr>
      </w:pPr>
      <w:r>
        <w:rPr>
          <w:color w:val="18185F"/>
        </w:rPr>
        <w:br w:type="page"/>
      </w:r>
    </w:p>
    <w:p w14:paraId="42911510" w14:textId="694DCB1C" w:rsidR="00382BC7" w:rsidRPr="00314FA1" w:rsidRDefault="00F900B2" w:rsidP="00382BC7">
      <w:pPr>
        <w:pStyle w:val="Heading1"/>
        <w:tabs>
          <w:tab w:val="left" w:pos="1276"/>
        </w:tabs>
        <w:spacing w:before="0" w:after="240"/>
        <w:ind w:left="1276" w:hanging="1276"/>
        <w:jc w:val="left"/>
        <w:rPr>
          <w:rFonts w:ascii="Times New Roman" w:hAnsi="Times New Roman"/>
          <w:color w:val="18185F"/>
          <w:sz w:val="24"/>
          <w:lang w:val="lv-LV"/>
        </w:rPr>
      </w:pPr>
      <w:bookmarkStart w:id="32" w:name="_Toc1374675"/>
      <w:r>
        <w:rPr>
          <w:rFonts w:ascii="Times New Roman" w:hAnsi="Times New Roman"/>
          <w:color w:val="18185F"/>
          <w:sz w:val="24"/>
          <w:lang w:val="lv-LV"/>
        </w:rPr>
        <w:lastRenderedPageBreak/>
        <w:t>Tabula</w:t>
      </w:r>
      <w:r>
        <w:rPr>
          <w:rFonts w:ascii="Times New Roman" w:hAnsi="Times New Roman"/>
          <w:color w:val="18185F"/>
          <w:sz w:val="24"/>
        </w:rPr>
        <w:t xml:space="preserve"> </w:t>
      </w:r>
      <w:r w:rsidR="00382BC7">
        <w:rPr>
          <w:rFonts w:ascii="Times New Roman" w:hAnsi="Times New Roman"/>
          <w:color w:val="18185F"/>
          <w:sz w:val="24"/>
        </w:rPr>
        <w:t>5.c:</w:t>
      </w:r>
      <w:r w:rsidR="00382BC7" w:rsidRPr="00DC2914">
        <w:rPr>
          <w:rFonts w:ascii="Times New Roman" w:hAnsi="Times New Roman"/>
          <w:color w:val="18185F"/>
          <w:sz w:val="24"/>
        </w:rPr>
        <w:t xml:space="preserve"> Diskrecionārie</w:t>
      </w:r>
      <w:r w:rsidR="00382BC7" w:rsidRPr="00DC2914">
        <w:rPr>
          <w:rFonts w:ascii="Times New Roman" w:hAnsi="Times New Roman"/>
          <w:color w:val="18185F"/>
          <w:sz w:val="24"/>
          <w:lang w:val="lv-LV"/>
        </w:rPr>
        <w:t xml:space="preserve"> ieņēmumu</w:t>
      </w:r>
      <w:r w:rsidR="00382BC7" w:rsidRPr="00DC2914">
        <w:rPr>
          <w:rFonts w:ascii="Times New Roman" w:hAnsi="Times New Roman"/>
          <w:color w:val="18185F"/>
          <w:sz w:val="24"/>
        </w:rPr>
        <w:t xml:space="preserve"> pasākumi </w:t>
      </w:r>
      <w:r w:rsidR="00382BC7" w:rsidRPr="00DC2914">
        <w:rPr>
          <w:rFonts w:ascii="Times New Roman" w:hAnsi="Times New Roman"/>
          <w:color w:val="18185F"/>
          <w:sz w:val="24"/>
          <w:lang w:val="lv-LV"/>
        </w:rPr>
        <w:t>vietējās valdības budžetā</w:t>
      </w:r>
      <w:bookmarkEnd w:id="31"/>
      <w:bookmarkEnd w:id="32"/>
    </w:p>
    <w:tbl>
      <w:tblPr>
        <w:tblpPr w:leftFromText="180" w:rightFromText="180" w:vertAnchor="text" w:tblpXSpec="center" w:tblpY="1"/>
        <w:tblOverlap w:val="never"/>
        <w:tblW w:w="1461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14"/>
        <w:gridCol w:w="3118"/>
        <w:gridCol w:w="1418"/>
        <w:gridCol w:w="850"/>
        <w:gridCol w:w="1134"/>
        <w:gridCol w:w="1701"/>
        <w:gridCol w:w="730"/>
        <w:gridCol w:w="851"/>
        <w:gridCol w:w="992"/>
        <w:gridCol w:w="709"/>
      </w:tblGrid>
      <w:tr w:rsidR="007A0A9C" w:rsidRPr="002E1FBD" w14:paraId="06DF79EF" w14:textId="77777777" w:rsidTr="0005656C">
        <w:trPr>
          <w:trHeight w:val="20"/>
        </w:trPr>
        <w:tc>
          <w:tcPr>
            <w:tcW w:w="3114" w:type="dxa"/>
            <w:vMerge w:val="restart"/>
            <w:shd w:val="clear" w:color="auto" w:fill="DBE5F1" w:themeFill="accent1" w:themeFillTint="33"/>
            <w:vAlign w:val="center"/>
            <w:hideMark/>
          </w:tcPr>
          <w:p w14:paraId="52E1D02B"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Pasākumu saraksts</w:t>
            </w:r>
          </w:p>
        </w:tc>
        <w:tc>
          <w:tcPr>
            <w:tcW w:w="3118" w:type="dxa"/>
            <w:vMerge w:val="restart"/>
            <w:shd w:val="clear" w:color="auto" w:fill="DBE5F1" w:themeFill="accent1" w:themeFillTint="33"/>
            <w:vAlign w:val="center"/>
            <w:hideMark/>
          </w:tcPr>
          <w:p w14:paraId="3BFBD4CB"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Detalizēts apraksts*</w:t>
            </w:r>
          </w:p>
        </w:tc>
        <w:tc>
          <w:tcPr>
            <w:tcW w:w="1418" w:type="dxa"/>
            <w:vMerge w:val="restart"/>
            <w:shd w:val="clear" w:color="auto" w:fill="DBE5F1" w:themeFill="accent1" w:themeFillTint="33"/>
            <w:vAlign w:val="center"/>
            <w:hideMark/>
          </w:tcPr>
          <w:p w14:paraId="471F3B0D"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Nodokļu veids</w:t>
            </w:r>
          </w:p>
        </w:tc>
        <w:tc>
          <w:tcPr>
            <w:tcW w:w="850" w:type="dxa"/>
            <w:vMerge w:val="restart"/>
            <w:shd w:val="clear" w:color="auto" w:fill="DBE5F1" w:themeFill="accent1" w:themeFillTint="33"/>
            <w:vAlign w:val="center"/>
            <w:hideMark/>
          </w:tcPr>
          <w:p w14:paraId="14292A42"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ESA kods</w:t>
            </w:r>
          </w:p>
        </w:tc>
        <w:tc>
          <w:tcPr>
            <w:tcW w:w="1134" w:type="dxa"/>
            <w:vMerge w:val="restart"/>
            <w:shd w:val="clear" w:color="auto" w:fill="DBE5F1" w:themeFill="accent1" w:themeFillTint="33"/>
            <w:vAlign w:val="center"/>
            <w:hideMark/>
          </w:tcPr>
          <w:p w14:paraId="0A46D2DD"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Uzskaites princips</w:t>
            </w:r>
          </w:p>
        </w:tc>
        <w:tc>
          <w:tcPr>
            <w:tcW w:w="1701" w:type="dxa"/>
            <w:vMerge w:val="restart"/>
            <w:shd w:val="clear" w:color="auto" w:fill="DBE5F1" w:themeFill="accent1" w:themeFillTint="33"/>
            <w:vAlign w:val="center"/>
            <w:hideMark/>
          </w:tcPr>
          <w:p w14:paraId="5A141431"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Pieņemšanas statuss</w:t>
            </w:r>
          </w:p>
        </w:tc>
        <w:tc>
          <w:tcPr>
            <w:tcW w:w="730" w:type="dxa"/>
            <w:shd w:val="clear" w:color="auto" w:fill="DBE5F1" w:themeFill="accent1" w:themeFillTint="33"/>
            <w:noWrap/>
            <w:vAlign w:val="bottom"/>
            <w:hideMark/>
          </w:tcPr>
          <w:p w14:paraId="4F578693" w14:textId="77777777" w:rsidR="007A0A9C" w:rsidRPr="002E1FBD" w:rsidRDefault="007A0A9C" w:rsidP="0005656C">
            <w:pPr>
              <w:spacing w:after="0"/>
              <w:ind w:firstLine="0"/>
              <w:jc w:val="left"/>
              <w:rPr>
                <w:b/>
                <w:bCs/>
                <w:color w:val="000000"/>
                <w:sz w:val="22"/>
                <w:szCs w:val="22"/>
                <w:lang w:eastAsia="lv-LV"/>
              </w:rPr>
            </w:pPr>
            <w:r w:rsidRPr="002E1FBD">
              <w:rPr>
                <w:b/>
                <w:bCs/>
                <w:color w:val="000000"/>
                <w:sz w:val="22"/>
                <w:szCs w:val="22"/>
                <w:lang w:eastAsia="lv-LV"/>
              </w:rPr>
              <w:t> </w:t>
            </w:r>
          </w:p>
        </w:tc>
        <w:tc>
          <w:tcPr>
            <w:tcW w:w="2552" w:type="dxa"/>
            <w:gridSpan w:val="3"/>
            <w:shd w:val="clear" w:color="auto" w:fill="DBE5F1" w:themeFill="accent1" w:themeFillTint="33"/>
            <w:noWrap/>
            <w:vAlign w:val="bottom"/>
            <w:hideMark/>
          </w:tcPr>
          <w:p w14:paraId="6BD28905"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Ietekme uz budžetu</w:t>
            </w:r>
          </w:p>
        </w:tc>
      </w:tr>
      <w:tr w:rsidR="007A0A9C" w:rsidRPr="002E1FBD" w14:paraId="5753B507" w14:textId="77777777" w:rsidTr="0005656C">
        <w:trPr>
          <w:trHeight w:val="20"/>
        </w:trPr>
        <w:tc>
          <w:tcPr>
            <w:tcW w:w="3114" w:type="dxa"/>
            <w:vMerge/>
            <w:shd w:val="clear" w:color="auto" w:fill="DBE5F1" w:themeFill="accent1" w:themeFillTint="33"/>
            <w:vAlign w:val="center"/>
            <w:hideMark/>
          </w:tcPr>
          <w:p w14:paraId="465575B4" w14:textId="77777777" w:rsidR="007A0A9C" w:rsidRPr="002E1FBD" w:rsidRDefault="007A0A9C" w:rsidP="0005656C">
            <w:pPr>
              <w:spacing w:after="0"/>
              <w:ind w:firstLine="0"/>
              <w:jc w:val="left"/>
              <w:rPr>
                <w:b/>
                <w:bCs/>
                <w:color w:val="000000"/>
                <w:sz w:val="22"/>
                <w:szCs w:val="22"/>
                <w:lang w:eastAsia="lv-LV"/>
              </w:rPr>
            </w:pPr>
          </w:p>
        </w:tc>
        <w:tc>
          <w:tcPr>
            <w:tcW w:w="3118" w:type="dxa"/>
            <w:vMerge/>
            <w:shd w:val="clear" w:color="auto" w:fill="DBE5F1" w:themeFill="accent1" w:themeFillTint="33"/>
            <w:vAlign w:val="center"/>
            <w:hideMark/>
          </w:tcPr>
          <w:p w14:paraId="579156DA" w14:textId="77777777" w:rsidR="007A0A9C" w:rsidRPr="002E1FBD" w:rsidRDefault="007A0A9C" w:rsidP="0005656C">
            <w:pPr>
              <w:spacing w:after="0"/>
              <w:ind w:firstLine="0"/>
              <w:jc w:val="left"/>
              <w:rPr>
                <w:b/>
                <w:bCs/>
                <w:color w:val="000000"/>
                <w:sz w:val="22"/>
                <w:szCs w:val="22"/>
                <w:lang w:eastAsia="lv-LV"/>
              </w:rPr>
            </w:pPr>
          </w:p>
        </w:tc>
        <w:tc>
          <w:tcPr>
            <w:tcW w:w="1418" w:type="dxa"/>
            <w:vMerge/>
            <w:shd w:val="clear" w:color="auto" w:fill="DBE5F1" w:themeFill="accent1" w:themeFillTint="33"/>
            <w:vAlign w:val="center"/>
            <w:hideMark/>
          </w:tcPr>
          <w:p w14:paraId="7DBDC893" w14:textId="77777777" w:rsidR="007A0A9C" w:rsidRPr="002E1FBD" w:rsidRDefault="007A0A9C" w:rsidP="0005656C">
            <w:pPr>
              <w:spacing w:after="0"/>
              <w:ind w:firstLine="0"/>
              <w:jc w:val="left"/>
              <w:rPr>
                <w:b/>
                <w:bCs/>
                <w:color w:val="000000"/>
                <w:sz w:val="22"/>
                <w:szCs w:val="22"/>
                <w:lang w:eastAsia="lv-LV"/>
              </w:rPr>
            </w:pPr>
          </w:p>
        </w:tc>
        <w:tc>
          <w:tcPr>
            <w:tcW w:w="850" w:type="dxa"/>
            <w:vMerge/>
            <w:shd w:val="clear" w:color="auto" w:fill="DBE5F1" w:themeFill="accent1" w:themeFillTint="33"/>
            <w:vAlign w:val="center"/>
            <w:hideMark/>
          </w:tcPr>
          <w:p w14:paraId="74C4B85E" w14:textId="77777777" w:rsidR="007A0A9C" w:rsidRPr="002E1FBD" w:rsidRDefault="007A0A9C" w:rsidP="0005656C">
            <w:pPr>
              <w:spacing w:after="0"/>
              <w:ind w:firstLine="0"/>
              <w:jc w:val="left"/>
              <w:rPr>
                <w:b/>
                <w:bCs/>
                <w:color w:val="000000"/>
                <w:sz w:val="22"/>
                <w:szCs w:val="22"/>
                <w:lang w:eastAsia="lv-LV"/>
              </w:rPr>
            </w:pPr>
          </w:p>
        </w:tc>
        <w:tc>
          <w:tcPr>
            <w:tcW w:w="1134" w:type="dxa"/>
            <w:vMerge/>
            <w:shd w:val="clear" w:color="auto" w:fill="DBE5F1" w:themeFill="accent1" w:themeFillTint="33"/>
            <w:vAlign w:val="center"/>
            <w:hideMark/>
          </w:tcPr>
          <w:p w14:paraId="39E1EFDA" w14:textId="77777777" w:rsidR="007A0A9C" w:rsidRPr="002E1FBD" w:rsidRDefault="007A0A9C" w:rsidP="0005656C">
            <w:pPr>
              <w:spacing w:after="0"/>
              <w:ind w:firstLine="0"/>
              <w:jc w:val="left"/>
              <w:rPr>
                <w:b/>
                <w:bCs/>
                <w:color w:val="000000"/>
                <w:sz w:val="22"/>
                <w:szCs w:val="22"/>
                <w:lang w:eastAsia="lv-LV"/>
              </w:rPr>
            </w:pPr>
          </w:p>
        </w:tc>
        <w:tc>
          <w:tcPr>
            <w:tcW w:w="1701" w:type="dxa"/>
            <w:vMerge/>
            <w:shd w:val="clear" w:color="auto" w:fill="DBE5F1" w:themeFill="accent1" w:themeFillTint="33"/>
            <w:vAlign w:val="center"/>
            <w:hideMark/>
          </w:tcPr>
          <w:p w14:paraId="2BBB41DB" w14:textId="77777777" w:rsidR="007A0A9C" w:rsidRPr="002E1FBD" w:rsidRDefault="007A0A9C" w:rsidP="0005656C">
            <w:pPr>
              <w:spacing w:after="0"/>
              <w:ind w:firstLine="0"/>
              <w:jc w:val="left"/>
              <w:rPr>
                <w:b/>
                <w:bCs/>
                <w:color w:val="000000"/>
                <w:sz w:val="22"/>
                <w:szCs w:val="22"/>
                <w:lang w:eastAsia="lv-LV"/>
              </w:rPr>
            </w:pPr>
          </w:p>
        </w:tc>
        <w:tc>
          <w:tcPr>
            <w:tcW w:w="730" w:type="dxa"/>
            <w:vMerge w:val="restart"/>
            <w:shd w:val="clear" w:color="auto" w:fill="DBE5F1" w:themeFill="accent1" w:themeFillTint="33"/>
            <w:noWrap/>
            <w:vAlign w:val="bottom"/>
            <w:hideMark/>
          </w:tcPr>
          <w:p w14:paraId="49DA4939"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 </w:t>
            </w:r>
          </w:p>
        </w:tc>
        <w:tc>
          <w:tcPr>
            <w:tcW w:w="851" w:type="dxa"/>
            <w:shd w:val="clear" w:color="auto" w:fill="DBE5F1" w:themeFill="accent1" w:themeFillTint="33"/>
            <w:vAlign w:val="center"/>
            <w:hideMark/>
          </w:tcPr>
          <w:p w14:paraId="5637E14E"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2019</w:t>
            </w:r>
          </w:p>
        </w:tc>
        <w:tc>
          <w:tcPr>
            <w:tcW w:w="992" w:type="dxa"/>
            <w:shd w:val="clear" w:color="auto" w:fill="DBE5F1" w:themeFill="accent1" w:themeFillTint="33"/>
            <w:vAlign w:val="center"/>
            <w:hideMark/>
          </w:tcPr>
          <w:p w14:paraId="38CB3FC2"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2020</w:t>
            </w:r>
          </w:p>
        </w:tc>
        <w:tc>
          <w:tcPr>
            <w:tcW w:w="709" w:type="dxa"/>
            <w:shd w:val="clear" w:color="auto" w:fill="DBE5F1" w:themeFill="accent1" w:themeFillTint="33"/>
            <w:vAlign w:val="center"/>
            <w:hideMark/>
          </w:tcPr>
          <w:p w14:paraId="6859C7D2"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2021</w:t>
            </w:r>
          </w:p>
        </w:tc>
      </w:tr>
      <w:tr w:rsidR="007A0A9C" w:rsidRPr="002E1FBD" w14:paraId="64252CA6" w14:textId="77777777" w:rsidTr="0005656C">
        <w:trPr>
          <w:trHeight w:val="20"/>
        </w:trPr>
        <w:tc>
          <w:tcPr>
            <w:tcW w:w="3114" w:type="dxa"/>
            <w:vMerge/>
            <w:shd w:val="clear" w:color="auto" w:fill="DBE5F1" w:themeFill="accent1" w:themeFillTint="33"/>
            <w:vAlign w:val="center"/>
            <w:hideMark/>
          </w:tcPr>
          <w:p w14:paraId="4154C368" w14:textId="77777777" w:rsidR="007A0A9C" w:rsidRPr="002E1FBD" w:rsidRDefault="007A0A9C" w:rsidP="0005656C">
            <w:pPr>
              <w:spacing w:after="0"/>
              <w:ind w:firstLine="0"/>
              <w:jc w:val="left"/>
              <w:rPr>
                <w:b/>
                <w:bCs/>
                <w:color w:val="000000"/>
                <w:sz w:val="22"/>
                <w:szCs w:val="22"/>
                <w:lang w:eastAsia="lv-LV"/>
              </w:rPr>
            </w:pPr>
          </w:p>
        </w:tc>
        <w:tc>
          <w:tcPr>
            <w:tcW w:w="3118" w:type="dxa"/>
            <w:vMerge/>
            <w:shd w:val="clear" w:color="auto" w:fill="DBE5F1" w:themeFill="accent1" w:themeFillTint="33"/>
            <w:vAlign w:val="center"/>
            <w:hideMark/>
          </w:tcPr>
          <w:p w14:paraId="6BD93BE7" w14:textId="77777777" w:rsidR="007A0A9C" w:rsidRPr="002E1FBD" w:rsidRDefault="007A0A9C" w:rsidP="0005656C">
            <w:pPr>
              <w:spacing w:after="0"/>
              <w:ind w:firstLine="0"/>
              <w:jc w:val="left"/>
              <w:rPr>
                <w:b/>
                <w:bCs/>
                <w:color w:val="000000"/>
                <w:sz w:val="22"/>
                <w:szCs w:val="22"/>
                <w:lang w:eastAsia="lv-LV"/>
              </w:rPr>
            </w:pPr>
          </w:p>
        </w:tc>
        <w:tc>
          <w:tcPr>
            <w:tcW w:w="1418" w:type="dxa"/>
            <w:vMerge/>
            <w:shd w:val="clear" w:color="auto" w:fill="DBE5F1" w:themeFill="accent1" w:themeFillTint="33"/>
            <w:vAlign w:val="center"/>
            <w:hideMark/>
          </w:tcPr>
          <w:p w14:paraId="07DC05EE" w14:textId="77777777" w:rsidR="007A0A9C" w:rsidRPr="002E1FBD" w:rsidRDefault="007A0A9C" w:rsidP="0005656C">
            <w:pPr>
              <w:spacing w:after="0"/>
              <w:ind w:firstLine="0"/>
              <w:jc w:val="left"/>
              <w:rPr>
                <w:b/>
                <w:bCs/>
                <w:color w:val="000000"/>
                <w:sz w:val="22"/>
                <w:szCs w:val="22"/>
                <w:lang w:eastAsia="lv-LV"/>
              </w:rPr>
            </w:pPr>
          </w:p>
        </w:tc>
        <w:tc>
          <w:tcPr>
            <w:tcW w:w="850" w:type="dxa"/>
            <w:vMerge/>
            <w:shd w:val="clear" w:color="auto" w:fill="DBE5F1" w:themeFill="accent1" w:themeFillTint="33"/>
            <w:vAlign w:val="center"/>
            <w:hideMark/>
          </w:tcPr>
          <w:p w14:paraId="1EDC3C6D" w14:textId="77777777" w:rsidR="007A0A9C" w:rsidRPr="002E1FBD" w:rsidRDefault="007A0A9C" w:rsidP="0005656C">
            <w:pPr>
              <w:spacing w:after="0"/>
              <w:ind w:firstLine="0"/>
              <w:jc w:val="left"/>
              <w:rPr>
                <w:b/>
                <w:bCs/>
                <w:color w:val="000000"/>
                <w:sz w:val="22"/>
                <w:szCs w:val="22"/>
                <w:lang w:eastAsia="lv-LV"/>
              </w:rPr>
            </w:pPr>
          </w:p>
        </w:tc>
        <w:tc>
          <w:tcPr>
            <w:tcW w:w="1134" w:type="dxa"/>
            <w:vMerge/>
            <w:shd w:val="clear" w:color="auto" w:fill="DBE5F1" w:themeFill="accent1" w:themeFillTint="33"/>
            <w:vAlign w:val="center"/>
            <w:hideMark/>
          </w:tcPr>
          <w:p w14:paraId="0206E796" w14:textId="77777777" w:rsidR="007A0A9C" w:rsidRPr="002E1FBD" w:rsidRDefault="007A0A9C" w:rsidP="0005656C">
            <w:pPr>
              <w:spacing w:after="0"/>
              <w:ind w:firstLine="0"/>
              <w:jc w:val="left"/>
              <w:rPr>
                <w:b/>
                <w:bCs/>
                <w:color w:val="000000"/>
                <w:sz w:val="22"/>
                <w:szCs w:val="22"/>
                <w:lang w:eastAsia="lv-LV"/>
              </w:rPr>
            </w:pPr>
          </w:p>
        </w:tc>
        <w:tc>
          <w:tcPr>
            <w:tcW w:w="1701" w:type="dxa"/>
            <w:vMerge/>
            <w:shd w:val="clear" w:color="auto" w:fill="DBE5F1" w:themeFill="accent1" w:themeFillTint="33"/>
            <w:vAlign w:val="center"/>
            <w:hideMark/>
          </w:tcPr>
          <w:p w14:paraId="5DEF0BA1" w14:textId="77777777" w:rsidR="007A0A9C" w:rsidRPr="002E1FBD" w:rsidRDefault="007A0A9C" w:rsidP="0005656C">
            <w:pPr>
              <w:spacing w:after="0"/>
              <w:ind w:firstLine="0"/>
              <w:jc w:val="left"/>
              <w:rPr>
                <w:b/>
                <w:bCs/>
                <w:color w:val="000000"/>
                <w:sz w:val="22"/>
                <w:szCs w:val="22"/>
                <w:lang w:eastAsia="lv-LV"/>
              </w:rPr>
            </w:pPr>
          </w:p>
        </w:tc>
        <w:tc>
          <w:tcPr>
            <w:tcW w:w="730" w:type="dxa"/>
            <w:vMerge/>
            <w:shd w:val="clear" w:color="auto" w:fill="DBE5F1" w:themeFill="accent1" w:themeFillTint="33"/>
            <w:vAlign w:val="center"/>
            <w:hideMark/>
          </w:tcPr>
          <w:p w14:paraId="369E0ACA" w14:textId="77777777" w:rsidR="007A0A9C" w:rsidRPr="002E1FBD" w:rsidRDefault="007A0A9C" w:rsidP="0005656C">
            <w:pPr>
              <w:spacing w:after="0"/>
              <w:ind w:firstLine="0"/>
              <w:jc w:val="left"/>
              <w:rPr>
                <w:b/>
                <w:bCs/>
                <w:color w:val="000000"/>
                <w:sz w:val="22"/>
                <w:szCs w:val="22"/>
                <w:lang w:eastAsia="lv-LV"/>
              </w:rPr>
            </w:pPr>
          </w:p>
        </w:tc>
        <w:tc>
          <w:tcPr>
            <w:tcW w:w="2552" w:type="dxa"/>
            <w:gridSpan w:val="3"/>
            <w:shd w:val="clear" w:color="auto" w:fill="DBE5F1" w:themeFill="accent1" w:themeFillTint="33"/>
            <w:vAlign w:val="center"/>
            <w:hideMark/>
          </w:tcPr>
          <w:p w14:paraId="6810B60E" w14:textId="77777777" w:rsidR="007A0A9C" w:rsidRPr="002E1FBD" w:rsidRDefault="007A0A9C" w:rsidP="0005656C">
            <w:pPr>
              <w:spacing w:after="0"/>
              <w:ind w:firstLine="0"/>
              <w:jc w:val="center"/>
              <w:rPr>
                <w:b/>
                <w:bCs/>
                <w:color w:val="000000"/>
                <w:sz w:val="22"/>
                <w:szCs w:val="22"/>
                <w:lang w:eastAsia="lv-LV"/>
              </w:rPr>
            </w:pPr>
            <w:r w:rsidRPr="002E1FBD">
              <w:rPr>
                <w:b/>
                <w:bCs/>
                <w:color w:val="000000"/>
                <w:sz w:val="22"/>
                <w:szCs w:val="22"/>
                <w:lang w:eastAsia="lv-LV"/>
              </w:rPr>
              <w:t>% IKP</w:t>
            </w:r>
          </w:p>
        </w:tc>
      </w:tr>
      <w:tr w:rsidR="004646FF" w:rsidRPr="002E1FBD" w14:paraId="7A82D9E4" w14:textId="77777777" w:rsidTr="0005656C">
        <w:trPr>
          <w:trHeight w:val="20"/>
        </w:trPr>
        <w:tc>
          <w:tcPr>
            <w:tcW w:w="3114" w:type="dxa"/>
            <w:shd w:val="clear" w:color="auto" w:fill="auto"/>
            <w:vAlign w:val="center"/>
            <w:hideMark/>
          </w:tcPr>
          <w:p w14:paraId="012EB5EC" w14:textId="77777777" w:rsidR="004646FF" w:rsidRPr="002E1FBD" w:rsidRDefault="004646FF" w:rsidP="0005656C">
            <w:pPr>
              <w:spacing w:after="0"/>
              <w:ind w:firstLine="0"/>
              <w:rPr>
                <w:color w:val="000000"/>
                <w:sz w:val="22"/>
                <w:szCs w:val="22"/>
                <w:lang w:eastAsia="lv-LV"/>
              </w:rPr>
            </w:pPr>
            <w:r w:rsidRPr="002E1FBD">
              <w:rPr>
                <w:color w:val="000000"/>
                <w:sz w:val="22"/>
                <w:szCs w:val="22"/>
                <w:lang w:eastAsia="lv-LV"/>
              </w:rPr>
              <w:t xml:space="preserve">Papildu finansējums veselības aprūpes darbinieku (veselības, tieslietu, izglītības, iekšlietu un labklājības nozares jomā strādājošiem) darba samaksas paaugstināšanai </w:t>
            </w:r>
          </w:p>
        </w:tc>
        <w:tc>
          <w:tcPr>
            <w:tcW w:w="3118" w:type="dxa"/>
            <w:shd w:val="clear" w:color="auto" w:fill="auto"/>
            <w:vAlign w:val="center"/>
            <w:hideMark/>
          </w:tcPr>
          <w:p w14:paraId="7805DB80" w14:textId="77777777" w:rsidR="004646FF" w:rsidRPr="002E1FBD" w:rsidRDefault="004646FF" w:rsidP="0005656C">
            <w:pPr>
              <w:spacing w:after="0"/>
              <w:ind w:firstLine="0"/>
              <w:rPr>
                <w:color w:val="000000"/>
                <w:sz w:val="22"/>
                <w:szCs w:val="22"/>
                <w:lang w:eastAsia="lv-LV"/>
              </w:rPr>
            </w:pPr>
            <w:r w:rsidRPr="002E1FBD">
              <w:rPr>
                <w:color w:val="000000"/>
                <w:sz w:val="22"/>
                <w:szCs w:val="22"/>
                <w:lang w:eastAsia="lv-LV"/>
              </w:rPr>
              <w:t xml:space="preserve">Papildu finansējums veselības aprūpes darbinieku (veselības, tieslietu, izglītības, iekšlietu un labklājības nozares jomā strādājošiem) darba samaksas paaugstināšanai </w:t>
            </w:r>
          </w:p>
        </w:tc>
        <w:tc>
          <w:tcPr>
            <w:tcW w:w="1418" w:type="dxa"/>
            <w:shd w:val="clear" w:color="auto" w:fill="auto"/>
            <w:vAlign w:val="center"/>
            <w:hideMark/>
          </w:tcPr>
          <w:p w14:paraId="13C2A342" w14:textId="77777777" w:rsidR="004646FF" w:rsidRPr="002E1FBD" w:rsidRDefault="004646FF" w:rsidP="0005656C">
            <w:pPr>
              <w:spacing w:after="0"/>
              <w:ind w:firstLine="0"/>
              <w:jc w:val="left"/>
              <w:rPr>
                <w:color w:val="000000"/>
                <w:sz w:val="22"/>
                <w:szCs w:val="22"/>
                <w:lang w:eastAsia="lv-LV"/>
              </w:rPr>
            </w:pPr>
            <w:r w:rsidRPr="002E1FBD">
              <w:rPr>
                <w:color w:val="000000"/>
                <w:sz w:val="22"/>
                <w:szCs w:val="22"/>
                <w:lang w:eastAsia="lv-LV"/>
              </w:rPr>
              <w:t>IIN</w:t>
            </w:r>
          </w:p>
        </w:tc>
        <w:tc>
          <w:tcPr>
            <w:tcW w:w="850" w:type="dxa"/>
            <w:shd w:val="clear" w:color="auto" w:fill="auto"/>
            <w:vAlign w:val="center"/>
            <w:hideMark/>
          </w:tcPr>
          <w:p w14:paraId="2CFDCD41" w14:textId="77777777" w:rsidR="004646FF" w:rsidRPr="002E1FBD" w:rsidRDefault="004646FF" w:rsidP="0005656C">
            <w:pPr>
              <w:spacing w:after="0"/>
              <w:ind w:firstLine="0"/>
              <w:jc w:val="center"/>
              <w:rPr>
                <w:color w:val="000000"/>
                <w:sz w:val="22"/>
                <w:szCs w:val="22"/>
                <w:lang w:eastAsia="lv-LV"/>
              </w:rPr>
            </w:pPr>
            <w:r w:rsidRPr="002E1FBD">
              <w:rPr>
                <w:color w:val="000000"/>
                <w:sz w:val="22"/>
                <w:szCs w:val="22"/>
                <w:lang w:eastAsia="lv-LV"/>
              </w:rPr>
              <w:t>D.5</w:t>
            </w:r>
          </w:p>
        </w:tc>
        <w:tc>
          <w:tcPr>
            <w:tcW w:w="1134" w:type="dxa"/>
            <w:shd w:val="clear" w:color="auto" w:fill="auto"/>
            <w:vAlign w:val="center"/>
            <w:hideMark/>
          </w:tcPr>
          <w:p w14:paraId="1FB80BE2" w14:textId="77777777" w:rsidR="004646FF" w:rsidRPr="002E1FBD" w:rsidRDefault="004646FF" w:rsidP="0005656C">
            <w:pPr>
              <w:spacing w:after="0"/>
              <w:ind w:firstLine="0"/>
              <w:jc w:val="center"/>
              <w:rPr>
                <w:color w:val="000000"/>
                <w:sz w:val="22"/>
                <w:szCs w:val="22"/>
                <w:lang w:eastAsia="lv-LV"/>
              </w:rPr>
            </w:pPr>
            <w:r w:rsidRPr="002E1FBD">
              <w:rPr>
                <w:color w:val="000000"/>
                <w:sz w:val="22"/>
                <w:szCs w:val="22"/>
                <w:lang w:eastAsia="lv-LV"/>
              </w:rPr>
              <w:t>Naudas plūsmas</w:t>
            </w:r>
          </w:p>
        </w:tc>
        <w:tc>
          <w:tcPr>
            <w:tcW w:w="1701" w:type="dxa"/>
            <w:shd w:val="clear" w:color="auto" w:fill="auto"/>
            <w:vAlign w:val="center"/>
            <w:hideMark/>
          </w:tcPr>
          <w:p w14:paraId="72ACABB3" w14:textId="77777777" w:rsidR="004646FF" w:rsidRPr="002E1FBD" w:rsidRDefault="004646FF" w:rsidP="0005656C">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auto"/>
            <w:noWrap/>
            <w:vAlign w:val="bottom"/>
            <w:hideMark/>
          </w:tcPr>
          <w:p w14:paraId="6543E09F" w14:textId="77777777" w:rsidR="004646FF" w:rsidRPr="002E1FBD" w:rsidRDefault="004646FF" w:rsidP="0005656C">
            <w:pPr>
              <w:spacing w:after="0"/>
              <w:ind w:firstLine="0"/>
              <w:jc w:val="left"/>
              <w:rPr>
                <w:color w:val="000000"/>
                <w:sz w:val="22"/>
                <w:szCs w:val="22"/>
                <w:lang w:eastAsia="lv-LV"/>
              </w:rPr>
            </w:pPr>
            <w:r w:rsidRPr="002E1FBD">
              <w:rPr>
                <w:color w:val="000000"/>
                <w:sz w:val="22"/>
                <w:szCs w:val="22"/>
                <w:lang w:eastAsia="lv-LV"/>
              </w:rPr>
              <w:t> </w:t>
            </w:r>
          </w:p>
        </w:tc>
        <w:tc>
          <w:tcPr>
            <w:tcW w:w="851" w:type="dxa"/>
            <w:shd w:val="clear" w:color="auto" w:fill="auto"/>
            <w:noWrap/>
            <w:vAlign w:val="center"/>
            <w:hideMark/>
          </w:tcPr>
          <w:p w14:paraId="780D117E" w14:textId="77777777" w:rsidR="004646FF" w:rsidRPr="002E1FBD" w:rsidRDefault="004646FF" w:rsidP="0005656C">
            <w:pPr>
              <w:spacing w:after="0"/>
              <w:ind w:firstLine="0"/>
              <w:jc w:val="center"/>
              <w:rPr>
                <w:color w:val="000000"/>
                <w:sz w:val="22"/>
                <w:szCs w:val="22"/>
                <w:lang w:eastAsia="lv-LV"/>
              </w:rPr>
            </w:pPr>
            <w:r>
              <w:rPr>
                <w:color w:val="000000"/>
              </w:rPr>
              <w:t>0,03</w:t>
            </w:r>
          </w:p>
        </w:tc>
        <w:tc>
          <w:tcPr>
            <w:tcW w:w="992" w:type="dxa"/>
            <w:shd w:val="clear" w:color="auto" w:fill="auto"/>
            <w:noWrap/>
            <w:vAlign w:val="center"/>
            <w:hideMark/>
          </w:tcPr>
          <w:p w14:paraId="286517E5" w14:textId="77777777" w:rsidR="004646FF" w:rsidRPr="002E1FBD" w:rsidRDefault="004646FF" w:rsidP="0005656C">
            <w:pPr>
              <w:spacing w:after="0"/>
              <w:ind w:firstLine="0"/>
              <w:jc w:val="center"/>
              <w:rPr>
                <w:color w:val="000000"/>
                <w:sz w:val="22"/>
                <w:szCs w:val="22"/>
                <w:lang w:eastAsia="lv-LV"/>
              </w:rPr>
            </w:pPr>
            <w:r>
              <w:rPr>
                <w:color w:val="000000"/>
              </w:rPr>
              <w:t>0,00</w:t>
            </w:r>
          </w:p>
        </w:tc>
        <w:tc>
          <w:tcPr>
            <w:tcW w:w="709" w:type="dxa"/>
            <w:shd w:val="clear" w:color="auto" w:fill="auto"/>
            <w:noWrap/>
            <w:vAlign w:val="center"/>
            <w:hideMark/>
          </w:tcPr>
          <w:p w14:paraId="49526F41" w14:textId="77777777" w:rsidR="004646FF" w:rsidRPr="002E1FBD" w:rsidRDefault="004646FF" w:rsidP="0005656C">
            <w:pPr>
              <w:spacing w:after="0"/>
              <w:ind w:firstLine="0"/>
              <w:jc w:val="center"/>
              <w:rPr>
                <w:color w:val="000000"/>
                <w:sz w:val="22"/>
                <w:szCs w:val="22"/>
                <w:lang w:eastAsia="lv-LV"/>
              </w:rPr>
            </w:pPr>
            <w:r>
              <w:rPr>
                <w:color w:val="000000"/>
              </w:rPr>
              <w:t>0,00</w:t>
            </w:r>
          </w:p>
        </w:tc>
      </w:tr>
      <w:tr w:rsidR="004646FF" w:rsidRPr="002E1FBD" w14:paraId="032FF14B" w14:textId="77777777" w:rsidTr="0005656C">
        <w:trPr>
          <w:trHeight w:val="20"/>
        </w:trPr>
        <w:tc>
          <w:tcPr>
            <w:tcW w:w="3114" w:type="dxa"/>
            <w:shd w:val="clear" w:color="auto" w:fill="DBE5F1" w:themeFill="accent1" w:themeFillTint="33"/>
            <w:vAlign w:val="center"/>
            <w:hideMark/>
          </w:tcPr>
          <w:p w14:paraId="08EDF266" w14:textId="77777777" w:rsidR="004646FF" w:rsidRPr="002E1FBD" w:rsidRDefault="004646FF" w:rsidP="0005656C">
            <w:pPr>
              <w:spacing w:after="0"/>
              <w:ind w:firstLine="0"/>
              <w:rPr>
                <w:color w:val="000000"/>
                <w:sz w:val="22"/>
                <w:szCs w:val="22"/>
                <w:lang w:eastAsia="lv-LV"/>
              </w:rPr>
            </w:pPr>
            <w:r w:rsidRPr="002E1FBD">
              <w:rPr>
                <w:color w:val="000000"/>
                <w:sz w:val="22"/>
                <w:szCs w:val="22"/>
                <w:lang w:eastAsia="lv-LV"/>
              </w:rPr>
              <w:t>Papildu finansējums algu palielināšana tiesnešiem un prokuroriem, izdienas piemaksu nodrošināšanai KNAB un izdienas pabalsts pēc katriem 5 nepārtrauktas izdienas gadiem IeM amatpersonām</w:t>
            </w:r>
          </w:p>
        </w:tc>
        <w:tc>
          <w:tcPr>
            <w:tcW w:w="3118" w:type="dxa"/>
            <w:shd w:val="clear" w:color="auto" w:fill="DBE5F1" w:themeFill="accent1" w:themeFillTint="33"/>
            <w:vAlign w:val="center"/>
            <w:hideMark/>
          </w:tcPr>
          <w:p w14:paraId="2B78DC31" w14:textId="77777777" w:rsidR="004646FF" w:rsidRPr="002E1FBD" w:rsidRDefault="004646FF" w:rsidP="0005656C">
            <w:pPr>
              <w:spacing w:after="0"/>
              <w:ind w:firstLine="0"/>
              <w:rPr>
                <w:color w:val="000000"/>
                <w:sz w:val="22"/>
                <w:szCs w:val="22"/>
                <w:lang w:eastAsia="lv-LV"/>
              </w:rPr>
            </w:pPr>
            <w:r w:rsidRPr="002E1FBD">
              <w:rPr>
                <w:color w:val="000000"/>
                <w:sz w:val="22"/>
                <w:szCs w:val="22"/>
                <w:lang w:eastAsia="lv-LV"/>
              </w:rPr>
              <w:t>Papildu finansējums algu palielināšana tiesnešiem un prokuroriem, izdienas piemaksu nodrošināšanai KNAB un izdienas pabalsts pēc katriem 5 nepārtrauktas izdienas gadiem IeM amatpersonām</w:t>
            </w:r>
          </w:p>
        </w:tc>
        <w:tc>
          <w:tcPr>
            <w:tcW w:w="1418" w:type="dxa"/>
            <w:shd w:val="clear" w:color="auto" w:fill="DBE5F1" w:themeFill="accent1" w:themeFillTint="33"/>
            <w:vAlign w:val="center"/>
            <w:hideMark/>
          </w:tcPr>
          <w:p w14:paraId="56A412ED" w14:textId="77777777" w:rsidR="004646FF" w:rsidRPr="002E1FBD" w:rsidRDefault="004646FF" w:rsidP="0005656C">
            <w:pPr>
              <w:spacing w:after="0"/>
              <w:ind w:firstLine="0"/>
              <w:jc w:val="left"/>
              <w:rPr>
                <w:color w:val="000000"/>
                <w:sz w:val="22"/>
                <w:szCs w:val="22"/>
                <w:lang w:eastAsia="lv-LV"/>
              </w:rPr>
            </w:pPr>
            <w:r w:rsidRPr="002E1FBD">
              <w:rPr>
                <w:color w:val="000000"/>
                <w:sz w:val="22"/>
                <w:szCs w:val="22"/>
                <w:lang w:eastAsia="lv-LV"/>
              </w:rPr>
              <w:t>IIN</w:t>
            </w:r>
          </w:p>
        </w:tc>
        <w:tc>
          <w:tcPr>
            <w:tcW w:w="850" w:type="dxa"/>
            <w:shd w:val="clear" w:color="auto" w:fill="DBE5F1" w:themeFill="accent1" w:themeFillTint="33"/>
            <w:vAlign w:val="center"/>
            <w:hideMark/>
          </w:tcPr>
          <w:p w14:paraId="6F76E0BE" w14:textId="77777777" w:rsidR="004646FF" w:rsidRPr="002E1FBD" w:rsidRDefault="004646FF" w:rsidP="0005656C">
            <w:pPr>
              <w:spacing w:after="0"/>
              <w:ind w:firstLine="0"/>
              <w:jc w:val="center"/>
              <w:rPr>
                <w:color w:val="000000"/>
                <w:sz w:val="22"/>
                <w:szCs w:val="22"/>
                <w:lang w:eastAsia="lv-LV"/>
              </w:rPr>
            </w:pPr>
            <w:r w:rsidRPr="002E1FBD">
              <w:rPr>
                <w:color w:val="000000"/>
                <w:sz w:val="22"/>
                <w:szCs w:val="22"/>
                <w:lang w:eastAsia="lv-LV"/>
              </w:rPr>
              <w:t>D.5</w:t>
            </w:r>
          </w:p>
        </w:tc>
        <w:tc>
          <w:tcPr>
            <w:tcW w:w="1134" w:type="dxa"/>
            <w:shd w:val="clear" w:color="auto" w:fill="DBE5F1" w:themeFill="accent1" w:themeFillTint="33"/>
            <w:vAlign w:val="center"/>
            <w:hideMark/>
          </w:tcPr>
          <w:p w14:paraId="3E98C046" w14:textId="77777777" w:rsidR="004646FF" w:rsidRPr="002E1FBD" w:rsidRDefault="004646FF" w:rsidP="0005656C">
            <w:pPr>
              <w:spacing w:after="0"/>
              <w:ind w:firstLine="0"/>
              <w:jc w:val="center"/>
              <w:rPr>
                <w:color w:val="000000"/>
                <w:sz w:val="22"/>
                <w:szCs w:val="22"/>
                <w:lang w:eastAsia="lv-LV"/>
              </w:rPr>
            </w:pPr>
            <w:r w:rsidRPr="002E1FBD">
              <w:rPr>
                <w:color w:val="000000"/>
                <w:sz w:val="22"/>
                <w:szCs w:val="22"/>
                <w:lang w:eastAsia="lv-LV"/>
              </w:rPr>
              <w:t>Naudas plūsmas</w:t>
            </w:r>
          </w:p>
        </w:tc>
        <w:tc>
          <w:tcPr>
            <w:tcW w:w="1701" w:type="dxa"/>
            <w:shd w:val="clear" w:color="auto" w:fill="DBE5F1" w:themeFill="accent1" w:themeFillTint="33"/>
            <w:vAlign w:val="center"/>
            <w:hideMark/>
          </w:tcPr>
          <w:p w14:paraId="051522F6" w14:textId="77777777" w:rsidR="004646FF" w:rsidRPr="002E1FBD" w:rsidRDefault="004646FF" w:rsidP="0005656C">
            <w:pPr>
              <w:spacing w:after="0"/>
              <w:ind w:firstLine="0"/>
              <w:jc w:val="center"/>
              <w:rPr>
                <w:color w:val="000000"/>
                <w:sz w:val="22"/>
                <w:szCs w:val="22"/>
                <w:lang w:eastAsia="lv-LV"/>
              </w:rPr>
            </w:pPr>
            <w:r w:rsidRPr="002E1FBD">
              <w:rPr>
                <w:color w:val="000000"/>
                <w:sz w:val="22"/>
                <w:szCs w:val="22"/>
                <w:lang w:eastAsia="lv-LV"/>
              </w:rPr>
              <w:t>Pieņemts</w:t>
            </w:r>
          </w:p>
        </w:tc>
        <w:tc>
          <w:tcPr>
            <w:tcW w:w="730" w:type="dxa"/>
            <w:shd w:val="clear" w:color="auto" w:fill="DBE5F1" w:themeFill="accent1" w:themeFillTint="33"/>
            <w:noWrap/>
            <w:vAlign w:val="bottom"/>
            <w:hideMark/>
          </w:tcPr>
          <w:p w14:paraId="16EAEF91" w14:textId="77777777" w:rsidR="004646FF" w:rsidRPr="002E1FBD" w:rsidRDefault="004646FF" w:rsidP="0005656C">
            <w:pPr>
              <w:spacing w:after="0"/>
              <w:ind w:firstLine="0"/>
              <w:jc w:val="left"/>
              <w:rPr>
                <w:color w:val="000000"/>
                <w:sz w:val="22"/>
                <w:szCs w:val="22"/>
                <w:lang w:eastAsia="lv-LV"/>
              </w:rPr>
            </w:pPr>
            <w:r w:rsidRPr="002E1FBD">
              <w:rPr>
                <w:color w:val="000000"/>
                <w:sz w:val="22"/>
                <w:szCs w:val="22"/>
                <w:lang w:eastAsia="lv-LV"/>
              </w:rPr>
              <w:t> </w:t>
            </w:r>
          </w:p>
        </w:tc>
        <w:tc>
          <w:tcPr>
            <w:tcW w:w="851" w:type="dxa"/>
            <w:shd w:val="clear" w:color="auto" w:fill="DBE5F1" w:themeFill="accent1" w:themeFillTint="33"/>
            <w:noWrap/>
            <w:vAlign w:val="center"/>
            <w:hideMark/>
          </w:tcPr>
          <w:p w14:paraId="4DF549FE" w14:textId="77777777" w:rsidR="004646FF" w:rsidRPr="002E1FBD" w:rsidRDefault="004646FF" w:rsidP="0005656C">
            <w:pPr>
              <w:spacing w:after="0"/>
              <w:ind w:firstLine="0"/>
              <w:jc w:val="center"/>
              <w:rPr>
                <w:color w:val="000000"/>
                <w:sz w:val="22"/>
                <w:szCs w:val="22"/>
                <w:lang w:eastAsia="lv-LV"/>
              </w:rPr>
            </w:pPr>
            <w:r>
              <w:rPr>
                <w:color w:val="000000"/>
              </w:rPr>
              <w:t>0,02</w:t>
            </w:r>
          </w:p>
        </w:tc>
        <w:tc>
          <w:tcPr>
            <w:tcW w:w="992" w:type="dxa"/>
            <w:shd w:val="clear" w:color="auto" w:fill="DBE5F1" w:themeFill="accent1" w:themeFillTint="33"/>
            <w:noWrap/>
            <w:vAlign w:val="center"/>
            <w:hideMark/>
          </w:tcPr>
          <w:p w14:paraId="56247794" w14:textId="77777777" w:rsidR="004646FF" w:rsidRPr="002E1FBD" w:rsidRDefault="004646FF" w:rsidP="0005656C">
            <w:pPr>
              <w:spacing w:after="0"/>
              <w:ind w:firstLine="0"/>
              <w:jc w:val="center"/>
              <w:rPr>
                <w:color w:val="000000"/>
                <w:sz w:val="22"/>
                <w:szCs w:val="22"/>
                <w:lang w:eastAsia="lv-LV"/>
              </w:rPr>
            </w:pPr>
            <w:r>
              <w:rPr>
                <w:color w:val="000000"/>
              </w:rPr>
              <w:t>-0,01</w:t>
            </w:r>
          </w:p>
        </w:tc>
        <w:tc>
          <w:tcPr>
            <w:tcW w:w="709" w:type="dxa"/>
            <w:shd w:val="clear" w:color="auto" w:fill="DBE5F1" w:themeFill="accent1" w:themeFillTint="33"/>
            <w:noWrap/>
            <w:vAlign w:val="center"/>
            <w:hideMark/>
          </w:tcPr>
          <w:p w14:paraId="500C4E98" w14:textId="77777777" w:rsidR="004646FF" w:rsidRPr="002E1FBD" w:rsidRDefault="004646FF" w:rsidP="0005656C">
            <w:pPr>
              <w:spacing w:after="0"/>
              <w:ind w:firstLine="0"/>
              <w:jc w:val="center"/>
              <w:rPr>
                <w:color w:val="000000"/>
                <w:sz w:val="22"/>
                <w:szCs w:val="22"/>
                <w:lang w:eastAsia="lv-LV"/>
              </w:rPr>
            </w:pPr>
            <w:r>
              <w:rPr>
                <w:color w:val="000000"/>
              </w:rPr>
              <w:t>0,00</w:t>
            </w:r>
          </w:p>
        </w:tc>
      </w:tr>
      <w:tr w:rsidR="004646FF" w:rsidRPr="002E1FBD" w14:paraId="107F9407" w14:textId="77777777" w:rsidTr="0005656C">
        <w:trPr>
          <w:trHeight w:val="20"/>
        </w:trPr>
        <w:tc>
          <w:tcPr>
            <w:tcW w:w="3114" w:type="dxa"/>
            <w:shd w:val="clear" w:color="auto" w:fill="auto"/>
            <w:vAlign w:val="center"/>
            <w:hideMark/>
          </w:tcPr>
          <w:p w14:paraId="61487614" w14:textId="77777777" w:rsidR="004646FF" w:rsidRPr="002E1FBD" w:rsidRDefault="004646FF" w:rsidP="0005656C">
            <w:pPr>
              <w:spacing w:after="0"/>
              <w:ind w:firstLine="0"/>
              <w:rPr>
                <w:color w:val="000000"/>
                <w:sz w:val="22"/>
                <w:szCs w:val="22"/>
                <w:lang w:eastAsia="lv-LV"/>
              </w:rPr>
            </w:pPr>
            <w:r w:rsidRPr="002E1FBD">
              <w:rPr>
                <w:color w:val="000000"/>
                <w:sz w:val="22"/>
                <w:szCs w:val="22"/>
                <w:lang w:eastAsia="lv-LV"/>
              </w:rPr>
              <w:t>Citi ēnu ekonomikas mazinošie pasākumi</w:t>
            </w:r>
          </w:p>
        </w:tc>
        <w:tc>
          <w:tcPr>
            <w:tcW w:w="3118" w:type="dxa"/>
            <w:shd w:val="clear" w:color="auto" w:fill="auto"/>
            <w:vAlign w:val="center"/>
            <w:hideMark/>
          </w:tcPr>
          <w:p w14:paraId="33E6C113" w14:textId="77777777" w:rsidR="004646FF" w:rsidRPr="002E1FBD" w:rsidRDefault="004646FF" w:rsidP="0005656C">
            <w:pPr>
              <w:spacing w:after="0"/>
              <w:ind w:firstLine="0"/>
              <w:rPr>
                <w:color w:val="000000"/>
                <w:sz w:val="22"/>
                <w:szCs w:val="22"/>
                <w:lang w:eastAsia="lv-LV"/>
              </w:rPr>
            </w:pPr>
            <w:r w:rsidRPr="002E1FBD">
              <w:rPr>
                <w:color w:val="000000"/>
                <w:sz w:val="22"/>
                <w:szCs w:val="22"/>
                <w:lang w:eastAsia="lv-LV"/>
              </w:rPr>
              <w:t> </w:t>
            </w:r>
          </w:p>
        </w:tc>
        <w:tc>
          <w:tcPr>
            <w:tcW w:w="1418" w:type="dxa"/>
            <w:shd w:val="clear" w:color="auto" w:fill="auto"/>
            <w:vAlign w:val="center"/>
            <w:hideMark/>
          </w:tcPr>
          <w:p w14:paraId="3689BE49" w14:textId="77777777" w:rsidR="004646FF" w:rsidRPr="002E1FBD" w:rsidRDefault="004646FF" w:rsidP="0005656C">
            <w:pPr>
              <w:spacing w:after="0"/>
              <w:ind w:firstLine="0"/>
              <w:jc w:val="center"/>
              <w:rPr>
                <w:color w:val="000000"/>
                <w:sz w:val="22"/>
                <w:szCs w:val="22"/>
                <w:lang w:eastAsia="lv-LV"/>
              </w:rPr>
            </w:pPr>
            <w:r w:rsidRPr="002E1FBD">
              <w:rPr>
                <w:color w:val="000000"/>
                <w:sz w:val="22"/>
                <w:szCs w:val="22"/>
                <w:lang w:eastAsia="lv-LV"/>
              </w:rPr>
              <w:t> </w:t>
            </w:r>
          </w:p>
        </w:tc>
        <w:tc>
          <w:tcPr>
            <w:tcW w:w="850" w:type="dxa"/>
            <w:shd w:val="clear" w:color="auto" w:fill="auto"/>
            <w:vAlign w:val="center"/>
            <w:hideMark/>
          </w:tcPr>
          <w:p w14:paraId="5D55BBD4" w14:textId="77777777" w:rsidR="004646FF" w:rsidRPr="002E1FBD" w:rsidRDefault="004646FF" w:rsidP="0005656C">
            <w:pPr>
              <w:spacing w:after="0"/>
              <w:ind w:firstLine="0"/>
              <w:jc w:val="center"/>
              <w:rPr>
                <w:color w:val="000000"/>
                <w:sz w:val="22"/>
                <w:szCs w:val="22"/>
                <w:lang w:eastAsia="lv-LV"/>
              </w:rPr>
            </w:pPr>
            <w:r w:rsidRPr="002E1FBD">
              <w:rPr>
                <w:color w:val="000000"/>
                <w:sz w:val="22"/>
                <w:szCs w:val="22"/>
                <w:lang w:eastAsia="lv-LV"/>
              </w:rPr>
              <w:t> </w:t>
            </w:r>
          </w:p>
        </w:tc>
        <w:tc>
          <w:tcPr>
            <w:tcW w:w="1134" w:type="dxa"/>
            <w:shd w:val="clear" w:color="auto" w:fill="auto"/>
            <w:vAlign w:val="center"/>
            <w:hideMark/>
          </w:tcPr>
          <w:p w14:paraId="3D138E88" w14:textId="77777777" w:rsidR="004646FF" w:rsidRPr="002E1FBD" w:rsidRDefault="004646FF" w:rsidP="0005656C">
            <w:pPr>
              <w:spacing w:after="0"/>
              <w:ind w:firstLine="0"/>
              <w:jc w:val="center"/>
              <w:rPr>
                <w:color w:val="000000"/>
                <w:sz w:val="22"/>
                <w:szCs w:val="22"/>
                <w:lang w:eastAsia="lv-LV"/>
              </w:rPr>
            </w:pPr>
            <w:r w:rsidRPr="002E1FBD">
              <w:rPr>
                <w:color w:val="000000"/>
                <w:sz w:val="22"/>
                <w:szCs w:val="22"/>
                <w:lang w:eastAsia="lv-LV"/>
              </w:rPr>
              <w:t> </w:t>
            </w:r>
          </w:p>
        </w:tc>
        <w:tc>
          <w:tcPr>
            <w:tcW w:w="1701" w:type="dxa"/>
            <w:shd w:val="clear" w:color="auto" w:fill="auto"/>
            <w:vAlign w:val="center"/>
            <w:hideMark/>
          </w:tcPr>
          <w:p w14:paraId="324FBB11" w14:textId="77777777" w:rsidR="004646FF" w:rsidRPr="002E1FBD" w:rsidRDefault="004646FF" w:rsidP="0005656C">
            <w:pPr>
              <w:spacing w:after="0"/>
              <w:ind w:firstLine="0"/>
              <w:jc w:val="center"/>
              <w:rPr>
                <w:color w:val="000000"/>
                <w:sz w:val="22"/>
                <w:szCs w:val="22"/>
                <w:lang w:eastAsia="lv-LV"/>
              </w:rPr>
            </w:pPr>
            <w:r w:rsidRPr="002E1FBD">
              <w:rPr>
                <w:color w:val="000000"/>
                <w:sz w:val="22"/>
                <w:szCs w:val="22"/>
                <w:lang w:eastAsia="lv-LV"/>
              </w:rPr>
              <w:t> </w:t>
            </w:r>
          </w:p>
        </w:tc>
        <w:tc>
          <w:tcPr>
            <w:tcW w:w="730" w:type="dxa"/>
            <w:shd w:val="clear" w:color="auto" w:fill="auto"/>
            <w:noWrap/>
            <w:vAlign w:val="bottom"/>
            <w:hideMark/>
          </w:tcPr>
          <w:p w14:paraId="37C855D7" w14:textId="77777777" w:rsidR="004646FF" w:rsidRPr="002E1FBD" w:rsidRDefault="004646FF" w:rsidP="0005656C">
            <w:pPr>
              <w:spacing w:after="0"/>
              <w:ind w:firstLine="0"/>
              <w:jc w:val="center"/>
              <w:rPr>
                <w:color w:val="000000"/>
                <w:sz w:val="22"/>
                <w:szCs w:val="22"/>
                <w:lang w:eastAsia="lv-LV"/>
              </w:rPr>
            </w:pPr>
          </w:p>
        </w:tc>
        <w:tc>
          <w:tcPr>
            <w:tcW w:w="851" w:type="dxa"/>
            <w:shd w:val="clear" w:color="auto" w:fill="auto"/>
            <w:noWrap/>
            <w:vAlign w:val="center"/>
            <w:hideMark/>
          </w:tcPr>
          <w:p w14:paraId="1B91EAB4" w14:textId="77777777" w:rsidR="004646FF" w:rsidRPr="002E1FBD" w:rsidRDefault="004646FF" w:rsidP="0005656C">
            <w:pPr>
              <w:spacing w:after="0"/>
              <w:ind w:firstLine="0"/>
              <w:jc w:val="center"/>
              <w:rPr>
                <w:color w:val="000000"/>
                <w:sz w:val="22"/>
                <w:szCs w:val="22"/>
                <w:lang w:eastAsia="lv-LV"/>
              </w:rPr>
            </w:pPr>
            <w:r>
              <w:rPr>
                <w:color w:val="000000"/>
              </w:rPr>
              <w:t>0,01</w:t>
            </w:r>
          </w:p>
        </w:tc>
        <w:tc>
          <w:tcPr>
            <w:tcW w:w="992" w:type="dxa"/>
            <w:shd w:val="clear" w:color="auto" w:fill="auto"/>
            <w:noWrap/>
            <w:vAlign w:val="center"/>
            <w:hideMark/>
          </w:tcPr>
          <w:p w14:paraId="47E5CDD0" w14:textId="77777777" w:rsidR="004646FF" w:rsidRPr="002E1FBD" w:rsidRDefault="004646FF" w:rsidP="0005656C">
            <w:pPr>
              <w:spacing w:after="0"/>
              <w:ind w:firstLine="0"/>
              <w:jc w:val="center"/>
              <w:rPr>
                <w:color w:val="000000"/>
                <w:sz w:val="22"/>
                <w:szCs w:val="22"/>
                <w:lang w:eastAsia="lv-LV"/>
              </w:rPr>
            </w:pPr>
            <w:r>
              <w:rPr>
                <w:color w:val="000000"/>
              </w:rPr>
              <w:t>0,00</w:t>
            </w:r>
          </w:p>
        </w:tc>
        <w:tc>
          <w:tcPr>
            <w:tcW w:w="709" w:type="dxa"/>
            <w:shd w:val="clear" w:color="auto" w:fill="auto"/>
            <w:noWrap/>
            <w:vAlign w:val="center"/>
            <w:hideMark/>
          </w:tcPr>
          <w:p w14:paraId="561576E8" w14:textId="77777777" w:rsidR="004646FF" w:rsidRPr="002E1FBD" w:rsidRDefault="004646FF" w:rsidP="0005656C">
            <w:pPr>
              <w:spacing w:after="0"/>
              <w:ind w:firstLine="0"/>
              <w:jc w:val="center"/>
              <w:rPr>
                <w:color w:val="000000"/>
                <w:sz w:val="22"/>
                <w:szCs w:val="22"/>
                <w:lang w:eastAsia="lv-LV"/>
              </w:rPr>
            </w:pPr>
            <w:r>
              <w:rPr>
                <w:color w:val="000000"/>
              </w:rPr>
              <w:t>0,00</w:t>
            </w:r>
          </w:p>
        </w:tc>
      </w:tr>
      <w:tr w:rsidR="004646FF" w:rsidRPr="002E1FBD" w14:paraId="434E8551" w14:textId="77777777" w:rsidTr="0005656C">
        <w:trPr>
          <w:trHeight w:val="20"/>
        </w:trPr>
        <w:tc>
          <w:tcPr>
            <w:tcW w:w="3114" w:type="dxa"/>
            <w:shd w:val="clear" w:color="auto" w:fill="DBE5F1" w:themeFill="accent1" w:themeFillTint="33"/>
            <w:noWrap/>
            <w:vAlign w:val="bottom"/>
            <w:hideMark/>
          </w:tcPr>
          <w:p w14:paraId="095E79AF" w14:textId="77777777" w:rsidR="004646FF" w:rsidRPr="002E1FBD" w:rsidRDefault="004646FF" w:rsidP="0005656C">
            <w:pPr>
              <w:spacing w:after="0"/>
              <w:ind w:firstLine="0"/>
              <w:jc w:val="right"/>
              <w:rPr>
                <w:color w:val="000000"/>
                <w:sz w:val="22"/>
                <w:szCs w:val="22"/>
                <w:lang w:eastAsia="lv-LV"/>
              </w:rPr>
            </w:pPr>
          </w:p>
        </w:tc>
        <w:tc>
          <w:tcPr>
            <w:tcW w:w="3118" w:type="dxa"/>
            <w:shd w:val="clear" w:color="auto" w:fill="DBE5F1" w:themeFill="accent1" w:themeFillTint="33"/>
            <w:noWrap/>
            <w:vAlign w:val="bottom"/>
            <w:hideMark/>
          </w:tcPr>
          <w:p w14:paraId="086ED757" w14:textId="77777777" w:rsidR="004646FF" w:rsidRPr="002E1FBD" w:rsidRDefault="004646FF" w:rsidP="0005656C">
            <w:pPr>
              <w:spacing w:after="0"/>
              <w:ind w:firstLine="0"/>
              <w:jc w:val="left"/>
              <w:rPr>
                <w:sz w:val="22"/>
                <w:szCs w:val="22"/>
                <w:lang w:eastAsia="lv-LV"/>
              </w:rPr>
            </w:pPr>
          </w:p>
        </w:tc>
        <w:tc>
          <w:tcPr>
            <w:tcW w:w="1418" w:type="dxa"/>
            <w:shd w:val="clear" w:color="auto" w:fill="DBE5F1" w:themeFill="accent1" w:themeFillTint="33"/>
            <w:noWrap/>
            <w:vAlign w:val="bottom"/>
            <w:hideMark/>
          </w:tcPr>
          <w:p w14:paraId="1F47D0E4" w14:textId="77777777" w:rsidR="004646FF" w:rsidRPr="002E1FBD" w:rsidRDefault="004646FF" w:rsidP="0005656C">
            <w:pPr>
              <w:spacing w:after="0"/>
              <w:ind w:firstLine="0"/>
              <w:jc w:val="left"/>
              <w:rPr>
                <w:sz w:val="22"/>
                <w:szCs w:val="22"/>
                <w:lang w:eastAsia="lv-LV"/>
              </w:rPr>
            </w:pPr>
          </w:p>
        </w:tc>
        <w:tc>
          <w:tcPr>
            <w:tcW w:w="850" w:type="dxa"/>
            <w:shd w:val="clear" w:color="auto" w:fill="DBE5F1" w:themeFill="accent1" w:themeFillTint="33"/>
            <w:noWrap/>
            <w:vAlign w:val="bottom"/>
            <w:hideMark/>
          </w:tcPr>
          <w:p w14:paraId="21257BB8" w14:textId="77777777" w:rsidR="004646FF" w:rsidRPr="002E1FBD" w:rsidRDefault="004646FF" w:rsidP="0005656C">
            <w:pPr>
              <w:spacing w:after="0"/>
              <w:ind w:firstLine="0"/>
              <w:jc w:val="left"/>
              <w:rPr>
                <w:sz w:val="22"/>
                <w:szCs w:val="22"/>
                <w:lang w:eastAsia="lv-LV"/>
              </w:rPr>
            </w:pPr>
          </w:p>
        </w:tc>
        <w:tc>
          <w:tcPr>
            <w:tcW w:w="1134" w:type="dxa"/>
            <w:shd w:val="clear" w:color="auto" w:fill="DBE5F1" w:themeFill="accent1" w:themeFillTint="33"/>
            <w:noWrap/>
            <w:vAlign w:val="center"/>
            <w:hideMark/>
          </w:tcPr>
          <w:p w14:paraId="360800DC" w14:textId="77777777" w:rsidR="004646FF" w:rsidRPr="002E1FBD" w:rsidRDefault="004646FF" w:rsidP="0005656C">
            <w:pPr>
              <w:spacing w:after="0"/>
              <w:ind w:firstLine="0"/>
              <w:jc w:val="left"/>
              <w:rPr>
                <w:sz w:val="22"/>
                <w:szCs w:val="22"/>
                <w:lang w:eastAsia="lv-LV"/>
              </w:rPr>
            </w:pPr>
          </w:p>
        </w:tc>
        <w:tc>
          <w:tcPr>
            <w:tcW w:w="1701" w:type="dxa"/>
            <w:shd w:val="clear" w:color="auto" w:fill="DBE5F1" w:themeFill="accent1" w:themeFillTint="33"/>
            <w:noWrap/>
            <w:vAlign w:val="bottom"/>
            <w:hideMark/>
          </w:tcPr>
          <w:p w14:paraId="6C15C88B" w14:textId="77777777" w:rsidR="004646FF" w:rsidRPr="002E1FBD" w:rsidRDefault="004646FF" w:rsidP="0005656C">
            <w:pPr>
              <w:spacing w:after="0"/>
              <w:ind w:firstLine="0"/>
              <w:jc w:val="center"/>
              <w:rPr>
                <w:sz w:val="22"/>
                <w:szCs w:val="22"/>
                <w:lang w:eastAsia="lv-LV"/>
              </w:rPr>
            </w:pPr>
          </w:p>
        </w:tc>
        <w:tc>
          <w:tcPr>
            <w:tcW w:w="730" w:type="dxa"/>
            <w:shd w:val="clear" w:color="auto" w:fill="DBE5F1" w:themeFill="accent1" w:themeFillTint="33"/>
            <w:vAlign w:val="center"/>
            <w:hideMark/>
          </w:tcPr>
          <w:p w14:paraId="1ABB676C" w14:textId="77777777" w:rsidR="004646FF" w:rsidRPr="002E1FBD" w:rsidRDefault="004646FF" w:rsidP="0005656C">
            <w:pPr>
              <w:spacing w:after="0"/>
              <w:ind w:firstLine="0"/>
              <w:jc w:val="center"/>
              <w:rPr>
                <w:b/>
                <w:bCs/>
                <w:color w:val="000000"/>
                <w:sz w:val="22"/>
                <w:szCs w:val="22"/>
                <w:lang w:eastAsia="lv-LV"/>
              </w:rPr>
            </w:pPr>
            <w:r w:rsidRPr="002E1FBD">
              <w:rPr>
                <w:b/>
                <w:bCs/>
                <w:color w:val="000000"/>
                <w:sz w:val="22"/>
                <w:szCs w:val="22"/>
                <w:lang w:eastAsia="lv-LV"/>
              </w:rPr>
              <w:t>Kopā</w:t>
            </w:r>
          </w:p>
        </w:tc>
        <w:tc>
          <w:tcPr>
            <w:tcW w:w="851" w:type="dxa"/>
            <w:shd w:val="clear" w:color="auto" w:fill="DBE5F1" w:themeFill="accent1" w:themeFillTint="33"/>
            <w:vAlign w:val="center"/>
            <w:hideMark/>
          </w:tcPr>
          <w:p w14:paraId="227B5581" w14:textId="77777777" w:rsidR="004646FF" w:rsidRPr="002E1FBD" w:rsidRDefault="004646FF" w:rsidP="0005656C">
            <w:pPr>
              <w:spacing w:after="0"/>
              <w:ind w:firstLine="0"/>
              <w:jc w:val="center"/>
              <w:rPr>
                <w:b/>
                <w:bCs/>
                <w:color w:val="000000"/>
                <w:sz w:val="22"/>
                <w:szCs w:val="22"/>
                <w:lang w:eastAsia="lv-LV"/>
              </w:rPr>
            </w:pPr>
            <w:r>
              <w:rPr>
                <w:b/>
                <w:bCs/>
                <w:color w:val="000000"/>
                <w:sz w:val="22"/>
                <w:szCs w:val="22"/>
              </w:rPr>
              <w:t>0,06</w:t>
            </w:r>
          </w:p>
        </w:tc>
        <w:tc>
          <w:tcPr>
            <w:tcW w:w="992" w:type="dxa"/>
            <w:shd w:val="clear" w:color="auto" w:fill="DBE5F1" w:themeFill="accent1" w:themeFillTint="33"/>
            <w:vAlign w:val="center"/>
            <w:hideMark/>
          </w:tcPr>
          <w:p w14:paraId="708C0356" w14:textId="77777777" w:rsidR="004646FF" w:rsidRPr="002E1FBD" w:rsidRDefault="004646FF" w:rsidP="0005656C">
            <w:pPr>
              <w:spacing w:after="0"/>
              <w:ind w:firstLine="0"/>
              <w:jc w:val="center"/>
              <w:rPr>
                <w:b/>
                <w:bCs/>
                <w:color w:val="000000"/>
                <w:sz w:val="22"/>
                <w:szCs w:val="22"/>
                <w:lang w:eastAsia="lv-LV"/>
              </w:rPr>
            </w:pPr>
            <w:r>
              <w:rPr>
                <w:b/>
                <w:bCs/>
                <w:color w:val="000000"/>
                <w:sz w:val="22"/>
                <w:szCs w:val="22"/>
              </w:rPr>
              <w:t>-0,02</w:t>
            </w:r>
          </w:p>
        </w:tc>
        <w:tc>
          <w:tcPr>
            <w:tcW w:w="709" w:type="dxa"/>
            <w:shd w:val="clear" w:color="auto" w:fill="DBE5F1" w:themeFill="accent1" w:themeFillTint="33"/>
            <w:vAlign w:val="center"/>
            <w:hideMark/>
          </w:tcPr>
          <w:p w14:paraId="4668F367" w14:textId="77777777" w:rsidR="004646FF" w:rsidRPr="002E1FBD" w:rsidRDefault="004646FF" w:rsidP="0005656C">
            <w:pPr>
              <w:spacing w:after="0"/>
              <w:ind w:firstLine="0"/>
              <w:jc w:val="center"/>
              <w:rPr>
                <w:b/>
                <w:bCs/>
                <w:color w:val="000000"/>
                <w:sz w:val="22"/>
                <w:szCs w:val="22"/>
                <w:lang w:eastAsia="lv-LV"/>
              </w:rPr>
            </w:pPr>
            <w:r>
              <w:rPr>
                <w:b/>
                <w:bCs/>
                <w:color w:val="000000"/>
                <w:sz w:val="22"/>
                <w:szCs w:val="22"/>
              </w:rPr>
              <w:t>0,00</w:t>
            </w:r>
          </w:p>
        </w:tc>
      </w:tr>
    </w:tbl>
    <w:p w14:paraId="365D5888" w14:textId="77777777" w:rsidR="007A0A9C" w:rsidRDefault="007A0A9C" w:rsidP="00006BD6">
      <w:pPr>
        <w:rPr>
          <w:lang w:val="x-none" w:eastAsia="x-none"/>
        </w:rPr>
      </w:pPr>
    </w:p>
    <w:p w14:paraId="361A26A9" w14:textId="77777777" w:rsidR="007A0A9C" w:rsidRDefault="007A0A9C">
      <w:pPr>
        <w:spacing w:after="0"/>
        <w:ind w:firstLine="0"/>
        <w:jc w:val="left"/>
        <w:rPr>
          <w:lang w:val="x-none" w:eastAsia="x-none"/>
        </w:rPr>
      </w:pPr>
      <w:r>
        <w:rPr>
          <w:lang w:val="x-none" w:eastAsia="x-none"/>
        </w:rPr>
        <w:br w:type="page"/>
      </w:r>
    </w:p>
    <w:p w14:paraId="2449DF4A" w14:textId="77777777" w:rsidR="005119CA" w:rsidRPr="00CF6873" w:rsidRDefault="00F900B2" w:rsidP="00CF6873">
      <w:pPr>
        <w:pStyle w:val="Heading1"/>
        <w:tabs>
          <w:tab w:val="left" w:pos="1276"/>
        </w:tabs>
        <w:spacing w:before="0" w:after="240"/>
        <w:ind w:firstLine="0"/>
        <w:jc w:val="left"/>
        <w:rPr>
          <w:rFonts w:ascii="Times New Roman" w:hAnsi="Times New Roman"/>
          <w:color w:val="18185F"/>
          <w:sz w:val="24"/>
        </w:rPr>
      </w:pPr>
      <w:bookmarkStart w:id="33" w:name="_Toc1374676"/>
      <w:r>
        <w:rPr>
          <w:rFonts w:ascii="Times New Roman" w:hAnsi="Times New Roman"/>
          <w:color w:val="18185F"/>
          <w:sz w:val="24"/>
          <w:lang w:val="lv-LV"/>
        </w:rPr>
        <w:lastRenderedPageBreak/>
        <w:t>Tabula</w:t>
      </w:r>
      <w:r w:rsidRPr="00CF6873">
        <w:rPr>
          <w:rFonts w:ascii="Times New Roman" w:hAnsi="Times New Roman"/>
          <w:color w:val="18185F"/>
          <w:sz w:val="24"/>
        </w:rPr>
        <w:t xml:space="preserve"> </w:t>
      </w:r>
      <w:r w:rsidR="005119CA" w:rsidRPr="00CF6873">
        <w:rPr>
          <w:rFonts w:ascii="Times New Roman" w:hAnsi="Times New Roman"/>
          <w:color w:val="18185F"/>
          <w:sz w:val="24"/>
        </w:rPr>
        <w:t>6.a Valstu specifiskās rekomendācijas</w:t>
      </w:r>
      <w:bookmarkEnd w:id="33"/>
      <w:r w:rsidR="005119CA" w:rsidRPr="00CF6873">
        <w:rPr>
          <w:rFonts w:ascii="Times New Roman" w:hAnsi="Times New Roman"/>
          <w:color w:val="18185F"/>
          <w:sz w:val="24"/>
        </w:rPr>
        <w:t xml:space="preserve"> </w:t>
      </w:r>
    </w:p>
    <w:tbl>
      <w:tblPr>
        <w:tblStyle w:val="GridTable6Colorful-Accent11"/>
        <w:tblW w:w="14708" w:type="dxa"/>
        <w:tblLayout w:type="fixed"/>
        <w:tblLook w:val="04A0" w:firstRow="1" w:lastRow="0" w:firstColumn="1" w:lastColumn="0" w:noHBand="0" w:noVBand="1"/>
      </w:tblPr>
      <w:tblGrid>
        <w:gridCol w:w="915"/>
        <w:gridCol w:w="4325"/>
        <w:gridCol w:w="9468"/>
      </w:tblGrid>
      <w:tr w:rsidR="005119CA" w:rsidRPr="00482AA0" w14:paraId="01F5C20D" w14:textId="77777777" w:rsidTr="008E7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dxa"/>
            <w:vAlign w:val="center"/>
          </w:tcPr>
          <w:p w14:paraId="4107CEB5" w14:textId="77777777" w:rsidR="005119CA" w:rsidRPr="00482AA0" w:rsidRDefault="005119CA" w:rsidP="008E76F5">
            <w:pPr>
              <w:ind w:left="-5" w:right="34" w:firstLine="5"/>
              <w:jc w:val="center"/>
              <w:rPr>
                <w:b w:val="0"/>
                <w:color w:val="000000" w:themeColor="text1"/>
                <w:sz w:val="22"/>
                <w:szCs w:val="22"/>
              </w:rPr>
            </w:pPr>
            <w:r w:rsidRPr="00482AA0">
              <w:rPr>
                <w:color w:val="000000" w:themeColor="text1"/>
                <w:sz w:val="22"/>
                <w:szCs w:val="22"/>
              </w:rPr>
              <w:t>CSR Nr.</w:t>
            </w:r>
          </w:p>
        </w:tc>
        <w:tc>
          <w:tcPr>
            <w:tcW w:w="4325" w:type="dxa"/>
            <w:vAlign w:val="center"/>
          </w:tcPr>
          <w:p w14:paraId="6391D1C4" w14:textId="77777777" w:rsidR="005119CA" w:rsidRPr="00482AA0" w:rsidRDefault="005119CA" w:rsidP="006A756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482AA0">
              <w:rPr>
                <w:color w:val="000000" w:themeColor="text1"/>
                <w:sz w:val="22"/>
                <w:szCs w:val="22"/>
              </w:rPr>
              <w:t>Pasākumi</w:t>
            </w:r>
          </w:p>
        </w:tc>
        <w:tc>
          <w:tcPr>
            <w:tcW w:w="9468" w:type="dxa"/>
            <w:vAlign w:val="center"/>
          </w:tcPr>
          <w:p w14:paraId="6C292823" w14:textId="77777777" w:rsidR="005119CA" w:rsidRPr="00482AA0" w:rsidRDefault="005119CA" w:rsidP="006A756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482AA0">
              <w:rPr>
                <w:color w:val="000000" w:themeColor="text1"/>
                <w:sz w:val="22"/>
                <w:szCs w:val="22"/>
              </w:rPr>
              <w:t>Apraksts</w:t>
            </w:r>
          </w:p>
        </w:tc>
      </w:tr>
      <w:tr w:rsidR="008E76F5" w:rsidRPr="00482AA0" w14:paraId="6D3B0BEF" w14:textId="77777777" w:rsidTr="009F3544">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915" w:type="dxa"/>
            <w:vMerge w:val="restart"/>
            <w:shd w:val="clear" w:color="auto" w:fill="auto"/>
            <w:vAlign w:val="center"/>
          </w:tcPr>
          <w:p w14:paraId="4C221F99" w14:textId="77777777" w:rsidR="008E76F5" w:rsidRPr="00482AA0" w:rsidRDefault="008E76F5" w:rsidP="008E76F5">
            <w:pPr>
              <w:ind w:right="34" w:firstLine="0"/>
              <w:jc w:val="center"/>
              <w:rPr>
                <w:color w:val="000000" w:themeColor="text1"/>
                <w:sz w:val="22"/>
                <w:szCs w:val="22"/>
              </w:rPr>
            </w:pPr>
            <w:r w:rsidRPr="00482AA0">
              <w:rPr>
                <w:color w:val="000000" w:themeColor="text1"/>
                <w:sz w:val="22"/>
                <w:szCs w:val="22"/>
              </w:rPr>
              <w:t>1</w:t>
            </w:r>
          </w:p>
        </w:tc>
        <w:tc>
          <w:tcPr>
            <w:tcW w:w="4325" w:type="dxa"/>
            <w:vMerge w:val="restart"/>
            <w:shd w:val="clear" w:color="auto" w:fill="auto"/>
          </w:tcPr>
          <w:p w14:paraId="5423173C" w14:textId="77777777" w:rsidR="008E76F5" w:rsidRDefault="008E76F5" w:rsidP="00DC4DB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B3E03">
              <w:rPr>
                <w:color w:val="000000" w:themeColor="text1"/>
                <w:sz w:val="22"/>
                <w:szCs w:val="22"/>
              </w:rPr>
              <w:t xml:space="preserve">2019.gadā sasniegt </w:t>
            </w:r>
            <w:r w:rsidR="006859B6">
              <w:rPr>
                <w:color w:val="000000" w:themeColor="text1"/>
                <w:sz w:val="22"/>
                <w:szCs w:val="22"/>
              </w:rPr>
              <w:t>VTM</w:t>
            </w:r>
            <w:r w:rsidRPr="000B3E03">
              <w:rPr>
                <w:color w:val="000000" w:themeColor="text1"/>
                <w:sz w:val="22"/>
                <w:szCs w:val="22"/>
              </w:rPr>
              <w:t xml:space="preserve">, ņemot vērā pielaides saistībā ar strukturālo reformu īstenošanu, attiecībā uz kurām ir piešķirta pagaidu novirze. </w:t>
            </w:r>
          </w:p>
          <w:p w14:paraId="613F43CB" w14:textId="77777777" w:rsidR="008E76F5" w:rsidRDefault="008E76F5" w:rsidP="00DC4DB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5318AB45" w14:textId="77777777" w:rsidR="008E76F5" w:rsidRDefault="008E76F5" w:rsidP="00DC4DB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746F5ED0" w14:textId="77777777" w:rsidR="008E76F5" w:rsidRDefault="008E76F5" w:rsidP="00DC4DB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6F954F37" w14:textId="77777777" w:rsidR="008E76F5" w:rsidRDefault="008E76F5" w:rsidP="00DC4DB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4E0CE259" w14:textId="77777777" w:rsidR="008E76F5" w:rsidRDefault="008E76F5" w:rsidP="00DC4DB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5F54436D" w14:textId="77777777" w:rsidR="008E76F5" w:rsidRDefault="008E76F5" w:rsidP="00DC4DB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3EAB974C" w14:textId="77777777" w:rsidR="008E76F5" w:rsidRDefault="008E76F5" w:rsidP="00DC4DB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57D80B43" w14:textId="77777777" w:rsidR="008E76F5" w:rsidRDefault="008E76F5" w:rsidP="00DC4DB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1634DC37" w14:textId="77777777" w:rsidR="008E76F5" w:rsidRPr="000B3E03" w:rsidRDefault="008E76F5" w:rsidP="00DC4DB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B3E03">
              <w:rPr>
                <w:color w:val="000000" w:themeColor="text1"/>
                <w:sz w:val="22"/>
                <w:szCs w:val="22"/>
              </w:rPr>
              <w:t>Samazināt nodokļus zema atalgojuma saņēmējiem, novirzot nodokļus uz citiem avotiem, jo īpaši kapitālu un īpašumu, un uzlabojot nodokļu saistību izpildi.</w:t>
            </w:r>
          </w:p>
        </w:tc>
        <w:tc>
          <w:tcPr>
            <w:tcW w:w="9468" w:type="dxa"/>
            <w:shd w:val="clear" w:color="auto" w:fill="auto"/>
          </w:tcPr>
          <w:p w14:paraId="04F0D96A" w14:textId="77777777" w:rsidR="008E76F5" w:rsidRPr="000B3E03" w:rsidRDefault="008E76F5" w:rsidP="000B3E03">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B3E03">
              <w:rPr>
                <w:color w:val="000000" w:themeColor="text1"/>
                <w:sz w:val="22"/>
                <w:szCs w:val="22"/>
              </w:rPr>
              <w:t>Lai arī ir dažādas metodoloģijas izlaižu starpību aprēķināšanā un atsevišķu pasākumu atzīšana par vienreizējiem pasākumiem, Latvija ir ievērojusi rekomendācijā noteikto</w:t>
            </w:r>
            <w:r>
              <w:rPr>
                <w:color w:val="000000" w:themeColor="text1"/>
                <w:sz w:val="22"/>
                <w:szCs w:val="22"/>
              </w:rPr>
              <w:t>, ka 2019.</w:t>
            </w:r>
            <w:r w:rsidRPr="000B3E03">
              <w:rPr>
                <w:color w:val="000000" w:themeColor="text1"/>
                <w:sz w:val="22"/>
                <w:szCs w:val="22"/>
              </w:rPr>
              <w:t xml:space="preserve">gadā tā nenovirzīsies no </w:t>
            </w:r>
            <w:r w:rsidR="006859B6">
              <w:rPr>
                <w:color w:val="000000" w:themeColor="text1"/>
                <w:sz w:val="22"/>
                <w:szCs w:val="22"/>
              </w:rPr>
              <w:t>VTM</w:t>
            </w:r>
            <w:r w:rsidRPr="000B3E03">
              <w:rPr>
                <w:color w:val="000000" w:themeColor="text1"/>
                <w:sz w:val="22"/>
                <w:szCs w:val="22"/>
              </w:rPr>
              <w:t>, kas ir -1% no IKP ne vairāk, kā atļautā novirze veselības aprūpes sistēmas reformai, kas ir 0,5% no IKP. Līdz ar to Latvijas 2019. gada budžeta strukturālais deficīts nedrīkst pārsniegt 1,5% no IKP.</w:t>
            </w:r>
          </w:p>
          <w:p w14:paraId="26D16A29" w14:textId="77777777" w:rsidR="008E76F5" w:rsidRPr="000B3E03" w:rsidRDefault="008E76F5" w:rsidP="000B3E03">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B3E03">
              <w:rPr>
                <w:color w:val="000000" w:themeColor="text1"/>
                <w:sz w:val="22"/>
                <w:szCs w:val="22"/>
              </w:rPr>
              <w:t>Saskaņā ar Latvijas pašas izmantotajiem izlaižu starpības aprēķiniem (0,94% no IKP) un v</w:t>
            </w:r>
            <w:r>
              <w:rPr>
                <w:color w:val="000000" w:themeColor="text1"/>
                <w:sz w:val="22"/>
                <w:szCs w:val="22"/>
              </w:rPr>
              <w:t>ienreizējiem pasākumiem, kas ir</w:t>
            </w:r>
            <w:r w:rsidRPr="000B3E03">
              <w:rPr>
                <w:color w:val="000000" w:themeColor="text1"/>
                <w:sz w:val="22"/>
                <w:szCs w:val="22"/>
              </w:rPr>
              <w:t xml:space="preserve"> -0,45% no IKP un ietver -0,51% no IKP nodokļu reformas īslaicīgo neto ieņēmumu kritumu un 0,06 % no IKP no ieņēmumiem par papildus emisiju kvotu iz</w:t>
            </w:r>
            <w:r>
              <w:rPr>
                <w:color w:val="000000" w:themeColor="text1"/>
                <w:sz w:val="22"/>
                <w:szCs w:val="22"/>
              </w:rPr>
              <w:t>solē gūtajiem ieņēmumiem, 2019.</w:t>
            </w:r>
            <w:r w:rsidRPr="000B3E03">
              <w:rPr>
                <w:color w:val="000000" w:themeColor="text1"/>
                <w:sz w:val="22"/>
                <w:szCs w:val="22"/>
              </w:rPr>
              <w:t>gada strukturālais deficīts ir 0,4</w:t>
            </w:r>
            <w:r>
              <w:rPr>
                <w:color w:val="000000" w:themeColor="text1"/>
                <w:sz w:val="22"/>
                <w:szCs w:val="22"/>
              </w:rPr>
              <w:t>5%. (</w:t>
            </w:r>
            <w:r w:rsidRPr="000B3E03">
              <w:rPr>
                <w:color w:val="000000" w:themeColor="text1"/>
                <w:sz w:val="22"/>
                <w:szCs w:val="22"/>
              </w:rPr>
              <w:t>-0.54-0,94*0,38-(-0,45))= -0,45).</w:t>
            </w:r>
          </w:p>
          <w:p w14:paraId="4AE278A4" w14:textId="77777777" w:rsidR="008E76F5" w:rsidRPr="008E76F5" w:rsidRDefault="008E76F5" w:rsidP="008E76F5">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B3E03">
              <w:rPr>
                <w:color w:val="000000" w:themeColor="text1"/>
                <w:sz w:val="22"/>
                <w:szCs w:val="22"/>
              </w:rPr>
              <w:t>Saskaņā ar EK izmantotajiem izlaižu starpības novērtējumiem (pēc neofi</w:t>
            </w:r>
            <w:r>
              <w:rPr>
                <w:color w:val="000000" w:themeColor="text1"/>
                <w:sz w:val="22"/>
                <w:szCs w:val="22"/>
              </w:rPr>
              <w:t>ciāli komunicētiem datiem 2019.</w:t>
            </w:r>
            <w:r w:rsidRPr="000B3E03">
              <w:rPr>
                <w:color w:val="000000" w:themeColor="text1"/>
                <w:sz w:val="22"/>
                <w:szCs w:val="22"/>
              </w:rPr>
              <w:t xml:space="preserve">gadā tā tiek vērtēta 2.0 % no IKP) un ņemot vērā, ka EK neatzīs nodokļu reformas īslaicīgi neto ieņēmumu kritumu par vienreizējo pasākumu un pat, pieņemot maksimāli piesardzīgo pieeju attiecībā uz emisijas kvotu ieņēmumu uzskaiti, saskaņā ar kuru viss ieņēmumu apjoms (0,2% no IKP) tiek atzīts par vienreizējo pasākumu, Latvija joprojām izpilda strukturālās bilances nosacījumu. (( -0.54-2,0*0,38-0.2)= -1,5). </w:t>
            </w:r>
          </w:p>
        </w:tc>
      </w:tr>
      <w:tr w:rsidR="008E76F5" w:rsidRPr="00482AA0" w14:paraId="28C2AC35" w14:textId="77777777" w:rsidTr="008E76F5">
        <w:trPr>
          <w:trHeight w:val="3061"/>
        </w:trPr>
        <w:tc>
          <w:tcPr>
            <w:cnfStyle w:val="001000000000" w:firstRow="0" w:lastRow="0" w:firstColumn="1" w:lastColumn="0" w:oddVBand="0" w:evenVBand="0" w:oddHBand="0" w:evenHBand="0" w:firstRowFirstColumn="0" w:firstRowLastColumn="0" w:lastRowFirstColumn="0" w:lastRowLastColumn="0"/>
            <w:tcW w:w="915" w:type="dxa"/>
            <w:vMerge/>
            <w:shd w:val="clear" w:color="auto" w:fill="auto"/>
            <w:vAlign w:val="center"/>
          </w:tcPr>
          <w:p w14:paraId="0D45C04C" w14:textId="77777777" w:rsidR="008E76F5" w:rsidRPr="00482AA0" w:rsidRDefault="008E76F5" w:rsidP="008E76F5">
            <w:pPr>
              <w:ind w:right="34"/>
              <w:jc w:val="center"/>
              <w:rPr>
                <w:color w:val="000000" w:themeColor="text1"/>
                <w:sz w:val="22"/>
                <w:szCs w:val="22"/>
              </w:rPr>
            </w:pPr>
          </w:p>
        </w:tc>
        <w:tc>
          <w:tcPr>
            <w:tcW w:w="4325" w:type="dxa"/>
            <w:vMerge/>
            <w:shd w:val="clear" w:color="auto" w:fill="auto"/>
          </w:tcPr>
          <w:p w14:paraId="47EEC973" w14:textId="77777777" w:rsidR="008E76F5" w:rsidRPr="000B3E03" w:rsidRDefault="008E76F5" w:rsidP="00DC4DBE">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68" w:type="dxa"/>
            <w:shd w:val="clear" w:color="auto" w:fill="auto"/>
          </w:tcPr>
          <w:p w14:paraId="2EB31034" w14:textId="77777777" w:rsidR="008E76F5" w:rsidRPr="001135DE" w:rsidRDefault="008E76F5" w:rsidP="008E76F5">
            <w:pPr>
              <w:ind w:firstLine="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S</w:t>
            </w:r>
            <w:r w:rsidRPr="001135DE">
              <w:rPr>
                <w:color w:val="000000" w:themeColor="text1"/>
                <w:sz w:val="22"/>
                <w:szCs w:val="22"/>
              </w:rPr>
              <w:t xml:space="preserve">kat. NRP </w:t>
            </w:r>
          </w:p>
          <w:p w14:paraId="2681630C" w14:textId="77777777" w:rsidR="008E76F5" w:rsidRPr="001135DE" w:rsidRDefault="008E76F5" w:rsidP="008E76F5">
            <w:pPr>
              <w:ind w:firstLine="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1135DE">
              <w:rPr>
                <w:color w:val="000000" w:themeColor="text1"/>
                <w:sz w:val="22"/>
                <w:szCs w:val="22"/>
              </w:rPr>
              <w:t>2019.gadā veiktās izmaiņas:</w:t>
            </w:r>
          </w:p>
          <w:p w14:paraId="4CC19A20" w14:textId="77777777" w:rsidR="008E76F5" w:rsidRPr="008F78D7" w:rsidRDefault="008E76F5" w:rsidP="008E76F5">
            <w:pPr>
              <w:numPr>
                <w:ilvl w:val="0"/>
                <w:numId w:val="19"/>
              </w:numPr>
              <w:spacing w:after="0" w:line="247"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78D7">
              <w:rPr>
                <w:color w:val="000000" w:themeColor="text1"/>
                <w:sz w:val="22"/>
                <w:szCs w:val="22"/>
              </w:rPr>
              <w:t xml:space="preserve">paaugstināts ienākumu slieksnis, kam piemēro progresīvo </w:t>
            </w:r>
            <w:r w:rsidR="00430175">
              <w:rPr>
                <w:color w:val="000000" w:themeColor="text1"/>
                <w:sz w:val="22"/>
                <w:szCs w:val="22"/>
              </w:rPr>
              <w:t>IIN</w:t>
            </w:r>
            <w:r>
              <w:rPr>
                <w:color w:val="000000" w:themeColor="text1"/>
                <w:sz w:val="22"/>
                <w:szCs w:val="22"/>
              </w:rPr>
              <w:t xml:space="preserve"> likmi </w:t>
            </w:r>
            <w:r w:rsidRPr="008F78D7">
              <w:rPr>
                <w:color w:val="000000" w:themeColor="text1"/>
                <w:sz w:val="22"/>
                <w:szCs w:val="22"/>
              </w:rPr>
              <w:t>31,4% apmērā, t.i. ienākumiem virs 62</w:t>
            </w:r>
            <w:r>
              <w:rPr>
                <w:color w:val="000000" w:themeColor="text1"/>
                <w:sz w:val="22"/>
                <w:szCs w:val="22"/>
              </w:rPr>
              <w:t> </w:t>
            </w:r>
            <w:r w:rsidRPr="008F78D7">
              <w:rPr>
                <w:color w:val="000000" w:themeColor="text1"/>
                <w:sz w:val="22"/>
                <w:szCs w:val="22"/>
              </w:rPr>
              <w:t xml:space="preserve">800 </w:t>
            </w:r>
            <w:r w:rsidRPr="008E76F5">
              <w:rPr>
                <w:i/>
                <w:color w:val="000000" w:themeColor="text1"/>
                <w:sz w:val="22"/>
                <w:szCs w:val="22"/>
              </w:rPr>
              <w:t xml:space="preserve">euro </w:t>
            </w:r>
            <w:r w:rsidRPr="008F78D7">
              <w:rPr>
                <w:color w:val="000000" w:themeColor="text1"/>
                <w:sz w:val="22"/>
                <w:szCs w:val="22"/>
              </w:rPr>
              <w:t xml:space="preserve">gadā (2018.gadā </w:t>
            </w:r>
            <w:r w:rsidR="009F3544" w:rsidRPr="008F78D7">
              <w:rPr>
                <w:color w:val="000000" w:themeColor="text1"/>
                <w:sz w:val="22"/>
                <w:szCs w:val="22"/>
              </w:rPr>
              <w:t>–</w:t>
            </w:r>
            <w:r w:rsidRPr="008F78D7">
              <w:rPr>
                <w:color w:val="000000" w:themeColor="text1"/>
                <w:sz w:val="22"/>
                <w:szCs w:val="22"/>
              </w:rPr>
              <w:t xml:space="preserve"> virs 55</w:t>
            </w:r>
            <w:r>
              <w:rPr>
                <w:color w:val="000000" w:themeColor="text1"/>
                <w:sz w:val="22"/>
                <w:szCs w:val="22"/>
              </w:rPr>
              <w:t> </w:t>
            </w:r>
            <w:r w:rsidRPr="008F78D7">
              <w:rPr>
                <w:color w:val="000000" w:themeColor="text1"/>
                <w:sz w:val="22"/>
                <w:szCs w:val="22"/>
              </w:rPr>
              <w:t xml:space="preserve">000,01 </w:t>
            </w:r>
            <w:r w:rsidRPr="008E76F5">
              <w:rPr>
                <w:i/>
                <w:color w:val="000000" w:themeColor="text1"/>
                <w:sz w:val="22"/>
                <w:szCs w:val="22"/>
              </w:rPr>
              <w:t>euro</w:t>
            </w:r>
            <w:r w:rsidRPr="008F78D7">
              <w:rPr>
                <w:color w:val="000000" w:themeColor="text1"/>
                <w:sz w:val="22"/>
                <w:szCs w:val="22"/>
              </w:rPr>
              <w:t xml:space="preserve"> gadā);</w:t>
            </w:r>
          </w:p>
          <w:p w14:paraId="3A42A481" w14:textId="77777777" w:rsidR="008E76F5" w:rsidRPr="008F78D7" w:rsidRDefault="008E76F5" w:rsidP="008E76F5">
            <w:pPr>
              <w:numPr>
                <w:ilvl w:val="0"/>
                <w:numId w:val="19"/>
              </w:numPr>
              <w:spacing w:after="0" w:line="247"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78D7">
              <w:rPr>
                <w:color w:val="000000" w:themeColor="text1"/>
                <w:sz w:val="22"/>
                <w:szCs w:val="22"/>
              </w:rPr>
              <w:t xml:space="preserve">atbilstoši jau iepriekš apstiprinātajam grafikam, 2019.gadā paaugstināts diferencētais ar </w:t>
            </w:r>
            <w:r w:rsidR="00430175">
              <w:rPr>
                <w:color w:val="000000" w:themeColor="text1"/>
                <w:sz w:val="22"/>
                <w:szCs w:val="22"/>
              </w:rPr>
              <w:t>IIN</w:t>
            </w:r>
            <w:r w:rsidRPr="008F78D7">
              <w:rPr>
                <w:color w:val="000000" w:themeColor="text1"/>
                <w:sz w:val="22"/>
                <w:szCs w:val="22"/>
              </w:rPr>
              <w:t xml:space="preserve"> neapliekamais minimums – uz 230 </w:t>
            </w:r>
            <w:r w:rsidRPr="008E76F5">
              <w:rPr>
                <w:i/>
                <w:color w:val="000000" w:themeColor="text1"/>
                <w:sz w:val="22"/>
                <w:szCs w:val="22"/>
              </w:rPr>
              <w:t>euro</w:t>
            </w:r>
            <w:r w:rsidRPr="008F78D7">
              <w:rPr>
                <w:color w:val="000000" w:themeColor="text1"/>
                <w:sz w:val="22"/>
                <w:szCs w:val="22"/>
              </w:rPr>
              <w:t xml:space="preserve"> mēnesī (2018.gadā – 200 </w:t>
            </w:r>
            <w:r w:rsidRPr="008E76F5">
              <w:rPr>
                <w:i/>
                <w:color w:val="000000" w:themeColor="text1"/>
                <w:sz w:val="22"/>
                <w:szCs w:val="22"/>
              </w:rPr>
              <w:t>euro</w:t>
            </w:r>
            <w:r w:rsidRPr="008F78D7">
              <w:rPr>
                <w:color w:val="000000" w:themeColor="text1"/>
                <w:sz w:val="22"/>
                <w:szCs w:val="22"/>
              </w:rPr>
              <w:t xml:space="preserve"> mēnesī); </w:t>
            </w:r>
          </w:p>
          <w:p w14:paraId="29ADAB67" w14:textId="77777777" w:rsidR="008E76F5" w:rsidRPr="008F78D7" w:rsidRDefault="008E76F5" w:rsidP="008E76F5">
            <w:pPr>
              <w:numPr>
                <w:ilvl w:val="0"/>
                <w:numId w:val="19"/>
              </w:numPr>
              <w:spacing w:after="0" w:line="247"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78D7">
              <w:rPr>
                <w:color w:val="000000" w:themeColor="text1"/>
                <w:sz w:val="22"/>
                <w:szCs w:val="22"/>
              </w:rPr>
              <w:t xml:space="preserve">atbilstoši jau iepriekš apstiprinātajam grafikam, 2019.gadā paaugstināts atvieglojums par apgādībā esošu personu uz 230 </w:t>
            </w:r>
            <w:r w:rsidRPr="008E76F5">
              <w:rPr>
                <w:i/>
                <w:color w:val="000000" w:themeColor="text1"/>
                <w:sz w:val="22"/>
                <w:szCs w:val="22"/>
              </w:rPr>
              <w:t>euro</w:t>
            </w:r>
            <w:r w:rsidRPr="008F78D7">
              <w:rPr>
                <w:color w:val="000000" w:themeColor="text1"/>
                <w:sz w:val="22"/>
                <w:szCs w:val="22"/>
              </w:rPr>
              <w:t xml:space="preserve"> mēnesī (2018.gadā – 200 </w:t>
            </w:r>
            <w:r w:rsidRPr="008E76F5">
              <w:rPr>
                <w:i/>
                <w:color w:val="000000" w:themeColor="text1"/>
                <w:sz w:val="22"/>
                <w:szCs w:val="22"/>
              </w:rPr>
              <w:t>euro</w:t>
            </w:r>
            <w:r w:rsidRPr="008F78D7">
              <w:rPr>
                <w:color w:val="000000" w:themeColor="text1"/>
                <w:sz w:val="22"/>
                <w:szCs w:val="22"/>
              </w:rPr>
              <w:t xml:space="preserve"> mēnesī);</w:t>
            </w:r>
          </w:p>
          <w:p w14:paraId="06954D49" w14:textId="77777777" w:rsidR="008E76F5" w:rsidRPr="000B3E03" w:rsidRDefault="008E76F5" w:rsidP="008E76F5">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F78D7">
              <w:rPr>
                <w:color w:val="000000" w:themeColor="text1"/>
                <w:sz w:val="22"/>
                <w:szCs w:val="22"/>
              </w:rPr>
              <w:t xml:space="preserve">atbilstoši jau iepriekš apstiprinātajam grafikam, 2019.gadā paaugstināts neapliekamais minimums pensionāriem uz 270 </w:t>
            </w:r>
            <w:r w:rsidRPr="008E76F5">
              <w:rPr>
                <w:i/>
                <w:color w:val="000000" w:themeColor="text1"/>
                <w:sz w:val="22"/>
                <w:szCs w:val="22"/>
              </w:rPr>
              <w:t>euro</w:t>
            </w:r>
            <w:r w:rsidRPr="008F78D7">
              <w:rPr>
                <w:color w:val="000000" w:themeColor="text1"/>
                <w:sz w:val="22"/>
                <w:szCs w:val="22"/>
              </w:rPr>
              <w:t xml:space="preserve"> mēnesī (2018.gadā – 250 </w:t>
            </w:r>
            <w:r w:rsidRPr="008E76F5">
              <w:rPr>
                <w:i/>
                <w:color w:val="000000" w:themeColor="text1"/>
                <w:sz w:val="22"/>
                <w:szCs w:val="22"/>
              </w:rPr>
              <w:t>euro</w:t>
            </w:r>
            <w:r w:rsidRPr="008F78D7">
              <w:rPr>
                <w:color w:val="000000" w:themeColor="text1"/>
                <w:sz w:val="22"/>
                <w:szCs w:val="22"/>
              </w:rPr>
              <w:t xml:space="preserve"> mēnesī).</w:t>
            </w:r>
          </w:p>
        </w:tc>
      </w:tr>
      <w:tr w:rsidR="008E76F5" w:rsidRPr="00482AA0" w14:paraId="375ECDEB" w14:textId="77777777" w:rsidTr="008E76F5">
        <w:trPr>
          <w:cnfStyle w:val="000000100000" w:firstRow="0" w:lastRow="0" w:firstColumn="0" w:lastColumn="0" w:oddVBand="0" w:evenVBand="0" w:oddHBand="1" w:evenHBand="0" w:firstRowFirstColumn="0" w:firstRowLastColumn="0" w:lastRowFirstColumn="0" w:lastRowLastColumn="0"/>
          <w:trHeight w:val="5216"/>
        </w:trPr>
        <w:tc>
          <w:tcPr>
            <w:cnfStyle w:val="001000000000" w:firstRow="0" w:lastRow="0" w:firstColumn="1" w:lastColumn="0" w:oddVBand="0" w:evenVBand="0" w:oddHBand="0" w:evenHBand="0" w:firstRowFirstColumn="0" w:firstRowLastColumn="0" w:lastRowFirstColumn="0" w:lastRowLastColumn="0"/>
            <w:tcW w:w="915" w:type="dxa"/>
            <w:vMerge w:val="restart"/>
            <w:vAlign w:val="center"/>
          </w:tcPr>
          <w:p w14:paraId="4F553A0E" w14:textId="77777777" w:rsidR="008E76F5" w:rsidRPr="00482AA0" w:rsidRDefault="008E76F5" w:rsidP="008E76F5">
            <w:pPr>
              <w:ind w:right="34" w:firstLine="0"/>
              <w:jc w:val="center"/>
              <w:rPr>
                <w:color w:val="000000" w:themeColor="text1"/>
                <w:sz w:val="22"/>
                <w:szCs w:val="22"/>
              </w:rPr>
            </w:pPr>
            <w:r w:rsidRPr="00482AA0">
              <w:rPr>
                <w:color w:val="000000" w:themeColor="text1"/>
                <w:sz w:val="22"/>
                <w:szCs w:val="22"/>
              </w:rPr>
              <w:lastRenderedPageBreak/>
              <w:t>2</w:t>
            </w:r>
          </w:p>
        </w:tc>
        <w:tc>
          <w:tcPr>
            <w:tcW w:w="4325" w:type="dxa"/>
            <w:vMerge w:val="restart"/>
          </w:tcPr>
          <w:p w14:paraId="13A10BE5"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 xml:space="preserve">Uzlabot minimālo ienākumu pabalstu, minimālo vecuma pensiju un cilvēkiem ar invaliditāti paredzētā ienākumu atbalsta adekvātumu. </w:t>
            </w:r>
          </w:p>
          <w:p w14:paraId="24521DBF"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7D4BDBC9"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623B9F16"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2452EC94"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1C4ABE96"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7A7E4BA4"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5A28D9E6"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6C3C2831"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5ADEBF42"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2E5C30B4" w14:textId="77777777" w:rsidR="008E76F5" w:rsidRDefault="008E76F5" w:rsidP="008E76F5">
            <w:pPr>
              <w:ind w:firstLine="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21C5282F" w14:textId="77777777" w:rsidR="008E76F5" w:rsidRDefault="008E76F5" w:rsidP="008E76F5">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 xml:space="preserve">Uzlabot profesionālās izglītības un </w:t>
            </w:r>
            <w:r w:rsidRPr="00482AA0">
              <w:rPr>
                <w:color w:val="000000" w:themeColor="text1"/>
                <w:sz w:val="22"/>
                <w:szCs w:val="22"/>
              </w:rPr>
              <w:lastRenderedPageBreak/>
              <w:t xml:space="preserve">apmācības atbilstību darba tirgus prasībām un veicināt mazkvalificētu darba ņēmēju un darba meklētāju prasmju pilnveidi. </w:t>
            </w:r>
          </w:p>
          <w:p w14:paraId="23A34ECB"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4B1292AB"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22918A8E"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447D3AA9"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13402D67"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201A9140"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36430D02"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4556C783"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2D30D8DD"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45FC5BD2"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7D5B5057"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33261DA1"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584B856D" w14:textId="77777777" w:rsidR="008E76F5"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14:paraId="644A7B90" w14:textId="77777777" w:rsidR="008E76F5" w:rsidRPr="00482AA0"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Uzlabot veselības aprūpes sistēmas pieejamību, kvalitāti un izmaksu lietderību</w:t>
            </w:r>
          </w:p>
        </w:tc>
        <w:tc>
          <w:tcPr>
            <w:tcW w:w="9468" w:type="dxa"/>
          </w:tcPr>
          <w:p w14:paraId="187342C5" w14:textId="77777777" w:rsidR="008E76F5" w:rsidRPr="00482AA0" w:rsidRDefault="008E76F5" w:rsidP="00BC2E9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lastRenderedPageBreak/>
              <w:t>Skat. NRP</w:t>
            </w:r>
          </w:p>
          <w:p w14:paraId="18D531EC" w14:textId="77777777" w:rsidR="008E76F5" w:rsidRPr="00482AA0" w:rsidRDefault="008E76F5" w:rsidP="00BC2E95">
            <w:pPr>
              <w:spacing w:after="0" w:line="247"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No 2019.gada:</w:t>
            </w:r>
          </w:p>
          <w:p w14:paraId="45E8E09C" w14:textId="77777777" w:rsidR="008E76F5" w:rsidRPr="00482AA0" w:rsidRDefault="008E76F5" w:rsidP="00BC2E95">
            <w:pPr>
              <w:numPr>
                <w:ilvl w:val="0"/>
                <w:numId w:val="19"/>
              </w:numPr>
              <w:spacing w:after="0" w:line="247"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 xml:space="preserve">pensijas saņēmēja nāves gadījumā pārdzīvojušajam laulātajam tiek piešķirts pabalsts 50% apmērā no mirušajam laulātajam piešķirtās pensijas </w:t>
            </w:r>
          </w:p>
          <w:p w14:paraId="11FD8B27" w14:textId="77777777" w:rsidR="008E76F5" w:rsidRPr="00482AA0" w:rsidRDefault="008E76F5" w:rsidP="00BC2E95">
            <w:pPr>
              <w:numPr>
                <w:ilvl w:val="0"/>
                <w:numId w:val="19"/>
              </w:numPr>
              <w:spacing w:after="0" w:line="247"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apbedīšanas pabalsta apmērā iekļauj arī piemaksu pie pensijas par apdrošināšanas stāžu, kas uzkrāts līdz 1995.gada 31.decembrim, ja šāda piemaksa bija piešķirta mirušajam pensijas saņēmējam;</w:t>
            </w:r>
          </w:p>
          <w:p w14:paraId="46D01FC6" w14:textId="77777777" w:rsidR="008E76F5" w:rsidRPr="00482AA0" w:rsidRDefault="008E76F5" w:rsidP="005119CA">
            <w:pPr>
              <w:numPr>
                <w:ilvl w:val="0"/>
                <w:numId w:val="19"/>
              </w:numPr>
              <w:spacing w:after="0" w:line="247"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vecuma pensijām, kas aprēķinātas par 45 un vairāk gadu lielu apdrošināšanas stāžu, pensiju indeksācijā piemēros faktisko patēriņa cenu indeksu un 80% (70% vietā) no apdrošināšanas iemaksu algu summas reālā pieauguma procentiem;</w:t>
            </w:r>
          </w:p>
          <w:p w14:paraId="395FC925" w14:textId="77777777" w:rsidR="008E76F5" w:rsidRPr="00482AA0" w:rsidRDefault="008E76F5" w:rsidP="005119CA">
            <w:pPr>
              <w:numPr>
                <w:ilvl w:val="0"/>
                <w:numId w:val="19"/>
              </w:numPr>
              <w:spacing w:after="0" w:line="247"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piemaksas apmēru par vienu apdrošināšanas stāža gadu, kas uzkrāts līdz 1995.gada 31.decembrim, oktobrī pārskatīs, ņemot vērā faktisko patēriņa cenu indeksu un 50% no apdrošināšanas iemaksu algu summas reālā pieauguma procentiem;</w:t>
            </w:r>
          </w:p>
          <w:p w14:paraId="2AB45E98" w14:textId="77777777" w:rsidR="008E76F5" w:rsidRPr="00482AA0" w:rsidRDefault="008E76F5" w:rsidP="005119CA">
            <w:pPr>
              <w:numPr>
                <w:ilvl w:val="0"/>
                <w:numId w:val="19"/>
              </w:numPr>
              <w:spacing w:after="0" w:line="247"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 xml:space="preserve">apdrošināšanas stāžā tiek iekļauts dienests PSRS armijā par periodu līdz 1996.gadam. </w:t>
            </w:r>
          </w:p>
          <w:p w14:paraId="649DB200" w14:textId="77777777" w:rsidR="008E76F5" w:rsidRPr="00482AA0" w:rsidRDefault="008E76F5" w:rsidP="00BC2E9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 xml:space="preserve">Lai palielinātu atbalstu personām ar invaliditāti, 2019.gada budžeta projektā ir paredzēta īpašas kopšanas pabalsta apmēra palielināšana no 2019.gada 1.jūlija par 100 </w:t>
            </w:r>
            <w:r w:rsidRPr="005119CA">
              <w:rPr>
                <w:i/>
                <w:color w:val="000000" w:themeColor="text1"/>
                <w:sz w:val="22"/>
                <w:szCs w:val="22"/>
              </w:rPr>
              <w:t>euro</w:t>
            </w:r>
            <w:r w:rsidRPr="00482AA0">
              <w:rPr>
                <w:color w:val="000000" w:themeColor="text1"/>
                <w:sz w:val="22"/>
                <w:szCs w:val="22"/>
              </w:rPr>
              <w:t xml:space="preserve"> /mēnesī (no 213.43 </w:t>
            </w:r>
            <w:r w:rsidRPr="005119CA">
              <w:rPr>
                <w:i/>
                <w:color w:val="000000" w:themeColor="text1"/>
                <w:sz w:val="22"/>
                <w:szCs w:val="22"/>
              </w:rPr>
              <w:t>euro</w:t>
            </w:r>
            <w:r w:rsidRPr="00482AA0">
              <w:rPr>
                <w:color w:val="000000" w:themeColor="text1"/>
                <w:sz w:val="22"/>
                <w:szCs w:val="22"/>
              </w:rPr>
              <w:t xml:space="preserve"> / mēnesī uz 313.43 </w:t>
            </w:r>
            <w:r w:rsidRPr="005119CA">
              <w:rPr>
                <w:i/>
                <w:color w:val="000000" w:themeColor="text1"/>
                <w:sz w:val="22"/>
                <w:szCs w:val="22"/>
              </w:rPr>
              <w:t>euro</w:t>
            </w:r>
            <w:r w:rsidRPr="00482AA0">
              <w:rPr>
                <w:color w:val="000000" w:themeColor="text1"/>
                <w:sz w:val="22"/>
                <w:szCs w:val="22"/>
              </w:rPr>
              <w:t xml:space="preserve"> /mēnesī):</w:t>
            </w:r>
          </w:p>
          <w:p w14:paraId="10C2A077" w14:textId="77777777" w:rsidR="008E76F5" w:rsidRPr="00482AA0" w:rsidRDefault="008E76F5" w:rsidP="00BC2E9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1) bērniem ar invaliditāti, kuriem noteiktas indikācijas īpašai kopšanai un</w:t>
            </w:r>
          </w:p>
          <w:p w14:paraId="1592AF61" w14:textId="77777777" w:rsidR="008E76F5" w:rsidRPr="00482AA0" w:rsidRDefault="008E76F5" w:rsidP="008E76F5">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2) personām ar I invaliditātes grupu, kurām noteiktas indikācijas īpašas kopšanas nepieciešamībai un kurām invaliditātes cēlonis ir "slimība no bērnības".</w:t>
            </w:r>
          </w:p>
        </w:tc>
      </w:tr>
      <w:tr w:rsidR="008E76F5" w:rsidRPr="00482AA0" w14:paraId="5A239391" w14:textId="77777777" w:rsidTr="008E76F5">
        <w:trPr>
          <w:trHeight w:val="5783"/>
        </w:trPr>
        <w:tc>
          <w:tcPr>
            <w:cnfStyle w:val="001000000000" w:firstRow="0" w:lastRow="0" w:firstColumn="1" w:lastColumn="0" w:oddVBand="0" w:evenVBand="0" w:oddHBand="0" w:evenHBand="0" w:firstRowFirstColumn="0" w:firstRowLastColumn="0" w:lastRowFirstColumn="0" w:lastRowLastColumn="0"/>
            <w:tcW w:w="915" w:type="dxa"/>
            <w:vMerge/>
            <w:shd w:val="clear" w:color="auto" w:fill="DBE5F1" w:themeFill="accent1" w:themeFillTint="33"/>
            <w:vAlign w:val="center"/>
          </w:tcPr>
          <w:p w14:paraId="4B0E7441" w14:textId="77777777" w:rsidR="008E76F5" w:rsidRPr="00482AA0" w:rsidRDefault="008E76F5" w:rsidP="008E76F5">
            <w:pPr>
              <w:ind w:right="34"/>
              <w:jc w:val="center"/>
              <w:rPr>
                <w:color w:val="000000" w:themeColor="text1"/>
                <w:sz w:val="22"/>
                <w:szCs w:val="22"/>
              </w:rPr>
            </w:pPr>
          </w:p>
        </w:tc>
        <w:tc>
          <w:tcPr>
            <w:tcW w:w="4325" w:type="dxa"/>
            <w:vMerge/>
            <w:shd w:val="clear" w:color="auto" w:fill="DBE5F1" w:themeFill="accent1" w:themeFillTint="33"/>
          </w:tcPr>
          <w:p w14:paraId="048ED12F" w14:textId="77777777" w:rsidR="008E76F5" w:rsidRPr="00482AA0" w:rsidRDefault="008E76F5" w:rsidP="006A7563">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c>
          <w:tcPr>
            <w:tcW w:w="9468" w:type="dxa"/>
            <w:shd w:val="clear" w:color="auto" w:fill="DBE5F1" w:themeFill="accent1" w:themeFillTint="33"/>
          </w:tcPr>
          <w:p w14:paraId="75FBBD4E" w14:textId="77777777" w:rsidR="008E76F5" w:rsidRPr="00416435" w:rsidRDefault="008E76F5" w:rsidP="008E76F5">
            <w:pPr>
              <w:spacing w:after="0"/>
              <w:cnfStyle w:val="000000000000" w:firstRow="0" w:lastRow="0" w:firstColumn="0" w:lastColumn="0" w:oddVBand="0" w:evenVBand="0" w:oddHBand="0" w:evenHBand="0" w:firstRowFirstColumn="0" w:firstRowLastColumn="0" w:lastRowFirstColumn="0" w:lastRowLastColumn="0"/>
              <w:rPr>
                <w:color w:val="auto"/>
                <w:sz w:val="22"/>
              </w:rPr>
            </w:pPr>
            <w:r w:rsidRPr="00416435">
              <w:rPr>
                <w:color w:val="auto"/>
                <w:sz w:val="22"/>
              </w:rPr>
              <w:t>Turpinās profesionālās izglītības satura reforma, kas nodrošina pāreju no priekšmetos balstītā profesionālās izglītības mācību satura uz mācīšanās rezultātos balstītu, kā arī ievieš modulāro pieeju profesionālās izglītības programmu īstenošanā., kura ietvaros līdz 2021.gada 31.decembrim ir paredzēta nozaru kvalifikāciju sistēmas pilnveide, ietvaros, lai izstrādātu mainīgajām darba tirgus prasībām atbilstošu profesionālās izglītības</w:t>
            </w:r>
            <w:r w:rsidRPr="00032D04">
              <w:rPr>
                <w:rFonts w:eastAsiaTheme="minorHAnsi"/>
                <w:color w:val="auto"/>
                <w:sz w:val="22"/>
                <w:szCs w:val="22"/>
              </w:rPr>
              <w:t xml:space="preserve"> saturu un nodrošinātu profesionālās izglītības atbilstību </w:t>
            </w:r>
            <w:r w:rsidR="00BB535C" w:rsidRPr="00032D04">
              <w:rPr>
                <w:rFonts w:eastAsiaTheme="minorHAnsi"/>
                <w:color w:val="auto"/>
                <w:sz w:val="22"/>
                <w:szCs w:val="22"/>
              </w:rPr>
              <w:t>Eiropas kvalifikācijas ietvar-struktūrai</w:t>
            </w:r>
            <w:r w:rsidRPr="00032D04">
              <w:rPr>
                <w:rFonts w:eastAsiaTheme="minorHAnsi"/>
                <w:color w:val="auto"/>
                <w:sz w:val="22"/>
                <w:szCs w:val="22"/>
              </w:rPr>
              <w:t>. Projekta</w:t>
            </w:r>
            <w:r w:rsidRPr="00416435">
              <w:rPr>
                <w:iCs/>
                <w:color w:val="auto"/>
                <w:sz w:val="22"/>
              </w:rPr>
              <w:t xml:space="preserve"> mērķa sasniegšanai plānotais attiecināmais finansējums ir 12,9 milj. </w:t>
            </w:r>
            <w:r w:rsidRPr="00BC2E95">
              <w:rPr>
                <w:i/>
                <w:iCs/>
                <w:color w:val="auto"/>
                <w:sz w:val="22"/>
              </w:rPr>
              <w:t>euro</w:t>
            </w:r>
            <w:r w:rsidRPr="00416435">
              <w:rPr>
                <w:iCs/>
                <w:color w:val="auto"/>
                <w:sz w:val="22"/>
              </w:rPr>
              <w:t xml:space="preserve">, t.sk. </w:t>
            </w:r>
            <w:r>
              <w:rPr>
                <w:iCs/>
                <w:color w:val="auto"/>
                <w:sz w:val="22"/>
              </w:rPr>
              <w:t>ESF</w:t>
            </w:r>
            <w:r w:rsidRPr="00416435">
              <w:rPr>
                <w:iCs/>
                <w:color w:val="auto"/>
                <w:sz w:val="22"/>
              </w:rPr>
              <w:t xml:space="preserve"> finansējums 11 milj. </w:t>
            </w:r>
            <w:r w:rsidRPr="00BC2E95">
              <w:rPr>
                <w:i/>
                <w:iCs/>
                <w:color w:val="auto"/>
                <w:sz w:val="22"/>
              </w:rPr>
              <w:t>euro</w:t>
            </w:r>
            <w:r w:rsidRPr="00416435">
              <w:rPr>
                <w:iCs/>
                <w:color w:val="auto"/>
                <w:sz w:val="22"/>
              </w:rPr>
              <w:t xml:space="preserve"> un valsts budžeta līdzfinansējums – 1,9 milj. </w:t>
            </w:r>
            <w:r w:rsidRPr="00BC2E95">
              <w:rPr>
                <w:i/>
                <w:iCs/>
                <w:color w:val="auto"/>
                <w:sz w:val="22"/>
              </w:rPr>
              <w:t>euro</w:t>
            </w:r>
            <w:r w:rsidRPr="00416435">
              <w:rPr>
                <w:iCs/>
                <w:color w:val="auto"/>
                <w:sz w:val="22"/>
              </w:rPr>
              <w:t>.</w:t>
            </w:r>
            <w:r w:rsidRPr="00416435">
              <w:rPr>
                <w:color w:val="auto"/>
                <w:sz w:val="22"/>
              </w:rPr>
              <w:t xml:space="preserve"> </w:t>
            </w:r>
            <w:r w:rsidRPr="00416435">
              <w:rPr>
                <w:rFonts w:eastAsiaTheme="minorHAnsi"/>
                <w:color w:val="auto"/>
                <w:sz w:val="22"/>
                <w:szCs w:val="22"/>
              </w:rPr>
              <w:t xml:space="preserve">Projektu īsteno Valsts izglītības satura centrs sadarbībā ar Latvijas Darba devēju konfederāciju, Latvijas Brīvo arodbiedrību savienību, biedrību "Lauksaimnieku organizāciju sadarbības padome" un </w:t>
            </w:r>
            <w:r>
              <w:rPr>
                <w:rFonts w:eastAsiaTheme="minorHAnsi"/>
                <w:color w:val="auto"/>
                <w:sz w:val="22"/>
                <w:szCs w:val="22"/>
              </w:rPr>
              <w:t>IKVD</w:t>
            </w:r>
            <w:r w:rsidRPr="00416435">
              <w:rPr>
                <w:rFonts w:eastAsiaTheme="minorHAnsi"/>
                <w:color w:val="auto"/>
                <w:sz w:val="22"/>
                <w:szCs w:val="22"/>
              </w:rPr>
              <w:t>.</w:t>
            </w:r>
          </w:p>
          <w:p w14:paraId="559A533E" w14:textId="77777777" w:rsidR="008E76F5" w:rsidRPr="00416435" w:rsidRDefault="008E76F5" w:rsidP="008E76F5">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BC2E95">
              <w:rPr>
                <w:color w:val="auto"/>
                <w:sz w:val="22"/>
              </w:rPr>
              <w:t>8.5.3. SAM “Nodrošināt profesionālās izglītības iestāžu efektīvu pārvaldību un iesaistītā personāla profesionālās kompetences</w:t>
            </w:r>
            <w:r w:rsidRPr="00416435">
              <w:rPr>
                <w:color w:val="auto"/>
                <w:sz w:val="22"/>
                <w:szCs w:val="22"/>
              </w:rPr>
              <w:t xml:space="preserve"> pilnveidi” projekta “Profesionālās izglītības iestāžu efektīva pārvaldība un personāla kompetences pilnveide” ietvaros notiek modulāro izglītības programmu aprobācijas semināri, kā arī regulāri tiek sniegtas konsultācijas profesionālās izglītības iestāžu pārstāvjiem par profesionālās izglītības satura aktualizēšanu pārejai uz sasniedzamajiem rezultātiem un kompetencēs balstītām modulārajām programmām. </w:t>
            </w:r>
          </w:p>
          <w:p w14:paraId="1C785FBF" w14:textId="77777777" w:rsidR="008E76F5" w:rsidRPr="00416435" w:rsidRDefault="008E76F5" w:rsidP="008E76F5">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416435">
              <w:rPr>
                <w:color w:val="auto"/>
                <w:sz w:val="22"/>
                <w:szCs w:val="22"/>
              </w:rPr>
              <w:t>2016./2017.</w:t>
            </w:r>
            <w:r>
              <w:rPr>
                <w:color w:val="auto"/>
                <w:sz w:val="22"/>
                <w:szCs w:val="22"/>
              </w:rPr>
              <w:t xml:space="preserve"> </w:t>
            </w:r>
            <w:r w:rsidRPr="00416435">
              <w:rPr>
                <w:color w:val="auto"/>
                <w:sz w:val="22"/>
                <w:szCs w:val="22"/>
              </w:rPr>
              <w:t>mācību gadā tika uzsākta 30 modulāro programmu aprobācija, t.sk. 12 profesionālajās kvalifikācijās. Pašlaik modulāro profesionālās izglītības programmu aprobācija notiek 27 IZM padotībā esošajās profesionālās izglītības iestādēs, kopumā aprobējot 133 modulārās profes</w:t>
            </w:r>
            <w:r>
              <w:rPr>
                <w:color w:val="auto"/>
                <w:sz w:val="22"/>
                <w:szCs w:val="22"/>
              </w:rPr>
              <w:t>ionālās izglītības programmas.</w:t>
            </w:r>
          </w:p>
          <w:p w14:paraId="50FDDD48" w14:textId="77777777" w:rsidR="008E76F5" w:rsidRPr="00416435" w:rsidRDefault="008E76F5" w:rsidP="008E76F5">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416435">
              <w:rPr>
                <w:color w:val="auto"/>
                <w:sz w:val="22"/>
                <w:szCs w:val="22"/>
              </w:rPr>
              <w:t xml:space="preserve">SAM. 8.5.3 projekta ietvaros tiek organizēti profesionālās pilnveides kursi pedagogiem par modulārajām profesionālās pilnveides programmām, to izstrādi un ieviešanu. </w:t>
            </w:r>
          </w:p>
          <w:p w14:paraId="361EE428" w14:textId="77777777" w:rsidR="008E76F5" w:rsidRPr="00482AA0" w:rsidRDefault="008E76F5" w:rsidP="008E76F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16435">
              <w:rPr>
                <w:color w:val="auto"/>
                <w:sz w:val="22"/>
                <w:szCs w:val="22"/>
              </w:rPr>
              <w:t>Vienlaikus tiek pārskatīti normatīvie dokumenti profesionālās izglītības satura reformu īstenošanai un rezultātu ieviešanai.</w:t>
            </w:r>
          </w:p>
        </w:tc>
      </w:tr>
      <w:tr w:rsidR="008E76F5" w:rsidRPr="00482AA0" w14:paraId="3D3A41A6" w14:textId="77777777" w:rsidTr="008E76F5">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915" w:type="dxa"/>
            <w:vMerge/>
            <w:vAlign w:val="center"/>
          </w:tcPr>
          <w:p w14:paraId="21E114FE" w14:textId="77777777" w:rsidR="008E76F5" w:rsidRPr="00482AA0" w:rsidRDefault="008E76F5" w:rsidP="008E76F5">
            <w:pPr>
              <w:ind w:right="34"/>
              <w:jc w:val="center"/>
              <w:rPr>
                <w:color w:val="000000" w:themeColor="text1"/>
                <w:sz w:val="22"/>
                <w:szCs w:val="22"/>
              </w:rPr>
            </w:pPr>
          </w:p>
        </w:tc>
        <w:tc>
          <w:tcPr>
            <w:tcW w:w="4325" w:type="dxa"/>
            <w:vMerge/>
          </w:tcPr>
          <w:p w14:paraId="52EF1CA7" w14:textId="77777777" w:rsidR="008E76F5" w:rsidRPr="00DC4DBE" w:rsidRDefault="008E76F5"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9468" w:type="dxa"/>
          </w:tcPr>
          <w:p w14:paraId="3A2B1E57" w14:textId="77777777" w:rsidR="008E76F5" w:rsidRPr="00482AA0" w:rsidRDefault="008E76F5" w:rsidP="005D4BF2">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 xml:space="preserve">Pateicoties 2017.gadā iesāktajiem un 2018.gadā turpinātajiem veselības reformas pasākumiem 2018.gada 1.pusgada dati liecina, ka sekundāro ambulatoro veselības aprūpes pakalpojumu faktiskais rindu garuma samazinājums, kas ir izveidojies papildus piešķirtā tiešā finansējuma ietekmē uz veselības aprūpes pakalpojumu pieprasījumu, notiek lēnāk salīdzinot ar datiem, kas pieejami pirms reformas uzsākšanas, jo novērojama pacientu uzvedības maiņa: rindā ienāk tie Latvijas iedzīvotāji, kuri rindu, attāluma vai finanšu dēļ līdz šim nav saņēmuši veselības aprūpes pakalpojumus, kā arī notiek daļas pacientu pārvirzīšanās no maksas pakalpojumiem uz valsts apmaksātu veselības aprūpes pakalpojumu sektoru. Šīs divas iedzīvotāju grupas papildus finansējuma tiešai ietekmei palielina pieprasījumu pēc valsts apmaksātas veselības aprūpes, vienlaikus samazinot to pacientu skaitu, kuri līdz šīm nav varējuši saņemt veselības aprūpes pakalpojumus. </w:t>
            </w:r>
          </w:p>
          <w:p w14:paraId="2337CA1F" w14:textId="77777777" w:rsidR="008E76F5" w:rsidRPr="00482AA0" w:rsidRDefault="008E76F5" w:rsidP="005D4BF2">
            <w:pPr>
              <w:autoSpaceDE w:val="0"/>
              <w:autoSpaceDN w:val="0"/>
              <w:adjustRightInd w:val="0"/>
              <w:spacing w:after="0"/>
              <w:ind w:firstLine="720"/>
              <w:cnfStyle w:val="000000100000" w:firstRow="0" w:lastRow="0" w:firstColumn="0" w:lastColumn="0" w:oddVBand="0" w:evenVBand="0" w:oddHBand="1" w:evenHBand="0" w:firstRowFirstColumn="0" w:firstRowLastColumn="0" w:lastRowFirstColumn="0" w:lastRowLastColumn="0"/>
              <w:rPr>
                <w:color w:val="000000" w:themeColor="text1"/>
                <w:sz w:val="22"/>
                <w:szCs w:val="22"/>
                <w:lang w:bidi="lo-LA"/>
              </w:rPr>
            </w:pPr>
            <w:r w:rsidRPr="00482AA0">
              <w:rPr>
                <w:color w:val="000000" w:themeColor="text1"/>
                <w:sz w:val="22"/>
                <w:szCs w:val="22"/>
                <w:lang w:bidi="lo-LA"/>
              </w:rPr>
              <w:t xml:space="preserve">Uz 2018.gada 1.jūliju pacientu gaidīšanas </w:t>
            </w:r>
            <w:r w:rsidRPr="00482AA0">
              <w:rPr>
                <w:b/>
                <w:bCs/>
                <w:color w:val="000000" w:themeColor="text1"/>
                <w:sz w:val="22"/>
                <w:szCs w:val="22"/>
                <w:lang w:bidi="lo-LA"/>
              </w:rPr>
              <w:t>rindas uz speciālistu konsultācijām ir samazinājušās</w:t>
            </w:r>
            <w:r w:rsidRPr="00482AA0">
              <w:rPr>
                <w:color w:val="000000" w:themeColor="text1"/>
                <w:sz w:val="22"/>
                <w:szCs w:val="22"/>
                <w:lang w:bidi="lo-LA"/>
              </w:rPr>
              <w:t xml:space="preserve"> vidēji līdz 84,65 dienām salīdzinājumā ar situāciju pirms reformu uzsākšanas, kad </w:t>
            </w:r>
            <w:r w:rsidRPr="00482AA0">
              <w:rPr>
                <w:color w:val="000000" w:themeColor="text1"/>
                <w:sz w:val="22"/>
                <w:szCs w:val="22"/>
                <w:lang w:bidi="lo-LA"/>
              </w:rPr>
              <w:lastRenderedPageBreak/>
              <w:t xml:space="preserve">vidējais gaidīšanas laiks bija līdz 100,48 dienām. 2018.gada 1.pusgadā rindu samazinājums nodrošināts par </w:t>
            </w:r>
            <w:r w:rsidRPr="00482AA0">
              <w:rPr>
                <w:b/>
                <w:color w:val="000000" w:themeColor="text1"/>
                <w:sz w:val="22"/>
                <w:szCs w:val="22"/>
                <w:lang w:bidi="lo-LA"/>
              </w:rPr>
              <w:t>15,75%</w:t>
            </w:r>
            <w:r w:rsidRPr="00482AA0">
              <w:rPr>
                <w:color w:val="000000" w:themeColor="text1"/>
                <w:sz w:val="22"/>
                <w:szCs w:val="22"/>
                <w:lang w:bidi="lo-LA"/>
              </w:rPr>
              <w:t xml:space="preserve"> no sākotnējā rindu apjoma, savukārt rindu samazinājums bez pacientu uzvedības maiņas nodrošināts </w:t>
            </w:r>
            <w:r w:rsidRPr="00482AA0">
              <w:rPr>
                <w:b/>
                <w:color w:val="000000" w:themeColor="text1"/>
                <w:sz w:val="22"/>
                <w:szCs w:val="22"/>
                <w:lang w:bidi="lo-LA"/>
              </w:rPr>
              <w:t>27,80%</w:t>
            </w:r>
            <w:r w:rsidRPr="00482AA0">
              <w:rPr>
                <w:color w:val="000000" w:themeColor="text1"/>
                <w:sz w:val="22"/>
                <w:szCs w:val="22"/>
                <w:lang w:bidi="lo-LA"/>
              </w:rPr>
              <w:t xml:space="preserve"> apmērā.</w:t>
            </w:r>
          </w:p>
          <w:p w14:paraId="2E51CAEC" w14:textId="77777777" w:rsidR="008E76F5" w:rsidRPr="00482AA0" w:rsidRDefault="008E76F5" w:rsidP="005D4BF2">
            <w:pPr>
              <w:autoSpaceDE w:val="0"/>
              <w:autoSpaceDN w:val="0"/>
              <w:adjustRightInd w:val="0"/>
              <w:spacing w:after="0"/>
              <w:ind w:firstLine="720"/>
              <w:cnfStyle w:val="000000100000" w:firstRow="0" w:lastRow="0" w:firstColumn="0" w:lastColumn="0" w:oddVBand="0" w:evenVBand="0" w:oddHBand="1" w:evenHBand="0" w:firstRowFirstColumn="0" w:firstRowLastColumn="0" w:lastRowFirstColumn="0" w:lastRowLastColumn="0"/>
              <w:rPr>
                <w:color w:val="000000" w:themeColor="text1"/>
                <w:sz w:val="22"/>
                <w:szCs w:val="22"/>
                <w:lang w:bidi="lo-LA"/>
              </w:rPr>
            </w:pPr>
            <w:r w:rsidRPr="00482AA0">
              <w:rPr>
                <w:color w:val="000000" w:themeColor="text1"/>
                <w:sz w:val="22"/>
                <w:szCs w:val="22"/>
                <w:lang w:bidi="lo-LA"/>
              </w:rPr>
              <w:t xml:space="preserve">Uz 2018.gada 1.jūliju pacientu gaidīšanas </w:t>
            </w:r>
            <w:r w:rsidRPr="00482AA0">
              <w:rPr>
                <w:b/>
                <w:bCs/>
                <w:color w:val="000000" w:themeColor="text1"/>
                <w:sz w:val="22"/>
                <w:szCs w:val="22"/>
                <w:lang w:bidi="lo-LA"/>
              </w:rPr>
              <w:t>rindas uz ambulatorajiem izmeklējumiem un terapiju ir samazinājušās</w:t>
            </w:r>
            <w:r w:rsidRPr="00482AA0">
              <w:rPr>
                <w:color w:val="000000" w:themeColor="text1"/>
                <w:sz w:val="22"/>
                <w:szCs w:val="22"/>
                <w:lang w:bidi="lo-LA"/>
              </w:rPr>
              <w:t xml:space="preserve"> vidēji līdz 36,83 dienām salīdzinājumā ar situāciju pirms reformu uzsākšanas, kad vidējais gaidīšanas laiks bija līdz 40,39 dienām. 2018.gada 1.pusgadā rindu samazinājums nodrošināts par </w:t>
            </w:r>
            <w:r w:rsidRPr="00482AA0">
              <w:rPr>
                <w:b/>
                <w:color w:val="000000" w:themeColor="text1"/>
                <w:sz w:val="22"/>
                <w:szCs w:val="22"/>
                <w:lang w:bidi="lo-LA"/>
              </w:rPr>
              <w:t>8,81%</w:t>
            </w:r>
            <w:r w:rsidRPr="00482AA0">
              <w:rPr>
                <w:color w:val="000000" w:themeColor="text1"/>
                <w:sz w:val="22"/>
                <w:szCs w:val="22"/>
                <w:lang w:bidi="lo-LA"/>
              </w:rPr>
              <w:t xml:space="preserve"> no sākotnējā rindu apjoma, savukārt rindu samazinājums bez pacientu uzvedības maiņas nodrošināts </w:t>
            </w:r>
            <w:r w:rsidRPr="00482AA0">
              <w:rPr>
                <w:b/>
                <w:color w:val="000000" w:themeColor="text1"/>
                <w:sz w:val="22"/>
                <w:szCs w:val="22"/>
                <w:lang w:bidi="lo-LA"/>
              </w:rPr>
              <w:t>21,85%</w:t>
            </w:r>
            <w:r w:rsidRPr="00482AA0">
              <w:rPr>
                <w:color w:val="000000" w:themeColor="text1"/>
                <w:sz w:val="22"/>
                <w:szCs w:val="22"/>
                <w:lang w:bidi="lo-LA"/>
              </w:rPr>
              <w:t xml:space="preserve"> apmērā.</w:t>
            </w:r>
          </w:p>
          <w:p w14:paraId="12E29A67" w14:textId="77777777" w:rsidR="008E76F5" w:rsidRPr="00482AA0" w:rsidRDefault="008E76F5" w:rsidP="005D4BF2">
            <w:pPr>
              <w:autoSpaceDE w:val="0"/>
              <w:autoSpaceDN w:val="0"/>
              <w:adjustRightInd w:val="0"/>
              <w:spacing w:after="0"/>
              <w:ind w:firstLine="720"/>
              <w:cnfStyle w:val="000000100000" w:firstRow="0" w:lastRow="0" w:firstColumn="0" w:lastColumn="0" w:oddVBand="0" w:evenVBand="0" w:oddHBand="1" w:evenHBand="0" w:firstRowFirstColumn="0" w:firstRowLastColumn="0" w:lastRowFirstColumn="0" w:lastRowLastColumn="0"/>
              <w:rPr>
                <w:color w:val="000000" w:themeColor="text1"/>
                <w:sz w:val="22"/>
                <w:szCs w:val="22"/>
                <w:lang w:bidi="lo-LA"/>
              </w:rPr>
            </w:pPr>
            <w:r w:rsidRPr="00482AA0">
              <w:rPr>
                <w:color w:val="000000" w:themeColor="text1"/>
                <w:sz w:val="22"/>
                <w:szCs w:val="22"/>
                <w:lang w:bidi="lo-LA"/>
              </w:rPr>
              <w:t xml:space="preserve">Uz 2018.gada 1.jūliju pacientu gaidīšanas </w:t>
            </w:r>
            <w:r w:rsidRPr="00482AA0">
              <w:rPr>
                <w:b/>
                <w:bCs/>
                <w:color w:val="000000" w:themeColor="text1"/>
                <w:sz w:val="22"/>
                <w:szCs w:val="22"/>
                <w:lang w:bidi="lo-LA"/>
              </w:rPr>
              <w:t>rindas uz dienas stacionārā sniegtajiem pakalpojumiem ir samazinājušās</w:t>
            </w:r>
            <w:r w:rsidRPr="00482AA0">
              <w:rPr>
                <w:color w:val="000000" w:themeColor="text1"/>
                <w:sz w:val="22"/>
                <w:szCs w:val="22"/>
                <w:lang w:bidi="lo-LA"/>
              </w:rPr>
              <w:t xml:space="preserve"> vidēji līdz 148,50 dienām salīdzinājumā ar situāciju pirms reformu uzsākšanas, kad vidējais gaidīšanas laiks bija līdz 407 dienām. 2018.gada 1.pusgadā rindu samazinājums nodrošināts par </w:t>
            </w:r>
            <w:r w:rsidRPr="00482AA0">
              <w:rPr>
                <w:b/>
                <w:color w:val="000000" w:themeColor="text1"/>
                <w:sz w:val="22"/>
                <w:szCs w:val="22"/>
                <w:lang w:bidi="lo-LA"/>
              </w:rPr>
              <w:t>63,51%</w:t>
            </w:r>
            <w:r w:rsidRPr="00482AA0">
              <w:rPr>
                <w:color w:val="000000" w:themeColor="text1"/>
                <w:sz w:val="22"/>
                <w:szCs w:val="22"/>
                <w:lang w:bidi="lo-LA"/>
              </w:rPr>
              <w:t xml:space="preserve"> no sākotnējā rindu apjoma, savukārt rindu samazinājums bez pacientu uzvedības maiņas nodrošināts </w:t>
            </w:r>
            <w:r w:rsidRPr="00482AA0">
              <w:rPr>
                <w:b/>
                <w:color w:val="000000" w:themeColor="text1"/>
                <w:sz w:val="22"/>
                <w:szCs w:val="22"/>
                <w:lang w:bidi="lo-LA"/>
              </w:rPr>
              <w:t>68,73%</w:t>
            </w:r>
            <w:r w:rsidRPr="00482AA0">
              <w:rPr>
                <w:color w:val="000000" w:themeColor="text1"/>
                <w:sz w:val="22"/>
                <w:szCs w:val="22"/>
                <w:lang w:bidi="lo-LA"/>
              </w:rPr>
              <w:t xml:space="preserve"> apmērā.</w:t>
            </w:r>
          </w:p>
          <w:p w14:paraId="1A4A0CA7" w14:textId="77777777" w:rsidR="008E76F5" w:rsidRPr="00482AA0" w:rsidRDefault="008E76F5" w:rsidP="005D4BF2">
            <w:pPr>
              <w:spacing w:after="0"/>
              <w:ind w:firstLine="720"/>
              <w:cnfStyle w:val="000000100000" w:firstRow="0" w:lastRow="0" w:firstColumn="0" w:lastColumn="0" w:oddVBand="0" w:evenVBand="0" w:oddHBand="1" w:evenHBand="0" w:firstRowFirstColumn="0" w:firstRowLastColumn="0" w:lastRowFirstColumn="0" w:lastRowLastColumn="0"/>
              <w:rPr>
                <w:color w:val="000000" w:themeColor="text1"/>
                <w:sz w:val="22"/>
                <w:szCs w:val="22"/>
                <w:lang w:bidi="lo-LA"/>
              </w:rPr>
            </w:pPr>
            <w:r w:rsidRPr="00482AA0">
              <w:rPr>
                <w:color w:val="000000" w:themeColor="text1"/>
                <w:sz w:val="22"/>
                <w:szCs w:val="22"/>
                <w:lang w:bidi="lo-LA"/>
              </w:rPr>
              <w:t xml:space="preserve">Uz 2018.gada 1.jūliju pacientu gaidīšanas </w:t>
            </w:r>
            <w:r w:rsidRPr="00482AA0">
              <w:rPr>
                <w:b/>
                <w:bCs/>
                <w:color w:val="000000" w:themeColor="text1"/>
                <w:sz w:val="22"/>
                <w:szCs w:val="22"/>
                <w:lang w:bidi="lo-LA"/>
              </w:rPr>
              <w:t>rindas uz ambulatorās rehabilitācijas pakalpojumiem ir samazinājušās</w:t>
            </w:r>
            <w:r w:rsidRPr="00482AA0">
              <w:rPr>
                <w:color w:val="000000" w:themeColor="text1"/>
                <w:sz w:val="22"/>
                <w:szCs w:val="22"/>
                <w:lang w:bidi="lo-LA"/>
              </w:rPr>
              <w:t xml:space="preserve"> vidēji līdz 294,80 dienām salīdzinājumā ar situāciju pirms reformu uzsākšanas, kad vidējais gaidīšanas laiks bija līdz 500,2 dienām. Ņemot vērā ievērojamo rindu garumu uz rehabilitācijas pakalpojumiem rindu samazinājums ir ļoti būtisks  pieejamības uzlabojums pacientiem. </w:t>
            </w:r>
            <w:r w:rsidRPr="00482AA0">
              <w:rPr>
                <w:b/>
                <w:color w:val="000000" w:themeColor="text1"/>
                <w:sz w:val="22"/>
                <w:szCs w:val="22"/>
                <w:lang w:bidi="lo-LA"/>
              </w:rPr>
              <w:t>41,06%</w:t>
            </w:r>
            <w:r w:rsidRPr="00482AA0">
              <w:rPr>
                <w:color w:val="000000" w:themeColor="text1"/>
                <w:sz w:val="22"/>
                <w:szCs w:val="22"/>
                <w:lang w:bidi="lo-LA"/>
              </w:rPr>
              <w:t xml:space="preserve"> rindu samazinājums saīsinājis gaidīšanas rindu vairāk kā par aptuveni 7 mēnešiem, savukārt rindu samazinājums bez pacientu uzvedības maiņas nodrošināts </w:t>
            </w:r>
            <w:r w:rsidRPr="00482AA0">
              <w:rPr>
                <w:b/>
                <w:color w:val="000000" w:themeColor="text1"/>
                <w:sz w:val="22"/>
                <w:szCs w:val="22"/>
                <w:lang w:bidi="lo-LA"/>
              </w:rPr>
              <w:t>49,49%</w:t>
            </w:r>
            <w:r w:rsidRPr="00482AA0">
              <w:rPr>
                <w:color w:val="000000" w:themeColor="text1"/>
                <w:sz w:val="22"/>
                <w:szCs w:val="22"/>
                <w:lang w:bidi="lo-LA"/>
              </w:rPr>
              <w:t xml:space="preserve"> apmērā.</w:t>
            </w:r>
          </w:p>
          <w:p w14:paraId="25D43517" w14:textId="77777777" w:rsidR="008E76F5" w:rsidRPr="00482AA0" w:rsidRDefault="008E76F5" w:rsidP="005D4BF2">
            <w:pPr>
              <w:spacing w:after="0"/>
              <w:ind w:firstLine="720"/>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Ar Ministru kabineta 2018.gada 18.decembra sēdes lēmumu (prot. Nr.60, 88.§) tika atbalstīts papildus finansējums:</w:t>
            </w:r>
          </w:p>
          <w:p w14:paraId="590585B3" w14:textId="77777777" w:rsidR="008E76F5" w:rsidRPr="00B501C3" w:rsidRDefault="008E76F5" w:rsidP="00B501C3">
            <w:pPr>
              <w:spacing w:after="0"/>
              <w:ind w:firstLine="720"/>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w:t>
            </w:r>
            <w:r w:rsidRPr="00482AA0">
              <w:rPr>
                <w:color w:val="000000" w:themeColor="text1"/>
                <w:sz w:val="22"/>
                <w:szCs w:val="22"/>
              </w:rPr>
              <w:t xml:space="preserve"> </w:t>
            </w:r>
            <w:r w:rsidRPr="00B501C3">
              <w:rPr>
                <w:color w:val="000000" w:themeColor="text1"/>
                <w:sz w:val="22"/>
                <w:szCs w:val="22"/>
              </w:rPr>
              <w:t xml:space="preserve">darba samaksas pieaugumam ārstniecības personām, tai skaitā rezidentiem, pārējam personālam valsts apmaksāto veselības aprūpes pakalpojumu sniegšanas nodrošināšanai, kas nav ārstniecības personas (integrēšanai tarifos), reģistru uzturēšanā un metodiski organizatoriskā darbā iesaistītām ārstniecības personām un neatliekamās medicīniskās palīdzības brigādes operatīvā medicīniskā transportlīdzekļa vadītājiem 2019.gadam un turpmāk ik gadu 83 315 880 </w:t>
            </w:r>
            <w:r w:rsidRPr="00B501C3">
              <w:rPr>
                <w:i/>
                <w:color w:val="000000" w:themeColor="text1"/>
                <w:sz w:val="22"/>
                <w:szCs w:val="22"/>
              </w:rPr>
              <w:t>euro</w:t>
            </w:r>
            <w:r w:rsidRPr="00B501C3">
              <w:rPr>
                <w:color w:val="000000" w:themeColor="text1"/>
                <w:sz w:val="22"/>
                <w:szCs w:val="22"/>
              </w:rPr>
              <w:t xml:space="preserve"> apmērā;</w:t>
            </w:r>
          </w:p>
          <w:p w14:paraId="43E715C5" w14:textId="77777777" w:rsidR="008E76F5" w:rsidRPr="00B501C3" w:rsidRDefault="008E76F5" w:rsidP="00B501C3">
            <w:pPr>
              <w:spacing w:after="0"/>
              <w:ind w:firstLine="720"/>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w:t>
            </w:r>
            <w:r w:rsidRPr="00482AA0">
              <w:rPr>
                <w:color w:val="000000" w:themeColor="text1"/>
                <w:sz w:val="22"/>
                <w:szCs w:val="22"/>
              </w:rPr>
              <w:t xml:space="preserve"> </w:t>
            </w:r>
            <w:r w:rsidRPr="00B501C3">
              <w:rPr>
                <w:color w:val="000000" w:themeColor="text1"/>
                <w:sz w:val="22"/>
                <w:szCs w:val="22"/>
              </w:rPr>
              <w:t xml:space="preserve">papildu finansējumu plānotajam darba samaksas pieaugumam Veselības ministrijas, Iekšlietu ministrijas, Labklājības ministrijas un </w:t>
            </w:r>
            <w:r w:rsidR="006A676E">
              <w:rPr>
                <w:color w:val="000000" w:themeColor="text1"/>
                <w:sz w:val="22"/>
                <w:szCs w:val="22"/>
              </w:rPr>
              <w:t>IZM</w:t>
            </w:r>
            <w:r w:rsidRPr="00B501C3">
              <w:rPr>
                <w:color w:val="000000" w:themeColor="text1"/>
                <w:sz w:val="22"/>
                <w:szCs w:val="22"/>
              </w:rPr>
              <w:t xml:space="preserve">, citu budžeta resoru padotības iestāžu ārstniecības personām, uz kurām ir attiecināms Valsts un pašvaldību institūciju amatpersonu un darbinieku atlīdzības likumā noteiktās mēnešalgu grupu maksimālās mēnešalgas, tai skaitā saistībā ar pagarinātā normālā darba laika atcelšanu, un Labklājības ministrijas līgumorganizāciju, kuras sociālos pakalpojumus sniedz uz līguma par valsts pārvaldes deleģēto funkciju izpildi vai publiskā iepirkuma pamata, ārstniecības personām, kuras sniedz valsts apmaksātos veselības aprūpes pakalpojumus, darba samaksas palielināšanai 2019.gadam un turpmāk ik gadu 4 167 828 </w:t>
            </w:r>
            <w:r w:rsidRPr="00B501C3">
              <w:rPr>
                <w:i/>
                <w:color w:val="000000" w:themeColor="text1"/>
                <w:sz w:val="22"/>
                <w:szCs w:val="22"/>
              </w:rPr>
              <w:t>euro</w:t>
            </w:r>
            <w:r w:rsidRPr="00B501C3">
              <w:rPr>
                <w:color w:val="000000" w:themeColor="text1"/>
                <w:sz w:val="22"/>
                <w:szCs w:val="22"/>
              </w:rPr>
              <w:t xml:space="preserve"> apmērā;</w:t>
            </w:r>
          </w:p>
          <w:p w14:paraId="133AF612" w14:textId="77777777" w:rsidR="008E76F5" w:rsidRPr="00482AA0" w:rsidRDefault="008E76F5" w:rsidP="00B501C3">
            <w:pPr>
              <w:spacing w:after="0"/>
              <w:ind w:firstLine="720"/>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u w:val="single"/>
              </w:rPr>
            </w:pPr>
            <w:r>
              <w:rPr>
                <w:color w:val="000000" w:themeColor="text1"/>
                <w:sz w:val="22"/>
                <w:szCs w:val="22"/>
              </w:rPr>
              <w:t>–</w:t>
            </w:r>
            <w:r w:rsidRPr="00482AA0">
              <w:rPr>
                <w:color w:val="000000" w:themeColor="text1"/>
                <w:sz w:val="22"/>
                <w:szCs w:val="22"/>
              </w:rPr>
              <w:t xml:space="preserve"> Ar Ministru kabineta 2019.gada 5.februāra sēdes lēmumu ir apstiprināta precizētā Veselības </w:t>
            </w:r>
            <w:r w:rsidRPr="00482AA0">
              <w:rPr>
                <w:color w:val="000000" w:themeColor="text1"/>
                <w:sz w:val="22"/>
                <w:szCs w:val="22"/>
              </w:rPr>
              <w:lastRenderedPageBreak/>
              <w:t xml:space="preserve">ministrijas budžeta bāze 2019.2021,gadam, </w:t>
            </w:r>
            <w:r w:rsidRPr="00B501C3">
              <w:rPr>
                <w:color w:val="000000" w:themeColor="text1"/>
                <w:sz w:val="22"/>
                <w:szCs w:val="22"/>
              </w:rPr>
              <w:t>atbilstoši Satversmes tiesas 2018.gada 15.maija spriedumu lietā Nr.2017–15–01 nolemtajam,</w:t>
            </w:r>
            <w:r w:rsidRPr="00482AA0">
              <w:rPr>
                <w:color w:val="000000" w:themeColor="text1"/>
                <w:sz w:val="22"/>
                <w:szCs w:val="22"/>
              </w:rPr>
              <w:t xml:space="preserve"> par veicamo pārdali no budžeta resora “</w:t>
            </w:r>
            <w:r>
              <w:rPr>
                <w:color w:val="000000" w:themeColor="text1"/>
                <w:sz w:val="22"/>
                <w:szCs w:val="22"/>
              </w:rPr>
              <w:t xml:space="preserve"> </w:t>
            </w:r>
            <w:r w:rsidRPr="00482AA0">
              <w:rPr>
                <w:color w:val="000000" w:themeColor="text1"/>
                <w:sz w:val="22"/>
                <w:szCs w:val="22"/>
              </w:rPr>
              <w:t xml:space="preserve">74.Gadskārtējā valsts budžeta izpildes procesā pārdalāmais finansējums” 08.00.00 programmā “Veselības aprūpes sistēmas reformas ieviešanas finansējums” </w:t>
            </w:r>
            <w:r w:rsidRPr="00B501C3">
              <w:rPr>
                <w:color w:val="000000" w:themeColor="text1"/>
                <w:sz w:val="22"/>
                <w:szCs w:val="22"/>
              </w:rPr>
              <w:t xml:space="preserve">2019.gadā 11 297 326 </w:t>
            </w:r>
            <w:r w:rsidRPr="00B501C3">
              <w:rPr>
                <w:i/>
                <w:color w:val="000000" w:themeColor="text1"/>
                <w:sz w:val="22"/>
                <w:szCs w:val="22"/>
              </w:rPr>
              <w:t>euro</w:t>
            </w:r>
            <w:r>
              <w:rPr>
                <w:i/>
                <w:iCs/>
                <w:color w:val="000000" w:themeColor="text1"/>
                <w:sz w:val="22"/>
                <w:szCs w:val="22"/>
                <w:u w:val="single"/>
              </w:rPr>
              <w:t xml:space="preserve"> </w:t>
            </w:r>
            <w:r w:rsidRPr="00482AA0">
              <w:rPr>
                <w:color w:val="000000" w:themeColor="text1"/>
                <w:sz w:val="22"/>
                <w:szCs w:val="22"/>
                <w:u w:val="single"/>
              </w:rPr>
              <w:t>apmērā</w:t>
            </w:r>
            <w:r>
              <w:rPr>
                <w:i/>
                <w:iCs/>
                <w:color w:val="000000" w:themeColor="text1"/>
                <w:sz w:val="22"/>
                <w:szCs w:val="22"/>
                <w:u w:val="single"/>
              </w:rPr>
              <w:t xml:space="preserve"> </w:t>
            </w:r>
            <w:r w:rsidRPr="00482AA0">
              <w:rPr>
                <w:color w:val="000000" w:themeColor="text1"/>
                <w:sz w:val="22"/>
                <w:szCs w:val="22"/>
                <w:u w:val="single"/>
              </w:rPr>
              <w:t>2020.gadā un turpmāk ik gadu 16 097</w:t>
            </w:r>
            <w:r w:rsidRPr="00B501C3">
              <w:rPr>
                <w:color w:val="000000" w:themeColor="text1"/>
                <w:sz w:val="22"/>
                <w:szCs w:val="22"/>
                <w:u w:val="single"/>
              </w:rPr>
              <w:t> </w:t>
            </w:r>
            <w:r w:rsidRPr="00482AA0">
              <w:rPr>
                <w:color w:val="000000" w:themeColor="text1"/>
                <w:sz w:val="22"/>
                <w:szCs w:val="22"/>
                <w:u w:val="single"/>
              </w:rPr>
              <w:t>729</w:t>
            </w:r>
            <w:r w:rsidRPr="00482AA0">
              <w:rPr>
                <w:i/>
                <w:iCs/>
                <w:color w:val="000000" w:themeColor="text1"/>
                <w:sz w:val="22"/>
                <w:szCs w:val="22"/>
                <w:u w:val="single"/>
              </w:rPr>
              <w:t xml:space="preserve"> euro </w:t>
            </w:r>
            <w:r w:rsidRPr="00482AA0">
              <w:rPr>
                <w:color w:val="000000" w:themeColor="text1"/>
                <w:sz w:val="22"/>
                <w:szCs w:val="22"/>
                <w:u w:val="single"/>
              </w:rPr>
              <w:t>apmērā, lai nodrošinātu pakāpenisku atteikšanos no pagarinātā normālā darba laika;</w:t>
            </w:r>
          </w:p>
          <w:p w14:paraId="57FEB94D" w14:textId="77777777" w:rsidR="008E76F5" w:rsidRPr="00482AA0" w:rsidRDefault="008E76F5" w:rsidP="005D4BF2">
            <w:pPr>
              <w:spacing w:after="0"/>
              <w:contextualSpacing/>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w:t>
            </w:r>
            <w:r w:rsidRPr="00482AA0">
              <w:rPr>
                <w:color w:val="000000" w:themeColor="text1"/>
                <w:sz w:val="22"/>
                <w:szCs w:val="22"/>
              </w:rPr>
              <w:t xml:space="preserve"> veselības aprūpes sistēmas reformas ieviešanai atbilstoši </w:t>
            </w:r>
            <w:r w:rsidR="00430175">
              <w:rPr>
                <w:color w:val="000000" w:themeColor="text1"/>
                <w:sz w:val="22"/>
                <w:szCs w:val="22"/>
              </w:rPr>
              <w:t>EK</w:t>
            </w:r>
            <w:r w:rsidRPr="00482AA0">
              <w:rPr>
                <w:color w:val="000000" w:themeColor="text1"/>
                <w:sz w:val="22"/>
                <w:szCs w:val="22"/>
              </w:rPr>
              <w:t xml:space="preserve"> pieļautajai deficīta atkāpei 2019.gadam </w:t>
            </w:r>
            <w:r w:rsidRPr="00B501C3">
              <w:rPr>
                <w:color w:val="000000" w:themeColor="text1"/>
                <w:sz w:val="22"/>
                <w:szCs w:val="22"/>
              </w:rPr>
              <w:t xml:space="preserve">budžeta resora "74. Gadskārtējā valsts budžeta izpildes procesā pārdalāmais finansējums" 08.00.00 programmā "Veselības aprūpes sistēmas reformas ieviešanas finansējums" rezervēts finansējums 154 205 000 </w:t>
            </w:r>
            <w:r w:rsidRPr="00B501C3">
              <w:rPr>
                <w:i/>
                <w:color w:val="000000" w:themeColor="text1"/>
                <w:sz w:val="22"/>
                <w:szCs w:val="22"/>
              </w:rPr>
              <w:t>euro</w:t>
            </w:r>
            <w:r w:rsidRPr="00B501C3">
              <w:rPr>
                <w:color w:val="000000" w:themeColor="text1"/>
                <w:sz w:val="22"/>
                <w:szCs w:val="22"/>
              </w:rPr>
              <w:t xml:space="preserve"> apmērā, tai skaitā: 114 224 007 </w:t>
            </w:r>
            <w:r w:rsidRPr="00B501C3">
              <w:rPr>
                <w:i/>
                <w:color w:val="000000" w:themeColor="text1"/>
                <w:sz w:val="22"/>
                <w:szCs w:val="22"/>
              </w:rPr>
              <w:t>euro</w:t>
            </w:r>
            <w:r w:rsidRPr="00B501C3">
              <w:rPr>
                <w:color w:val="000000" w:themeColor="text1"/>
                <w:sz w:val="22"/>
                <w:szCs w:val="22"/>
              </w:rPr>
              <w:t xml:space="preserve">, lai turpinātu 2018.gadā uzsākto pasākumu īstenošanu veselības aprūpes pakalpojumu pieejamības uzlabošanai, un 39 980 993 </w:t>
            </w:r>
            <w:r w:rsidRPr="00B501C3">
              <w:rPr>
                <w:i/>
                <w:color w:val="000000" w:themeColor="text1"/>
                <w:sz w:val="22"/>
                <w:szCs w:val="22"/>
              </w:rPr>
              <w:t>euro</w:t>
            </w:r>
            <w:r w:rsidRPr="00B501C3">
              <w:rPr>
                <w:color w:val="000000" w:themeColor="text1"/>
                <w:sz w:val="22"/>
                <w:szCs w:val="22"/>
              </w:rPr>
              <w:t xml:space="preserve">, lai nodrošinātu jaunu pasākumu īstenošanu veselības aprūpes pakalpojumu pieejamības uzlabošanai. </w:t>
            </w:r>
            <w:r w:rsidRPr="00482AA0">
              <w:rPr>
                <w:color w:val="000000" w:themeColor="text1"/>
                <w:sz w:val="22"/>
                <w:szCs w:val="22"/>
              </w:rPr>
              <w:t xml:space="preserve">Piešķirto finansējumu reformu ieviešanai 2019.gadā tiek plānots novirzīt </w:t>
            </w:r>
            <w:r w:rsidRPr="00482AA0">
              <w:rPr>
                <w:color w:val="000000" w:themeColor="text1"/>
                <w:sz w:val="22"/>
                <w:szCs w:val="22"/>
                <w:u w:val="single"/>
              </w:rPr>
              <w:t>veselības aprūpes pakalpojumu pieejamības uzlabošanai (ambulatoriem un stacionāriem pakalpojumiem), primārai veselības aprūpei, onkoloģisko saslimšanu diagnostikas un ārstēšanas pieejamības uzlabošanai, infekcijas slimību izplatības mazināšanai, sirds</w:t>
            </w:r>
            <w:r>
              <w:rPr>
                <w:color w:val="000000" w:themeColor="text1"/>
                <w:sz w:val="22"/>
                <w:szCs w:val="22"/>
                <w:u w:val="single"/>
              </w:rPr>
              <w:t>–</w:t>
            </w:r>
            <w:r w:rsidRPr="00482AA0">
              <w:rPr>
                <w:color w:val="000000" w:themeColor="text1"/>
                <w:sz w:val="22"/>
                <w:szCs w:val="22"/>
                <w:u w:val="single"/>
              </w:rPr>
              <w:t>asinsvadu programmai, ārstniecības iestāžu reformai, rehabilitācijas pakalpojumu stratēģiskajam iepirkumam, kā arī vides uzlabošanai un infrastruktūras efektivizēšanai</w:t>
            </w:r>
            <w:r w:rsidRPr="00482AA0">
              <w:rPr>
                <w:color w:val="000000" w:themeColor="text1"/>
                <w:sz w:val="22"/>
                <w:szCs w:val="22"/>
              </w:rPr>
              <w:t>.</w:t>
            </w:r>
          </w:p>
          <w:p w14:paraId="6217919E" w14:textId="77777777" w:rsidR="008E76F5" w:rsidRPr="00482AA0" w:rsidRDefault="008E76F5" w:rsidP="006A7563">
            <w:p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highlight w:val="green"/>
              </w:rPr>
            </w:pPr>
            <w:r>
              <w:rPr>
                <w:color w:val="000000" w:themeColor="text1"/>
                <w:sz w:val="22"/>
                <w:szCs w:val="22"/>
              </w:rPr>
              <w:t>2018.</w:t>
            </w:r>
            <w:r w:rsidRPr="00482AA0">
              <w:rPr>
                <w:color w:val="000000" w:themeColor="text1"/>
                <w:sz w:val="22"/>
                <w:szCs w:val="22"/>
              </w:rPr>
              <w:t>gada oktobrī Nacionālais veselības dienests noslēdza medicīniskās rehabilitācijas pakalpojumu stratēģisko iepirkumu. 2019.gadā Nacionālais veselības dienests plāno uzsākt psihiskās veselības aprūpes pakalpojumu stratēģisko iepirkumu.</w:t>
            </w:r>
          </w:p>
        </w:tc>
      </w:tr>
      <w:tr w:rsidR="005119CA" w:rsidRPr="00482AA0" w14:paraId="1FAFCEB0" w14:textId="77777777" w:rsidTr="008E76F5">
        <w:trPr>
          <w:trHeight w:val="1325"/>
        </w:trPr>
        <w:tc>
          <w:tcPr>
            <w:cnfStyle w:val="001000000000" w:firstRow="0" w:lastRow="0" w:firstColumn="1" w:lastColumn="0" w:oddVBand="0" w:evenVBand="0" w:oddHBand="0" w:evenHBand="0" w:firstRowFirstColumn="0" w:firstRowLastColumn="0" w:lastRowFirstColumn="0" w:lastRowLastColumn="0"/>
            <w:tcW w:w="915" w:type="dxa"/>
            <w:vAlign w:val="center"/>
          </w:tcPr>
          <w:p w14:paraId="7EF562AE" w14:textId="77777777" w:rsidR="005119CA" w:rsidRPr="00482AA0" w:rsidRDefault="005119CA" w:rsidP="008E76F5">
            <w:pPr>
              <w:ind w:right="34" w:firstLine="0"/>
              <w:jc w:val="center"/>
              <w:rPr>
                <w:color w:val="000000" w:themeColor="text1"/>
                <w:sz w:val="22"/>
                <w:szCs w:val="22"/>
              </w:rPr>
            </w:pPr>
            <w:r w:rsidRPr="00482AA0">
              <w:rPr>
                <w:color w:val="000000" w:themeColor="text1"/>
                <w:sz w:val="22"/>
                <w:szCs w:val="22"/>
              </w:rPr>
              <w:lastRenderedPageBreak/>
              <w:t>3</w:t>
            </w:r>
          </w:p>
        </w:tc>
        <w:tc>
          <w:tcPr>
            <w:tcW w:w="4325" w:type="dxa"/>
          </w:tcPr>
          <w:p w14:paraId="26D7A433" w14:textId="77777777" w:rsidR="00044A7B" w:rsidRDefault="00DC4DBE"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C4DBE">
              <w:rPr>
                <w:color w:val="000000" w:themeColor="text1"/>
                <w:sz w:val="22"/>
                <w:szCs w:val="22"/>
              </w:rPr>
              <w:t xml:space="preserve">Uzlabot publiskā sektora efektivitāti, jo īpaši attiecībā uz pašvaldībām un valsts uzņēmumiem. </w:t>
            </w:r>
          </w:p>
          <w:p w14:paraId="39C2FD16" w14:textId="77777777" w:rsidR="00044A7B" w:rsidRDefault="00044A7B"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0874168D" w14:textId="77777777" w:rsidR="00044A7B" w:rsidRDefault="00044A7B"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6891E5BA" w14:textId="77777777" w:rsidR="00044A7B" w:rsidRDefault="00044A7B"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40270DDA" w14:textId="77777777" w:rsidR="00044A7B" w:rsidRDefault="00044A7B"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354B32A5" w14:textId="77777777" w:rsidR="00044A7B" w:rsidRDefault="00044A7B"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20E2C49A" w14:textId="77777777" w:rsidR="00044A7B" w:rsidRDefault="00044A7B"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369D078F" w14:textId="77777777" w:rsidR="00044A7B" w:rsidRDefault="00044A7B"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4137DAF5" w14:textId="77777777" w:rsidR="00044A7B" w:rsidRDefault="00044A7B"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16D7B2F6" w14:textId="77777777" w:rsidR="00044A7B" w:rsidRDefault="00044A7B"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6BF9458E" w14:textId="77777777" w:rsidR="005119CA" w:rsidRPr="00482AA0" w:rsidRDefault="00DC4DBE" w:rsidP="00DC4DBE">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C4DBE">
              <w:rPr>
                <w:color w:val="000000" w:themeColor="text1"/>
                <w:sz w:val="22"/>
                <w:szCs w:val="22"/>
              </w:rPr>
              <w:t xml:space="preserve">Stiprināt valsts pārvaldes pārskatatbildību, aizsargājot trauksmes cēlējus, novēršot interešu konfliktus un ņemot vērā iepriekšējo maksātnespējas procesu </w:t>
            </w:r>
            <w:r w:rsidRPr="00DC4DBE">
              <w:rPr>
                <w:color w:val="000000" w:themeColor="text1"/>
                <w:sz w:val="22"/>
                <w:szCs w:val="22"/>
              </w:rPr>
              <w:lastRenderedPageBreak/>
              <w:t>izvērtēšanas rezultātus.</w:t>
            </w:r>
          </w:p>
        </w:tc>
        <w:tc>
          <w:tcPr>
            <w:tcW w:w="9468" w:type="dxa"/>
          </w:tcPr>
          <w:p w14:paraId="54EE4FA5" w14:textId="77777777" w:rsidR="005119CA" w:rsidRPr="00482AA0" w:rsidRDefault="005119CA" w:rsidP="005D4BF2">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82AA0">
              <w:rPr>
                <w:color w:val="000000" w:themeColor="text1"/>
                <w:sz w:val="22"/>
                <w:szCs w:val="22"/>
              </w:rPr>
              <w:lastRenderedPageBreak/>
              <w:t>2018.gada 4.jūlijā Eiropas Padomes Moneyval komitejas plenārsēdē apstiprinātajā 5.kārtas ziņojumā Latvijas spēja novērst juridisko personu un juridisko veidojumu izmantošanu noziedzīgiem nolūkiem novērtēta kā zema. Moneyval efektivitātes stiprināšanai minētajā jomā noteica virkni rekomendāciju, kuru ieviešanai nepieciešamos pasākumus Latvijas vald</w:t>
            </w:r>
            <w:r>
              <w:rPr>
                <w:color w:val="000000" w:themeColor="text1"/>
                <w:sz w:val="22"/>
                <w:szCs w:val="22"/>
              </w:rPr>
              <w:t>ība nostiprināja 2018.gada 11.</w:t>
            </w:r>
            <w:r w:rsidRPr="00482AA0">
              <w:rPr>
                <w:color w:val="000000" w:themeColor="text1"/>
                <w:sz w:val="22"/>
                <w:szCs w:val="22"/>
              </w:rPr>
              <w:t>oktobrī apstiprinot pasākumu plānu noziedzīgi iegūtu līdzekļu legalizācijas un terorisma finansēšanas n</w:t>
            </w:r>
            <w:r>
              <w:rPr>
                <w:color w:val="000000" w:themeColor="text1"/>
                <w:sz w:val="22"/>
                <w:szCs w:val="22"/>
              </w:rPr>
              <w:t>ovēršanai laikposmam līdz 2019.gada 31.</w:t>
            </w:r>
            <w:r w:rsidRPr="00482AA0">
              <w:rPr>
                <w:color w:val="000000" w:themeColor="text1"/>
                <w:sz w:val="22"/>
                <w:szCs w:val="22"/>
              </w:rPr>
              <w:t xml:space="preserve">decembrim. Lai novērstu juridisko personu ar augstāko riska pakāpi izmantošana noziedzīgiem mērķiem un nodrošinātu prasībām atbilstošu juridisko personu patieso labuma guvēju informācijas reģistrāciju un pieejamību, minētais pasākumu plāns paredz vairākus uzdevumus, kuriem nepieciešams papildus finansējums valsts budžetā un, kas palielinās publiskā sektora efektivitāti un atbildību, tai skaitā tostarp vienkāršojot arī administratīvās reģistrācijas procedūras Uzņēmumu reģistrā. Lielāks uzņēmējdarbības vides caurspīdīgums veicinās tās drošību un mazinās juridisko personu izmantošanas iespējas noziedzīgiem nolūkiem. </w:t>
            </w:r>
          </w:p>
          <w:p w14:paraId="55725EE8" w14:textId="77777777" w:rsidR="005119CA" w:rsidRPr="00482AA0" w:rsidRDefault="005119CA" w:rsidP="005D4BF2">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82AA0">
              <w:rPr>
                <w:color w:val="000000" w:themeColor="text1"/>
                <w:sz w:val="22"/>
                <w:szCs w:val="22"/>
              </w:rPr>
              <w:t>Paredzēts, ka modernizējot Uzņēmumu reģistra sniegtos pakalpojumus, tiks radīti inovācijās balstīti e</w:t>
            </w:r>
            <w:r w:rsidR="00A67950">
              <w:rPr>
                <w:color w:val="000000" w:themeColor="text1"/>
                <w:sz w:val="22"/>
                <w:szCs w:val="22"/>
              </w:rPr>
              <w:t>–</w:t>
            </w:r>
            <w:r w:rsidRPr="00482AA0">
              <w:rPr>
                <w:color w:val="000000" w:themeColor="text1"/>
                <w:sz w:val="22"/>
                <w:szCs w:val="22"/>
              </w:rPr>
              <w:t xml:space="preserve">pakalpojumi, vienlaikus radot arī stingrākas iesniegtās informācijas pārbaudes. Ērtas datu ievades un vairumā gadījumu </w:t>
            </w:r>
            <w:r w:rsidR="00A67950">
              <w:rPr>
                <w:color w:val="000000" w:themeColor="text1"/>
                <w:sz w:val="22"/>
                <w:szCs w:val="22"/>
              </w:rPr>
              <w:t>–</w:t>
            </w:r>
            <w:r w:rsidRPr="00482AA0">
              <w:rPr>
                <w:color w:val="000000" w:themeColor="text1"/>
                <w:sz w:val="22"/>
                <w:szCs w:val="22"/>
              </w:rPr>
              <w:t xml:space="preserve"> automatizētas, tūlītējas informācijas pārbaudes, rezultātā tiks paātrināts uzņēmumu reģistrācijas process, kā arī samazināts atlikšanas lēmumu skaits. Papildus, paralēli </w:t>
            </w:r>
            <w:r w:rsidRPr="00482AA0">
              <w:rPr>
                <w:color w:val="000000" w:themeColor="text1"/>
                <w:sz w:val="22"/>
                <w:szCs w:val="22"/>
              </w:rPr>
              <w:lastRenderedPageBreak/>
              <w:t>nostiprinot plašākas Uzņēmumu reģistra tiesības, tiks rasti resursi un kompetence padziļinātāk pārbaudīt iesniegto informāciju par patiesajiem labuma guvējiem, tādejādi palielinot publiskā sektora atbildību par privātajam sektoram klientu izpētei nepieciešamās informācijas kvalitāti. Tāpat nolūkā veicināt juridisko personu, kas reģistrētas Latvijā, caurspīdīgumu un uzlabot likuma subjektiem pieejamību klientu izpētes veikšanai nepieciešamajai informācijai, paredzēts, ka no 2020.gada Uzņēmumu reģistra vestajos reģistros publiski pieejamās informācijas izsniegšanas funkcija varētu tikt segta no valsts budžeta līdzekļiem, nodrošinot privātajam sektoram tās pieejamību bez maksas.</w:t>
            </w:r>
          </w:p>
        </w:tc>
      </w:tr>
    </w:tbl>
    <w:p w14:paraId="3698F8B3" w14:textId="77777777" w:rsidR="005119CA" w:rsidRPr="00482AA0" w:rsidRDefault="005119CA" w:rsidP="005119CA">
      <w:pPr>
        <w:rPr>
          <w:color w:val="000000" w:themeColor="text1"/>
          <w:sz w:val="22"/>
        </w:rPr>
      </w:pPr>
    </w:p>
    <w:p w14:paraId="2589BECD" w14:textId="77777777" w:rsidR="005119CA" w:rsidRPr="00CF6873" w:rsidRDefault="00F900B2" w:rsidP="00CF6873">
      <w:pPr>
        <w:pStyle w:val="Heading1"/>
        <w:tabs>
          <w:tab w:val="left" w:pos="1276"/>
        </w:tabs>
        <w:spacing w:before="0" w:after="240"/>
        <w:ind w:firstLine="0"/>
        <w:jc w:val="left"/>
        <w:rPr>
          <w:rFonts w:ascii="Times New Roman" w:hAnsi="Times New Roman"/>
          <w:color w:val="18185F"/>
          <w:sz w:val="24"/>
        </w:rPr>
      </w:pPr>
      <w:bookmarkStart w:id="34" w:name="_Toc1374677"/>
      <w:r>
        <w:rPr>
          <w:rFonts w:ascii="Times New Roman" w:hAnsi="Times New Roman"/>
          <w:color w:val="18185F"/>
          <w:sz w:val="24"/>
          <w:lang w:val="lv-LV"/>
        </w:rPr>
        <w:t>Tabula</w:t>
      </w:r>
      <w:r w:rsidRPr="00CF6873">
        <w:rPr>
          <w:rFonts w:ascii="Times New Roman" w:hAnsi="Times New Roman"/>
          <w:color w:val="18185F"/>
          <w:sz w:val="24"/>
        </w:rPr>
        <w:t xml:space="preserve"> </w:t>
      </w:r>
      <w:r w:rsidR="005119CA" w:rsidRPr="00CF6873">
        <w:rPr>
          <w:rFonts w:ascii="Times New Roman" w:hAnsi="Times New Roman"/>
          <w:color w:val="18185F"/>
          <w:sz w:val="24"/>
        </w:rPr>
        <w:t>6.b ES Stratēģijas noteiktie mērķi attiecibā uz izaugsmi un darbu</w:t>
      </w:r>
      <w:bookmarkEnd w:id="34"/>
    </w:p>
    <w:tbl>
      <w:tblPr>
        <w:tblStyle w:val="GridTable6Colorful-Accent11"/>
        <w:tblW w:w="14596" w:type="dxa"/>
        <w:tblLayout w:type="fixed"/>
        <w:tblLook w:val="04A0" w:firstRow="1" w:lastRow="0" w:firstColumn="1" w:lastColumn="0" w:noHBand="0" w:noVBand="1"/>
      </w:tblPr>
      <w:tblGrid>
        <w:gridCol w:w="2122"/>
        <w:gridCol w:w="3827"/>
        <w:gridCol w:w="8647"/>
      </w:tblGrid>
      <w:tr w:rsidR="005119CA" w:rsidRPr="00482AA0" w14:paraId="75DF350C" w14:textId="77777777" w:rsidTr="006A7563">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06974CC" w14:textId="77777777" w:rsidR="005119CA" w:rsidRPr="00482AA0" w:rsidRDefault="005119CA" w:rsidP="006A7563">
            <w:pPr>
              <w:ind w:firstLine="0"/>
              <w:rPr>
                <w:b w:val="0"/>
                <w:color w:val="000000" w:themeColor="text1"/>
                <w:sz w:val="22"/>
                <w:szCs w:val="22"/>
              </w:rPr>
            </w:pPr>
            <w:r w:rsidRPr="00482AA0">
              <w:rPr>
                <w:color w:val="000000" w:themeColor="text1"/>
                <w:sz w:val="22"/>
                <w:szCs w:val="22"/>
              </w:rPr>
              <w:t>Nacionālie 2020 mērķi</w:t>
            </w:r>
          </w:p>
        </w:tc>
        <w:tc>
          <w:tcPr>
            <w:tcW w:w="3827" w:type="dxa"/>
            <w:vAlign w:val="center"/>
          </w:tcPr>
          <w:p w14:paraId="58B28409" w14:textId="77777777" w:rsidR="005119CA" w:rsidRPr="005119CA" w:rsidRDefault="005119CA" w:rsidP="006A756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5119CA">
              <w:rPr>
                <w:color w:val="000000" w:themeColor="text1"/>
                <w:sz w:val="22"/>
                <w:szCs w:val="22"/>
              </w:rPr>
              <w:t>Pasākumi</w:t>
            </w:r>
          </w:p>
        </w:tc>
        <w:tc>
          <w:tcPr>
            <w:tcW w:w="8647" w:type="dxa"/>
            <w:vAlign w:val="center"/>
          </w:tcPr>
          <w:p w14:paraId="53802383" w14:textId="77777777" w:rsidR="005119CA" w:rsidRPr="00482AA0" w:rsidRDefault="005119CA" w:rsidP="006A756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482AA0">
              <w:rPr>
                <w:color w:val="000000" w:themeColor="text1"/>
                <w:sz w:val="22"/>
                <w:szCs w:val="22"/>
              </w:rPr>
              <w:t>Apraksts</w:t>
            </w:r>
          </w:p>
        </w:tc>
      </w:tr>
      <w:tr w:rsidR="005119CA" w:rsidRPr="00482AA0" w14:paraId="6F61E5F2" w14:textId="77777777" w:rsidTr="006A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F03131C" w14:textId="77777777" w:rsidR="005119CA" w:rsidRPr="00482AA0" w:rsidRDefault="005119CA" w:rsidP="006A7563">
            <w:pPr>
              <w:ind w:firstLine="0"/>
              <w:rPr>
                <w:b w:val="0"/>
                <w:color w:val="000000" w:themeColor="text1"/>
                <w:sz w:val="22"/>
                <w:szCs w:val="22"/>
              </w:rPr>
            </w:pPr>
            <w:r w:rsidRPr="00482AA0">
              <w:rPr>
                <w:color w:val="000000" w:themeColor="text1"/>
                <w:sz w:val="22"/>
                <w:szCs w:val="22"/>
              </w:rPr>
              <w:t>Nacionālais 2020 nodarbinātības mērķis (73,0%)</w:t>
            </w:r>
          </w:p>
        </w:tc>
        <w:tc>
          <w:tcPr>
            <w:tcW w:w="3827" w:type="dxa"/>
          </w:tcPr>
          <w:p w14:paraId="0400D57E" w14:textId="77777777" w:rsidR="005119CA" w:rsidRPr="005119CA" w:rsidRDefault="005119CA" w:rsidP="005119CA">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Bezdarbnieku apmācību pasākumu pilnveidošana;</w:t>
            </w:r>
          </w:p>
          <w:p w14:paraId="2F0AFEB8" w14:textId="77777777" w:rsidR="005119CA" w:rsidRPr="005119CA" w:rsidRDefault="005119CA" w:rsidP="005119CA">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Atbalsta pasākumu jauniešu bezdarba mazināšanai īstenošana;</w:t>
            </w:r>
          </w:p>
          <w:p w14:paraId="53DA984F" w14:textId="77777777" w:rsidR="005119CA" w:rsidRPr="005119CA" w:rsidRDefault="005119CA" w:rsidP="005119CA">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Ilgstošo bezdarbnieku un sociālās palīdzības klientu efektīva atgriešana darba tirgū un atbalsts reģionālajai mobilitātei;</w:t>
            </w:r>
          </w:p>
          <w:p w14:paraId="0411E2C6" w14:textId="77777777" w:rsidR="005119CA" w:rsidRPr="005119CA" w:rsidRDefault="005119CA" w:rsidP="005119CA">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Gados vecāko iedzīvotāju darbspējas saglabāšana un nodarbinātības sekmēšana;</w:t>
            </w:r>
          </w:p>
          <w:p w14:paraId="3D3571C3" w14:textId="77777777" w:rsidR="005119CA" w:rsidRPr="005119CA" w:rsidRDefault="005119CA" w:rsidP="005119CA">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Nodarbinātības dienesta darba efektivizācija;</w:t>
            </w:r>
          </w:p>
          <w:p w14:paraId="465A29A5" w14:textId="77777777" w:rsidR="005119CA" w:rsidRPr="005119CA" w:rsidRDefault="005119CA" w:rsidP="005119CA">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Pašnodarbinātības un uzņēmējdarbības sekmēšana.</w:t>
            </w:r>
          </w:p>
        </w:tc>
        <w:tc>
          <w:tcPr>
            <w:tcW w:w="8647" w:type="dxa"/>
          </w:tcPr>
          <w:p w14:paraId="0BFC76B0" w14:textId="77777777" w:rsidR="005119CA" w:rsidRPr="00482AA0" w:rsidRDefault="005119CA" w:rsidP="006A7563">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82AA0">
              <w:rPr>
                <w:color w:val="000000" w:themeColor="text1"/>
                <w:sz w:val="22"/>
                <w:szCs w:val="22"/>
              </w:rPr>
              <w:t>Skat. NRP</w:t>
            </w:r>
          </w:p>
        </w:tc>
      </w:tr>
      <w:tr w:rsidR="00AF59B8" w:rsidRPr="00482AA0" w14:paraId="4BAA65A4" w14:textId="77777777" w:rsidTr="006A7563">
        <w:tc>
          <w:tcPr>
            <w:cnfStyle w:val="001000000000" w:firstRow="0" w:lastRow="0" w:firstColumn="1" w:lastColumn="0" w:oddVBand="0" w:evenVBand="0" w:oddHBand="0" w:evenHBand="0" w:firstRowFirstColumn="0" w:firstRowLastColumn="0" w:lastRowFirstColumn="0" w:lastRowLastColumn="0"/>
            <w:tcW w:w="2122" w:type="dxa"/>
          </w:tcPr>
          <w:p w14:paraId="19BF74F8" w14:textId="77777777" w:rsidR="00AF59B8" w:rsidRPr="00482AA0" w:rsidRDefault="00AF59B8" w:rsidP="006A7563">
            <w:pPr>
              <w:ind w:firstLine="0"/>
              <w:rPr>
                <w:b w:val="0"/>
                <w:color w:val="000000" w:themeColor="text1"/>
                <w:sz w:val="22"/>
                <w:szCs w:val="22"/>
              </w:rPr>
            </w:pPr>
            <w:r w:rsidRPr="00482AA0">
              <w:rPr>
                <w:color w:val="000000" w:themeColor="text1"/>
                <w:sz w:val="22"/>
                <w:szCs w:val="22"/>
              </w:rPr>
              <w:t>Nacionālais 2020 P&amp;A mērķis</w:t>
            </w:r>
            <w:r w:rsidRPr="00482AA0">
              <w:rPr>
                <w:b w:val="0"/>
                <w:color w:val="000000" w:themeColor="text1"/>
                <w:sz w:val="22"/>
                <w:szCs w:val="22"/>
              </w:rPr>
              <w:t xml:space="preserve"> </w:t>
            </w:r>
            <w:r w:rsidRPr="00482AA0">
              <w:rPr>
                <w:color w:val="000000" w:themeColor="text1"/>
                <w:sz w:val="22"/>
                <w:szCs w:val="22"/>
              </w:rPr>
              <w:t>(1,5% no IKP)</w:t>
            </w:r>
          </w:p>
        </w:tc>
        <w:tc>
          <w:tcPr>
            <w:tcW w:w="3827" w:type="dxa"/>
          </w:tcPr>
          <w:p w14:paraId="60F711E7" w14:textId="77777777" w:rsidR="00AF59B8" w:rsidRPr="005119CA" w:rsidRDefault="00AF59B8" w:rsidP="00AF59B8">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 xml:space="preserve">ZTAI nozares konkurētspējas paaugstināšana; </w:t>
            </w:r>
          </w:p>
          <w:p w14:paraId="0176B386" w14:textId="77777777" w:rsidR="00AF59B8" w:rsidRPr="005119CA" w:rsidRDefault="00AF59B8" w:rsidP="00AF59B8">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ZTAI nozares sasaiste ar sabiedrības un tautsaimniecības attīstības vajadzībām;</w:t>
            </w:r>
          </w:p>
          <w:p w14:paraId="41D1BEAC" w14:textId="77777777" w:rsidR="00AF59B8" w:rsidRPr="005119CA" w:rsidRDefault="00AF59B8" w:rsidP="00AF59B8">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ZTIA nozares efektīva pārvaldība;</w:t>
            </w:r>
          </w:p>
          <w:p w14:paraId="268C9FA8" w14:textId="77777777" w:rsidR="00AF59B8" w:rsidRPr="005119CA" w:rsidRDefault="00AF59B8" w:rsidP="00AF59B8">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 xml:space="preserve">Atbalsts inovatīvu komersantu </w:t>
            </w:r>
            <w:r w:rsidRPr="005119CA">
              <w:rPr>
                <w:rFonts w:ascii="Times New Roman" w:hAnsi="Times New Roman"/>
                <w:color w:val="000000" w:themeColor="text1"/>
                <w:szCs w:val="22"/>
              </w:rPr>
              <w:lastRenderedPageBreak/>
              <w:t>attīstībai;</w:t>
            </w:r>
          </w:p>
          <w:p w14:paraId="7BD5C6CB" w14:textId="77777777" w:rsidR="00AF59B8" w:rsidRPr="005119CA" w:rsidRDefault="00AF59B8" w:rsidP="00AF59B8">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Sabiedrības izpratnes veicināšana, zinātnes un inovācijas popularizēšana.</w:t>
            </w:r>
          </w:p>
        </w:tc>
        <w:tc>
          <w:tcPr>
            <w:tcW w:w="8647" w:type="dxa"/>
          </w:tcPr>
          <w:p w14:paraId="533866FC" w14:textId="77777777" w:rsidR="005D4BF2" w:rsidRPr="00416435" w:rsidRDefault="005D4BF2" w:rsidP="005D4BF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416435">
              <w:rPr>
                <w:color w:val="auto"/>
                <w:sz w:val="22"/>
                <w:szCs w:val="22"/>
              </w:rPr>
              <w:lastRenderedPageBreak/>
              <w:t>Zinātnes politikā ir veikt</w:t>
            </w:r>
            <w:r>
              <w:rPr>
                <w:color w:val="auto"/>
                <w:sz w:val="22"/>
                <w:szCs w:val="22"/>
              </w:rPr>
              <w:t>as būtiskas reformas kopš 2014.</w:t>
            </w:r>
            <w:r w:rsidRPr="00416435">
              <w:rPr>
                <w:color w:val="auto"/>
                <w:sz w:val="22"/>
                <w:szCs w:val="22"/>
              </w:rPr>
              <w:t>gada – ir konsolidētas zinātniskās institūcijas, nosacījumi zinātnes bāzes finansējuma piešķiršanai atspoguļo politikas nostādnes</w:t>
            </w:r>
            <w:r w:rsidR="00A67950">
              <w:rPr>
                <w:color w:val="auto"/>
                <w:sz w:val="22"/>
                <w:szCs w:val="22"/>
              </w:rPr>
              <w:t>–</w:t>
            </w:r>
            <w:r w:rsidRPr="00416435">
              <w:rPr>
                <w:color w:val="auto"/>
                <w:sz w:val="22"/>
                <w:szCs w:val="22"/>
              </w:rPr>
              <w:t xml:space="preserve"> tiek ņemts vērā piesaistītais finansējums no komersantiem, no starptautiskajiem projektiem u.c. ES Struktūrfondu ieguldījumi tiek mērķtiecīgi veikti labākajās zinātniskajās institūcijās, kā arī tiek īstenotas grantu programmas</w:t>
            </w:r>
            <w:r w:rsidR="00DE0649">
              <w:rPr>
                <w:color w:val="auto"/>
                <w:sz w:val="22"/>
                <w:szCs w:val="22"/>
              </w:rPr>
              <w:t xml:space="preserve"> </w:t>
            </w:r>
            <w:r w:rsidR="00A67950">
              <w:rPr>
                <w:color w:val="auto"/>
                <w:sz w:val="22"/>
                <w:szCs w:val="22"/>
              </w:rPr>
              <w:t>–</w:t>
            </w:r>
            <w:r w:rsidRPr="00416435">
              <w:rPr>
                <w:color w:val="auto"/>
                <w:sz w:val="22"/>
                <w:szCs w:val="22"/>
              </w:rPr>
              <w:t xml:space="preserve"> praktiskās ievirzes pētījumi (1.1.1.1.pasākums “Praktiskas ievirzes pētījumi”), pēcdoktorantūras</w:t>
            </w:r>
            <w:r>
              <w:rPr>
                <w:color w:val="auto"/>
                <w:sz w:val="22"/>
                <w:szCs w:val="22"/>
              </w:rPr>
              <w:t xml:space="preserve"> pētniecības atbalsts (1.1.1.2.</w:t>
            </w:r>
            <w:r w:rsidRPr="00416435">
              <w:rPr>
                <w:color w:val="auto"/>
                <w:sz w:val="22"/>
                <w:szCs w:val="22"/>
              </w:rPr>
              <w:t xml:space="preserve">pasākums “Pēcdoktorantūras pētniecības atbalsts”), arī programmas “Inovācijas granti </w:t>
            </w:r>
            <w:r w:rsidRPr="00416435">
              <w:rPr>
                <w:color w:val="auto"/>
                <w:sz w:val="22"/>
                <w:szCs w:val="22"/>
              </w:rPr>
              <w:lastRenderedPageBreak/>
              <w:t xml:space="preserve">studentiem” uzsākšana </w:t>
            </w:r>
            <w:r>
              <w:rPr>
                <w:color w:val="auto"/>
                <w:sz w:val="22"/>
                <w:szCs w:val="22"/>
              </w:rPr>
              <w:t>(1.1.1.3.</w:t>
            </w:r>
            <w:r w:rsidRPr="00416435">
              <w:rPr>
                <w:color w:val="auto"/>
                <w:sz w:val="22"/>
                <w:szCs w:val="22"/>
              </w:rPr>
              <w:t>pasākums “Inovācijas granti studentiem”). Vienlaicīgi, saskaņā ar jaunākiem CSP datiem, nacionālai</w:t>
            </w:r>
            <w:r>
              <w:rPr>
                <w:color w:val="auto"/>
                <w:sz w:val="22"/>
                <w:szCs w:val="22"/>
              </w:rPr>
              <w:t>s finansējums pētniecībai 2017.</w:t>
            </w:r>
            <w:r w:rsidRPr="00416435">
              <w:rPr>
                <w:color w:val="auto"/>
                <w:sz w:val="22"/>
                <w:szCs w:val="22"/>
              </w:rPr>
              <w:t>gadā ir 0,51% no IKP, kas ir otrs zemākais rādītājs ES valstu vidū.</w:t>
            </w:r>
          </w:p>
          <w:p w14:paraId="35D3BA86" w14:textId="77777777" w:rsidR="005D4BF2" w:rsidRPr="00416435" w:rsidRDefault="005D4BF2" w:rsidP="005D4BF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2018.</w:t>
            </w:r>
            <w:r w:rsidRPr="00416435">
              <w:rPr>
                <w:color w:val="auto"/>
                <w:sz w:val="22"/>
              </w:rPr>
              <w:t xml:space="preserve">gadā tika uzsākta jauna </w:t>
            </w:r>
            <w:r w:rsidR="00BB535C" w:rsidRPr="00445907">
              <w:rPr>
                <w:color w:val="auto"/>
                <w:sz w:val="22"/>
              </w:rPr>
              <w:t>Fundamentālo un lietišķo pētījumu programma</w:t>
            </w:r>
            <w:r w:rsidR="004A22A3">
              <w:rPr>
                <w:color w:val="auto"/>
                <w:sz w:val="22"/>
              </w:rPr>
              <w:t>.</w:t>
            </w:r>
            <w:r w:rsidRPr="00416435">
              <w:rPr>
                <w:color w:val="auto"/>
                <w:sz w:val="22"/>
              </w:rPr>
              <w:t xml:space="preserve"> Salīdzinot ar iepriekšējo periodu, programmai paredzētais ikgadējais finansējums tika palielināts no 4,4 milj. </w:t>
            </w:r>
            <w:r w:rsidR="00A81C85" w:rsidRPr="005D4BF2">
              <w:rPr>
                <w:i/>
                <w:color w:val="auto"/>
                <w:sz w:val="22"/>
                <w:szCs w:val="22"/>
              </w:rPr>
              <w:t>euro</w:t>
            </w:r>
            <w:r w:rsidRPr="00416435">
              <w:rPr>
                <w:color w:val="auto"/>
                <w:sz w:val="22"/>
              </w:rPr>
              <w:t xml:space="preserve"> uz 9,5 milj. </w:t>
            </w:r>
            <w:r w:rsidR="00A81C85" w:rsidRPr="005D4BF2">
              <w:rPr>
                <w:i/>
                <w:color w:val="auto"/>
                <w:sz w:val="22"/>
                <w:szCs w:val="22"/>
              </w:rPr>
              <w:t>euro</w:t>
            </w:r>
            <w:r w:rsidRPr="00416435">
              <w:rPr>
                <w:color w:val="auto"/>
                <w:sz w:val="22"/>
              </w:rPr>
              <w:t>.</w:t>
            </w:r>
          </w:p>
          <w:p w14:paraId="16A76C84" w14:textId="77777777" w:rsidR="005D4BF2" w:rsidRPr="00416435" w:rsidRDefault="005D4BF2" w:rsidP="005D4BF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416435">
              <w:rPr>
                <w:color w:val="auto"/>
                <w:sz w:val="22"/>
              </w:rPr>
              <w:t>FLP programmas mērķis ir radīt jaunas zināšanas un tehnoloģiskās atziņas visās zinātņu nozaru grupās</w:t>
            </w:r>
            <w:r w:rsidR="00D26903">
              <w:rPr>
                <w:color w:val="auto"/>
                <w:sz w:val="22"/>
              </w:rPr>
              <w:t>.</w:t>
            </w:r>
            <w:r w:rsidRPr="00416435">
              <w:rPr>
                <w:color w:val="auto"/>
                <w:sz w:val="22"/>
              </w:rPr>
              <w:t>Programmas ietvaros finansējumu piešķir projektiem, pamatojoties uz atklāta konkursa rezultātiem atbilstoši MK 2017.gada 12.decembra noteikumiem Nr. 725 “Fundamentālo un lietišķo pētījumu projektu izvērtēšanas un finansējuma administrēšanas kārtība”. Programmu īsteno Latvijas Zinātnes padome, savukārt projektam piešķirtā finansējuma administrēšanu nodrošina Studiju un zinātnes padome. Projektus izvērtē atbilstoši Apvārsnis 2020 principiem</w:t>
            </w:r>
            <w:r w:rsidR="00D26903">
              <w:rPr>
                <w:color w:val="auto"/>
                <w:sz w:val="22"/>
              </w:rPr>
              <w:t>.</w:t>
            </w:r>
            <w:r>
              <w:rPr>
                <w:color w:val="auto"/>
                <w:sz w:val="22"/>
              </w:rPr>
              <w:t>2018.</w:t>
            </w:r>
            <w:r w:rsidRPr="00416435">
              <w:rPr>
                <w:color w:val="auto"/>
                <w:sz w:val="22"/>
              </w:rPr>
              <w:t>gadā tika īstenoti 2 projektu konkursi. Turpmāk projektu konkursus paredzēts organizēt katru gadu.</w:t>
            </w:r>
          </w:p>
          <w:p w14:paraId="2FFAC285" w14:textId="77777777" w:rsidR="005D4BF2" w:rsidRPr="00416435" w:rsidRDefault="005D4BF2" w:rsidP="005D4BF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rPr>
            </w:pPr>
            <w:r w:rsidRPr="00416435">
              <w:rPr>
                <w:color w:val="auto"/>
                <w:sz w:val="22"/>
                <w:szCs w:val="22"/>
              </w:rPr>
              <w:t xml:space="preserve">(1) </w:t>
            </w:r>
            <w:r>
              <w:rPr>
                <w:color w:val="auto"/>
                <w:sz w:val="22"/>
                <w:szCs w:val="22"/>
              </w:rPr>
              <w:t>2018.gadā tika sasniegts 2020.</w:t>
            </w:r>
            <w:r w:rsidRPr="00416435">
              <w:rPr>
                <w:color w:val="auto"/>
                <w:sz w:val="22"/>
                <w:szCs w:val="22"/>
              </w:rPr>
              <w:t>gada ZTAI mērķis samazināt valsts finansēto zinātnisko instit</w:t>
            </w:r>
            <w:r>
              <w:rPr>
                <w:color w:val="auto"/>
                <w:sz w:val="22"/>
                <w:szCs w:val="22"/>
              </w:rPr>
              <w:t>ūciju skaitu no 40 uz 20. 2018.</w:t>
            </w:r>
            <w:r w:rsidRPr="00416435">
              <w:rPr>
                <w:color w:val="auto"/>
                <w:sz w:val="22"/>
                <w:szCs w:val="22"/>
              </w:rPr>
              <w:t>gadā no valsts budžeta tika finansēta 21 zinātniskā institūcija. Sasn</w:t>
            </w:r>
            <w:r>
              <w:rPr>
                <w:color w:val="auto"/>
                <w:sz w:val="22"/>
                <w:szCs w:val="22"/>
              </w:rPr>
              <w:t>iedzot šo mērķi, sākot ar 2019.</w:t>
            </w:r>
            <w:r w:rsidRPr="00416435">
              <w:rPr>
                <w:color w:val="auto"/>
                <w:sz w:val="22"/>
                <w:szCs w:val="22"/>
              </w:rPr>
              <w:t>gadu</w:t>
            </w:r>
            <w:r w:rsidRPr="00416435">
              <w:rPr>
                <w:color w:val="auto"/>
                <w:sz w:val="22"/>
              </w:rPr>
              <w:t xml:space="preserve"> pētniecības un attīstības rīcībpolitikas fokuss nav institucionāla konsolidācija, bet gan pētniecības kapacitātes stiprināšana šajā 21 zinātniskajā  institūcijā. Šobrīd zinātnes bāzes finansējums tiešā veidā veicina resursu koncentrāciju un institucionālu konsolidāciju (finansējot tikai labākās zinātniskās institūcijas).</w:t>
            </w:r>
          </w:p>
          <w:p w14:paraId="4205357E" w14:textId="77777777" w:rsidR="005D4BF2" w:rsidRPr="00416435" w:rsidRDefault="005D4BF2" w:rsidP="005D4BF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rPr>
              <w:t>2018.</w:t>
            </w:r>
            <w:r w:rsidRPr="00416435">
              <w:rPr>
                <w:color w:val="auto"/>
                <w:sz w:val="22"/>
              </w:rPr>
              <w:t xml:space="preserve">gadā IZM uzsāka </w:t>
            </w:r>
            <w:r>
              <w:rPr>
                <w:color w:val="auto"/>
                <w:sz w:val="22"/>
              </w:rPr>
              <w:t>sagatavošanos 2019.</w:t>
            </w:r>
            <w:r w:rsidRPr="00416435">
              <w:rPr>
                <w:color w:val="auto"/>
                <w:sz w:val="22"/>
              </w:rPr>
              <w:t>gada zinātnisko institūciju starptautiskajam novērtējumam. Novērtējuma norises ietvars tika apstiprināts ar 2.10.2018. MK noteikumiem Nr. 619 "Zinātnisko institūciju darbības starptautiskā novērtējuma organizēšanas kārtība".</w:t>
            </w:r>
            <w:r w:rsidRPr="00416435">
              <w:rPr>
                <w:color w:val="auto"/>
                <w:sz w:val="22"/>
                <w:szCs w:val="22"/>
              </w:rPr>
              <w:t xml:space="preserve"> Pavadošais protokollēmums, (2.10.2018. MK protokols Nr.45 §23) deleģē IZM pārskatīt turpmākā pētniecības un attīstības publiskā finansējuma sasaisti ar novērtējuma rezultātiem, tajā skaitā bāzes finansējuma piešķiršanas principus.</w:t>
            </w:r>
          </w:p>
          <w:p w14:paraId="5CE2000F" w14:textId="77777777" w:rsidR="005D4BF2" w:rsidRPr="00416435" w:rsidRDefault="005D4BF2" w:rsidP="005D4BF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rPr>
            </w:pPr>
            <w:r w:rsidRPr="00416435">
              <w:rPr>
                <w:color w:val="auto"/>
                <w:sz w:val="22"/>
              </w:rPr>
              <w:t xml:space="preserve">Latvijas dalībnieki – zinātnieki, augstskolas, zinātniskās institūcijas, uzņēmēji u.c. – sadarbībā ar citu valstu pārstāvjiem sekmīgi piedalās ES pētniecības, tehnoloģiju attīstības un inovāciju programmās (Septītā ietvarprogramma, programma “Apvārsnis 2020”, EURATOM, EUROSTARS 2, EUREKA, BONUS, ECSEL, IMI, un COST), saņemot augstus novērtējumus konkursos iesniegtajiem projektu pieteikumiem. Lai sniegtu atbalstu šo projektu īstenošanai Latvijā, pakāpeniski tika palielināts pieejamā finansējuma apmērs valsts budžeta programmas 70.00.00 "Citu Eiropas Savienības politiku instrumentu projektu un pasākumu īstenošana" apakšprogrammas 70.06.00 “Dalība Eiropas Savienības pētniecības un tehnoloģiju attīstības </w:t>
            </w:r>
            <w:r w:rsidRPr="00416435">
              <w:rPr>
                <w:color w:val="auto"/>
                <w:sz w:val="22"/>
              </w:rPr>
              <w:lastRenderedPageBreak/>
              <w:t>programmās” ietvaros. IZM ir lūgusi MK palielināt finansējuma apmēru minētaj</w:t>
            </w:r>
            <w:r>
              <w:rPr>
                <w:color w:val="auto"/>
                <w:sz w:val="22"/>
              </w:rPr>
              <w:t xml:space="preserve">ai programmai arī 2018. </w:t>
            </w:r>
            <w:r w:rsidR="00A67950">
              <w:rPr>
                <w:color w:val="auto"/>
                <w:sz w:val="22"/>
              </w:rPr>
              <w:t>–</w:t>
            </w:r>
            <w:r>
              <w:rPr>
                <w:color w:val="auto"/>
                <w:sz w:val="22"/>
              </w:rPr>
              <w:t xml:space="preserve"> 2020.</w:t>
            </w:r>
            <w:r w:rsidRPr="00416435">
              <w:rPr>
                <w:color w:val="auto"/>
                <w:sz w:val="22"/>
              </w:rPr>
              <w:t>gadam kopā 16</w:t>
            </w:r>
            <w:r>
              <w:rPr>
                <w:color w:val="auto"/>
                <w:sz w:val="22"/>
              </w:rPr>
              <w:t> </w:t>
            </w:r>
            <w:r w:rsidRPr="00416435">
              <w:rPr>
                <w:color w:val="auto"/>
                <w:sz w:val="22"/>
              </w:rPr>
              <w:t xml:space="preserve">250 903 </w:t>
            </w:r>
            <w:r w:rsidRPr="005D4BF2">
              <w:rPr>
                <w:i/>
                <w:color w:val="auto"/>
                <w:sz w:val="22"/>
              </w:rPr>
              <w:t>euro</w:t>
            </w:r>
            <w:r w:rsidRPr="00416435">
              <w:rPr>
                <w:color w:val="auto"/>
                <w:sz w:val="22"/>
              </w:rPr>
              <w:t xml:space="preserve"> apmērā, t.sk. 2017. gadam – 5</w:t>
            </w:r>
            <w:r w:rsidR="00081726">
              <w:rPr>
                <w:color w:val="auto"/>
                <w:sz w:val="22"/>
              </w:rPr>
              <w:t> 114 </w:t>
            </w:r>
            <w:r w:rsidRPr="00416435">
              <w:rPr>
                <w:color w:val="auto"/>
                <w:sz w:val="22"/>
              </w:rPr>
              <w:t xml:space="preserve">572 </w:t>
            </w:r>
            <w:r w:rsidRPr="005D4BF2">
              <w:rPr>
                <w:i/>
                <w:color w:val="auto"/>
                <w:sz w:val="22"/>
              </w:rPr>
              <w:t>euro</w:t>
            </w:r>
            <w:r w:rsidR="00081726">
              <w:rPr>
                <w:color w:val="auto"/>
                <w:sz w:val="22"/>
              </w:rPr>
              <w:t>, 2018.</w:t>
            </w:r>
            <w:r w:rsidRPr="00416435">
              <w:rPr>
                <w:color w:val="auto"/>
                <w:sz w:val="22"/>
              </w:rPr>
              <w:t>gadam – 4</w:t>
            </w:r>
            <w:r w:rsidR="00081726">
              <w:rPr>
                <w:color w:val="auto"/>
                <w:sz w:val="22"/>
              </w:rPr>
              <w:t> </w:t>
            </w:r>
            <w:r w:rsidRPr="00416435">
              <w:rPr>
                <w:color w:val="auto"/>
                <w:sz w:val="22"/>
              </w:rPr>
              <w:t>578</w:t>
            </w:r>
            <w:r w:rsidR="00081726">
              <w:rPr>
                <w:color w:val="auto"/>
                <w:sz w:val="22"/>
              </w:rPr>
              <w:t> </w:t>
            </w:r>
            <w:r w:rsidRPr="00416435">
              <w:rPr>
                <w:color w:val="auto"/>
                <w:sz w:val="22"/>
              </w:rPr>
              <w:t xml:space="preserve">777 </w:t>
            </w:r>
            <w:r w:rsidRPr="005D4BF2">
              <w:rPr>
                <w:i/>
                <w:color w:val="auto"/>
                <w:sz w:val="22"/>
              </w:rPr>
              <w:t>euro</w:t>
            </w:r>
            <w:r w:rsidR="00081726">
              <w:rPr>
                <w:color w:val="auto"/>
                <w:sz w:val="22"/>
              </w:rPr>
              <w:t>, 2019.</w:t>
            </w:r>
            <w:r w:rsidRPr="00416435">
              <w:rPr>
                <w:color w:val="auto"/>
                <w:sz w:val="22"/>
              </w:rPr>
              <w:t>gadam – 3</w:t>
            </w:r>
            <w:r w:rsidR="00081726">
              <w:rPr>
                <w:color w:val="auto"/>
                <w:sz w:val="22"/>
              </w:rPr>
              <w:t> </w:t>
            </w:r>
            <w:r w:rsidRPr="00416435">
              <w:rPr>
                <w:color w:val="auto"/>
                <w:sz w:val="22"/>
              </w:rPr>
              <w:t>778</w:t>
            </w:r>
            <w:r w:rsidR="00081726">
              <w:rPr>
                <w:color w:val="auto"/>
                <w:sz w:val="22"/>
              </w:rPr>
              <w:t> </w:t>
            </w:r>
            <w:r w:rsidRPr="00416435">
              <w:rPr>
                <w:color w:val="auto"/>
                <w:sz w:val="22"/>
              </w:rPr>
              <w:t xml:space="preserve">777 </w:t>
            </w:r>
            <w:r w:rsidRPr="005D4BF2">
              <w:rPr>
                <w:i/>
                <w:color w:val="auto"/>
                <w:sz w:val="22"/>
              </w:rPr>
              <w:t>euro</w:t>
            </w:r>
            <w:r w:rsidR="00081726">
              <w:rPr>
                <w:color w:val="auto"/>
                <w:sz w:val="22"/>
              </w:rPr>
              <w:t>, 2020.</w:t>
            </w:r>
            <w:r w:rsidRPr="00416435">
              <w:rPr>
                <w:color w:val="auto"/>
                <w:sz w:val="22"/>
              </w:rPr>
              <w:t>gadam un turpmāk ik gadu – 2</w:t>
            </w:r>
            <w:r w:rsidR="00081726">
              <w:rPr>
                <w:color w:val="auto"/>
                <w:sz w:val="22"/>
              </w:rPr>
              <w:t> </w:t>
            </w:r>
            <w:r w:rsidRPr="00416435">
              <w:rPr>
                <w:color w:val="auto"/>
                <w:sz w:val="22"/>
              </w:rPr>
              <w:t>778</w:t>
            </w:r>
            <w:r w:rsidR="00081726">
              <w:rPr>
                <w:color w:val="auto"/>
                <w:sz w:val="22"/>
              </w:rPr>
              <w:t> </w:t>
            </w:r>
            <w:r w:rsidRPr="00416435">
              <w:rPr>
                <w:color w:val="auto"/>
                <w:sz w:val="22"/>
              </w:rPr>
              <w:t xml:space="preserve">777 </w:t>
            </w:r>
            <w:r w:rsidRPr="005D4BF2">
              <w:rPr>
                <w:i/>
                <w:color w:val="auto"/>
                <w:sz w:val="22"/>
              </w:rPr>
              <w:t>euro</w:t>
            </w:r>
            <w:r w:rsidRPr="00416435">
              <w:rPr>
                <w:color w:val="auto"/>
                <w:sz w:val="22"/>
              </w:rPr>
              <w:t xml:space="preserve">. </w:t>
            </w:r>
          </w:p>
          <w:p w14:paraId="65291EC2" w14:textId="7FA1C8D2" w:rsidR="005D4BF2" w:rsidRPr="00416435" w:rsidRDefault="005D4BF2" w:rsidP="005D4BF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rPr>
            </w:pPr>
            <w:r w:rsidRPr="00416435">
              <w:rPr>
                <w:color w:val="auto"/>
                <w:sz w:val="22"/>
              </w:rPr>
              <w:t>2017.</w:t>
            </w:r>
            <w:r w:rsidR="00A67950">
              <w:rPr>
                <w:color w:val="auto"/>
                <w:sz w:val="22"/>
              </w:rPr>
              <w:t>–</w:t>
            </w:r>
            <w:r w:rsidR="00032D04">
              <w:rPr>
                <w:color w:val="auto"/>
                <w:sz w:val="22"/>
              </w:rPr>
              <w:t>2018.</w:t>
            </w:r>
            <w:r w:rsidRPr="00416435">
              <w:rPr>
                <w:color w:val="auto"/>
                <w:sz w:val="22"/>
              </w:rPr>
              <w:t>gadu periodā Latvija ir pievienojusies piecām Kopējās programmēšanas iniciatīvām: JPI UE, JPI WATER, JPI CH, JPI FACCE, JPI HDHL. Tādējādi Latvijas zinātnieki un institūcijas iekļāvušās kopējā programmēšanas procesā, dodot savus priekšlikumus Kopējās programmēšanas iniciatīvu Stratēģiskajām Pētniecības un Inovācijas Dienaskārtībām, kā arī nacionālā līmenī apspriest šīs Eiropas kopējās dienaskārtības.</w:t>
            </w:r>
          </w:p>
          <w:p w14:paraId="758DD41C" w14:textId="77777777" w:rsidR="005D4BF2" w:rsidRPr="00416435" w:rsidRDefault="005D4BF2" w:rsidP="005D4BF2">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416435">
              <w:rPr>
                <w:color w:val="auto"/>
                <w:sz w:val="22"/>
                <w:szCs w:val="22"/>
              </w:rPr>
              <w:t xml:space="preserve">(2) </w:t>
            </w:r>
            <w:r w:rsidRPr="00416435">
              <w:rPr>
                <w:color w:val="auto"/>
                <w:sz w:val="22"/>
              </w:rPr>
              <w:t>2018.gada 21.jūnijā pieņemtie grozījumi Zinātniskās darbības likumā ļauj īstenot un finansēt valsts pētījumu programmas visām nozaru ministrijām.</w:t>
            </w:r>
            <w:r>
              <w:rPr>
                <w:color w:val="auto"/>
                <w:sz w:val="22"/>
                <w:szCs w:val="22"/>
              </w:rPr>
              <w:t xml:space="preserve"> 2018.</w:t>
            </w:r>
            <w:r w:rsidRPr="00416435">
              <w:rPr>
                <w:color w:val="auto"/>
                <w:sz w:val="22"/>
                <w:szCs w:val="22"/>
              </w:rPr>
              <w:t xml:space="preserve">gadā tika uzsāktas trīs jaunas valsts pētījumu programmas: divas IZM “Latvijas mantojums un nākotnes izaicinājumi valsts ilgtspējai” (kopējais programmai paredzētais finansējums ir 3,1 milj. </w:t>
            </w:r>
            <w:r w:rsidRPr="005D4BF2">
              <w:rPr>
                <w:i/>
                <w:color w:val="auto"/>
                <w:sz w:val="22"/>
              </w:rPr>
              <w:t>euro</w:t>
            </w:r>
            <w:r w:rsidRPr="00416435">
              <w:rPr>
                <w:color w:val="auto"/>
                <w:sz w:val="22"/>
                <w:szCs w:val="22"/>
              </w:rPr>
              <w:t xml:space="preserve"> 3 gadiem) un “Latviešu valoda” (kopējais programmai paredzētais finansējums ir 3,1 milj. </w:t>
            </w:r>
            <w:r w:rsidRPr="005D4BF2">
              <w:rPr>
                <w:i/>
                <w:color w:val="auto"/>
                <w:sz w:val="22"/>
              </w:rPr>
              <w:t>euro</w:t>
            </w:r>
            <w:r w:rsidRPr="00416435">
              <w:rPr>
                <w:color w:val="auto"/>
                <w:sz w:val="22"/>
                <w:szCs w:val="22"/>
              </w:rPr>
              <w:t xml:space="preserve"> 3 gadiem) un viena EM ‘Enerģētika” (kopējais programmai paredzētais finansējums ir 6 milj. </w:t>
            </w:r>
            <w:r w:rsidRPr="005D4BF2">
              <w:rPr>
                <w:i/>
                <w:color w:val="auto"/>
                <w:sz w:val="22"/>
              </w:rPr>
              <w:t>euro</w:t>
            </w:r>
            <w:r w:rsidRPr="00416435">
              <w:rPr>
                <w:color w:val="auto"/>
                <w:sz w:val="22"/>
                <w:szCs w:val="22"/>
              </w:rPr>
              <w:t xml:space="preserve"> 3 gadiem).</w:t>
            </w:r>
          </w:p>
          <w:p w14:paraId="5D0F3BFE" w14:textId="77777777" w:rsidR="005D4BF2" w:rsidRPr="00416435" w:rsidRDefault="005D4BF2" w:rsidP="00A81C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rPr>
            </w:pPr>
            <w:r w:rsidRPr="00416435">
              <w:rPr>
                <w:color w:val="auto"/>
                <w:sz w:val="22"/>
              </w:rPr>
              <w:t>ES fondu Pētniecības, tehnoloģiju attīstības un inovāciju prioritārā virziena apakškomitejā prezentēts sākotnējais studentu inovāciju gra</w:t>
            </w:r>
            <w:r>
              <w:rPr>
                <w:color w:val="auto"/>
                <w:sz w:val="22"/>
              </w:rPr>
              <w:t>ntu programmas modelis 1.1.1.3.</w:t>
            </w:r>
            <w:r w:rsidRPr="00416435">
              <w:rPr>
                <w:color w:val="auto"/>
                <w:sz w:val="22"/>
              </w:rPr>
              <w:t xml:space="preserve">pasākuma “Inovācijas granti studentiem” ietvaros, kā arī notikušas vairākas diskusijas ar uzņēmumu, t.sk. </w:t>
            </w:r>
            <w:r w:rsidRPr="00416435">
              <w:rPr>
                <w:i/>
                <w:color w:val="auto"/>
                <w:sz w:val="22"/>
              </w:rPr>
              <w:t>start</w:t>
            </w:r>
            <w:r w:rsidR="00A67950">
              <w:rPr>
                <w:i/>
                <w:color w:val="auto"/>
                <w:sz w:val="22"/>
              </w:rPr>
              <w:t>–</w:t>
            </w:r>
            <w:r w:rsidRPr="00416435">
              <w:rPr>
                <w:i/>
                <w:color w:val="auto"/>
                <w:sz w:val="22"/>
              </w:rPr>
              <w:t>up</w:t>
            </w:r>
            <w:r w:rsidRPr="00416435">
              <w:rPr>
                <w:color w:val="auto"/>
                <w:sz w:val="22"/>
              </w:rPr>
              <w:t>, darba devēju organizāciju un zinātnisko institūciju pārstāvjiem par programmas ieviešanas nosacījumiem. 2018.gadā ir noslēdzies konkurss, šobrīd notiek izvērtēšana.</w:t>
            </w:r>
          </w:p>
          <w:p w14:paraId="2C7D6900" w14:textId="77777777" w:rsidR="005D4BF2" w:rsidRPr="00416435" w:rsidRDefault="005D4BF2" w:rsidP="00A81C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416435">
              <w:rPr>
                <w:color w:val="auto"/>
                <w:sz w:val="22"/>
                <w:szCs w:val="22"/>
              </w:rPr>
              <w:t xml:space="preserve">(3) Turpinās 2015.gadā uzsāktā RIS3 monitoringa sistēmas ieviešana un īstenošana, sākot pakāpenisko gatavoties nākošā perioda (2021 – 2017) RIS3 ieviešanai. Skat. NRP. </w:t>
            </w:r>
          </w:p>
          <w:p w14:paraId="6231E3CA" w14:textId="174EBB9F" w:rsidR="005D4BF2" w:rsidRPr="00416435" w:rsidRDefault="005D4BF2" w:rsidP="00A81C85">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highlight w:val="yellow"/>
              </w:rPr>
            </w:pPr>
            <w:r w:rsidRPr="00416435">
              <w:rPr>
                <w:color w:val="auto"/>
                <w:sz w:val="22"/>
                <w:szCs w:val="22"/>
              </w:rPr>
              <w:t>Ir veikts ZTAI un RIS3 starpposma (laika periods no 2014. līdz 2016.gadam) izvērtējums  (informatīvais ziņojums "Viedās specializācijas stratēģijas monitorings", kurā ir ietverta informācija par Latvijas ekonomikas attīstības tendencēm, mērķiem un izaicinājumiem, RIS3 programmu un pasākumu īstenošanas gaitu un virzī</w:t>
            </w:r>
            <w:r w:rsidR="004A22A3">
              <w:rPr>
                <w:color w:val="auto"/>
                <w:sz w:val="22"/>
                <w:szCs w:val="22"/>
              </w:rPr>
              <w:t>bu uz mērķu sasniegšanu, kā arī</w:t>
            </w:r>
            <w:r w:rsidRPr="00416435">
              <w:rPr>
                <w:color w:val="auto"/>
                <w:sz w:val="22"/>
                <w:szCs w:val="22"/>
              </w:rPr>
              <w:t xml:space="preserve"> RIS3 rādītāju analīze un turpmāko pasākumu plāns. Šobrīd tiek strādāts pie RIS3 monitoringa sistēmas tālākas attīstības un 2019.gada jūnijā tiks Ministru kabinetā iesniegts 2. RIS3 monitoringa ziņojums, kurš analizēs </w:t>
            </w:r>
            <w:r w:rsidR="00032D04">
              <w:rPr>
                <w:color w:val="auto"/>
                <w:sz w:val="22"/>
                <w:szCs w:val="22"/>
              </w:rPr>
              <w:t>ieviešanas progresu starp 2014.–</w:t>
            </w:r>
            <w:r w:rsidRPr="00416435">
              <w:rPr>
                <w:color w:val="auto"/>
                <w:sz w:val="22"/>
                <w:szCs w:val="22"/>
              </w:rPr>
              <w:t xml:space="preserve">2017.gadu, tajā skaitā apskatot RIS3 specializācijas jomu attīstības progresu detalizētā mikro līmeņa analīzē kā arī šajā ziņojumā tiks iezīmēti galvenie potenciāli veicamie uzdevumi, saistībā ar RIS3 pārvaldību un </w:t>
            </w:r>
            <w:r w:rsidR="00032D04">
              <w:rPr>
                <w:color w:val="auto"/>
                <w:sz w:val="22"/>
                <w:szCs w:val="22"/>
              </w:rPr>
              <w:t>tālāko attīstību nākamajā (2021–</w:t>
            </w:r>
            <w:r w:rsidRPr="00416435">
              <w:rPr>
                <w:color w:val="auto"/>
                <w:sz w:val="22"/>
                <w:szCs w:val="22"/>
              </w:rPr>
              <w:t>2027) plānošanas periodā.</w:t>
            </w:r>
          </w:p>
          <w:p w14:paraId="2EFC9E77" w14:textId="77777777" w:rsidR="005D4BF2" w:rsidRPr="00416435" w:rsidRDefault="005D4BF2" w:rsidP="004D719A">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416435">
              <w:rPr>
                <w:color w:val="auto"/>
                <w:sz w:val="22"/>
                <w:szCs w:val="22"/>
              </w:rPr>
              <w:t xml:space="preserve">(4) Atbildīgā institūcija – EM, </w:t>
            </w:r>
            <w:r w:rsidR="00D17CDD">
              <w:rPr>
                <w:color w:val="auto"/>
                <w:sz w:val="22"/>
                <w:szCs w:val="22"/>
              </w:rPr>
              <w:t>FM</w:t>
            </w:r>
          </w:p>
          <w:p w14:paraId="2C580C28" w14:textId="77777777" w:rsidR="005D4BF2" w:rsidRPr="00416435" w:rsidRDefault="005D4BF2" w:rsidP="004D719A">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auto"/>
                <w:sz w:val="22"/>
              </w:rPr>
            </w:pPr>
            <w:r w:rsidRPr="00416435">
              <w:rPr>
                <w:color w:val="auto"/>
                <w:sz w:val="22"/>
              </w:rPr>
              <w:lastRenderedPageBreak/>
              <w:t xml:space="preserve">(5) </w:t>
            </w:r>
            <w:r w:rsidR="004D719A">
              <w:rPr>
                <w:color w:val="auto"/>
                <w:sz w:val="22"/>
              </w:rPr>
              <w:t>2018.</w:t>
            </w:r>
            <w:r w:rsidRPr="00416435">
              <w:rPr>
                <w:color w:val="auto"/>
                <w:sz w:val="22"/>
              </w:rPr>
              <w:t>gadā pirmoreiz notika mērķtiecīga komunikācijas kampaņa zinātnes popularizēšanai, kura īstenota 1.1.1.5. pasākuma “Atbalsts starptautiskās sadarbības projektiem pētniecībā un inovācijās” ietvaros. Apstiprināti un stājušies spēkā MK noteikumi par 1.1.1.5.pasākuma “Atbalsts starptautiskās sadarbības projektiem pētniecībā un inovācijās” īstenošanu. Tā ietvaros paredzēts stiprināt Latvijas pētniecības un attīstības interešu pārstāvniecību programmas "Apvārsnis 2020" programmkomitejās un citās starptautiskās programmās; nacionāla līmeņa pasākumi starptautiskās sadarbības tīklu paplašināšanai, tostarp sadarbība ar Latvijas diasporu ārvalstīs.</w:t>
            </w:r>
          </w:p>
          <w:p w14:paraId="48D7149A" w14:textId="77777777" w:rsidR="00AF59B8" w:rsidRPr="00AF59B8" w:rsidRDefault="00AF59B8" w:rsidP="004D719A">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bookmarkStart w:id="35" w:name="_Hlk947962"/>
            <w:r w:rsidRPr="00AF59B8">
              <w:rPr>
                <w:color w:val="000000" w:themeColor="text1"/>
                <w:sz w:val="22"/>
                <w:szCs w:val="22"/>
              </w:rPr>
              <w:t xml:space="preserve">Pasākums 1.2.1.1. “Atbalsts jaunu produktu un tehnoloģiju izstrādei kompetences centru ietvaros” (64,3 milj. </w:t>
            </w:r>
            <w:r w:rsidR="00A81C85" w:rsidRPr="005D4BF2">
              <w:rPr>
                <w:i/>
                <w:color w:val="auto"/>
                <w:sz w:val="22"/>
                <w:szCs w:val="22"/>
              </w:rPr>
              <w:t>euro</w:t>
            </w:r>
            <w:r w:rsidRPr="00AF59B8">
              <w:rPr>
                <w:color w:val="000000" w:themeColor="text1"/>
                <w:sz w:val="22"/>
                <w:szCs w:val="22"/>
              </w:rPr>
              <w:t xml:space="preserve">) finansē privātā un zinātnes sektora sadarbības pētniecības projektus, lai veiktu lietišķos pētījumus industrijas vajadzībām. 1.projektu iesniegumu atlases kārtas ietvaros tika pabeigti 138 pētniecības projekti par kopējo ERAF finansējumu 47,5 milj. </w:t>
            </w:r>
            <w:r w:rsidR="00A81C85" w:rsidRPr="005D4BF2">
              <w:rPr>
                <w:i/>
                <w:color w:val="auto"/>
                <w:sz w:val="22"/>
                <w:szCs w:val="22"/>
              </w:rPr>
              <w:t>euro</w:t>
            </w:r>
            <w:r w:rsidRPr="00AF59B8">
              <w:rPr>
                <w:color w:val="000000" w:themeColor="text1"/>
                <w:sz w:val="22"/>
                <w:szCs w:val="22"/>
              </w:rPr>
              <w:t xml:space="preserve"> (t.sk., 21,9 milj. </w:t>
            </w:r>
            <w:r w:rsidR="00A81C85" w:rsidRPr="005D4BF2">
              <w:rPr>
                <w:i/>
                <w:color w:val="auto"/>
                <w:sz w:val="22"/>
                <w:szCs w:val="22"/>
              </w:rPr>
              <w:t>euro</w:t>
            </w:r>
            <w:r w:rsidRPr="00AF59B8">
              <w:rPr>
                <w:color w:val="000000" w:themeColor="text1"/>
                <w:sz w:val="22"/>
                <w:szCs w:val="22"/>
              </w:rPr>
              <w:t xml:space="preserve"> piesaistītās privātā sektora investīcijas). Kopumā programmas rezultāti ir ļoti pozitīvi ar rekomendāciju veidot starpnozaru sadarbības pētniecības projektus.</w:t>
            </w:r>
          </w:p>
          <w:bookmarkEnd w:id="35"/>
          <w:p w14:paraId="7E3E2904" w14:textId="77777777" w:rsidR="00AF59B8" w:rsidRPr="00AF59B8" w:rsidRDefault="00AF59B8" w:rsidP="004D719A">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F59B8">
              <w:rPr>
                <w:color w:val="000000" w:themeColor="text1"/>
                <w:sz w:val="22"/>
                <w:szCs w:val="22"/>
              </w:rPr>
              <w:t xml:space="preserve">Pasākums 1.2.1.4. “Jaunu produktu ieviešana ražošanā” (60 milj. </w:t>
            </w:r>
            <w:r w:rsidR="00A81C85" w:rsidRPr="005D4BF2">
              <w:rPr>
                <w:i/>
                <w:color w:val="auto"/>
                <w:sz w:val="22"/>
                <w:szCs w:val="22"/>
              </w:rPr>
              <w:t>euro</w:t>
            </w:r>
            <w:r w:rsidRPr="00AF59B8">
              <w:rPr>
                <w:color w:val="000000" w:themeColor="text1"/>
                <w:sz w:val="22"/>
                <w:szCs w:val="22"/>
              </w:rPr>
              <w:t>) tika izstrādāts ar mērķi veicināt komersantu produktivitātes un konkurētspējas paaugstināšanu, izstrādājot un ieviešot ražošanā jaunus produktus un tehnoloģijas, kā arī palielinot privātā sektora ieguldījumus pētniecībā, attīstībā un inovācijās atbilstoši Viedās specializācijas stratēģijai. Atbalsts tiek piešķirts komersantiem eksperimentālu tehnoloģiju izgatavošanai vai iegādei, kā arī uzstādīšanai un testēšanai reālā ražošanas vidē, veicot saimniecisko darbību no ceturtā līdz astotajam tehnoloģiju gatavības (TRL4</w:t>
            </w:r>
            <w:r w:rsidR="00A67950">
              <w:rPr>
                <w:color w:val="000000" w:themeColor="text1"/>
                <w:sz w:val="22"/>
                <w:szCs w:val="22"/>
              </w:rPr>
              <w:t>–</w:t>
            </w:r>
            <w:r w:rsidRPr="00AF59B8">
              <w:rPr>
                <w:color w:val="000000" w:themeColor="text1"/>
                <w:sz w:val="22"/>
                <w:szCs w:val="22"/>
              </w:rPr>
              <w:t xml:space="preserve">8) līmenim. Pirmās projektu iesniegumu atlases kārtas ietvaros (12.07. – 12.09.2016.) tika apstiprināti 17 projekti par kopējo ERAF summu 25,8 milj. </w:t>
            </w:r>
            <w:r w:rsidRPr="00AF59B8">
              <w:rPr>
                <w:i/>
                <w:color w:val="000000" w:themeColor="text1"/>
                <w:sz w:val="22"/>
                <w:szCs w:val="22"/>
              </w:rPr>
              <w:t>euro</w:t>
            </w:r>
            <w:r w:rsidRPr="00AF59B8">
              <w:rPr>
                <w:color w:val="000000" w:themeColor="text1"/>
                <w:sz w:val="22"/>
                <w:szCs w:val="22"/>
              </w:rPr>
              <w:t xml:space="preserve">. Otrās projektu iesniegumu atlases kārtas ietvaros (21.11. – 12.04.2018.) tika iesniegts 51 projekta pieteikums un šobrīd joprojām notiek to projektu izvērtēšanas process. Otrās projektu iesniegumu atlases kārtas ietvaros plānots apstiprināt ap 20 projektiem par kopējo ERAF finansējumu 34,2 milj. </w:t>
            </w:r>
            <w:r w:rsidRPr="00AF59B8">
              <w:rPr>
                <w:i/>
                <w:color w:val="000000" w:themeColor="text1"/>
                <w:sz w:val="22"/>
                <w:szCs w:val="22"/>
              </w:rPr>
              <w:t>euro</w:t>
            </w:r>
            <w:r w:rsidRPr="00AF59B8">
              <w:rPr>
                <w:color w:val="000000" w:themeColor="text1"/>
                <w:sz w:val="22"/>
                <w:szCs w:val="22"/>
              </w:rPr>
              <w:t xml:space="preserve">. Kopumā programmas ietvaros līdz 2022.gadam plānots atbalstīt vismaz 30 uzņēmumus jaunu produktu un tehnoloģiju izstrādei. Vienlaikus, plānots piesaistīt vismaz 10,5 milj. </w:t>
            </w:r>
            <w:r w:rsidRPr="00AF59B8">
              <w:rPr>
                <w:i/>
                <w:color w:val="000000" w:themeColor="text1"/>
                <w:sz w:val="22"/>
                <w:szCs w:val="22"/>
              </w:rPr>
              <w:t>euro</w:t>
            </w:r>
            <w:r w:rsidRPr="00AF59B8">
              <w:rPr>
                <w:color w:val="000000" w:themeColor="text1"/>
                <w:sz w:val="22"/>
                <w:szCs w:val="22"/>
              </w:rPr>
              <w:t xml:space="preserve"> privātā sektora investīcijas P&amp;A aktivitātēm.</w:t>
            </w:r>
          </w:p>
          <w:p w14:paraId="31B86CD3" w14:textId="77777777" w:rsidR="00AF59B8" w:rsidRPr="00AF59B8" w:rsidRDefault="00AF59B8" w:rsidP="004D719A">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F59B8">
              <w:rPr>
                <w:color w:val="000000" w:themeColor="text1"/>
                <w:sz w:val="22"/>
                <w:szCs w:val="22"/>
              </w:rPr>
              <w:t xml:space="preserve">1.2.1.2. pasākums "Atbalsts tehnoloģiju pārneses sistēmas pilnveidošanai". Tehnoloģiju pārneses programmas ietvaros Vaučeru atbalsta pasākuma uzsaukums tika publicēts 2017.gada februārī, ar pieejamo finansējumu 4 milj. </w:t>
            </w:r>
            <w:r w:rsidR="00A81C85" w:rsidRPr="005D4BF2">
              <w:rPr>
                <w:i/>
                <w:color w:val="auto"/>
                <w:sz w:val="22"/>
                <w:szCs w:val="22"/>
              </w:rPr>
              <w:t>euro</w:t>
            </w:r>
            <w:r w:rsidRPr="00AF59B8">
              <w:rPr>
                <w:color w:val="000000" w:themeColor="text1"/>
                <w:sz w:val="22"/>
                <w:szCs w:val="22"/>
              </w:rPr>
              <w:t xml:space="preserve"> apmērā. Inovāciju vaučeru mērķis ir veicināt inovācijas aktivitāti sīkajos (mikro), mazajos, vidējos un lielajos komersantos, atbalstot jaunu vai būtiski uzlabotu produktu vai tehnoloģiju attīstību. Līdz 2018.gada beigām atbalsts tika sniegts 27 inovāciju vaučeru pieteikumiem.</w:t>
            </w:r>
          </w:p>
          <w:p w14:paraId="0B33A390" w14:textId="77777777" w:rsidR="00AF59B8" w:rsidRPr="00AF59B8" w:rsidRDefault="00AF59B8" w:rsidP="004D719A">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F59B8">
              <w:rPr>
                <w:color w:val="000000" w:themeColor="text1"/>
                <w:sz w:val="22"/>
                <w:szCs w:val="22"/>
              </w:rPr>
              <w:t xml:space="preserve">Kopš 2016.gada beigām ir ieviests īpašs jaunuzņēmumu atbalsta likums, un ar jaunajiem </w:t>
            </w:r>
            <w:r w:rsidRPr="00AF59B8">
              <w:rPr>
                <w:color w:val="000000" w:themeColor="text1"/>
                <w:sz w:val="22"/>
                <w:szCs w:val="22"/>
              </w:rPr>
              <w:lastRenderedPageBreak/>
              <w:t>grozījumiem, kas stājās spēkā pagājušajā gadā, atbalsta instrumenta darbības joma ir paplašināta. Konkrētais jaunuzņēmumu darbības atbalsta likums paredz nodokļu atvieglojumus un grantus augsti kvalificētu komandas dalībnieku piesaistīšanai jaunizveidotajiem uzņēmumiem, sākot no 2017.gada janvāraPapildus ir pieejami 3 jauni akselerācijas fondi (Overkill Ventures, BuildIT un komercializācijas reaktors) un 60 milj. riska kapitāla investīcijas ir pieejamas kopš pagājušā gada jaunuzņēmumu atbalstam. Pagājušajā gadā 100 jaunuzņēmumiem bija iespēja pieteikties finansiālam atbalstam, lai piedalītos izstādēs, konferencēs un tiešās vizītēs ārvalstīs ar iespēju izmantot Latvijas biznesa tīklu, sadarbības un investīciju piesaistes vietu Silīcija ielejā. Svarīgs elements atbalsta programmu izmantošanā ir to popularizēšana starptautiskam interesentu lokam. Šim nolūkam 2018.gada jūnijā tika atvērts informatīvs portāls jaunuzņēmumiem StartupLatvia.eu.</w:t>
            </w:r>
          </w:p>
          <w:p w14:paraId="571674AC" w14:textId="77777777" w:rsidR="00AF59B8" w:rsidRPr="00AF59B8" w:rsidRDefault="00AF59B8" w:rsidP="004D719A">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F59B8">
              <w:rPr>
                <w:color w:val="000000" w:themeColor="text1"/>
                <w:sz w:val="22"/>
                <w:szCs w:val="22"/>
              </w:rPr>
              <w:t xml:space="preserve">Papildus, </w:t>
            </w:r>
            <w:r w:rsidR="00430175">
              <w:rPr>
                <w:color w:val="000000" w:themeColor="text1"/>
                <w:sz w:val="22"/>
                <w:szCs w:val="22"/>
              </w:rPr>
              <w:t>EM</w:t>
            </w:r>
            <w:r w:rsidRPr="00AF59B8">
              <w:rPr>
                <w:color w:val="000000" w:themeColor="text1"/>
                <w:sz w:val="22"/>
                <w:szCs w:val="22"/>
              </w:rPr>
              <w:t xml:space="preserve"> ciešā sadarbībā ar aktīvākajām valsts kapitālsabiedrībām attīsta sadarbības platformu starpnozaru inovāciju sadarbības projektu īstenošanai ar mērķi veicināt investīciju pieaugumu pētniecības un inovācijas aktivitātēm valsts kapitālsabiedrībās radot inovatīvus un eksportspējīgus produktus un pakalpojumus. Pirmais inovāciju forums tika organizēts 2018.gada 26.aprīlī ar mērķi iepazīstināt interesentus ar valsts kapitālsabiedrību pieredzi un plāniem inovāciju veicināšanā. Otrais inovāciju forums tika organizēts 6.septembrī ar mērķi prezentēt kopīgos sadarbības inovāciju projektus, kas tika izstrādāti bioekonomikas, viedo materiālu, lietu interneta un jauno tehnoloģiju (t.sk., loģistika, ģeotelpiskās informācijas sistēmas) grupu ietvaros. Papildus, iniciatīvas ietvaros ir izveidota vadības darba grupa, kuras sastāvā ir gan valsts kapitālsabiedrību pārstāvji, gan publiskā sektora pārstāvji (</w:t>
            </w:r>
            <w:r w:rsidR="00430175">
              <w:rPr>
                <w:color w:val="000000" w:themeColor="text1"/>
                <w:sz w:val="22"/>
                <w:szCs w:val="22"/>
              </w:rPr>
              <w:t>EM</w:t>
            </w:r>
            <w:r w:rsidRPr="00AF59B8">
              <w:rPr>
                <w:color w:val="000000" w:themeColor="text1"/>
                <w:sz w:val="22"/>
                <w:szCs w:val="22"/>
              </w:rPr>
              <w:t xml:space="preserve"> un Pārresoru koordinācijas centrs) ar mērķi uzraudzīt platformas attīstības procesu un pieņemt stratēģiskus lēmumus ilgtermiņa attīstībai. Trešais forums tiks organizēts 2019.gada 4.aprīlī ar mērķi izcelt cilvēka un tehnoloģiju nozīme inovāciju radīšanā, kā arī pasākuma ietvaros tiks paplašināts iniciatīvas dalībnieku loks ar jauniem valsts kapitālsabiedrību pārstāvjiem.</w:t>
            </w:r>
          </w:p>
          <w:p w14:paraId="1386CE84" w14:textId="77777777" w:rsidR="00AF59B8" w:rsidRPr="00AF59B8" w:rsidRDefault="00AF59B8" w:rsidP="00430175">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F59B8">
              <w:rPr>
                <w:color w:val="000000" w:themeColor="text1"/>
                <w:sz w:val="22"/>
                <w:szCs w:val="22"/>
              </w:rPr>
              <w:t xml:space="preserve">Noslēgumā, </w:t>
            </w:r>
            <w:r w:rsidR="00430175">
              <w:rPr>
                <w:color w:val="000000" w:themeColor="text1"/>
                <w:sz w:val="22"/>
                <w:szCs w:val="22"/>
              </w:rPr>
              <w:t>EM</w:t>
            </w:r>
            <w:r w:rsidRPr="00AF59B8">
              <w:rPr>
                <w:color w:val="000000" w:themeColor="text1"/>
                <w:sz w:val="22"/>
                <w:szCs w:val="22"/>
              </w:rPr>
              <w:t xml:space="preserve"> kopš 2018.gada vasaras īsteno 3 nacionāla mēroga stratēģisku ekosistēmu attīstības projektus tādās jomās kā Viedie materiāli, Biomedicīna un Viedā pilsēta. Stratēģiskie projekti tiek attīstīti ar mērķi veicināt ciešāku sadarbību starp zinātnes un industrijas pārstāvjiem, kā arī starptautiskajiem partneriem, lai piesaistītu papildus starptautiskās investīcijas attīstot kopīgus P&amp;A projektus.</w:t>
            </w:r>
          </w:p>
          <w:p w14:paraId="35AD643D" w14:textId="77777777" w:rsidR="00AF59B8" w:rsidRPr="00AF59B8" w:rsidRDefault="00AF59B8" w:rsidP="004A22A3">
            <w:pPr>
              <w:spacing w:after="0"/>
              <w:cnfStyle w:val="000000000000" w:firstRow="0" w:lastRow="0" w:firstColumn="0" w:lastColumn="0" w:oddVBand="0" w:evenVBand="0" w:oddHBand="0" w:evenHBand="0" w:firstRowFirstColumn="0" w:firstRowLastColumn="0" w:lastRowFirstColumn="0" w:lastRowLastColumn="0"/>
              <w:rPr>
                <w:b/>
                <w:color w:val="auto"/>
                <w:sz w:val="22"/>
                <w:szCs w:val="22"/>
              </w:rPr>
            </w:pPr>
            <w:r w:rsidRPr="00AF59B8">
              <w:rPr>
                <w:b/>
                <w:color w:val="auto"/>
                <w:sz w:val="22"/>
                <w:szCs w:val="22"/>
              </w:rPr>
              <w:t>Sabiedrības izpratnes veicināšana, zinātnes un inovācijas popularizēšana.</w:t>
            </w:r>
          </w:p>
          <w:p w14:paraId="57EB3A2C" w14:textId="77777777" w:rsidR="00AF59B8" w:rsidRPr="00AF59B8" w:rsidRDefault="00AF59B8" w:rsidP="004A22A3">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F59B8">
              <w:rPr>
                <w:color w:val="000000" w:themeColor="text1"/>
                <w:sz w:val="22"/>
                <w:szCs w:val="22"/>
              </w:rPr>
              <w:t>SAM 1.2.1. “Palielināt privātā sektora investīcijas P&amp;A” ietvaros tiek paredzēts atbalsts šādu programmu īstenošanai ar mērķi veicināt sabiedrības izpratni un izglītošanu par inovācijām:</w:t>
            </w:r>
          </w:p>
          <w:p w14:paraId="762384CB" w14:textId="77777777" w:rsidR="00AF59B8" w:rsidRPr="00AF59B8" w:rsidRDefault="00AF59B8" w:rsidP="004D719A">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F59B8">
              <w:rPr>
                <w:color w:val="000000" w:themeColor="text1"/>
                <w:sz w:val="22"/>
                <w:szCs w:val="22"/>
              </w:rPr>
              <w:t xml:space="preserve">Atbalsta programmas "Inovāciju motivācijas programma" mērķis ir informēt un </w:t>
            </w:r>
            <w:r w:rsidRPr="00AF59B8">
              <w:rPr>
                <w:color w:val="000000" w:themeColor="text1"/>
                <w:sz w:val="22"/>
                <w:szCs w:val="22"/>
              </w:rPr>
              <w:lastRenderedPageBreak/>
              <w:t xml:space="preserve">iedrošināt pēc iespējas plašāku sabiedrības daļu uzsākt uzņēmējdarbību un inovāciju ieviešanu. Kopējais pieejamais finansējums programmas ietvaros ir 5,65 milj. </w:t>
            </w:r>
            <w:r w:rsidR="00A81C85" w:rsidRPr="005D4BF2">
              <w:rPr>
                <w:i/>
                <w:color w:val="auto"/>
                <w:sz w:val="22"/>
                <w:szCs w:val="22"/>
              </w:rPr>
              <w:t>euro</w:t>
            </w:r>
            <w:r w:rsidRPr="00AF59B8">
              <w:rPr>
                <w:color w:val="000000" w:themeColor="text1"/>
                <w:sz w:val="22"/>
                <w:szCs w:val="22"/>
              </w:rPr>
              <w:t>. Līdz 2023.gada nogalei programmas ietvaros kopumā paredzēts iesaistīt 10 tūkst. personu, kā arī atbalstīt 100 komersantus, kas saņem nefinansiālu atbalstu. Kopš 2016.gada rudens uzsākta programmas aktivitāšu īstenošana.</w:t>
            </w:r>
          </w:p>
        </w:tc>
      </w:tr>
      <w:tr w:rsidR="00AF59B8" w:rsidRPr="00482AA0" w14:paraId="4AC21FCD" w14:textId="77777777" w:rsidTr="006A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0A3532" w14:textId="77777777" w:rsidR="00AF59B8" w:rsidRPr="00482AA0" w:rsidRDefault="00AF59B8" w:rsidP="006A7563">
            <w:pPr>
              <w:ind w:firstLine="0"/>
              <w:rPr>
                <w:b w:val="0"/>
                <w:color w:val="000000" w:themeColor="text1"/>
                <w:sz w:val="22"/>
                <w:szCs w:val="22"/>
              </w:rPr>
            </w:pPr>
            <w:r w:rsidRPr="00482AA0">
              <w:rPr>
                <w:color w:val="000000" w:themeColor="text1"/>
                <w:sz w:val="22"/>
                <w:szCs w:val="22"/>
              </w:rPr>
              <w:lastRenderedPageBreak/>
              <w:t>Nacionālais SEG emisijas</w:t>
            </w:r>
            <w:r w:rsidRPr="00482AA0">
              <w:rPr>
                <w:b w:val="0"/>
                <w:color w:val="000000" w:themeColor="text1"/>
                <w:sz w:val="22"/>
                <w:szCs w:val="22"/>
              </w:rPr>
              <w:t xml:space="preserve"> </w:t>
            </w:r>
            <w:r w:rsidRPr="00482AA0">
              <w:rPr>
                <w:color w:val="000000" w:themeColor="text1"/>
                <w:sz w:val="22"/>
                <w:szCs w:val="22"/>
              </w:rPr>
              <w:t>ierobežošanas mērķis (12,2 Mt CO</w:t>
            </w:r>
            <w:r w:rsidRPr="00482AA0">
              <w:rPr>
                <w:color w:val="000000" w:themeColor="text1"/>
                <w:sz w:val="22"/>
                <w:szCs w:val="22"/>
                <w:vertAlign w:val="subscript"/>
              </w:rPr>
              <w:t>2</w:t>
            </w:r>
            <w:r w:rsidRPr="00482AA0">
              <w:rPr>
                <w:color w:val="000000" w:themeColor="text1"/>
                <w:sz w:val="22"/>
                <w:szCs w:val="22"/>
              </w:rPr>
              <w:t>)</w:t>
            </w:r>
          </w:p>
        </w:tc>
        <w:tc>
          <w:tcPr>
            <w:tcW w:w="3827" w:type="dxa"/>
          </w:tcPr>
          <w:p w14:paraId="19A7993B" w14:textId="77777777" w:rsidR="00AF59B8" w:rsidRPr="005119CA" w:rsidRDefault="00AF59B8" w:rsidP="00AF59B8">
            <w:pPr>
              <w:pStyle w:val="ListParagraph"/>
              <w:numPr>
                <w:ilvl w:val="0"/>
                <w:numId w:val="5"/>
              </w:numPr>
              <w:spacing w:after="0" w:line="240" w:lineRule="auto"/>
              <w:ind w:left="180" w:hanging="2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Ne</w:t>
            </w:r>
            <w:r w:rsidR="00A67950">
              <w:rPr>
                <w:rFonts w:ascii="Times New Roman" w:hAnsi="Times New Roman"/>
                <w:color w:val="000000" w:themeColor="text1"/>
                <w:szCs w:val="22"/>
              </w:rPr>
              <w:t>–</w:t>
            </w:r>
            <w:r w:rsidRPr="005119CA">
              <w:rPr>
                <w:rFonts w:ascii="Times New Roman" w:hAnsi="Times New Roman"/>
                <w:color w:val="000000" w:themeColor="text1"/>
                <w:szCs w:val="22"/>
              </w:rPr>
              <w:t>ETS nozaru emisiju ierobežošana;</w:t>
            </w:r>
          </w:p>
          <w:p w14:paraId="4DAE2CA6" w14:textId="77777777" w:rsidR="00AF59B8" w:rsidRPr="005119CA" w:rsidRDefault="00AF59B8" w:rsidP="00AF59B8">
            <w:pPr>
              <w:pStyle w:val="ListParagraph"/>
              <w:numPr>
                <w:ilvl w:val="0"/>
                <w:numId w:val="5"/>
              </w:numPr>
              <w:spacing w:after="0" w:line="240" w:lineRule="auto"/>
              <w:ind w:left="180" w:hanging="2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Pētniecība, inovācijas, sabiedrības informēšana.</w:t>
            </w:r>
          </w:p>
        </w:tc>
        <w:tc>
          <w:tcPr>
            <w:tcW w:w="8647" w:type="dxa"/>
          </w:tcPr>
          <w:p w14:paraId="2DF3A955" w14:textId="77777777" w:rsidR="006A7563" w:rsidRPr="0041381D" w:rsidRDefault="006A7563" w:rsidP="006A7563">
            <w:pPr>
              <w:spacing w:after="60"/>
              <w:cnfStyle w:val="000000100000" w:firstRow="0" w:lastRow="0" w:firstColumn="0" w:lastColumn="0" w:oddVBand="0" w:evenVBand="0" w:oddHBand="1" w:evenHBand="0" w:firstRowFirstColumn="0" w:firstRowLastColumn="0" w:lastRowFirstColumn="0" w:lastRowLastColumn="0"/>
              <w:rPr>
                <w:color w:val="auto"/>
                <w:sz w:val="22"/>
                <w:szCs w:val="22"/>
              </w:rPr>
            </w:pPr>
            <w:r w:rsidRPr="00E16083">
              <w:rPr>
                <w:color w:val="auto"/>
                <w:sz w:val="22"/>
                <w:szCs w:val="22"/>
              </w:rPr>
              <w:t>1.</w:t>
            </w:r>
            <w:r w:rsidRPr="0041381D">
              <w:rPr>
                <w:color w:val="auto"/>
                <w:sz w:val="22"/>
                <w:szCs w:val="22"/>
              </w:rPr>
              <w:t>Latvijas kopējais SEG emisiju apjoms 2005.</w:t>
            </w:r>
            <w:r w:rsidR="00A67950">
              <w:rPr>
                <w:color w:val="auto"/>
                <w:sz w:val="22"/>
                <w:szCs w:val="22"/>
              </w:rPr>
              <w:t>–</w:t>
            </w:r>
            <w:r w:rsidRPr="0041381D">
              <w:rPr>
                <w:color w:val="auto"/>
                <w:sz w:val="22"/>
                <w:szCs w:val="22"/>
              </w:rPr>
              <w:t>2016.gadā ir samazināts par 1,32%, un 2016.gadā ir 11,3 Mt CO</w:t>
            </w:r>
            <w:r w:rsidRPr="0041381D">
              <w:rPr>
                <w:color w:val="auto"/>
                <w:sz w:val="22"/>
                <w:szCs w:val="22"/>
                <w:vertAlign w:val="subscript"/>
              </w:rPr>
              <w:t xml:space="preserve">2 </w:t>
            </w:r>
            <w:r w:rsidRPr="0041381D">
              <w:rPr>
                <w:color w:val="auto"/>
                <w:sz w:val="22"/>
                <w:szCs w:val="22"/>
              </w:rPr>
              <w:t>ekv.</w:t>
            </w:r>
            <w:r w:rsidRPr="0041381D">
              <w:rPr>
                <w:rStyle w:val="FootnoteReference"/>
                <w:color w:val="auto"/>
                <w:sz w:val="22"/>
                <w:szCs w:val="22"/>
              </w:rPr>
              <w:footnoteReference w:id="6"/>
            </w:r>
            <w:r w:rsidRPr="0041381D">
              <w:rPr>
                <w:color w:val="auto"/>
                <w:sz w:val="22"/>
                <w:szCs w:val="22"/>
              </w:rPr>
              <w:t xml:space="preserve">, kas ir par 7,4% mazāks apjoms nekā noteiktais mērķis </w:t>
            </w:r>
            <w:r w:rsidR="00A67950">
              <w:rPr>
                <w:color w:val="auto"/>
                <w:sz w:val="22"/>
                <w:szCs w:val="22"/>
              </w:rPr>
              <w:t>–</w:t>
            </w:r>
            <w:r w:rsidRPr="0041381D">
              <w:rPr>
                <w:color w:val="auto"/>
                <w:sz w:val="22"/>
                <w:szCs w:val="22"/>
              </w:rPr>
              <w:t xml:space="preserve"> 12,2 Mt CO</w:t>
            </w:r>
            <w:r w:rsidRPr="0041381D">
              <w:rPr>
                <w:color w:val="auto"/>
                <w:sz w:val="22"/>
                <w:szCs w:val="22"/>
                <w:vertAlign w:val="subscript"/>
              </w:rPr>
              <w:t>2</w:t>
            </w:r>
            <w:r w:rsidRPr="0041381D">
              <w:rPr>
                <w:color w:val="auto"/>
                <w:sz w:val="22"/>
                <w:szCs w:val="22"/>
              </w:rPr>
              <w:t xml:space="preserve"> ekv.</w:t>
            </w:r>
          </w:p>
          <w:p w14:paraId="77B3F13A" w14:textId="77777777" w:rsidR="006A7563" w:rsidRPr="0041381D" w:rsidRDefault="006A7563" w:rsidP="006A7563">
            <w:pPr>
              <w:cnfStyle w:val="000000100000" w:firstRow="0" w:lastRow="0" w:firstColumn="0" w:lastColumn="0" w:oddVBand="0" w:evenVBand="0" w:oddHBand="1" w:evenHBand="0" w:firstRowFirstColumn="0" w:firstRowLastColumn="0" w:lastRowFirstColumn="0" w:lastRowLastColumn="0"/>
              <w:rPr>
                <w:color w:val="auto"/>
                <w:sz w:val="22"/>
              </w:rPr>
            </w:pPr>
            <w:r w:rsidRPr="0041381D">
              <w:rPr>
                <w:color w:val="auto"/>
                <w:sz w:val="22"/>
              </w:rPr>
              <w:t>La</w:t>
            </w:r>
            <w:r>
              <w:rPr>
                <w:color w:val="auto"/>
                <w:sz w:val="22"/>
              </w:rPr>
              <w:t>tvijai laika periodā līdz 2020.</w:t>
            </w:r>
            <w:r w:rsidRPr="0041381D">
              <w:rPr>
                <w:color w:val="auto"/>
                <w:sz w:val="22"/>
              </w:rPr>
              <w:t>gadam pieļauts ne</w:t>
            </w:r>
            <w:r w:rsidR="00A67950">
              <w:rPr>
                <w:color w:val="auto"/>
                <w:sz w:val="22"/>
              </w:rPr>
              <w:t>–</w:t>
            </w:r>
            <w:r w:rsidRPr="0041381D">
              <w:rPr>
                <w:color w:val="auto"/>
                <w:sz w:val="22"/>
              </w:rPr>
              <w:t>ETS darbību SEG emisiju pieaugums par 17%, salīdzinot ar Latvijas ne</w:t>
            </w:r>
            <w:r w:rsidR="00A67950">
              <w:rPr>
                <w:color w:val="auto"/>
                <w:sz w:val="22"/>
              </w:rPr>
              <w:t>–</w:t>
            </w:r>
            <w:r w:rsidRPr="0041381D">
              <w:rPr>
                <w:color w:val="auto"/>
                <w:sz w:val="22"/>
              </w:rPr>
              <w:t>ETS darbību SEG emisiju apjomu 2005.gadā.</w:t>
            </w:r>
          </w:p>
          <w:p w14:paraId="4D3A259F" w14:textId="77777777" w:rsidR="00AF59B8" w:rsidRPr="00482AA0" w:rsidRDefault="006A7563" w:rsidP="006A7563">
            <w:p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41381D">
              <w:rPr>
                <w:color w:val="auto"/>
                <w:sz w:val="22"/>
                <w:szCs w:val="22"/>
              </w:rPr>
              <w:t>Tiek prognozēts, ka Latvija izpildīts SEG emisiju samazināšanas mērķus, kas noteikti nacionālajos politikas plānošanas dokumentos un ES tiesību aktos.</w:t>
            </w:r>
          </w:p>
        </w:tc>
      </w:tr>
      <w:tr w:rsidR="00AF59B8" w:rsidRPr="00482AA0" w14:paraId="240AA0F1" w14:textId="77777777" w:rsidTr="006A7563">
        <w:tc>
          <w:tcPr>
            <w:cnfStyle w:val="001000000000" w:firstRow="0" w:lastRow="0" w:firstColumn="1" w:lastColumn="0" w:oddVBand="0" w:evenVBand="0" w:oddHBand="0" w:evenHBand="0" w:firstRowFirstColumn="0" w:firstRowLastColumn="0" w:lastRowFirstColumn="0" w:lastRowLastColumn="0"/>
            <w:tcW w:w="2122" w:type="dxa"/>
          </w:tcPr>
          <w:p w14:paraId="144AC98D" w14:textId="77777777" w:rsidR="00AF59B8" w:rsidRPr="00482AA0" w:rsidRDefault="00AF59B8" w:rsidP="006A7563">
            <w:pPr>
              <w:ind w:firstLine="0"/>
              <w:rPr>
                <w:b w:val="0"/>
                <w:color w:val="000000" w:themeColor="text1"/>
                <w:sz w:val="22"/>
                <w:szCs w:val="22"/>
              </w:rPr>
            </w:pPr>
            <w:r w:rsidRPr="00482AA0">
              <w:rPr>
                <w:color w:val="000000" w:themeColor="text1"/>
                <w:sz w:val="22"/>
                <w:szCs w:val="22"/>
              </w:rPr>
              <w:t>Atjaunojamās enerģijas mērķis (40,0%)</w:t>
            </w:r>
          </w:p>
        </w:tc>
        <w:tc>
          <w:tcPr>
            <w:tcW w:w="3827" w:type="dxa"/>
          </w:tcPr>
          <w:p w14:paraId="1422E40B" w14:textId="77777777" w:rsidR="00AF59B8" w:rsidRPr="005119CA" w:rsidRDefault="00AF59B8" w:rsidP="00AF59B8">
            <w:pPr>
              <w:pStyle w:val="ListParagraph"/>
              <w:numPr>
                <w:ilvl w:val="0"/>
                <w:numId w:val="8"/>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Tiesiskās bāzes sakārtošana;</w:t>
            </w:r>
          </w:p>
          <w:p w14:paraId="199327DB" w14:textId="77777777" w:rsidR="00AF59B8" w:rsidRPr="005119CA" w:rsidRDefault="00AF59B8" w:rsidP="00AF59B8">
            <w:pPr>
              <w:pStyle w:val="ListParagraph"/>
              <w:numPr>
                <w:ilvl w:val="0"/>
                <w:numId w:val="8"/>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Finanšu resursu pieejamības nodrošināšana atjaunojamās enerģijas ražošanai;</w:t>
            </w:r>
          </w:p>
          <w:p w14:paraId="3D6CB654" w14:textId="77777777" w:rsidR="00AF59B8" w:rsidRPr="005119CA" w:rsidRDefault="00AF59B8" w:rsidP="00AF59B8">
            <w:pPr>
              <w:pStyle w:val="ListParagraph"/>
              <w:numPr>
                <w:ilvl w:val="0"/>
                <w:numId w:val="8"/>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Pasākumi atjaunojamo energoresursu 10% mērķa sasniegšanai transporta sektorā.</w:t>
            </w:r>
          </w:p>
        </w:tc>
        <w:tc>
          <w:tcPr>
            <w:tcW w:w="8647" w:type="dxa"/>
          </w:tcPr>
          <w:p w14:paraId="0E9B9015" w14:textId="77777777" w:rsidR="00AF59B8" w:rsidRDefault="00D70FA2" w:rsidP="004A22A3">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1.</w:t>
            </w:r>
            <w:r w:rsidR="00AF59B8">
              <w:rPr>
                <w:color w:val="auto"/>
                <w:sz w:val="22"/>
                <w:szCs w:val="22"/>
              </w:rPr>
              <w:t>2018</w:t>
            </w:r>
            <w:r w:rsidR="00AF59B8" w:rsidRPr="00996A19">
              <w:rPr>
                <w:color w:val="auto"/>
                <w:sz w:val="22"/>
                <w:szCs w:val="22"/>
              </w:rPr>
              <w:t>.gadā tika turpināts darbs pie esošā atbalsta mehānisma elektroenerģijas ražošanai no AER un koģenerācijā efektivitātes izvērtēšanas un sagatavoti priekšli</w:t>
            </w:r>
            <w:r w:rsidR="00AF59B8">
              <w:rPr>
                <w:color w:val="auto"/>
                <w:sz w:val="22"/>
                <w:szCs w:val="22"/>
              </w:rPr>
              <w:t>kumi turpmākajiem risinājumiem. 2019.gada 7.janvārī Ministru kabineta komitejā tika atbalstīts k</w:t>
            </w:r>
            <w:r w:rsidR="00AF59B8" w:rsidRPr="0003019B">
              <w:rPr>
                <w:color w:val="auto"/>
                <w:sz w:val="22"/>
                <w:szCs w:val="22"/>
              </w:rPr>
              <w:t xml:space="preserve">onceptuāls ziņojums "Kompleksi pasākumi obligātā iepirkuma komponentes atcelšanai un elektroenerģijas tirgus attīstībai". Līdztekus tam </w:t>
            </w:r>
            <w:r w:rsidR="00AF59B8">
              <w:rPr>
                <w:color w:val="auto"/>
                <w:sz w:val="22"/>
                <w:szCs w:val="22"/>
              </w:rPr>
              <w:t>2019.gada 10.janvārī Saeima pieņēma lēmumu, ka lai mazinātu slogu elektroenerģijas patērētājiem elektroenerģijas obligātā iepirkuma komponente būtu atceļama tiesiskā veidā no 2019.gada 31.marta.</w:t>
            </w:r>
            <w:r w:rsidR="00AF59B8" w:rsidRPr="0003019B">
              <w:rPr>
                <w:color w:val="auto"/>
                <w:sz w:val="22"/>
                <w:szCs w:val="22"/>
              </w:rPr>
              <w:t xml:space="preserve"> </w:t>
            </w:r>
            <w:r w:rsidR="00AF59B8">
              <w:rPr>
                <w:color w:val="auto"/>
                <w:sz w:val="22"/>
                <w:szCs w:val="22"/>
              </w:rPr>
              <w:t xml:space="preserve">Šobrīd </w:t>
            </w:r>
            <w:r w:rsidR="00430175">
              <w:rPr>
                <w:color w:val="auto"/>
                <w:sz w:val="22"/>
                <w:szCs w:val="22"/>
              </w:rPr>
              <w:t>EM</w:t>
            </w:r>
            <w:r w:rsidR="00AF59B8">
              <w:rPr>
                <w:color w:val="auto"/>
                <w:sz w:val="22"/>
                <w:szCs w:val="22"/>
              </w:rPr>
              <w:t xml:space="preserve"> vērtē vai tiesiskā veidā tas ir īstenojams. Līdz ar to, 2019.gadā turpināsies darbs pie šo jautājumu tiesiskas risināšanas.</w:t>
            </w:r>
          </w:p>
          <w:p w14:paraId="00F327C3" w14:textId="77777777" w:rsidR="00AF59B8" w:rsidRPr="00893574" w:rsidRDefault="00D70FA2" w:rsidP="004A22A3">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2.</w:t>
            </w:r>
            <w:r w:rsidR="00AF59B8" w:rsidRPr="00E41C8C">
              <w:rPr>
                <w:color w:val="auto"/>
                <w:sz w:val="22"/>
                <w:szCs w:val="22"/>
              </w:rPr>
              <w:t>Ražotājiem, kas elektroen</w:t>
            </w:r>
            <w:r w:rsidR="00AF59B8" w:rsidRPr="000370F8">
              <w:rPr>
                <w:color w:val="auto"/>
                <w:sz w:val="22"/>
                <w:szCs w:val="22"/>
              </w:rPr>
              <w:t>erģiju ražo no atjaunojamiem energoresursiem un to pārdod obligātā iepirkuma ietvaros, kopējais atbalsta</w:t>
            </w:r>
            <w:r w:rsidR="00AF59B8">
              <w:rPr>
                <w:color w:val="auto"/>
                <w:sz w:val="22"/>
                <w:szCs w:val="22"/>
              </w:rPr>
              <w:t xml:space="preserve"> apjoms virs tirgus cenas 2017.</w:t>
            </w:r>
            <w:r w:rsidR="00AF59B8" w:rsidRPr="000370F8">
              <w:rPr>
                <w:color w:val="auto"/>
                <w:sz w:val="22"/>
                <w:szCs w:val="22"/>
              </w:rPr>
              <w:t>gadā ir 119,4 milj.</w:t>
            </w:r>
            <w:r w:rsidR="00AF59B8">
              <w:rPr>
                <w:color w:val="auto"/>
                <w:sz w:val="22"/>
                <w:szCs w:val="22"/>
              </w:rPr>
              <w:t xml:space="preserve"> </w:t>
            </w:r>
            <w:r w:rsidR="00A81C85" w:rsidRPr="005D4BF2">
              <w:rPr>
                <w:i/>
                <w:color w:val="auto"/>
                <w:sz w:val="22"/>
                <w:szCs w:val="22"/>
              </w:rPr>
              <w:t>euro</w:t>
            </w:r>
            <w:r w:rsidR="00AF59B8" w:rsidRPr="000370F8">
              <w:rPr>
                <w:color w:val="auto"/>
                <w:sz w:val="22"/>
                <w:szCs w:val="22"/>
              </w:rPr>
              <w:t xml:space="preserve">, kas ir par 30% </w:t>
            </w:r>
            <w:r w:rsidR="00AF59B8">
              <w:rPr>
                <w:color w:val="auto"/>
                <w:sz w:val="22"/>
                <w:szCs w:val="22"/>
              </w:rPr>
              <w:t>vairāk nekā 2016.</w:t>
            </w:r>
            <w:r w:rsidR="00AF59B8" w:rsidRPr="000370F8">
              <w:rPr>
                <w:color w:val="auto"/>
                <w:sz w:val="22"/>
                <w:szCs w:val="22"/>
              </w:rPr>
              <w:t xml:space="preserve">gadā. Šis </w:t>
            </w:r>
            <w:r w:rsidR="00AF59B8" w:rsidRPr="00030AB6">
              <w:rPr>
                <w:color w:val="auto"/>
                <w:sz w:val="22"/>
                <w:szCs w:val="22"/>
              </w:rPr>
              <w:t xml:space="preserve">palielinājums ir saistīts ar atbalsta apjoma pieaugumu biomasas elektrostacijām. Savukārt elektroenerģijas obligātā iepirkuma ietvaros kopējais </w:t>
            </w:r>
            <w:r w:rsidR="00AF59B8" w:rsidRPr="00893574">
              <w:rPr>
                <w:color w:val="auto"/>
                <w:sz w:val="22"/>
                <w:szCs w:val="22"/>
              </w:rPr>
              <w:t>iepirktais elektroenerģijas apjoms 2017</w:t>
            </w:r>
            <w:r w:rsidR="00AF59B8">
              <w:rPr>
                <w:color w:val="auto"/>
                <w:sz w:val="22"/>
                <w:szCs w:val="22"/>
              </w:rPr>
              <w:t>.</w:t>
            </w:r>
            <w:r w:rsidR="00AF59B8" w:rsidRPr="00893574">
              <w:rPr>
                <w:color w:val="auto"/>
                <w:sz w:val="22"/>
                <w:szCs w:val="22"/>
              </w:rPr>
              <w:t>gadā, salīdzinot ar 2016</w:t>
            </w:r>
            <w:r w:rsidR="00AF59B8">
              <w:rPr>
                <w:color w:val="auto"/>
                <w:sz w:val="22"/>
                <w:szCs w:val="22"/>
              </w:rPr>
              <w:t>.</w:t>
            </w:r>
            <w:r w:rsidR="00AF59B8" w:rsidRPr="00893574">
              <w:rPr>
                <w:color w:val="auto"/>
                <w:sz w:val="22"/>
                <w:szCs w:val="22"/>
              </w:rPr>
              <w:t>gadu, ir par 16% lielāks.</w:t>
            </w:r>
          </w:p>
          <w:p w14:paraId="0B4904D0" w14:textId="77777777" w:rsidR="00AF59B8" w:rsidRDefault="00AF59B8" w:rsidP="004A22A3">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893574">
              <w:rPr>
                <w:color w:val="auto"/>
                <w:sz w:val="22"/>
                <w:szCs w:val="22"/>
              </w:rPr>
              <w:t xml:space="preserve">Saistībā ar finanšu resursu pieejamības nodrošināšanu atjaunojamās enerģijas ražošanai </w:t>
            </w:r>
            <w:r w:rsidR="00430175">
              <w:rPr>
                <w:color w:val="auto"/>
                <w:sz w:val="22"/>
                <w:szCs w:val="22"/>
              </w:rPr>
              <w:lastRenderedPageBreak/>
              <w:t>EM</w:t>
            </w:r>
            <w:r w:rsidRPr="00893574">
              <w:rPr>
                <w:color w:val="auto"/>
                <w:sz w:val="22"/>
                <w:szCs w:val="22"/>
              </w:rPr>
              <w:t xml:space="preserve"> ir atbildīga par ES fondu 4.3.1.</w:t>
            </w:r>
            <w:r w:rsidR="00BB535C">
              <w:rPr>
                <w:color w:val="auto"/>
                <w:sz w:val="22"/>
                <w:szCs w:val="22"/>
              </w:rPr>
              <w:t xml:space="preserve"> SAM</w:t>
            </w:r>
            <w:r w:rsidRPr="00893574">
              <w:rPr>
                <w:color w:val="auto"/>
                <w:sz w:val="22"/>
                <w:szCs w:val="22"/>
              </w:rPr>
              <w:t xml:space="preserve"> “Veicināt energoefektivitāti un vietējo AER izmantošanu centralizētajā siltumapgādē” īstenošanu. Šīs atbalsta programmas ietvaros atbalsts tiek sniegts centralizētās siltumapgādes sistēmas komersantiem atbalstot pāreju uz atjaunojamiem energoresursiem, kā arī uzlabojot energoefektivitāti siltumavotos, kur jau šobrīd tiek izmantoti atjaunojamie energoresursi.</w:t>
            </w:r>
          </w:p>
          <w:p w14:paraId="0B4A500C" w14:textId="77777777" w:rsidR="00AF59B8" w:rsidRDefault="00D70FA2" w:rsidP="004A22A3">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3. </w:t>
            </w:r>
            <w:r w:rsidR="00AF59B8">
              <w:rPr>
                <w:color w:val="auto"/>
                <w:sz w:val="22"/>
                <w:szCs w:val="22"/>
              </w:rPr>
              <w:t>2018.gada 1.</w:t>
            </w:r>
            <w:r w:rsidR="00AF59B8" w:rsidRPr="0009589F">
              <w:rPr>
                <w:color w:val="auto"/>
                <w:sz w:val="22"/>
                <w:szCs w:val="22"/>
              </w:rPr>
              <w:t>aprīlī stājās spēkā grozījumi Ministru kabineta 2000.gada 26.septembra noteikumos Nr.332 “Noteikumi par benzīna un dīzeļdegvielas atbilstības novērtēšanu”, kas nostiprināja obligātā biodegvielas piejaukuma prasības dīzeļdegvielai, kas turpmāk tiek realizēta periodā no 16.aprīļa līdz 31.oktobrim.</w:t>
            </w:r>
          </w:p>
          <w:p w14:paraId="3CED88FB" w14:textId="77777777" w:rsidR="00AF59B8" w:rsidRDefault="00430175" w:rsidP="004A22A3">
            <w:pPr>
              <w:spacing w:after="0"/>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EM</w:t>
            </w:r>
            <w:r w:rsidR="00AF59B8" w:rsidRPr="00541DA8">
              <w:rPr>
                <w:color w:val="auto"/>
                <w:sz w:val="22"/>
                <w:szCs w:val="22"/>
              </w:rPr>
              <w:t xml:space="preserve"> ir izstrādājusi likumprojektu “Transporta enerģijas likums”, kas</w:t>
            </w:r>
            <w:r w:rsidR="00AF59B8">
              <w:rPr>
                <w:color w:val="auto"/>
                <w:sz w:val="22"/>
                <w:szCs w:val="22"/>
              </w:rPr>
              <w:t xml:space="preserve"> ir atbalstīts Ministru kabinetā jau 2018.gada 29.</w:t>
            </w:r>
            <w:r w:rsidR="00AF59B8" w:rsidRPr="00541DA8">
              <w:rPr>
                <w:color w:val="auto"/>
                <w:sz w:val="22"/>
                <w:szCs w:val="22"/>
              </w:rPr>
              <w:t>maij</w:t>
            </w:r>
            <w:r w:rsidR="00AF59B8">
              <w:rPr>
                <w:color w:val="auto"/>
                <w:sz w:val="22"/>
                <w:szCs w:val="22"/>
              </w:rPr>
              <w:t>ā</w:t>
            </w:r>
            <w:r w:rsidR="00AF59B8" w:rsidRPr="00541DA8">
              <w:rPr>
                <w:color w:val="auto"/>
                <w:sz w:val="22"/>
                <w:szCs w:val="22"/>
              </w:rPr>
              <w:t xml:space="preserve"> un </w:t>
            </w:r>
            <w:r w:rsidR="00AF59B8">
              <w:rPr>
                <w:color w:val="auto"/>
                <w:sz w:val="22"/>
                <w:szCs w:val="22"/>
              </w:rPr>
              <w:t>šobrīd ir izskatīšanā</w:t>
            </w:r>
            <w:r w:rsidR="00AF59B8" w:rsidRPr="00541DA8">
              <w:rPr>
                <w:color w:val="auto"/>
                <w:sz w:val="22"/>
                <w:szCs w:val="22"/>
              </w:rPr>
              <w:t xml:space="preserve"> Saeimā.</w:t>
            </w:r>
            <w:r w:rsidR="00AF59B8">
              <w:rPr>
                <w:color w:val="auto"/>
                <w:sz w:val="22"/>
                <w:szCs w:val="22"/>
              </w:rPr>
              <w:t xml:space="preserve"> </w:t>
            </w:r>
            <w:r w:rsidR="00AF59B8" w:rsidRPr="00A32B06">
              <w:rPr>
                <w:color w:val="auto"/>
                <w:sz w:val="22"/>
                <w:szCs w:val="22"/>
              </w:rPr>
              <w:t xml:space="preserve">Likumprojekts </w:t>
            </w:r>
            <w:r w:rsidR="00AF59B8">
              <w:rPr>
                <w:color w:val="auto"/>
                <w:sz w:val="22"/>
                <w:szCs w:val="22"/>
              </w:rPr>
              <w:t>paredz</w:t>
            </w:r>
            <w:r w:rsidR="00AF59B8" w:rsidRPr="00A32B06">
              <w:rPr>
                <w:color w:val="auto"/>
                <w:sz w:val="22"/>
                <w:szCs w:val="22"/>
              </w:rPr>
              <w:t xml:space="preserve"> normatīvo aktu bāzi transporta enerģijas un tai nepieciešamās infrastruktūras tālākai attīstībai, lai cita</w:t>
            </w:r>
            <w:r w:rsidR="00AF59B8">
              <w:rPr>
                <w:color w:val="auto"/>
                <w:sz w:val="22"/>
                <w:szCs w:val="22"/>
              </w:rPr>
              <w:t xml:space="preserve"> </w:t>
            </w:r>
            <w:r w:rsidR="00AF59B8" w:rsidRPr="00A32B06">
              <w:rPr>
                <w:color w:val="auto"/>
                <w:sz w:val="22"/>
                <w:szCs w:val="22"/>
              </w:rPr>
              <w:t xml:space="preserve">starp gan </w:t>
            </w:r>
            <w:r w:rsidR="00AF59B8">
              <w:rPr>
                <w:color w:val="auto"/>
                <w:sz w:val="22"/>
                <w:szCs w:val="22"/>
              </w:rPr>
              <w:t>nodrošinātu Latvijas virzību uz</w:t>
            </w:r>
            <w:r w:rsidR="00AF59B8" w:rsidRPr="00A32B06">
              <w:rPr>
                <w:color w:val="auto"/>
                <w:sz w:val="22"/>
                <w:szCs w:val="22"/>
              </w:rPr>
              <w:t xml:space="preserve"> atjaunojamās enerģijas īpatsvara palielināšanu līdz 10% </w:t>
            </w:r>
            <w:r w:rsidR="00AF59B8">
              <w:rPr>
                <w:color w:val="auto"/>
                <w:sz w:val="22"/>
                <w:szCs w:val="22"/>
              </w:rPr>
              <w:t>transporta sektora gala patēriņā</w:t>
            </w:r>
            <w:r w:rsidR="00AF59B8" w:rsidRPr="00A32B06">
              <w:rPr>
                <w:color w:val="auto"/>
                <w:sz w:val="22"/>
                <w:szCs w:val="22"/>
              </w:rPr>
              <w:t xml:space="preserve"> 2020.gadā, gan sekojoši š</w:t>
            </w:r>
            <w:r w:rsidR="00E026EA">
              <w:rPr>
                <w:color w:val="auto"/>
                <w:sz w:val="22"/>
                <w:szCs w:val="22"/>
              </w:rPr>
              <w:t>ī bāze varētu tikt izmantota kā</w:t>
            </w:r>
            <w:r w:rsidR="00AF59B8" w:rsidRPr="00A32B06">
              <w:rPr>
                <w:color w:val="auto"/>
                <w:sz w:val="22"/>
                <w:szCs w:val="22"/>
              </w:rPr>
              <w:t xml:space="preserve"> platforma turpmākai alternatīvo degvielu un tai nepieciešamās infrastruktūras attīs</w:t>
            </w:r>
            <w:r w:rsidR="00AF59B8">
              <w:rPr>
                <w:color w:val="auto"/>
                <w:sz w:val="22"/>
                <w:szCs w:val="22"/>
              </w:rPr>
              <w:t>tībai periodam līdz 2030.gadam.</w:t>
            </w:r>
          </w:p>
          <w:p w14:paraId="7FACD23E" w14:textId="77777777" w:rsidR="00AF59B8" w:rsidRPr="00482AA0" w:rsidRDefault="00AF59B8" w:rsidP="00430175">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auto"/>
                <w:sz w:val="22"/>
                <w:szCs w:val="22"/>
              </w:rPr>
              <w:t xml:space="preserve">Līdztekus tam 2018.gadā </w:t>
            </w:r>
            <w:r w:rsidR="00430175">
              <w:rPr>
                <w:color w:val="auto"/>
                <w:sz w:val="22"/>
                <w:szCs w:val="22"/>
              </w:rPr>
              <w:t>EM</w:t>
            </w:r>
            <w:r>
              <w:rPr>
                <w:color w:val="auto"/>
                <w:sz w:val="22"/>
                <w:szCs w:val="22"/>
              </w:rPr>
              <w:t xml:space="preserve"> ir veikusi darbu pie Ministru kabineta noteikumiem biodegvielu un bioloģisko šķidro kurināmo ilgtspējas jomā, noteikumiem par </w:t>
            </w:r>
            <w:r w:rsidRPr="00F3048F">
              <w:rPr>
                <w:color w:val="auto"/>
                <w:sz w:val="22"/>
                <w:szCs w:val="22"/>
              </w:rPr>
              <w:t xml:space="preserve">transporta enerģijas kvalitātes prasībām, tirgus uzraudzību, </w:t>
            </w:r>
            <w:r>
              <w:rPr>
                <w:color w:val="auto"/>
                <w:sz w:val="22"/>
                <w:szCs w:val="22"/>
              </w:rPr>
              <w:t xml:space="preserve">kā arī obligāto pienākumu degvielas piegādātājiem. </w:t>
            </w:r>
            <w:r w:rsidRPr="00A32B06">
              <w:rPr>
                <w:color w:val="auto"/>
                <w:sz w:val="22"/>
                <w:szCs w:val="22"/>
              </w:rPr>
              <w:t>Ministru kabineta noteikumu projekts “Grozījumi Ministru kabineta 2011.gada 5.jūlija noteikumos Nr.545 “Noteikumi par biodegvielu un bioloģisko šķidro kurināmo ilgtspējas kritērijiem, to ieviešanas mehānismu un uzraudzības un kontroles kārtību””</w:t>
            </w:r>
            <w:r>
              <w:rPr>
                <w:color w:val="auto"/>
                <w:sz w:val="22"/>
                <w:szCs w:val="22"/>
              </w:rPr>
              <w:t xml:space="preserve"> 2019.gada februārī ir iesniegti apstiprināšanai Ministru kabinetā. Savukārt jautājumos par transporta enerģijas kvalitātes prasībām, kā arī obligāto pienākumu degvielas tirgotājiem izstrādes un saskaņošanas process 2019.gada februārī vēl turpinās.</w:t>
            </w:r>
          </w:p>
        </w:tc>
      </w:tr>
      <w:tr w:rsidR="00AF59B8" w:rsidRPr="00482AA0" w14:paraId="3AA1C613" w14:textId="77777777" w:rsidTr="006A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CD0050" w14:textId="77777777" w:rsidR="00AF59B8" w:rsidRPr="00482AA0" w:rsidRDefault="00AF59B8" w:rsidP="006A7563">
            <w:pPr>
              <w:ind w:firstLine="0"/>
              <w:rPr>
                <w:b w:val="0"/>
                <w:color w:val="000000" w:themeColor="text1"/>
                <w:sz w:val="22"/>
                <w:szCs w:val="22"/>
              </w:rPr>
            </w:pPr>
            <w:r w:rsidRPr="00482AA0">
              <w:rPr>
                <w:color w:val="000000" w:themeColor="text1"/>
                <w:sz w:val="22"/>
                <w:szCs w:val="22"/>
              </w:rPr>
              <w:lastRenderedPageBreak/>
              <w:t>Nacionālais energoefektivitātes mērķis (0,670 Mtoe)</w:t>
            </w:r>
          </w:p>
        </w:tc>
        <w:tc>
          <w:tcPr>
            <w:tcW w:w="3827" w:type="dxa"/>
          </w:tcPr>
          <w:p w14:paraId="4191D0D5" w14:textId="77777777" w:rsidR="00AF59B8" w:rsidRPr="005119CA" w:rsidRDefault="00AF59B8" w:rsidP="00AF59B8">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Energoefektivitātes paaugstināšana mājokļos un rūpnieciskajā ražošanā;</w:t>
            </w:r>
          </w:p>
          <w:p w14:paraId="12055811" w14:textId="77777777" w:rsidR="00AF59B8" w:rsidRPr="005119CA" w:rsidRDefault="00AF59B8" w:rsidP="00AF59B8">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Energoefektivitātes paaugstināšana sabiedriskajās ēkās;</w:t>
            </w:r>
          </w:p>
          <w:p w14:paraId="72105219" w14:textId="77777777" w:rsidR="00AF59B8" w:rsidRPr="005119CA" w:rsidRDefault="00AF59B8" w:rsidP="00AF59B8">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Efektīvas apgaismojuma infrastruktūras ieviešana pašvaldību publiskajās teritorijās;</w:t>
            </w:r>
          </w:p>
          <w:p w14:paraId="772A85AF" w14:textId="77777777" w:rsidR="00AF59B8" w:rsidRPr="005119CA" w:rsidRDefault="00AF59B8" w:rsidP="00AF59B8">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Energoefektivitātes paaugstināšana siltumenerģijas ražošanā;</w:t>
            </w:r>
          </w:p>
          <w:p w14:paraId="35578D7A" w14:textId="77777777" w:rsidR="00AF59B8" w:rsidRPr="005119CA" w:rsidRDefault="00AF59B8" w:rsidP="00AF59B8">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 xml:space="preserve">Atbalsts energoietilpīgiem </w:t>
            </w:r>
            <w:r w:rsidRPr="005119CA">
              <w:rPr>
                <w:rFonts w:ascii="Times New Roman" w:hAnsi="Times New Roman"/>
                <w:color w:val="000000" w:themeColor="text1"/>
                <w:szCs w:val="22"/>
              </w:rPr>
              <w:lastRenderedPageBreak/>
              <w:t>komersantiem.</w:t>
            </w:r>
          </w:p>
        </w:tc>
        <w:tc>
          <w:tcPr>
            <w:tcW w:w="8647" w:type="dxa"/>
          </w:tcPr>
          <w:p w14:paraId="7ADB4161" w14:textId="77777777" w:rsidR="00AF59B8" w:rsidRDefault="006A7563" w:rsidP="006A7563">
            <w:pPr>
              <w:spacing w:after="60"/>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lastRenderedPageBreak/>
              <w:t>1.</w:t>
            </w:r>
            <w:r w:rsidR="00AF59B8" w:rsidRPr="006A7563">
              <w:rPr>
                <w:color w:val="auto"/>
                <w:sz w:val="22"/>
                <w:szCs w:val="22"/>
              </w:rPr>
              <w:t>Attiecībā uz 1.</w:t>
            </w:r>
            <w:r w:rsidR="00A67950">
              <w:rPr>
                <w:color w:val="auto"/>
                <w:sz w:val="22"/>
                <w:szCs w:val="22"/>
              </w:rPr>
              <w:t>–</w:t>
            </w:r>
            <w:r w:rsidR="00AF59B8" w:rsidRPr="006A7563">
              <w:rPr>
                <w:color w:val="auto"/>
                <w:sz w:val="22"/>
                <w:szCs w:val="22"/>
              </w:rPr>
              <w:t>2., 4.</w:t>
            </w:r>
            <w:r w:rsidR="00A67950">
              <w:rPr>
                <w:color w:val="auto"/>
                <w:sz w:val="22"/>
                <w:szCs w:val="22"/>
              </w:rPr>
              <w:t>–</w:t>
            </w:r>
            <w:r w:rsidR="00AF59B8" w:rsidRPr="006A7563">
              <w:rPr>
                <w:color w:val="auto"/>
                <w:sz w:val="22"/>
                <w:szCs w:val="22"/>
              </w:rPr>
              <w:t>5. punktu skat. NRP.</w:t>
            </w:r>
          </w:p>
          <w:p w14:paraId="4868320E" w14:textId="77777777" w:rsidR="006A7563" w:rsidRPr="00E52C56" w:rsidRDefault="006A7563" w:rsidP="00D70FA2">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auto"/>
                <w:sz w:val="22"/>
                <w:szCs w:val="22"/>
              </w:rPr>
              <w:t xml:space="preserve">2. </w:t>
            </w:r>
            <w:r w:rsidRPr="00E52C56">
              <w:rPr>
                <w:color w:val="000000" w:themeColor="text1"/>
                <w:sz w:val="22"/>
                <w:szCs w:val="22"/>
              </w:rPr>
              <w:t xml:space="preserve">Pārskata periodā turpinās </w:t>
            </w:r>
            <w:r w:rsidR="004A22A3">
              <w:rPr>
                <w:color w:val="000000" w:themeColor="text1"/>
                <w:sz w:val="22"/>
                <w:szCs w:val="22"/>
              </w:rPr>
              <w:t>EKII</w:t>
            </w:r>
            <w:r w:rsidRPr="00E52C56">
              <w:rPr>
                <w:color w:val="000000" w:themeColor="text1"/>
                <w:sz w:val="22"/>
                <w:szCs w:val="22"/>
              </w:rPr>
              <w:t xml:space="preserve"> projektu konkursa</w:t>
            </w:r>
            <w:r w:rsidR="00E026EA">
              <w:rPr>
                <w:color w:val="000000" w:themeColor="text1"/>
                <w:sz w:val="22"/>
                <w:szCs w:val="22"/>
              </w:rPr>
              <w:t xml:space="preserve"> </w:t>
            </w:r>
            <w:r w:rsidR="00E026EA" w:rsidRPr="00E52C56">
              <w:rPr>
                <w:color w:val="000000" w:themeColor="text1"/>
                <w:sz w:val="22"/>
                <w:szCs w:val="22"/>
              </w:rPr>
              <w:t>–</w:t>
            </w:r>
            <w:r w:rsidR="00E026EA">
              <w:rPr>
                <w:color w:val="000000" w:themeColor="text1"/>
                <w:sz w:val="22"/>
                <w:szCs w:val="22"/>
              </w:rPr>
              <w:t xml:space="preserve"> </w:t>
            </w:r>
            <w:r w:rsidRPr="00E52C56">
              <w:rPr>
                <w:color w:val="000000" w:themeColor="text1"/>
                <w:sz w:val="22"/>
                <w:szCs w:val="22"/>
              </w:rPr>
              <w:t>"Siltumnīcefekta gāzu emisiju samazināšana – zema enerģijas patēriņa ēka</w:t>
            </w:r>
            <w:r w:rsidR="00E026EA">
              <w:rPr>
                <w:color w:val="000000" w:themeColor="text1"/>
                <w:sz w:val="22"/>
                <w:szCs w:val="22"/>
              </w:rPr>
              <w:t>s" 6 projektu īstenošana, 2018.</w:t>
            </w:r>
            <w:r>
              <w:rPr>
                <w:color w:val="000000" w:themeColor="text1"/>
                <w:sz w:val="22"/>
                <w:szCs w:val="22"/>
              </w:rPr>
              <w:t>gadā veikti izdevumi 8 818 </w:t>
            </w:r>
            <w:r w:rsidRPr="00E52C56">
              <w:rPr>
                <w:color w:val="000000" w:themeColor="text1"/>
                <w:sz w:val="22"/>
                <w:szCs w:val="22"/>
              </w:rPr>
              <w:t xml:space="preserve">783 </w:t>
            </w:r>
            <w:r w:rsidRPr="00E026EA">
              <w:rPr>
                <w:i/>
                <w:color w:val="000000" w:themeColor="text1"/>
                <w:sz w:val="22"/>
                <w:szCs w:val="22"/>
              </w:rPr>
              <w:t>euro</w:t>
            </w:r>
            <w:r w:rsidRPr="00E52C56">
              <w:rPr>
                <w:color w:val="000000" w:themeColor="text1"/>
                <w:sz w:val="22"/>
                <w:szCs w:val="22"/>
              </w:rPr>
              <w:t xml:space="preserve"> apmērā. Pārskata periodā </w:t>
            </w:r>
            <w:r w:rsidR="00E026EA">
              <w:rPr>
                <w:color w:val="000000" w:themeColor="text1"/>
                <w:sz w:val="22"/>
                <w:szCs w:val="22"/>
              </w:rPr>
              <w:t>viens projekts ir pabeigts (Nr.</w:t>
            </w:r>
            <w:r w:rsidRPr="00E52C56">
              <w:rPr>
                <w:color w:val="000000" w:themeColor="text1"/>
                <w:sz w:val="22"/>
                <w:szCs w:val="22"/>
              </w:rPr>
              <w:t>EKII</w:t>
            </w:r>
            <w:r w:rsidR="00A67950">
              <w:rPr>
                <w:color w:val="000000" w:themeColor="text1"/>
                <w:sz w:val="22"/>
                <w:szCs w:val="22"/>
              </w:rPr>
              <w:t>–</w:t>
            </w:r>
            <w:r w:rsidRPr="00E52C56">
              <w:rPr>
                <w:color w:val="000000" w:themeColor="text1"/>
                <w:sz w:val="22"/>
                <w:szCs w:val="22"/>
              </w:rPr>
              <w:t xml:space="preserve">2/2 “Cēsu pilsētas Pastariņa sākumskolas ēkas atjaunošana par zema enerģijas patēriņa ēku, Raunas ielā 7, Cēsīs, Cēsu novadā”). Tiek turpināta arī EKII projektu konkursa "Siltumnīcefekta gāzu emisiju samazināšana valsts nozīmes aizsargājamos arhitektūras pieminekļos" 7 projektu īstenošana, </w:t>
            </w:r>
            <w:r w:rsidR="00E026EA">
              <w:rPr>
                <w:color w:val="000000" w:themeColor="text1"/>
                <w:sz w:val="22"/>
                <w:szCs w:val="22"/>
              </w:rPr>
              <w:t>2018.</w:t>
            </w:r>
            <w:r>
              <w:rPr>
                <w:color w:val="000000" w:themeColor="text1"/>
                <w:sz w:val="22"/>
                <w:szCs w:val="22"/>
              </w:rPr>
              <w:t>gadā veikti izdevumi 3 147 </w:t>
            </w:r>
            <w:r w:rsidRPr="00E52C56">
              <w:rPr>
                <w:color w:val="000000" w:themeColor="text1"/>
                <w:sz w:val="22"/>
                <w:szCs w:val="22"/>
              </w:rPr>
              <w:t xml:space="preserve">251 </w:t>
            </w:r>
            <w:r w:rsidRPr="00E026EA">
              <w:rPr>
                <w:i/>
                <w:color w:val="000000" w:themeColor="text1"/>
                <w:sz w:val="22"/>
                <w:szCs w:val="22"/>
              </w:rPr>
              <w:t>euro</w:t>
            </w:r>
            <w:r w:rsidRPr="00E52C56">
              <w:rPr>
                <w:color w:val="000000" w:themeColor="text1"/>
                <w:sz w:val="22"/>
                <w:szCs w:val="22"/>
              </w:rPr>
              <w:t xml:space="preserve"> apmērā. Pārskata periodā viens projekts ir pabeigts (Nr.EKII</w:t>
            </w:r>
            <w:r w:rsidR="00A67950">
              <w:rPr>
                <w:color w:val="000000" w:themeColor="text1"/>
                <w:sz w:val="22"/>
                <w:szCs w:val="22"/>
              </w:rPr>
              <w:t>–</w:t>
            </w:r>
            <w:r w:rsidRPr="00E52C56">
              <w:rPr>
                <w:color w:val="000000" w:themeColor="text1"/>
                <w:sz w:val="22"/>
                <w:szCs w:val="22"/>
              </w:rPr>
              <w:t xml:space="preserve">1/18 “Siltumnīcefekta gāzu emisiju samazināšana valsts nozīmes aizsargājamā arhitektūras piemineklī VEF kultūras pilī Ropažu ielā 2, Rīgā”, kā arī ir uzsākts projekta </w:t>
            </w:r>
            <w:r w:rsidRPr="00E52C56">
              <w:rPr>
                <w:color w:val="000000" w:themeColor="text1"/>
                <w:sz w:val="22"/>
                <w:szCs w:val="22"/>
              </w:rPr>
              <w:lastRenderedPageBreak/>
              <w:t>īstenošanas līguma laušanas process projektam Nr.EKII</w:t>
            </w:r>
            <w:r w:rsidR="00A67950">
              <w:rPr>
                <w:color w:val="000000" w:themeColor="text1"/>
                <w:sz w:val="22"/>
                <w:szCs w:val="22"/>
              </w:rPr>
              <w:t>–</w:t>
            </w:r>
            <w:r w:rsidRPr="00E52C56">
              <w:rPr>
                <w:color w:val="000000" w:themeColor="text1"/>
                <w:sz w:val="22"/>
                <w:szCs w:val="22"/>
              </w:rPr>
              <w:t xml:space="preserve">1/10 “Siltumnīcefekta gāzu emisiju samazināšanas pasākumi Rīgas Vecajā Svētās Ģertrūdes ev. lut. Baznīcā”. </w:t>
            </w:r>
          </w:p>
          <w:p w14:paraId="60551AD3" w14:textId="77777777" w:rsidR="006A7563" w:rsidRPr="00E52C56" w:rsidRDefault="006A7563" w:rsidP="00D70FA2">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52C56">
              <w:rPr>
                <w:color w:val="000000" w:themeColor="text1"/>
                <w:sz w:val="22"/>
                <w:szCs w:val="22"/>
              </w:rPr>
              <w:t xml:space="preserve">Abu konkursu ietvaros kopējais plānotais oglekļa dioksīda emisiju samazinājums būs </w:t>
            </w:r>
            <w:r>
              <w:rPr>
                <w:color w:val="000000" w:themeColor="text1"/>
                <w:sz w:val="22"/>
                <w:szCs w:val="22"/>
              </w:rPr>
              <w:t>989</w:t>
            </w:r>
            <w:r w:rsidRPr="00E52C56">
              <w:rPr>
                <w:color w:val="000000" w:themeColor="text1"/>
                <w:sz w:val="22"/>
                <w:szCs w:val="22"/>
              </w:rPr>
              <w:t xml:space="preserve"> tonnas.</w:t>
            </w:r>
          </w:p>
          <w:p w14:paraId="3BF30564" w14:textId="77777777" w:rsidR="006A7563" w:rsidRPr="00E52C56" w:rsidRDefault="006A7563" w:rsidP="006A7563">
            <w:p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52C56">
              <w:rPr>
                <w:color w:val="000000" w:themeColor="text1"/>
                <w:sz w:val="22"/>
                <w:szCs w:val="22"/>
              </w:rPr>
              <w:t>2018.gada 24.jūlijā stājās spēkā Ministra kabineta noteikumi Nr. 418 “Emisijas kvotu izsolīšanas instrumenta finansēto projektu atklāta konkursa “Siltumnīcefekta gāzu emisiju samazināšana, attīstot enerģētiski</w:t>
            </w:r>
            <w:r w:rsidR="00E026EA">
              <w:rPr>
                <w:color w:val="000000" w:themeColor="text1"/>
                <w:sz w:val="22"/>
                <w:szCs w:val="22"/>
              </w:rPr>
              <w:t xml:space="preserve"> pašpietiekamu ēku būvniecību”.</w:t>
            </w:r>
            <w:r w:rsidRPr="00E52C56">
              <w:rPr>
                <w:color w:val="000000" w:themeColor="text1"/>
                <w:sz w:val="22"/>
                <w:szCs w:val="22"/>
              </w:rPr>
              <w:t xml:space="preserve"> Konkursa mērķis ir potenciālo siltumnīcefekta gāzu emisiju ierobežošana, atbalstot jaunu un ilgtspējīgu zema enerģijas patēriņa enerģētiski pašpietiekamu ēku (turpmāk – enerģētiski pašpietiekama ēka) būvniecību un nodrošinot oglekļa mazietilpīgai attīstībai nepieciešamo tehnoloģiju demonstrēšanu un popularizēšanu Latvijā.</w:t>
            </w:r>
          </w:p>
          <w:p w14:paraId="7522A704" w14:textId="77777777" w:rsidR="006A7563" w:rsidRPr="00E52C56" w:rsidRDefault="006A7563" w:rsidP="004A22A3">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52C56">
              <w:rPr>
                <w:color w:val="000000" w:themeColor="text1"/>
                <w:sz w:val="22"/>
                <w:szCs w:val="22"/>
              </w:rPr>
              <w:t>Konkursa ietvaros pieejamais finanšu instrumenta finansējums ir 10</w:t>
            </w:r>
            <w:r w:rsidR="00E026EA">
              <w:rPr>
                <w:color w:val="000000" w:themeColor="text1"/>
                <w:sz w:val="22"/>
                <w:szCs w:val="22"/>
              </w:rPr>
              <w:t> </w:t>
            </w:r>
            <w:r w:rsidRPr="00E52C56">
              <w:rPr>
                <w:color w:val="000000" w:themeColor="text1"/>
                <w:sz w:val="22"/>
                <w:szCs w:val="22"/>
              </w:rPr>
              <w:t>000</w:t>
            </w:r>
            <w:r w:rsidR="00E026EA">
              <w:rPr>
                <w:color w:val="000000" w:themeColor="text1"/>
                <w:sz w:val="22"/>
                <w:szCs w:val="22"/>
              </w:rPr>
              <w:t> </w:t>
            </w:r>
            <w:r w:rsidRPr="00E52C56">
              <w:rPr>
                <w:color w:val="000000" w:themeColor="text1"/>
                <w:sz w:val="22"/>
                <w:szCs w:val="22"/>
              </w:rPr>
              <w:t xml:space="preserve">000 </w:t>
            </w:r>
            <w:r w:rsidRPr="00E026EA">
              <w:rPr>
                <w:i/>
                <w:color w:val="000000" w:themeColor="text1"/>
                <w:sz w:val="22"/>
                <w:szCs w:val="22"/>
              </w:rPr>
              <w:t>euro</w:t>
            </w:r>
            <w:r w:rsidRPr="00E52C56">
              <w:rPr>
                <w:color w:val="000000" w:themeColor="text1"/>
                <w:sz w:val="22"/>
                <w:szCs w:val="22"/>
              </w:rPr>
              <w:t>.</w:t>
            </w:r>
          </w:p>
          <w:p w14:paraId="4D6E2E8D" w14:textId="77777777" w:rsidR="006A7563" w:rsidRPr="00E52C56" w:rsidRDefault="006A7563" w:rsidP="004A22A3">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52C56">
              <w:rPr>
                <w:color w:val="000000" w:themeColor="text1"/>
                <w:sz w:val="22"/>
                <w:szCs w:val="22"/>
              </w:rPr>
              <w:t>3.</w:t>
            </w:r>
            <w:r>
              <w:rPr>
                <w:color w:val="000000" w:themeColor="text1"/>
                <w:sz w:val="22"/>
                <w:szCs w:val="22"/>
              </w:rPr>
              <w:t xml:space="preserve">Projektu īstenošana </w:t>
            </w:r>
            <w:r w:rsidR="00BB535C" w:rsidRPr="005D41CC">
              <w:rPr>
                <w:color w:val="000000" w:themeColor="text1"/>
                <w:szCs w:val="24"/>
              </w:rPr>
              <w:t>Klim</w:t>
            </w:r>
            <w:r w:rsidR="00BB535C">
              <w:rPr>
                <w:color w:val="000000" w:themeColor="text1"/>
                <w:szCs w:val="24"/>
              </w:rPr>
              <w:t>ata pārmaiņu finanšu instruments</w:t>
            </w:r>
            <w:r w:rsidR="00BB535C" w:rsidRPr="005D41CC">
              <w:rPr>
                <w:color w:val="000000" w:themeColor="text1"/>
                <w:szCs w:val="24"/>
              </w:rPr>
              <w:t xml:space="preserve"> </w:t>
            </w:r>
            <w:r w:rsidR="00E026EA">
              <w:rPr>
                <w:color w:val="000000" w:themeColor="text1"/>
                <w:sz w:val="22"/>
                <w:szCs w:val="22"/>
              </w:rPr>
              <w:t>ietvaros ir noslēgusies 2015.</w:t>
            </w:r>
            <w:r w:rsidRPr="00E52C56">
              <w:rPr>
                <w:color w:val="000000" w:themeColor="text1"/>
                <w:sz w:val="22"/>
                <w:szCs w:val="22"/>
              </w:rPr>
              <w:t>gadā un šobrīd tiek veikta proje</w:t>
            </w:r>
            <w:r>
              <w:rPr>
                <w:color w:val="000000" w:themeColor="text1"/>
                <w:sz w:val="22"/>
                <w:szCs w:val="22"/>
              </w:rPr>
              <w:t>ktu rezultātu uzturēšana un pēcuzraudzība.</w:t>
            </w:r>
          </w:p>
          <w:p w14:paraId="16FCB8DB" w14:textId="77777777" w:rsidR="006A7563" w:rsidRPr="00E52C56" w:rsidRDefault="00E026EA" w:rsidP="004A22A3">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2018.gada 28.</w:t>
            </w:r>
            <w:r w:rsidR="006A7563" w:rsidRPr="00E52C56">
              <w:rPr>
                <w:color w:val="000000" w:themeColor="text1"/>
                <w:sz w:val="22"/>
                <w:szCs w:val="22"/>
              </w:rPr>
              <w:t>jūnijā stājās spēkā Ministra kabineta noteikumi Nr.</w:t>
            </w:r>
            <w:r w:rsidR="006A7563">
              <w:rPr>
                <w:color w:val="000000" w:themeColor="text1"/>
                <w:sz w:val="22"/>
                <w:szCs w:val="22"/>
              </w:rPr>
              <w:t> </w:t>
            </w:r>
            <w:r w:rsidR="006A7563" w:rsidRPr="00E52C56">
              <w:rPr>
                <w:color w:val="000000" w:themeColor="text1"/>
                <w:sz w:val="22"/>
                <w:szCs w:val="22"/>
              </w:rPr>
              <w:t>333 “Emisijas kvotu izsolīšanas instrumenta finansēto projektu atklāta konkursa “Siltumnīcefekta gāzu emisiju samazināšana ar viedajām pilsētvides tehnoloģijām” nolik</w:t>
            </w:r>
            <w:r>
              <w:rPr>
                <w:color w:val="000000" w:themeColor="text1"/>
                <w:sz w:val="22"/>
                <w:szCs w:val="22"/>
              </w:rPr>
              <w:t>ums”. Konkursa</w:t>
            </w:r>
            <w:r w:rsidR="006A7563" w:rsidRPr="00E52C56">
              <w:rPr>
                <w:color w:val="000000" w:themeColor="text1"/>
                <w:sz w:val="22"/>
                <w:szCs w:val="22"/>
              </w:rPr>
              <w:t xml:space="preserve"> mērķis ir ieviest un demonstrēt viedās pilsētvides tehnoloģijas, kas samazina siltumnīcefekta gāzu emisijas. Konkursa ietvaros pieejamais finanšu instrumenta finansējums ir 8</w:t>
            </w:r>
            <w:r w:rsidR="006A7563">
              <w:rPr>
                <w:color w:val="000000" w:themeColor="text1"/>
                <w:sz w:val="22"/>
                <w:szCs w:val="22"/>
              </w:rPr>
              <w:t> </w:t>
            </w:r>
            <w:r w:rsidR="006A7563" w:rsidRPr="00E52C56">
              <w:rPr>
                <w:color w:val="000000" w:themeColor="text1"/>
                <w:sz w:val="22"/>
                <w:szCs w:val="22"/>
              </w:rPr>
              <w:t>000</w:t>
            </w:r>
            <w:r w:rsidR="006A7563">
              <w:rPr>
                <w:color w:val="000000" w:themeColor="text1"/>
                <w:sz w:val="22"/>
                <w:szCs w:val="22"/>
              </w:rPr>
              <w:t> </w:t>
            </w:r>
            <w:r w:rsidR="006A7563" w:rsidRPr="00E52C56">
              <w:rPr>
                <w:color w:val="000000" w:themeColor="text1"/>
                <w:sz w:val="22"/>
                <w:szCs w:val="22"/>
              </w:rPr>
              <w:t xml:space="preserve">000 </w:t>
            </w:r>
            <w:r w:rsidR="006A7563" w:rsidRPr="00E026EA">
              <w:rPr>
                <w:i/>
                <w:color w:val="000000" w:themeColor="text1"/>
                <w:sz w:val="22"/>
                <w:szCs w:val="22"/>
              </w:rPr>
              <w:t>euro</w:t>
            </w:r>
            <w:r w:rsidR="006A7563" w:rsidRPr="00E52C56">
              <w:rPr>
                <w:color w:val="000000" w:themeColor="text1"/>
                <w:sz w:val="22"/>
                <w:szCs w:val="22"/>
              </w:rPr>
              <w:t>. Lielākā daļa iesniegto projektu ir saistītas ar energoefektivitāte</w:t>
            </w:r>
            <w:r w:rsidR="006A7563">
              <w:rPr>
                <w:color w:val="000000" w:themeColor="text1"/>
                <w:sz w:val="22"/>
                <w:szCs w:val="22"/>
              </w:rPr>
              <w:t>s risinājumiem ielu apgaismojuma jomā</w:t>
            </w:r>
            <w:r w:rsidR="006A7563" w:rsidRPr="00E52C56">
              <w:rPr>
                <w:color w:val="000000" w:themeColor="text1"/>
                <w:sz w:val="22"/>
                <w:szCs w:val="22"/>
              </w:rPr>
              <w:t>.</w:t>
            </w:r>
          </w:p>
          <w:p w14:paraId="784C7708" w14:textId="77777777" w:rsidR="00E026EA" w:rsidRPr="00E52C56" w:rsidRDefault="00E026EA" w:rsidP="004A22A3">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E52C56">
              <w:rPr>
                <w:color w:val="000000" w:themeColor="text1"/>
                <w:sz w:val="22"/>
              </w:rPr>
              <w:t xml:space="preserve">4. </w:t>
            </w:r>
            <w:r w:rsidR="00A67950">
              <w:rPr>
                <w:color w:val="000000" w:themeColor="text1"/>
                <w:sz w:val="22"/>
              </w:rPr>
              <w:t>–</w:t>
            </w:r>
            <w:r w:rsidRPr="00E52C56">
              <w:rPr>
                <w:color w:val="000000" w:themeColor="text1"/>
                <w:sz w:val="22"/>
              </w:rPr>
              <w:t>;</w:t>
            </w:r>
          </w:p>
          <w:p w14:paraId="287F6711" w14:textId="77777777" w:rsidR="006A7563" w:rsidRPr="006A7563" w:rsidRDefault="00E026EA" w:rsidP="004A22A3">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52C56">
              <w:rPr>
                <w:color w:val="000000" w:themeColor="text1"/>
                <w:sz w:val="22"/>
              </w:rPr>
              <w:t>5.</w:t>
            </w:r>
            <w:r w:rsidR="00A67950">
              <w:rPr>
                <w:color w:val="000000" w:themeColor="text1"/>
                <w:sz w:val="22"/>
              </w:rPr>
              <w:t>–</w:t>
            </w:r>
            <w:r w:rsidRPr="00E52C56">
              <w:rPr>
                <w:color w:val="000000" w:themeColor="text1"/>
                <w:sz w:val="22"/>
              </w:rPr>
              <w:t>.</w:t>
            </w:r>
          </w:p>
        </w:tc>
      </w:tr>
      <w:tr w:rsidR="00AF59B8" w:rsidRPr="00482AA0" w14:paraId="2AFE5934" w14:textId="77777777" w:rsidTr="006A7563">
        <w:tc>
          <w:tcPr>
            <w:cnfStyle w:val="001000000000" w:firstRow="0" w:lastRow="0" w:firstColumn="1" w:lastColumn="0" w:oddVBand="0" w:evenVBand="0" w:oddHBand="0" w:evenHBand="0" w:firstRowFirstColumn="0" w:firstRowLastColumn="0" w:lastRowFirstColumn="0" w:lastRowLastColumn="0"/>
            <w:tcW w:w="2122" w:type="dxa"/>
          </w:tcPr>
          <w:p w14:paraId="6B38AB01" w14:textId="77777777" w:rsidR="00AF59B8" w:rsidRPr="00482AA0" w:rsidRDefault="00AF59B8" w:rsidP="006A7563">
            <w:pPr>
              <w:ind w:firstLine="0"/>
              <w:rPr>
                <w:b w:val="0"/>
                <w:color w:val="000000" w:themeColor="text1"/>
                <w:sz w:val="22"/>
                <w:szCs w:val="22"/>
              </w:rPr>
            </w:pPr>
            <w:r w:rsidRPr="00482AA0">
              <w:rPr>
                <w:color w:val="000000" w:themeColor="text1"/>
                <w:sz w:val="22"/>
                <w:szCs w:val="22"/>
              </w:rPr>
              <w:lastRenderedPageBreak/>
              <w:t>Nacionālais mērķis attiecībā uz jauniešiem, kuri priekšlaicīgi pārtraukuši mācības (13,4% (10,0%))</w:t>
            </w:r>
          </w:p>
        </w:tc>
        <w:tc>
          <w:tcPr>
            <w:tcW w:w="3827" w:type="dxa"/>
          </w:tcPr>
          <w:p w14:paraId="780538F9" w14:textId="77777777" w:rsidR="00AF59B8" w:rsidRPr="005119CA" w:rsidRDefault="00AF59B8" w:rsidP="00AF59B8">
            <w:pPr>
              <w:pStyle w:val="ListParagraph"/>
              <w:numPr>
                <w:ilvl w:val="0"/>
                <w:numId w:val="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Pamata un vidējās izglītības pieejamības nodrošināšana;</w:t>
            </w:r>
          </w:p>
          <w:p w14:paraId="7B67B325" w14:textId="77777777" w:rsidR="00AF59B8" w:rsidRPr="005119CA" w:rsidRDefault="00AF59B8" w:rsidP="00AF59B8">
            <w:pPr>
              <w:pStyle w:val="ListParagraph"/>
              <w:numPr>
                <w:ilvl w:val="0"/>
                <w:numId w:val="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Modernu mācību metožu ieviešana;</w:t>
            </w:r>
          </w:p>
          <w:p w14:paraId="54509B09" w14:textId="77777777" w:rsidR="00AF59B8" w:rsidRPr="005119CA" w:rsidRDefault="00AF59B8" w:rsidP="00AF59B8">
            <w:pPr>
              <w:pStyle w:val="ListParagraph"/>
              <w:numPr>
                <w:ilvl w:val="0"/>
                <w:numId w:val="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Strukturālo izmaiņu īstenošana profesionālajā izglītībā;</w:t>
            </w:r>
          </w:p>
          <w:p w14:paraId="33588734" w14:textId="77777777" w:rsidR="00AF59B8" w:rsidRPr="005119CA" w:rsidRDefault="00AF59B8" w:rsidP="00AF59B8">
            <w:pPr>
              <w:pStyle w:val="ListParagraph"/>
              <w:numPr>
                <w:ilvl w:val="0"/>
                <w:numId w:val="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 xml:space="preserve">Profesionālās izglītības satura reformas īstenošana </w:t>
            </w:r>
          </w:p>
          <w:p w14:paraId="6647B50C" w14:textId="77777777" w:rsidR="00AF59B8" w:rsidRPr="005119CA" w:rsidRDefault="00AF59B8" w:rsidP="00AF59B8">
            <w:pPr>
              <w:pStyle w:val="ListParagraph"/>
              <w:numPr>
                <w:ilvl w:val="0"/>
                <w:numId w:val="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Sadarbības ar sociālajiem partneriem profesionālās izglītības pilnveidošanai un attīstībai stiprināšana nozaru kontekstā.</w:t>
            </w:r>
          </w:p>
        </w:tc>
        <w:tc>
          <w:tcPr>
            <w:tcW w:w="8647" w:type="dxa"/>
          </w:tcPr>
          <w:p w14:paraId="67F9816C" w14:textId="77777777" w:rsidR="00496681" w:rsidRPr="00496681" w:rsidRDefault="00D70FA2" w:rsidP="00496681">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 xml:space="preserve">1. </w:t>
            </w:r>
            <w:r w:rsidR="00496681" w:rsidRPr="00496681">
              <w:rPr>
                <w:color w:val="000000" w:themeColor="text1"/>
                <w:sz w:val="22"/>
                <w:szCs w:val="22"/>
              </w:rPr>
              <w:t xml:space="preserve">2018.gadā veikta “Skolu kartē” iekļauto datu aktualizācija, kopumā nodrošinot informāciju par 3 mācību gadiem. Kartējuma rezultāti tiek izmantoti turpmākajām sarunām ar pašvaldībām par vispārējās izglītības iestāžu tīkla sakārtošanu un arī 2019.gadā paredzēta informācijas papildināšana. </w:t>
            </w:r>
          </w:p>
          <w:p w14:paraId="69E6F3EF" w14:textId="77777777" w:rsidR="00496681" w:rsidRPr="00496681" w:rsidRDefault="00496681" w:rsidP="00496681">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Tika turpināta vispārējās izglītības iestāžu infrastruktūras uzlabošana. Ar ERAF atbalstu ir plānots izveidot modernu, ergonomisku un sanitārajām normām atbilstošu mācību vidi vispārējās izglītības iestādēs. Ir plānots, ka līdz 2023.gadam vismaz 100 vispārējās izglītības iestādes būs pilnībā modernizētas un 20</w:t>
            </w:r>
            <w:r w:rsidR="00A67950">
              <w:rPr>
                <w:color w:val="000000" w:themeColor="text1"/>
                <w:sz w:val="22"/>
                <w:szCs w:val="22"/>
              </w:rPr>
              <w:t>–</w:t>
            </w:r>
            <w:r w:rsidRPr="00496681">
              <w:rPr>
                <w:color w:val="000000" w:themeColor="text1"/>
                <w:sz w:val="22"/>
                <w:szCs w:val="22"/>
              </w:rPr>
              <w:t xml:space="preserve">25% izglītojamo būs pieeja pilnībā modernizētai vispārējās izglītības mācību videi. Plānotā finansējuma apjoms ir 168,2 milj. </w:t>
            </w:r>
            <w:r w:rsidR="00A81C85" w:rsidRPr="005D4BF2">
              <w:rPr>
                <w:i/>
                <w:color w:val="auto"/>
                <w:sz w:val="22"/>
                <w:szCs w:val="22"/>
              </w:rPr>
              <w:t>euro</w:t>
            </w:r>
            <w:r w:rsidRPr="00496681">
              <w:rPr>
                <w:color w:val="000000" w:themeColor="text1"/>
                <w:sz w:val="22"/>
                <w:szCs w:val="22"/>
              </w:rPr>
              <w:t xml:space="preserve">, tajā skaitā, 142,9 milj. </w:t>
            </w:r>
            <w:r w:rsidR="00A81C85" w:rsidRPr="005D4BF2">
              <w:rPr>
                <w:i/>
                <w:color w:val="auto"/>
                <w:sz w:val="22"/>
                <w:szCs w:val="22"/>
              </w:rPr>
              <w:t>euro</w:t>
            </w:r>
            <w:r w:rsidRPr="00496681">
              <w:rPr>
                <w:color w:val="000000" w:themeColor="text1"/>
                <w:sz w:val="22"/>
                <w:szCs w:val="22"/>
              </w:rPr>
              <w:t xml:space="preserve"> ERAF finansējums. </w:t>
            </w:r>
          </w:p>
          <w:p w14:paraId="5C2900A6" w14:textId="77777777" w:rsidR="00496681" w:rsidRPr="00496681" w:rsidRDefault="00496681" w:rsidP="00496681">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No 2017.gada 16.</w:t>
            </w:r>
            <w:r w:rsidRPr="00496681">
              <w:rPr>
                <w:color w:val="000000" w:themeColor="text1"/>
                <w:sz w:val="22"/>
                <w:szCs w:val="22"/>
              </w:rPr>
              <w:t xml:space="preserve">marta IKVD sāka īstenot 8.3.4. SAM "Samazināt priekšlaicīgu mācību pārtraukšanu, īstenojot preventīvus un intervences pasākumus" projektu ar mērķi samazināt bērnu un jauniešu priekšlaicīgu mācību pārtraukšanu, īstenojot preventīvus un intervences </w:t>
            </w:r>
            <w:r w:rsidRPr="00496681">
              <w:rPr>
                <w:color w:val="000000" w:themeColor="text1"/>
                <w:sz w:val="22"/>
                <w:szCs w:val="22"/>
              </w:rPr>
              <w:lastRenderedPageBreak/>
              <w:t xml:space="preserve">pasākumus 665 izglītības iestādēs vispārējās izglītības iestāžu izglītojamiem no 5. līdz 12. klasei, kā arī to profesionālās izglītības iestāžu un vispārējās izglītības iestāžu izglītojamiem no 1. līdz 4. kursam, kuras īsteno profesionālās izglītības programmas. Plānotais kopējais attiecināmais finansējums ir 39,8 milj. </w:t>
            </w:r>
            <w:r w:rsidRPr="00496681">
              <w:rPr>
                <w:i/>
                <w:color w:val="000000" w:themeColor="text1"/>
                <w:sz w:val="22"/>
                <w:szCs w:val="22"/>
              </w:rPr>
              <w:t>euro</w:t>
            </w:r>
            <w:r w:rsidRPr="00496681">
              <w:rPr>
                <w:color w:val="000000" w:themeColor="text1"/>
                <w:sz w:val="22"/>
                <w:szCs w:val="22"/>
              </w:rPr>
              <w:t xml:space="preserve">, t.sk. ESF finansējums 33,8 milj. </w:t>
            </w:r>
            <w:r w:rsidRPr="00496681">
              <w:rPr>
                <w:i/>
                <w:color w:val="000000" w:themeColor="text1"/>
                <w:sz w:val="22"/>
                <w:szCs w:val="22"/>
              </w:rPr>
              <w:t>euro</w:t>
            </w:r>
            <w:r w:rsidRPr="00496681">
              <w:rPr>
                <w:color w:val="000000" w:themeColor="text1"/>
                <w:sz w:val="22"/>
                <w:szCs w:val="22"/>
              </w:rPr>
              <w:t xml:space="preserve"> un valsts budžeta finansējums ~ 6 milj. </w:t>
            </w:r>
            <w:r w:rsidRPr="00496681">
              <w:rPr>
                <w:i/>
                <w:color w:val="000000" w:themeColor="text1"/>
                <w:sz w:val="22"/>
                <w:szCs w:val="22"/>
              </w:rPr>
              <w:t>euro</w:t>
            </w:r>
            <w:r w:rsidRPr="00496681">
              <w:rPr>
                <w:color w:val="000000" w:themeColor="text1"/>
                <w:sz w:val="22"/>
                <w:szCs w:val="22"/>
              </w:rPr>
              <w:t xml:space="preserve">. </w:t>
            </w:r>
          </w:p>
          <w:p w14:paraId="2C0ABE91" w14:textId="77777777" w:rsidR="00496681" w:rsidRPr="00496681" w:rsidRDefault="00496681" w:rsidP="00496681">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Projektā “Sākotnējās profesionālās izglītības programmu īstenošana Jauniešu garantijas ietvaros” jauniešiem vecumā no 17 līdz 29 gadiem (ieskaitot) ir iespēja bez maksas profesionālās izglītības programmās gada vai pusotra gada laikā iegūt darba tirgū pieprasītu profesiju. Projekta īstenošana uzsākta 2014. gada 1</w:t>
            </w:r>
            <w:r w:rsidR="00081726">
              <w:rPr>
                <w:color w:val="000000" w:themeColor="text1"/>
                <w:sz w:val="22"/>
                <w:szCs w:val="22"/>
              </w:rPr>
              <w:t>. jūnijā un tas ilgs līdz 2019.gada 30.</w:t>
            </w:r>
            <w:r w:rsidRPr="00496681">
              <w:rPr>
                <w:color w:val="000000" w:themeColor="text1"/>
                <w:sz w:val="22"/>
                <w:szCs w:val="22"/>
              </w:rPr>
              <w:t>septembrim un plānots, ka tā ietvaros 6</w:t>
            </w:r>
            <w:r w:rsidR="00081726">
              <w:rPr>
                <w:color w:val="000000" w:themeColor="text1"/>
                <w:sz w:val="22"/>
                <w:szCs w:val="22"/>
              </w:rPr>
              <w:t> </w:t>
            </w:r>
            <w:r w:rsidRPr="00496681">
              <w:rPr>
                <w:color w:val="000000" w:themeColor="text1"/>
                <w:sz w:val="22"/>
                <w:szCs w:val="22"/>
              </w:rPr>
              <w:t>500 NEET</w:t>
            </w:r>
            <w:r w:rsidRPr="00496681">
              <w:rPr>
                <w:color w:val="000000" w:themeColor="text1"/>
                <w:sz w:val="22"/>
                <w:szCs w:val="22"/>
              </w:rPr>
              <w:footnoteReference w:customMarkFollows="1" w:id="7"/>
              <w:t>[</w:t>
            </w:r>
            <w:r w:rsidR="00A67950">
              <w:rPr>
                <w:color w:val="000000" w:themeColor="text1"/>
                <w:sz w:val="22"/>
                <w:szCs w:val="22"/>
              </w:rPr>
              <w:t xml:space="preserve">1] jaunieši un 1 496 </w:t>
            </w:r>
            <w:r w:rsidRPr="00496681">
              <w:rPr>
                <w:color w:val="000000" w:themeColor="text1"/>
                <w:sz w:val="22"/>
                <w:szCs w:val="22"/>
              </w:rPr>
              <w:t>nodarbinātie saņems atbalstu otrā vai trešā līmeņa profesionālās kva</w:t>
            </w:r>
            <w:r w:rsidR="00A67950">
              <w:rPr>
                <w:color w:val="000000" w:themeColor="text1"/>
                <w:sz w:val="22"/>
                <w:szCs w:val="22"/>
              </w:rPr>
              <w:t>lifikācijas ieguvei. Līdz 2018.</w:t>
            </w:r>
            <w:r w:rsidRPr="00496681">
              <w:rPr>
                <w:color w:val="000000" w:themeColor="text1"/>
                <w:sz w:val="22"/>
                <w:szCs w:val="22"/>
              </w:rPr>
              <w:t>gada 31.decembrim projekta ietvaros profesionālo kvalifikāciju jau ieguvuši 7</w:t>
            </w:r>
            <w:r w:rsidR="00BD3676">
              <w:rPr>
                <w:color w:val="000000" w:themeColor="text1"/>
                <w:sz w:val="22"/>
                <w:szCs w:val="22"/>
              </w:rPr>
              <w:t> </w:t>
            </w:r>
            <w:r w:rsidRPr="00496681">
              <w:rPr>
                <w:color w:val="000000" w:themeColor="text1"/>
                <w:sz w:val="22"/>
                <w:szCs w:val="22"/>
              </w:rPr>
              <w:t xml:space="preserve">452 jaunieši, mācības turpina 666 izglītojamie. 2019.gadā tiks turpināts mācību process 2018.gadā uzsāktajās izglītības programmās. </w:t>
            </w:r>
          </w:p>
          <w:p w14:paraId="333D877C" w14:textId="77777777" w:rsidR="00496681" w:rsidRPr="00496681" w:rsidRDefault="00496681" w:rsidP="00496681">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 xml:space="preserve">2018.gadā turpinājās 8.3.5. SAM “Karjeras atbalsts vispārējās un profesionālās izglītības </w:t>
            </w:r>
            <w:r w:rsidR="00A67950">
              <w:rPr>
                <w:color w:val="000000" w:themeColor="text1"/>
                <w:sz w:val="22"/>
                <w:szCs w:val="22"/>
              </w:rPr>
              <w:t xml:space="preserve">iestādēs” projekta īstenošana. </w:t>
            </w:r>
            <w:r w:rsidRPr="00496681">
              <w:rPr>
                <w:color w:val="000000" w:themeColor="text1"/>
                <w:sz w:val="22"/>
                <w:szCs w:val="22"/>
              </w:rPr>
              <w:t>Karjeras atbalsta pasākumu īstenošana</w:t>
            </w:r>
            <w:r w:rsidR="00A67950">
              <w:rPr>
                <w:color w:val="000000" w:themeColor="text1"/>
                <w:sz w:val="22"/>
                <w:szCs w:val="22"/>
              </w:rPr>
              <w:t>i izglītības iestādēs 2018.gadā</w:t>
            </w:r>
            <w:r w:rsidRPr="00496681">
              <w:rPr>
                <w:color w:val="000000" w:themeColor="text1"/>
                <w:sz w:val="22"/>
                <w:szCs w:val="22"/>
              </w:rPr>
              <w:t xml:space="preserve"> iesaistīti 94 sadarbības partneri </w:t>
            </w:r>
            <w:r w:rsidR="00A67950">
              <w:rPr>
                <w:color w:val="000000" w:themeColor="text1"/>
                <w:sz w:val="22"/>
                <w:szCs w:val="22"/>
              </w:rPr>
              <w:t>–</w:t>
            </w:r>
            <w:r w:rsidRPr="00496681">
              <w:rPr>
                <w:color w:val="000000" w:themeColor="text1"/>
                <w:sz w:val="22"/>
                <w:szCs w:val="22"/>
              </w:rPr>
              <w:t xml:space="preserve"> 77 pašvaldības (pašvaldības, pašvaldību apvienības, izglītības pārvaldes) un 17 </w:t>
            </w:r>
            <w:r w:rsidR="00BB535C">
              <w:rPr>
                <w:color w:val="000000" w:themeColor="text1"/>
                <w:sz w:val="22"/>
                <w:szCs w:val="22"/>
              </w:rPr>
              <w:t>PIKC</w:t>
            </w:r>
            <w:r w:rsidRPr="00496681">
              <w:rPr>
                <w:color w:val="000000" w:themeColor="text1"/>
                <w:sz w:val="22"/>
                <w:szCs w:val="22"/>
              </w:rPr>
              <w:t>. Projektā nodarbināti 385 pedagogi</w:t>
            </w:r>
            <w:r w:rsidR="00A67950">
              <w:rPr>
                <w:color w:val="000000" w:themeColor="text1"/>
                <w:sz w:val="22"/>
                <w:szCs w:val="22"/>
              </w:rPr>
              <w:t>–</w:t>
            </w:r>
            <w:r w:rsidRPr="00496681">
              <w:rPr>
                <w:color w:val="000000" w:themeColor="text1"/>
                <w:sz w:val="22"/>
                <w:szCs w:val="22"/>
              </w:rPr>
              <w:t>karjeras konsultanti, savukārt 430 izglītības iestādēs vispārējās izglītības un  profesionālās izglītības iestāžu audzēkņiem tika nodrošināti karjeras atbalsta pasākumi. Papildizglītību (A programmas kursi “Efektīva karjeras attīstības atbals</w:t>
            </w:r>
            <w:r w:rsidR="00A67950">
              <w:rPr>
                <w:color w:val="000000" w:themeColor="text1"/>
                <w:sz w:val="22"/>
                <w:szCs w:val="22"/>
              </w:rPr>
              <w:t>ta sistēma izglītības iestādē")</w:t>
            </w:r>
            <w:r w:rsidRPr="00496681">
              <w:rPr>
                <w:color w:val="000000" w:themeColor="text1"/>
                <w:sz w:val="22"/>
                <w:szCs w:val="22"/>
              </w:rPr>
              <w:t xml:space="preserve"> karjeras atbalsta pasākumu īstenošanas jautājumos saņēmuši 519 vispārējo vai profesionālās izglītības iestāžu pedagogi karjeras konsultanti vai karjeras speciālisti</w:t>
            </w:r>
          </w:p>
          <w:p w14:paraId="5A836C79" w14:textId="77777777" w:rsidR="00496681" w:rsidRPr="00496681" w:rsidRDefault="00496681" w:rsidP="005B4F0F">
            <w:pPr>
              <w:spacing w:after="0"/>
              <w:ind w:firstLine="604"/>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2.</w:t>
            </w:r>
            <w:r w:rsidR="00D70FA2">
              <w:rPr>
                <w:color w:val="000000" w:themeColor="text1"/>
                <w:sz w:val="22"/>
                <w:szCs w:val="22"/>
              </w:rPr>
              <w:t xml:space="preserve"> </w:t>
            </w:r>
            <w:r w:rsidRPr="00496681">
              <w:rPr>
                <w:color w:val="000000" w:themeColor="text1"/>
                <w:sz w:val="22"/>
                <w:szCs w:val="22"/>
              </w:rPr>
              <w:t xml:space="preserve">Turpinās 8.3.1.SAM “Attīstīt kompetenču pieejā balstītu vispārējās izglītības saturu” 8.3.1.1.pasākuma “Kompetenču pieejā balstīta vispārējās izglītības satura aprobācija un ieviešana” ietvaros paredzētā jauna mācību satura un pieejas maiņas aprobācija. Līdz 2019.gada beigām tiks nodrošināti profesionālās pilnveides pasākumi visu vispārējās un profesionālās izglītības iestāžu vadības komandām, kā arī profesionālās pilnveides pasākumi pirmsskolas izglītības iestāžu pedagogiem. 2019.gada 1.septembrī tiks uzsākta jaunā satura </w:t>
            </w:r>
            <w:r w:rsidRPr="00496681">
              <w:rPr>
                <w:color w:val="000000" w:themeColor="text1"/>
                <w:sz w:val="22"/>
                <w:szCs w:val="22"/>
              </w:rPr>
              <w:lastRenderedPageBreak/>
              <w:t>ieviešana pirmsskolas izglītības iestādēs. Notiek darbs pie mācību priekšmetu programmu izstrādes, kuras tiks publicētas 2019.gada septembrī. Lai no 2020.gada 1.septembra nodrošinātu pāreju uz mācībām valsts valodā vidējās izglītības pakāpē, 2019.gadā turpināsies atbalsta pasākumi pedagogu profesionālās kompetences un valsts valodas prasmju pilnveidei pedagogiem, kuri strādā lingvistiski neviendabīgā vidē.</w:t>
            </w:r>
          </w:p>
          <w:p w14:paraId="7EE54248" w14:textId="77777777" w:rsidR="00496681" w:rsidRPr="00496681" w:rsidRDefault="00496681" w:rsidP="005B4F0F">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Turpinās SAM 8.3.2. pasākumu „Atbalsts nacionāla un starptautiska mēroga pasākumu īstenošanai izglītojamo talantu attīstībai” un „Atbalsts izglītojamo individuālo kompetenču attīstībai” ieviešana. Kopš 2018.gada pieaug to izglītojamo skaits, kas piedalās mācību priekšmetu olimpiādēs un zinātniskās pētniecības darbībā un 2019.gadā papildu izglītojamo pasākumiem tiks nodrošināti mācību pasākumi 150 izglītības iestāžu pedagogiem bērnu un jauniešu augstu sasniegumu attīstībai. Tāpat turpinās izglītības pakalpojumu dažādošana un attīstība 352 izglītības iestādēs, veicinot skolu gatavību veidot atbalsta pasākumus izglītojamajiem ar dažādām vajadzībām, t.sk., mācīšanās traucējumiem.</w:t>
            </w:r>
          </w:p>
          <w:p w14:paraId="3C2CCCAD" w14:textId="77777777" w:rsidR="00496681" w:rsidRPr="00496681" w:rsidRDefault="005B4F0F" w:rsidP="005B4F0F">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3.</w:t>
            </w:r>
            <w:r w:rsidR="00D70FA2">
              <w:rPr>
                <w:color w:val="000000" w:themeColor="text1"/>
                <w:sz w:val="22"/>
                <w:szCs w:val="22"/>
              </w:rPr>
              <w:t xml:space="preserve"> </w:t>
            </w:r>
            <w:r w:rsidR="00496681" w:rsidRPr="00496681">
              <w:rPr>
                <w:color w:val="000000" w:themeColor="text1"/>
                <w:sz w:val="22"/>
                <w:szCs w:val="22"/>
              </w:rPr>
              <w:t xml:space="preserve">Veiktās profesionālās izglītības iestāžu tīkla sakārtošanas rezultātā IZM padotībā esošo vidējās profesionālās izglītības iestāžu skaits samazinājies no 60 iestādēm 2010.gadā līdz 22 iestādēm 2018.gadā. </w:t>
            </w:r>
          </w:p>
          <w:p w14:paraId="1DB4E0E4" w14:textId="77777777" w:rsidR="00496681" w:rsidRPr="00496681" w:rsidRDefault="00496681" w:rsidP="005B4F0F">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 xml:space="preserve">2018.gadā ES struktūrfondu 8.1.3.SAM “Palielināt modernizēto profesionālās izglītības iestāžu skaitu” ietvaros turpinājās 23 modernizācijas projekti profesionālās izglītības iestādēs. Līdz 2023.gadam ir plānots atbalstīt modernizāciju 24 profesionālās izglītības iestādēs, it īpaši PIKC. Plānotais finansējums ir 105,7 milj. </w:t>
            </w:r>
            <w:r w:rsidR="00A81C85" w:rsidRPr="005D4BF2">
              <w:rPr>
                <w:i/>
                <w:color w:val="auto"/>
                <w:sz w:val="22"/>
                <w:szCs w:val="22"/>
              </w:rPr>
              <w:t>euro</w:t>
            </w:r>
            <w:r w:rsidRPr="00496681">
              <w:rPr>
                <w:color w:val="000000" w:themeColor="text1"/>
                <w:sz w:val="22"/>
                <w:szCs w:val="22"/>
              </w:rPr>
              <w:t xml:space="preserve">, t.sk. 88,6 milj. </w:t>
            </w:r>
            <w:r w:rsidR="00A81C85" w:rsidRPr="005D4BF2">
              <w:rPr>
                <w:i/>
                <w:color w:val="auto"/>
                <w:sz w:val="22"/>
                <w:szCs w:val="22"/>
              </w:rPr>
              <w:t>euro</w:t>
            </w:r>
            <w:r w:rsidRPr="00496681">
              <w:rPr>
                <w:color w:val="000000" w:themeColor="text1"/>
                <w:sz w:val="22"/>
                <w:szCs w:val="22"/>
              </w:rPr>
              <w:t xml:space="preserve"> ERAF finansējums. </w:t>
            </w:r>
          </w:p>
          <w:p w14:paraId="3F244EB7" w14:textId="77777777" w:rsidR="00496681" w:rsidRPr="00496681" w:rsidRDefault="00496681" w:rsidP="005B4F0F">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Lai tālāk modernizētu profesionālās izglītības iestāžu infrastruktūru un prioritārās izglītības programmas un izvietojumu reģionos, tika veicināta PIKC statusa iegūšana. No 2017.gada 1.septembra PIKC statuss piešķirts 23 profesionālās izglītības iestādēm, no kurām 17 profesionālās izglītības iestāžu kompetences centri ir izveidoti IZM padotībā esošajās vidējās profesionālās izglītības iestādēs.</w:t>
            </w:r>
          </w:p>
          <w:p w14:paraId="6EEC8BAF" w14:textId="77777777" w:rsidR="00496681" w:rsidRPr="00496681" w:rsidRDefault="00496681" w:rsidP="005B4F0F">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 xml:space="preserve">8.5.3. SAM projekta ietvaros ir uzsākta pedagogu profesionālās kompetences pilnveide darbam ar pieaugušajiem izglītojamajiem. 22.08.2017. noorganizēts seminārs par </w:t>
            </w:r>
            <w:r w:rsidR="00BB535C">
              <w:rPr>
                <w:color w:val="000000" w:themeColor="text1"/>
                <w:sz w:val="22"/>
                <w:szCs w:val="22"/>
              </w:rPr>
              <w:t>PIKC</w:t>
            </w:r>
            <w:r w:rsidRPr="00496681">
              <w:rPr>
                <w:color w:val="000000" w:themeColor="text1"/>
                <w:sz w:val="22"/>
                <w:szCs w:val="22"/>
              </w:rPr>
              <w:t xml:space="preserve"> iesaistes veicināšanu pieaugušo izglītības piedāvājuma veicināšanai un sadarbības stiprināšanai ar darba devējiem.</w:t>
            </w:r>
            <w:r w:rsidR="005B4F0F">
              <w:rPr>
                <w:color w:val="000000" w:themeColor="text1"/>
                <w:sz w:val="22"/>
                <w:szCs w:val="22"/>
              </w:rPr>
              <w:t xml:space="preserve"> 2018.</w:t>
            </w:r>
            <w:r w:rsidRPr="00496681">
              <w:rPr>
                <w:color w:val="000000" w:themeColor="text1"/>
                <w:sz w:val="22"/>
                <w:szCs w:val="22"/>
              </w:rPr>
              <w:t>gadā ir izstrādāts metodiskais materiāls (rokasgrāmata) “Praktisks ceļvedis darbam ar pieaugušajiem profesionālās izglītības iestādēs”.</w:t>
            </w:r>
          </w:p>
          <w:p w14:paraId="03B7A42D" w14:textId="77777777" w:rsidR="00496681" w:rsidRPr="00496681" w:rsidRDefault="005B4F0F" w:rsidP="005B4F0F">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2017.gada 27.</w:t>
            </w:r>
            <w:r w:rsidR="00496681" w:rsidRPr="00496681">
              <w:rPr>
                <w:color w:val="000000" w:themeColor="text1"/>
                <w:sz w:val="22"/>
                <w:szCs w:val="22"/>
              </w:rPr>
              <w:t>janvārī uzsākts p</w:t>
            </w:r>
            <w:r>
              <w:rPr>
                <w:color w:val="000000" w:themeColor="text1"/>
                <w:sz w:val="22"/>
                <w:szCs w:val="22"/>
              </w:rPr>
              <w:t>rojekts ES struktūrfondu 8.5.1.</w:t>
            </w:r>
            <w:r w:rsidR="00496681" w:rsidRPr="00496681">
              <w:rPr>
                <w:color w:val="000000" w:themeColor="text1"/>
                <w:sz w:val="22"/>
                <w:szCs w:val="22"/>
              </w:rPr>
              <w:t>SAM “Palielināt kvalificētu profesionālās izglītības iestāžu audzēkņu skaitu pēc to dalības darba vidē balstītās mācībās vai mācību praksē uzņēmumā" ietvaros, lai palielinātu kvalificētu izglītības iestāžu izglītojamo skaitu pēc to dalības darba vidē balstītās mācībās vai darba devēja vadītās praktiskās mācībās un mācību praksēs. Projekt</w:t>
            </w:r>
            <w:r>
              <w:rPr>
                <w:color w:val="000000" w:themeColor="text1"/>
                <w:sz w:val="22"/>
                <w:szCs w:val="22"/>
              </w:rPr>
              <w:t xml:space="preserve">a īstenošana plānota līdz 2023.gada </w:t>
            </w:r>
            <w:r>
              <w:rPr>
                <w:color w:val="000000" w:themeColor="text1"/>
                <w:sz w:val="22"/>
                <w:szCs w:val="22"/>
              </w:rPr>
              <w:lastRenderedPageBreak/>
              <w:t>31.</w:t>
            </w:r>
            <w:r w:rsidR="00496681" w:rsidRPr="00496681">
              <w:rPr>
                <w:color w:val="000000" w:themeColor="text1"/>
                <w:sz w:val="22"/>
                <w:szCs w:val="22"/>
              </w:rPr>
              <w:t xml:space="preserve">augustam. Projekta mērķa sasniegšanai plānotais attiecināmais finansējums ir 20,57 milj. </w:t>
            </w:r>
            <w:r w:rsidR="00496681" w:rsidRPr="005B4F0F">
              <w:rPr>
                <w:i/>
                <w:color w:val="000000" w:themeColor="text1"/>
                <w:sz w:val="22"/>
                <w:szCs w:val="22"/>
              </w:rPr>
              <w:t>euro</w:t>
            </w:r>
            <w:r w:rsidR="00496681" w:rsidRPr="00496681">
              <w:rPr>
                <w:color w:val="000000" w:themeColor="text1"/>
                <w:sz w:val="22"/>
                <w:szCs w:val="22"/>
              </w:rPr>
              <w:t xml:space="preserve">, t.sk. ESF finansējums 17,49 milj. </w:t>
            </w:r>
            <w:r w:rsidR="00496681" w:rsidRPr="005B4F0F">
              <w:rPr>
                <w:i/>
                <w:color w:val="000000" w:themeColor="text1"/>
                <w:sz w:val="22"/>
                <w:szCs w:val="22"/>
              </w:rPr>
              <w:t>euro</w:t>
            </w:r>
            <w:r w:rsidR="00496681" w:rsidRPr="00496681">
              <w:rPr>
                <w:color w:val="000000" w:themeColor="text1"/>
                <w:sz w:val="22"/>
                <w:szCs w:val="22"/>
              </w:rPr>
              <w:t xml:space="preserve"> un valsts budžeta līdzfinansējums – 3,08 milj. </w:t>
            </w:r>
            <w:r w:rsidR="00496681" w:rsidRPr="005B4F0F">
              <w:rPr>
                <w:i/>
                <w:color w:val="000000" w:themeColor="text1"/>
                <w:sz w:val="22"/>
                <w:szCs w:val="22"/>
              </w:rPr>
              <w:t>euro</w:t>
            </w:r>
            <w:r w:rsidR="00496681" w:rsidRPr="00496681">
              <w:rPr>
                <w:color w:val="000000" w:themeColor="text1"/>
                <w:sz w:val="22"/>
                <w:szCs w:val="22"/>
              </w:rPr>
              <w:t>. Projekta ietvaros ir paredzēts: 1) darba vidē balstītās mācībās vai māceklībā iesaistīt – 3 150 audzēkņus, t.sk. 1 260 līdz 2018.gada 31.decembrim; 2) mācību praksē uzņēmumā – 11 025 audzēkņus. Projektu īsteno Latvijas Darba devēju konfederācija sadarbībā uzņēmumiem un izglītības iestādēm, kuras īsteno profesionālās vidējās izglītības programmas, kas dod iespēju iegūt trešā līmeņa profesionālo kvalifikāciju, un arodizglītības programmas.</w:t>
            </w:r>
          </w:p>
          <w:p w14:paraId="3721FF88" w14:textId="77777777" w:rsidR="00496681" w:rsidRPr="00496681" w:rsidRDefault="00496681" w:rsidP="005B4F0F">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 xml:space="preserve">DVB mācības šobrīd īsteno 329 uzņēmumi, kuru pamatdarbības veids pārstāv visas 15 nozares. Nozaru sadalījums liecina, ka vairāk nekā divas trešdaļas jeb 68% no visiem uzņēmumiem pārstāv trīs nozares – skaistumkopšanas nozare (123 uzņēmumi), tūrisma nozare (64 uzņēmumi) un metālapstrādes, mašīnbūves un mašīnzinību nozare (tai skaitā mehānikā) (37 uzņēmumi). </w:t>
            </w:r>
          </w:p>
          <w:p w14:paraId="2E54CC30" w14:textId="77777777" w:rsidR="00496681" w:rsidRPr="00496681" w:rsidRDefault="00496681" w:rsidP="005B4F0F">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ESF 8.4.1. SAM "Pilnveidot nodarbināto personu profesionālo kompetenci" projekta mērķa grupa ir nodarbinātie vecumā no 25 gadiem, tai skaitā ar zemu izglītības līmeni (pabeigta vai nepabeigta pamatizglītība vai vispārējā vidējā izglītība), ar izglītību specialitātē, kurā vērojams darbaspēka trūkums, vai ar izglītību specialitātē, kurā cilvēkresursu piedāvājums pārsniedz pieprasījumu, prioritāri atbalstu sniedzot sociālā riska grupu nodarbinātajiem, tostarp nodarbinātajiem vecumā no 45</w:t>
            </w:r>
            <w:r w:rsidR="005B4F0F">
              <w:rPr>
                <w:color w:val="000000" w:themeColor="text1"/>
                <w:sz w:val="22"/>
                <w:szCs w:val="22"/>
              </w:rPr>
              <w:t xml:space="preserve"> </w:t>
            </w:r>
            <w:r w:rsidRPr="00496681">
              <w:rPr>
                <w:color w:val="000000" w:themeColor="text1"/>
                <w:sz w:val="22"/>
                <w:szCs w:val="22"/>
              </w:rPr>
              <w:t>gadiem ar zemu vai darba tirgum nepietiekamu izglītības līmeni (pabeigta vai nepabeigta pamatizglītība vai vispārējā vidējā izglītība), kā arī nodarbinātajiem vecumā no 50 gadiem, kas 7.3.2.</w:t>
            </w:r>
            <w:r w:rsidR="005B4F0F">
              <w:rPr>
                <w:color w:val="000000" w:themeColor="text1"/>
                <w:sz w:val="22"/>
                <w:szCs w:val="22"/>
              </w:rPr>
              <w:t xml:space="preserve"> </w:t>
            </w:r>
            <w:r w:rsidR="00BB535C">
              <w:rPr>
                <w:color w:val="000000" w:themeColor="text1"/>
                <w:sz w:val="22"/>
                <w:szCs w:val="22"/>
              </w:rPr>
              <w:t xml:space="preserve">SAM </w:t>
            </w:r>
            <w:r w:rsidRPr="00496681">
              <w:rPr>
                <w:color w:val="000000" w:themeColor="text1"/>
                <w:sz w:val="22"/>
                <w:szCs w:val="22"/>
              </w:rPr>
              <w:t xml:space="preserve">"Paildzināt gados vecāku nodarbināto darbspēju saglabāšanu un nodarbinātību" projekta ietvaros saņēmuši rekomendāciju profesionālās tālākizglītības, profesionālās pilnveides vai neformālās izglītības programmas apguvei, bēgļiem un personām ar alternatīvo statusu. Projekta mērķis ir pilnveidot nodarbināto personu profesionālo kompetenci, lai laikus novērstu darbaspēka kvalifikācijas neatbilstību darba tirgus pieprasījumam, veicinātu strādājošo konkurētspēju un darba produktivitātes pieaugumu. </w:t>
            </w:r>
            <w:r w:rsidR="00C833BA">
              <w:rPr>
                <w:color w:val="000000" w:themeColor="text1"/>
                <w:sz w:val="22"/>
                <w:szCs w:val="22"/>
              </w:rPr>
              <w:t>Līdz 2018.</w:t>
            </w:r>
            <w:r w:rsidRPr="00496681">
              <w:rPr>
                <w:color w:val="000000" w:themeColor="text1"/>
                <w:sz w:val="22"/>
                <w:szCs w:val="22"/>
              </w:rPr>
              <w:t>gada beigām 17</w:t>
            </w:r>
            <w:r w:rsidR="00C833BA" w:rsidRPr="00496681">
              <w:rPr>
                <w:color w:val="000000" w:themeColor="text1"/>
                <w:sz w:val="22"/>
                <w:szCs w:val="22"/>
              </w:rPr>
              <w:t> </w:t>
            </w:r>
            <w:r w:rsidRPr="00496681">
              <w:rPr>
                <w:color w:val="000000" w:themeColor="text1"/>
                <w:sz w:val="22"/>
                <w:szCs w:val="22"/>
              </w:rPr>
              <w:t>000 nodarbinātie ir iesaistījušies mācībās, mācības pabeiguši 8</w:t>
            </w:r>
            <w:r w:rsidR="00C833BA" w:rsidRPr="00496681">
              <w:rPr>
                <w:color w:val="000000" w:themeColor="text1"/>
                <w:sz w:val="22"/>
                <w:szCs w:val="22"/>
              </w:rPr>
              <w:t> </w:t>
            </w:r>
            <w:r w:rsidRPr="00496681">
              <w:rPr>
                <w:color w:val="000000" w:themeColor="text1"/>
                <w:sz w:val="22"/>
                <w:szCs w:val="22"/>
              </w:rPr>
              <w:t>800.</w:t>
            </w:r>
          </w:p>
          <w:p w14:paraId="062A27BB" w14:textId="77777777" w:rsidR="00496681" w:rsidRPr="00496681" w:rsidRDefault="00496681" w:rsidP="00C833BA">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4</w:t>
            </w:r>
            <w:r w:rsidR="00C833BA">
              <w:rPr>
                <w:color w:val="000000" w:themeColor="text1"/>
                <w:sz w:val="22"/>
                <w:szCs w:val="22"/>
              </w:rPr>
              <w:t>.</w:t>
            </w:r>
            <w:r w:rsidR="00D70FA2">
              <w:rPr>
                <w:color w:val="000000" w:themeColor="text1"/>
                <w:sz w:val="22"/>
                <w:szCs w:val="22"/>
              </w:rPr>
              <w:t xml:space="preserve"> S</w:t>
            </w:r>
            <w:r w:rsidRPr="00496681">
              <w:rPr>
                <w:color w:val="000000" w:themeColor="text1"/>
                <w:sz w:val="22"/>
                <w:szCs w:val="22"/>
              </w:rPr>
              <w:t>katīt tabulā “6.a Valstu specifiskās rekomendācijas” sniegto informāciju.</w:t>
            </w:r>
          </w:p>
          <w:p w14:paraId="1A42DFB1" w14:textId="77777777" w:rsidR="00496681" w:rsidRPr="00496681" w:rsidRDefault="00496681" w:rsidP="00C833BA">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5</w:t>
            </w:r>
            <w:r w:rsidR="00C833BA">
              <w:rPr>
                <w:color w:val="000000" w:themeColor="text1"/>
                <w:sz w:val="22"/>
                <w:szCs w:val="22"/>
              </w:rPr>
              <w:t xml:space="preserve">. </w:t>
            </w:r>
            <w:r w:rsidRPr="00496681">
              <w:rPr>
                <w:color w:val="000000" w:themeColor="text1"/>
                <w:sz w:val="22"/>
                <w:szCs w:val="22"/>
              </w:rPr>
              <w:t xml:space="preserve">Visās IZM pārvaldībā esošajās profesionālās izglītības iestādēs kopš 2016.gada sākuma aktīvi darbojas koleģiāla padomdevēju institūciju – konvents. Konventa sastāvā ir iekļauti profesionālās izglītības iestādes vadītājs, ministrijas, pašvaldības, kā arī darba devēju un to apvienību pārstāvji, var iekļaut arī attiecīgā plānošanas reģiona pārstāvi. Mērķis ir veicināt profesionālās izglītības iestādes attīstību, nosakot tās darbības stratēģiskos virzienus, atbilstoši darba tirgus prasībām. </w:t>
            </w:r>
          </w:p>
          <w:p w14:paraId="128C49F8" w14:textId="77777777" w:rsidR="00AF59B8" w:rsidRPr="00496681" w:rsidRDefault="00496681" w:rsidP="00C833BA">
            <w:pPr>
              <w:spacing w:after="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96681">
              <w:rPr>
                <w:color w:val="000000" w:themeColor="text1"/>
                <w:sz w:val="22"/>
                <w:szCs w:val="22"/>
              </w:rPr>
              <w:t xml:space="preserve">Turpinās 2016.gadā uzsāktā ESF projekta “Profesionālās izglītības iestāžu efektīva pārvaldība un personāla kompetences pilnveide” īstenošana, kura ietvaros tiek sniegts atbalsts </w:t>
            </w:r>
            <w:r w:rsidRPr="00496681">
              <w:rPr>
                <w:color w:val="000000" w:themeColor="text1"/>
                <w:sz w:val="22"/>
                <w:szCs w:val="22"/>
              </w:rPr>
              <w:lastRenderedPageBreak/>
              <w:t>profesionālās izglītības iestāžu personāla kvalifikācijas pilnveidei mācību organizācijas, metodisko jautājumu, tehnoloģiju attīstības kontekstā, tostarp uzlabojot un veicinot sadarbību ar darba devējiem. Projekta ietvaros mācībās piedalījušās 5</w:t>
            </w:r>
            <w:r w:rsidR="00C833BA">
              <w:rPr>
                <w:color w:val="000000" w:themeColor="text1"/>
                <w:sz w:val="22"/>
                <w:szCs w:val="22"/>
              </w:rPr>
              <w:t> </w:t>
            </w:r>
            <w:r w:rsidRPr="00496681">
              <w:rPr>
                <w:color w:val="000000" w:themeColor="text1"/>
                <w:sz w:val="22"/>
                <w:szCs w:val="22"/>
              </w:rPr>
              <w:t xml:space="preserve">691 personas. Kopējais plānotais finansējums ir 6,49 milj. </w:t>
            </w:r>
            <w:r w:rsidR="00A81C85" w:rsidRPr="005D4BF2">
              <w:rPr>
                <w:i/>
                <w:color w:val="auto"/>
                <w:sz w:val="22"/>
                <w:szCs w:val="22"/>
              </w:rPr>
              <w:t>euro</w:t>
            </w:r>
            <w:r w:rsidRPr="00496681">
              <w:rPr>
                <w:color w:val="000000" w:themeColor="text1"/>
                <w:sz w:val="22"/>
                <w:szCs w:val="22"/>
              </w:rPr>
              <w:t xml:space="preserve">, t.sk. ESF finansējums 5,52 milj. </w:t>
            </w:r>
            <w:r w:rsidR="00A81C85" w:rsidRPr="005D4BF2">
              <w:rPr>
                <w:i/>
                <w:color w:val="auto"/>
                <w:sz w:val="22"/>
                <w:szCs w:val="22"/>
              </w:rPr>
              <w:t>euro</w:t>
            </w:r>
            <w:r w:rsidRPr="00496681">
              <w:rPr>
                <w:color w:val="000000" w:themeColor="text1"/>
                <w:sz w:val="22"/>
                <w:szCs w:val="22"/>
              </w:rPr>
              <w:t xml:space="preserve"> un valsts budžeta līdzfinansējums – 0,97 milj. </w:t>
            </w:r>
            <w:r w:rsidR="00A81C85" w:rsidRPr="005D4BF2">
              <w:rPr>
                <w:i/>
                <w:color w:val="auto"/>
                <w:sz w:val="22"/>
                <w:szCs w:val="22"/>
              </w:rPr>
              <w:t>euro</w:t>
            </w:r>
            <w:r w:rsidRPr="00496681">
              <w:rPr>
                <w:color w:val="000000" w:themeColor="text1"/>
                <w:sz w:val="22"/>
                <w:szCs w:val="22"/>
              </w:rPr>
              <w:t>.</w:t>
            </w:r>
          </w:p>
        </w:tc>
      </w:tr>
      <w:tr w:rsidR="00AF59B8" w:rsidRPr="00482AA0" w14:paraId="41FF1493" w14:textId="77777777" w:rsidTr="006A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AB0FCE0" w14:textId="77777777" w:rsidR="00AF59B8" w:rsidRPr="00482AA0" w:rsidRDefault="00AF59B8" w:rsidP="006A7563">
            <w:pPr>
              <w:ind w:firstLine="0"/>
              <w:rPr>
                <w:b w:val="0"/>
                <w:color w:val="000000" w:themeColor="text1"/>
                <w:sz w:val="22"/>
                <w:szCs w:val="22"/>
              </w:rPr>
            </w:pPr>
            <w:r w:rsidRPr="00482AA0">
              <w:rPr>
                <w:color w:val="000000" w:themeColor="text1"/>
                <w:sz w:val="22"/>
                <w:szCs w:val="22"/>
              </w:rPr>
              <w:lastRenderedPageBreak/>
              <w:t>Nacionālais augstākās izglītības mērķis (34</w:t>
            </w:r>
            <w:r w:rsidR="00A67950">
              <w:rPr>
                <w:color w:val="000000" w:themeColor="text1"/>
                <w:sz w:val="22"/>
                <w:szCs w:val="22"/>
              </w:rPr>
              <w:t>–</w:t>
            </w:r>
            <w:r w:rsidRPr="00482AA0">
              <w:rPr>
                <w:color w:val="000000" w:themeColor="text1"/>
                <w:sz w:val="22"/>
                <w:szCs w:val="22"/>
              </w:rPr>
              <w:t>36%)</w:t>
            </w:r>
          </w:p>
        </w:tc>
        <w:tc>
          <w:tcPr>
            <w:tcW w:w="3827" w:type="dxa"/>
          </w:tcPr>
          <w:p w14:paraId="72E2072C" w14:textId="77777777" w:rsidR="00AF59B8" w:rsidRPr="005119CA" w:rsidRDefault="00AF59B8" w:rsidP="00AF59B8">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Augstākās izglītības modernizācija – jauna augstākās izglītības finansēšanas modeļa ieviešana;</w:t>
            </w:r>
          </w:p>
          <w:p w14:paraId="643A0F1B" w14:textId="77777777" w:rsidR="00AF59B8" w:rsidRPr="005119CA" w:rsidRDefault="00AF59B8" w:rsidP="00AF59B8">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Augstākās izglītības institūciju materiāli tehniskās bāzes modernizēšana un resursu izmantošanas efektivitātes paaugstināšana;</w:t>
            </w:r>
          </w:p>
          <w:p w14:paraId="22625CD9" w14:textId="77777777" w:rsidR="00AF59B8" w:rsidRPr="005119CA" w:rsidRDefault="00AF59B8" w:rsidP="00AF59B8">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Augstākās izglītības vienlīdzīgas pieejamības nodrošināšana;</w:t>
            </w:r>
          </w:p>
          <w:p w14:paraId="3290A2BC" w14:textId="77777777" w:rsidR="00AF59B8" w:rsidRPr="005119CA" w:rsidRDefault="00AF59B8" w:rsidP="00AF59B8">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Nacionālās kvalitātes nodrošināšanas institūcijas izveide;</w:t>
            </w:r>
          </w:p>
          <w:p w14:paraId="71BFDF16" w14:textId="77777777" w:rsidR="00AF59B8" w:rsidRPr="005119CA" w:rsidRDefault="00AF59B8" w:rsidP="00AF59B8">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Studiju programmu fragmentācijas mazināšanās, resursu koplietošana;</w:t>
            </w:r>
          </w:p>
          <w:p w14:paraId="68DE3232" w14:textId="77777777" w:rsidR="00AF59B8" w:rsidRPr="005119CA" w:rsidRDefault="00AF59B8" w:rsidP="00AF59B8">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Ārvalstu studentu piesaistīšana.</w:t>
            </w:r>
          </w:p>
        </w:tc>
        <w:tc>
          <w:tcPr>
            <w:tcW w:w="8647" w:type="dxa"/>
          </w:tcPr>
          <w:p w14:paraId="2F3894E3" w14:textId="77777777" w:rsidR="00190347" w:rsidRPr="00416435"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416435">
              <w:rPr>
                <w:color w:val="auto"/>
                <w:sz w:val="22"/>
                <w:szCs w:val="22"/>
              </w:rPr>
              <w:t>Augstākās izglītības jomā ir veiktas būtiskas reformas, ieviešot politikas nostādnēm atbilstošus finansējuma piešķiršanas principus jaunajā augstākās izglītības finansēšanas modelī. Vienlaicīgi, Latvijā valsts budžeta finansējums uz vienu studējošo ir viens no zemāk</w:t>
            </w:r>
            <w:r w:rsidR="00AC0CB7">
              <w:rPr>
                <w:color w:val="auto"/>
                <w:sz w:val="22"/>
                <w:szCs w:val="22"/>
              </w:rPr>
              <w:t>aj</w:t>
            </w:r>
            <w:r w:rsidRPr="00416435">
              <w:rPr>
                <w:color w:val="auto"/>
                <w:sz w:val="22"/>
                <w:szCs w:val="22"/>
              </w:rPr>
              <w:t xml:space="preserve">iem ES valstu vidū, kas ierobežo augstskolu iespējas piesaistīt konkurētspējīgo akadēmisko personālu un nodrošināt veicamo ES Struktūrfondu ieguldījumu ilgtspēju. </w:t>
            </w:r>
          </w:p>
          <w:p w14:paraId="28B49172" w14:textId="77777777" w:rsidR="00190347" w:rsidRPr="00190347"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190347">
              <w:rPr>
                <w:color w:val="auto"/>
                <w:sz w:val="22"/>
                <w:szCs w:val="22"/>
              </w:rPr>
              <w:t>(1) Sniedzot ieguldījumu augstākās izglītības modernizācijā un īstenojot jaunu augstākās izglītības finansēšanas modeli, budžeta apakšprogrammas 03.01.00 “Augstskolas” un 03.11.00 “Koledžas” finansē jaunā finansēšanas modeļa I pīlāru – studiju vietu finansējumu. Budžeta apakšprogramma 03.03.00 “Zinātniskās darbības attīstība augstskolās un koledžās” finansē II pīlāru, stimulējot pētniecību kā kvalitatīvās augstākās izglītības pamatu, akadēmiskā un zinātniskā personāla ataudzi un finansējuma piesaisti no komersantiem, starptautiskiem projektiem un citiem avotiem. III pīlārs ir uz inovāciju orientēts  finansējums, kas veicina iestāžu specializāciju un profilu attīstību, tiek īstenots ar ES struktūrfondu finansējumu (piemēram, ir uzs</w:t>
            </w:r>
            <w:r w:rsidR="0020426E">
              <w:rPr>
                <w:color w:val="auto"/>
                <w:sz w:val="22"/>
                <w:szCs w:val="22"/>
              </w:rPr>
              <w:t>ākts īstenot 8.1.1. un 1.1.1.4.</w:t>
            </w:r>
            <w:r w:rsidRPr="00190347">
              <w:rPr>
                <w:color w:val="auto"/>
                <w:sz w:val="22"/>
                <w:szCs w:val="22"/>
              </w:rPr>
              <w:t xml:space="preserve">pasākumus) (NAP 56). </w:t>
            </w:r>
          </w:p>
          <w:p w14:paraId="323C991B" w14:textId="77777777" w:rsidR="00190347" w:rsidRPr="00416435"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190347">
              <w:rPr>
                <w:color w:val="auto"/>
                <w:sz w:val="22"/>
                <w:szCs w:val="22"/>
              </w:rPr>
              <w:t>Papildus esošiem AI finansēšanas modeļa 2. pīlāra snieguma fi</w:t>
            </w:r>
            <w:r w:rsidR="0020426E">
              <w:rPr>
                <w:color w:val="auto"/>
                <w:sz w:val="22"/>
                <w:szCs w:val="22"/>
              </w:rPr>
              <w:t>nansējuma indikatoriem, 2018.</w:t>
            </w:r>
            <w:r w:rsidRPr="00190347">
              <w:rPr>
                <w:color w:val="auto"/>
                <w:sz w:val="22"/>
                <w:szCs w:val="22"/>
              </w:rPr>
              <w:t>gada nogalē IZM pirmo reizi piešķīra snieguma finansējumu augstskolām, kuras veiksmīgi sagatavojušas pedagogus darbam izglītības iestādēs. Šo snieguma finansējuma elementu saņem tās augstskolas, kuru tematiskās grupas “Izglītība” programmu absolventi turpina vai uzsāk darbu izglītības iestādēs kā</w:t>
            </w:r>
            <w:r w:rsidR="0020426E">
              <w:rPr>
                <w:color w:val="auto"/>
                <w:sz w:val="22"/>
                <w:szCs w:val="22"/>
              </w:rPr>
              <w:t xml:space="preserve"> pedagoģiskais personāls. 2019.</w:t>
            </w:r>
            <w:r w:rsidRPr="00190347">
              <w:rPr>
                <w:color w:val="auto"/>
                <w:sz w:val="22"/>
                <w:szCs w:val="22"/>
              </w:rPr>
              <w:t>gadā kopējais snieguma finansējums augstskolām par rezultātiem pedagogu sagatavošanā būs divas reizes lielāks, sasniedzot 156</w:t>
            </w:r>
            <w:r w:rsidR="0020426E">
              <w:t> </w:t>
            </w:r>
            <w:r w:rsidRPr="00190347">
              <w:rPr>
                <w:color w:val="auto"/>
                <w:sz w:val="22"/>
                <w:szCs w:val="22"/>
              </w:rPr>
              <w:t xml:space="preserve">275 </w:t>
            </w:r>
            <w:r w:rsidRPr="00081726">
              <w:rPr>
                <w:i/>
                <w:color w:val="auto"/>
                <w:sz w:val="22"/>
                <w:szCs w:val="22"/>
              </w:rPr>
              <w:t>euro</w:t>
            </w:r>
            <w:r w:rsidRPr="00190347">
              <w:rPr>
                <w:color w:val="auto"/>
                <w:sz w:val="22"/>
                <w:szCs w:val="22"/>
              </w:rPr>
              <w:t xml:space="preserve"> kopsummu.</w:t>
            </w:r>
            <w:r w:rsidRPr="00416435">
              <w:rPr>
                <w:color w:val="auto"/>
                <w:sz w:val="22"/>
                <w:szCs w:val="22"/>
              </w:rPr>
              <w:t xml:space="preserve"> </w:t>
            </w:r>
          </w:p>
          <w:p w14:paraId="59CA80B7" w14:textId="77777777" w:rsidR="00190347" w:rsidRPr="00416435"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416435">
              <w:rPr>
                <w:color w:val="auto"/>
                <w:sz w:val="22"/>
                <w:szCs w:val="22"/>
              </w:rPr>
              <w:t xml:space="preserve">(2) </w:t>
            </w:r>
            <w:r w:rsidR="00F92194">
              <w:rPr>
                <w:color w:val="auto"/>
                <w:sz w:val="22"/>
                <w:szCs w:val="22"/>
              </w:rPr>
              <w:t>2018.</w:t>
            </w:r>
            <w:r w:rsidRPr="00416435">
              <w:rPr>
                <w:color w:val="auto"/>
                <w:sz w:val="22"/>
                <w:szCs w:val="22"/>
              </w:rPr>
              <w:t>gadā turpinājās augstākās izglītības institūciju materiāli tehniskās bāzes modernizēšana un resursu izmantošanas efektivitātes paaugstināšana, lai nodrošinātu mūsdienīgu studiju un pētniecības vidi STEM (zinātne, tehnoloģijas, inženierzinātnes, matemātika), t.sk. medicīnas un radošo industriju, studiju programmu īstenošanai un veicinātu augstākās izglītības atbilstību tautsaimniecības attīstības un darba tirgus v</w:t>
            </w:r>
            <w:r w:rsidR="00F92194">
              <w:rPr>
                <w:color w:val="auto"/>
                <w:sz w:val="22"/>
                <w:szCs w:val="22"/>
              </w:rPr>
              <w:t>ajadzībām. ES fondu 2014.</w:t>
            </w:r>
            <w:r w:rsidR="00A67950">
              <w:rPr>
                <w:color w:val="auto"/>
                <w:sz w:val="22"/>
                <w:szCs w:val="22"/>
              </w:rPr>
              <w:t>–</w:t>
            </w:r>
            <w:r w:rsidR="00F92194">
              <w:rPr>
                <w:color w:val="auto"/>
                <w:sz w:val="22"/>
                <w:szCs w:val="22"/>
              </w:rPr>
              <w:t>2020.</w:t>
            </w:r>
            <w:r w:rsidRPr="00416435">
              <w:rPr>
                <w:color w:val="auto"/>
                <w:sz w:val="22"/>
                <w:szCs w:val="22"/>
              </w:rPr>
              <w:t xml:space="preserve">gada plānošanas periodā plānots sniegt atbalstu studiju un zinātniskā darba infrastruktūras attīstībai (kopējais indikatīvais finansējums 44,6 miljoni </w:t>
            </w:r>
            <w:r w:rsidR="00F92194" w:rsidRPr="00F92194">
              <w:rPr>
                <w:i/>
                <w:color w:val="auto"/>
                <w:sz w:val="22"/>
                <w:szCs w:val="22"/>
              </w:rPr>
              <w:t>euro</w:t>
            </w:r>
            <w:r w:rsidRPr="00416435">
              <w:rPr>
                <w:color w:val="auto"/>
                <w:sz w:val="22"/>
                <w:szCs w:val="22"/>
              </w:rPr>
              <w:t xml:space="preserve">, t.sk. </w:t>
            </w:r>
            <w:r w:rsidR="00F92194">
              <w:rPr>
                <w:color w:val="auto"/>
                <w:sz w:val="22"/>
                <w:szCs w:val="22"/>
              </w:rPr>
              <w:t xml:space="preserve">ERAF finansējums 37,9 miljoni </w:t>
            </w:r>
            <w:r w:rsidR="00F92194" w:rsidRPr="00F92194">
              <w:rPr>
                <w:i/>
                <w:color w:val="auto"/>
                <w:sz w:val="22"/>
                <w:szCs w:val="22"/>
              </w:rPr>
              <w:t>eu</w:t>
            </w:r>
            <w:r w:rsidRPr="00F92194">
              <w:rPr>
                <w:i/>
                <w:color w:val="auto"/>
                <w:sz w:val="22"/>
                <w:szCs w:val="22"/>
              </w:rPr>
              <w:t>ro</w:t>
            </w:r>
            <w:r w:rsidRPr="00416435">
              <w:rPr>
                <w:color w:val="auto"/>
                <w:sz w:val="22"/>
                <w:szCs w:val="22"/>
              </w:rPr>
              <w:t xml:space="preserve">). Vienlaikus ar ES fondu atbalstu tiek uzlabotas 1.līmeņa profesionālās augstākās izglītības STEM, t.sk. medicīnas un radošās industrijas, studiju mācību </w:t>
            </w:r>
            <w:r w:rsidRPr="00416435">
              <w:rPr>
                <w:color w:val="auto"/>
                <w:sz w:val="22"/>
                <w:szCs w:val="22"/>
              </w:rPr>
              <w:lastRenderedPageBreak/>
              <w:t xml:space="preserve">vides uzlabošanai koledžās (kopējais indikatīvais finansējums 14,2 miljoni </w:t>
            </w:r>
            <w:r w:rsidR="00F92194" w:rsidRPr="00F92194">
              <w:rPr>
                <w:i/>
                <w:color w:val="auto"/>
                <w:sz w:val="22"/>
                <w:szCs w:val="22"/>
              </w:rPr>
              <w:t>euro</w:t>
            </w:r>
            <w:r w:rsidRPr="00416435">
              <w:rPr>
                <w:color w:val="auto"/>
                <w:sz w:val="22"/>
                <w:szCs w:val="22"/>
              </w:rPr>
              <w:t xml:space="preserve">, t.sk. ERAF finansējums 12 miljoni </w:t>
            </w:r>
            <w:r w:rsidRPr="00081726">
              <w:rPr>
                <w:i/>
                <w:color w:val="auto"/>
                <w:sz w:val="22"/>
                <w:szCs w:val="22"/>
              </w:rPr>
              <w:t>e</w:t>
            </w:r>
            <w:r w:rsidR="00081726" w:rsidRPr="00081726">
              <w:rPr>
                <w:i/>
                <w:color w:val="auto"/>
                <w:sz w:val="22"/>
                <w:szCs w:val="22"/>
              </w:rPr>
              <w:t>u</w:t>
            </w:r>
            <w:r w:rsidRPr="00081726">
              <w:rPr>
                <w:i/>
                <w:color w:val="auto"/>
                <w:sz w:val="22"/>
                <w:szCs w:val="22"/>
              </w:rPr>
              <w:t>ro</w:t>
            </w:r>
            <w:r w:rsidRPr="00416435">
              <w:rPr>
                <w:color w:val="auto"/>
                <w:sz w:val="22"/>
                <w:szCs w:val="22"/>
              </w:rPr>
              <w:t>).</w:t>
            </w:r>
          </w:p>
          <w:p w14:paraId="48B8D980" w14:textId="77777777" w:rsidR="00190347" w:rsidRPr="00416435"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416435">
              <w:rPr>
                <w:color w:val="auto"/>
                <w:sz w:val="22"/>
                <w:szCs w:val="22"/>
              </w:rPr>
              <w:t>Tika uzsākta 4 ES fondu programmu īstenošana, nākamajos piecos gados nodrošinot ieguldījumus augstskolu attīstībā. Investīciju piešķiršana balstīsies uz augstskolu izstrādātajām institūciju attīstības stratēģijām, kuru vērtēšanā tika iesaistīti arī attiecīgo profesionālo nozaru pārstāvji.</w:t>
            </w:r>
          </w:p>
          <w:p w14:paraId="767CE85A" w14:textId="77777777" w:rsidR="00190347" w:rsidRPr="00416435"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416435">
              <w:rPr>
                <w:color w:val="auto"/>
                <w:sz w:val="22"/>
                <w:szCs w:val="22"/>
              </w:rPr>
              <w:t xml:space="preserve">(3) 2018. gadā IZM izveidoja darba grupu studiju un studējošo kredītu sistēmas pilnveidošanai, kuras sastāvā ir pārstāvji no Valsts kases, Finanšu ministrijas, Studiju un zinātnes administrācijas, Latvijas Finanšu nozares asociācijas, </w:t>
            </w:r>
            <w:r w:rsidR="005137D2">
              <w:rPr>
                <w:color w:val="auto"/>
                <w:sz w:val="22"/>
                <w:szCs w:val="22"/>
              </w:rPr>
              <w:t>ALTUM</w:t>
            </w:r>
            <w:r w:rsidRPr="00416435">
              <w:rPr>
                <w:color w:val="auto"/>
                <w:sz w:val="22"/>
                <w:szCs w:val="22"/>
              </w:rPr>
              <w:t>, Latvijas studentu apvienības un Rektoru padomes. Darba grupas mērķis ir izstrādāt jaunu studiju un studējošo kreditēšanas sistēmu, veicinot lielāku studiju pieejamību.</w:t>
            </w:r>
          </w:p>
          <w:p w14:paraId="30EAB145" w14:textId="77777777" w:rsidR="00190347" w:rsidRPr="00190347" w:rsidRDefault="00490C1F"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2018.</w:t>
            </w:r>
            <w:r w:rsidR="00190347" w:rsidRPr="00416435">
              <w:rPr>
                <w:color w:val="auto"/>
                <w:sz w:val="22"/>
                <w:szCs w:val="22"/>
              </w:rPr>
              <w:t xml:space="preserve">gada beigās tika veikti grozījumi Invaliditātes likuma 12.panta pirmās daļas 4.punktā, lai nodrošinātu ar Ministru kabineta 2015.gada 16.decembra rīkojumu Nr.802 “Par Apvienoto nāciju Organizācijas Konvencijas par personu ar invaliditāti tiesībām īstenošanas pamatnostādņu 2014. – 2020.gadam </w:t>
            </w:r>
            <w:r w:rsidR="00F92194">
              <w:rPr>
                <w:color w:val="auto"/>
                <w:sz w:val="22"/>
                <w:szCs w:val="22"/>
              </w:rPr>
              <w:t>īstenošanas plānu 2015. – 2017.</w:t>
            </w:r>
            <w:r w:rsidR="00190347" w:rsidRPr="00416435">
              <w:rPr>
                <w:color w:val="auto"/>
                <w:sz w:val="22"/>
                <w:szCs w:val="22"/>
              </w:rPr>
              <w:t xml:space="preserve">gadam” apstiprinātā  pamatnostādņu plāna paredzētajos pasākumos ietvertā 3.3.2. uzdevuma izpildi, kas paredz ka nepieciešams pilnveidot atbalsta pasākumus personām ar invaliditāti iegūstot augstāko izglītību. </w:t>
            </w:r>
          </w:p>
          <w:p w14:paraId="369F5F30" w14:textId="77777777" w:rsidR="00190347" w:rsidRPr="00416435"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416435">
              <w:rPr>
                <w:color w:val="auto"/>
                <w:sz w:val="22"/>
                <w:szCs w:val="22"/>
              </w:rPr>
              <w:t>(4) Turpinājās darbs pie augstākās izglītības kvalitātes nodrošināšanas sistēmas attīstības. Esošā akreditācijas aģentūra –</w:t>
            </w:r>
            <w:r w:rsidR="00927744">
              <w:rPr>
                <w:color w:val="auto"/>
                <w:sz w:val="22"/>
                <w:szCs w:val="22"/>
              </w:rPr>
              <w:t>AIC</w:t>
            </w:r>
            <w:r w:rsidRPr="00416435">
              <w:rPr>
                <w:color w:val="auto"/>
                <w:sz w:val="22"/>
                <w:szCs w:val="22"/>
              </w:rPr>
              <w:t xml:space="preserve"> – tika iekļauta </w:t>
            </w:r>
            <w:r w:rsidR="00BB535C" w:rsidRPr="0071059D">
              <w:rPr>
                <w:color w:val="auto"/>
                <w:sz w:val="22"/>
                <w:szCs w:val="22"/>
              </w:rPr>
              <w:t>Eiropas kvalitātes nodrošināšanas aģentūru reģistrā</w:t>
            </w:r>
            <w:r w:rsidRPr="00416435">
              <w:rPr>
                <w:color w:val="auto"/>
                <w:sz w:val="22"/>
                <w:szCs w:val="22"/>
              </w:rPr>
              <w:t xml:space="preserve">. Tas ir apliecinājums Latvijas augstākās izglītības kvalitātes nodrošināšanas aģentūras darbībai atbilstoši Eiropas Standartiem un vadlīnijām kvalitātes nodrošināšanai Eiropas Augstākās izglītības telpā, kā arī veicinās Latvijas augstskolu/koledžu un to izsniegto diplomu atpazīstamību un </w:t>
            </w:r>
            <w:r w:rsidR="00490C1F">
              <w:rPr>
                <w:color w:val="auto"/>
                <w:sz w:val="22"/>
                <w:szCs w:val="22"/>
              </w:rPr>
              <w:t>uzticamību starptautiski. 2018.</w:t>
            </w:r>
            <w:r w:rsidRPr="00416435">
              <w:rPr>
                <w:color w:val="auto"/>
                <w:sz w:val="22"/>
                <w:szCs w:val="22"/>
              </w:rPr>
              <w:t xml:space="preserve">gadā AIC kļuva arī par pilntiesīgu </w:t>
            </w:r>
            <w:r w:rsidR="00BB535C" w:rsidRPr="0071059D">
              <w:rPr>
                <w:color w:val="auto"/>
                <w:sz w:val="22"/>
                <w:szCs w:val="22"/>
              </w:rPr>
              <w:t xml:space="preserve">Eiropas Augstākās izglītības kvalitātes nodrošināšanas asociācijas </w:t>
            </w:r>
            <w:r w:rsidRPr="00416435">
              <w:rPr>
                <w:color w:val="auto"/>
                <w:sz w:val="22"/>
                <w:szCs w:val="22"/>
              </w:rPr>
              <w:t>biedru.</w:t>
            </w:r>
          </w:p>
          <w:p w14:paraId="1B1373FB" w14:textId="77777777" w:rsidR="00190347" w:rsidRPr="00416435"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416435">
              <w:rPr>
                <w:color w:val="auto"/>
                <w:sz w:val="22"/>
                <w:szCs w:val="22"/>
              </w:rPr>
              <w:t xml:space="preserve">Valdībā apstiprināti jauni akreditācijas un licencēšanas noteikumi, kas paredz visu studiju virzienu sistēmisku izvērtējumu, sniedzot individuālu vērtējumu katrai studiju programmai. Augstākās izglītības kvalitātes vērtēšanā </w:t>
            </w:r>
            <w:r w:rsidR="00A67950">
              <w:rPr>
                <w:color w:val="auto"/>
                <w:sz w:val="22"/>
                <w:szCs w:val="22"/>
              </w:rPr>
              <w:t>–</w:t>
            </w:r>
            <w:r w:rsidRPr="00416435">
              <w:rPr>
                <w:color w:val="auto"/>
                <w:sz w:val="22"/>
                <w:szCs w:val="22"/>
              </w:rPr>
              <w:t xml:space="preserve"> licencēšanas un akreditācijas procesā tiek iesaistīti darba devēji. Jaunais regulējums nodrošina starptautiskiem standartiem atbilstošas augstākās izglītības kvalitātes novērtēšanas sistēmas ieviešanu un studiju programmu fragmentācijas mazināšanu, veicinot Latvijas tautsaimniecības attīstībai nepieciešamā cilvēkkapitāla kvalitatīvu sagatavošanu un paaugstinot Latvijas augstākās izglītības starptautisko konkurētspēju. </w:t>
            </w:r>
          </w:p>
          <w:p w14:paraId="545518DB" w14:textId="77777777" w:rsidR="00190347" w:rsidRPr="00416435"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416435">
              <w:rPr>
                <w:color w:val="auto"/>
                <w:sz w:val="22"/>
                <w:szCs w:val="22"/>
              </w:rPr>
              <w:t xml:space="preserve">(5) 2018.gada sākumā tika apstiprināti noteikumi ES programmām, kurās projektu īstenošana uzsākta gada otrajā pusē un to īstenošana augstskolās notiks līdz 2022.gada </w:t>
            </w:r>
            <w:r w:rsidRPr="00416435">
              <w:rPr>
                <w:color w:val="auto"/>
                <w:sz w:val="22"/>
                <w:szCs w:val="22"/>
              </w:rPr>
              <w:lastRenderedPageBreak/>
              <w:t xml:space="preserve">decembrim, tostarp Studiju programmu fragmentācijas samazināšana un resursu koplietošanas stiprināšana (SAM 8.2.1.), lai turpmāko piecu gadu laikā investētu ESF finansējumu jaunu, spēcīgu un starptautiski konkurētspējīgu studiju programmu izveidē, t.sk. doktorantūras līmeņa programmās. Šī programma dos ieguldījumu jaunā skolotāju satura izstrādei </w:t>
            </w:r>
            <w:r w:rsidR="00A67950">
              <w:rPr>
                <w:color w:val="auto"/>
                <w:sz w:val="22"/>
                <w:szCs w:val="22"/>
              </w:rPr>
              <w:t>–</w:t>
            </w:r>
            <w:r w:rsidRPr="00416435">
              <w:rPr>
                <w:color w:val="auto"/>
                <w:sz w:val="22"/>
                <w:szCs w:val="22"/>
              </w:rPr>
              <w:t xml:space="preserve"> jaunā kvalitātē sagatavojot arī pedagogus, kuri strādās ar skolēniem atbilstoši jaunajam mācību saturam un pieejai. Kopējais indikatīvais finansējums 10,8 miljoni </w:t>
            </w:r>
            <w:r w:rsidRPr="00081726">
              <w:rPr>
                <w:i/>
                <w:color w:val="auto"/>
                <w:sz w:val="22"/>
                <w:szCs w:val="22"/>
              </w:rPr>
              <w:t>e</w:t>
            </w:r>
            <w:r w:rsidR="00081726" w:rsidRPr="00081726">
              <w:rPr>
                <w:i/>
                <w:color w:val="auto"/>
                <w:sz w:val="22"/>
                <w:szCs w:val="22"/>
              </w:rPr>
              <w:t>u</w:t>
            </w:r>
            <w:r w:rsidRPr="00081726">
              <w:rPr>
                <w:i/>
                <w:color w:val="auto"/>
                <w:sz w:val="22"/>
                <w:szCs w:val="22"/>
              </w:rPr>
              <w:t>ro</w:t>
            </w:r>
            <w:r w:rsidRPr="00416435">
              <w:rPr>
                <w:color w:val="auto"/>
                <w:sz w:val="22"/>
                <w:szCs w:val="22"/>
              </w:rPr>
              <w:t xml:space="preserve">, t.sk. ESF finansējums 9,2 miljoni </w:t>
            </w:r>
            <w:r w:rsidR="00081726" w:rsidRPr="00081726">
              <w:rPr>
                <w:i/>
                <w:color w:val="auto"/>
                <w:sz w:val="22"/>
                <w:szCs w:val="22"/>
              </w:rPr>
              <w:t>euro</w:t>
            </w:r>
            <w:r w:rsidRPr="00416435">
              <w:rPr>
                <w:color w:val="auto"/>
                <w:sz w:val="22"/>
                <w:szCs w:val="22"/>
              </w:rPr>
              <w:t>.</w:t>
            </w:r>
          </w:p>
          <w:p w14:paraId="5FA77DFF" w14:textId="3E6D6976" w:rsidR="00190347" w:rsidRPr="00416435"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416435">
              <w:rPr>
                <w:color w:val="auto"/>
                <w:sz w:val="22"/>
                <w:szCs w:val="22"/>
              </w:rPr>
              <w:t>(6) 2017./2018. bija 8</w:t>
            </w:r>
            <w:r w:rsidR="00F92194">
              <w:rPr>
                <w:color w:val="auto"/>
                <w:sz w:val="22"/>
                <w:szCs w:val="22"/>
              </w:rPr>
              <w:t> </w:t>
            </w:r>
            <w:r w:rsidRPr="00416435">
              <w:rPr>
                <w:color w:val="auto"/>
                <w:sz w:val="22"/>
                <w:szCs w:val="22"/>
              </w:rPr>
              <w:t>806 ārvalstu studentu, kas ir 11% no visiem studentie</w:t>
            </w:r>
            <w:r w:rsidR="003A7670">
              <w:rPr>
                <w:color w:val="auto"/>
                <w:sz w:val="22"/>
                <w:szCs w:val="22"/>
              </w:rPr>
              <w:t>m, pieaugums ir bijis būtisks (</w:t>
            </w:r>
            <w:r w:rsidRPr="00416435">
              <w:rPr>
                <w:color w:val="auto"/>
                <w:sz w:val="22"/>
                <w:szCs w:val="22"/>
              </w:rPr>
              <w:t>2009./2010.studiju gadā LV bija 1</w:t>
            </w:r>
            <w:r w:rsidR="006D5490">
              <w:rPr>
                <w:color w:val="auto"/>
                <w:sz w:val="22"/>
                <w:szCs w:val="22"/>
              </w:rPr>
              <w:t> </w:t>
            </w:r>
            <w:bookmarkStart w:id="36" w:name="_GoBack"/>
            <w:bookmarkEnd w:id="36"/>
            <w:r w:rsidRPr="00416435">
              <w:rPr>
                <w:color w:val="auto"/>
                <w:sz w:val="22"/>
                <w:szCs w:val="22"/>
              </w:rPr>
              <w:t>715 ārvalstu studenti, kas sastādīja tikai 2% no studējošā kopskaita).</w:t>
            </w:r>
          </w:p>
          <w:p w14:paraId="379983D1" w14:textId="77777777" w:rsidR="00190347" w:rsidRPr="00416435"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auto"/>
                <w:sz w:val="22"/>
                <w:szCs w:val="22"/>
              </w:rPr>
            </w:pPr>
            <w:r w:rsidRPr="00416435">
              <w:rPr>
                <w:color w:val="auto"/>
                <w:sz w:val="22"/>
                <w:szCs w:val="22"/>
              </w:rPr>
              <w:t>Latvijas valsts stipendijas ir viens no instrumentiem ārvalstu studentu piesaistīšanai. 2018./2019. mācību gadam Latvijas valsts stipendijas piešķīra 28 pētniekiem (no 80 pieteicējiem) un 90 studentiem (no 331 pieteicējiem), kā arī 7 vasaras skolām, kuras notika Latvijas augstskolās, piešķirot 71 stipendijas ārvalstniekiem. Kopā pa visiem stipendiju veidiem ārzemniekiem ir piešķirtas 189 Latvijas valsts stipendijas.</w:t>
            </w:r>
          </w:p>
          <w:p w14:paraId="1762BD26" w14:textId="77777777" w:rsidR="00AF59B8" w:rsidRPr="00482AA0" w:rsidRDefault="00190347" w:rsidP="00190347">
            <w:pPr>
              <w:spacing w:after="0"/>
              <w:cnfStyle w:val="000000100000" w:firstRow="0" w:lastRow="0" w:firstColumn="0" w:lastColumn="0" w:oddVBand="0" w:evenVBand="0" w:oddHBand="1" w:evenHBand="0" w:firstRowFirstColumn="0" w:firstRowLastColumn="0" w:lastRowFirstColumn="0" w:lastRowLastColumn="0"/>
              <w:rPr>
                <w:color w:val="000000" w:themeColor="text1"/>
                <w:sz w:val="22"/>
                <w:szCs w:val="22"/>
                <w:highlight w:val="green"/>
              </w:rPr>
            </w:pPr>
            <w:r w:rsidRPr="00416435">
              <w:rPr>
                <w:color w:val="auto"/>
                <w:sz w:val="22"/>
                <w:szCs w:val="22"/>
              </w:rPr>
              <w:t>IZM ir izstrādājusi nosacījumus labajai praksei ārvalstu studējošo piesaistē un studiju nodrošināšanā. Nosacījumi paredz izglītības kvalitāti kā galveno labās prakses principu. Ar šo vienošanos augstākās izglītības iestādes apņemsies nodrošināt kvalitatīvu studiju pieredzi visiem studējošajiem, stiprināt Latvijas augstākās izglītības un valsts reputāciju. Tikai tām augstākās izglītības iestādēm, kas parakstīs vienošanos un to ievēros, turpmāk tiks nodrošinātas iespējas piedalīties par valsts budžeta līdzekļiem organizētajos izglītības eksporta veicināšanas pasākumos, tostarp ārvalstu vizītēs, kā arī izstādēs un mārketinga pasākumos un ārējo tirgu apguvē. Vienošanos par labu praksi ārvalstu studējošo piesaistē ir parakstījušas vadošās Latvijas augstskolas.</w:t>
            </w:r>
          </w:p>
        </w:tc>
      </w:tr>
      <w:tr w:rsidR="00AF59B8" w:rsidRPr="00482AA0" w14:paraId="07B27365" w14:textId="77777777" w:rsidTr="006A7563">
        <w:tc>
          <w:tcPr>
            <w:cnfStyle w:val="001000000000" w:firstRow="0" w:lastRow="0" w:firstColumn="1" w:lastColumn="0" w:oddVBand="0" w:evenVBand="0" w:oddHBand="0" w:evenHBand="0" w:firstRowFirstColumn="0" w:firstRowLastColumn="0" w:lastRowFirstColumn="0" w:lastRowLastColumn="0"/>
            <w:tcW w:w="2122" w:type="dxa"/>
          </w:tcPr>
          <w:p w14:paraId="71C526F6" w14:textId="77777777" w:rsidR="00AF59B8" w:rsidRPr="00482AA0" w:rsidRDefault="00AF59B8" w:rsidP="006A7563">
            <w:pPr>
              <w:ind w:firstLine="0"/>
              <w:rPr>
                <w:b w:val="0"/>
                <w:color w:val="000000" w:themeColor="text1"/>
                <w:sz w:val="22"/>
                <w:szCs w:val="22"/>
              </w:rPr>
            </w:pPr>
            <w:r w:rsidRPr="00482AA0">
              <w:rPr>
                <w:color w:val="000000" w:themeColor="text1"/>
                <w:sz w:val="22"/>
                <w:szCs w:val="22"/>
              </w:rPr>
              <w:lastRenderedPageBreak/>
              <w:t>Nacionālais nabadzības mērķis (21,0%)</w:t>
            </w:r>
          </w:p>
        </w:tc>
        <w:tc>
          <w:tcPr>
            <w:tcW w:w="3827" w:type="dxa"/>
          </w:tcPr>
          <w:p w14:paraId="3374AA39" w14:textId="77777777" w:rsidR="00AF59B8" w:rsidRPr="005119CA" w:rsidRDefault="00AF59B8" w:rsidP="00AF59B8">
            <w:pPr>
              <w:pStyle w:val="ListParagraph"/>
              <w:numPr>
                <w:ilvl w:val="0"/>
                <w:numId w:val="4"/>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Ienākumu nevienlīdzības samazināšana;</w:t>
            </w:r>
          </w:p>
          <w:p w14:paraId="1DB3141E" w14:textId="77777777" w:rsidR="00AF59B8" w:rsidRPr="005119CA" w:rsidRDefault="00AF59B8" w:rsidP="00AF59B8">
            <w:pPr>
              <w:pStyle w:val="ListParagraph"/>
              <w:numPr>
                <w:ilvl w:val="0"/>
                <w:numId w:val="4"/>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Nabadzības un sociālās atstumtības riskam pakļauto personu līdzdalības darba tirgū veicināšana;</w:t>
            </w:r>
          </w:p>
          <w:p w14:paraId="7A177A58" w14:textId="77777777" w:rsidR="00AF59B8" w:rsidRPr="005119CA" w:rsidRDefault="00AF59B8" w:rsidP="00AF59B8">
            <w:pPr>
              <w:pStyle w:val="ListParagraph"/>
              <w:numPr>
                <w:ilvl w:val="0"/>
                <w:numId w:val="4"/>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2"/>
              </w:rPr>
            </w:pPr>
            <w:r w:rsidRPr="005119CA">
              <w:rPr>
                <w:rFonts w:ascii="Times New Roman" w:hAnsi="Times New Roman"/>
                <w:color w:val="000000" w:themeColor="text1"/>
                <w:szCs w:val="22"/>
              </w:rPr>
              <w:t>Diskriminācijas draudu un stereotipu mazināšana, kā arī pilsoniskās līdzdalības veicināšana.</w:t>
            </w:r>
          </w:p>
        </w:tc>
        <w:tc>
          <w:tcPr>
            <w:tcW w:w="8647" w:type="dxa"/>
          </w:tcPr>
          <w:p w14:paraId="71BD6BB1" w14:textId="77777777" w:rsidR="00AF59B8" w:rsidRPr="00482AA0" w:rsidRDefault="00AF59B8" w:rsidP="00AF59B8">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82AA0">
              <w:rPr>
                <w:color w:val="000000" w:themeColor="text1"/>
                <w:sz w:val="22"/>
                <w:szCs w:val="22"/>
              </w:rPr>
              <w:t>Skat. NRP un CSR2.</w:t>
            </w:r>
          </w:p>
          <w:p w14:paraId="0AD94A88" w14:textId="77777777" w:rsidR="00AF59B8" w:rsidRPr="00482AA0" w:rsidRDefault="00AF59B8" w:rsidP="00AF59B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82AA0">
              <w:rPr>
                <w:color w:val="000000" w:themeColor="text1"/>
                <w:sz w:val="22"/>
                <w:szCs w:val="22"/>
              </w:rPr>
              <w:t xml:space="preserve">Lai mazinātu nabadzības un sociālās atstumtības risku institūcijās dzīvojošiem bērniem un veicinātu bērnu augšanu ģimenē, 2019.gada budžeta projektā ir paredzēts jauns atbalsta veids personām, kuras adoptējušas bērnu, līdz bērna 18 gadu vecuma sasniegšanai </w:t>
            </w:r>
            <w:r w:rsidR="00A67950">
              <w:rPr>
                <w:color w:val="000000" w:themeColor="text1"/>
                <w:sz w:val="22"/>
                <w:szCs w:val="22"/>
              </w:rPr>
              <w:t>–</w:t>
            </w:r>
            <w:r w:rsidRPr="00482AA0">
              <w:rPr>
                <w:color w:val="000000" w:themeColor="text1"/>
                <w:sz w:val="22"/>
                <w:szCs w:val="22"/>
              </w:rPr>
              <w:t xml:space="preserve"> ikmēneša pabalsts minimālo uzturlīdzekļu apmērā (107,50 </w:t>
            </w:r>
            <w:r w:rsidRPr="00482AA0">
              <w:rPr>
                <w:i/>
                <w:color w:val="000000" w:themeColor="text1"/>
                <w:sz w:val="22"/>
                <w:szCs w:val="22"/>
                <w:shd w:val="clear" w:color="auto" w:fill="FFFFFF"/>
              </w:rPr>
              <w:t>euro</w:t>
            </w:r>
            <w:r w:rsidRPr="00482AA0">
              <w:rPr>
                <w:color w:val="000000" w:themeColor="text1"/>
                <w:sz w:val="22"/>
                <w:szCs w:val="22"/>
              </w:rPr>
              <w:t xml:space="preserve"> mēnesī par bērnu līdz 6 gadiem (ieskaitot) un 129 </w:t>
            </w:r>
            <w:r w:rsidRPr="00482AA0">
              <w:rPr>
                <w:i/>
                <w:color w:val="000000" w:themeColor="text1"/>
                <w:sz w:val="22"/>
                <w:szCs w:val="22"/>
                <w:shd w:val="clear" w:color="auto" w:fill="FFFFFF"/>
              </w:rPr>
              <w:t>euro</w:t>
            </w:r>
            <w:r w:rsidRPr="00482AA0">
              <w:rPr>
                <w:color w:val="000000" w:themeColor="text1"/>
                <w:sz w:val="22"/>
                <w:szCs w:val="22"/>
              </w:rPr>
              <w:t xml:space="preserve"> mēnesī par bērnu vecumā no 7</w:t>
            </w:r>
            <w:r w:rsidR="00A67950">
              <w:rPr>
                <w:color w:val="000000" w:themeColor="text1"/>
                <w:sz w:val="22"/>
                <w:szCs w:val="22"/>
              </w:rPr>
              <w:t>–</w:t>
            </w:r>
            <w:r w:rsidRPr="00482AA0">
              <w:rPr>
                <w:color w:val="000000" w:themeColor="text1"/>
                <w:sz w:val="22"/>
                <w:szCs w:val="22"/>
              </w:rPr>
              <w:t>18 gadiem). Pabalsta piešķiršana plānota no 2019.gada 1.jūlija.</w:t>
            </w:r>
          </w:p>
          <w:p w14:paraId="4D0D062B" w14:textId="77777777" w:rsidR="00AF59B8" w:rsidRPr="00482AA0" w:rsidRDefault="00AF59B8" w:rsidP="00AF59B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82AA0">
              <w:rPr>
                <w:color w:val="000000" w:themeColor="text1"/>
                <w:sz w:val="22"/>
                <w:szCs w:val="22"/>
              </w:rPr>
              <w:t xml:space="preserve">Papildu plānotais valsts budžeta finansējums: 2019.gadā </w:t>
            </w:r>
            <w:r w:rsidR="00A67950">
              <w:rPr>
                <w:color w:val="000000" w:themeColor="text1"/>
                <w:sz w:val="22"/>
                <w:szCs w:val="22"/>
              </w:rPr>
              <w:t>–</w:t>
            </w:r>
            <w:r w:rsidRPr="00482AA0">
              <w:rPr>
                <w:color w:val="000000" w:themeColor="text1"/>
                <w:sz w:val="22"/>
                <w:szCs w:val="22"/>
              </w:rPr>
              <w:t xml:space="preserve"> 927</w:t>
            </w:r>
            <w:r w:rsidR="00895192">
              <w:rPr>
                <w:color w:val="000000" w:themeColor="text1"/>
                <w:sz w:val="22"/>
                <w:szCs w:val="22"/>
              </w:rPr>
              <w:t> </w:t>
            </w:r>
            <w:r w:rsidRPr="00482AA0">
              <w:rPr>
                <w:color w:val="000000" w:themeColor="text1"/>
                <w:sz w:val="22"/>
                <w:szCs w:val="22"/>
              </w:rPr>
              <w:t xml:space="preserve">225 </w:t>
            </w:r>
            <w:r w:rsidRPr="00482AA0">
              <w:rPr>
                <w:i/>
                <w:color w:val="000000" w:themeColor="text1"/>
                <w:sz w:val="22"/>
                <w:szCs w:val="22"/>
                <w:shd w:val="clear" w:color="auto" w:fill="FFFFFF"/>
              </w:rPr>
              <w:t>euro</w:t>
            </w:r>
            <w:r w:rsidRPr="00482AA0">
              <w:rPr>
                <w:color w:val="000000" w:themeColor="text1"/>
                <w:sz w:val="22"/>
                <w:szCs w:val="22"/>
              </w:rPr>
              <w:t>, 2020.gadā un turpmāk ik gadu</w:t>
            </w:r>
            <w:r w:rsidR="00E026EA">
              <w:rPr>
                <w:color w:val="000000" w:themeColor="text1"/>
                <w:sz w:val="22"/>
                <w:szCs w:val="22"/>
              </w:rPr>
              <w:t xml:space="preserve"> </w:t>
            </w:r>
            <w:r w:rsidR="00A67950">
              <w:rPr>
                <w:color w:val="000000" w:themeColor="text1"/>
                <w:sz w:val="22"/>
                <w:szCs w:val="22"/>
              </w:rPr>
              <w:t>–</w:t>
            </w:r>
            <w:r w:rsidRPr="00482AA0">
              <w:rPr>
                <w:color w:val="000000" w:themeColor="text1"/>
                <w:sz w:val="22"/>
                <w:szCs w:val="22"/>
              </w:rPr>
              <w:t xml:space="preserve"> 1</w:t>
            </w:r>
            <w:r>
              <w:rPr>
                <w:color w:val="000000" w:themeColor="text1"/>
                <w:sz w:val="22"/>
                <w:szCs w:val="22"/>
              </w:rPr>
              <w:t> </w:t>
            </w:r>
            <w:r w:rsidRPr="00482AA0">
              <w:rPr>
                <w:color w:val="000000" w:themeColor="text1"/>
                <w:sz w:val="22"/>
                <w:szCs w:val="22"/>
              </w:rPr>
              <w:t xml:space="preserve">854 450 </w:t>
            </w:r>
            <w:r w:rsidRPr="00482AA0">
              <w:rPr>
                <w:i/>
                <w:color w:val="000000" w:themeColor="text1"/>
                <w:sz w:val="22"/>
                <w:szCs w:val="22"/>
                <w:shd w:val="clear" w:color="auto" w:fill="FFFFFF"/>
              </w:rPr>
              <w:t>euro</w:t>
            </w:r>
            <w:r w:rsidRPr="00482AA0">
              <w:rPr>
                <w:color w:val="000000" w:themeColor="text1"/>
                <w:sz w:val="22"/>
                <w:szCs w:val="22"/>
              </w:rPr>
              <w:t>.</w:t>
            </w:r>
          </w:p>
        </w:tc>
      </w:tr>
    </w:tbl>
    <w:p w14:paraId="6401A003" w14:textId="77777777" w:rsidR="005119CA" w:rsidRPr="00482AA0" w:rsidRDefault="005119CA" w:rsidP="005119CA">
      <w:pPr>
        <w:rPr>
          <w:b/>
          <w:bCs/>
          <w:color w:val="000000" w:themeColor="text1"/>
          <w:sz w:val="22"/>
        </w:rPr>
      </w:pPr>
    </w:p>
    <w:p w14:paraId="2D648761" w14:textId="77777777" w:rsidR="005119CA" w:rsidRDefault="005119CA">
      <w:pPr>
        <w:spacing w:after="0"/>
        <w:ind w:firstLine="0"/>
        <w:jc w:val="left"/>
        <w:rPr>
          <w:color w:val="18185F"/>
        </w:rPr>
        <w:sectPr w:rsidR="005119CA" w:rsidSect="005119CA">
          <w:pgSz w:w="16838" w:h="11906" w:orient="landscape"/>
          <w:pgMar w:top="1701" w:right="1418" w:bottom="1134" w:left="709" w:header="1077" w:footer="624" w:gutter="0"/>
          <w:cols w:space="708"/>
          <w:docGrid w:linePitch="360"/>
        </w:sectPr>
      </w:pPr>
    </w:p>
    <w:bookmarkEnd w:id="19"/>
    <w:p w14:paraId="04AA6A7C" w14:textId="77777777" w:rsidR="00DC0CB0" w:rsidRDefault="00DC0CB0" w:rsidP="00DC0CB0">
      <w:pPr>
        <w:spacing w:after="0"/>
        <w:rPr>
          <w:color w:val="000000" w:themeColor="text1"/>
          <w:szCs w:val="24"/>
        </w:rPr>
      </w:pPr>
      <w:r w:rsidRPr="00815EAE">
        <w:rPr>
          <w:color w:val="000000" w:themeColor="text1"/>
          <w:szCs w:val="24"/>
        </w:rPr>
        <w:lastRenderedPageBreak/>
        <w:t xml:space="preserve">Finanšu </w:t>
      </w:r>
      <w:r>
        <w:rPr>
          <w:color w:val="000000" w:themeColor="text1"/>
          <w:szCs w:val="24"/>
        </w:rPr>
        <w:t xml:space="preserve">ministrija ir aktualizējusi vispārējās valdības budžeta bilances novērtējumu 2018.gadam, ņemot vērā Valsts kases datus par pagājušā gada kopbudžeta izpildi. </w:t>
      </w:r>
      <w:r>
        <w:rPr>
          <w:b/>
          <w:color w:val="000000" w:themeColor="text1"/>
          <w:szCs w:val="24"/>
        </w:rPr>
        <w:t>2018.</w:t>
      </w:r>
      <w:r w:rsidRPr="00E16293">
        <w:rPr>
          <w:b/>
          <w:color w:val="000000" w:themeColor="text1"/>
          <w:szCs w:val="24"/>
        </w:rPr>
        <w:t>gadā</w:t>
      </w:r>
      <w:r>
        <w:rPr>
          <w:color w:val="000000" w:themeColor="text1"/>
          <w:szCs w:val="24"/>
        </w:rPr>
        <w:t xml:space="preserve"> </w:t>
      </w:r>
      <w:r w:rsidRPr="00595F5B">
        <w:rPr>
          <w:color w:val="000000" w:themeColor="text1"/>
          <w:szCs w:val="24"/>
        </w:rPr>
        <w:t xml:space="preserve">vispārējās valdības budžeta deficīts bija </w:t>
      </w:r>
      <w:r w:rsidRPr="008F4EFC">
        <w:rPr>
          <w:b/>
          <w:color w:val="000000" w:themeColor="text1"/>
          <w:szCs w:val="24"/>
        </w:rPr>
        <w:t>0,7% no IKP</w:t>
      </w:r>
      <w:r>
        <w:rPr>
          <w:color w:val="000000" w:themeColor="text1"/>
          <w:szCs w:val="24"/>
        </w:rPr>
        <w:t xml:space="preserve">. </w:t>
      </w:r>
      <w:r w:rsidRPr="00E16293">
        <w:rPr>
          <w:color w:val="000000" w:themeColor="text1"/>
          <w:szCs w:val="24"/>
        </w:rPr>
        <w:t xml:space="preserve">Novērtētais deficīts ir </w:t>
      </w:r>
      <w:r>
        <w:rPr>
          <w:color w:val="000000" w:themeColor="text1"/>
          <w:szCs w:val="24"/>
        </w:rPr>
        <w:t xml:space="preserve">ievērojami </w:t>
      </w:r>
      <w:r w:rsidRPr="00E16293">
        <w:rPr>
          <w:color w:val="000000" w:themeColor="text1"/>
          <w:szCs w:val="24"/>
        </w:rPr>
        <w:t>zemāks nekā likumā “Par vidējā termiņa budžeta ietvaru 2018., 2019. un 2020.gadam” noteiktais pieļaujamais vispārējās valdības</w:t>
      </w:r>
      <w:r>
        <w:rPr>
          <w:color w:val="000000" w:themeColor="text1"/>
          <w:szCs w:val="24"/>
        </w:rPr>
        <w:t xml:space="preserve"> budžeta deficīts 1,0% no IKP, kā arī </w:t>
      </w:r>
      <w:r w:rsidRPr="000E5A0F">
        <w:rPr>
          <w:bCs/>
          <w:szCs w:val="24"/>
          <w:shd w:val="clear" w:color="auto" w:fill="FFFFFF"/>
        </w:rPr>
        <w:t>zemāks nekā tika prognozēts Stabilitātes programmā 2018.</w:t>
      </w:r>
      <w:r w:rsidRPr="000E5A0F">
        <w:rPr>
          <w:szCs w:val="24"/>
        </w:rPr>
        <w:t>–</w:t>
      </w:r>
      <w:r w:rsidRPr="000E5A0F">
        <w:rPr>
          <w:bCs/>
          <w:szCs w:val="24"/>
          <w:shd w:val="clear" w:color="auto" w:fill="FFFFFF"/>
        </w:rPr>
        <w:t>2021.gadam (0,9% no IKP).</w:t>
      </w:r>
    </w:p>
    <w:p w14:paraId="18C3CD26" w14:textId="77777777" w:rsidR="00DC0CB0" w:rsidRPr="00815EAE" w:rsidRDefault="00DC0CB0" w:rsidP="00DC0CB0">
      <w:pPr>
        <w:spacing w:after="0"/>
        <w:rPr>
          <w:color w:val="000000" w:themeColor="text1"/>
          <w:szCs w:val="24"/>
        </w:rPr>
      </w:pPr>
      <w:r>
        <w:rPr>
          <w:color w:val="000000" w:themeColor="text1"/>
          <w:szCs w:val="24"/>
        </w:rPr>
        <w:t>Neskatoties uz būtisku budžeta izdevumu pieaugumu ES fondu projektiem, tai skaitā pašvaldību budžetos, mazāku budžeta deficītu nekā plānots pamatā veicināja lielāki nodokļu ieņēmumi</w:t>
      </w:r>
      <w:r w:rsidRPr="00AE03D8">
        <w:rPr>
          <w:color w:val="000000" w:themeColor="text1"/>
          <w:szCs w:val="24"/>
        </w:rPr>
        <w:t>. Lielākā plāna</w:t>
      </w:r>
      <w:r w:rsidRPr="00AE03D8">
        <w:rPr>
          <w:noProof/>
          <w:color w:val="000000" w:themeColor="text1"/>
          <w:szCs w:val="24"/>
        </w:rPr>
        <w:t xml:space="preserve"> pārpilde</w:t>
      </w:r>
      <w:r w:rsidRPr="00AE03D8">
        <w:rPr>
          <w:color w:val="000000" w:themeColor="text1"/>
          <w:szCs w:val="24"/>
        </w:rPr>
        <w:t xml:space="preserve"> 2018.gadā</w:t>
      </w:r>
      <w:r>
        <w:rPr>
          <w:color w:val="000000" w:themeColor="text1"/>
          <w:szCs w:val="24"/>
        </w:rPr>
        <w:t xml:space="preserve"> bija</w:t>
      </w:r>
      <w:r w:rsidRPr="00AE03D8">
        <w:rPr>
          <w:color w:val="000000" w:themeColor="text1"/>
          <w:szCs w:val="24"/>
        </w:rPr>
        <w:t xml:space="preserve"> vērojama uzņēmumu ienākuma nodokļa ieņēmumos, kas skaidrojama ar iemaksu straujāku kāpumu pēc deklarāciju datiem par 2017.gada rezultātiem.</w:t>
      </w:r>
      <w:r>
        <w:rPr>
          <w:color w:val="000000" w:themeColor="text1"/>
          <w:szCs w:val="24"/>
        </w:rPr>
        <w:t xml:space="preserve"> Lai gan mazākā apmērā, bet plāns tika pārsniegts</w:t>
      </w:r>
      <w:r w:rsidRPr="00AE03D8">
        <w:rPr>
          <w:color w:val="000000" w:themeColor="text1"/>
          <w:szCs w:val="24"/>
        </w:rPr>
        <w:t xml:space="preserve"> arī </w:t>
      </w:r>
      <w:r>
        <w:rPr>
          <w:color w:val="000000" w:themeColor="text1"/>
          <w:szCs w:val="24"/>
        </w:rPr>
        <w:t xml:space="preserve">sociālās apdrošināšanas iemaksu ieņēmumiem, </w:t>
      </w:r>
      <w:r w:rsidR="00BB535C">
        <w:rPr>
          <w:color w:val="000000" w:themeColor="text1"/>
          <w:szCs w:val="24"/>
        </w:rPr>
        <w:t>PVN</w:t>
      </w:r>
      <w:r>
        <w:rPr>
          <w:color w:val="000000" w:themeColor="text1"/>
          <w:szCs w:val="24"/>
        </w:rPr>
        <w:t xml:space="preserve"> un </w:t>
      </w:r>
      <w:r w:rsidRPr="00AE03D8">
        <w:rPr>
          <w:color w:val="000000" w:themeColor="text1"/>
          <w:szCs w:val="24"/>
        </w:rPr>
        <w:t>akcīzes nodokļa ieņēmumiem</w:t>
      </w:r>
      <w:r>
        <w:rPr>
          <w:color w:val="000000" w:themeColor="text1"/>
          <w:szCs w:val="24"/>
        </w:rPr>
        <w:t>. Jāatzīmē, ka 2018.</w:t>
      </w:r>
      <w:r w:rsidRPr="00AE03D8">
        <w:rPr>
          <w:color w:val="000000" w:themeColor="text1"/>
          <w:szCs w:val="24"/>
        </w:rPr>
        <w:t xml:space="preserve">gadā </w:t>
      </w:r>
      <w:r>
        <w:rPr>
          <w:color w:val="000000" w:themeColor="text1"/>
          <w:szCs w:val="24"/>
        </w:rPr>
        <w:t xml:space="preserve">valsts speciālā budžeta izdevumi tika veikti mazākā apjomā nekā plānots, pamatā </w:t>
      </w:r>
      <w:r w:rsidRPr="00EC544D">
        <w:rPr>
          <w:color w:val="000000" w:themeColor="text1"/>
          <w:szCs w:val="24"/>
        </w:rPr>
        <w:t>ņemot vērā</w:t>
      </w:r>
      <w:r>
        <w:rPr>
          <w:color w:val="000000" w:themeColor="text1"/>
          <w:szCs w:val="24"/>
        </w:rPr>
        <w:t xml:space="preserve"> to, ka faktiskais slimības, bezdarbnieka un vecāku pabalstu saņēmēju skaits bija mazāks nekā plānots. </w:t>
      </w:r>
    </w:p>
    <w:p w14:paraId="2AA1E3D4" w14:textId="77777777" w:rsidR="00DC0CB0" w:rsidRPr="00E16293" w:rsidRDefault="00DC0CB0" w:rsidP="00DC0CB0">
      <w:pPr>
        <w:spacing w:after="0"/>
        <w:rPr>
          <w:color w:val="000000" w:themeColor="text1"/>
          <w:szCs w:val="24"/>
        </w:rPr>
      </w:pPr>
      <w:r w:rsidRPr="00E16293">
        <w:rPr>
          <w:color w:val="000000" w:themeColor="text1"/>
          <w:szCs w:val="24"/>
        </w:rPr>
        <w:t xml:space="preserve">Turklāt 2018.gada </w:t>
      </w:r>
      <w:r>
        <w:rPr>
          <w:color w:val="000000" w:themeColor="text1"/>
          <w:szCs w:val="24"/>
        </w:rPr>
        <w:t xml:space="preserve">vispārējās valdības budžeta </w:t>
      </w:r>
      <w:r w:rsidRPr="00E16293">
        <w:rPr>
          <w:color w:val="000000" w:themeColor="text1"/>
          <w:szCs w:val="24"/>
        </w:rPr>
        <w:t>deficīts bija nedaudz zemāks nekā tika prognozēts 2018.gada septembra beigās</w:t>
      </w:r>
      <w:r>
        <w:rPr>
          <w:color w:val="000000" w:themeColor="text1"/>
          <w:szCs w:val="24"/>
        </w:rPr>
        <w:t xml:space="preserve"> (0,8% no IKP)</w:t>
      </w:r>
      <w:r w:rsidRPr="00E16293">
        <w:rPr>
          <w:color w:val="000000" w:themeColor="text1"/>
          <w:szCs w:val="24"/>
        </w:rPr>
        <w:t>, veidojot Budžeta pl</w:t>
      </w:r>
      <w:r>
        <w:rPr>
          <w:color w:val="000000" w:themeColor="text1"/>
          <w:szCs w:val="24"/>
        </w:rPr>
        <w:t xml:space="preserve">āna projektu 2019.gadam iesniegšanai </w:t>
      </w:r>
      <w:r w:rsidR="00430175">
        <w:rPr>
          <w:color w:val="000000" w:themeColor="text1"/>
          <w:szCs w:val="24"/>
        </w:rPr>
        <w:t>EK</w:t>
      </w:r>
      <w:r>
        <w:rPr>
          <w:color w:val="000000" w:themeColor="text1"/>
          <w:szCs w:val="24"/>
        </w:rPr>
        <w:t xml:space="preserve"> 15.10.2018. To pamatā sekmēja nedaudz lielāki nodokļu ieņēmumi</w:t>
      </w:r>
      <w:r w:rsidRPr="00F17266">
        <w:rPr>
          <w:color w:val="000000" w:themeColor="text1"/>
          <w:szCs w:val="24"/>
        </w:rPr>
        <w:t xml:space="preserve"> </w:t>
      </w:r>
      <w:r>
        <w:rPr>
          <w:color w:val="000000" w:themeColor="text1"/>
          <w:szCs w:val="24"/>
        </w:rPr>
        <w:t>gada pēdējos mēnešos nekā prognozēts, kā arī to atspoguļojums atbilstoši EKS metodoloģijai.</w:t>
      </w:r>
    </w:p>
    <w:p w14:paraId="1FADF843" w14:textId="77777777" w:rsidR="00DC0CB0" w:rsidRPr="008F6119" w:rsidRDefault="00DC0CB0" w:rsidP="00DC0CB0">
      <w:pPr>
        <w:spacing w:after="0"/>
        <w:rPr>
          <w:color w:val="000000" w:themeColor="text1"/>
          <w:szCs w:val="24"/>
        </w:rPr>
      </w:pPr>
      <w:r w:rsidRPr="00EC1B76">
        <w:rPr>
          <w:color w:val="000000" w:themeColor="text1"/>
          <w:szCs w:val="24"/>
        </w:rPr>
        <w:t xml:space="preserve">Vēršam uzmanību, ka </w:t>
      </w:r>
      <w:r>
        <w:rPr>
          <w:color w:val="000000" w:themeColor="text1"/>
          <w:szCs w:val="24"/>
        </w:rPr>
        <w:t xml:space="preserve">pilnos faktiskos datus par vispārējās valdības budžeta deficītu 2018.gadā </w:t>
      </w:r>
      <w:r w:rsidR="00430175">
        <w:rPr>
          <w:color w:val="000000" w:themeColor="text1"/>
          <w:szCs w:val="24"/>
        </w:rPr>
        <w:t>CSP</w:t>
      </w:r>
      <w:r>
        <w:rPr>
          <w:color w:val="000000" w:themeColor="text1"/>
          <w:szCs w:val="24"/>
        </w:rPr>
        <w:t xml:space="preserve"> publicēs 2019.gada aprīlī, sagatavojot </w:t>
      </w:r>
      <w:r w:rsidRPr="008F4EFC">
        <w:rPr>
          <w:color w:val="000000" w:themeColor="text1"/>
          <w:szCs w:val="24"/>
        </w:rPr>
        <w:t xml:space="preserve">Vispārējās valdības budžeta deficīta un parāda notifikāciju </w:t>
      </w:r>
      <w:r>
        <w:rPr>
          <w:color w:val="000000" w:themeColor="text1"/>
          <w:szCs w:val="24"/>
        </w:rPr>
        <w:t xml:space="preserve">un iesniedzot to </w:t>
      </w:r>
      <w:r w:rsidRPr="0001357D">
        <w:rPr>
          <w:i/>
          <w:color w:val="000000" w:themeColor="text1"/>
          <w:szCs w:val="24"/>
        </w:rPr>
        <w:t>Eurostat</w:t>
      </w:r>
      <w:r w:rsidRPr="008F6119">
        <w:rPr>
          <w:color w:val="000000" w:themeColor="text1"/>
          <w:szCs w:val="24"/>
        </w:rPr>
        <w:fldChar w:fldCharType="begin"/>
      </w:r>
      <w:r w:rsidRPr="008F6119">
        <w:rPr>
          <w:color w:val="000000" w:themeColor="text1"/>
          <w:szCs w:val="24"/>
        </w:rPr>
        <w:instrText xml:space="preserve"> HYPERLINK "https://www.csb.gov.lv/lv/statistika/statistikas-temas/ekonomika/valdibas-finanses/notifikacija" </w:instrText>
      </w:r>
      <w:r w:rsidRPr="008F6119">
        <w:rPr>
          <w:color w:val="000000" w:themeColor="text1"/>
          <w:szCs w:val="24"/>
        </w:rPr>
        <w:fldChar w:fldCharType="separate"/>
      </w:r>
      <w:r>
        <w:rPr>
          <w:color w:val="000000" w:themeColor="text1"/>
          <w:szCs w:val="24"/>
        </w:rPr>
        <w:t>.</w:t>
      </w:r>
      <w:r w:rsidRPr="0001357D">
        <w:t xml:space="preserve"> </w:t>
      </w:r>
      <w:r w:rsidRPr="004C6E76">
        <w:t xml:space="preserve">Tad būs </w:t>
      </w:r>
      <w:r>
        <w:rPr>
          <w:szCs w:val="24"/>
          <w:lang w:eastAsia="lv-LV"/>
        </w:rPr>
        <w:t>apkopoti</w:t>
      </w:r>
      <w:r w:rsidRPr="004C6E76">
        <w:rPr>
          <w:szCs w:val="24"/>
          <w:lang w:eastAsia="lv-LV"/>
        </w:rPr>
        <w:t xml:space="preserve"> visi vispārējās valdības sektora darījumi</w:t>
      </w:r>
      <w:r>
        <w:rPr>
          <w:szCs w:val="24"/>
          <w:lang w:eastAsia="lv-LV"/>
        </w:rPr>
        <w:t>, tai skaitā vispārējās valdības komersantu darbības rezultāti, kā arī dati par kopbudžetā uzkrātajām saistībām un prasībām.</w:t>
      </w:r>
    </w:p>
    <w:p w14:paraId="7019D750" w14:textId="77777777" w:rsidR="00DC0CB0" w:rsidRDefault="00DC0CB0" w:rsidP="00DC0CB0">
      <w:pPr>
        <w:spacing w:after="0"/>
        <w:rPr>
          <w:color w:val="000000" w:themeColor="text1"/>
          <w:szCs w:val="24"/>
        </w:rPr>
      </w:pPr>
      <w:r w:rsidRPr="008F6119">
        <w:rPr>
          <w:color w:val="000000" w:themeColor="text1"/>
          <w:szCs w:val="24"/>
        </w:rPr>
        <w:fldChar w:fldCharType="end"/>
      </w:r>
      <w:r>
        <w:rPr>
          <w:b/>
          <w:color w:val="000000" w:themeColor="text1"/>
          <w:szCs w:val="24"/>
        </w:rPr>
        <w:t>2019.</w:t>
      </w:r>
      <w:r w:rsidRPr="00B96BCA">
        <w:rPr>
          <w:b/>
          <w:color w:val="000000" w:themeColor="text1"/>
          <w:szCs w:val="24"/>
        </w:rPr>
        <w:t xml:space="preserve">gadā pieļaujamais </w:t>
      </w:r>
      <w:r w:rsidRPr="00B96BCA">
        <w:rPr>
          <w:color w:val="000000" w:themeColor="text1"/>
          <w:szCs w:val="24"/>
        </w:rPr>
        <w:t xml:space="preserve">vispārējās valdības budžeta deficīts </w:t>
      </w:r>
      <w:r>
        <w:rPr>
          <w:b/>
          <w:color w:val="000000" w:themeColor="text1"/>
          <w:szCs w:val="24"/>
        </w:rPr>
        <w:t>tika noteikts 0,6</w:t>
      </w:r>
      <w:r w:rsidRPr="00B96BCA">
        <w:rPr>
          <w:b/>
          <w:color w:val="000000" w:themeColor="text1"/>
          <w:szCs w:val="24"/>
        </w:rPr>
        <w:t>% no IKP</w:t>
      </w:r>
      <w:r w:rsidRPr="00B96BCA">
        <w:rPr>
          <w:color w:val="000000" w:themeColor="text1"/>
          <w:szCs w:val="24"/>
        </w:rPr>
        <w:t xml:space="preserve"> apmērā. Ņemot vērā plānoto fiskālā nodrošinājuma rezervi, vispārējās valdības budžeta deficīts 2019.gadā </w:t>
      </w:r>
      <w:r w:rsidRPr="00B96BCA">
        <w:rPr>
          <w:b/>
          <w:color w:val="000000" w:themeColor="text1"/>
          <w:szCs w:val="24"/>
        </w:rPr>
        <w:t>tiek plānots</w:t>
      </w:r>
      <w:r w:rsidRPr="00B96BCA">
        <w:rPr>
          <w:color w:val="000000" w:themeColor="text1"/>
          <w:szCs w:val="24"/>
        </w:rPr>
        <w:t xml:space="preserve"> </w:t>
      </w:r>
      <w:r>
        <w:rPr>
          <w:b/>
          <w:color w:val="000000" w:themeColor="text1"/>
          <w:szCs w:val="24"/>
        </w:rPr>
        <w:t>0,5</w:t>
      </w:r>
      <w:r w:rsidRPr="00B96BCA">
        <w:rPr>
          <w:b/>
          <w:color w:val="000000" w:themeColor="text1"/>
          <w:szCs w:val="24"/>
        </w:rPr>
        <w:t>% no IKP</w:t>
      </w:r>
      <w:r w:rsidRPr="00B96BCA">
        <w:rPr>
          <w:color w:val="000000" w:themeColor="text1"/>
          <w:szCs w:val="24"/>
        </w:rPr>
        <w:t xml:space="preserve"> apmērā.</w:t>
      </w:r>
      <w:r w:rsidRPr="00595F5B">
        <w:rPr>
          <w:color w:val="000000" w:themeColor="text1"/>
          <w:szCs w:val="24"/>
        </w:rPr>
        <w:t xml:space="preserve"> </w:t>
      </w:r>
    </w:p>
    <w:p w14:paraId="2A660203" w14:textId="77777777" w:rsidR="00DC0CB0" w:rsidRPr="00595F5B" w:rsidRDefault="00DC0CB0" w:rsidP="00DC0CB0">
      <w:pPr>
        <w:spacing w:after="0"/>
        <w:rPr>
          <w:b/>
          <w:color w:val="000000" w:themeColor="text1"/>
          <w:szCs w:val="24"/>
        </w:rPr>
      </w:pPr>
      <w:r>
        <w:rPr>
          <w:color w:val="000000" w:themeColor="text1"/>
          <w:szCs w:val="24"/>
        </w:rPr>
        <w:t>2019.gada v</w:t>
      </w:r>
      <w:r w:rsidRPr="005F2194">
        <w:rPr>
          <w:color w:val="000000" w:themeColor="text1"/>
          <w:szCs w:val="24"/>
        </w:rPr>
        <w:t>ispārējās valdības budžeta progno</w:t>
      </w:r>
      <w:r>
        <w:rPr>
          <w:color w:val="000000" w:themeColor="text1"/>
          <w:szCs w:val="24"/>
        </w:rPr>
        <w:t>žu</w:t>
      </w:r>
      <w:r w:rsidRPr="005F2194">
        <w:rPr>
          <w:color w:val="000000" w:themeColor="text1"/>
          <w:szCs w:val="24"/>
        </w:rPr>
        <w:t xml:space="preserve"> </w:t>
      </w:r>
      <w:r>
        <w:rPr>
          <w:color w:val="000000" w:themeColor="text1"/>
          <w:szCs w:val="24"/>
        </w:rPr>
        <w:t xml:space="preserve">pamatā ir prognozes, kas ir iekļautas iepriekš </w:t>
      </w:r>
      <w:r w:rsidR="00430175">
        <w:rPr>
          <w:color w:val="000000" w:themeColor="text1"/>
          <w:szCs w:val="24"/>
        </w:rPr>
        <w:t>EK</w:t>
      </w:r>
      <w:r>
        <w:rPr>
          <w:color w:val="000000" w:themeColor="text1"/>
          <w:szCs w:val="24"/>
        </w:rPr>
        <w:t xml:space="preserve"> un Eiro grupai iesniegtajā Budžeta plāna projektā 2019.gadam, kuras ir</w:t>
      </w:r>
      <w:r w:rsidRPr="005F2194">
        <w:rPr>
          <w:noProof/>
          <w:color w:val="000000" w:themeColor="text1"/>
          <w:szCs w:val="24"/>
        </w:rPr>
        <w:t xml:space="preserve"> balstītas </w:t>
      </w:r>
      <w:r>
        <w:rPr>
          <w:noProof/>
          <w:color w:val="000000" w:themeColor="text1"/>
          <w:szCs w:val="24"/>
        </w:rPr>
        <w:t xml:space="preserve">uz </w:t>
      </w:r>
      <w:r w:rsidRPr="005F2194">
        <w:rPr>
          <w:noProof/>
          <w:color w:val="000000" w:themeColor="text1"/>
          <w:szCs w:val="24"/>
        </w:rPr>
        <w:t>makroekonomiskās attīstības scenāriju</w:t>
      </w:r>
      <w:r>
        <w:rPr>
          <w:noProof/>
          <w:color w:val="000000" w:themeColor="text1"/>
          <w:szCs w:val="24"/>
        </w:rPr>
        <w:t>,</w:t>
      </w:r>
      <w:r>
        <w:rPr>
          <w:color w:val="000000" w:themeColor="text1"/>
          <w:szCs w:val="24"/>
        </w:rPr>
        <w:t xml:space="preserve"> kas tika sagatavots 2018.gada septembrī. Budžeta ieņēmumu un izdevumu prognozes tika aktualizētas, ņemot vērā laika posmā no 2018.gada oktobra līdz 2019.gada janvārim pieņemtos lēmumus.</w:t>
      </w:r>
    </w:p>
    <w:p w14:paraId="266800F0" w14:textId="77777777" w:rsidR="00DC0CB0" w:rsidRDefault="00DC0CB0" w:rsidP="00DC0CB0">
      <w:pPr>
        <w:spacing w:after="0"/>
        <w:rPr>
          <w:noProof/>
          <w:color w:val="000000" w:themeColor="text1"/>
          <w:szCs w:val="24"/>
        </w:rPr>
      </w:pPr>
      <w:r w:rsidRPr="00E80F34">
        <w:rPr>
          <w:noProof/>
          <w:color w:val="000000" w:themeColor="text1"/>
          <w:szCs w:val="24"/>
        </w:rPr>
        <w:t>Salīdzinot ar Budžeta plāna projekt</w:t>
      </w:r>
      <w:r>
        <w:rPr>
          <w:noProof/>
          <w:color w:val="000000" w:themeColor="text1"/>
          <w:szCs w:val="24"/>
        </w:rPr>
        <w:t>a 2019.gadam pagājušā gada oktobra versijā iekļauto, vispārējās valdības budžeta izdevumi 2019.gadam ir pieauguši, galvenokārt ņemot vērā: pieņemtos lēmumus 2018.gada nogalē par atalgojuma palielināšanu veselības aprūpes sistēmas darbiniekiem, Satversmes tiesas spriedumu izpildi par atalgojumu tiesniešiem un prokuroriem, kā arī pabalstu izmaksu pēc katriem pieciem izdienas gadiem iekšlietu sistēmas amatpersonām. V</w:t>
      </w:r>
      <w:r w:rsidRPr="008528CD">
        <w:rPr>
          <w:noProof/>
          <w:color w:val="000000" w:themeColor="text1"/>
          <w:szCs w:val="24"/>
        </w:rPr>
        <w:t xml:space="preserve">alsts budžeta izdevumu prognozē </w:t>
      </w:r>
      <w:r>
        <w:rPr>
          <w:noProof/>
          <w:color w:val="000000" w:themeColor="text1"/>
          <w:szCs w:val="24"/>
        </w:rPr>
        <w:t xml:space="preserve">2019.gadam </w:t>
      </w:r>
      <w:r w:rsidRPr="008528CD">
        <w:rPr>
          <w:noProof/>
          <w:color w:val="000000" w:themeColor="text1"/>
          <w:szCs w:val="24"/>
        </w:rPr>
        <w:t>ir ņemts vērā, ka izdevumi aizsardzībai tiek nodrošināti 2% no IKP apmērā</w:t>
      </w:r>
      <w:r>
        <w:rPr>
          <w:noProof/>
          <w:color w:val="000000" w:themeColor="text1"/>
          <w:szCs w:val="24"/>
        </w:rPr>
        <w:t>.</w:t>
      </w:r>
    </w:p>
    <w:p w14:paraId="7EF8B47A" w14:textId="77777777" w:rsidR="00DC0CB0" w:rsidRDefault="00DC0CB0" w:rsidP="00DC0CB0">
      <w:pPr>
        <w:spacing w:after="0"/>
        <w:rPr>
          <w:noProof/>
          <w:color w:val="000000" w:themeColor="text1"/>
          <w:szCs w:val="24"/>
        </w:rPr>
      </w:pPr>
      <w:r>
        <w:rPr>
          <w:noProof/>
          <w:color w:val="000000" w:themeColor="text1"/>
          <w:szCs w:val="24"/>
        </w:rPr>
        <w:t>Savukārt, budžeta ieņēmumu prognoze tika precizēta, ņemot vērā papildus nodokļu ieņēmumus – atgriezenisko efektu no atalgojuma paaugstināšanas iepriekš minētajās nozarēs, papildus ieņēmumus no VAS “Latvijas valsts meži” dividendēm, kā arī, ņemot vērā 2018. gada novembrī valsts budžetā saņemtos ieņēmumus no Latvijai piešķirto emisijas kvotu izsolīšanas, kas atbilstoši EKS principiem tiek attiecināti uz 2019.gada ieņēmumiem.</w:t>
      </w:r>
    </w:p>
    <w:p w14:paraId="26309C7D" w14:textId="77777777" w:rsidR="000124BF" w:rsidRDefault="000124BF" w:rsidP="004171A5">
      <w:pPr>
        <w:pStyle w:val="Heading1"/>
        <w:tabs>
          <w:tab w:val="left" w:pos="1276"/>
        </w:tabs>
        <w:spacing w:before="120" w:after="120"/>
        <w:ind w:left="1276" w:hanging="1276"/>
        <w:jc w:val="left"/>
        <w:rPr>
          <w:rFonts w:ascii="Times New Roman" w:hAnsi="Times New Roman"/>
          <w:color w:val="18185F"/>
          <w:sz w:val="24"/>
        </w:rPr>
      </w:pPr>
    </w:p>
    <w:p w14:paraId="31F03E1A" w14:textId="77777777" w:rsidR="000124BF" w:rsidRDefault="000124BF" w:rsidP="000124BF">
      <w:pPr>
        <w:rPr>
          <w:lang w:val="x-none" w:eastAsia="x-none"/>
        </w:rPr>
      </w:pPr>
    </w:p>
    <w:p w14:paraId="688B4B5A" w14:textId="77777777" w:rsidR="000124BF" w:rsidRPr="000124BF" w:rsidRDefault="000124BF" w:rsidP="000124BF">
      <w:pPr>
        <w:rPr>
          <w:lang w:val="x-none" w:eastAsia="x-none"/>
        </w:rPr>
      </w:pPr>
    </w:p>
    <w:p w14:paraId="42D6A8B7" w14:textId="77777777" w:rsidR="00237652" w:rsidRPr="000D29EE" w:rsidRDefault="00237652" w:rsidP="004171A5">
      <w:pPr>
        <w:pStyle w:val="Heading1"/>
        <w:tabs>
          <w:tab w:val="left" w:pos="1276"/>
        </w:tabs>
        <w:spacing w:before="120" w:after="120"/>
        <w:ind w:left="1276" w:hanging="1276"/>
        <w:jc w:val="left"/>
        <w:rPr>
          <w:rFonts w:ascii="Times New Roman" w:hAnsi="Times New Roman"/>
        </w:rPr>
      </w:pPr>
      <w:bookmarkStart w:id="37" w:name="_Toc1374678"/>
      <w:r w:rsidRPr="00323B3B">
        <w:rPr>
          <w:rFonts w:ascii="Times New Roman" w:hAnsi="Times New Roman"/>
          <w:color w:val="18185F"/>
          <w:sz w:val="24"/>
        </w:rPr>
        <w:lastRenderedPageBreak/>
        <w:t>Tabula 7: Salīdzinājums ar Stabilitātes programmu 201</w:t>
      </w:r>
      <w:r w:rsidR="00BC738C">
        <w:rPr>
          <w:rFonts w:ascii="Times New Roman" w:hAnsi="Times New Roman"/>
          <w:color w:val="18185F"/>
          <w:sz w:val="24"/>
          <w:lang w:val="lv-LV"/>
        </w:rPr>
        <w:t>8</w:t>
      </w:r>
      <w:r w:rsidR="000D29EE" w:rsidRPr="00323B3B">
        <w:rPr>
          <w:rFonts w:ascii="Times New Roman" w:hAnsi="Times New Roman"/>
          <w:color w:val="18185F"/>
          <w:sz w:val="24"/>
          <w:lang w:val="lv-LV"/>
        </w:rPr>
        <w:t>.</w:t>
      </w:r>
      <w:r w:rsidR="00B50DF9">
        <w:rPr>
          <w:szCs w:val="24"/>
        </w:rPr>
        <w:t>–</w:t>
      </w:r>
      <w:r w:rsidR="006B28DB">
        <w:rPr>
          <w:rFonts w:ascii="Times New Roman" w:hAnsi="Times New Roman"/>
          <w:color w:val="18185F"/>
          <w:sz w:val="24"/>
        </w:rPr>
        <w:t>202</w:t>
      </w:r>
      <w:r w:rsidR="00BC738C">
        <w:rPr>
          <w:rFonts w:ascii="Times New Roman" w:hAnsi="Times New Roman"/>
          <w:color w:val="18185F"/>
          <w:sz w:val="24"/>
          <w:lang w:val="lv-LV"/>
        </w:rPr>
        <w:t>1</w:t>
      </w:r>
      <w:r w:rsidR="000D29EE" w:rsidRPr="00323B3B">
        <w:rPr>
          <w:rFonts w:ascii="Times New Roman" w:hAnsi="Times New Roman"/>
          <w:color w:val="18185F"/>
          <w:sz w:val="24"/>
          <w:lang w:val="lv-LV"/>
        </w:rPr>
        <w:t>.gadam</w:t>
      </w:r>
      <w:bookmarkEnd w:id="37"/>
    </w:p>
    <w:tbl>
      <w:tblPr>
        <w:tblStyle w:val="GridTable6Colorful-Accent11"/>
        <w:tblW w:w="9067" w:type="dxa"/>
        <w:jc w:val="center"/>
        <w:tblLook w:val="04A0" w:firstRow="1" w:lastRow="0" w:firstColumn="1" w:lastColumn="0" w:noHBand="0" w:noVBand="1"/>
      </w:tblPr>
      <w:tblGrid>
        <w:gridCol w:w="5548"/>
        <w:gridCol w:w="960"/>
        <w:gridCol w:w="858"/>
        <w:gridCol w:w="851"/>
        <w:gridCol w:w="850"/>
      </w:tblGrid>
      <w:tr w:rsidR="00237652" w:rsidRPr="00976103" w14:paraId="7D341A50" w14:textId="77777777" w:rsidTr="00767772">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40135956" w14:textId="77777777" w:rsidR="00237652" w:rsidRPr="00976103" w:rsidRDefault="00237652" w:rsidP="002E4551">
            <w:pPr>
              <w:spacing w:after="0"/>
              <w:ind w:firstLine="0"/>
              <w:jc w:val="left"/>
              <w:rPr>
                <w:color w:val="000000"/>
                <w:szCs w:val="24"/>
                <w:lang w:eastAsia="lv-LV"/>
              </w:rPr>
            </w:pPr>
            <w:r w:rsidRPr="00976103">
              <w:rPr>
                <w:color w:val="000000"/>
                <w:szCs w:val="24"/>
                <w:lang w:eastAsia="lv-LV"/>
              </w:rPr>
              <w:t> </w:t>
            </w:r>
          </w:p>
        </w:tc>
        <w:tc>
          <w:tcPr>
            <w:tcW w:w="960" w:type="dxa"/>
            <w:vAlign w:val="center"/>
            <w:hideMark/>
          </w:tcPr>
          <w:p w14:paraId="4156FE73" w14:textId="77777777" w:rsidR="00237652" w:rsidRPr="00AA5420" w:rsidRDefault="00237652" w:rsidP="0028776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w:t>
            </w:r>
            <w:r w:rsidRPr="00AA5420">
              <w:rPr>
                <w:color w:val="000000"/>
                <w:szCs w:val="24"/>
                <w:lang w:eastAsia="lv-LV"/>
              </w:rPr>
              <w:t xml:space="preserve"> </w:t>
            </w:r>
            <w:r w:rsidR="00E839CD">
              <w:rPr>
                <w:color w:val="000000"/>
                <w:szCs w:val="24"/>
                <w:lang w:eastAsia="lv-LV"/>
              </w:rPr>
              <w:t>k</w:t>
            </w:r>
            <w:r>
              <w:rPr>
                <w:color w:val="000000"/>
                <w:szCs w:val="24"/>
                <w:lang w:eastAsia="lv-LV"/>
              </w:rPr>
              <w:t>ods</w:t>
            </w:r>
          </w:p>
        </w:tc>
        <w:tc>
          <w:tcPr>
            <w:tcW w:w="858" w:type="dxa"/>
            <w:vAlign w:val="center"/>
            <w:hideMark/>
          </w:tcPr>
          <w:p w14:paraId="416C632F" w14:textId="77777777" w:rsidR="00237652" w:rsidRPr="00AA5420" w:rsidRDefault="00222993" w:rsidP="00C22F2C">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C22F2C">
              <w:rPr>
                <w:color w:val="000000"/>
                <w:szCs w:val="24"/>
                <w:lang w:eastAsia="lv-LV"/>
              </w:rPr>
              <w:t>7</w:t>
            </w:r>
          </w:p>
        </w:tc>
        <w:tc>
          <w:tcPr>
            <w:tcW w:w="851" w:type="dxa"/>
            <w:vAlign w:val="center"/>
            <w:hideMark/>
          </w:tcPr>
          <w:p w14:paraId="7625E101" w14:textId="77777777" w:rsidR="00237652" w:rsidRPr="00AA5420" w:rsidRDefault="00222993" w:rsidP="00C22F2C">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C22F2C">
              <w:rPr>
                <w:color w:val="000000"/>
                <w:szCs w:val="24"/>
                <w:lang w:eastAsia="lv-LV"/>
              </w:rPr>
              <w:t>8</w:t>
            </w:r>
          </w:p>
        </w:tc>
        <w:tc>
          <w:tcPr>
            <w:tcW w:w="850" w:type="dxa"/>
            <w:vAlign w:val="center"/>
            <w:hideMark/>
          </w:tcPr>
          <w:p w14:paraId="2635E8E3" w14:textId="77777777" w:rsidR="00237652" w:rsidRPr="00AA5420" w:rsidRDefault="00222993" w:rsidP="00C22F2C">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C22F2C">
              <w:rPr>
                <w:color w:val="000000"/>
                <w:szCs w:val="24"/>
                <w:lang w:eastAsia="lv-LV"/>
              </w:rPr>
              <w:t>9</w:t>
            </w:r>
          </w:p>
        </w:tc>
      </w:tr>
      <w:tr w:rsidR="00237652" w:rsidRPr="00976103" w14:paraId="4C172F1E" w14:textId="77777777" w:rsidTr="00767772">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52E264B3" w14:textId="77777777" w:rsidR="00237652" w:rsidRPr="00976103" w:rsidRDefault="00237652" w:rsidP="002E4551">
            <w:pPr>
              <w:spacing w:after="0"/>
              <w:ind w:firstLine="0"/>
              <w:jc w:val="center"/>
              <w:rPr>
                <w:color w:val="000000"/>
                <w:szCs w:val="24"/>
                <w:lang w:eastAsia="lv-LV"/>
              </w:rPr>
            </w:pPr>
          </w:p>
        </w:tc>
        <w:tc>
          <w:tcPr>
            <w:tcW w:w="960" w:type="dxa"/>
            <w:hideMark/>
          </w:tcPr>
          <w:p w14:paraId="523E07C2"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559" w:type="dxa"/>
            <w:gridSpan w:val="3"/>
            <w:hideMark/>
          </w:tcPr>
          <w:p w14:paraId="30BC8A6C" w14:textId="77777777" w:rsidR="00237652" w:rsidRPr="00976103"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w:t>
            </w:r>
            <w:r>
              <w:rPr>
                <w:color w:val="000000"/>
                <w:szCs w:val="24"/>
                <w:lang w:eastAsia="lv-LV"/>
              </w:rPr>
              <w:t xml:space="preserve"> no IKP</w:t>
            </w:r>
            <w:r w:rsidRPr="00976103">
              <w:rPr>
                <w:color w:val="000000"/>
                <w:szCs w:val="24"/>
                <w:lang w:eastAsia="lv-LV"/>
              </w:rPr>
              <w:t xml:space="preserve"> </w:t>
            </w:r>
            <w:r w:rsidRPr="00351A0C">
              <w:rPr>
                <w:color w:val="000000"/>
                <w:szCs w:val="24"/>
                <w:lang w:eastAsia="lv-LV"/>
              </w:rPr>
              <w:t xml:space="preserve"> </w:t>
            </w:r>
          </w:p>
        </w:tc>
      </w:tr>
      <w:tr w:rsidR="00237652" w:rsidRPr="00976103" w14:paraId="2B608C49" w14:textId="77777777" w:rsidTr="00767772">
        <w:trPr>
          <w:trHeight w:val="246"/>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30778298" w14:textId="77777777" w:rsidR="00237652" w:rsidRPr="00976103" w:rsidRDefault="00237652" w:rsidP="00323B3B">
            <w:pPr>
              <w:spacing w:after="0"/>
              <w:ind w:firstLine="0"/>
              <w:jc w:val="left"/>
              <w:rPr>
                <w:bCs w:val="0"/>
                <w:color w:val="000000"/>
                <w:szCs w:val="24"/>
                <w:lang w:eastAsia="lv-LV"/>
              </w:rPr>
            </w:pPr>
            <w:r w:rsidRPr="00976103">
              <w:rPr>
                <w:color w:val="000000"/>
                <w:szCs w:val="24"/>
                <w:lang w:eastAsia="lv-LV"/>
              </w:rPr>
              <w:t>Vispārējās valdības budžeta bilance</w:t>
            </w:r>
          </w:p>
        </w:tc>
        <w:tc>
          <w:tcPr>
            <w:tcW w:w="960" w:type="dxa"/>
            <w:vAlign w:val="center"/>
            <w:hideMark/>
          </w:tcPr>
          <w:p w14:paraId="73D9BBE3" w14:textId="77777777" w:rsidR="00237652" w:rsidRPr="00976103"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B.9</w:t>
            </w:r>
          </w:p>
        </w:tc>
        <w:tc>
          <w:tcPr>
            <w:tcW w:w="2559" w:type="dxa"/>
            <w:gridSpan w:val="3"/>
            <w:hideMark/>
          </w:tcPr>
          <w:p w14:paraId="0309D5ED" w14:textId="77777777" w:rsidR="00237652" w:rsidRPr="00976103"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 </w:t>
            </w:r>
          </w:p>
        </w:tc>
      </w:tr>
      <w:tr w:rsidR="0031631E" w:rsidRPr="00976103" w14:paraId="662F8B8D" w14:textId="77777777" w:rsidTr="00C22F2C">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31F2A64A" w14:textId="77777777" w:rsidR="0031631E" w:rsidRPr="00323B3B" w:rsidRDefault="0031631E" w:rsidP="0031631E">
            <w:pPr>
              <w:spacing w:after="0"/>
              <w:ind w:firstLine="0"/>
              <w:jc w:val="left"/>
              <w:rPr>
                <w:b w:val="0"/>
                <w:color w:val="000000"/>
                <w:szCs w:val="24"/>
                <w:lang w:eastAsia="lv-LV"/>
              </w:rPr>
            </w:pPr>
            <w:r w:rsidRPr="00323B3B">
              <w:rPr>
                <w:b w:val="0"/>
                <w:color w:val="000000"/>
                <w:szCs w:val="24"/>
                <w:lang w:eastAsia="lv-LV"/>
              </w:rPr>
              <w:t>Stabilitātes programma</w:t>
            </w:r>
          </w:p>
        </w:tc>
        <w:tc>
          <w:tcPr>
            <w:tcW w:w="960" w:type="dxa"/>
            <w:hideMark/>
          </w:tcPr>
          <w:p w14:paraId="44E2203A" w14:textId="77777777" w:rsidR="0031631E" w:rsidRPr="00976103" w:rsidRDefault="0031631E" w:rsidP="0031631E">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31FB2584"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-0,5</w:t>
            </w:r>
          </w:p>
        </w:tc>
        <w:tc>
          <w:tcPr>
            <w:tcW w:w="851" w:type="dxa"/>
            <w:vAlign w:val="center"/>
          </w:tcPr>
          <w:p w14:paraId="0ADB07A2"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-0,9</w:t>
            </w:r>
          </w:p>
        </w:tc>
        <w:tc>
          <w:tcPr>
            <w:tcW w:w="850" w:type="dxa"/>
            <w:vAlign w:val="center"/>
          </w:tcPr>
          <w:p w14:paraId="0FC07AB1"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-0,9</w:t>
            </w:r>
          </w:p>
        </w:tc>
      </w:tr>
      <w:tr w:rsidR="0031631E" w:rsidRPr="00976103" w14:paraId="092E1E38" w14:textId="77777777" w:rsidTr="00C22F2C">
        <w:trPr>
          <w:trHeight w:val="98"/>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4909835A" w14:textId="77777777" w:rsidR="0031631E" w:rsidRPr="00323B3B" w:rsidRDefault="0031631E" w:rsidP="0031631E">
            <w:pPr>
              <w:spacing w:after="0"/>
              <w:ind w:firstLine="0"/>
              <w:jc w:val="left"/>
              <w:rPr>
                <w:b w:val="0"/>
                <w:color w:val="000000"/>
                <w:szCs w:val="24"/>
                <w:lang w:eastAsia="lv-LV"/>
              </w:rPr>
            </w:pPr>
            <w:r w:rsidRPr="00323B3B">
              <w:rPr>
                <w:b w:val="0"/>
                <w:color w:val="000000"/>
                <w:szCs w:val="24"/>
                <w:lang w:eastAsia="lv-LV"/>
              </w:rPr>
              <w:t>Vispārējās valdības budžeta plāna projekts</w:t>
            </w:r>
          </w:p>
        </w:tc>
        <w:tc>
          <w:tcPr>
            <w:tcW w:w="960" w:type="dxa"/>
            <w:hideMark/>
          </w:tcPr>
          <w:p w14:paraId="0D00F974" w14:textId="77777777" w:rsidR="0031631E" w:rsidRPr="00976103" w:rsidRDefault="0031631E" w:rsidP="0031631E">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796E7DE0"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-0,6</w:t>
            </w:r>
          </w:p>
        </w:tc>
        <w:tc>
          <w:tcPr>
            <w:tcW w:w="851" w:type="dxa"/>
            <w:vAlign w:val="center"/>
          </w:tcPr>
          <w:p w14:paraId="1EDFF70F"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-0,7</w:t>
            </w:r>
          </w:p>
        </w:tc>
        <w:tc>
          <w:tcPr>
            <w:tcW w:w="850" w:type="dxa"/>
            <w:vAlign w:val="center"/>
          </w:tcPr>
          <w:p w14:paraId="1115B785"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-0,5</w:t>
            </w:r>
          </w:p>
        </w:tc>
      </w:tr>
      <w:tr w:rsidR="0031631E" w:rsidRPr="00976103" w14:paraId="64BA0B01" w14:textId="77777777" w:rsidTr="00C22F2C">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494A06F6" w14:textId="77777777" w:rsidR="0031631E" w:rsidRPr="00323B3B" w:rsidRDefault="0031631E" w:rsidP="0031631E">
            <w:pPr>
              <w:spacing w:after="0"/>
              <w:ind w:firstLine="0"/>
              <w:jc w:val="left"/>
              <w:rPr>
                <w:b w:val="0"/>
                <w:color w:val="000000"/>
                <w:szCs w:val="24"/>
                <w:lang w:eastAsia="lv-LV"/>
              </w:rPr>
            </w:pPr>
            <w:r w:rsidRPr="00323B3B">
              <w:rPr>
                <w:b w:val="0"/>
                <w:color w:val="000000"/>
                <w:szCs w:val="24"/>
                <w:lang w:eastAsia="lv-LV"/>
              </w:rPr>
              <w:t>Starpība</w:t>
            </w:r>
          </w:p>
        </w:tc>
        <w:tc>
          <w:tcPr>
            <w:tcW w:w="960" w:type="dxa"/>
            <w:hideMark/>
          </w:tcPr>
          <w:p w14:paraId="37F9E32F" w14:textId="77777777" w:rsidR="0031631E" w:rsidRPr="00976103"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858" w:type="dxa"/>
            <w:vAlign w:val="center"/>
          </w:tcPr>
          <w:p w14:paraId="088D576C"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-0,1</w:t>
            </w:r>
          </w:p>
        </w:tc>
        <w:tc>
          <w:tcPr>
            <w:tcW w:w="851" w:type="dxa"/>
            <w:vAlign w:val="center"/>
          </w:tcPr>
          <w:p w14:paraId="315F7971"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0,3</w:t>
            </w:r>
          </w:p>
        </w:tc>
        <w:tc>
          <w:tcPr>
            <w:tcW w:w="850" w:type="dxa"/>
            <w:vAlign w:val="center"/>
          </w:tcPr>
          <w:p w14:paraId="36C2A829"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0,4</w:t>
            </w:r>
          </w:p>
        </w:tc>
      </w:tr>
      <w:tr w:rsidR="00237652" w:rsidRPr="00976103" w14:paraId="04396639" w14:textId="77777777" w:rsidTr="00767772">
        <w:trPr>
          <w:trHeight w:val="3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0450499" w14:textId="77777777" w:rsidR="00237652" w:rsidRPr="00976103" w:rsidRDefault="00237652" w:rsidP="00323B3B">
            <w:pPr>
              <w:spacing w:after="0"/>
              <w:ind w:firstLine="0"/>
              <w:jc w:val="left"/>
              <w:rPr>
                <w:bCs w:val="0"/>
                <w:color w:val="000000"/>
                <w:szCs w:val="24"/>
                <w:lang w:eastAsia="lv-LV"/>
              </w:rPr>
            </w:pPr>
            <w:r w:rsidRPr="00976103">
              <w:rPr>
                <w:color w:val="000000"/>
                <w:szCs w:val="24"/>
                <w:lang w:eastAsia="lv-LV"/>
              </w:rPr>
              <w:t>Vispārējās valdības budžeta bilance pie nemainīgas politikas</w:t>
            </w:r>
          </w:p>
        </w:tc>
        <w:tc>
          <w:tcPr>
            <w:tcW w:w="960" w:type="dxa"/>
            <w:vAlign w:val="center"/>
            <w:hideMark/>
          </w:tcPr>
          <w:p w14:paraId="02CE3641" w14:textId="77777777" w:rsidR="00237652" w:rsidRPr="00976103"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76103">
              <w:rPr>
                <w:bCs/>
                <w:color w:val="000000"/>
                <w:szCs w:val="24"/>
                <w:lang w:eastAsia="lv-LV"/>
              </w:rPr>
              <w:t>B.9</w:t>
            </w:r>
          </w:p>
        </w:tc>
        <w:tc>
          <w:tcPr>
            <w:tcW w:w="2559" w:type="dxa"/>
            <w:gridSpan w:val="3"/>
            <w:vAlign w:val="center"/>
          </w:tcPr>
          <w:p w14:paraId="3C0418D5" w14:textId="77777777" w:rsidR="00237652" w:rsidRPr="0031631E" w:rsidRDefault="00237652"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000000"/>
                <w:szCs w:val="24"/>
                <w:lang w:eastAsia="lv-LV"/>
              </w:rPr>
            </w:pPr>
          </w:p>
        </w:tc>
      </w:tr>
      <w:tr w:rsidR="0031631E" w:rsidRPr="00323B3B" w14:paraId="32086F72" w14:textId="77777777" w:rsidTr="00C22F2C">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29133DB9" w14:textId="77777777" w:rsidR="0031631E" w:rsidRPr="00323B3B" w:rsidRDefault="0031631E" w:rsidP="0031631E">
            <w:pPr>
              <w:spacing w:after="0"/>
              <w:ind w:firstLine="0"/>
              <w:jc w:val="left"/>
              <w:rPr>
                <w:b w:val="0"/>
                <w:color w:val="000000"/>
                <w:szCs w:val="24"/>
                <w:lang w:eastAsia="lv-LV"/>
              </w:rPr>
            </w:pPr>
            <w:r w:rsidRPr="00323B3B">
              <w:rPr>
                <w:b w:val="0"/>
                <w:color w:val="000000"/>
                <w:szCs w:val="24"/>
                <w:lang w:eastAsia="lv-LV"/>
              </w:rPr>
              <w:t>Stabilitātes programma</w:t>
            </w:r>
          </w:p>
        </w:tc>
        <w:tc>
          <w:tcPr>
            <w:tcW w:w="960" w:type="dxa"/>
            <w:hideMark/>
          </w:tcPr>
          <w:p w14:paraId="6233B1B4" w14:textId="77777777" w:rsidR="0031631E" w:rsidRPr="00323B3B"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74353BE0"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-0,5</w:t>
            </w:r>
          </w:p>
        </w:tc>
        <w:tc>
          <w:tcPr>
            <w:tcW w:w="851" w:type="dxa"/>
            <w:vAlign w:val="center"/>
          </w:tcPr>
          <w:p w14:paraId="3946F963"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-0,9</w:t>
            </w:r>
          </w:p>
        </w:tc>
        <w:tc>
          <w:tcPr>
            <w:tcW w:w="850" w:type="dxa"/>
            <w:vAlign w:val="center"/>
          </w:tcPr>
          <w:p w14:paraId="72DA0BED"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-1,0</w:t>
            </w:r>
          </w:p>
        </w:tc>
      </w:tr>
      <w:tr w:rsidR="0031631E" w:rsidRPr="00323B3B" w14:paraId="34A907A6" w14:textId="77777777" w:rsidTr="00C22F2C">
        <w:trPr>
          <w:trHeight w:val="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08A83512" w14:textId="77777777" w:rsidR="0031631E" w:rsidRPr="00323B3B" w:rsidRDefault="0031631E" w:rsidP="0031631E">
            <w:pPr>
              <w:spacing w:after="0"/>
              <w:ind w:firstLine="0"/>
              <w:jc w:val="left"/>
              <w:rPr>
                <w:b w:val="0"/>
                <w:color w:val="000000"/>
                <w:szCs w:val="24"/>
                <w:lang w:eastAsia="lv-LV"/>
              </w:rPr>
            </w:pPr>
            <w:r w:rsidRPr="00323B3B">
              <w:rPr>
                <w:b w:val="0"/>
                <w:color w:val="000000"/>
                <w:szCs w:val="24"/>
                <w:lang w:eastAsia="lv-LV"/>
              </w:rPr>
              <w:t>Vispārējās valdības budžeta plāna projekts</w:t>
            </w:r>
          </w:p>
        </w:tc>
        <w:tc>
          <w:tcPr>
            <w:tcW w:w="960" w:type="dxa"/>
            <w:hideMark/>
          </w:tcPr>
          <w:p w14:paraId="3808A00C" w14:textId="77777777" w:rsidR="0031631E" w:rsidRPr="00323B3B"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3DF0C227"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-0,6</w:t>
            </w:r>
          </w:p>
        </w:tc>
        <w:tc>
          <w:tcPr>
            <w:tcW w:w="851" w:type="dxa"/>
            <w:vAlign w:val="center"/>
          </w:tcPr>
          <w:p w14:paraId="58552B2E"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-0,7</w:t>
            </w:r>
          </w:p>
        </w:tc>
        <w:tc>
          <w:tcPr>
            <w:tcW w:w="850" w:type="dxa"/>
            <w:vAlign w:val="center"/>
          </w:tcPr>
          <w:p w14:paraId="56667BD2" w14:textId="77777777" w:rsidR="0031631E" w:rsidRPr="0031631E" w:rsidRDefault="0031631E" w:rsidP="0031631E">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31631E">
              <w:rPr>
                <w:color w:val="000000"/>
                <w:szCs w:val="24"/>
              </w:rPr>
              <w:t>-0,7</w:t>
            </w:r>
          </w:p>
        </w:tc>
      </w:tr>
      <w:tr w:rsidR="0031631E" w:rsidRPr="00323B3B" w14:paraId="45BA8BAB" w14:textId="77777777" w:rsidTr="00C22F2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3973568" w14:textId="77777777" w:rsidR="0031631E" w:rsidRPr="00323B3B" w:rsidRDefault="0031631E" w:rsidP="0031631E">
            <w:pPr>
              <w:spacing w:after="0"/>
              <w:ind w:firstLine="0"/>
              <w:jc w:val="left"/>
              <w:rPr>
                <w:b w:val="0"/>
                <w:color w:val="000000"/>
                <w:szCs w:val="24"/>
                <w:lang w:eastAsia="lv-LV"/>
              </w:rPr>
            </w:pPr>
            <w:r w:rsidRPr="00323B3B">
              <w:rPr>
                <w:b w:val="0"/>
                <w:color w:val="000000"/>
                <w:szCs w:val="24"/>
                <w:lang w:eastAsia="lv-LV"/>
              </w:rPr>
              <w:t>Starpība</w:t>
            </w:r>
          </w:p>
        </w:tc>
        <w:tc>
          <w:tcPr>
            <w:tcW w:w="960" w:type="dxa"/>
            <w:hideMark/>
          </w:tcPr>
          <w:p w14:paraId="6AE8C945" w14:textId="77777777" w:rsidR="0031631E" w:rsidRPr="00323B3B"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23B3B">
              <w:rPr>
                <w:color w:val="000000"/>
                <w:szCs w:val="24"/>
                <w:lang w:eastAsia="lv-LV"/>
              </w:rPr>
              <w:t> </w:t>
            </w:r>
          </w:p>
        </w:tc>
        <w:tc>
          <w:tcPr>
            <w:tcW w:w="858" w:type="dxa"/>
            <w:vAlign w:val="center"/>
          </w:tcPr>
          <w:p w14:paraId="7F7E4AE2"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-0,1</w:t>
            </w:r>
          </w:p>
        </w:tc>
        <w:tc>
          <w:tcPr>
            <w:tcW w:w="851" w:type="dxa"/>
            <w:vAlign w:val="center"/>
          </w:tcPr>
          <w:p w14:paraId="2B0BB2D2"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0,3</w:t>
            </w:r>
          </w:p>
        </w:tc>
        <w:tc>
          <w:tcPr>
            <w:tcW w:w="850" w:type="dxa"/>
            <w:vAlign w:val="center"/>
          </w:tcPr>
          <w:p w14:paraId="7AD7D95C" w14:textId="77777777" w:rsidR="0031631E" w:rsidRPr="0031631E" w:rsidRDefault="0031631E" w:rsidP="0031631E">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31631E">
              <w:rPr>
                <w:color w:val="000000"/>
                <w:szCs w:val="24"/>
              </w:rPr>
              <w:t>0,3</w:t>
            </w:r>
          </w:p>
        </w:tc>
      </w:tr>
    </w:tbl>
    <w:p w14:paraId="208CF2AB" w14:textId="77777777" w:rsidR="00237652" w:rsidRDefault="00237652" w:rsidP="00237652">
      <w:pPr>
        <w:spacing w:after="0"/>
        <w:ind w:firstLine="0"/>
        <w:jc w:val="left"/>
        <w:rPr>
          <w:color w:val="000000" w:themeColor="text1"/>
          <w:szCs w:val="24"/>
        </w:rPr>
      </w:pPr>
    </w:p>
    <w:p w14:paraId="5A4651E7" w14:textId="77777777" w:rsidR="000062EE" w:rsidRDefault="000062EE" w:rsidP="008E74DD">
      <w:pPr>
        <w:spacing w:after="0"/>
        <w:ind w:firstLine="0"/>
        <w:rPr>
          <w:color w:val="000000" w:themeColor="text1"/>
          <w:szCs w:val="24"/>
        </w:rPr>
      </w:pPr>
    </w:p>
    <w:p w14:paraId="56C0E535" w14:textId="77777777" w:rsidR="0012489F" w:rsidRDefault="0012489F">
      <w:pPr>
        <w:spacing w:after="0"/>
        <w:ind w:firstLine="0"/>
        <w:jc w:val="left"/>
        <w:rPr>
          <w:b/>
          <w:bCs/>
          <w:color w:val="18185E"/>
          <w:sz w:val="28"/>
          <w:szCs w:val="28"/>
          <w:lang w:eastAsia="x-none"/>
        </w:rPr>
      </w:pPr>
      <w:r>
        <w:rPr>
          <w:color w:val="18185E"/>
          <w:sz w:val="28"/>
        </w:rPr>
        <w:br w:type="page"/>
      </w:r>
    </w:p>
    <w:p w14:paraId="4125F75F" w14:textId="77777777" w:rsidR="00B71106" w:rsidRPr="0027687A" w:rsidRDefault="00B71106" w:rsidP="00B71106">
      <w:pPr>
        <w:pStyle w:val="Heading1"/>
        <w:tabs>
          <w:tab w:val="left" w:pos="1276"/>
        </w:tabs>
        <w:spacing w:before="0" w:after="240"/>
        <w:ind w:firstLine="0"/>
        <w:jc w:val="center"/>
        <w:rPr>
          <w:rFonts w:ascii="Times New Roman" w:hAnsi="Times New Roman"/>
          <w:color w:val="18185E"/>
          <w:sz w:val="28"/>
        </w:rPr>
      </w:pPr>
      <w:bookmarkStart w:id="38" w:name="_Toc1374679"/>
      <w:r w:rsidRPr="0027687A">
        <w:rPr>
          <w:rFonts w:ascii="Times New Roman" w:hAnsi="Times New Roman"/>
          <w:color w:val="18185E"/>
          <w:sz w:val="28"/>
          <w:lang w:val="lv-LV"/>
        </w:rPr>
        <w:lastRenderedPageBreak/>
        <w:t>Pielikums: Metodoloģiskie aspekti</w:t>
      </w:r>
      <w:bookmarkEnd w:id="38"/>
    </w:p>
    <w:p w14:paraId="688FDE89" w14:textId="77777777" w:rsidR="005C0B54" w:rsidRPr="0027687A" w:rsidRDefault="005C0B54" w:rsidP="005B7285">
      <w:pPr>
        <w:spacing w:after="0"/>
        <w:ind w:firstLine="720"/>
        <w:rPr>
          <w:sz w:val="22"/>
        </w:rPr>
      </w:pPr>
      <w:r w:rsidRPr="0027687A">
        <w:t xml:space="preserve">Makroekonomiskās prognozes tiek veidotas vidēja termiņa makroekonomiskajā modelī, kas nodrošina makroekonomisko </w:t>
      </w:r>
      <w:r w:rsidR="00A94225" w:rsidRPr="0027687A">
        <w:t xml:space="preserve">likumsakarību </w:t>
      </w:r>
      <w:r w:rsidRPr="0027687A">
        <w:t xml:space="preserve">ievērošanu </w:t>
      </w:r>
      <w:r w:rsidR="00146D1F">
        <w:t xml:space="preserve">prognozēs un par pamatu izmanto </w:t>
      </w:r>
      <w:r w:rsidRPr="0027687A">
        <w:t>īstermiņa un vidēja termiņa ekonometrisko modeļu rezultātus, kā arī eksperta vērtējumus.</w:t>
      </w:r>
    </w:p>
    <w:p w14:paraId="7259249A" w14:textId="77777777" w:rsidR="005C0B54" w:rsidRPr="0027687A" w:rsidRDefault="005C0B54" w:rsidP="005030D2">
      <w:pPr>
        <w:spacing w:after="0"/>
        <w:ind w:firstLine="720"/>
      </w:pPr>
      <w:r w:rsidRPr="0027687A">
        <w:t>Sagatavojot nodokļu ieņēmumu prognozes tiek izmantotas plaši pazīstamas prognozēšanas metodes un pieņēmumi, tomēr visvairāk tiek izmantots prognozēšanai speciāli izstrādāts rīks, t.i., modelis LATIM</w:t>
      </w:r>
      <w:r w:rsidR="00A67950">
        <w:t>–</w:t>
      </w:r>
      <w:r w:rsidRPr="0027687A">
        <w:t>F. Biežāk izmantotie nodokļu ieņēmumu prognozēšanas paņēmieni:</w:t>
      </w:r>
    </w:p>
    <w:p w14:paraId="60DE2B4B" w14:textId="77777777" w:rsidR="00E0622C" w:rsidRPr="0027687A" w:rsidRDefault="005C0B54" w:rsidP="005119CA">
      <w:pPr>
        <w:pStyle w:val="ListParagraph"/>
        <w:numPr>
          <w:ilvl w:val="0"/>
          <w:numId w:val="10"/>
        </w:numPr>
        <w:spacing w:after="0" w:line="240" w:lineRule="auto"/>
        <w:contextualSpacing w:val="0"/>
        <w:rPr>
          <w:rFonts w:ascii="Times New Roman" w:hAnsi="Times New Roman"/>
        </w:rPr>
      </w:pPr>
      <w:r w:rsidRPr="0027687A">
        <w:rPr>
          <w:rFonts w:ascii="Times New Roman" w:hAnsi="Times New Roman"/>
          <w:sz w:val="24"/>
          <w:szCs w:val="24"/>
        </w:rPr>
        <w:t>izmantojot detalizētu nodokļa ieņēmumu aprēķinu;</w:t>
      </w:r>
    </w:p>
    <w:p w14:paraId="462FC61F" w14:textId="77777777" w:rsidR="00E0622C" w:rsidRPr="0027687A" w:rsidRDefault="005C0B54" w:rsidP="005119CA">
      <w:pPr>
        <w:pStyle w:val="ListParagraph"/>
        <w:numPr>
          <w:ilvl w:val="0"/>
          <w:numId w:val="10"/>
        </w:numPr>
        <w:spacing w:after="0" w:line="240" w:lineRule="auto"/>
        <w:contextualSpacing w:val="0"/>
        <w:rPr>
          <w:rFonts w:ascii="Times New Roman" w:hAnsi="Times New Roman"/>
        </w:rPr>
      </w:pPr>
      <w:r w:rsidRPr="0027687A">
        <w:rPr>
          <w:rFonts w:ascii="Times New Roman" w:hAnsi="Times New Roman"/>
          <w:sz w:val="24"/>
          <w:szCs w:val="24"/>
        </w:rPr>
        <w:t>prognozējot nodokļu ieņēmumu īpatsvaru IKP, %;</w:t>
      </w:r>
    </w:p>
    <w:p w14:paraId="31D05FFD" w14:textId="77777777" w:rsidR="00E0622C" w:rsidRPr="0027687A" w:rsidRDefault="005C0B54" w:rsidP="005119CA">
      <w:pPr>
        <w:pStyle w:val="ListParagraph"/>
        <w:numPr>
          <w:ilvl w:val="0"/>
          <w:numId w:val="10"/>
        </w:numPr>
        <w:spacing w:after="0" w:line="240" w:lineRule="auto"/>
        <w:contextualSpacing w:val="0"/>
        <w:rPr>
          <w:rFonts w:ascii="Times New Roman" w:hAnsi="Times New Roman"/>
        </w:rPr>
      </w:pPr>
      <w:r w:rsidRPr="0027687A">
        <w:rPr>
          <w:rFonts w:ascii="Times New Roman" w:hAnsi="Times New Roman"/>
          <w:sz w:val="24"/>
          <w:szCs w:val="24"/>
        </w:rPr>
        <w:t xml:space="preserve">prognozējot </w:t>
      </w:r>
      <w:r w:rsidR="00521399" w:rsidRPr="0027687A">
        <w:rPr>
          <w:rFonts w:ascii="Times New Roman" w:hAnsi="Times New Roman"/>
          <w:sz w:val="24"/>
          <w:szCs w:val="24"/>
        </w:rPr>
        <w:t>nodokļa reālās apliekamās bāzes/</w:t>
      </w:r>
      <w:r w:rsidRPr="0027687A">
        <w:rPr>
          <w:rFonts w:ascii="Times New Roman" w:hAnsi="Times New Roman"/>
          <w:sz w:val="24"/>
          <w:szCs w:val="24"/>
        </w:rPr>
        <w:t>modelētās bāzes attiecību;</w:t>
      </w:r>
    </w:p>
    <w:p w14:paraId="21FF46C0" w14:textId="77777777" w:rsidR="00E0622C" w:rsidRPr="0027687A" w:rsidRDefault="005C0B54" w:rsidP="005119CA">
      <w:pPr>
        <w:pStyle w:val="ListParagraph"/>
        <w:numPr>
          <w:ilvl w:val="0"/>
          <w:numId w:val="10"/>
        </w:numPr>
        <w:spacing w:after="0" w:line="240" w:lineRule="auto"/>
        <w:contextualSpacing w:val="0"/>
        <w:rPr>
          <w:rFonts w:ascii="Times New Roman" w:hAnsi="Times New Roman"/>
        </w:rPr>
      </w:pPr>
      <w:r w:rsidRPr="0027687A">
        <w:rPr>
          <w:rFonts w:ascii="Times New Roman" w:hAnsi="Times New Roman"/>
          <w:sz w:val="24"/>
          <w:szCs w:val="24"/>
        </w:rPr>
        <w:t>izmantojot eksperta novērtējumu;</w:t>
      </w:r>
    </w:p>
    <w:p w14:paraId="594A056C" w14:textId="77777777" w:rsidR="005C0B54" w:rsidRPr="0027687A" w:rsidRDefault="005C0B54" w:rsidP="005119CA">
      <w:pPr>
        <w:pStyle w:val="ListParagraph"/>
        <w:numPr>
          <w:ilvl w:val="0"/>
          <w:numId w:val="10"/>
        </w:numPr>
        <w:spacing w:after="0" w:line="240" w:lineRule="auto"/>
        <w:contextualSpacing w:val="0"/>
        <w:rPr>
          <w:rFonts w:ascii="Times New Roman" w:hAnsi="Times New Roman"/>
        </w:rPr>
      </w:pPr>
      <w:r w:rsidRPr="0027687A">
        <w:rPr>
          <w:rFonts w:ascii="Times New Roman" w:hAnsi="Times New Roman"/>
          <w:sz w:val="24"/>
          <w:szCs w:val="24"/>
        </w:rPr>
        <w:t>izmantojot citus paņēmienus.</w:t>
      </w:r>
    </w:p>
    <w:p w14:paraId="07BED9A1" w14:textId="77777777" w:rsidR="005C0B54" w:rsidRPr="00146D1F" w:rsidRDefault="005C0B54" w:rsidP="005030D2">
      <w:pPr>
        <w:spacing w:after="0"/>
        <w:ind w:firstLine="720"/>
      </w:pPr>
      <w:r w:rsidRPr="00146D1F">
        <w:t xml:space="preserve">Lai aprēķinātu nodokļu ieņēmumu prognozes, </w:t>
      </w:r>
      <w:r w:rsidR="007D2E71" w:rsidRPr="00146D1F">
        <w:t>FM</w:t>
      </w:r>
      <w:r w:rsidRPr="00146D1F">
        <w:t>, kā tika minēts iepriekš, izmanto nodokļu ieņēmumu prognožu modeli LATIM</w:t>
      </w:r>
      <w:r w:rsidR="00A67950">
        <w:t>–</w:t>
      </w:r>
      <w:r w:rsidRPr="00146D1F">
        <w:t xml:space="preserve">F, kura galvenās sastāvdaļas ir makroekonomisko rādītāju datu bāze, faktisko nodokļu ieņēmumu datu bāze un likumdošanas izmaiņas (ieskaitot nodokļu likmes utt.). Tāpat analīzē tiek izmatota Valsts kases, Valsts ieņēmumu dienesta, </w:t>
      </w:r>
      <w:r w:rsidR="00412152">
        <w:t>CSP</w:t>
      </w:r>
      <w:r w:rsidRPr="00146D1F">
        <w:t xml:space="preserve"> u.c. informācija.</w:t>
      </w:r>
    </w:p>
    <w:p w14:paraId="3FAF9D5A" w14:textId="77777777" w:rsidR="000430B8" w:rsidRPr="00F940F1" w:rsidRDefault="000430B8" w:rsidP="000430B8">
      <w:pPr>
        <w:spacing w:after="60" w:line="276" w:lineRule="auto"/>
        <w:ind w:firstLine="0"/>
        <w:rPr>
          <w:highlight w:val="yellow"/>
        </w:rPr>
      </w:pPr>
    </w:p>
    <w:p w14:paraId="4F345172" w14:textId="77777777" w:rsidR="000430B8" w:rsidRPr="00F940F1" w:rsidRDefault="000430B8" w:rsidP="000430B8">
      <w:pPr>
        <w:spacing w:after="60" w:line="276" w:lineRule="auto"/>
        <w:ind w:firstLine="0"/>
        <w:rPr>
          <w:highlight w:val="yellow"/>
        </w:rPr>
      </w:pPr>
    </w:p>
    <w:p w14:paraId="252574C2" w14:textId="77777777" w:rsidR="000430B8" w:rsidRPr="006A34E8" w:rsidRDefault="000430B8" w:rsidP="000430B8">
      <w:pPr>
        <w:spacing w:after="60" w:line="276" w:lineRule="auto"/>
        <w:ind w:firstLine="0"/>
      </w:pPr>
      <w:r w:rsidRPr="006A34E8">
        <w:t>Finanšu ministr</w:t>
      </w:r>
      <w:r w:rsidR="00D23DA4">
        <w:t>s</w:t>
      </w:r>
      <w:r w:rsidRPr="006A34E8">
        <w:tab/>
      </w:r>
      <w:r w:rsidRPr="006A34E8">
        <w:tab/>
      </w:r>
      <w:r w:rsidRPr="006A34E8">
        <w:tab/>
      </w:r>
      <w:r w:rsidRPr="006A34E8">
        <w:tab/>
      </w:r>
      <w:r w:rsidRPr="006A34E8">
        <w:tab/>
      </w:r>
      <w:r w:rsidRPr="006A34E8">
        <w:tab/>
      </w:r>
      <w:r w:rsidRPr="006A34E8">
        <w:tab/>
      </w:r>
      <w:r w:rsidR="00D23DA4">
        <w:tab/>
      </w:r>
      <w:r w:rsidR="00D23DA4">
        <w:tab/>
        <w:t xml:space="preserve">       J. Reirs</w:t>
      </w:r>
    </w:p>
    <w:p w14:paraId="28FCF0FF" w14:textId="77777777" w:rsidR="000430B8" w:rsidRPr="00F940F1" w:rsidRDefault="000430B8" w:rsidP="000430B8">
      <w:pPr>
        <w:spacing w:after="60" w:line="276" w:lineRule="auto"/>
        <w:ind w:firstLine="0"/>
        <w:rPr>
          <w:highlight w:val="yellow"/>
        </w:rPr>
      </w:pPr>
    </w:p>
    <w:p w14:paraId="0AB63B29" w14:textId="77777777" w:rsidR="000430B8" w:rsidRPr="00F940F1" w:rsidRDefault="000430B8" w:rsidP="000430B8">
      <w:pPr>
        <w:spacing w:after="60" w:line="276" w:lineRule="auto"/>
        <w:ind w:firstLine="0"/>
        <w:rPr>
          <w:highlight w:val="yellow"/>
        </w:rPr>
      </w:pPr>
    </w:p>
    <w:p w14:paraId="0C08432E" w14:textId="77777777" w:rsidR="000430B8" w:rsidRPr="00F940F1" w:rsidRDefault="000430B8" w:rsidP="000430B8">
      <w:pPr>
        <w:spacing w:after="0"/>
        <w:ind w:firstLine="0"/>
        <w:rPr>
          <w:sz w:val="20"/>
          <w:highlight w:val="yellow"/>
        </w:rPr>
      </w:pPr>
    </w:p>
    <w:p w14:paraId="3405E06D" w14:textId="77777777" w:rsidR="00D23DA4" w:rsidRDefault="00D23DA4" w:rsidP="00D23DA4">
      <w:pPr>
        <w:spacing w:after="0"/>
        <w:ind w:firstLine="0"/>
        <w:rPr>
          <w:sz w:val="20"/>
        </w:rPr>
      </w:pPr>
      <w:r>
        <w:rPr>
          <w:sz w:val="20"/>
        </w:rPr>
        <w:t>Gusāre, 67083911</w:t>
      </w:r>
    </w:p>
    <w:p w14:paraId="607F8F96" w14:textId="77777777" w:rsidR="00D23DA4" w:rsidRDefault="00CD75C3" w:rsidP="00D23DA4">
      <w:pPr>
        <w:spacing w:after="0"/>
        <w:ind w:firstLine="0"/>
        <w:rPr>
          <w:szCs w:val="24"/>
        </w:rPr>
      </w:pPr>
      <w:hyperlink r:id="rId53" w:history="1">
        <w:r w:rsidR="00D23DA4">
          <w:rPr>
            <w:rStyle w:val="Hyperlink"/>
            <w:sz w:val="20"/>
          </w:rPr>
          <w:t>elina.gusare@fm.gov.lv</w:t>
        </w:r>
      </w:hyperlink>
    </w:p>
    <w:p w14:paraId="18B44D1A" w14:textId="77777777" w:rsidR="000430B8" w:rsidRDefault="000430B8" w:rsidP="000430B8">
      <w:pPr>
        <w:spacing w:after="60" w:line="276" w:lineRule="auto"/>
        <w:ind w:firstLine="0"/>
      </w:pPr>
    </w:p>
    <w:p w14:paraId="57FEAF97" w14:textId="77777777" w:rsidR="00B07F78" w:rsidRDefault="00B07F78" w:rsidP="00B07F78">
      <w:pPr>
        <w:spacing w:after="60" w:line="276" w:lineRule="auto"/>
        <w:ind w:firstLine="0"/>
      </w:pPr>
    </w:p>
    <w:p w14:paraId="60A32931" w14:textId="77777777" w:rsidR="0015701E" w:rsidRPr="0015701E" w:rsidRDefault="0015701E" w:rsidP="00E97D92">
      <w:pPr>
        <w:ind w:firstLine="0"/>
      </w:pPr>
    </w:p>
    <w:p w14:paraId="6E7027DF" w14:textId="77777777" w:rsidR="0015701E" w:rsidRPr="0015701E" w:rsidRDefault="0015701E" w:rsidP="0015701E"/>
    <w:p w14:paraId="5FB68581" w14:textId="77777777" w:rsidR="0015701E" w:rsidRPr="0015701E" w:rsidRDefault="0015701E" w:rsidP="0015701E"/>
    <w:p w14:paraId="782C8A7D" w14:textId="77777777" w:rsidR="0015701E" w:rsidRPr="0015701E" w:rsidRDefault="0015701E" w:rsidP="0015701E"/>
    <w:p w14:paraId="5FC9DB70" w14:textId="77777777" w:rsidR="00FB505D" w:rsidRPr="0015701E" w:rsidRDefault="00FB505D" w:rsidP="0015701E"/>
    <w:sectPr w:rsidR="00FB505D" w:rsidRPr="0015701E" w:rsidSect="008A4D03">
      <w:pgSz w:w="11906" w:h="16838"/>
      <w:pgMar w:top="1418" w:right="1134" w:bottom="709" w:left="1701"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8E60" w14:textId="77777777" w:rsidR="00CD75C3" w:rsidRDefault="00CD75C3" w:rsidP="000F6956">
      <w:pPr>
        <w:spacing w:after="0"/>
      </w:pPr>
      <w:r>
        <w:separator/>
      </w:r>
    </w:p>
    <w:p w14:paraId="157CBB0A" w14:textId="77777777" w:rsidR="00CD75C3" w:rsidRDefault="00CD75C3"/>
  </w:endnote>
  <w:endnote w:type="continuationSeparator" w:id="0">
    <w:p w14:paraId="0705641D" w14:textId="77777777" w:rsidR="00CD75C3" w:rsidRDefault="00CD75C3" w:rsidP="000F6956">
      <w:pPr>
        <w:spacing w:after="0"/>
      </w:pPr>
      <w:r>
        <w:continuationSeparator/>
      </w:r>
    </w:p>
    <w:p w14:paraId="74DE512C" w14:textId="77777777" w:rsidR="00CD75C3" w:rsidRDefault="00CD75C3"/>
  </w:endnote>
  <w:endnote w:type="continuationNotice" w:id="1">
    <w:p w14:paraId="2C173FE1" w14:textId="77777777" w:rsidR="00CD75C3" w:rsidRDefault="00CD75C3">
      <w:pPr>
        <w:spacing w:after="0"/>
      </w:pPr>
    </w:p>
    <w:p w14:paraId="12FA6B84" w14:textId="77777777" w:rsidR="00CD75C3" w:rsidRDefault="00CD7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auto"/>
    <w:pitch w:val="default"/>
  </w:font>
  <w:font w:name="Segoe UI">
    <w:altName w:val="Courier New"/>
    <w:panose1 w:val="020B0502040204020203"/>
    <w:charset w:val="BA"/>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PT Serif">
    <w:altName w:val="Times New Roman"/>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3BE0" w14:textId="77777777" w:rsidR="00CD75C3" w:rsidRPr="00FC074B" w:rsidRDefault="00CD75C3" w:rsidP="00FC074B">
    <w:pPr>
      <w:pStyle w:val="Footer"/>
      <w:ind w:firstLine="0"/>
      <w:rPr>
        <w:sz w:val="20"/>
        <w:lang w:val="lv-LV"/>
      </w:rPr>
    </w:pPr>
    <w:r>
      <w:rPr>
        <w:sz w:val="20"/>
        <w:lang w:val="lv-LV"/>
      </w:rPr>
      <w:t>FMInf_1802</w:t>
    </w:r>
    <w:r w:rsidRPr="00FC074B">
      <w:rPr>
        <w:sz w:val="20"/>
        <w:lang w:val="lv-LV"/>
      </w:rPr>
      <w:t>201</w:t>
    </w:r>
    <w:r>
      <w:rPr>
        <w:sz w:val="20"/>
        <w:lang w:val="lv-LV"/>
      </w:rPr>
      <w:t>9</w:t>
    </w:r>
    <w:r w:rsidRPr="00FC074B">
      <w:rPr>
        <w:sz w:val="20"/>
        <w:lang w:val="lv-LV"/>
      </w:rPr>
      <w:t>_DBP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D815" w14:textId="77777777" w:rsidR="00CD75C3" w:rsidRPr="00FC074B" w:rsidRDefault="00CD75C3" w:rsidP="00FC074B">
    <w:pPr>
      <w:pStyle w:val="Footer"/>
      <w:ind w:firstLine="0"/>
      <w:rPr>
        <w:sz w:val="20"/>
        <w:lang w:val="lv-LV"/>
      </w:rPr>
    </w:pPr>
    <w:r>
      <w:rPr>
        <w:sz w:val="20"/>
        <w:lang w:val="lv-LV"/>
      </w:rPr>
      <w:t>FMInfo_04</w:t>
    </w:r>
    <w:r w:rsidRPr="00FC074B">
      <w:rPr>
        <w:sz w:val="20"/>
        <w:lang w:val="lv-LV"/>
      </w:rPr>
      <w:t>10201</w:t>
    </w:r>
    <w:r>
      <w:rPr>
        <w:sz w:val="20"/>
        <w:lang w:val="lv-LV"/>
      </w:rPr>
      <w:t>8</w:t>
    </w:r>
    <w:r w:rsidRPr="00FC074B">
      <w:rPr>
        <w:sz w:val="20"/>
        <w:lang w:val="lv-LV"/>
      </w:rPr>
      <w:t>_DBP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F591" w14:textId="77777777" w:rsidR="00CD75C3" w:rsidRDefault="00CD75C3" w:rsidP="000F6956">
      <w:pPr>
        <w:spacing w:after="0"/>
      </w:pPr>
      <w:r>
        <w:separator/>
      </w:r>
    </w:p>
    <w:p w14:paraId="0CCCA1A8" w14:textId="77777777" w:rsidR="00CD75C3" w:rsidRDefault="00CD75C3"/>
  </w:footnote>
  <w:footnote w:type="continuationSeparator" w:id="0">
    <w:p w14:paraId="56E647AC" w14:textId="77777777" w:rsidR="00CD75C3" w:rsidRDefault="00CD75C3" w:rsidP="000F6956">
      <w:pPr>
        <w:spacing w:after="0"/>
      </w:pPr>
      <w:r>
        <w:continuationSeparator/>
      </w:r>
    </w:p>
    <w:p w14:paraId="5B5871EA" w14:textId="77777777" w:rsidR="00CD75C3" w:rsidRDefault="00CD75C3"/>
  </w:footnote>
  <w:footnote w:type="continuationNotice" w:id="1">
    <w:p w14:paraId="6F9E7E6B" w14:textId="77777777" w:rsidR="00CD75C3" w:rsidRDefault="00CD75C3">
      <w:pPr>
        <w:spacing w:after="0"/>
      </w:pPr>
    </w:p>
    <w:p w14:paraId="2E64BE24" w14:textId="77777777" w:rsidR="00CD75C3" w:rsidRDefault="00CD75C3"/>
  </w:footnote>
  <w:footnote w:id="2">
    <w:p w14:paraId="38039138" w14:textId="77777777" w:rsidR="00CD75C3" w:rsidRPr="00A80D9C" w:rsidRDefault="00CD75C3" w:rsidP="0034726F">
      <w:pPr>
        <w:rPr>
          <w:sz w:val="20"/>
        </w:rPr>
      </w:pPr>
      <w:r w:rsidRPr="00A80D9C">
        <w:rPr>
          <w:rStyle w:val="FootnoteReference"/>
          <w:rFonts w:ascii="Times New Roman" w:hAnsi="Times New Roman"/>
        </w:rPr>
        <w:footnoteRef/>
      </w:r>
      <w:r w:rsidRPr="00A80D9C">
        <w:rPr>
          <w:sz w:val="20"/>
        </w:rPr>
        <w:t xml:space="preserve"> Ieņēmumu daļa 18,2 milj. </w:t>
      </w:r>
      <w:r w:rsidRPr="00A80D9C">
        <w:rPr>
          <w:i/>
          <w:sz w:val="20"/>
        </w:rPr>
        <w:t>euro</w:t>
      </w:r>
      <w:r w:rsidRPr="00A80D9C">
        <w:rPr>
          <w:sz w:val="20"/>
        </w:rPr>
        <w:t xml:space="preserve"> apmērā no Latvijai piešķirto emisijas kvotu izsolīšanas, kas notika 2018.gada novembrī un ir attiecināms uz apjoma pieaugumu ir iekļauta budžeta plāna projektā kā vienreizējs pasākums. Savukārt ieņēmumu pieaugums no šī darījumā, kas ir attiecināms uz cenas svārstībām 2019.gadā šajā budžeta plānā netiek uzskatīts par vienreizēju pasākumu.</w:t>
      </w:r>
    </w:p>
  </w:footnote>
  <w:footnote w:id="3">
    <w:p w14:paraId="7BE6E0FD" w14:textId="77777777" w:rsidR="00CD75C3" w:rsidRPr="00DF6819" w:rsidRDefault="00CD75C3" w:rsidP="0034726F">
      <w:pPr>
        <w:rPr>
          <w:sz w:val="20"/>
        </w:rPr>
      </w:pPr>
      <w:r w:rsidRPr="00A80D9C">
        <w:rPr>
          <w:sz w:val="20"/>
        </w:rPr>
        <w:footnoteRef/>
      </w:r>
      <w:r w:rsidRPr="00A80D9C">
        <w:rPr>
          <w:sz w:val="20"/>
        </w:rPr>
        <w:t xml:space="preserve"> Lai</w:t>
      </w:r>
      <w:r w:rsidRPr="00DF6819">
        <w:rPr>
          <w:sz w:val="20"/>
        </w:rPr>
        <w:t xml:space="preserve"> atvieglotu datu salīdzināmību, strukturālā bilance ir parādīta kopā ar nodokļu reformas  neto ieņēmumu samazinājumu 0,5% no IKP, kas ir īslaicīgs un Latvijas fiskālajā ietvarā tiek atzīts par vienreizējo pasākumu, bet EK šo efektu ietver strukturālajā bilancē, jo ieņēmumus samazinošos/ izdevumus palielinošos pasākumus EK kā likums neatzīst par vienreizējiem/ īslaicīgajiem pasākumiem. </w:t>
      </w:r>
    </w:p>
    <w:p w14:paraId="63524D55" w14:textId="77777777" w:rsidR="00CD75C3" w:rsidRPr="00DF6819" w:rsidRDefault="00CD75C3" w:rsidP="0034726F">
      <w:pPr>
        <w:pStyle w:val="FootnoteText"/>
        <w:rPr>
          <w:lang w:val="lv-LV"/>
        </w:rPr>
      </w:pPr>
    </w:p>
  </w:footnote>
  <w:footnote w:id="4">
    <w:p w14:paraId="676DA6CB" w14:textId="77777777" w:rsidR="00CD75C3" w:rsidRPr="0074480A" w:rsidRDefault="00CD75C3" w:rsidP="00F74DF0">
      <w:pPr>
        <w:pStyle w:val="FootnoteText"/>
        <w:rPr>
          <w:lang w:val="lv-LV"/>
        </w:rPr>
      </w:pPr>
      <w:r>
        <w:rPr>
          <w:rStyle w:val="FootnoteReference"/>
        </w:rPr>
        <w:footnoteRef/>
      </w:r>
      <w:r>
        <w:t xml:space="preserve"> </w:t>
      </w:r>
      <w:r>
        <w:rPr>
          <w:lang w:val="lv-LV"/>
        </w:rPr>
        <w:t xml:space="preserve">t.sk. korekcija </w:t>
      </w:r>
      <w:r w:rsidRPr="00C73AE3">
        <w:rPr>
          <w:lang w:val="lv-LV"/>
        </w:rPr>
        <w:t xml:space="preserve">2018. gada </w:t>
      </w:r>
      <w:r>
        <w:rPr>
          <w:lang w:val="lv-LV"/>
        </w:rPr>
        <w:t>novembrī valsts budžetā saņemtajiem</w:t>
      </w:r>
      <w:r w:rsidRPr="00C73AE3">
        <w:rPr>
          <w:lang w:val="lv-LV"/>
        </w:rPr>
        <w:t xml:space="preserve"> ieņēmum</w:t>
      </w:r>
      <w:r>
        <w:rPr>
          <w:lang w:val="lv-LV"/>
        </w:rPr>
        <w:t>iem</w:t>
      </w:r>
      <w:r w:rsidRPr="00C73AE3">
        <w:rPr>
          <w:lang w:val="lv-LV"/>
        </w:rPr>
        <w:t xml:space="preserve"> no Latvijai piešķirto emisijas kvotu izsolīšanas, kas atbilstoši EKS principiem tiek attiecināti uz 2019.gada ieņēmumiem.</w:t>
      </w:r>
    </w:p>
  </w:footnote>
  <w:footnote w:id="5">
    <w:p w14:paraId="74A4AFAE" w14:textId="77777777" w:rsidR="00CD75C3" w:rsidRPr="0074480A" w:rsidRDefault="00CD75C3" w:rsidP="001F6968">
      <w:pPr>
        <w:pStyle w:val="FootnoteText"/>
        <w:rPr>
          <w:lang w:val="lv-LV"/>
        </w:rPr>
      </w:pPr>
      <w:r>
        <w:rPr>
          <w:rStyle w:val="FootnoteReference"/>
        </w:rPr>
        <w:footnoteRef/>
      </w:r>
      <w:r>
        <w:t xml:space="preserve"> </w:t>
      </w:r>
      <w:r>
        <w:rPr>
          <w:lang w:val="lv-LV"/>
        </w:rPr>
        <w:t xml:space="preserve">t.sk. korekcija </w:t>
      </w:r>
      <w:r w:rsidRPr="00C73AE3">
        <w:rPr>
          <w:lang w:val="lv-LV"/>
        </w:rPr>
        <w:t xml:space="preserve">2018. gada </w:t>
      </w:r>
      <w:r>
        <w:rPr>
          <w:lang w:val="lv-LV"/>
        </w:rPr>
        <w:t>novembrī valsts budžetā saņemtajiem</w:t>
      </w:r>
      <w:r w:rsidRPr="00C73AE3">
        <w:rPr>
          <w:lang w:val="lv-LV"/>
        </w:rPr>
        <w:t xml:space="preserve"> ieņēmum</w:t>
      </w:r>
      <w:r>
        <w:rPr>
          <w:lang w:val="lv-LV"/>
        </w:rPr>
        <w:t>iem</w:t>
      </w:r>
      <w:r w:rsidRPr="00C73AE3">
        <w:rPr>
          <w:lang w:val="lv-LV"/>
        </w:rPr>
        <w:t xml:space="preserve"> no Latvijai piešķirto emisijas kvotu izsolīšanas, kas atbilstoši EKS principiem tiek attiecināti uz 2019.gada ieņēmumiem.</w:t>
      </w:r>
    </w:p>
  </w:footnote>
  <w:footnote w:id="6">
    <w:p w14:paraId="6CF4A2AA" w14:textId="77777777" w:rsidR="00CD75C3" w:rsidRDefault="00CD75C3" w:rsidP="006A7563">
      <w:pPr>
        <w:pStyle w:val="FootnoteText"/>
      </w:pPr>
      <w:r>
        <w:rPr>
          <w:rStyle w:val="FootnoteReference"/>
        </w:rPr>
        <w:footnoteRef/>
      </w:r>
      <w:r>
        <w:t xml:space="preserve"> </w:t>
      </w:r>
      <w:r w:rsidRPr="004617A7">
        <w:rPr>
          <w:sz w:val="16"/>
          <w:szCs w:val="16"/>
        </w:rPr>
        <w:t>2018.gada SEG inventarizācija</w:t>
      </w:r>
      <w:r>
        <w:rPr>
          <w:sz w:val="16"/>
          <w:szCs w:val="16"/>
        </w:rPr>
        <w:t>:</w:t>
      </w:r>
      <w:r>
        <w:t xml:space="preserve"> </w:t>
      </w:r>
      <w:r w:rsidRPr="0041381D">
        <w:t>https://unfccc.int/process-and-meetings/transparency-and-reporting/reporting-and-review-under-the-convention/greenhouse-gas-inventories-annex-i-parties/national-inventory-submissions-2018</w:t>
      </w:r>
    </w:p>
  </w:footnote>
  <w:footnote w:id="7">
    <w:p w14:paraId="001148BA" w14:textId="77777777" w:rsidR="00CD75C3" w:rsidRPr="00DF6819" w:rsidRDefault="00CD75C3" w:rsidP="00496681">
      <w:pPr>
        <w:pStyle w:val="FootnoteText"/>
      </w:pPr>
      <w:r w:rsidRPr="00DF6819">
        <w:rPr>
          <w:rStyle w:val="FootnoteReference"/>
          <w:rFonts w:ascii="Times New Roman" w:hAnsi="Times New Roman"/>
        </w:rPr>
        <w:t>[1]</w:t>
      </w:r>
      <w:r w:rsidRPr="00DF6819">
        <w:t xml:space="preserve"> NEET jaunietis -jaunietis, kas nav iesaistīts, ne nodarbinātībā, ne izglītībā, ne mācībās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71131"/>
      <w:docPartObj>
        <w:docPartGallery w:val="Page Numbers (Top of Page)"/>
        <w:docPartUnique/>
      </w:docPartObj>
    </w:sdtPr>
    <w:sdtEndPr>
      <w:rPr>
        <w:noProof/>
      </w:rPr>
    </w:sdtEndPr>
    <w:sdtContent>
      <w:p w14:paraId="63AF4C4E" w14:textId="07B9A6EB" w:rsidR="00CD75C3" w:rsidRDefault="00CD75C3">
        <w:pPr>
          <w:pStyle w:val="Header"/>
          <w:jc w:val="right"/>
        </w:pPr>
        <w:r>
          <w:fldChar w:fldCharType="begin"/>
        </w:r>
        <w:r>
          <w:instrText xml:space="preserve"> PAGE   \* MERGEFORMAT </w:instrText>
        </w:r>
        <w:r>
          <w:fldChar w:fldCharType="separate"/>
        </w:r>
        <w:r w:rsidR="006D5490">
          <w:rPr>
            <w:noProof/>
          </w:rPr>
          <w:t>48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27479"/>
      <w:docPartObj>
        <w:docPartGallery w:val="Page Numbers (Top of Page)"/>
        <w:docPartUnique/>
      </w:docPartObj>
    </w:sdtPr>
    <w:sdtEndPr>
      <w:rPr>
        <w:noProof/>
      </w:rPr>
    </w:sdtEndPr>
    <w:sdtContent>
      <w:p w14:paraId="0DBFA1BB" w14:textId="77777777" w:rsidR="00CD75C3" w:rsidRDefault="00CD75C3">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0BAC3584" w14:textId="77777777" w:rsidR="00CD75C3" w:rsidRDefault="00CD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62F"/>
    <w:multiLevelType w:val="hybridMultilevel"/>
    <w:tmpl w:val="69D8EC74"/>
    <w:lvl w:ilvl="0" w:tplc="0426000F">
      <w:start w:val="1"/>
      <w:numFmt w:val="decimal"/>
      <w:lvlText w:val="%1."/>
      <w:lvlJc w:val="left"/>
      <w:pPr>
        <w:ind w:left="681" w:hanging="360"/>
      </w:p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 w15:restartNumberingAfterBreak="0">
    <w:nsid w:val="044E57B6"/>
    <w:multiLevelType w:val="hybridMultilevel"/>
    <w:tmpl w:val="771006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C1C3347"/>
    <w:multiLevelType w:val="hybridMultilevel"/>
    <w:tmpl w:val="B14C3594"/>
    <w:lvl w:ilvl="0" w:tplc="5336A1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E53CC"/>
    <w:multiLevelType w:val="hybridMultilevel"/>
    <w:tmpl w:val="FB66440A"/>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4663D5"/>
    <w:multiLevelType w:val="hybridMultilevel"/>
    <w:tmpl w:val="A2C4E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3E061C"/>
    <w:multiLevelType w:val="hybridMultilevel"/>
    <w:tmpl w:val="609CA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D5439"/>
    <w:multiLevelType w:val="hybridMultilevel"/>
    <w:tmpl w:val="8904D39E"/>
    <w:lvl w:ilvl="0" w:tplc="0426000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25EB68AC"/>
    <w:multiLevelType w:val="hybridMultilevel"/>
    <w:tmpl w:val="69D4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972FB9"/>
    <w:multiLevelType w:val="hybridMultilevel"/>
    <w:tmpl w:val="360CE9F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2A215FA6"/>
    <w:multiLevelType w:val="hybridMultilevel"/>
    <w:tmpl w:val="CAEEA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DC04E6"/>
    <w:multiLevelType w:val="hybridMultilevel"/>
    <w:tmpl w:val="24D69C0E"/>
    <w:lvl w:ilvl="0" w:tplc="7F266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5BD61F8"/>
    <w:multiLevelType w:val="hybridMultilevel"/>
    <w:tmpl w:val="041AC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8F3D4A"/>
    <w:multiLevelType w:val="hybridMultilevel"/>
    <w:tmpl w:val="DA58EACC"/>
    <w:lvl w:ilvl="0" w:tplc="C192843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4" w15:restartNumberingAfterBreak="0">
    <w:nsid w:val="54453509"/>
    <w:multiLevelType w:val="hybridMultilevel"/>
    <w:tmpl w:val="6CF21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9500D6"/>
    <w:multiLevelType w:val="hybridMultilevel"/>
    <w:tmpl w:val="3956E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0A60BA"/>
    <w:multiLevelType w:val="hybridMultilevel"/>
    <w:tmpl w:val="32960F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3783F9B"/>
    <w:multiLevelType w:val="hybridMultilevel"/>
    <w:tmpl w:val="AD1A561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4D61F4E"/>
    <w:multiLevelType w:val="hybridMultilevel"/>
    <w:tmpl w:val="5BA2C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8137DC8"/>
    <w:multiLevelType w:val="hybridMultilevel"/>
    <w:tmpl w:val="9C9A4B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4A3BA0"/>
    <w:multiLevelType w:val="hybridMultilevel"/>
    <w:tmpl w:val="CF3E20F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7F39AE"/>
    <w:multiLevelType w:val="hybridMultilevel"/>
    <w:tmpl w:val="2A22B0AA"/>
    <w:lvl w:ilvl="0" w:tplc="423EC5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CB7D05"/>
    <w:multiLevelType w:val="hybridMultilevel"/>
    <w:tmpl w:val="D61EC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112602"/>
    <w:multiLevelType w:val="hybridMultilevel"/>
    <w:tmpl w:val="93DE2D5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9284F47"/>
    <w:multiLevelType w:val="hybridMultilevel"/>
    <w:tmpl w:val="1D9A2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4C0DC3"/>
    <w:multiLevelType w:val="hybridMultilevel"/>
    <w:tmpl w:val="CDDE7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8E75DB"/>
    <w:multiLevelType w:val="hybridMultilevel"/>
    <w:tmpl w:val="57C6B91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F62342"/>
    <w:multiLevelType w:val="hybridMultilevel"/>
    <w:tmpl w:val="005059A6"/>
    <w:lvl w:ilvl="0" w:tplc="ABF2F01C">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num w:numId="1">
    <w:abstractNumId w:val="6"/>
  </w:num>
  <w:num w:numId="2">
    <w:abstractNumId w:val="17"/>
  </w:num>
  <w:num w:numId="3">
    <w:abstractNumId w:val="8"/>
  </w:num>
  <w:num w:numId="4">
    <w:abstractNumId w:val="24"/>
  </w:num>
  <w:num w:numId="5">
    <w:abstractNumId w:val="14"/>
  </w:num>
  <w:num w:numId="6">
    <w:abstractNumId w:val="13"/>
  </w:num>
  <w:num w:numId="7">
    <w:abstractNumId w:val="25"/>
  </w:num>
  <w:num w:numId="8">
    <w:abstractNumId w:val="12"/>
  </w:num>
  <w:num w:numId="9">
    <w:abstractNumId w:val="20"/>
  </w:num>
  <w:num w:numId="10">
    <w:abstractNumId w:val="1"/>
  </w:num>
  <w:num w:numId="11">
    <w:abstractNumId w:val="7"/>
  </w:num>
  <w:num w:numId="12">
    <w:abstractNumId w:val="0"/>
  </w:num>
  <w:num w:numId="13">
    <w:abstractNumId w:val="23"/>
  </w:num>
  <w:num w:numId="14">
    <w:abstractNumId w:val="26"/>
  </w:num>
  <w:num w:numId="15">
    <w:abstractNumId w:val="27"/>
  </w:num>
  <w:num w:numId="16">
    <w:abstractNumId w:val="5"/>
  </w:num>
  <w:num w:numId="17">
    <w:abstractNumId w:val="22"/>
  </w:num>
  <w:num w:numId="18">
    <w:abstractNumId w:val="15"/>
  </w:num>
  <w:num w:numId="19">
    <w:abstractNumId w:val="16"/>
  </w:num>
  <w:num w:numId="20">
    <w:abstractNumId w:val="4"/>
  </w:num>
  <w:num w:numId="21">
    <w:abstractNumId w:val="19"/>
  </w:num>
  <w:num w:numId="22">
    <w:abstractNumId w:val="2"/>
  </w:num>
  <w:num w:numId="23">
    <w:abstractNumId w:val="10"/>
  </w:num>
  <w:num w:numId="24">
    <w:abstractNumId w:val="21"/>
  </w:num>
  <w:num w:numId="25">
    <w:abstractNumId w:val="3"/>
  </w:num>
  <w:num w:numId="26">
    <w:abstractNumId w:val="18"/>
  </w:num>
  <w:num w:numId="27">
    <w:abstractNumId w:val="9"/>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20"/>
  <w:characterSpacingControl w:val="doNotCompress"/>
  <w:hdrShapeDefaults>
    <o:shapedefaults v:ext="edit" spidmax="4097"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56"/>
    <w:rsid w:val="0000038A"/>
    <w:rsid w:val="0000094C"/>
    <w:rsid w:val="00000D13"/>
    <w:rsid w:val="0000191C"/>
    <w:rsid w:val="000020C5"/>
    <w:rsid w:val="00002315"/>
    <w:rsid w:val="00002A73"/>
    <w:rsid w:val="0000329C"/>
    <w:rsid w:val="00003474"/>
    <w:rsid w:val="00003E2F"/>
    <w:rsid w:val="000048A0"/>
    <w:rsid w:val="00004A73"/>
    <w:rsid w:val="00004D93"/>
    <w:rsid w:val="000052FA"/>
    <w:rsid w:val="000061A5"/>
    <w:rsid w:val="000062EE"/>
    <w:rsid w:val="00006A6D"/>
    <w:rsid w:val="00006BD6"/>
    <w:rsid w:val="00006DD2"/>
    <w:rsid w:val="0001052E"/>
    <w:rsid w:val="00011568"/>
    <w:rsid w:val="00011E77"/>
    <w:rsid w:val="000124BF"/>
    <w:rsid w:val="00012824"/>
    <w:rsid w:val="00012DE8"/>
    <w:rsid w:val="00014041"/>
    <w:rsid w:val="00016D97"/>
    <w:rsid w:val="0001749E"/>
    <w:rsid w:val="0002156A"/>
    <w:rsid w:val="00021FE1"/>
    <w:rsid w:val="00022369"/>
    <w:rsid w:val="000225CE"/>
    <w:rsid w:val="000233FD"/>
    <w:rsid w:val="00023548"/>
    <w:rsid w:val="00023C3E"/>
    <w:rsid w:val="00023E2D"/>
    <w:rsid w:val="00024F65"/>
    <w:rsid w:val="0002544F"/>
    <w:rsid w:val="00025D7F"/>
    <w:rsid w:val="000270E3"/>
    <w:rsid w:val="00027681"/>
    <w:rsid w:val="0003112C"/>
    <w:rsid w:val="000318B2"/>
    <w:rsid w:val="0003226C"/>
    <w:rsid w:val="00032491"/>
    <w:rsid w:val="00032CE1"/>
    <w:rsid w:val="00032D04"/>
    <w:rsid w:val="00034B1C"/>
    <w:rsid w:val="00035496"/>
    <w:rsid w:val="000357A3"/>
    <w:rsid w:val="000365EA"/>
    <w:rsid w:val="00037D77"/>
    <w:rsid w:val="000409E2"/>
    <w:rsid w:val="00040EDF"/>
    <w:rsid w:val="00040F36"/>
    <w:rsid w:val="00041321"/>
    <w:rsid w:val="00042A66"/>
    <w:rsid w:val="00042FC7"/>
    <w:rsid w:val="000430B8"/>
    <w:rsid w:val="000437CE"/>
    <w:rsid w:val="00043B94"/>
    <w:rsid w:val="00043D23"/>
    <w:rsid w:val="0004418B"/>
    <w:rsid w:val="00044688"/>
    <w:rsid w:val="000448AD"/>
    <w:rsid w:val="00044A7B"/>
    <w:rsid w:val="00045692"/>
    <w:rsid w:val="000461AC"/>
    <w:rsid w:val="000467C2"/>
    <w:rsid w:val="00046A97"/>
    <w:rsid w:val="00046BCE"/>
    <w:rsid w:val="000521E5"/>
    <w:rsid w:val="00053007"/>
    <w:rsid w:val="00053086"/>
    <w:rsid w:val="0005315E"/>
    <w:rsid w:val="00054454"/>
    <w:rsid w:val="000548BF"/>
    <w:rsid w:val="000549B7"/>
    <w:rsid w:val="00054C89"/>
    <w:rsid w:val="000550B7"/>
    <w:rsid w:val="00055140"/>
    <w:rsid w:val="00055479"/>
    <w:rsid w:val="0005656C"/>
    <w:rsid w:val="000571F9"/>
    <w:rsid w:val="00060D92"/>
    <w:rsid w:val="000634FF"/>
    <w:rsid w:val="00063DE4"/>
    <w:rsid w:val="000673A8"/>
    <w:rsid w:val="00067454"/>
    <w:rsid w:val="0006756D"/>
    <w:rsid w:val="000676ED"/>
    <w:rsid w:val="00067A5D"/>
    <w:rsid w:val="000705E3"/>
    <w:rsid w:val="00070BC1"/>
    <w:rsid w:val="00071EF8"/>
    <w:rsid w:val="0007398C"/>
    <w:rsid w:val="00074DDB"/>
    <w:rsid w:val="00075C71"/>
    <w:rsid w:val="00076DE6"/>
    <w:rsid w:val="000774F7"/>
    <w:rsid w:val="0007787A"/>
    <w:rsid w:val="00081726"/>
    <w:rsid w:val="00081B36"/>
    <w:rsid w:val="0008285F"/>
    <w:rsid w:val="000833EE"/>
    <w:rsid w:val="00083DC0"/>
    <w:rsid w:val="00084FF5"/>
    <w:rsid w:val="000851D6"/>
    <w:rsid w:val="00085372"/>
    <w:rsid w:val="0008546B"/>
    <w:rsid w:val="000855EA"/>
    <w:rsid w:val="00085D9A"/>
    <w:rsid w:val="00085F95"/>
    <w:rsid w:val="000861D0"/>
    <w:rsid w:val="000868D8"/>
    <w:rsid w:val="00086FE4"/>
    <w:rsid w:val="00087808"/>
    <w:rsid w:val="00087ECA"/>
    <w:rsid w:val="000901B5"/>
    <w:rsid w:val="00092708"/>
    <w:rsid w:val="00092BBA"/>
    <w:rsid w:val="0009310C"/>
    <w:rsid w:val="00094ADD"/>
    <w:rsid w:val="00096D57"/>
    <w:rsid w:val="00097545"/>
    <w:rsid w:val="00097E66"/>
    <w:rsid w:val="000A03E8"/>
    <w:rsid w:val="000A0699"/>
    <w:rsid w:val="000A1A54"/>
    <w:rsid w:val="000A25F5"/>
    <w:rsid w:val="000A5529"/>
    <w:rsid w:val="000A6041"/>
    <w:rsid w:val="000A6324"/>
    <w:rsid w:val="000A691D"/>
    <w:rsid w:val="000A6FF8"/>
    <w:rsid w:val="000A7E64"/>
    <w:rsid w:val="000A7E91"/>
    <w:rsid w:val="000B0881"/>
    <w:rsid w:val="000B12B3"/>
    <w:rsid w:val="000B17F7"/>
    <w:rsid w:val="000B328C"/>
    <w:rsid w:val="000B3E03"/>
    <w:rsid w:val="000B68A1"/>
    <w:rsid w:val="000B7045"/>
    <w:rsid w:val="000C03FB"/>
    <w:rsid w:val="000C0876"/>
    <w:rsid w:val="000C2A69"/>
    <w:rsid w:val="000C30AE"/>
    <w:rsid w:val="000C3FFF"/>
    <w:rsid w:val="000C4964"/>
    <w:rsid w:val="000C515F"/>
    <w:rsid w:val="000C51ED"/>
    <w:rsid w:val="000C53FD"/>
    <w:rsid w:val="000C5D49"/>
    <w:rsid w:val="000C7BB3"/>
    <w:rsid w:val="000D1AB0"/>
    <w:rsid w:val="000D29EE"/>
    <w:rsid w:val="000D2D1F"/>
    <w:rsid w:val="000D407D"/>
    <w:rsid w:val="000D4427"/>
    <w:rsid w:val="000D6A66"/>
    <w:rsid w:val="000D6D12"/>
    <w:rsid w:val="000D6DBE"/>
    <w:rsid w:val="000D6E7B"/>
    <w:rsid w:val="000D730A"/>
    <w:rsid w:val="000E07CF"/>
    <w:rsid w:val="000E13CE"/>
    <w:rsid w:val="000E281E"/>
    <w:rsid w:val="000E2A20"/>
    <w:rsid w:val="000E31A2"/>
    <w:rsid w:val="000E3954"/>
    <w:rsid w:val="000E3CB3"/>
    <w:rsid w:val="000E3FD6"/>
    <w:rsid w:val="000E42F5"/>
    <w:rsid w:val="000E49D3"/>
    <w:rsid w:val="000E5433"/>
    <w:rsid w:val="000E6165"/>
    <w:rsid w:val="000E6B7D"/>
    <w:rsid w:val="000E754C"/>
    <w:rsid w:val="000E7810"/>
    <w:rsid w:val="000F02ED"/>
    <w:rsid w:val="000F04E2"/>
    <w:rsid w:val="000F1311"/>
    <w:rsid w:val="000F1429"/>
    <w:rsid w:val="000F1FCB"/>
    <w:rsid w:val="000F240F"/>
    <w:rsid w:val="000F2A7B"/>
    <w:rsid w:val="000F2C16"/>
    <w:rsid w:val="000F3CD8"/>
    <w:rsid w:val="000F52CD"/>
    <w:rsid w:val="000F5417"/>
    <w:rsid w:val="000F57F7"/>
    <w:rsid w:val="000F5BEE"/>
    <w:rsid w:val="000F5C3B"/>
    <w:rsid w:val="000F61BD"/>
    <w:rsid w:val="000F61D9"/>
    <w:rsid w:val="000F6956"/>
    <w:rsid w:val="000F69C9"/>
    <w:rsid w:val="00100E93"/>
    <w:rsid w:val="00102F37"/>
    <w:rsid w:val="001034C5"/>
    <w:rsid w:val="00103B5C"/>
    <w:rsid w:val="0010615E"/>
    <w:rsid w:val="00107299"/>
    <w:rsid w:val="0011050B"/>
    <w:rsid w:val="00110AC8"/>
    <w:rsid w:val="00111079"/>
    <w:rsid w:val="00111103"/>
    <w:rsid w:val="00111F8F"/>
    <w:rsid w:val="0011298C"/>
    <w:rsid w:val="00112D09"/>
    <w:rsid w:val="0011313F"/>
    <w:rsid w:val="001135DE"/>
    <w:rsid w:val="001137E4"/>
    <w:rsid w:val="00113E0D"/>
    <w:rsid w:val="00117618"/>
    <w:rsid w:val="00120262"/>
    <w:rsid w:val="0012103D"/>
    <w:rsid w:val="00121CC8"/>
    <w:rsid w:val="00123163"/>
    <w:rsid w:val="0012489F"/>
    <w:rsid w:val="0012644F"/>
    <w:rsid w:val="00126B21"/>
    <w:rsid w:val="00126B30"/>
    <w:rsid w:val="001273EB"/>
    <w:rsid w:val="001314F1"/>
    <w:rsid w:val="0013257F"/>
    <w:rsid w:val="001329C2"/>
    <w:rsid w:val="00133159"/>
    <w:rsid w:val="00133517"/>
    <w:rsid w:val="00133C11"/>
    <w:rsid w:val="00133FCE"/>
    <w:rsid w:val="00134081"/>
    <w:rsid w:val="0013431E"/>
    <w:rsid w:val="00134F45"/>
    <w:rsid w:val="001367D7"/>
    <w:rsid w:val="001372AB"/>
    <w:rsid w:val="00137860"/>
    <w:rsid w:val="001412EF"/>
    <w:rsid w:val="00142116"/>
    <w:rsid w:val="0014252C"/>
    <w:rsid w:val="001429E2"/>
    <w:rsid w:val="00142CBA"/>
    <w:rsid w:val="001431B2"/>
    <w:rsid w:val="00143C71"/>
    <w:rsid w:val="00146D1F"/>
    <w:rsid w:val="00146EA3"/>
    <w:rsid w:val="001477D8"/>
    <w:rsid w:val="001507D4"/>
    <w:rsid w:val="00150E39"/>
    <w:rsid w:val="001511BE"/>
    <w:rsid w:val="00151D76"/>
    <w:rsid w:val="00151FC8"/>
    <w:rsid w:val="001523FB"/>
    <w:rsid w:val="0015285E"/>
    <w:rsid w:val="00152BEB"/>
    <w:rsid w:val="0015337F"/>
    <w:rsid w:val="00154514"/>
    <w:rsid w:val="00154DB0"/>
    <w:rsid w:val="00154E19"/>
    <w:rsid w:val="001553F1"/>
    <w:rsid w:val="001563FD"/>
    <w:rsid w:val="00156D99"/>
    <w:rsid w:val="0015701E"/>
    <w:rsid w:val="00157462"/>
    <w:rsid w:val="00157E57"/>
    <w:rsid w:val="0016010A"/>
    <w:rsid w:val="00160C02"/>
    <w:rsid w:val="00161A23"/>
    <w:rsid w:val="00161EBA"/>
    <w:rsid w:val="001622B6"/>
    <w:rsid w:val="00163232"/>
    <w:rsid w:val="0016351E"/>
    <w:rsid w:val="00163B37"/>
    <w:rsid w:val="0016508C"/>
    <w:rsid w:val="00166699"/>
    <w:rsid w:val="00166AE2"/>
    <w:rsid w:val="00167449"/>
    <w:rsid w:val="00167825"/>
    <w:rsid w:val="00167EB2"/>
    <w:rsid w:val="001709BE"/>
    <w:rsid w:val="00171512"/>
    <w:rsid w:val="001728E1"/>
    <w:rsid w:val="00172D87"/>
    <w:rsid w:val="00173466"/>
    <w:rsid w:val="00173E8D"/>
    <w:rsid w:val="00174C27"/>
    <w:rsid w:val="00174C28"/>
    <w:rsid w:val="00174F89"/>
    <w:rsid w:val="0017780F"/>
    <w:rsid w:val="001778EF"/>
    <w:rsid w:val="00180471"/>
    <w:rsid w:val="00181266"/>
    <w:rsid w:val="00182BC5"/>
    <w:rsid w:val="0018358E"/>
    <w:rsid w:val="001859FF"/>
    <w:rsid w:val="00185D29"/>
    <w:rsid w:val="00185EE1"/>
    <w:rsid w:val="001863D2"/>
    <w:rsid w:val="00186AF9"/>
    <w:rsid w:val="0018734F"/>
    <w:rsid w:val="001878FE"/>
    <w:rsid w:val="00187D66"/>
    <w:rsid w:val="00190347"/>
    <w:rsid w:val="00190C6F"/>
    <w:rsid w:val="00191889"/>
    <w:rsid w:val="00192F1E"/>
    <w:rsid w:val="0019363C"/>
    <w:rsid w:val="00193AA6"/>
    <w:rsid w:val="00193D91"/>
    <w:rsid w:val="00194EA1"/>
    <w:rsid w:val="00195423"/>
    <w:rsid w:val="001954B6"/>
    <w:rsid w:val="0019579A"/>
    <w:rsid w:val="001A109E"/>
    <w:rsid w:val="001A1102"/>
    <w:rsid w:val="001A1170"/>
    <w:rsid w:val="001A11D2"/>
    <w:rsid w:val="001A18CC"/>
    <w:rsid w:val="001A2142"/>
    <w:rsid w:val="001A2704"/>
    <w:rsid w:val="001A28D9"/>
    <w:rsid w:val="001A2DA3"/>
    <w:rsid w:val="001A4C59"/>
    <w:rsid w:val="001A4D06"/>
    <w:rsid w:val="001A537A"/>
    <w:rsid w:val="001A58D8"/>
    <w:rsid w:val="001A59C9"/>
    <w:rsid w:val="001A5C16"/>
    <w:rsid w:val="001A6612"/>
    <w:rsid w:val="001A77E7"/>
    <w:rsid w:val="001B0074"/>
    <w:rsid w:val="001B130F"/>
    <w:rsid w:val="001B1A50"/>
    <w:rsid w:val="001B20A9"/>
    <w:rsid w:val="001B2AF5"/>
    <w:rsid w:val="001B3555"/>
    <w:rsid w:val="001B41A6"/>
    <w:rsid w:val="001B47DC"/>
    <w:rsid w:val="001B50EF"/>
    <w:rsid w:val="001B5A43"/>
    <w:rsid w:val="001B69A1"/>
    <w:rsid w:val="001B6A4A"/>
    <w:rsid w:val="001C1FC4"/>
    <w:rsid w:val="001C28CF"/>
    <w:rsid w:val="001C3383"/>
    <w:rsid w:val="001C3C00"/>
    <w:rsid w:val="001C4719"/>
    <w:rsid w:val="001C47DC"/>
    <w:rsid w:val="001C497F"/>
    <w:rsid w:val="001C7411"/>
    <w:rsid w:val="001D1158"/>
    <w:rsid w:val="001D1970"/>
    <w:rsid w:val="001D1AD7"/>
    <w:rsid w:val="001D2E43"/>
    <w:rsid w:val="001D3936"/>
    <w:rsid w:val="001D4221"/>
    <w:rsid w:val="001D45F3"/>
    <w:rsid w:val="001D4739"/>
    <w:rsid w:val="001D543D"/>
    <w:rsid w:val="001D56AF"/>
    <w:rsid w:val="001D5709"/>
    <w:rsid w:val="001D5CC2"/>
    <w:rsid w:val="001D635A"/>
    <w:rsid w:val="001D7D04"/>
    <w:rsid w:val="001E0291"/>
    <w:rsid w:val="001E1359"/>
    <w:rsid w:val="001E1E2D"/>
    <w:rsid w:val="001E1F67"/>
    <w:rsid w:val="001E2B50"/>
    <w:rsid w:val="001E4A65"/>
    <w:rsid w:val="001E4C09"/>
    <w:rsid w:val="001E5EF4"/>
    <w:rsid w:val="001E62C1"/>
    <w:rsid w:val="001E6929"/>
    <w:rsid w:val="001E6AFE"/>
    <w:rsid w:val="001E6B86"/>
    <w:rsid w:val="001E77E3"/>
    <w:rsid w:val="001E7F5F"/>
    <w:rsid w:val="001F01C1"/>
    <w:rsid w:val="001F0444"/>
    <w:rsid w:val="001F04CA"/>
    <w:rsid w:val="001F1CC8"/>
    <w:rsid w:val="001F23F6"/>
    <w:rsid w:val="001F40C1"/>
    <w:rsid w:val="001F40F6"/>
    <w:rsid w:val="001F4DCA"/>
    <w:rsid w:val="001F55A4"/>
    <w:rsid w:val="001F5AEA"/>
    <w:rsid w:val="001F6968"/>
    <w:rsid w:val="001F6F6E"/>
    <w:rsid w:val="001F7141"/>
    <w:rsid w:val="00200AFF"/>
    <w:rsid w:val="00201D70"/>
    <w:rsid w:val="00202216"/>
    <w:rsid w:val="0020255E"/>
    <w:rsid w:val="00202C63"/>
    <w:rsid w:val="00203D1A"/>
    <w:rsid w:val="0020426E"/>
    <w:rsid w:val="002048B4"/>
    <w:rsid w:val="00205F98"/>
    <w:rsid w:val="0020691E"/>
    <w:rsid w:val="00206C85"/>
    <w:rsid w:val="00210120"/>
    <w:rsid w:val="002123CA"/>
    <w:rsid w:val="002131F7"/>
    <w:rsid w:val="00213EB4"/>
    <w:rsid w:val="00214BAD"/>
    <w:rsid w:val="00214D4E"/>
    <w:rsid w:val="00215062"/>
    <w:rsid w:val="00220013"/>
    <w:rsid w:val="00220066"/>
    <w:rsid w:val="002202E5"/>
    <w:rsid w:val="00220758"/>
    <w:rsid w:val="00222993"/>
    <w:rsid w:val="00222B38"/>
    <w:rsid w:val="00223304"/>
    <w:rsid w:val="00224E7E"/>
    <w:rsid w:val="00225205"/>
    <w:rsid w:val="00225345"/>
    <w:rsid w:val="00225530"/>
    <w:rsid w:val="00225EF9"/>
    <w:rsid w:val="00225EFF"/>
    <w:rsid w:val="002275E8"/>
    <w:rsid w:val="0022783B"/>
    <w:rsid w:val="00227C3B"/>
    <w:rsid w:val="00231542"/>
    <w:rsid w:val="00231CA7"/>
    <w:rsid w:val="00233A74"/>
    <w:rsid w:val="002340E1"/>
    <w:rsid w:val="00234823"/>
    <w:rsid w:val="0023518A"/>
    <w:rsid w:val="00236099"/>
    <w:rsid w:val="002362D9"/>
    <w:rsid w:val="00236734"/>
    <w:rsid w:val="0023718E"/>
    <w:rsid w:val="00237378"/>
    <w:rsid w:val="00237652"/>
    <w:rsid w:val="0024036E"/>
    <w:rsid w:val="002405FE"/>
    <w:rsid w:val="00241A3D"/>
    <w:rsid w:val="002422CE"/>
    <w:rsid w:val="00242409"/>
    <w:rsid w:val="0024255B"/>
    <w:rsid w:val="0024326E"/>
    <w:rsid w:val="00243A27"/>
    <w:rsid w:val="00245AD2"/>
    <w:rsid w:val="00247851"/>
    <w:rsid w:val="00247A00"/>
    <w:rsid w:val="00247BB4"/>
    <w:rsid w:val="002500C6"/>
    <w:rsid w:val="00250CDC"/>
    <w:rsid w:val="002519DC"/>
    <w:rsid w:val="00251CD7"/>
    <w:rsid w:val="002522F2"/>
    <w:rsid w:val="00252717"/>
    <w:rsid w:val="00252A22"/>
    <w:rsid w:val="00252A61"/>
    <w:rsid w:val="00252D30"/>
    <w:rsid w:val="0025316E"/>
    <w:rsid w:val="0025340E"/>
    <w:rsid w:val="00253FAD"/>
    <w:rsid w:val="002546DD"/>
    <w:rsid w:val="0025532E"/>
    <w:rsid w:val="00255B0A"/>
    <w:rsid w:val="00255BA9"/>
    <w:rsid w:val="00257A39"/>
    <w:rsid w:val="002617AF"/>
    <w:rsid w:val="00261BD2"/>
    <w:rsid w:val="002622DC"/>
    <w:rsid w:val="002651B4"/>
    <w:rsid w:val="00265290"/>
    <w:rsid w:val="0026605B"/>
    <w:rsid w:val="00266356"/>
    <w:rsid w:val="00266CF3"/>
    <w:rsid w:val="00267CD3"/>
    <w:rsid w:val="00270021"/>
    <w:rsid w:val="00271789"/>
    <w:rsid w:val="00272043"/>
    <w:rsid w:val="0027236C"/>
    <w:rsid w:val="00272FF4"/>
    <w:rsid w:val="002738FA"/>
    <w:rsid w:val="00274146"/>
    <w:rsid w:val="0027687A"/>
    <w:rsid w:val="002778E5"/>
    <w:rsid w:val="002807F8"/>
    <w:rsid w:val="002829DA"/>
    <w:rsid w:val="00283B8B"/>
    <w:rsid w:val="0028579E"/>
    <w:rsid w:val="00287764"/>
    <w:rsid w:val="00291ABE"/>
    <w:rsid w:val="002926A6"/>
    <w:rsid w:val="0029395A"/>
    <w:rsid w:val="00293D4D"/>
    <w:rsid w:val="0029434D"/>
    <w:rsid w:val="0029439E"/>
    <w:rsid w:val="00294420"/>
    <w:rsid w:val="002960E3"/>
    <w:rsid w:val="00296E94"/>
    <w:rsid w:val="00296F8E"/>
    <w:rsid w:val="00297E09"/>
    <w:rsid w:val="002A03FF"/>
    <w:rsid w:val="002A1EA8"/>
    <w:rsid w:val="002A1F83"/>
    <w:rsid w:val="002A3F2F"/>
    <w:rsid w:val="002A406D"/>
    <w:rsid w:val="002A44D1"/>
    <w:rsid w:val="002A4DE0"/>
    <w:rsid w:val="002A63FE"/>
    <w:rsid w:val="002A677B"/>
    <w:rsid w:val="002A7C9A"/>
    <w:rsid w:val="002B0FF8"/>
    <w:rsid w:val="002B225F"/>
    <w:rsid w:val="002B22B5"/>
    <w:rsid w:val="002B244F"/>
    <w:rsid w:val="002B2A2A"/>
    <w:rsid w:val="002B3045"/>
    <w:rsid w:val="002B3C12"/>
    <w:rsid w:val="002B402C"/>
    <w:rsid w:val="002B43EF"/>
    <w:rsid w:val="002B6A1F"/>
    <w:rsid w:val="002C0396"/>
    <w:rsid w:val="002C0523"/>
    <w:rsid w:val="002C1175"/>
    <w:rsid w:val="002C118A"/>
    <w:rsid w:val="002C1C16"/>
    <w:rsid w:val="002C2179"/>
    <w:rsid w:val="002C25E4"/>
    <w:rsid w:val="002C3CC1"/>
    <w:rsid w:val="002C4465"/>
    <w:rsid w:val="002C5A20"/>
    <w:rsid w:val="002C6826"/>
    <w:rsid w:val="002C7BC1"/>
    <w:rsid w:val="002D07B5"/>
    <w:rsid w:val="002D09C6"/>
    <w:rsid w:val="002D0A34"/>
    <w:rsid w:val="002D1987"/>
    <w:rsid w:val="002D3003"/>
    <w:rsid w:val="002D356E"/>
    <w:rsid w:val="002D47AE"/>
    <w:rsid w:val="002D4C4A"/>
    <w:rsid w:val="002D54A5"/>
    <w:rsid w:val="002D5EB9"/>
    <w:rsid w:val="002D6200"/>
    <w:rsid w:val="002D62B9"/>
    <w:rsid w:val="002D6C72"/>
    <w:rsid w:val="002D6F2B"/>
    <w:rsid w:val="002D72BF"/>
    <w:rsid w:val="002D7837"/>
    <w:rsid w:val="002D7867"/>
    <w:rsid w:val="002E102C"/>
    <w:rsid w:val="002E1381"/>
    <w:rsid w:val="002E1FBD"/>
    <w:rsid w:val="002E20C1"/>
    <w:rsid w:val="002E22AB"/>
    <w:rsid w:val="002E27DC"/>
    <w:rsid w:val="002E357B"/>
    <w:rsid w:val="002E370C"/>
    <w:rsid w:val="002E37C1"/>
    <w:rsid w:val="002E3D3D"/>
    <w:rsid w:val="002E4031"/>
    <w:rsid w:val="002E4551"/>
    <w:rsid w:val="002E4757"/>
    <w:rsid w:val="002E5780"/>
    <w:rsid w:val="002E5CBB"/>
    <w:rsid w:val="002E62E1"/>
    <w:rsid w:val="002E69AE"/>
    <w:rsid w:val="002E704F"/>
    <w:rsid w:val="002E734A"/>
    <w:rsid w:val="002F0C44"/>
    <w:rsid w:val="002F2067"/>
    <w:rsid w:val="002F29B6"/>
    <w:rsid w:val="002F36E1"/>
    <w:rsid w:val="002F3EC6"/>
    <w:rsid w:val="002F56D0"/>
    <w:rsid w:val="002F656C"/>
    <w:rsid w:val="002F77FD"/>
    <w:rsid w:val="003001ED"/>
    <w:rsid w:val="003014FE"/>
    <w:rsid w:val="0030350B"/>
    <w:rsid w:val="00303C4C"/>
    <w:rsid w:val="00304032"/>
    <w:rsid w:val="00304205"/>
    <w:rsid w:val="00304735"/>
    <w:rsid w:val="00304D6D"/>
    <w:rsid w:val="0030767E"/>
    <w:rsid w:val="00310713"/>
    <w:rsid w:val="00310C03"/>
    <w:rsid w:val="00311BF6"/>
    <w:rsid w:val="003123F5"/>
    <w:rsid w:val="00312963"/>
    <w:rsid w:val="00312CC8"/>
    <w:rsid w:val="00314704"/>
    <w:rsid w:val="003148B4"/>
    <w:rsid w:val="00314BED"/>
    <w:rsid w:val="00314FA1"/>
    <w:rsid w:val="003150E1"/>
    <w:rsid w:val="0031549A"/>
    <w:rsid w:val="003156ED"/>
    <w:rsid w:val="0031631E"/>
    <w:rsid w:val="00316611"/>
    <w:rsid w:val="00316FDE"/>
    <w:rsid w:val="00320B06"/>
    <w:rsid w:val="00320B19"/>
    <w:rsid w:val="0032151C"/>
    <w:rsid w:val="0032204D"/>
    <w:rsid w:val="003229BD"/>
    <w:rsid w:val="00322A76"/>
    <w:rsid w:val="00323B3B"/>
    <w:rsid w:val="0032415C"/>
    <w:rsid w:val="0032446A"/>
    <w:rsid w:val="00325A52"/>
    <w:rsid w:val="003266F4"/>
    <w:rsid w:val="00327E5B"/>
    <w:rsid w:val="00331379"/>
    <w:rsid w:val="003318B1"/>
    <w:rsid w:val="003322D4"/>
    <w:rsid w:val="003322DA"/>
    <w:rsid w:val="003324D5"/>
    <w:rsid w:val="003350A5"/>
    <w:rsid w:val="00335209"/>
    <w:rsid w:val="00335AF5"/>
    <w:rsid w:val="00335D5A"/>
    <w:rsid w:val="00335F62"/>
    <w:rsid w:val="00336495"/>
    <w:rsid w:val="00336C6C"/>
    <w:rsid w:val="00337AD4"/>
    <w:rsid w:val="0034003C"/>
    <w:rsid w:val="0034064D"/>
    <w:rsid w:val="00340C17"/>
    <w:rsid w:val="00340E24"/>
    <w:rsid w:val="00341686"/>
    <w:rsid w:val="00341E48"/>
    <w:rsid w:val="00341ED5"/>
    <w:rsid w:val="00342941"/>
    <w:rsid w:val="00344968"/>
    <w:rsid w:val="00345E0D"/>
    <w:rsid w:val="00346C0B"/>
    <w:rsid w:val="0034726F"/>
    <w:rsid w:val="00347F77"/>
    <w:rsid w:val="00350C95"/>
    <w:rsid w:val="0035118C"/>
    <w:rsid w:val="00351763"/>
    <w:rsid w:val="003533FD"/>
    <w:rsid w:val="00353A2C"/>
    <w:rsid w:val="00355286"/>
    <w:rsid w:val="0035548E"/>
    <w:rsid w:val="00356B1E"/>
    <w:rsid w:val="00357357"/>
    <w:rsid w:val="0035776A"/>
    <w:rsid w:val="00357827"/>
    <w:rsid w:val="00360FF6"/>
    <w:rsid w:val="00361AA7"/>
    <w:rsid w:val="00362912"/>
    <w:rsid w:val="0036489D"/>
    <w:rsid w:val="00365765"/>
    <w:rsid w:val="00366472"/>
    <w:rsid w:val="0037075E"/>
    <w:rsid w:val="003708F5"/>
    <w:rsid w:val="00372D8A"/>
    <w:rsid w:val="00372FDF"/>
    <w:rsid w:val="00375924"/>
    <w:rsid w:val="0037618B"/>
    <w:rsid w:val="00376953"/>
    <w:rsid w:val="00377FB2"/>
    <w:rsid w:val="0038002F"/>
    <w:rsid w:val="003805AC"/>
    <w:rsid w:val="00381267"/>
    <w:rsid w:val="00382BC7"/>
    <w:rsid w:val="00383397"/>
    <w:rsid w:val="00383DBE"/>
    <w:rsid w:val="00384B13"/>
    <w:rsid w:val="00384FF6"/>
    <w:rsid w:val="00387003"/>
    <w:rsid w:val="00387E6A"/>
    <w:rsid w:val="00390F0D"/>
    <w:rsid w:val="00391811"/>
    <w:rsid w:val="00391B7D"/>
    <w:rsid w:val="00391E66"/>
    <w:rsid w:val="003926CE"/>
    <w:rsid w:val="003941BE"/>
    <w:rsid w:val="003942F8"/>
    <w:rsid w:val="00394924"/>
    <w:rsid w:val="00395614"/>
    <w:rsid w:val="00395639"/>
    <w:rsid w:val="00395DFF"/>
    <w:rsid w:val="00396AA6"/>
    <w:rsid w:val="00397019"/>
    <w:rsid w:val="0039733F"/>
    <w:rsid w:val="00397EDD"/>
    <w:rsid w:val="003A104F"/>
    <w:rsid w:val="003A1ACE"/>
    <w:rsid w:val="003A1F5B"/>
    <w:rsid w:val="003A275E"/>
    <w:rsid w:val="003A2E39"/>
    <w:rsid w:val="003A374E"/>
    <w:rsid w:val="003A443A"/>
    <w:rsid w:val="003A4878"/>
    <w:rsid w:val="003A579F"/>
    <w:rsid w:val="003A5CE4"/>
    <w:rsid w:val="003A5DC4"/>
    <w:rsid w:val="003A63D1"/>
    <w:rsid w:val="003A6E78"/>
    <w:rsid w:val="003A7670"/>
    <w:rsid w:val="003B097A"/>
    <w:rsid w:val="003B0A25"/>
    <w:rsid w:val="003B0CEE"/>
    <w:rsid w:val="003B2D50"/>
    <w:rsid w:val="003B352E"/>
    <w:rsid w:val="003B3EB1"/>
    <w:rsid w:val="003B3EC9"/>
    <w:rsid w:val="003B4B8C"/>
    <w:rsid w:val="003B4D25"/>
    <w:rsid w:val="003B5657"/>
    <w:rsid w:val="003B571A"/>
    <w:rsid w:val="003B5C07"/>
    <w:rsid w:val="003B738E"/>
    <w:rsid w:val="003B7650"/>
    <w:rsid w:val="003C07E4"/>
    <w:rsid w:val="003C0BB7"/>
    <w:rsid w:val="003C1B28"/>
    <w:rsid w:val="003C3233"/>
    <w:rsid w:val="003C398E"/>
    <w:rsid w:val="003C3CBF"/>
    <w:rsid w:val="003C423D"/>
    <w:rsid w:val="003C425C"/>
    <w:rsid w:val="003C4749"/>
    <w:rsid w:val="003C560C"/>
    <w:rsid w:val="003C5927"/>
    <w:rsid w:val="003C6E84"/>
    <w:rsid w:val="003C6FA6"/>
    <w:rsid w:val="003D06AA"/>
    <w:rsid w:val="003D07FA"/>
    <w:rsid w:val="003D351D"/>
    <w:rsid w:val="003D37AE"/>
    <w:rsid w:val="003D395E"/>
    <w:rsid w:val="003D3FE7"/>
    <w:rsid w:val="003D4464"/>
    <w:rsid w:val="003D4A06"/>
    <w:rsid w:val="003D4AF8"/>
    <w:rsid w:val="003D4CDB"/>
    <w:rsid w:val="003D5A3E"/>
    <w:rsid w:val="003D69B8"/>
    <w:rsid w:val="003D703E"/>
    <w:rsid w:val="003E011A"/>
    <w:rsid w:val="003E037A"/>
    <w:rsid w:val="003E1708"/>
    <w:rsid w:val="003E2290"/>
    <w:rsid w:val="003E2421"/>
    <w:rsid w:val="003E30F4"/>
    <w:rsid w:val="003E43B7"/>
    <w:rsid w:val="003E50FB"/>
    <w:rsid w:val="003E52AE"/>
    <w:rsid w:val="003E540C"/>
    <w:rsid w:val="003E5B5A"/>
    <w:rsid w:val="003E5F61"/>
    <w:rsid w:val="003E6294"/>
    <w:rsid w:val="003F0BAB"/>
    <w:rsid w:val="003F1283"/>
    <w:rsid w:val="003F2358"/>
    <w:rsid w:val="003F2FAA"/>
    <w:rsid w:val="003F4D64"/>
    <w:rsid w:val="003F4DE5"/>
    <w:rsid w:val="003F58BD"/>
    <w:rsid w:val="003F5998"/>
    <w:rsid w:val="003F612D"/>
    <w:rsid w:val="003F61A1"/>
    <w:rsid w:val="003F7493"/>
    <w:rsid w:val="003F7938"/>
    <w:rsid w:val="003F7A1B"/>
    <w:rsid w:val="00400CF5"/>
    <w:rsid w:val="00400D5C"/>
    <w:rsid w:val="0040131F"/>
    <w:rsid w:val="004019EE"/>
    <w:rsid w:val="00404ECD"/>
    <w:rsid w:val="00405107"/>
    <w:rsid w:val="0040603C"/>
    <w:rsid w:val="004073E7"/>
    <w:rsid w:val="00407459"/>
    <w:rsid w:val="00407643"/>
    <w:rsid w:val="004103B1"/>
    <w:rsid w:val="00411849"/>
    <w:rsid w:val="00411B17"/>
    <w:rsid w:val="00412152"/>
    <w:rsid w:val="004126AC"/>
    <w:rsid w:val="004132A0"/>
    <w:rsid w:val="0041373B"/>
    <w:rsid w:val="004146B6"/>
    <w:rsid w:val="00414BFC"/>
    <w:rsid w:val="00414CC1"/>
    <w:rsid w:val="00415018"/>
    <w:rsid w:val="0041664E"/>
    <w:rsid w:val="00416CD6"/>
    <w:rsid w:val="004171A5"/>
    <w:rsid w:val="00417252"/>
    <w:rsid w:val="00417399"/>
    <w:rsid w:val="00417EB9"/>
    <w:rsid w:val="004203C2"/>
    <w:rsid w:val="004204B5"/>
    <w:rsid w:val="00421E54"/>
    <w:rsid w:val="0042200D"/>
    <w:rsid w:val="004221AB"/>
    <w:rsid w:val="00422474"/>
    <w:rsid w:val="00422D26"/>
    <w:rsid w:val="00423131"/>
    <w:rsid w:val="00423C48"/>
    <w:rsid w:val="004244A7"/>
    <w:rsid w:val="00426797"/>
    <w:rsid w:val="00430175"/>
    <w:rsid w:val="00431321"/>
    <w:rsid w:val="00433760"/>
    <w:rsid w:val="004347CA"/>
    <w:rsid w:val="004355B1"/>
    <w:rsid w:val="00435998"/>
    <w:rsid w:val="00435DD0"/>
    <w:rsid w:val="00436551"/>
    <w:rsid w:val="004367BC"/>
    <w:rsid w:val="00437B7B"/>
    <w:rsid w:val="00437E6F"/>
    <w:rsid w:val="00440077"/>
    <w:rsid w:val="004401C0"/>
    <w:rsid w:val="0044089C"/>
    <w:rsid w:val="004408D8"/>
    <w:rsid w:val="00440E4D"/>
    <w:rsid w:val="004415FB"/>
    <w:rsid w:val="00441EBB"/>
    <w:rsid w:val="00441F7C"/>
    <w:rsid w:val="0044226E"/>
    <w:rsid w:val="00442BBD"/>
    <w:rsid w:val="00442C25"/>
    <w:rsid w:val="0044367F"/>
    <w:rsid w:val="004438CE"/>
    <w:rsid w:val="00443A2C"/>
    <w:rsid w:val="00444279"/>
    <w:rsid w:val="00444865"/>
    <w:rsid w:val="00444878"/>
    <w:rsid w:val="0044528E"/>
    <w:rsid w:val="004452FB"/>
    <w:rsid w:val="00445907"/>
    <w:rsid w:val="00445D0B"/>
    <w:rsid w:val="0044638C"/>
    <w:rsid w:val="00446ACC"/>
    <w:rsid w:val="0045002A"/>
    <w:rsid w:val="00450F24"/>
    <w:rsid w:val="00451419"/>
    <w:rsid w:val="0045177E"/>
    <w:rsid w:val="004519A5"/>
    <w:rsid w:val="00452291"/>
    <w:rsid w:val="004522C7"/>
    <w:rsid w:val="0045236B"/>
    <w:rsid w:val="00452ED6"/>
    <w:rsid w:val="00453F11"/>
    <w:rsid w:val="00453F73"/>
    <w:rsid w:val="00454C7B"/>
    <w:rsid w:val="00454EED"/>
    <w:rsid w:val="00454EFE"/>
    <w:rsid w:val="00455264"/>
    <w:rsid w:val="0045533E"/>
    <w:rsid w:val="00455D18"/>
    <w:rsid w:val="00455D6C"/>
    <w:rsid w:val="00456278"/>
    <w:rsid w:val="00460D9A"/>
    <w:rsid w:val="0046152E"/>
    <w:rsid w:val="00461729"/>
    <w:rsid w:val="00461850"/>
    <w:rsid w:val="004643C3"/>
    <w:rsid w:val="004646FF"/>
    <w:rsid w:val="00465162"/>
    <w:rsid w:val="00465E81"/>
    <w:rsid w:val="00467805"/>
    <w:rsid w:val="00467FEC"/>
    <w:rsid w:val="004703E4"/>
    <w:rsid w:val="004706D1"/>
    <w:rsid w:val="00471595"/>
    <w:rsid w:val="004728AA"/>
    <w:rsid w:val="00472D24"/>
    <w:rsid w:val="004742C0"/>
    <w:rsid w:val="00476255"/>
    <w:rsid w:val="00476CBC"/>
    <w:rsid w:val="00477201"/>
    <w:rsid w:val="00480057"/>
    <w:rsid w:val="0048007F"/>
    <w:rsid w:val="00480875"/>
    <w:rsid w:val="00480A1F"/>
    <w:rsid w:val="00481D64"/>
    <w:rsid w:val="00481E4F"/>
    <w:rsid w:val="00482E85"/>
    <w:rsid w:val="004839C7"/>
    <w:rsid w:val="00485817"/>
    <w:rsid w:val="00485897"/>
    <w:rsid w:val="00486C9A"/>
    <w:rsid w:val="00487780"/>
    <w:rsid w:val="00490B11"/>
    <w:rsid w:val="00490B53"/>
    <w:rsid w:val="00490C1F"/>
    <w:rsid w:val="004919CB"/>
    <w:rsid w:val="004928AE"/>
    <w:rsid w:val="00492C6E"/>
    <w:rsid w:val="00493D3E"/>
    <w:rsid w:val="00494A60"/>
    <w:rsid w:val="004952AA"/>
    <w:rsid w:val="00496285"/>
    <w:rsid w:val="00496681"/>
    <w:rsid w:val="00496D4F"/>
    <w:rsid w:val="00496FE3"/>
    <w:rsid w:val="004975DD"/>
    <w:rsid w:val="00497A78"/>
    <w:rsid w:val="004A04CA"/>
    <w:rsid w:val="004A1034"/>
    <w:rsid w:val="004A10AB"/>
    <w:rsid w:val="004A1312"/>
    <w:rsid w:val="004A22A3"/>
    <w:rsid w:val="004A2B1E"/>
    <w:rsid w:val="004A2B78"/>
    <w:rsid w:val="004A2F21"/>
    <w:rsid w:val="004A36FB"/>
    <w:rsid w:val="004A3F07"/>
    <w:rsid w:val="004A4A4E"/>
    <w:rsid w:val="004A4DD3"/>
    <w:rsid w:val="004A4E17"/>
    <w:rsid w:val="004A5AF0"/>
    <w:rsid w:val="004A6332"/>
    <w:rsid w:val="004A6F50"/>
    <w:rsid w:val="004A7065"/>
    <w:rsid w:val="004B05F4"/>
    <w:rsid w:val="004B0C3D"/>
    <w:rsid w:val="004B1CAD"/>
    <w:rsid w:val="004B4BD3"/>
    <w:rsid w:val="004B53F8"/>
    <w:rsid w:val="004B5AB0"/>
    <w:rsid w:val="004B5CC1"/>
    <w:rsid w:val="004B74A0"/>
    <w:rsid w:val="004B7734"/>
    <w:rsid w:val="004B791B"/>
    <w:rsid w:val="004B7928"/>
    <w:rsid w:val="004B79EA"/>
    <w:rsid w:val="004B7D62"/>
    <w:rsid w:val="004B7F3A"/>
    <w:rsid w:val="004C23DA"/>
    <w:rsid w:val="004C2991"/>
    <w:rsid w:val="004C4AD9"/>
    <w:rsid w:val="004C5245"/>
    <w:rsid w:val="004C5864"/>
    <w:rsid w:val="004C5A0C"/>
    <w:rsid w:val="004C662B"/>
    <w:rsid w:val="004C6903"/>
    <w:rsid w:val="004C797A"/>
    <w:rsid w:val="004C7B0D"/>
    <w:rsid w:val="004C7E95"/>
    <w:rsid w:val="004D0E25"/>
    <w:rsid w:val="004D284F"/>
    <w:rsid w:val="004D377A"/>
    <w:rsid w:val="004D3A7C"/>
    <w:rsid w:val="004D48FF"/>
    <w:rsid w:val="004D59A7"/>
    <w:rsid w:val="004D5F5B"/>
    <w:rsid w:val="004D69F4"/>
    <w:rsid w:val="004D6B57"/>
    <w:rsid w:val="004D719A"/>
    <w:rsid w:val="004D7359"/>
    <w:rsid w:val="004E09E3"/>
    <w:rsid w:val="004E10E4"/>
    <w:rsid w:val="004E1874"/>
    <w:rsid w:val="004E306D"/>
    <w:rsid w:val="004E357B"/>
    <w:rsid w:val="004E427D"/>
    <w:rsid w:val="004E4384"/>
    <w:rsid w:val="004E49F3"/>
    <w:rsid w:val="004E4E5F"/>
    <w:rsid w:val="004E4FFF"/>
    <w:rsid w:val="004E5852"/>
    <w:rsid w:val="004E6004"/>
    <w:rsid w:val="004E730D"/>
    <w:rsid w:val="004E7826"/>
    <w:rsid w:val="004F21FA"/>
    <w:rsid w:val="004F30BF"/>
    <w:rsid w:val="004F3441"/>
    <w:rsid w:val="004F3D34"/>
    <w:rsid w:val="005005E6"/>
    <w:rsid w:val="005022A9"/>
    <w:rsid w:val="00502FC2"/>
    <w:rsid w:val="005030D2"/>
    <w:rsid w:val="00503A43"/>
    <w:rsid w:val="00503D60"/>
    <w:rsid w:val="0050416B"/>
    <w:rsid w:val="00505EA0"/>
    <w:rsid w:val="00505F15"/>
    <w:rsid w:val="0050658A"/>
    <w:rsid w:val="005119CA"/>
    <w:rsid w:val="00511E8A"/>
    <w:rsid w:val="00512E97"/>
    <w:rsid w:val="00512E99"/>
    <w:rsid w:val="005133CA"/>
    <w:rsid w:val="005137D2"/>
    <w:rsid w:val="0051389D"/>
    <w:rsid w:val="00514688"/>
    <w:rsid w:val="00514698"/>
    <w:rsid w:val="005148C5"/>
    <w:rsid w:val="00514BC1"/>
    <w:rsid w:val="0051562C"/>
    <w:rsid w:val="00515F99"/>
    <w:rsid w:val="0051638B"/>
    <w:rsid w:val="00516DA0"/>
    <w:rsid w:val="00516F58"/>
    <w:rsid w:val="00517C82"/>
    <w:rsid w:val="00520A56"/>
    <w:rsid w:val="00521399"/>
    <w:rsid w:val="00521AD6"/>
    <w:rsid w:val="00522095"/>
    <w:rsid w:val="00522287"/>
    <w:rsid w:val="00522912"/>
    <w:rsid w:val="00522E49"/>
    <w:rsid w:val="005231AC"/>
    <w:rsid w:val="00524163"/>
    <w:rsid w:val="00525064"/>
    <w:rsid w:val="00527070"/>
    <w:rsid w:val="00527336"/>
    <w:rsid w:val="00527605"/>
    <w:rsid w:val="00527C18"/>
    <w:rsid w:val="005309B3"/>
    <w:rsid w:val="00530CD5"/>
    <w:rsid w:val="00530F34"/>
    <w:rsid w:val="005313CD"/>
    <w:rsid w:val="00531F10"/>
    <w:rsid w:val="005337F2"/>
    <w:rsid w:val="00533AB8"/>
    <w:rsid w:val="00534211"/>
    <w:rsid w:val="005342B6"/>
    <w:rsid w:val="005345D4"/>
    <w:rsid w:val="00536393"/>
    <w:rsid w:val="00536442"/>
    <w:rsid w:val="0053737E"/>
    <w:rsid w:val="00537974"/>
    <w:rsid w:val="0054043E"/>
    <w:rsid w:val="005404A7"/>
    <w:rsid w:val="00540E4B"/>
    <w:rsid w:val="00542877"/>
    <w:rsid w:val="00543A72"/>
    <w:rsid w:val="00545F0F"/>
    <w:rsid w:val="0054645F"/>
    <w:rsid w:val="0054794A"/>
    <w:rsid w:val="00547D49"/>
    <w:rsid w:val="00547D6E"/>
    <w:rsid w:val="005525BC"/>
    <w:rsid w:val="00553236"/>
    <w:rsid w:val="005547D5"/>
    <w:rsid w:val="00555D34"/>
    <w:rsid w:val="005601C8"/>
    <w:rsid w:val="00561037"/>
    <w:rsid w:val="00561179"/>
    <w:rsid w:val="0056169F"/>
    <w:rsid w:val="00562B24"/>
    <w:rsid w:val="00563228"/>
    <w:rsid w:val="00563329"/>
    <w:rsid w:val="00563C1B"/>
    <w:rsid w:val="0056412B"/>
    <w:rsid w:val="005656B0"/>
    <w:rsid w:val="0056631B"/>
    <w:rsid w:val="00566DD6"/>
    <w:rsid w:val="00566E14"/>
    <w:rsid w:val="00567155"/>
    <w:rsid w:val="0056719E"/>
    <w:rsid w:val="00567B2F"/>
    <w:rsid w:val="00567CFE"/>
    <w:rsid w:val="005704B9"/>
    <w:rsid w:val="0057152C"/>
    <w:rsid w:val="00572330"/>
    <w:rsid w:val="005723C3"/>
    <w:rsid w:val="00574820"/>
    <w:rsid w:val="005752E1"/>
    <w:rsid w:val="005756D1"/>
    <w:rsid w:val="00576DE2"/>
    <w:rsid w:val="005777AD"/>
    <w:rsid w:val="005812C7"/>
    <w:rsid w:val="00582AB5"/>
    <w:rsid w:val="0058577F"/>
    <w:rsid w:val="00585C80"/>
    <w:rsid w:val="00586A9E"/>
    <w:rsid w:val="00586AC4"/>
    <w:rsid w:val="00586EFF"/>
    <w:rsid w:val="005873A8"/>
    <w:rsid w:val="00587E1F"/>
    <w:rsid w:val="005901D6"/>
    <w:rsid w:val="005904B9"/>
    <w:rsid w:val="00590C56"/>
    <w:rsid w:val="00592916"/>
    <w:rsid w:val="005933E2"/>
    <w:rsid w:val="005939B7"/>
    <w:rsid w:val="00593DD3"/>
    <w:rsid w:val="005976F8"/>
    <w:rsid w:val="00597FE2"/>
    <w:rsid w:val="005A06FA"/>
    <w:rsid w:val="005A28AF"/>
    <w:rsid w:val="005A28E3"/>
    <w:rsid w:val="005A3511"/>
    <w:rsid w:val="005A3B98"/>
    <w:rsid w:val="005A3DFC"/>
    <w:rsid w:val="005A4670"/>
    <w:rsid w:val="005A4E5D"/>
    <w:rsid w:val="005A5201"/>
    <w:rsid w:val="005A5402"/>
    <w:rsid w:val="005A585C"/>
    <w:rsid w:val="005A73BB"/>
    <w:rsid w:val="005A7875"/>
    <w:rsid w:val="005B0736"/>
    <w:rsid w:val="005B0839"/>
    <w:rsid w:val="005B0FA5"/>
    <w:rsid w:val="005B122B"/>
    <w:rsid w:val="005B1858"/>
    <w:rsid w:val="005B1936"/>
    <w:rsid w:val="005B225A"/>
    <w:rsid w:val="005B2F54"/>
    <w:rsid w:val="005B41A0"/>
    <w:rsid w:val="005B4934"/>
    <w:rsid w:val="005B4F0F"/>
    <w:rsid w:val="005B569F"/>
    <w:rsid w:val="005B59D0"/>
    <w:rsid w:val="005B721C"/>
    <w:rsid w:val="005B7285"/>
    <w:rsid w:val="005C038C"/>
    <w:rsid w:val="005C0B54"/>
    <w:rsid w:val="005C1F92"/>
    <w:rsid w:val="005C3ECE"/>
    <w:rsid w:val="005C5F12"/>
    <w:rsid w:val="005C6BF4"/>
    <w:rsid w:val="005D147B"/>
    <w:rsid w:val="005D22CF"/>
    <w:rsid w:val="005D37B4"/>
    <w:rsid w:val="005D381E"/>
    <w:rsid w:val="005D3B4C"/>
    <w:rsid w:val="005D3DB3"/>
    <w:rsid w:val="005D41CC"/>
    <w:rsid w:val="005D4BF2"/>
    <w:rsid w:val="005D4CA0"/>
    <w:rsid w:val="005D4FB8"/>
    <w:rsid w:val="005D69BA"/>
    <w:rsid w:val="005D6CAC"/>
    <w:rsid w:val="005D6F59"/>
    <w:rsid w:val="005D77C5"/>
    <w:rsid w:val="005E067E"/>
    <w:rsid w:val="005E1DC7"/>
    <w:rsid w:val="005E208F"/>
    <w:rsid w:val="005E45EB"/>
    <w:rsid w:val="005E4DEE"/>
    <w:rsid w:val="005E6C45"/>
    <w:rsid w:val="005E6E9E"/>
    <w:rsid w:val="005F00E5"/>
    <w:rsid w:val="005F0886"/>
    <w:rsid w:val="005F0CAC"/>
    <w:rsid w:val="005F1F38"/>
    <w:rsid w:val="005F2604"/>
    <w:rsid w:val="005F2D55"/>
    <w:rsid w:val="005F2F07"/>
    <w:rsid w:val="005F323B"/>
    <w:rsid w:val="005F3EF1"/>
    <w:rsid w:val="005F5245"/>
    <w:rsid w:val="005F52AA"/>
    <w:rsid w:val="005F533F"/>
    <w:rsid w:val="005F6867"/>
    <w:rsid w:val="005F68C8"/>
    <w:rsid w:val="005F6A39"/>
    <w:rsid w:val="005F6F04"/>
    <w:rsid w:val="005F72BD"/>
    <w:rsid w:val="005F7723"/>
    <w:rsid w:val="005F7BD4"/>
    <w:rsid w:val="0060230F"/>
    <w:rsid w:val="006034EF"/>
    <w:rsid w:val="0060396D"/>
    <w:rsid w:val="006041EB"/>
    <w:rsid w:val="0060508C"/>
    <w:rsid w:val="00605375"/>
    <w:rsid w:val="00605C0C"/>
    <w:rsid w:val="006063E6"/>
    <w:rsid w:val="00607515"/>
    <w:rsid w:val="00607A2A"/>
    <w:rsid w:val="00607C1B"/>
    <w:rsid w:val="0061080E"/>
    <w:rsid w:val="00611349"/>
    <w:rsid w:val="0061181E"/>
    <w:rsid w:val="00611CBF"/>
    <w:rsid w:val="00612992"/>
    <w:rsid w:val="00612AB9"/>
    <w:rsid w:val="0061326C"/>
    <w:rsid w:val="0061353D"/>
    <w:rsid w:val="00613A06"/>
    <w:rsid w:val="00614215"/>
    <w:rsid w:val="0061488E"/>
    <w:rsid w:val="00616050"/>
    <w:rsid w:val="006220C8"/>
    <w:rsid w:val="00625189"/>
    <w:rsid w:val="00626EF9"/>
    <w:rsid w:val="006274B8"/>
    <w:rsid w:val="00627EFB"/>
    <w:rsid w:val="00627F93"/>
    <w:rsid w:val="006305BC"/>
    <w:rsid w:val="00631057"/>
    <w:rsid w:val="006315C2"/>
    <w:rsid w:val="00631D14"/>
    <w:rsid w:val="00632759"/>
    <w:rsid w:val="0063302C"/>
    <w:rsid w:val="006336DE"/>
    <w:rsid w:val="00633BDF"/>
    <w:rsid w:val="00633F49"/>
    <w:rsid w:val="00634888"/>
    <w:rsid w:val="00636B8F"/>
    <w:rsid w:val="006407DD"/>
    <w:rsid w:val="00640A54"/>
    <w:rsid w:val="00640B5D"/>
    <w:rsid w:val="006412DE"/>
    <w:rsid w:val="00642049"/>
    <w:rsid w:val="0064284F"/>
    <w:rsid w:val="00646008"/>
    <w:rsid w:val="006463FE"/>
    <w:rsid w:val="0064793B"/>
    <w:rsid w:val="00647F74"/>
    <w:rsid w:val="00650549"/>
    <w:rsid w:val="006524E5"/>
    <w:rsid w:val="00652C66"/>
    <w:rsid w:val="00653335"/>
    <w:rsid w:val="00653C0D"/>
    <w:rsid w:val="00654239"/>
    <w:rsid w:val="006543CE"/>
    <w:rsid w:val="006546CA"/>
    <w:rsid w:val="00656706"/>
    <w:rsid w:val="00656D23"/>
    <w:rsid w:val="00656DA8"/>
    <w:rsid w:val="00657524"/>
    <w:rsid w:val="00660CDE"/>
    <w:rsid w:val="00660F2A"/>
    <w:rsid w:val="0066140F"/>
    <w:rsid w:val="00661CCE"/>
    <w:rsid w:val="00661DAA"/>
    <w:rsid w:val="006629D8"/>
    <w:rsid w:val="00663425"/>
    <w:rsid w:val="0066394A"/>
    <w:rsid w:val="00663E9A"/>
    <w:rsid w:val="00663F66"/>
    <w:rsid w:val="006647B8"/>
    <w:rsid w:val="00664E6C"/>
    <w:rsid w:val="00664FF8"/>
    <w:rsid w:val="00665073"/>
    <w:rsid w:val="006652F3"/>
    <w:rsid w:val="0066765F"/>
    <w:rsid w:val="006677FA"/>
    <w:rsid w:val="006713C8"/>
    <w:rsid w:val="0067207B"/>
    <w:rsid w:val="0067268A"/>
    <w:rsid w:val="006726FB"/>
    <w:rsid w:val="006742EB"/>
    <w:rsid w:val="00674AAE"/>
    <w:rsid w:val="00675C88"/>
    <w:rsid w:val="00676C5C"/>
    <w:rsid w:val="0067750A"/>
    <w:rsid w:val="00681608"/>
    <w:rsid w:val="00682334"/>
    <w:rsid w:val="006828B2"/>
    <w:rsid w:val="00683376"/>
    <w:rsid w:val="00683ED2"/>
    <w:rsid w:val="00684A97"/>
    <w:rsid w:val="006859B6"/>
    <w:rsid w:val="00685A33"/>
    <w:rsid w:val="00685AC3"/>
    <w:rsid w:val="00685EE6"/>
    <w:rsid w:val="00686162"/>
    <w:rsid w:val="00687919"/>
    <w:rsid w:val="00687CE6"/>
    <w:rsid w:val="00690BCA"/>
    <w:rsid w:val="00691DFB"/>
    <w:rsid w:val="006927E5"/>
    <w:rsid w:val="00692BFA"/>
    <w:rsid w:val="006936CB"/>
    <w:rsid w:val="006946D4"/>
    <w:rsid w:val="00694BB7"/>
    <w:rsid w:val="006962E5"/>
    <w:rsid w:val="00697B40"/>
    <w:rsid w:val="00697D10"/>
    <w:rsid w:val="006A00B2"/>
    <w:rsid w:val="006A0CF6"/>
    <w:rsid w:val="006A12C3"/>
    <w:rsid w:val="006A1758"/>
    <w:rsid w:val="006A332D"/>
    <w:rsid w:val="006A34E8"/>
    <w:rsid w:val="006A3BD9"/>
    <w:rsid w:val="006A3C92"/>
    <w:rsid w:val="006A4289"/>
    <w:rsid w:val="006A43C8"/>
    <w:rsid w:val="006A5442"/>
    <w:rsid w:val="006A57AD"/>
    <w:rsid w:val="006A5868"/>
    <w:rsid w:val="006A59F6"/>
    <w:rsid w:val="006A676E"/>
    <w:rsid w:val="006A7563"/>
    <w:rsid w:val="006A7CAA"/>
    <w:rsid w:val="006B277F"/>
    <w:rsid w:val="006B28DB"/>
    <w:rsid w:val="006B2FB4"/>
    <w:rsid w:val="006B3258"/>
    <w:rsid w:val="006B49CA"/>
    <w:rsid w:val="006B4F9A"/>
    <w:rsid w:val="006B50C9"/>
    <w:rsid w:val="006B5E07"/>
    <w:rsid w:val="006B5F7D"/>
    <w:rsid w:val="006B61F4"/>
    <w:rsid w:val="006B7E27"/>
    <w:rsid w:val="006C1DA9"/>
    <w:rsid w:val="006C23A2"/>
    <w:rsid w:val="006C3B0C"/>
    <w:rsid w:val="006C4096"/>
    <w:rsid w:val="006C5D67"/>
    <w:rsid w:val="006C6703"/>
    <w:rsid w:val="006C783C"/>
    <w:rsid w:val="006D000E"/>
    <w:rsid w:val="006D1007"/>
    <w:rsid w:val="006D15C5"/>
    <w:rsid w:val="006D184B"/>
    <w:rsid w:val="006D1EFA"/>
    <w:rsid w:val="006D3EE4"/>
    <w:rsid w:val="006D5490"/>
    <w:rsid w:val="006D6082"/>
    <w:rsid w:val="006D64B9"/>
    <w:rsid w:val="006D6C1C"/>
    <w:rsid w:val="006D76AC"/>
    <w:rsid w:val="006E038B"/>
    <w:rsid w:val="006E082F"/>
    <w:rsid w:val="006E1046"/>
    <w:rsid w:val="006E231D"/>
    <w:rsid w:val="006E2A97"/>
    <w:rsid w:val="006E2FA7"/>
    <w:rsid w:val="006E3F1D"/>
    <w:rsid w:val="006E4793"/>
    <w:rsid w:val="006E49DC"/>
    <w:rsid w:val="006E4FC5"/>
    <w:rsid w:val="006E543B"/>
    <w:rsid w:val="006E67C1"/>
    <w:rsid w:val="006E7094"/>
    <w:rsid w:val="006E7576"/>
    <w:rsid w:val="006F0333"/>
    <w:rsid w:val="006F092D"/>
    <w:rsid w:val="006F0B98"/>
    <w:rsid w:val="006F125F"/>
    <w:rsid w:val="006F2C88"/>
    <w:rsid w:val="006F3B5B"/>
    <w:rsid w:val="006F46A3"/>
    <w:rsid w:val="006F4BA6"/>
    <w:rsid w:val="006F680F"/>
    <w:rsid w:val="006F69AF"/>
    <w:rsid w:val="006F6F42"/>
    <w:rsid w:val="006F72DA"/>
    <w:rsid w:val="006F7828"/>
    <w:rsid w:val="006F7A5B"/>
    <w:rsid w:val="007005BE"/>
    <w:rsid w:val="00700BC8"/>
    <w:rsid w:val="00701569"/>
    <w:rsid w:val="00701AE3"/>
    <w:rsid w:val="00701D88"/>
    <w:rsid w:val="00702D7B"/>
    <w:rsid w:val="00702D82"/>
    <w:rsid w:val="00703119"/>
    <w:rsid w:val="0070395C"/>
    <w:rsid w:val="00703FA7"/>
    <w:rsid w:val="007043A5"/>
    <w:rsid w:val="007043C5"/>
    <w:rsid w:val="00704580"/>
    <w:rsid w:val="007049E7"/>
    <w:rsid w:val="007056F4"/>
    <w:rsid w:val="007058C2"/>
    <w:rsid w:val="00706595"/>
    <w:rsid w:val="00706D8C"/>
    <w:rsid w:val="00707106"/>
    <w:rsid w:val="0071059D"/>
    <w:rsid w:val="0071166F"/>
    <w:rsid w:val="0071244D"/>
    <w:rsid w:val="00713D75"/>
    <w:rsid w:val="00714457"/>
    <w:rsid w:val="00714DFE"/>
    <w:rsid w:val="007155E8"/>
    <w:rsid w:val="00715B50"/>
    <w:rsid w:val="00716656"/>
    <w:rsid w:val="00716F6D"/>
    <w:rsid w:val="0071769F"/>
    <w:rsid w:val="0071776F"/>
    <w:rsid w:val="0072157F"/>
    <w:rsid w:val="00722D9C"/>
    <w:rsid w:val="00723451"/>
    <w:rsid w:val="00723494"/>
    <w:rsid w:val="00724DE3"/>
    <w:rsid w:val="0072513B"/>
    <w:rsid w:val="0072579B"/>
    <w:rsid w:val="0072589F"/>
    <w:rsid w:val="007262D3"/>
    <w:rsid w:val="00726490"/>
    <w:rsid w:val="00726845"/>
    <w:rsid w:val="00726ADD"/>
    <w:rsid w:val="00726CC8"/>
    <w:rsid w:val="00731718"/>
    <w:rsid w:val="007321C5"/>
    <w:rsid w:val="00733057"/>
    <w:rsid w:val="00733301"/>
    <w:rsid w:val="0073420E"/>
    <w:rsid w:val="00734486"/>
    <w:rsid w:val="00734E20"/>
    <w:rsid w:val="00736129"/>
    <w:rsid w:val="007369A9"/>
    <w:rsid w:val="00736FAB"/>
    <w:rsid w:val="007405E0"/>
    <w:rsid w:val="00740E24"/>
    <w:rsid w:val="0074103C"/>
    <w:rsid w:val="007420FD"/>
    <w:rsid w:val="007423A3"/>
    <w:rsid w:val="00742A72"/>
    <w:rsid w:val="0074315C"/>
    <w:rsid w:val="007444FA"/>
    <w:rsid w:val="00744568"/>
    <w:rsid w:val="007445C7"/>
    <w:rsid w:val="0074480A"/>
    <w:rsid w:val="007453C1"/>
    <w:rsid w:val="00746628"/>
    <w:rsid w:val="007467C3"/>
    <w:rsid w:val="00746854"/>
    <w:rsid w:val="00746BF3"/>
    <w:rsid w:val="00746D29"/>
    <w:rsid w:val="00746D4A"/>
    <w:rsid w:val="007471B4"/>
    <w:rsid w:val="00750035"/>
    <w:rsid w:val="0075015A"/>
    <w:rsid w:val="00750527"/>
    <w:rsid w:val="007538B0"/>
    <w:rsid w:val="007538E3"/>
    <w:rsid w:val="00755718"/>
    <w:rsid w:val="00756EDE"/>
    <w:rsid w:val="00756F4A"/>
    <w:rsid w:val="00757CF4"/>
    <w:rsid w:val="00760693"/>
    <w:rsid w:val="00761C0E"/>
    <w:rsid w:val="00762843"/>
    <w:rsid w:val="00762950"/>
    <w:rsid w:val="007633E9"/>
    <w:rsid w:val="007636E6"/>
    <w:rsid w:val="00764833"/>
    <w:rsid w:val="0076500C"/>
    <w:rsid w:val="0076610A"/>
    <w:rsid w:val="007665D2"/>
    <w:rsid w:val="007667D6"/>
    <w:rsid w:val="00767772"/>
    <w:rsid w:val="00767D4B"/>
    <w:rsid w:val="007703DC"/>
    <w:rsid w:val="00771BA0"/>
    <w:rsid w:val="00771E77"/>
    <w:rsid w:val="00772159"/>
    <w:rsid w:val="00772906"/>
    <w:rsid w:val="00773A85"/>
    <w:rsid w:val="00773E11"/>
    <w:rsid w:val="007746AE"/>
    <w:rsid w:val="00775DB3"/>
    <w:rsid w:val="007772AE"/>
    <w:rsid w:val="00777544"/>
    <w:rsid w:val="00777B3F"/>
    <w:rsid w:val="0078009C"/>
    <w:rsid w:val="00781A56"/>
    <w:rsid w:val="007828F0"/>
    <w:rsid w:val="007836C3"/>
    <w:rsid w:val="0078456C"/>
    <w:rsid w:val="00784598"/>
    <w:rsid w:val="00785274"/>
    <w:rsid w:val="00787EB1"/>
    <w:rsid w:val="007900B4"/>
    <w:rsid w:val="00790245"/>
    <w:rsid w:val="00791342"/>
    <w:rsid w:val="007918F8"/>
    <w:rsid w:val="00791FF6"/>
    <w:rsid w:val="0079209D"/>
    <w:rsid w:val="00793188"/>
    <w:rsid w:val="0079339C"/>
    <w:rsid w:val="007935DE"/>
    <w:rsid w:val="00793D9C"/>
    <w:rsid w:val="00794188"/>
    <w:rsid w:val="00794462"/>
    <w:rsid w:val="00795AAE"/>
    <w:rsid w:val="00796934"/>
    <w:rsid w:val="0079736C"/>
    <w:rsid w:val="00797D9C"/>
    <w:rsid w:val="007A07A9"/>
    <w:rsid w:val="007A0A9C"/>
    <w:rsid w:val="007A13FB"/>
    <w:rsid w:val="007A15BC"/>
    <w:rsid w:val="007A23F7"/>
    <w:rsid w:val="007A2C50"/>
    <w:rsid w:val="007A318D"/>
    <w:rsid w:val="007A4C93"/>
    <w:rsid w:val="007A5949"/>
    <w:rsid w:val="007A647F"/>
    <w:rsid w:val="007A7565"/>
    <w:rsid w:val="007B18BE"/>
    <w:rsid w:val="007B1CA7"/>
    <w:rsid w:val="007B1F87"/>
    <w:rsid w:val="007B3D92"/>
    <w:rsid w:val="007B436A"/>
    <w:rsid w:val="007B5CA5"/>
    <w:rsid w:val="007B65DE"/>
    <w:rsid w:val="007B6715"/>
    <w:rsid w:val="007B72E9"/>
    <w:rsid w:val="007B781C"/>
    <w:rsid w:val="007C02DC"/>
    <w:rsid w:val="007C097B"/>
    <w:rsid w:val="007C0AD2"/>
    <w:rsid w:val="007C1B50"/>
    <w:rsid w:val="007C306E"/>
    <w:rsid w:val="007C39C3"/>
    <w:rsid w:val="007C4C76"/>
    <w:rsid w:val="007C5AAA"/>
    <w:rsid w:val="007D08AE"/>
    <w:rsid w:val="007D0CDA"/>
    <w:rsid w:val="007D2CA0"/>
    <w:rsid w:val="007D2E71"/>
    <w:rsid w:val="007D383B"/>
    <w:rsid w:val="007D3A43"/>
    <w:rsid w:val="007D4AB7"/>
    <w:rsid w:val="007D55C3"/>
    <w:rsid w:val="007D69ED"/>
    <w:rsid w:val="007D72A1"/>
    <w:rsid w:val="007D7702"/>
    <w:rsid w:val="007D7784"/>
    <w:rsid w:val="007D7CF9"/>
    <w:rsid w:val="007E0A0D"/>
    <w:rsid w:val="007E0A14"/>
    <w:rsid w:val="007E2319"/>
    <w:rsid w:val="007E2D86"/>
    <w:rsid w:val="007E32F5"/>
    <w:rsid w:val="007E4D56"/>
    <w:rsid w:val="007E50EC"/>
    <w:rsid w:val="007E5A66"/>
    <w:rsid w:val="007E5E0B"/>
    <w:rsid w:val="007E6B49"/>
    <w:rsid w:val="007E6E8F"/>
    <w:rsid w:val="007E6F21"/>
    <w:rsid w:val="007E6FAF"/>
    <w:rsid w:val="007E7161"/>
    <w:rsid w:val="007E7F52"/>
    <w:rsid w:val="007F02D1"/>
    <w:rsid w:val="007F0410"/>
    <w:rsid w:val="007F0F44"/>
    <w:rsid w:val="007F1224"/>
    <w:rsid w:val="007F14CE"/>
    <w:rsid w:val="007F1AA1"/>
    <w:rsid w:val="007F24B8"/>
    <w:rsid w:val="007F2930"/>
    <w:rsid w:val="007F4E13"/>
    <w:rsid w:val="007F5302"/>
    <w:rsid w:val="007F57EB"/>
    <w:rsid w:val="007F58BB"/>
    <w:rsid w:val="007F6C2D"/>
    <w:rsid w:val="00802962"/>
    <w:rsid w:val="00802AD1"/>
    <w:rsid w:val="00802B26"/>
    <w:rsid w:val="00804A67"/>
    <w:rsid w:val="00804E6F"/>
    <w:rsid w:val="00805511"/>
    <w:rsid w:val="0080554D"/>
    <w:rsid w:val="0080588C"/>
    <w:rsid w:val="00805AA7"/>
    <w:rsid w:val="00805E6B"/>
    <w:rsid w:val="00806431"/>
    <w:rsid w:val="00807CD2"/>
    <w:rsid w:val="00810A77"/>
    <w:rsid w:val="00811142"/>
    <w:rsid w:val="008118BE"/>
    <w:rsid w:val="008119DB"/>
    <w:rsid w:val="0081255B"/>
    <w:rsid w:val="00812CC4"/>
    <w:rsid w:val="00813106"/>
    <w:rsid w:val="008136C7"/>
    <w:rsid w:val="0081392F"/>
    <w:rsid w:val="00815200"/>
    <w:rsid w:val="008152A3"/>
    <w:rsid w:val="008154B9"/>
    <w:rsid w:val="008174F7"/>
    <w:rsid w:val="008206BE"/>
    <w:rsid w:val="00820DAC"/>
    <w:rsid w:val="00821D69"/>
    <w:rsid w:val="0082305C"/>
    <w:rsid w:val="0082565B"/>
    <w:rsid w:val="00825D21"/>
    <w:rsid w:val="00825F5D"/>
    <w:rsid w:val="008260F2"/>
    <w:rsid w:val="00826206"/>
    <w:rsid w:val="00826553"/>
    <w:rsid w:val="00831253"/>
    <w:rsid w:val="008329B8"/>
    <w:rsid w:val="00834ECE"/>
    <w:rsid w:val="00835840"/>
    <w:rsid w:val="00836C86"/>
    <w:rsid w:val="00840984"/>
    <w:rsid w:val="00842E43"/>
    <w:rsid w:val="008430CE"/>
    <w:rsid w:val="00845A13"/>
    <w:rsid w:val="008467C8"/>
    <w:rsid w:val="008503E0"/>
    <w:rsid w:val="00850F59"/>
    <w:rsid w:val="008518DC"/>
    <w:rsid w:val="00851BFF"/>
    <w:rsid w:val="00852A4F"/>
    <w:rsid w:val="00853F43"/>
    <w:rsid w:val="008558CA"/>
    <w:rsid w:val="00855A8F"/>
    <w:rsid w:val="008561F3"/>
    <w:rsid w:val="008570AF"/>
    <w:rsid w:val="00860760"/>
    <w:rsid w:val="0086085C"/>
    <w:rsid w:val="0086087E"/>
    <w:rsid w:val="00861E1F"/>
    <w:rsid w:val="00862D21"/>
    <w:rsid w:val="00862E91"/>
    <w:rsid w:val="00864520"/>
    <w:rsid w:val="00865197"/>
    <w:rsid w:val="00865FD2"/>
    <w:rsid w:val="00866750"/>
    <w:rsid w:val="008676B0"/>
    <w:rsid w:val="00867953"/>
    <w:rsid w:val="00867C8A"/>
    <w:rsid w:val="00867CF6"/>
    <w:rsid w:val="0087006B"/>
    <w:rsid w:val="00870CA0"/>
    <w:rsid w:val="00870D85"/>
    <w:rsid w:val="0087101E"/>
    <w:rsid w:val="00871351"/>
    <w:rsid w:val="00871AB5"/>
    <w:rsid w:val="008721BC"/>
    <w:rsid w:val="00873033"/>
    <w:rsid w:val="008732A9"/>
    <w:rsid w:val="00874AD7"/>
    <w:rsid w:val="00876C88"/>
    <w:rsid w:val="0087768C"/>
    <w:rsid w:val="00877BCB"/>
    <w:rsid w:val="0088146B"/>
    <w:rsid w:val="00881707"/>
    <w:rsid w:val="00881BC4"/>
    <w:rsid w:val="00883020"/>
    <w:rsid w:val="00883348"/>
    <w:rsid w:val="00885DDF"/>
    <w:rsid w:val="00887E92"/>
    <w:rsid w:val="008902C3"/>
    <w:rsid w:val="00890CDD"/>
    <w:rsid w:val="00890F5F"/>
    <w:rsid w:val="00891E71"/>
    <w:rsid w:val="008923EC"/>
    <w:rsid w:val="00892667"/>
    <w:rsid w:val="00894877"/>
    <w:rsid w:val="00895192"/>
    <w:rsid w:val="00895C1A"/>
    <w:rsid w:val="008A0003"/>
    <w:rsid w:val="008A2BD6"/>
    <w:rsid w:val="008A42B6"/>
    <w:rsid w:val="008A49D1"/>
    <w:rsid w:val="008A4D03"/>
    <w:rsid w:val="008A561C"/>
    <w:rsid w:val="008A6828"/>
    <w:rsid w:val="008A6F3E"/>
    <w:rsid w:val="008A7114"/>
    <w:rsid w:val="008B0459"/>
    <w:rsid w:val="008B0B29"/>
    <w:rsid w:val="008B2070"/>
    <w:rsid w:val="008B2071"/>
    <w:rsid w:val="008B25C4"/>
    <w:rsid w:val="008B3132"/>
    <w:rsid w:val="008B3313"/>
    <w:rsid w:val="008B374D"/>
    <w:rsid w:val="008B4591"/>
    <w:rsid w:val="008B4981"/>
    <w:rsid w:val="008B4A73"/>
    <w:rsid w:val="008B4FFF"/>
    <w:rsid w:val="008B5077"/>
    <w:rsid w:val="008B5538"/>
    <w:rsid w:val="008B627E"/>
    <w:rsid w:val="008B7A6C"/>
    <w:rsid w:val="008C010D"/>
    <w:rsid w:val="008C0134"/>
    <w:rsid w:val="008C07EE"/>
    <w:rsid w:val="008C08F2"/>
    <w:rsid w:val="008C1488"/>
    <w:rsid w:val="008C15A2"/>
    <w:rsid w:val="008C2AD4"/>
    <w:rsid w:val="008C2D0C"/>
    <w:rsid w:val="008C3A47"/>
    <w:rsid w:val="008C3B2E"/>
    <w:rsid w:val="008C47EC"/>
    <w:rsid w:val="008C4DBF"/>
    <w:rsid w:val="008C58F2"/>
    <w:rsid w:val="008C6EF2"/>
    <w:rsid w:val="008C7917"/>
    <w:rsid w:val="008C7F19"/>
    <w:rsid w:val="008D0C3A"/>
    <w:rsid w:val="008D19E1"/>
    <w:rsid w:val="008D3103"/>
    <w:rsid w:val="008D3540"/>
    <w:rsid w:val="008D3A67"/>
    <w:rsid w:val="008D3C70"/>
    <w:rsid w:val="008D4374"/>
    <w:rsid w:val="008D4E83"/>
    <w:rsid w:val="008D5055"/>
    <w:rsid w:val="008D635E"/>
    <w:rsid w:val="008D6457"/>
    <w:rsid w:val="008D72F3"/>
    <w:rsid w:val="008E0063"/>
    <w:rsid w:val="008E1F30"/>
    <w:rsid w:val="008E211B"/>
    <w:rsid w:val="008E2E83"/>
    <w:rsid w:val="008E348B"/>
    <w:rsid w:val="008E5577"/>
    <w:rsid w:val="008E6578"/>
    <w:rsid w:val="008E65A6"/>
    <w:rsid w:val="008E65EC"/>
    <w:rsid w:val="008E74DD"/>
    <w:rsid w:val="008E76F5"/>
    <w:rsid w:val="008F088E"/>
    <w:rsid w:val="008F0FA6"/>
    <w:rsid w:val="008F144E"/>
    <w:rsid w:val="008F16A0"/>
    <w:rsid w:val="008F1D6E"/>
    <w:rsid w:val="008F26C1"/>
    <w:rsid w:val="008F2FBD"/>
    <w:rsid w:val="008F56B2"/>
    <w:rsid w:val="008F58D7"/>
    <w:rsid w:val="008F59B6"/>
    <w:rsid w:val="008F6419"/>
    <w:rsid w:val="008F7818"/>
    <w:rsid w:val="008F78D7"/>
    <w:rsid w:val="008F7956"/>
    <w:rsid w:val="009001CB"/>
    <w:rsid w:val="009005DC"/>
    <w:rsid w:val="00900EA3"/>
    <w:rsid w:val="00900F58"/>
    <w:rsid w:val="00900FDC"/>
    <w:rsid w:val="00901048"/>
    <w:rsid w:val="00901F3F"/>
    <w:rsid w:val="0090286A"/>
    <w:rsid w:val="009029CB"/>
    <w:rsid w:val="00903FF0"/>
    <w:rsid w:val="009041A6"/>
    <w:rsid w:val="009048B4"/>
    <w:rsid w:val="00904AF3"/>
    <w:rsid w:val="00905D34"/>
    <w:rsid w:val="00905DA5"/>
    <w:rsid w:val="0090733A"/>
    <w:rsid w:val="009106AC"/>
    <w:rsid w:val="00910CEF"/>
    <w:rsid w:val="009118CA"/>
    <w:rsid w:val="009126BE"/>
    <w:rsid w:val="00912CE3"/>
    <w:rsid w:val="00914541"/>
    <w:rsid w:val="009145FF"/>
    <w:rsid w:val="009147B3"/>
    <w:rsid w:val="00914CEF"/>
    <w:rsid w:val="00914EDA"/>
    <w:rsid w:val="00914F45"/>
    <w:rsid w:val="00914FB8"/>
    <w:rsid w:val="00915D5E"/>
    <w:rsid w:val="00915ED9"/>
    <w:rsid w:val="00916BA0"/>
    <w:rsid w:val="00917133"/>
    <w:rsid w:val="00921889"/>
    <w:rsid w:val="00921908"/>
    <w:rsid w:val="009226E4"/>
    <w:rsid w:val="0092306B"/>
    <w:rsid w:val="00923FA1"/>
    <w:rsid w:val="009249AC"/>
    <w:rsid w:val="00924FAF"/>
    <w:rsid w:val="00925234"/>
    <w:rsid w:val="009259FE"/>
    <w:rsid w:val="00926068"/>
    <w:rsid w:val="00926426"/>
    <w:rsid w:val="0092680D"/>
    <w:rsid w:val="00926BC9"/>
    <w:rsid w:val="009270AB"/>
    <w:rsid w:val="00927744"/>
    <w:rsid w:val="00930BE1"/>
    <w:rsid w:val="00930CE7"/>
    <w:rsid w:val="00931054"/>
    <w:rsid w:val="0093115E"/>
    <w:rsid w:val="009315C8"/>
    <w:rsid w:val="0093173A"/>
    <w:rsid w:val="00931961"/>
    <w:rsid w:val="00931AFE"/>
    <w:rsid w:val="00931CA3"/>
    <w:rsid w:val="00931F59"/>
    <w:rsid w:val="00932115"/>
    <w:rsid w:val="0093366D"/>
    <w:rsid w:val="009339FD"/>
    <w:rsid w:val="00934965"/>
    <w:rsid w:val="00934F17"/>
    <w:rsid w:val="00935A1D"/>
    <w:rsid w:val="009368B8"/>
    <w:rsid w:val="00936D59"/>
    <w:rsid w:val="00937AC6"/>
    <w:rsid w:val="00937EFB"/>
    <w:rsid w:val="00940229"/>
    <w:rsid w:val="00941DD2"/>
    <w:rsid w:val="00943313"/>
    <w:rsid w:val="009446B9"/>
    <w:rsid w:val="009447CC"/>
    <w:rsid w:val="0094481F"/>
    <w:rsid w:val="00945BAD"/>
    <w:rsid w:val="00945E73"/>
    <w:rsid w:val="00946180"/>
    <w:rsid w:val="0094624B"/>
    <w:rsid w:val="00946391"/>
    <w:rsid w:val="0094663D"/>
    <w:rsid w:val="00947247"/>
    <w:rsid w:val="0094753B"/>
    <w:rsid w:val="009501B0"/>
    <w:rsid w:val="00950861"/>
    <w:rsid w:val="009513E4"/>
    <w:rsid w:val="009519D0"/>
    <w:rsid w:val="00951B9C"/>
    <w:rsid w:val="00951FBB"/>
    <w:rsid w:val="00953011"/>
    <w:rsid w:val="00954E40"/>
    <w:rsid w:val="00955652"/>
    <w:rsid w:val="0095691A"/>
    <w:rsid w:val="00956ECC"/>
    <w:rsid w:val="009605E2"/>
    <w:rsid w:val="00960C3C"/>
    <w:rsid w:val="009617D3"/>
    <w:rsid w:val="0096190F"/>
    <w:rsid w:val="009621E6"/>
    <w:rsid w:val="009630F5"/>
    <w:rsid w:val="0096357F"/>
    <w:rsid w:val="00963935"/>
    <w:rsid w:val="0096456A"/>
    <w:rsid w:val="00965D20"/>
    <w:rsid w:val="009673C6"/>
    <w:rsid w:val="00967DAF"/>
    <w:rsid w:val="00970020"/>
    <w:rsid w:val="009717FA"/>
    <w:rsid w:val="00972D8E"/>
    <w:rsid w:val="00974C52"/>
    <w:rsid w:val="0097509C"/>
    <w:rsid w:val="00975353"/>
    <w:rsid w:val="00975D1D"/>
    <w:rsid w:val="00976103"/>
    <w:rsid w:val="00976140"/>
    <w:rsid w:val="00976BDC"/>
    <w:rsid w:val="00980148"/>
    <w:rsid w:val="009815BB"/>
    <w:rsid w:val="00982786"/>
    <w:rsid w:val="00983DB9"/>
    <w:rsid w:val="00983EE6"/>
    <w:rsid w:val="00984AE5"/>
    <w:rsid w:val="009856BE"/>
    <w:rsid w:val="0098775C"/>
    <w:rsid w:val="00990142"/>
    <w:rsid w:val="00990217"/>
    <w:rsid w:val="0099095C"/>
    <w:rsid w:val="00990B85"/>
    <w:rsid w:val="00990BC2"/>
    <w:rsid w:val="00990E4C"/>
    <w:rsid w:val="009917A8"/>
    <w:rsid w:val="00992F7D"/>
    <w:rsid w:val="00994F51"/>
    <w:rsid w:val="0099576B"/>
    <w:rsid w:val="009A0153"/>
    <w:rsid w:val="009A0CC5"/>
    <w:rsid w:val="009A0D21"/>
    <w:rsid w:val="009A14DF"/>
    <w:rsid w:val="009A30F6"/>
    <w:rsid w:val="009A4B83"/>
    <w:rsid w:val="009A5500"/>
    <w:rsid w:val="009A5E0F"/>
    <w:rsid w:val="009A6681"/>
    <w:rsid w:val="009A6A58"/>
    <w:rsid w:val="009A761D"/>
    <w:rsid w:val="009A7B7F"/>
    <w:rsid w:val="009B0788"/>
    <w:rsid w:val="009B2199"/>
    <w:rsid w:val="009B258E"/>
    <w:rsid w:val="009B2593"/>
    <w:rsid w:val="009B47AB"/>
    <w:rsid w:val="009B5B96"/>
    <w:rsid w:val="009B64D1"/>
    <w:rsid w:val="009B6686"/>
    <w:rsid w:val="009B6CDF"/>
    <w:rsid w:val="009B7052"/>
    <w:rsid w:val="009B79BA"/>
    <w:rsid w:val="009B7A33"/>
    <w:rsid w:val="009C0A42"/>
    <w:rsid w:val="009C1845"/>
    <w:rsid w:val="009C27C0"/>
    <w:rsid w:val="009C35D0"/>
    <w:rsid w:val="009C5FB5"/>
    <w:rsid w:val="009C610B"/>
    <w:rsid w:val="009C610D"/>
    <w:rsid w:val="009C7B4A"/>
    <w:rsid w:val="009D039C"/>
    <w:rsid w:val="009D0EDE"/>
    <w:rsid w:val="009D198E"/>
    <w:rsid w:val="009D201B"/>
    <w:rsid w:val="009D4B21"/>
    <w:rsid w:val="009D67DB"/>
    <w:rsid w:val="009E23F8"/>
    <w:rsid w:val="009E2671"/>
    <w:rsid w:val="009E2A7E"/>
    <w:rsid w:val="009E4416"/>
    <w:rsid w:val="009E46BF"/>
    <w:rsid w:val="009E5C1A"/>
    <w:rsid w:val="009E5DBD"/>
    <w:rsid w:val="009E65F7"/>
    <w:rsid w:val="009E6B12"/>
    <w:rsid w:val="009E7103"/>
    <w:rsid w:val="009E72EC"/>
    <w:rsid w:val="009F07ED"/>
    <w:rsid w:val="009F0C63"/>
    <w:rsid w:val="009F138E"/>
    <w:rsid w:val="009F1D7F"/>
    <w:rsid w:val="009F2CF9"/>
    <w:rsid w:val="009F3544"/>
    <w:rsid w:val="009F370B"/>
    <w:rsid w:val="009F4532"/>
    <w:rsid w:val="009F49AA"/>
    <w:rsid w:val="009F6FA1"/>
    <w:rsid w:val="009F7865"/>
    <w:rsid w:val="00A006CB"/>
    <w:rsid w:val="00A013CB"/>
    <w:rsid w:val="00A01651"/>
    <w:rsid w:val="00A0175C"/>
    <w:rsid w:val="00A04CDD"/>
    <w:rsid w:val="00A04FB5"/>
    <w:rsid w:val="00A05B4D"/>
    <w:rsid w:val="00A05D85"/>
    <w:rsid w:val="00A06AAE"/>
    <w:rsid w:val="00A06DA2"/>
    <w:rsid w:val="00A10A2A"/>
    <w:rsid w:val="00A11559"/>
    <w:rsid w:val="00A1206D"/>
    <w:rsid w:val="00A12AEB"/>
    <w:rsid w:val="00A13EF1"/>
    <w:rsid w:val="00A14B1D"/>
    <w:rsid w:val="00A14EFF"/>
    <w:rsid w:val="00A160A4"/>
    <w:rsid w:val="00A162A7"/>
    <w:rsid w:val="00A17296"/>
    <w:rsid w:val="00A17D75"/>
    <w:rsid w:val="00A17EC8"/>
    <w:rsid w:val="00A17F05"/>
    <w:rsid w:val="00A2034E"/>
    <w:rsid w:val="00A209F9"/>
    <w:rsid w:val="00A223AA"/>
    <w:rsid w:val="00A22CB2"/>
    <w:rsid w:val="00A2303C"/>
    <w:rsid w:val="00A24809"/>
    <w:rsid w:val="00A24A94"/>
    <w:rsid w:val="00A25539"/>
    <w:rsid w:val="00A25AA6"/>
    <w:rsid w:val="00A26586"/>
    <w:rsid w:val="00A272B7"/>
    <w:rsid w:val="00A273A1"/>
    <w:rsid w:val="00A30275"/>
    <w:rsid w:val="00A30405"/>
    <w:rsid w:val="00A30F99"/>
    <w:rsid w:val="00A31583"/>
    <w:rsid w:val="00A32D68"/>
    <w:rsid w:val="00A3303F"/>
    <w:rsid w:val="00A336EE"/>
    <w:rsid w:val="00A340F1"/>
    <w:rsid w:val="00A3460C"/>
    <w:rsid w:val="00A34AEB"/>
    <w:rsid w:val="00A3731B"/>
    <w:rsid w:val="00A4048C"/>
    <w:rsid w:val="00A41670"/>
    <w:rsid w:val="00A4170F"/>
    <w:rsid w:val="00A41B12"/>
    <w:rsid w:val="00A427BF"/>
    <w:rsid w:val="00A43D43"/>
    <w:rsid w:val="00A449DA"/>
    <w:rsid w:val="00A44E9D"/>
    <w:rsid w:val="00A45F60"/>
    <w:rsid w:val="00A460A6"/>
    <w:rsid w:val="00A4631F"/>
    <w:rsid w:val="00A466D6"/>
    <w:rsid w:val="00A46ACF"/>
    <w:rsid w:val="00A476CF"/>
    <w:rsid w:val="00A47D45"/>
    <w:rsid w:val="00A508D2"/>
    <w:rsid w:val="00A50C44"/>
    <w:rsid w:val="00A517A2"/>
    <w:rsid w:val="00A51B58"/>
    <w:rsid w:val="00A51D1B"/>
    <w:rsid w:val="00A52180"/>
    <w:rsid w:val="00A52214"/>
    <w:rsid w:val="00A52537"/>
    <w:rsid w:val="00A52624"/>
    <w:rsid w:val="00A534E2"/>
    <w:rsid w:val="00A538A2"/>
    <w:rsid w:val="00A54570"/>
    <w:rsid w:val="00A5484B"/>
    <w:rsid w:val="00A550AE"/>
    <w:rsid w:val="00A55CEE"/>
    <w:rsid w:val="00A56A02"/>
    <w:rsid w:val="00A56F8E"/>
    <w:rsid w:val="00A579BF"/>
    <w:rsid w:val="00A57C0A"/>
    <w:rsid w:val="00A601AC"/>
    <w:rsid w:val="00A609E1"/>
    <w:rsid w:val="00A60B6E"/>
    <w:rsid w:val="00A610F9"/>
    <w:rsid w:val="00A62935"/>
    <w:rsid w:val="00A62CA6"/>
    <w:rsid w:val="00A64E90"/>
    <w:rsid w:val="00A652BA"/>
    <w:rsid w:val="00A6537C"/>
    <w:rsid w:val="00A66D7D"/>
    <w:rsid w:val="00A67950"/>
    <w:rsid w:val="00A7045E"/>
    <w:rsid w:val="00A70C15"/>
    <w:rsid w:val="00A70F97"/>
    <w:rsid w:val="00A71277"/>
    <w:rsid w:val="00A71CE4"/>
    <w:rsid w:val="00A746E9"/>
    <w:rsid w:val="00A74DD4"/>
    <w:rsid w:val="00A7556C"/>
    <w:rsid w:val="00A75A6F"/>
    <w:rsid w:val="00A763C7"/>
    <w:rsid w:val="00A76B50"/>
    <w:rsid w:val="00A76FF6"/>
    <w:rsid w:val="00A774AE"/>
    <w:rsid w:val="00A80D9C"/>
    <w:rsid w:val="00A80EC0"/>
    <w:rsid w:val="00A817C0"/>
    <w:rsid w:val="00A81C85"/>
    <w:rsid w:val="00A8204F"/>
    <w:rsid w:val="00A821E4"/>
    <w:rsid w:val="00A82596"/>
    <w:rsid w:val="00A829A3"/>
    <w:rsid w:val="00A82FAE"/>
    <w:rsid w:val="00A8356A"/>
    <w:rsid w:val="00A83777"/>
    <w:rsid w:val="00A83AEC"/>
    <w:rsid w:val="00A83FEC"/>
    <w:rsid w:val="00A84569"/>
    <w:rsid w:val="00A84DBE"/>
    <w:rsid w:val="00A85582"/>
    <w:rsid w:val="00A85771"/>
    <w:rsid w:val="00A8649B"/>
    <w:rsid w:val="00A86B4A"/>
    <w:rsid w:val="00A86D6F"/>
    <w:rsid w:val="00A86DD8"/>
    <w:rsid w:val="00A9119C"/>
    <w:rsid w:val="00A922FB"/>
    <w:rsid w:val="00A93A7C"/>
    <w:rsid w:val="00A94225"/>
    <w:rsid w:val="00A95005"/>
    <w:rsid w:val="00A96BF7"/>
    <w:rsid w:val="00AA03BA"/>
    <w:rsid w:val="00AA03E8"/>
    <w:rsid w:val="00AA06D5"/>
    <w:rsid w:val="00AA199F"/>
    <w:rsid w:val="00AA2082"/>
    <w:rsid w:val="00AA303F"/>
    <w:rsid w:val="00AA3795"/>
    <w:rsid w:val="00AA3C06"/>
    <w:rsid w:val="00AA4672"/>
    <w:rsid w:val="00AA4BB4"/>
    <w:rsid w:val="00AA5420"/>
    <w:rsid w:val="00AA5591"/>
    <w:rsid w:val="00AA6363"/>
    <w:rsid w:val="00AA6960"/>
    <w:rsid w:val="00AA720B"/>
    <w:rsid w:val="00AA7885"/>
    <w:rsid w:val="00AA7A53"/>
    <w:rsid w:val="00AA7C05"/>
    <w:rsid w:val="00AA7CFB"/>
    <w:rsid w:val="00AA7F1B"/>
    <w:rsid w:val="00AB0752"/>
    <w:rsid w:val="00AB08D1"/>
    <w:rsid w:val="00AB0ACA"/>
    <w:rsid w:val="00AB137F"/>
    <w:rsid w:val="00AB1766"/>
    <w:rsid w:val="00AB20D0"/>
    <w:rsid w:val="00AB33D1"/>
    <w:rsid w:val="00AB3854"/>
    <w:rsid w:val="00AB3865"/>
    <w:rsid w:val="00AB447C"/>
    <w:rsid w:val="00AB524A"/>
    <w:rsid w:val="00AB5D6E"/>
    <w:rsid w:val="00AB6336"/>
    <w:rsid w:val="00AB7333"/>
    <w:rsid w:val="00AB7730"/>
    <w:rsid w:val="00AB7B6A"/>
    <w:rsid w:val="00AC062B"/>
    <w:rsid w:val="00AC0CB7"/>
    <w:rsid w:val="00AC104C"/>
    <w:rsid w:val="00AC1A6A"/>
    <w:rsid w:val="00AC300E"/>
    <w:rsid w:val="00AC5072"/>
    <w:rsid w:val="00AC5FBB"/>
    <w:rsid w:val="00AD1A36"/>
    <w:rsid w:val="00AD336E"/>
    <w:rsid w:val="00AD4445"/>
    <w:rsid w:val="00AD4597"/>
    <w:rsid w:val="00AD663A"/>
    <w:rsid w:val="00AD6B0C"/>
    <w:rsid w:val="00AE079E"/>
    <w:rsid w:val="00AE0BC7"/>
    <w:rsid w:val="00AE2B08"/>
    <w:rsid w:val="00AE394D"/>
    <w:rsid w:val="00AE4202"/>
    <w:rsid w:val="00AE561E"/>
    <w:rsid w:val="00AE5D86"/>
    <w:rsid w:val="00AE5ECB"/>
    <w:rsid w:val="00AE5EDB"/>
    <w:rsid w:val="00AE62E3"/>
    <w:rsid w:val="00AE65D6"/>
    <w:rsid w:val="00AE6BCA"/>
    <w:rsid w:val="00AE7331"/>
    <w:rsid w:val="00AE76DC"/>
    <w:rsid w:val="00AE79A8"/>
    <w:rsid w:val="00AF0B21"/>
    <w:rsid w:val="00AF195D"/>
    <w:rsid w:val="00AF1E4C"/>
    <w:rsid w:val="00AF1EE1"/>
    <w:rsid w:val="00AF25DC"/>
    <w:rsid w:val="00AF3795"/>
    <w:rsid w:val="00AF399D"/>
    <w:rsid w:val="00AF3EEF"/>
    <w:rsid w:val="00AF4111"/>
    <w:rsid w:val="00AF4FFC"/>
    <w:rsid w:val="00AF59B8"/>
    <w:rsid w:val="00AF5B8D"/>
    <w:rsid w:val="00AF5CCD"/>
    <w:rsid w:val="00AF5DE6"/>
    <w:rsid w:val="00AF5E23"/>
    <w:rsid w:val="00AF671B"/>
    <w:rsid w:val="00AF6A14"/>
    <w:rsid w:val="00AF6FA5"/>
    <w:rsid w:val="00B00335"/>
    <w:rsid w:val="00B0048A"/>
    <w:rsid w:val="00B00A13"/>
    <w:rsid w:val="00B00D59"/>
    <w:rsid w:val="00B0328D"/>
    <w:rsid w:val="00B03EEA"/>
    <w:rsid w:val="00B0436A"/>
    <w:rsid w:val="00B049B4"/>
    <w:rsid w:val="00B06B08"/>
    <w:rsid w:val="00B07724"/>
    <w:rsid w:val="00B07F78"/>
    <w:rsid w:val="00B10083"/>
    <w:rsid w:val="00B10680"/>
    <w:rsid w:val="00B10F0E"/>
    <w:rsid w:val="00B11BD3"/>
    <w:rsid w:val="00B1224E"/>
    <w:rsid w:val="00B12CC0"/>
    <w:rsid w:val="00B142BA"/>
    <w:rsid w:val="00B1534C"/>
    <w:rsid w:val="00B1559E"/>
    <w:rsid w:val="00B15B9F"/>
    <w:rsid w:val="00B15D93"/>
    <w:rsid w:val="00B15E29"/>
    <w:rsid w:val="00B1645A"/>
    <w:rsid w:val="00B16CD6"/>
    <w:rsid w:val="00B202FC"/>
    <w:rsid w:val="00B2042D"/>
    <w:rsid w:val="00B20C50"/>
    <w:rsid w:val="00B21E59"/>
    <w:rsid w:val="00B22328"/>
    <w:rsid w:val="00B228CA"/>
    <w:rsid w:val="00B242F1"/>
    <w:rsid w:val="00B24674"/>
    <w:rsid w:val="00B2709E"/>
    <w:rsid w:val="00B27B60"/>
    <w:rsid w:val="00B27CB2"/>
    <w:rsid w:val="00B302B9"/>
    <w:rsid w:val="00B30E96"/>
    <w:rsid w:val="00B31A9F"/>
    <w:rsid w:val="00B31AF3"/>
    <w:rsid w:val="00B3280C"/>
    <w:rsid w:val="00B32E99"/>
    <w:rsid w:val="00B34483"/>
    <w:rsid w:val="00B34600"/>
    <w:rsid w:val="00B3486B"/>
    <w:rsid w:val="00B35038"/>
    <w:rsid w:val="00B3518F"/>
    <w:rsid w:val="00B369E6"/>
    <w:rsid w:val="00B375EA"/>
    <w:rsid w:val="00B37877"/>
    <w:rsid w:val="00B407CB"/>
    <w:rsid w:val="00B40B13"/>
    <w:rsid w:val="00B41B03"/>
    <w:rsid w:val="00B423FC"/>
    <w:rsid w:val="00B42486"/>
    <w:rsid w:val="00B4266D"/>
    <w:rsid w:val="00B440F5"/>
    <w:rsid w:val="00B4460B"/>
    <w:rsid w:val="00B45263"/>
    <w:rsid w:val="00B4613A"/>
    <w:rsid w:val="00B4692F"/>
    <w:rsid w:val="00B46B6C"/>
    <w:rsid w:val="00B47FC3"/>
    <w:rsid w:val="00B501C3"/>
    <w:rsid w:val="00B505CA"/>
    <w:rsid w:val="00B5081E"/>
    <w:rsid w:val="00B50DF9"/>
    <w:rsid w:val="00B512DE"/>
    <w:rsid w:val="00B51348"/>
    <w:rsid w:val="00B519F4"/>
    <w:rsid w:val="00B522D5"/>
    <w:rsid w:val="00B52595"/>
    <w:rsid w:val="00B52E25"/>
    <w:rsid w:val="00B53431"/>
    <w:rsid w:val="00B54B48"/>
    <w:rsid w:val="00B54EAE"/>
    <w:rsid w:val="00B54F72"/>
    <w:rsid w:val="00B5648F"/>
    <w:rsid w:val="00B57546"/>
    <w:rsid w:val="00B6120F"/>
    <w:rsid w:val="00B61CAE"/>
    <w:rsid w:val="00B63ACD"/>
    <w:rsid w:val="00B64633"/>
    <w:rsid w:val="00B64D6D"/>
    <w:rsid w:val="00B65C08"/>
    <w:rsid w:val="00B70845"/>
    <w:rsid w:val="00B71106"/>
    <w:rsid w:val="00B73111"/>
    <w:rsid w:val="00B74287"/>
    <w:rsid w:val="00B74A4A"/>
    <w:rsid w:val="00B7550A"/>
    <w:rsid w:val="00B75885"/>
    <w:rsid w:val="00B77238"/>
    <w:rsid w:val="00B77823"/>
    <w:rsid w:val="00B81C17"/>
    <w:rsid w:val="00B83956"/>
    <w:rsid w:val="00B83E5F"/>
    <w:rsid w:val="00B8483F"/>
    <w:rsid w:val="00B848E0"/>
    <w:rsid w:val="00B85602"/>
    <w:rsid w:val="00B86F46"/>
    <w:rsid w:val="00B87EFC"/>
    <w:rsid w:val="00B903D5"/>
    <w:rsid w:val="00B928D5"/>
    <w:rsid w:val="00B92934"/>
    <w:rsid w:val="00B94E39"/>
    <w:rsid w:val="00B95048"/>
    <w:rsid w:val="00B960DD"/>
    <w:rsid w:val="00B974CA"/>
    <w:rsid w:val="00B97700"/>
    <w:rsid w:val="00B97CD4"/>
    <w:rsid w:val="00B97D61"/>
    <w:rsid w:val="00BA0F46"/>
    <w:rsid w:val="00BA0FB6"/>
    <w:rsid w:val="00BA1002"/>
    <w:rsid w:val="00BA2841"/>
    <w:rsid w:val="00BA2FFD"/>
    <w:rsid w:val="00BA3176"/>
    <w:rsid w:val="00BA37A6"/>
    <w:rsid w:val="00BA3AA7"/>
    <w:rsid w:val="00BA413A"/>
    <w:rsid w:val="00BA4477"/>
    <w:rsid w:val="00BA5107"/>
    <w:rsid w:val="00BA5E30"/>
    <w:rsid w:val="00BA61F9"/>
    <w:rsid w:val="00BA7696"/>
    <w:rsid w:val="00BB08CC"/>
    <w:rsid w:val="00BB0C27"/>
    <w:rsid w:val="00BB0D91"/>
    <w:rsid w:val="00BB111B"/>
    <w:rsid w:val="00BB2708"/>
    <w:rsid w:val="00BB2B9B"/>
    <w:rsid w:val="00BB4720"/>
    <w:rsid w:val="00BB535C"/>
    <w:rsid w:val="00BB58C9"/>
    <w:rsid w:val="00BB6171"/>
    <w:rsid w:val="00BB6B6E"/>
    <w:rsid w:val="00BB700D"/>
    <w:rsid w:val="00BC012C"/>
    <w:rsid w:val="00BC0A16"/>
    <w:rsid w:val="00BC0B69"/>
    <w:rsid w:val="00BC1070"/>
    <w:rsid w:val="00BC1661"/>
    <w:rsid w:val="00BC1B00"/>
    <w:rsid w:val="00BC2493"/>
    <w:rsid w:val="00BC2ACB"/>
    <w:rsid w:val="00BC2E95"/>
    <w:rsid w:val="00BC31A7"/>
    <w:rsid w:val="00BC44EC"/>
    <w:rsid w:val="00BC4A8A"/>
    <w:rsid w:val="00BC5790"/>
    <w:rsid w:val="00BC6143"/>
    <w:rsid w:val="00BC67D7"/>
    <w:rsid w:val="00BC6C6F"/>
    <w:rsid w:val="00BC738C"/>
    <w:rsid w:val="00BC75CD"/>
    <w:rsid w:val="00BD0C67"/>
    <w:rsid w:val="00BD166C"/>
    <w:rsid w:val="00BD2783"/>
    <w:rsid w:val="00BD33D0"/>
    <w:rsid w:val="00BD3676"/>
    <w:rsid w:val="00BD4AFA"/>
    <w:rsid w:val="00BD527E"/>
    <w:rsid w:val="00BD5770"/>
    <w:rsid w:val="00BD6F38"/>
    <w:rsid w:val="00BD71A1"/>
    <w:rsid w:val="00BD74BB"/>
    <w:rsid w:val="00BE08C1"/>
    <w:rsid w:val="00BE0A51"/>
    <w:rsid w:val="00BE151F"/>
    <w:rsid w:val="00BE1D2F"/>
    <w:rsid w:val="00BE35B0"/>
    <w:rsid w:val="00BE4542"/>
    <w:rsid w:val="00BE4866"/>
    <w:rsid w:val="00BE53CB"/>
    <w:rsid w:val="00BE5AC1"/>
    <w:rsid w:val="00BE5D7D"/>
    <w:rsid w:val="00BE6035"/>
    <w:rsid w:val="00BE6ABA"/>
    <w:rsid w:val="00BE6E0F"/>
    <w:rsid w:val="00BE6EC3"/>
    <w:rsid w:val="00BE7E35"/>
    <w:rsid w:val="00BF0BB7"/>
    <w:rsid w:val="00BF0F4F"/>
    <w:rsid w:val="00BF442C"/>
    <w:rsid w:val="00BF53B7"/>
    <w:rsid w:val="00BF5A82"/>
    <w:rsid w:val="00BF5B35"/>
    <w:rsid w:val="00BF796B"/>
    <w:rsid w:val="00C01A6C"/>
    <w:rsid w:val="00C02635"/>
    <w:rsid w:val="00C03016"/>
    <w:rsid w:val="00C035E8"/>
    <w:rsid w:val="00C0368D"/>
    <w:rsid w:val="00C0386A"/>
    <w:rsid w:val="00C04DE7"/>
    <w:rsid w:val="00C0630C"/>
    <w:rsid w:val="00C06862"/>
    <w:rsid w:val="00C06EA8"/>
    <w:rsid w:val="00C0704C"/>
    <w:rsid w:val="00C070E9"/>
    <w:rsid w:val="00C10497"/>
    <w:rsid w:val="00C10C13"/>
    <w:rsid w:val="00C10DDC"/>
    <w:rsid w:val="00C11157"/>
    <w:rsid w:val="00C11B49"/>
    <w:rsid w:val="00C12290"/>
    <w:rsid w:val="00C1232D"/>
    <w:rsid w:val="00C1309C"/>
    <w:rsid w:val="00C14B27"/>
    <w:rsid w:val="00C15091"/>
    <w:rsid w:val="00C1532A"/>
    <w:rsid w:val="00C158E5"/>
    <w:rsid w:val="00C15C74"/>
    <w:rsid w:val="00C16132"/>
    <w:rsid w:val="00C16524"/>
    <w:rsid w:val="00C1672F"/>
    <w:rsid w:val="00C16F8B"/>
    <w:rsid w:val="00C2021D"/>
    <w:rsid w:val="00C20249"/>
    <w:rsid w:val="00C20617"/>
    <w:rsid w:val="00C208FA"/>
    <w:rsid w:val="00C20DCD"/>
    <w:rsid w:val="00C21522"/>
    <w:rsid w:val="00C2226E"/>
    <w:rsid w:val="00C22685"/>
    <w:rsid w:val="00C22F2C"/>
    <w:rsid w:val="00C247E0"/>
    <w:rsid w:val="00C24D44"/>
    <w:rsid w:val="00C26CC6"/>
    <w:rsid w:val="00C26D86"/>
    <w:rsid w:val="00C26FD7"/>
    <w:rsid w:val="00C2700F"/>
    <w:rsid w:val="00C271D5"/>
    <w:rsid w:val="00C30115"/>
    <w:rsid w:val="00C30BF3"/>
    <w:rsid w:val="00C30EDE"/>
    <w:rsid w:val="00C3203D"/>
    <w:rsid w:val="00C320AD"/>
    <w:rsid w:val="00C32D1D"/>
    <w:rsid w:val="00C33BAD"/>
    <w:rsid w:val="00C34C62"/>
    <w:rsid w:val="00C34D48"/>
    <w:rsid w:val="00C34E2D"/>
    <w:rsid w:val="00C37928"/>
    <w:rsid w:val="00C40413"/>
    <w:rsid w:val="00C406C8"/>
    <w:rsid w:val="00C41205"/>
    <w:rsid w:val="00C41317"/>
    <w:rsid w:val="00C41372"/>
    <w:rsid w:val="00C41C14"/>
    <w:rsid w:val="00C44962"/>
    <w:rsid w:val="00C45907"/>
    <w:rsid w:val="00C47E32"/>
    <w:rsid w:val="00C516D5"/>
    <w:rsid w:val="00C52379"/>
    <w:rsid w:val="00C529CF"/>
    <w:rsid w:val="00C52F5F"/>
    <w:rsid w:val="00C53CDD"/>
    <w:rsid w:val="00C5432B"/>
    <w:rsid w:val="00C54ADC"/>
    <w:rsid w:val="00C562B3"/>
    <w:rsid w:val="00C5794C"/>
    <w:rsid w:val="00C62401"/>
    <w:rsid w:val="00C6247C"/>
    <w:rsid w:val="00C6272E"/>
    <w:rsid w:val="00C6293F"/>
    <w:rsid w:val="00C63635"/>
    <w:rsid w:val="00C63BA4"/>
    <w:rsid w:val="00C64C0A"/>
    <w:rsid w:val="00C64E72"/>
    <w:rsid w:val="00C66173"/>
    <w:rsid w:val="00C66E6F"/>
    <w:rsid w:val="00C66EEE"/>
    <w:rsid w:val="00C70940"/>
    <w:rsid w:val="00C72330"/>
    <w:rsid w:val="00C73AE3"/>
    <w:rsid w:val="00C73D54"/>
    <w:rsid w:val="00C740F1"/>
    <w:rsid w:val="00C7489A"/>
    <w:rsid w:val="00C752F0"/>
    <w:rsid w:val="00C758C9"/>
    <w:rsid w:val="00C7620F"/>
    <w:rsid w:val="00C76829"/>
    <w:rsid w:val="00C7716B"/>
    <w:rsid w:val="00C775E3"/>
    <w:rsid w:val="00C81678"/>
    <w:rsid w:val="00C82D6F"/>
    <w:rsid w:val="00C833BA"/>
    <w:rsid w:val="00C84F40"/>
    <w:rsid w:val="00C86B38"/>
    <w:rsid w:val="00C872B9"/>
    <w:rsid w:val="00C90BBB"/>
    <w:rsid w:val="00C91547"/>
    <w:rsid w:val="00C918C7"/>
    <w:rsid w:val="00C91AD2"/>
    <w:rsid w:val="00C9230A"/>
    <w:rsid w:val="00C926D2"/>
    <w:rsid w:val="00C92C32"/>
    <w:rsid w:val="00C939AE"/>
    <w:rsid w:val="00C94162"/>
    <w:rsid w:val="00C945C7"/>
    <w:rsid w:val="00C95FBC"/>
    <w:rsid w:val="00C96A47"/>
    <w:rsid w:val="00C96AAD"/>
    <w:rsid w:val="00C9746A"/>
    <w:rsid w:val="00CA003C"/>
    <w:rsid w:val="00CA04B5"/>
    <w:rsid w:val="00CA0663"/>
    <w:rsid w:val="00CA07E1"/>
    <w:rsid w:val="00CA1192"/>
    <w:rsid w:val="00CA1480"/>
    <w:rsid w:val="00CA17C6"/>
    <w:rsid w:val="00CA20CA"/>
    <w:rsid w:val="00CA24A3"/>
    <w:rsid w:val="00CA2552"/>
    <w:rsid w:val="00CA3525"/>
    <w:rsid w:val="00CA539B"/>
    <w:rsid w:val="00CA6529"/>
    <w:rsid w:val="00CA695A"/>
    <w:rsid w:val="00CA6EA7"/>
    <w:rsid w:val="00CA7FD8"/>
    <w:rsid w:val="00CA7FE1"/>
    <w:rsid w:val="00CB040F"/>
    <w:rsid w:val="00CB1845"/>
    <w:rsid w:val="00CB2E4C"/>
    <w:rsid w:val="00CB3696"/>
    <w:rsid w:val="00CB3FDB"/>
    <w:rsid w:val="00CB49CA"/>
    <w:rsid w:val="00CB5077"/>
    <w:rsid w:val="00CB5AC9"/>
    <w:rsid w:val="00CB5F52"/>
    <w:rsid w:val="00CB6AD1"/>
    <w:rsid w:val="00CB7694"/>
    <w:rsid w:val="00CB7B03"/>
    <w:rsid w:val="00CB7D73"/>
    <w:rsid w:val="00CC0372"/>
    <w:rsid w:val="00CC0E9D"/>
    <w:rsid w:val="00CC1A7F"/>
    <w:rsid w:val="00CC1E4E"/>
    <w:rsid w:val="00CC2899"/>
    <w:rsid w:val="00CC363A"/>
    <w:rsid w:val="00CC3F9B"/>
    <w:rsid w:val="00CC5508"/>
    <w:rsid w:val="00CC5D97"/>
    <w:rsid w:val="00CC696F"/>
    <w:rsid w:val="00CC74C7"/>
    <w:rsid w:val="00CC74F0"/>
    <w:rsid w:val="00CC76D9"/>
    <w:rsid w:val="00CD02FF"/>
    <w:rsid w:val="00CD2C2E"/>
    <w:rsid w:val="00CD2EEA"/>
    <w:rsid w:val="00CD301B"/>
    <w:rsid w:val="00CD4EA0"/>
    <w:rsid w:val="00CD6580"/>
    <w:rsid w:val="00CD68EC"/>
    <w:rsid w:val="00CD6E41"/>
    <w:rsid w:val="00CD7122"/>
    <w:rsid w:val="00CD75C3"/>
    <w:rsid w:val="00CD7CAC"/>
    <w:rsid w:val="00CD7F9F"/>
    <w:rsid w:val="00CE0674"/>
    <w:rsid w:val="00CE19FF"/>
    <w:rsid w:val="00CE3BA2"/>
    <w:rsid w:val="00CE3DEA"/>
    <w:rsid w:val="00CE4990"/>
    <w:rsid w:val="00CE67E9"/>
    <w:rsid w:val="00CF0FBB"/>
    <w:rsid w:val="00CF147C"/>
    <w:rsid w:val="00CF3050"/>
    <w:rsid w:val="00CF3D7A"/>
    <w:rsid w:val="00CF47BB"/>
    <w:rsid w:val="00CF5A0A"/>
    <w:rsid w:val="00CF5F3A"/>
    <w:rsid w:val="00CF6873"/>
    <w:rsid w:val="00CF7798"/>
    <w:rsid w:val="00D01375"/>
    <w:rsid w:val="00D01F99"/>
    <w:rsid w:val="00D0294D"/>
    <w:rsid w:val="00D034E0"/>
    <w:rsid w:val="00D038D3"/>
    <w:rsid w:val="00D03B2F"/>
    <w:rsid w:val="00D04A7F"/>
    <w:rsid w:val="00D05128"/>
    <w:rsid w:val="00D052F6"/>
    <w:rsid w:val="00D056AD"/>
    <w:rsid w:val="00D064B7"/>
    <w:rsid w:val="00D0670D"/>
    <w:rsid w:val="00D0682A"/>
    <w:rsid w:val="00D117B5"/>
    <w:rsid w:val="00D117D0"/>
    <w:rsid w:val="00D12341"/>
    <w:rsid w:val="00D127C1"/>
    <w:rsid w:val="00D1359D"/>
    <w:rsid w:val="00D157D0"/>
    <w:rsid w:val="00D165E2"/>
    <w:rsid w:val="00D17A16"/>
    <w:rsid w:val="00D17CDD"/>
    <w:rsid w:val="00D2120C"/>
    <w:rsid w:val="00D212AE"/>
    <w:rsid w:val="00D2216C"/>
    <w:rsid w:val="00D22825"/>
    <w:rsid w:val="00D2307B"/>
    <w:rsid w:val="00D23DA4"/>
    <w:rsid w:val="00D243AB"/>
    <w:rsid w:val="00D2441D"/>
    <w:rsid w:val="00D251AD"/>
    <w:rsid w:val="00D252A8"/>
    <w:rsid w:val="00D2534E"/>
    <w:rsid w:val="00D26903"/>
    <w:rsid w:val="00D26BCE"/>
    <w:rsid w:val="00D27B28"/>
    <w:rsid w:val="00D27E4E"/>
    <w:rsid w:val="00D27F7C"/>
    <w:rsid w:val="00D30421"/>
    <w:rsid w:val="00D30A4A"/>
    <w:rsid w:val="00D32CD3"/>
    <w:rsid w:val="00D34C02"/>
    <w:rsid w:val="00D35753"/>
    <w:rsid w:val="00D3627A"/>
    <w:rsid w:val="00D36888"/>
    <w:rsid w:val="00D37B3B"/>
    <w:rsid w:val="00D37D9B"/>
    <w:rsid w:val="00D4023B"/>
    <w:rsid w:val="00D40E12"/>
    <w:rsid w:val="00D40EDC"/>
    <w:rsid w:val="00D4517C"/>
    <w:rsid w:val="00D4557C"/>
    <w:rsid w:val="00D4581D"/>
    <w:rsid w:val="00D4599E"/>
    <w:rsid w:val="00D46112"/>
    <w:rsid w:val="00D46B9D"/>
    <w:rsid w:val="00D47730"/>
    <w:rsid w:val="00D51114"/>
    <w:rsid w:val="00D51A9D"/>
    <w:rsid w:val="00D52C6A"/>
    <w:rsid w:val="00D53C4A"/>
    <w:rsid w:val="00D53F1E"/>
    <w:rsid w:val="00D553F9"/>
    <w:rsid w:val="00D55669"/>
    <w:rsid w:val="00D55888"/>
    <w:rsid w:val="00D56E88"/>
    <w:rsid w:val="00D57E75"/>
    <w:rsid w:val="00D57ED3"/>
    <w:rsid w:val="00D6049F"/>
    <w:rsid w:val="00D60D56"/>
    <w:rsid w:val="00D60E46"/>
    <w:rsid w:val="00D61164"/>
    <w:rsid w:val="00D615DF"/>
    <w:rsid w:val="00D61CDB"/>
    <w:rsid w:val="00D62D7E"/>
    <w:rsid w:val="00D62F0A"/>
    <w:rsid w:val="00D632B2"/>
    <w:rsid w:val="00D633B0"/>
    <w:rsid w:val="00D63519"/>
    <w:rsid w:val="00D63ED5"/>
    <w:rsid w:val="00D640F7"/>
    <w:rsid w:val="00D65320"/>
    <w:rsid w:val="00D65345"/>
    <w:rsid w:val="00D66164"/>
    <w:rsid w:val="00D66DDF"/>
    <w:rsid w:val="00D676A3"/>
    <w:rsid w:val="00D676BA"/>
    <w:rsid w:val="00D678E2"/>
    <w:rsid w:val="00D701F0"/>
    <w:rsid w:val="00D70FA2"/>
    <w:rsid w:val="00D72A55"/>
    <w:rsid w:val="00D73066"/>
    <w:rsid w:val="00D73181"/>
    <w:rsid w:val="00D7397C"/>
    <w:rsid w:val="00D73A01"/>
    <w:rsid w:val="00D75D10"/>
    <w:rsid w:val="00D75F7F"/>
    <w:rsid w:val="00D76D84"/>
    <w:rsid w:val="00D771B9"/>
    <w:rsid w:val="00D77A24"/>
    <w:rsid w:val="00D77BA7"/>
    <w:rsid w:val="00D81FD3"/>
    <w:rsid w:val="00D8211E"/>
    <w:rsid w:val="00D82C46"/>
    <w:rsid w:val="00D838DD"/>
    <w:rsid w:val="00D83AC8"/>
    <w:rsid w:val="00D8478E"/>
    <w:rsid w:val="00D84D32"/>
    <w:rsid w:val="00D85FDB"/>
    <w:rsid w:val="00D86378"/>
    <w:rsid w:val="00D866EF"/>
    <w:rsid w:val="00D900DA"/>
    <w:rsid w:val="00D9028A"/>
    <w:rsid w:val="00D914E3"/>
    <w:rsid w:val="00D92194"/>
    <w:rsid w:val="00D9246B"/>
    <w:rsid w:val="00D9247B"/>
    <w:rsid w:val="00D92F20"/>
    <w:rsid w:val="00D9397F"/>
    <w:rsid w:val="00D93B48"/>
    <w:rsid w:val="00D949B6"/>
    <w:rsid w:val="00D94DE6"/>
    <w:rsid w:val="00D94FB9"/>
    <w:rsid w:val="00D952AB"/>
    <w:rsid w:val="00D97743"/>
    <w:rsid w:val="00DA0568"/>
    <w:rsid w:val="00DA1C08"/>
    <w:rsid w:val="00DA2011"/>
    <w:rsid w:val="00DA2735"/>
    <w:rsid w:val="00DA2936"/>
    <w:rsid w:val="00DA2CF2"/>
    <w:rsid w:val="00DA405B"/>
    <w:rsid w:val="00DA4BDE"/>
    <w:rsid w:val="00DA4DFA"/>
    <w:rsid w:val="00DA4E46"/>
    <w:rsid w:val="00DA5024"/>
    <w:rsid w:val="00DA7AFA"/>
    <w:rsid w:val="00DB096A"/>
    <w:rsid w:val="00DB0DD5"/>
    <w:rsid w:val="00DB1922"/>
    <w:rsid w:val="00DB2A0B"/>
    <w:rsid w:val="00DB2F87"/>
    <w:rsid w:val="00DB385C"/>
    <w:rsid w:val="00DB39F3"/>
    <w:rsid w:val="00DB414E"/>
    <w:rsid w:val="00DB4AEE"/>
    <w:rsid w:val="00DB55B3"/>
    <w:rsid w:val="00DB6F9B"/>
    <w:rsid w:val="00DB75D2"/>
    <w:rsid w:val="00DB7CAB"/>
    <w:rsid w:val="00DC0CB0"/>
    <w:rsid w:val="00DC2914"/>
    <w:rsid w:val="00DC2EC0"/>
    <w:rsid w:val="00DC312D"/>
    <w:rsid w:val="00DC3483"/>
    <w:rsid w:val="00DC3D35"/>
    <w:rsid w:val="00DC4544"/>
    <w:rsid w:val="00DC4DBE"/>
    <w:rsid w:val="00DC51F8"/>
    <w:rsid w:val="00DC57DE"/>
    <w:rsid w:val="00DC5F28"/>
    <w:rsid w:val="00DC7032"/>
    <w:rsid w:val="00DC7502"/>
    <w:rsid w:val="00DC7E37"/>
    <w:rsid w:val="00DD0BAB"/>
    <w:rsid w:val="00DD13D3"/>
    <w:rsid w:val="00DD1D71"/>
    <w:rsid w:val="00DD2120"/>
    <w:rsid w:val="00DD2655"/>
    <w:rsid w:val="00DD375D"/>
    <w:rsid w:val="00DD3D49"/>
    <w:rsid w:val="00DD5619"/>
    <w:rsid w:val="00DD6AAA"/>
    <w:rsid w:val="00DD7206"/>
    <w:rsid w:val="00DD7A3F"/>
    <w:rsid w:val="00DD7C99"/>
    <w:rsid w:val="00DE0649"/>
    <w:rsid w:val="00DE0BB0"/>
    <w:rsid w:val="00DE0BC3"/>
    <w:rsid w:val="00DE1265"/>
    <w:rsid w:val="00DE1E04"/>
    <w:rsid w:val="00DE25FE"/>
    <w:rsid w:val="00DE4032"/>
    <w:rsid w:val="00DE532F"/>
    <w:rsid w:val="00DE59B4"/>
    <w:rsid w:val="00DE6832"/>
    <w:rsid w:val="00DE6E4F"/>
    <w:rsid w:val="00DE7DCB"/>
    <w:rsid w:val="00DF1418"/>
    <w:rsid w:val="00DF31D4"/>
    <w:rsid w:val="00DF346D"/>
    <w:rsid w:val="00DF3C6F"/>
    <w:rsid w:val="00DF3D70"/>
    <w:rsid w:val="00DF5B08"/>
    <w:rsid w:val="00DF5F16"/>
    <w:rsid w:val="00DF6139"/>
    <w:rsid w:val="00DF6819"/>
    <w:rsid w:val="00E00849"/>
    <w:rsid w:val="00E00D23"/>
    <w:rsid w:val="00E014E0"/>
    <w:rsid w:val="00E020EE"/>
    <w:rsid w:val="00E026A3"/>
    <w:rsid w:val="00E026EA"/>
    <w:rsid w:val="00E028A1"/>
    <w:rsid w:val="00E02E98"/>
    <w:rsid w:val="00E0315E"/>
    <w:rsid w:val="00E03406"/>
    <w:rsid w:val="00E03D27"/>
    <w:rsid w:val="00E0622C"/>
    <w:rsid w:val="00E0695C"/>
    <w:rsid w:val="00E069FA"/>
    <w:rsid w:val="00E0721A"/>
    <w:rsid w:val="00E07612"/>
    <w:rsid w:val="00E07B04"/>
    <w:rsid w:val="00E1182C"/>
    <w:rsid w:val="00E126A5"/>
    <w:rsid w:val="00E126D1"/>
    <w:rsid w:val="00E13318"/>
    <w:rsid w:val="00E1567A"/>
    <w:rsid w:val="00E15916"/>
    <w:rsid w:val="00E175FA"/>
    <w:rsid w:val="00E21527"/>
    <w:rsid w:val="00E21834"/>
    <w:rsid w:val="00E22700"/>
    <w:rsid w:val="00E22B98"/>
    <w:rsid w:val="00E235C2"/>
    <w:rsid w:val="00E23D50"/>
    <w:rsid w:val="00E23F1C"/>
    <w:rsid w:val="00E2547E"/>
    <w:rsid w:val="00E254F1"/>
    <w:rsid w:val="00E25E80"/>
    <w:rsid w:val="00E26BE2"/>
    <w:rsid w:val="00E27255"/>
    <w:rsid w:val="00E27B25"/>
    <w:rsid w:val="00E27EA6"/>
    <w:rsid w:val="00E3034D"/>
    <w:rsid w:val="00E30DE7"/>
    <w:rsid w:val="00E31268"/>
    <w:rsid w:val="00E314B4"/>
    <w:rsid w:val="00E3273B"/>
    <w:rsid w:val="00E32D66"/>
    <w:rsid w:val="00E32EC2"/>
    <w:rsid w:val="00E32FFE"/>
    <w:rsid w:val="00E331E7"/>
    <w:rsid w:val="00E34C5D"/>
    <w:rsid w:val="00E34DDA"/>
    <w:rsid w:val="00E35EA6"/>
    <w:rsid w:val="00E362CB"/>
    <w:rsid w:val="00E36661"/>
    <w:rsid w:val="00E36D67"/>
    <w:rsid w:val="00E36F1C"/>
    <w:rsid w:val="00E400AA"/>
    <w:rsid w:val="00E40563"/>
    <w:rsid w:val="00E409D4"/>
    <w:rsid w:val="00E40D14"/>
    <w:rsid w:val="00E412D3"/>
    <w:rsid w:val="00E42CA4"/>
    <w:rsid w:val="00E42DF4"/>
    <w:rsid w:val="00E42EEE"/>
    <w:rsid w:val="00E4365F"/>
    <w:rsid w:val="00E442AF"/>
    <w:rsid w:val="00E44E49"/>
    <w:rsid w:val="00E44F32"/>
    <w:rsid w:val="00E45463"/>
    <w:rsid w:val="00E45D3C"/>
    <w:rsid w:val="00E474B2"/>
    <w:rsid w:val="00E47ACE"/>
    <w:rsid w:val="00E506F0"/>
    <w:rsid w:val="00E50B64"/>
    <w:rsid w:val="00E510AE"/>
    <w:rsid w:val="00E52A3B"/>
    <w:rsid w:val="00E52D98"/>
    <w:rsid w:val="00E5326A"/>
    <w:rsid w:val="00E546E2"/>
    <w:rsid w:val="00E54AB9"/>
    <w:rsid w:val="00E5623B"/>
    <w:rsid w:val="00E56F6C"/>
    <w:rsid w:val="00E57139"/>
    <w:rsid w:val="00E60204"/>
    <w:rsid w:val="00E6169C"/>
    <w:rsid w:val="00E61A2C"/>
    <w:rsid w:val="00E61A4F"/>
    <w:rsid w:val="00E62395"/>
    <w:rsid w:val="00E64825"/>
    <w:rsid w:val="00E64B2F"/>
    <w:rsid w:val="00E64EAD"/>
    <w:rsid w:val="00E650AA"/>
    <w:rsid w:val="00E65E0E"/>
    <w:rsid w:val="00E670B4"/>
    <w:rsid w:val="00E67A8F"/>
    <w:rsid w:val="00E67DA7"/>
    <w:rsid w:val="00E67FD8"/>
    <w:rsid w:val="00E707F5"/>
    <w:rsid w:val="00E70966"/>
    <w:rsid w:val="00E71C33"/>
    <w:rsid w:val="00E71F8C"/>
    <w:rsid w:val="00E72E3B"/>
    <w:rsid w:val="00E75036"/>
    <w:rsid w:val="00E75EE6"/>
    <w:rsid w:val="00E77A83"/>
    <w:rsid w:val="00E8076E"/>
    <w:rsid w:val="00E80F2D"/>
    <w:rsid w:val="00E81049"/>
    <w:rsid w:val="00E8266C"/>
    <w:rsid w:val="00E839CD"/>
    <w:rsid w:val="00E84490"/>
    <w:rsid w:val="00E84A4F"/>
    <w:rsid w:val="00E85439"/>
    <w:rsid w:val="00E85469"/>
    <w:rsid w:val="00E85A8F"/>
    <w:rsid w:val="00E864B1"/>
    <w:rsid w:val="00E86DF3"/>
    <w:rsid w:val="00E877ED"/>
    <w:rsid w:val="00E90A49"/>
    <w:rsid w:val="00E90BE6"/>
    <w:rsid w:val="00E910F9"/>
    <w:rsid w:val="00E9197F"/>
    <w:rsid w:val="00E939C4"/>
    <w:rsid w:val="00E93C2F"/>
    <w:rsid w:val="00E93D1A"/>
    <w:rsid w:val="00E948E8"/>
    <w:rsid w:val="00E9675F"/>
    <w:rsid w:val="00E96987"/>
    <w:rsid w:val="00E9723A"/>
    <w:rsid w:val="00E97D92"/>
    <w:rsid w:val="00E97F8C"/>
    <w:rsid w:val="00EA0A2F"/>
    <w:rsid w:val="00EA1AD8"/>
    <w:rsid w:val="00EA25A4"/>
    <w:rsid w:val="00EA3A0E"/>
    <w:rsid w:val="00EA6B62"/>
    <w:rsid w:val="00EA6C2F"/>
    <w:rsid w:val="00EA6D80"/>
    <w:rsid w:val="00EA762F"/>
    <w:rsid w:val="00EB15F3"/>
    <w:rsid w:val="00EB2A4A"/>
    <w:rsid w:val="00EB2C59"/>
    <w:rsid w:val="00EB3E19"/>
    <w:rsid w:val="00EB4FFD"/>
    <w:rsid w:val="00EB5008"/>
    <w:rsid w:val="00EB5172"/>
    <w:rsid w:val="00EB543A"/>
    <w:rsid w:val="00EB5BAD"/>
    <w:rsid w:val="00EB6A0A"/>
    <w:rsid w:val="00EB6C31"/>
    <w:rsid w:val="00EB7304"/>
    <w:rsid w:val="00EB745F"/>
    <w:rsid w:val="00EB7761"/>
    <w:rsid w:val="00EB77D1"/>
    <w:rsid w:val="00EC0132"/>
    <w:rsid w:val="00EC078F"/>
    <w:rsid w:val="00EC08EA"/>
    <w:rsid w:val="00EC2DF4"/>
    <w:rsid w:val="00EC4C61"/>
    <w:rsid w:val="00EC4FDB"/>
    <w:rsid w:val="00EC5D24"/>
    <w:rsid w:val="00EC628E"/>
    <w:rsid w:val="00EC6E9D"/>
    <w:rsid w:val="00EC77A3"/>
    <w:rsid w:val="00EC7C50"/>
    <w:rsid w:val="00ED1255"/>
    <w:rsid w:val="00ED22F4"/>
    <w:rsid w:val="00ED4264"/>
    <w:rsid w:val="00ED4A83"/>
    <w:rsid w:val="00ED53FA"/>
    <w:rsid w:val="00ED59A1"/>
    <w:rsid w:val="00ED59CD"/>
    <w:rsid w:val="00ED67E7"/>
    <w:rsid w:val="00ED7429"/>
    <w:rsid w:val="00ED7DE0"/>
    <w:rsid w:val="00EE09CC"/>
    <w:rsid w:val="00EE10B7"/>
    <w:rsid w:val="00EE140F"/>
    <w:rsid w:val="00EE169C"/>
    <w:rsid w:val="00EE1B6A"/>
    <w:rsid w:val="00EE2C8C"/>
    <w:rsid w:val="00EE2D7B"/>
    <w:rsid w:val="00EE39FA"/>
    <w:rsid w:val="00EE52B0"/>
    <w:rsid w:val="00EF0059"/>
    <w:rsid w:val="00EF0A4C"/>
    <w:rsid w:val="00EF0D6A"/>
    <w:rsid w:val="00EF1CE4"/>
    <w:rsid w:val="00EF1E01"/>
    <w:rsid w:val="00EF38D1"/>
    <w:rsid w:val="00EF38FE"/>
    <w:rsid w:val="00EF4A72"/>
    <w:rsid w:val="00EF6369"/>
    <w:rsid w:val="00EF6BF3"/>
    <w:rsid w:val="00EF6CFB"/>
    <w:rsid w:val="00EF7242"/>
    <w:rsid w:val="00EF7FEB"/>
    <w:rsid w:val="00F00A14"/>
    <w:rsid w:val="00F01BFC"/>
    <w:rsid w:val="00F03187"/>
    <w:rsid w:val="00F03723"/>
    <w:rsid w:val="00F03CED"/>
    <w:rsid w:val="00F04AC5"/>
    <w:rsid w:val="00F0557A"/>
    <w:rsid w:val="00F05C88"/>
    <w:rsid w:val="00F0680E"/>
    <w:rsid w:val="00F06FFA"/>
    <w:rsid w:val="00F070D2"/>
    <w:rsid w:val="00F079E1"/>
    <w:rsid w:val="00F102F6"/>
    <w:rsid w:val="00F1035F"/>
    <w:rsid w:val="00F103CF"/>
    <w:rsid w:val="00F1097B"/>
    <w:rsid w:val="00F11E09"/>
    <w:rsid w:val="00F1296A"/>
    <w:rsid w:val="00F12F43"/>
    <w:rsid w:val="00F138D9"/>
    <w:rsid w:val="00F149CD"/>
    <w:rsid w:val="00F14A0E"/>
    <w:rsid w:val="00F14F71"/>
    <w:rsid w:val="00F16157"/>
    <w:rsid w:val="00F16621"/>
    <w:rsid w:val="00F21559"/>
    <w:rsid w:val="00F21B76"/>
    <w:rsid w:val="00F2208D"/>
    <w:rsid w:val="00F229C1"/>
    <w:rsid w:val="00F232E8"/>
    <w:rsid w:val="00F242E9"/>
    <w:rsid w:val="00F24DB6"/>
    <w:rsid w:val="00F2548B"/>
    <w:rsid w:val="00F27493"/>
    <w:rsid w:val="00F27B53"/>
    <w:rsid w:val="00F3052A"/>
    <w:rsid w:val="00F30F70"/>
    <w:rsid w:val="00F31971"/>
    <w:rsid w:val="00F322FE"/>
    <w:rsid w:val="00F327A1"/>
    <w:rsid w:val="00F32EB3"/>
    <w:rsid w:val="00F33194"/>
    <w:rsid w:val="00F33392"/>
    <w:rsid w:val="00F33841"/>
    <w:rsid w:val="00F33ECF"/>
    <w:rsid w:val="00F34072"/>
    <w:rsid w:val="00F342E2"/>
    <w:rsid w:val="00F347DE"/>
    <w:rsid w:val="00F35291"/>
    <w:rsid w:val="00F3620B"/>
    <w:rsid w:val="00F375DE"/>
    <w:rsid w:val="00F37E17"/>
    <w:rsid w:val="00F41A74"/>
    <w:rsid w:val="00F43705"/>
    <w:rsid w:val="00F43B3E"/>
    <w:rsid w:val="00F440B3"/>
    <w:rsid w:val="00F442F7"/>
    <w:rsid w:val="00F451DD"/>
    <w:rsid w:val="00F4600B"/>
    <w:rsid w:val="00F46473"/>
    <w:rsid w:val="00F46EE0"/>
    <w:rsid w:val="00F473B9"/>
    <w:rsid w:val="00F47A50"/>
    <w:rsid w:val="00F47C73"/>
    <w:rsid w:val="00F5071D"/>
    <w:rsid w:val="00F51BB6"/>
    <w:rsid w:val="00F51C19"/>
    <w:rsid w:val="00F53D72"/>
    <w:rsid w:val="00F54936"/>
    <w:rsid w:val="00F55E50"/>
    <w:rsid w:val="00F57830"/>
    <w:rsid w:val="00F57914"/>
    <w:rsid w:val="00F57CC9"/>
    <w:rsid w:val="00F607CA"/>
    <w:rsid w:val="00F6099D"/>
    <w:rsid w:val="00F60BE5"/>
    <w:rsid w:val="00F633A2"/>
    <w:rsid w:val="00F6387B"/>
    <w:rsid w:val="00F63D89"/>
    <w:rsid w:val="00F6520C"/>
    <w:rsid w:val="00F65292"/>
    <w:rsid w:val="00F65518"/>
    <w:rsid w:val="00F65D3B"/>
    <w:rsid w:val="00F65F1F"/>
    <w:rsid w:val="00F667BA"/>
    <w:rsid w:val="00F67A14"/>
    <w:rsid w:val="00F70344"/>
    <w:rsid w:val="00F7151A"/>
    <w:rsid w:val="00F72316"/>
    <w:rsid w:val="00F724FE"/>
    <w:rsid w:val="00F74CD4"/>
    <w:rsid w:val="00F74DF0"/>
    <w:rsid w:val="00F76139"/>
    <w:rsid w:val="00F768F3"/>
    <w:rsid w:val="00F77DCB"/>
    <w:rsid w:val="00F80D64"/>
    <w:rsid w:val="00F829C5"/>
    <w:rsid w:val="00F82AFD"/>
    <w:rsid w:val="00F82F1A"/>
    <w:rsid w:val="00F82FC8"/>
    <w:rsid w:val="00F8370C"/>
    <w:rsid w:val="00F8608C"/>
    <w:rsid w:val="00F866B5"/>
    <w:rsid w:val="00F900B2"/>
    <w:rsid w:val="00F90754"/>
    <w:rsid w:val="00F90895"/>
    <w:rsid w:val="00F90CC1"/>
    <w:rsid w:val="00F92194"/>
    <w:rsid w:val="00F928EB"/>
    <w:rsid w:val="00F92E2E"/>
    <w:rsid w:val="00F93ADA"/>
    <w:rsid w:val="00F940F1"/>
    <w:rsid w:val="00F94435"/>
    <w:rsid w:val="00F94A0C"/>
    <w:rsid w:val="00F9568C"/>
    <w:rsid w:val="00F95C9C"/>
    <w:rsid w:val="00F95DC6"/>
    <w:rsid w:val="00F96291"/>
    <w:rsid w:val="00F964AB"/>
    <w:rsid w:val="00F96D1B"/>
    <w:rsid w:val="00F96EB2"/>
    <w:rsid w:val="00F9712B"/>
    <w:rsid w:val="00FA09C0"/>
    <w:rsid w:val="00FA0F20"/>
    <w:rsid w:val="00FA1355"/>
    <w:rsid w:val="00FA137F"/>
    <w:rsid w:val="00FA1FE7"/>
    <w:rsid w:val="00FA2F3D"/>
    <w:rsid w:val="00FA2FB9"/>
    <w:rsid w:val="00FA39EE"/>
    <w:rsid w:val="00FA3C79"/>
    <w:rsid w:val="00FA4C50"/>
    <w:rsid w:val="00FA4EA4"/>
    <w:rsid w:val="00FA54F2"/>
    <w:rsid w:val="00FA587D"/>
    <w:rsid w:val="00FA5B2A"/>
    <w:rsid w:val="00FB0ADF"/>
    <w:rsid w:val="00FB0DD8"/>
    <w:rsid w:val="00FB1CB9"/>
    <w:rsid w:val="00FB1D03"/>
    <w:rsid w:val="00FB25E9"/>
    <w:rsid w:val="00FB28E4"/>
    <w:rsid w:val="00FB4E9D"/>
    <w:rsid w:val="00FB505D"/>
    <w:rsid w:val="00FB5C72"/>
    <w:rsid w:val="00FB71F0"/>
    <w:rsid w:val="00FC074B"/>
    <w:rsid w:val="00FC07BF"/>
    <w:rsid w:val="00FC12F6"/>
    <w:rsid w:val="00FC141E"/>
    <w:rsid w:val="00FC1737"/>
    <w:rsid w:val="00FC2349"/>
    <w:rsid w:val="00FC2C8C"/>
    <w:rsid w:val="00FC2E99"/>
    <w:rsid w:val="00FC443A"/>
    <w:rsid w:val="00FC4650"/>
    <w:rsid w:val="00FC48D4"/>
    <w:rsid w:val="00FC51A7"/>
    <w:rsid w:val="00FC64E5"/>
    <w:rsid w:val="00FC672A"/>
    <w:rsid w:val="00FC6D4A"/>
    <w:rsid w:val="00FC727E"/>
    <w:rsid w:val="00FC7B05"/>
    <w:rsid w:val="00FC7FA7"/>
    <w:rsid w:val="00FD04DD"/>
    <w:rsid w:val="00FD059E"/>
    <w:rsid w:val="00FD1B2E"/>
    <w:rsid w:val="00FD1BFE"/>
    <w:rsid w:val="00FD3D26"/>
    <w:rsid w:val="00FD4302"/>
    <w:rsid w:val="00FD6767"/>
    <w:rsid w:val="00FD7E85"/>
    <w:rsid w:val="00FE00D0"/>
    <w:rsid w:val="00FE0B2D"/>
    <w:rsid w:val="00FE0E5F"/>
    <w:rsid w:val="00FE112F"/>
    <w:rsid w:val="00FE49CE"/>
    <w:rsid w:val="00FE4B0D"/>
    <w:rsid w:val="00FE4BEF"/>
    <w:rsid w:val="00FE4D07"/>
    <w:rsid w:val="00FE51AD"/>
    <w:rsid w:val="00FF00CA"/>
    <w:rsid w:val="00FF1F76"/>
    <w:rsid w:val="00FF28D4"/>
    <w:rsid w:val="00FF2D8F"/>
    <w:rsid w:val="00FF3378"/>
    <w:rsid w:val="00FF3965"/>
    <w:rsid w:val="00FF4282"/>
    <w:rsid w:val="00FF44BE"/>
    <w:rsid w:val="00FF45AC"/>
    <w:rsid w:val="00FF50FB"/>
    <w:rsid w:val="00FF5AA6"/>
    <w:rsid w:val="00FF61CD"/>
    <w:rsid w:val="00FF642B"/>
    <w:rsid w:val="00FF652C"/>
    <w:rsid w:val="00FF663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0D6F642"/>
  <w15:docId w15:val="{1B940EA4-2FBE-4EC2-8DE8-A46E6164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956"/>
    <w:pPr>
      <w:spacing w:after="120"/>
      <w:ind w:firstLine="567"/>
      <w:jc w:val="both"/>
    </w:pPr>
    <w:rPr>
      <w:rFonts w:eastAsia="Times New Roman"/>
      <w:sz w:val="24"/>
      <w:lang w:eastAsia="en-US"/>
    </w:rPr>
  </w:style>
  <w:style w:type="paragraph" w:styleId="Heading1">
    <w:name w:val="heading 1"/>
    <w:basedOn w:val="Normal"/>
    <w:next w:val="Normal"/>
    <w:link w:val="Heading1Char"/>
    <w:uiPriority w:val="9"/>
    <w:qFormat/>
    <w:rsid w:val="0050658A"/>
    <w:pPr>
      <w:keepNext/>
      <w:keepLines/>
      <w:spacing w:before="480" w:after="0"/>
      <w:outlineLvl w:val="0"/>
    </w:pPr>
    <w:rPr>
      <w:rFonts w:ascii="Cambria" w:hAnsi="Cambria"/>
      <w:b/>
      <w:bCs/>
      <w:color w:val="365F91"/>
      <w:sz w:val="20"/>
      <w:szCs w:val="28"/>
      <w:lang w:val="x-none" w:eastAsia="x-none"/>
    </w:rPr>
  </w:style>
  <w:style w:type="paragraph" w:styleId="Heading2">
    <w:name w:val="heading 2"/>
    <w:basedOn w:val="Normal"/>
    <w:next w:val="Normal"/>
    <w:link w:val="Heading2Char"/>
    <w:uiPriority w:val="9"/>
    <w:semiHidden/>
    <w:unhideWhenUsed/>
    <w:qFormat/>
    <w:rsid w:val="00F96D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06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6AF"/>
    <w:rPr>
      <w:rFonts w:ascii="Cambria" w:eastAsia="Times New Roman" w:hAnsi="Cambria"/>
      <w:b/>
      <w:bCs/>
      <w:color w:val="365F91"/>
      <w:szCs w:val="28"/>
      <w:lang w:val="x-none" w:eastAsia="x-none"/>
    </w:rPr>
  </w:style>
  <w:style w:type="character" w:customStyle="1" w:styleId="Heading3Char">
    <w:name w:val="Heading 3 Char"/>
    <w:link w:val="Heading3"/>
    <w:uiPriority w:val="9"/>
    <w:rsid w:val="005A06FA"/>
    <w:rPr>
      <w:rFonts w:ascii="Cambria" w:eastAsia="Times New Roman" w:hAnsi="Cambria" w:cs="Times New Roman"/>
      <w:b/>
      <w:bCs/>
      <w:sz w:val="26"/>
      <w:szCs w:val="26"/>
      <w:lang w:eastAsia="en-US"/>
    </w:rPr>
  </w:style>
  <w:style w:type="paragraph" w:styleId="Footer">
    <w:name w:val="footer"/>
    <w:basedOn w:val="Normal"/>
    <w:link w:val="FooterChar"/>
    <w:uiPriority w:val="99"/>
    <w:rsid w:val="000F6956"/>
    <w:pPr>
      <w:tabs>
        <w:tab w:val="center" w:pos="4153"/>
        <w:tab w:val="right" w:pos="8306"/>
      </w:tabs>
    </w:pPr>
    <w:rPr>
      <w:lang w:val="x-none" w:eastAsia="x-none"/>
    </w:rPr>
  </w:style>
  <w:style w:type="character" w:customStyle="1" w:styleId="FooterChar">
    <w:name w:val="Footer Char"/>
    <w:link w:val="Footer"/>
    <w:uiPriority w:val="99"/>
    <w:rsid w:val="000F6956"/>
    <w:rPr>
      <w:rFonts w:eastAsia="Times New Roman" w:cs="Times New Roman"/>
      <w:sz w:val="24"/>
      <w:szCs w:val="20"/>
    </w:rPr>
  </w:style>
  <w:style w:type="character" w:styleId="PageNumber">
    <w:name w:val="page number"/>
    <w:basedOn w:val="DefaultParagraphFont"/>
    <w:rsid w:val="000F6956"/>
  </w:style>
  <w:style w:type="character" w:customStyle="1" w:styleId="HeaderChar">
    <w:name w:val="Header Char"/>
    <w:link w:val="Header"/>
    <w:uiPriority w:val="99"/>
    <w:rsid w:val="000F6956"/>
    <w:rPr>
      <w:sz w:val="24"/>
    </w:rPr>
  </w:style>
  <w:style w:type="paragraph" w:styleId="Header">
    <w:name w:val="header"/>
    <w:basedOn w:val="Normal"/>
    <w:link w:val="HeaderChar"/>
    <w:uiPriority w:val="99"/>
    <w:rsid w:val="000F6956"/>
    <w:pPr>
      <w:tabs>
        <w:tab w:val="center" w:pos="4153"/>
        <w:tab w:val="right" w:pos="8306"/>
      </w:tabs>
    </w:pPr>
    <w:rPr>
      <w:rFonts w:eastAsia="Calibri"/>
      <w:lang w:val="x-none" w:eastAsia="x-none"/>
    </w:rPr>
  </w:style>
  <w:style w:type="character" w:customStyle="1" w:styleId="HeaderChar1">
    <w:name w:val="Header Char1"/>
    <w:uiPriority w:val="99"/>
    <w:semiHidden/>
    <w:rsid w:val="000F6956"/>
    <w:rPr>
      <w:rFonts w:eastAsia="Times New Roman" w:cs="Times New Roman"/>
      <w:sz w:val="24"/>
      <w:szCs w:val="20"/>
    </w:rPr>
  </w:style>
  <w:style w:type="paragraph" w:customStyle="1" w:styleId="H1">
    <w:name w:val="H1"/>
    <w:link w:val="H1Char"/>
    <w:rsid w:val="00283B8B"/>
    <w:pPr>
      <w:keepNext/>
      <w:keepLines/>
      <w:pageBreakBefore/>
      <w:pBdr>
        <w:bottom w:val="thickThinLargeGap" w:sz="24" w:space="1" w:color="17365D"/>
      </w:pBdr>
      <w:tabs>
        <w:tab w:val="left" w:pos="1134"/>
      </w:tabs>
      <w:spacing w:after="120"/>
      <w:ind w:left="1134" w:hanging="567"/>
      <w:outlineLvl w:val="0"/>
    </w:pPr>
    <w:rPr>
      <w:rFonts w:eastAsia="Times New Roman"/>
      <w:b/>
      <w:sz w:val="36"/>
      <w:lang w:eastAsia="en-US"/>
    </w:rPr>
  </w:style>
  <w:style w:type="character" w:customStyle="1" w:styleId="H1Char">
    <w:name w:val="H1 Char"/>
    <w:link w:val="H1"/>
    <w:rsid w:val="00283B8B"/>
    <w:rPr>
      <w:rFonts w:eastAsia="Times New Roman"/>
      <w:b/>
      <w:sz w:val="36"/>
      <w:lang w:eastAsia="en-US" w:bidi="ar-SA"/>
    </w:rPr>
  </w:style>
  <w:style w:type="character" w:styleId="CommentReference">
    <w:name w:val="annotation reference"/>
    <w:uiPriority w:val="99"/>
    <w:semiHidden/>
    <w:unhideWhenUsed/>
    <w:rsid w:val="000F6956"/>
    <w:rPr>
      <w:sz w:val="16"/>
      <w:szCs w:val="16"/>
    </w:rPr>
  </w:style>
  <w:style w:type="paragraph" w:styleId="CommentText">
    <w:name w:val="annotation text"/>
    <w:basedOn w:val="Normal"/>
    <w:link w:val="CommentTextChar"/>
    <w:uiPriority w:val="99"/>
    <w:unhideWhenUsed/>
    <w:rsid w:val="00B51348"/>
    <w:rPr>
      <w:sz w:val="20"/>
      <w:lang w:val="x-none" w:eastAsia="x-none"/>
    </w:rPr>
  </w:style>
  <w:style w:type="character" w:customStyle="1" w:styleId="CommentTextChar">
    <w:name w:val="Comment Text Char"/>
    <w:link w:val="CommentText"/>
    <w:uiPriority w:val="99"/>
    <w:rsid w:val="000F6956"/>
    <w:rPr>
      <w:rFonts w:eastAsia="Times New Roman"/>
      <w:lang w:val="x-none" w:eastAsia="x-none"/>
    </w:rPr>
  </w:style>
  <w:style w:type="paragraph" w:styleId="BalloonText">
    <w:name w:val="Balloon Text"/>
    <w:basedOn w:val="Normal"/>
    <w:link w:val="BalloonTextChar"/>
    <w:uiPriority w:val="99"/>
    <w:semiHidden/>
    <w:unhideWhenUsed/>
    <w:rsid w:val="000F695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F6956"/>
    <w:rPr>
      <w:rFonts w:ascii="Tahoma" w:eastAsia="Times New Roman" w:hAnsi="Tahoma" w:cs="Tahoma"/>
      <w:sz w:val="16"/>
      <w:szCs w:val="16"/>
    </w:rPr>
  </w:style>
  <w:style w:type="paragraph" w:customStyle="1" w:styleId="H2">
    <w:name w:val="H2"/>
    <w:link w:val="H2Char"/>
    <w:uiPriority w:val="99"/>
    <w:rsid w:val="000F6956"/>
    <w:pPr>
      <w:keepNext/>
      <w:tabs>
        <w:tab w:val="left" w:pos="1134"/>
      </w:tabs>
      <w:spacing w:before="480" w:after="240"/>
      <w:ind w:left="1134" w:hanging="567"/>
      <w:outlineLvl w:val="1"/>
    </w:pPr>
    <w:rPr>
      <w:rFonts w:ascii="Calibri" w:eastAsia="Times New Roman" w:hAnsi="Calibri"/>
      <w:b/>
      <w:sz w:val="32"/>
      <w:lang w:eastAsia="en-US"/>
    </w:rPr>
  </w:style>
  <w:style w:type="character" w:customStyle="1" w:styleId="H2Char">
    <w:name w:val="H2 Char"/>
    <w:link w:val="H2"/>
    <w:uiPriority w:val="99"/>
    <w:rsid w:val="00283B8B"/>
    <w:rPr>
      <w:rFonts w:ascii="Calibri" w:eastAsia="Times New Roman" w:hAnsi="Calibri"/>
      <w:b/>
      <w:sz w:val="32"/>
      <w:lang w:eastAsia="en-US" w:bidi="ar-SA"/>
    </w:rPr>
  </w:style>
  <w:style w:type="paragraph" w:customStyle="1" w:styleId="H4">
    <w:name w:val="H4"/>
    <w:uiPriority w:val="99"/>
    <w:rsid w:val="000F6956"/>
    <w:pPr>
      <w:spacing w:before="120" w:after="120"/>
      <w:ind w:left="567"/>
      <w:outlineLvl w:val="3"/>
    </w:pPr>
    <w:rPr>
      <w:rFonts w:ascii="Calibri" w:eastAsia="Times New Roman" w:hAnsi="Calibri"/>
      <w:b/>
      <w:sz w:val="28"/>
      <w:lang w:eastAsia="en-US"/>
    </w:rPr>
  </w:style>
  <w:style w:type="paragraph" w:customStyle="1" w:styleId="H3">
    <w:name w:val="H3"/>
    <w:link w:val="H3Char"/>
    <w:rsid w:val="000F6956"/>
    <w:pPr>
      <w:keepNext/>
      <w:spacing w:before="480" w:after="120"/>
      <w:ind w:left="1701" w:hanging="1134"/>
      <w:outlineLvl w:val="2"/>
    </w:pPr>
    <w:rPr>
      <w:rFonts w:ascii="Calibri" w:eastAsia="Times New Roman" w:hAnsi="Calibri"/>
      <w:b/>
      <w:sz w:val="28"/>
      <w:lang w:eastAsia="en-US"/>
    </w:rPr>
  </w:style>
  <w:style w:type="character" w:customStyle="1" w:styleId="H3Char">
    <w:name w:val="H3 Char"/>
    <w:link w:val="H3"/>
    <w:rsid w:val="00283B8B"/>
    <w:rPr>
      <w:rFonts w:ascii="Calibri" w:eastAsia="Times New Roman" w:hAnsi="Calibri"/>
      <w:b/>
      <w:sz w:val="28"/>
      <w:lang w:eastAsia="en-US" w:bidi="ar-SA"/>
    </w:rPr>
  </w:style>
  <w:style w:type="paragraph" w:customStyle="1" w:styleId="T">
    <w:name w:val="T"/>
    <w:basedOn w:val="Normal"/>
    <w:rsid w:val="000F6956"/>
    <w:pPr>
      <w:keepNext/>
      <w:ind w:left="567" w:firstLine="0"/>
      <w:jc w:val="left"/>
    </w:pPr>
    <w:rPr>
      <w:rFonts w:ascii="Calibri" w:hAnsi="Calibri"/>
      <w:b/>
    </w:rPr>
  </w:style>
  <w:style w:type="paragraph" w:customStyle="1" w:styleId="Z">
    <w:name w:val="Z"/>
    <w:basedOn w:val="T"/>
    <w:uiPriority w:val="99"/>
    <w:rsid w:val="000F6956"/>
    <w:pPr>
      <w:ind w:right="1701"/>
    </w:pPr>
    <w:rPr>
      <w:b w:val="0"/>
      <w:sz w:val="20"/>
    </w:rPr>
  </w:style>
  <w:style w:type="paragraph" w:customStyle="1" w:styleId="tabteksts">
    <w:name w:val="tab_teksts"/>
    <w:basedOn w:val="Normal"/>
    <w:uiPriority w:val="99"/>
    <w:rsid w:val="000F6956"/>
    <w:pPr>
      <w:spacing w:after="0"/>
      <w:ind w:firstLine="0"/>
      <w:jc w:val="left"/>
    </w:pPr>
    <w:rPr>
      <w:sz w:val="20"/>
    </w:rPr>
  </w:style>
  <w:style w:type="paragraph" w:styleId="FootnoteText">
    <w:name w:val="footnote text"/>
    <w:aliases w:val="Footnote,Fußnote,Fußnote Char Char Char,-E Fußnotentext,Fußnotentext Ursprung,footnote text,Footnote Text Char1 Char Char Char Char Char Char Char Char Char Char Char,Char,Ch,f,Fußn"/>
    <w:basedOn w:val="Normal"/>
    <w:link w:val="FootnoteTextChar"/>
    <w:uiPriority w:val="99"/>
    <w:qFormat/>
    <w:rsid w:val="000F6956"/>
    <w:pPr>
      <w:keepLines/>
      <w:widowControl w:val="0"/>
      <w:spacing w:after="0"/>
      <w:ind w:left="340" w:hanging="340"/>
      <w:jc w:val="left"/>
    </w:pPr>
    <w:rPr>
      <w:snapToGrid w:val="0"/>
      <w:color w:val="000000"/>
      <w:sz w:val="20"/>
      <w:lang w:val="x-none" w:eastAsia="x-none"/>
    </w:rPr>
  </w:style>
  <w:style w:type="character" w:customStyle="1" w:styleId="FootnoteTextChar">
    <w:name w:val="Footnote Text Char"/>
    <w:aliases w:val="Footnote Char,Fußnote Char,Fußnote Char Char Char Char,-E Fußnotentext Char,Fußnotentext Ursprung Char,footnote text Char,Footnote Text Char1 Char Char Char Char Char Char Char Char Char Char Char Char,Char Char,Ch Char,f Char"/>
    <w:link w:val="FootnoteText"/>
    <w:uiPriority w:val="99"/>
    <w:rsid w:val="000F6956"/>
    <w:rPr>
      <w:rFonts w:eastAsia="Times New Roman" w:cs="Times New Roman"/>
      <w:snapToGrid w:val="0"/>
      <w:color w:val="000000"/>
      <w:sz w:val="20"/>
      <w:szCs w:val="20"/>
    </w:rPr>
  </w:style>
  <w:style w:type="character" w:styleId="FootnoteReference">
    <w:name w:val="footnote reference"/>
    <w:aliases w:val="Footnote Reference Number,Footnote symbol,Footnote Reference Superscript,ftref,fr,Footnote Refernece,Footnote Reference text,Voetnootverwijzing,footnote ref,FR,Fußnotenzeichen diss neu,Times 10 Point,Exposant 3 Point,SUPERS,stylish"/>
    <w:link w:val="CharCharCharChar"/>
    <w:uiPriority w:val="99"/>
    <w:qFormat/>
    <w:rsid w:val="000F6956"/>
    <w:rPr>
      <w:rFonts w:ascii="Garamond" w:hAnsi="Garamond"/>
      <w:sz w:val="20"/>
      <w:vertAlign w:val="superscript"/>
    </w:rPr>
  </w:style>
  <w:style w:type="paragraph" w:customStyle="1" w:styleId="Zpar">
    <w:name w:val="Z_par"/>
    <w:basedOn w:val="Z"/>
    <w:rsid w:val="000F6956"/>
    <w:pPr>
      <w:spacing w:after="480"/>
      <w:ind w:left="1418" w:hanging="851"/>
    </w:pPr>
    <w:rPr>
      <w:i/>
    </w:rPr>
  </w:style>
  <w:style w:type="character" w:styleId="Strong">
    <w:name w:val="Strong"/>
    <w:uiPriority w:val="22"/>
    <w:qFormat/>
    <w:rsid w:val="000F6956"/>
    <w:rPr>
      <w:b/>
      <w:bCs/>
    </w:rPr>
  </w:style>
  <w:style w:type="paragraph" w:styleId="ListParagraph">
    <w:name w:val="List Paragraph"/>
    <w:aliases w:val="2,H&amp;P List Paragraph,Akapit z listą BS,Numbered Para 1,Dot pt,No Spacing1,List Paragraph Char Char Char,Indicator Text,List Paragraph1,Bullet 1,Bullet Points,MAIN CONTENT,IFCL - List Paragraph,List Paragraph12,OBC Bullet,F5 List Paragraph"/>
    <w:basedOn w:val="Normal"/>
    <w:link w:val="ListParagraphChar"/>
    <w:uiPriority w:val="34"/>
    <w:qFormat/>
    <w:rsid w:val="000F6956"/>
    <w:pPr>
      <w:spacing w:after="200" w:line="276" w:lineRule="auto"/>
      <w:ind w:left="720" w:firstLine="0"/>
      <w:contextualSpacing/>
      <w:jc w:val="left"/>
    </w:pPr>
    <w:rPr>
      <w:rFonts w:ascii="Calibri" w:hAnsi="Calibri"/>
      <w:sz w:val="22"/>
      <w:lang w:val="x-none" w:eastAsia="x-none"/>
    </w:rPr>
  </w:style>
  <w:style w:type="character" w:customStyle="1" w:styleId="ListParagraphChar">
    <w:name w:val="List Paragraph Char"/>
    <w:aliases w:val="2 Char,H&amp;P List Paragraph Char,Akapit z listą BS Char,Numbered Para 1 Char,Dot pt Char,No Spacing1 Char,List Paragraph Char Char Char Char,Indicator Text Char,List Paragraph1 Char,Bullet 1 Char,Bullet Points Char,MAIN CONTENT Char"/>
    <w:link w:val="ListParagraph"/>
    <w:uiPriority w:val="34"/>
    <w:qFormat/>
    <w:locked/>
    <w:rsid w:val="00FA2F3D"/>
    <w:rPr>
      <w:rFonts w:ascii="Calibri" w:eastAsia="Times New Roman" w:hAnsi="Calibri" w:cs="Times New Roman"/>
      <w:sz w:val="22"/>
    </w:rPr>
  </w:style>
  <w:style w:type="character" w:styleId="Emphasis">
    <w:name w:val="Emphasis"/>
    <w:uiPriority w:val="20"/>
    <w:qFormat/>
    <w:rsid w:val="000F6956"/>
    <w:rPr>
      <w:i/>
      <w:iCs/>
    </w:rPr>
  </w:style>
  <w:style w:type="paragraph" w:styleId="BodyTextIndent2">
    <w:name w:val="Body Text Indent 2"/>
    <w:basedOn w:val="Normal"/>
    <w:link w:val="BodyTextIndent2Char"/>
    <w:semiHidden/>
    <w:rsid w:val="000F6956"/>
    <w:pPr>
      <w:spacing w:before="120"/>
      <w:ind w:firstLine="706"/>
    </w:pPr>
    <w:rPr>
      <w:lang w:val="x-none" w:eastAsia="x-none"/>
    </w:rPr>
  </w:style>
  <w:style w:type="character" w:customStyle="1" w:styleId="BodyTextIndent2Char">
    <w:name w:val="Body Text Indent 2 Char"/>
    <w:link w:val="BodyTextIndent2"/>
    <w:semiHidden/>
    <w:rsid w:val="000F6956"/>
    <w:rPr>
      <w:rFonts w:eastAsia="Times New Roman" w:cs="Times New Roman"/>
      <w:sz w:val="24"/>
      <w:szCs w:val="20"/>
    </w:rPr>
  </w:style>
  <w:style w:type="paragraph" w:customStyle="1" w:styleId="Default">
    <w:name w:val="Default"/>
    <w:rsid w:val="000F6956"/>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semiHidden/>
    <w:unhideWhenUsed/>
    <w:rsid w:val="000F6956"/>
    <w:pPr>
      <w:ind w:left="283"/>
    </w:pPr>
    <w:rPr>
      <w:lang w:val="x-none" w:eastAsia="x-none"/>
    </w:rPr>
  </w:style>
  <w:style w:type="character" w:customStyle="1" w:styleId="BodyTextIndentChar">
    <w:name w:val="Body Text Indent Char"/>
    <w:link w:val="BodyTextIndent"/>
    <w:semiHidden/>
    <w:rsid w:val="000F6956"/>
    <w:rPr>
      <w:rFonts w:eastAsia="Times New Roman" w:cs="Times New Roman"/>
      <w:sz w:val="24"/>
      <w:szCs w:val="20"/>
    </w:rPr>
  </w:style>
  <w:style w:type="paragraph" w:customStyle="1" w:styleId="ridk">
    <w:name w:val="ridk"/>
    <w:basedOn w:val="Normal"/>
    <w:rsid w:val="000F6956"/>
    <w:pPr>
      <w:spacing w:before="100" w:beforeAutospacing="1" w:after="100" w:afterAutospacing="1"/>
      <w:ind w:firstLine="0"/>
      <w:jc w:val="left"/>
    </w:pPr>
    <w:rPr>
      <w:rFonts w:ascii="Arial Unicode MS" w:eastAsia="Arial Unicode MS" w:hAnsi="Arial Unicode MS" w:cs="Arial Unicode MS"/>
      <w:szCs w:val="24"/>
      <w:lang w:val="en-US"/>
    </w:rPr>
  </w:style>
  <w:style w:type="table" w:styleId="TableGrid">
    <w:name w:val="Table Grid"/>
    <w:basedOn w:val="TableNormal"/>
    <w:uiPriority w:val="39"/>
    <w:rsid w:val="00B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1D56AF"/>
    <w:pPr>
      <w:keepLines w:val="0"/>
      <w:spacing w:before="240" w:after="60"/>
      <w:ind w:firstLine="709"/>
    </w:pPr>
    <w:rPr>
      <w:rFonts w:ascii="Times New Roman" w:eastAsia="Calibri" w:hAnsi="Times New Roman"/>
      <w:color w:val="auto"/>
      <w:kern w:val="32"/>
      <w:sz w:val="40"/>
      <w:szCs w:val="40"/>
    </w:rPr>
  </w:style>
  <w:style w:type="character" w:customStyle="1" w:styleId="spelle">
    <w:name w:val="spelle"/>
    <w:basedOn w:val="DefaultParagraphFont"/>
    <w:rsid w:val="006F0333"/>
  </w:style>
  <w:style w:type="paragraph" w:customStyle="1" w:styleId="ParagraphNumbering">
    <w:name w:val="Paragraph Numbering"/>
    <w:basedOn w:val="Normal"/>
    <w:uiPriority w:val="1"/>
    <w:qFormat/>
    <w:rsid w:val="006F0333"/>
    <w:pPr>
      <w:numPr>
        <w:numId w:val="1"/>
      </w:numPr>
      <w:spacing w:after="240" w:line="264" w:lineRule="auto"/>
      <w:jc w:val="left"/>
    </w:pPr>
    <w:rPr>
      <w:rFonts w:eastAsia="Calibri"/>
      <w:szCs w:val="24"/>
      <w:lang w:val="en-US"/>
    </w:rPr>
  </w:style>
  <w:style w:type="paragraph" w:styleId="CommentSubject">
    <w:name w:val="annotation subject"/>
    <w:basedOn w:val="CommentText"/>
    <w:next w:val="CommentText"/>
    <w:link w:val="CommentSubjectChar"/>
    <w:uiPriority w:val="99"/>
    <w:semiHidden/>
    <w:unhideWhenUsed/>
    <w:rsid w:val="00EF6369"/>
    <w:rPr>
      <w:b/>
      <w:bCs/>
    </w:rPr>
  </w:style>
  <w:style w:type="character" w:customStyle="1" w:styleId="CommentSubjectChar">
    <w:name w:val="Comment Subject Char"/>
    <w:link w:val="CommentSubject"/>
    <w:uiPriority w:val="99"/>
    <w:semiHidden/>
    <w:rsid w:val="00EF6369"/>
    <w:rPr>
      <w:rFonts w:eastAsia="Times New Roman" w:cs="Times New Roman"/>
      <w:b/>
      <w:bCs/>
      <w:sz w:val="20"/>
      <w:szCs w:val="20"/>
    </w:rPr>
  </w:style>
  <w:style w:type="paragraph" w:customStyle="1" w:styleId="PIRMAIS">
    <w:name w:val="PIRMAIS"/>
    <w:basedOn w:val="H1"/>
    <w:link w:val="PIRMAISChar"/>
    <w:qFormat/>
    <w:rsid w:val="00283B8B"/>
    <w:pPr>
      <w:tabs>
        <w:tab w:val="clear" w:pos="1134"/>
        <w:tab w:val="left" w:pos="567"/>
      </w:tabs>
      <w:ind w:left="567"/>
    </w:pPr>
  </w:style>
  <w:style w:type="character" w:customStyle="1" w:styleId="PIRMAISChar">
    <w:name w:val="PIRMAIS Char"/>
    <w:basedOn w:val="H1Char"/>
    <w:link w:val="PIRMAIS"/>
    <w:rsid w:val="00283B8B"/>
    <w:rPr>
      <w:rFonts w:eastAsia="Times New Roman"/>
      <w:b/>
      <w:sz w:val="36"/>
      <w:lang w:eastAsia="en-US" w:bidi="ar-SA"/>
    </w:rPr>
  </w:style>
  <w:style w:type="paragraph" w:customStyle="1" w:styleId="otrais">
    <w:name w:val="otrais"/>
    <w:basedOn w:val="H2"/>
    <w:link w:val="otraisChar"/>
    <w:qFormat/>
    <w:rsid w:val="00283B8B"/>
    <w:pPr>
      <w:tabs>
        <w:tab w:val="clear" w:pos="1134"/>
        <w:tab w:val="left" w:pos="567"/>
      </w:tabs>
      <w:ind w:left="567"/>
    </w:pPr>
    <w:rPr>
      <w:rFonts w:ascii="Times New Roman" w:hAnsi="Times New Roman"/>
    </w:rPr>
  </w:style>
  <w:style w:type="character" w:customStyle="1" w:styleId="otraisChar">
    <w:name w:val="otrais Char"/>
    <w:basedOn w:val="H2Char"/>
    <w:link w:val="otrais"/>
    <w:rsid w:val="00283B8B"/>
    <w:rPr>
      <w:rFonts w:ascii="Calibri" w:eastAsia="Times New Roman" w:hAnsi="Calibri"/>
      <w:b/>
      <w:sz w:val="32"/>
      <w:lang w:eastAsia="en-US" w:bidi="ar-SA"/>
    </w:rPr>
  </w:style>
  <w:style w:type="paragraph" w:customStyle="1" w:styleId="tresais">
    <w:name w:val="tresais"/>
    <w:basedOn w:val="H3"/>
    <w:link w:val="tresaisChar"/>
    <w:qFormat/>
    <w:rsid w:val="00283B8B"/>
    <w:pPr>
      <w:ind w:left="0" w:firstLine="0"/>
    </w:pPr>
    <w:rPr>
      <w:rFonts w:ascii="Times New Roman" w:hAnsi="Times New Roman"/>
    </w:rPr>
  </w:style>
  <w:style w:type="character" w:customStyle="1" w:styleId="tresaisChar">
    <w:name w:val="tresais Char"/>
    <w:basedOn w:val="H3Char"/>
    <w:link w:val="tresais"/>
    <w:rsid w:val="00283B8B"/>
    <w:rPr>
      <w:rFonts w:ascii="Calibri" w:eastAsia="Times New Roman" w:hAnsi="Calibri"/>
      <w:b/>
      <w:sz w:val="28"/>
      <w:lang w:eastAsia="en-US" w:bidi="ar-SA"/>
    </w:rPr>
  </w:style>
  <w:style w:type="paragraph" w:styleId="TOCHeading">
    <w:name w:val="TOC Heading"/>
    <w:basedOn w:val="Heading1"/>
    <w:next w:val="Normal"/>
    <w:uiPriority w:val="39"/>
    <w:unhideWhenUsed/>
    <w:qFormat/>
    <w:rsid w:val="0050658A"/>
    <w:pPr>
      <w:spacing w:line="276" w:lineRule="auto"/>
      <w:ind w:firstLine="0"/>
      <w:jc w:val="left"/>
      <w:outlineLvl w:val="9"/>
    </w:pPr>
    <w:rPr>
      <w:rFonts w:eastAsia="MS Gothic"/>
      <w:lang w:val="en-US" w:eastAsia="ja-JP"/>
    </w:rPr>
  </w:style>
  <w:style w:type="paragraph" w:styleId="TOC1">
    <w:name w:val="toc 1"/>
    <w:basedOn w:val="Normal"/>
    <w:next w:val="Normal"/>
    <w:autoRedefine/>
    <w:uiPriority w:val="39"/>
    <w:unhideWhenUsed/>
    <w:rsid w:val="00A922FB"/>
    <w:pPr>
      <w:tabs>
        <w:tab w:val="left" w:pos="284"/>
        <w:tab w:val="right" w:leader="dot" w:pos="9072"/>
      </w:tabs>
      <w:spacing w:after="0"/>
      <w:ind w:right="991" w:firstLine="0"/>
      <w:jc w:val="left"/>
    </w:pPr>
    <w:rPr>
      <w:noProof/>
    </w:rPr>
  </w:style>
  <w:style w:type="paragraph" w:styleId="TOC2">
    <w:name w:val="toc 2"/>
    <w:basedOn w:val="Normal"/>
    <w:next w:val="Normal"/>
    <w:autoRedefine/>
    <w:uiPriority w:val="39"/>
    <w:unhideWhenUsed/>
    <w:rsid w:val="008118BE"/>
    <w:pPr>
      <w:tabs>
        <w:tab w:val="right" w:leader="dot" w:pos="9072"/>
      </w:tabs>
      <w:spacing w:after="0"/>
      <w:ind w:left="238" w:firstLine="46"/>
    </w:pPr>
  </w:style>
  <w:style w:type="paragraph" w:styleId="TOC3">
    <w:name w:val="toc 3"/>
    <w:basedOn w:val="Normal"/>
    <w:next w:val="Normal"/>
    <w:autoRedefine/>
    <w:uiPriority w:val="39"/>
    <w:unhideWhenUsed/>
    <w:rsid w:val="00984AE5"/>
    <w:pPr>
      <w:tabs>
        <w:tab w:val="right" w:leader="dot" w:pos="9061"/>
      </w:tabs>
      <w:spacing w:after="0"/>
      <w:ind w:left="482"/>
    </w:pPr>
  </w:style>
  <w:style w:type="character" w:styleId="Hyperlink">
    <w:name w:val="Hyperlink"/>
    <w:uiPriority w:val="99"/>
    <w:unhideWhenUsed/>
    <w:rsid w:val="00283B8B"/>
    <w:rPr>
      <w:color w:val="0000FF"/>
      <w:u w:val="single"/>
    </w:rPr>
  </w:style>
  <w:style w:type="paragraph" w:styleId="NoSpacing">
    <w:name w:val="No Spacing"/>
    <w:link w:val="NoSpacingChar"/>
    <w:uiPriority w:val="1"/>
    <w:qFormat/>
    <w:rsid w:val="00D3627A"/>
    <w:pPr>
      <w:ind w:firstLine="567"/>
      <w:jc w:val="both"/>
    </w:pPr>
    <w:rPr>
      <w:rFonts w:eastAsia="Times New Roman"/>
      <w:sz w:val="24"/>
      <w:lang w:eastAsia="en-US"/>
    </w:rPr>
  </w:style>
  <w:style w:type="character" w:customStyle="1" w:styleId="NoSpacingChar">
    <w:name w:val="No Spacing Char"/>
    <w:basedOn w:val="DefaultParagraphFont"/>
    <w:link w:val="NoSpacing"/>
    <w:uiPriority w:val="1"/>
    <w:rsid w:val="00FA587D"/>
    <w:rPr>
      <w:rFonts w:eastAsia="Times New Roman"/>
      <w:sz w:val="24"/>
      <w:lang w:eastAsia="en-US"/>
    </w:rPr>
  </w:style>
  <w:style w:type="paragraph" w:customStyle="1" w:styleId="naisf">
    <w:name w:val="naisf"/>
    <w:basedOn w:val="Normal"/>
    <w:rsid w:val="0072157F"/>
    <w:pPr>
      <w:spacing w:before="100" w:beforeAutospacing="1" w:after="100" w:afterAutospacing="1"/>
      <w:ind w:firstLine="0"/>
      <w:jc w:val="left"/>
    </w:pPr>
    <w:rPr>
      <w:szCs w:val="24"/>
      <w:lang w:eastAsia="lv-LV"/>
    </w:rPr>
  </w:style>
  <w:style w:type="paragraph" w:customStyle="1" w:styleId="teksts">
    <w:name w:val="teksts"/>
    <w:rsid w:val="00BD74BB"/>
    <w:pPr>
      <w:spacing w:after="120"/>
      <w:jc w:val="both"/>
    </w:pPr>
    <w:rPr>
      <w:rFonts w:ascii="Garamond" w:eastAsia="Times New Roman" w:hAnsi="Garamond"/>
      <w:sz w:val="24"/>
      <w:lang w:eastAsia="en-US"/>
    </w:rPr>
  </w:style>
  <w:style w:type="paragraph" w:customStyle="1" w:styleId="EE-paragr">
    <w:name w:val="EE-paragr"/>
    <w:basedOn w:val="Normal"/>
    <w:autoRedefine/>
    <w:uiPriority w:val="99"/>
    <w:rsid w:val="00BD74BB"/>
    <w:pPr>
      <w:spacing w:before="120"/>
      <w:ind w:firstLine="0"/>
    </w:pPr>
    <w:rPr>
      <w:iCs/>
      <w:szCs w:val="24"/>
      <w:lang w:eastAsia="lv-LV" w:bidi="lo-LA"/>
    </w:rPr>
  </w:style>
  <w:style w:type="paragraph" w:customStyle="1" w:styleId="tabtekst">
    <w:name w:val="tab_tekst"/>
    <w:basedOn w:val="Normal"/>
    <w:rsid w:val="00BD74BB"/>
    <w:pPr>
      <w:spacing w:after="0"/>
      <w:ind w:firstLine="0"/>
      <w:jc w:val="left"/>
    </w:pPr>
    <w:rPr>
      <w:color w:val="000000"/>
      <w:sz w:val="20"/>
    </w:rPr>
  </w:style>
  <w:style w:type="paragraph" w:styleId="NormalWeb">
    <w:name w:val="Normal (Web)"/>
    <w:basedOn w:val="Normal"/>
    <w:uiPriority w:val="99"/>
    <w:unhideWhenUsed/>
    <w:rsid w:val="00BD74BB"/>
    <w:pPr>
      <w:spacing w:before="100" w:beforeAutospacing="1" w:after="100" w:afterAutospacing="1"/>
      <w:ind w:firstLine="0"/>
      <w:jc w:val="left"/>
    </w:pPr>
    <w:rPr>
      <w:szCs w:val="24"/>
      <w:lang w:eastAsia="lv-LV"/>
    </w:rPr>
  </w:style>
  <w:style w:type="paragraph" w:customStyle="1" w:styleId="Normal11pt">
    <w:name w:val="Normal + 11 pt"/>
    <w:aliases w:val="Bold,Justified,Line spacing:  1.5 lines"/>
    <w:basedOn w:val="Normal"/>
    <w:rsid w:val="00BD74BB"/>
    <w:pPr>
      <w:widowControl w:val="0"/>
      <w:adjustRightInd w:val="0"/>
      <w:spacing w:after="0" w:line="360" w:lineRule="auto"/>
      <w:ind w:firstLine="0"/>
      <w:textAlignment w:val="baseline"/>
    </w:pPr>
    <w:rPr>
      <w:b/>
      <w:sz w:val="22"/>
      <w:szCs w:val="22"/>
      <w:lang w:val="en-GB" w:eastAsia="lv-LV"/>
    </w:rPr>
  </w:style>
  <w:style w:type="paragraph" w:styleId="BodyText">
    <w:name w:val="Body Text"/>
    <w:basedOn w:val="Normal"/>
    <w:link w:val="BodyTextChar"/>
    <w:uiPriority w:val="99"/>
    <w:semiHidden/>
    <w:unhideWhenUsed/>
    <w:rsid w:val="005A06FA"/>
    <w:rPr>
      <w:lang w:val="x-none"/>
    </w:rPr>
  </w:style>
  <w:style w:type="character" w:customStyle="1" w:styleId="BodyTextChar">
    <w:name w:val="Body Text Char"/>
    <w:link w:val="BodyText"/>
    <w:uiPriority w:val="99"/>
    <w:semiHidden/>
    <w:rsid w:val="005A06FA"/>
    <w:rPr>
      <w:rFonts w:eastAsia="Times New Roman"/>
      <w:sz w:val="24"/>
      <w:lang w:eastAsia="en-US"/>
    </w:rPr>
  </w:style>
  <w:style w:type="paragraph" w:styleId="BodyText3">
    <w:name w:val="Body Text 3"/>
    <w:basedOn w:val="Normal"/>
    <w:link w:val="BodyText3Char"/>
    <w:uiPriority w:val="99"/>
    <w:semiHidden/>
    <w:unhideWhenUsed/>
    <w:rsid w:val="005A06FA"/>
    <w:rPr>
      <w:sz w:val="16"/>
      <w:szCs w:val="16"/>
      <w:lang w:val="x-none"/>
    </w:rPr>
  </w:style>
  <w:style w:type="character" w:customStyle="1" w:styleId="BodyText3Char">
    <w:name w:val="Body Text 3 Char"/>
    <w:link w:val="BodyText3"/>
    <w:uiPriority w:val="99"/>
    <w:semiHidden/>
    <w:rsid w:val="005A06FA"/>
    <w:rPr>
      <w:rFonts w:eastAsia="Times New Roman"/>
      <w:sz w:val="16"/>
      <w:szCs w:val="16"/>
      <w:lang w:eastAsia="en-US"/>
    </w:rPr>
  </w:style>
  <w:style w:type="paragraph" w:styleId="TOC8">
    <w:name w:val="toc 8"/>
    <w:basedOn w:val="Normal"/>
    <w:next w:val="Normal"/>
    <w:autoRedefine/>
    <w:uiPriority w:val="39"/>
    <w:semiHidden/>
    <w:unhideWhenUsed/>
    <w:rsid w:val="00D117D0"/>
    <w:pPr>
      <w:ind w:left="1680"/>
    </w:pPr>
  </w:style>
  <w:style w:type="paragraph" w:styleId="PlainText">
    <w:name w:val="Plain Text"/>
    <w:basedOn w:val="Normal"/>
    <w:link w:val="PlainTextChar"/>
    <w:uiPriority w:val="99"/>
    <w:unhideWhenUsed/>
    <w:rsid w:val="00F37E17"/>
    <w:pPr>
      <w:spacing w:after="0"/>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37E17"/>
    <w:rPr>
      <w:rFonts w:ascii="Consolas" w:hAnsi="Consolas"/>
      <w:sz w:val="21"/>
      <w:szCs w:val="21"/>
    </w:rPr>
  </w:style>
  <w:style w:type="paragraph" w:customStyle="1" w:styleId="Text1">
    <w:name w:val="Text 1"/>
    <w:basedOn w:val="Normal"/>
    <w:uiPriority w:val="99"/>
    <w:rsid w:val="003E6294"/>
    <w:pPr>
      <w:spacing w:before="120"/>
      <w:ind w:left="850" w:firstLine="0"/>
    </w:pPr>
    <w:rPr>
      <w:lang w:val="en-GB" w:eastAsia="de-DE"/>
    </w:rPr>
  </w:style>
  <w:style w:type="character" w:styleId="FollowedHyperlink">
    <w:name w:val="FollowedHyperlink"/>
    <w:uiPriority w:val="99"/>
    <w:semiHidden/>
    <w:unhideWhenUsed/>
    <w:rsid w:val="00DE6E4F"/>
    <w:rPr>
      <w:color w:val="800080"/>
      <w:u w:val="single"/>
    </w:rPr>
  </w:style>
  <w:style w:type="paragraph" w:styleId="Revision">
    <w:name w:val="Revision"/>
    <w:hidden/>
    <w:uiPriority w:val="99"/>
    <w:semiHidden/>
    <w:rsid w:val="0050658A"/>
    <w:rPr>
      <w:rFonts w:eastAsia="Times New Roman"/>
      <w:sz w:val="24"/>
      <w:lang w:eastAsia="en-US"/>
    </w:rPr>
  </w:style>
  <w:style w:type="paragraph" w:customStyle="1" w:styleId="tv2131">
    <w:name w:val="tv2131"/>
    <w:basedOn w:val="Normal"/>
    <w:rsid w:val="008D3A67"/>
    <w:pPr>
      <w:spacing w:before="240" w:after="0" w:line="360" w:lineRule="auto"/>
      <w:ind w:firstLine="300"/>
    </w:pPr>
    <w:rPr>
      <w:rFonts w:ascii="Verdana" w:hAnsi="Verdana"/>
      <w:sz w:val="18"/>
      <w:szCs w:val="18"/>
      <w:lang w:eastAsia="lv-LV"/>
    </w:rPr>
  </w:style>
  <w:style w:type="paragraph" w:customStyle="1" w:styleId="CM1">
    <w:name w:val="CM1"/>
    <w:basedOn w:val="Default"/>
    <w:next w:val="Default"/>
    <w:uiPriority w:val="99"/>
    <w:rsid w:val="0060396D"/>
    <w:rPr>
      <w:rFonts w:ascii="EUAlbertina" w:eastAsia="Calibri" w:hAnsi="EUAlbertina"/>
      <w:color w:val="auto"/>
      <w:lang w:val="en-GB" w:eastAsia="en-GB"/>
    </w:rPr>
  </w:style>
  <w:style w:type="character" w:customStyle="1" w:styleId="st1">
    <w:name w:val="st1"/>
    <w:basedOn w:val="DefaultParagraphFont"/>
    <w:rsid w:val="0003226C"/>
  </w:style>
  <w:style w:type="paragraph" w:customStyle="1" w:styleId="mt-translation1">
    <w:name w:val="mt-translation1"/>
    <w:basedOn w:val="Normal"/>
    <w:rsid w:val="002D4C4A"/>
    <w:pPr>
      <w:spacing w:after="0"/>
      <w:ind w:firstLine="0"/>
      <w:jc w:val="left"/>
    </w:pPr>
    <w:rPr>
      <w:rFonts w:ascii="Segoe UI" w:hAnsi="Segoe UI" w:cs="Segoe UI"/>
      <w:sz w:val="22"/>
      <w:szCs w:val="22"/>
      <w:lang w:eastAsia="lv-LV"/>
    </w:rPr>
  </w:style>
  <w:style w:type="table" w:customStyle="1" w:styleId="GridTable2-Accent11">
    <w:name w:val="Grid Table 2 - Accent 11"/>
    <w:basedOn w:val="TableNormal"/>
    <w:uiPriority w:val="47"/>
    <w:rsid w:val="00E254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E254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254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E254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003E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2">
    <w:name w:val="Body Text 2"/>
    <w:basedOn w:val="Normal"/>
    <w:link w:val="BodyText2Char"/>
    <w:uiPriority w:val="99"/>
    <w:semiHidden/>
    <w:unhideWhenUsed/>
    <w:rsid w:val="00B71106"/>
    <w:pPr>
      <w:spacing w:line="480" w:lineRule="auto"/>
    </w:pPr>
  </w:style>
  <w:style w:type="character" w:customStyle="1" w:styleId="BodyText2Char">
    <w:name w:val="Body Text 2 Char"/>
    <w:basedOn w:val="DefaultParagraphFont"/>
    <w:link w:val="BodyText2"/>
    <w:uiPriority w:val="99"/>
    <w:semiHidden/>
    <w:rsid w:val="00B71106"/>
    <w:rPr>
      <w:rFonts w:eastAsia="Times New Roman"/>
      <w:sz w:val="24"/>
      <w:lang w:eastAsia="en-US"/>
    </w:rPr>
  </w:style>
  <w:style w:type="character" w:customStyle="1" w:styleId="Corpsdutexte">
    <w:name w:val="Corps du texte_"/>
    <w:basedOn w:val="DefaultParagraphFont"/>
    <w:link w:val="Corpsdutexte1"/>
    <w:uiPriority w:val="99"/>
    <w:locked/>
    <w:rsid w:val="00D251AD"/>
    <w:rPr>
      <w:sz w:val="21"/>
      <w:szCs w:val="21"/>
      <w:shd w:val="clear" w:color="auto" w:fill="FFFFFF"/>
    </w:rPr>
  </w:style>
  <w:style w:type="paragraph" w:customStyle="1" w:styleId="Corpsdutexte1">
    <w:name w:val="Corps du texte1"/>
    <w:basedOn w:val="Normal"/>
    <w:link w:val="Corpsdutexte"/>
    <w:uiPriority w:val="99"/>
    <w:rsid w:val="00D251AD"/>
    <w:pPr>
      <w:widowControl w:val="0"/>
      <w:shd w:val="clear" w:color="auto" w:fill="FFFFFF"/>
      <w:spacing w:before="300" w:line="288" w:lineRule="exact"/>
      <w:ind w:hanging="420"/>
    </w:pPr>
    <w:rPr>
      <w:rFonts w:eastAsia="Calibri"/>
      <w:sz w:val="21"/>
      <w:szCs w:val="21"/>
      <w:lang w:eastAsia="lv-LV"/>
    </w:rPr>
  </w:style>
  <w:style w:type="character" w:customStyle="1" w:styleId="apple-converted-space">
    <w:name w:val="apple-converted-space"/>
    <w:basedOn w:val="DefaultParagraphFont"/>
    <w:rsid w:val="007746AE"/>
  </w:style>
  <w:style w:type="table" w:customStyle="1" w:styleId="PlainTable41">
    <w:name w:val="Plain Table 41"/>
    <w:basedOn w:val="TableNormal"/>
    <w:uiPriority w:val="44"/>
    <w:rsid w:val="00314F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Accent12">
    <w:name w:val="Grid Table 6 Colorful - Accent 12"/>
    <w:basedOn w:val="TableNormal"/>
    <w:uiPriority w:val="51"/>
    <w:rsid w:val="004126AC"/>
    <w:rPr>
      <w:rFonts w:eastAsiaTheme="minorHAnsi" w:cstheme="minorBidi"/>
      <w:color w:val="365F91" w:themeColor="accent1" w:themeShade="BF"/>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rsid w:val="00AC300E"/>
    <w:pPr>
      <w:spacing w:before="100" w:beforeAutospacing="1" w:after="100" w:afterAutospacing="1"/>
      <w:ind w:firstLine="0"/>
      <w:jc w:val="left"/>
    </w:pPr>
    <w:rPr>
      <w:szCs w:val="24"/>
      <w:lang w:eastAsia="lv-LV"/>
    </w:rPr>
  </w:style>
  <w:style w:type="character" w:customStyle="1" w:styleId="normal1">
    <w:name w:val="normal1"/>
    <w:basedOn w:val="DefaultParagraphFont"/>
    <w:rsid w:val="003014FE"/>
    <w:rPr>
      <w:rFonts w:ascii="Helvetica" w:hAnsi="Helvetica" w:cs="Helvetica" w:hint="default"/>
      <w:color w:val="000000"/>
    </w:rPr>
  </w:style>
  <w:style w:type="character" w:customStyle="1" w:styleId="Heading2Char">
    <w:name w:val="Heading 2 Char"/>
    <w:basedOn w:val="DefaultParagraphFont"/>
    <w:link w:val="Heading2"/>
    <w:uiPriority w:val="9"/>
    <w:semiHidden/>
    <w:rsid w:val="00F96D1B"/>
    <w:rPr>
      <w:rFonts w:asciiTheme="majorHAnsi" w:eastAsiaTheme="majorEastAsia" w:hAnsiTheme="majorHAnsi" w:cstheme="majorBidi"/>
      <w:color w:val="365F91" w:themeColor="accent1" w:themeShade="BF"/>
      <w:sz w:val="26"/>
      <w:szCs w:val="26"/>
      <w:lang w:eastAsia="en-US"/>
    </w:rPr>
  </w:style>
  <w:style w:type="paragraph" w:customStyle="1" w:styleId="CharCharCharChar">
    <w:name w:val="Char Char Char Char"/>
    <w:aliases w:val="Char2"/>
    <w:basedOn w:val="Normal"/>
    <w:next w:val="Normal"/>
    <w:link w:val="FootnoteReference"/>
    <w:uiPriority w:val="99"/>
    <w:rsid w:val="00496681"/>
    <w:pPr>
      <w:spacing w:after="160" w:line="240" w:lineRule="exact"/>
      <w:ind w:firstLine="0"/>
      <w:jc w:val="left"/>
      <w:textAlignment w:val="baseline"/>
    </w:pPr>
    <w:rPr>
      <w:rFonts w:ascii="Garamond" w:eastAsia="Calibri" w:hAnsi="Garamond"/>
      <w:sz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392">
      <w:bodyDiv w:val="1"/>
      <w:marLeft w:val="0"/>
      <w:marRight w:val="0"/>
      <w:marTop w:val="0"/>
      <w:marBottom w:val="0"/>
      <w:divBdr>
        <w:top w:val="none" w:sz="0" w:space="0" w:color="auto"/>
        <w:left w:val="none" w:sz="0" w:space="0" w:color="auto"/>
        <w:bottom w:val="none" w:sz="0" w:space="0" w:color="auto"/>
        <w:right w:val="none" w:sz="0" w:space="0" w:color="auto"/>
      </w:divBdr>
    </w:div>
    <w:div w:id="36514466">
      <w:bodyDiv w:val="1"/>
      <w:marLeft w:val="0"/>
      <w:marRight w:val="0"/>
      <w:marTop w:val="0"/>
      <w:marBottom w:val="0"/>
      <w:divBdr>
        <w:top w:val="none" w:sz="0" w:space="0" w:color="auto"/>
        <w:left w:val="none" w:sz="0" w:space="0" w:color="auto"/>
        <w:bottom w:val="none" w:sz="0" w:space="0" w:color="auto"/>
        <w:right w:val="none" w:sz="0" w:space="0" w:color="auto"/>
      </w:divBdr>
    </w:div>
    <w:div w:id="48655378">
      <w:bodyDiv w:val="1"/>
      <w:marLeft w:val="0"/>
      <w:marRight w:val="0"/>
      <w:marTop w:val="0"/>
      <w:marBottom w:val="0"/>
      <w:divBdr>
        <w:top w:val="none" w:sz="0" w:space="0" w:color="auto"/>
        <w:left w:val="none" w:sz="0" w:space="0" w:color="auto"/>
        <w:bottom w:val="none" w:sz="0" w:space="0" w:color="auto"/>
        <w:right w:val="none" w:sz="0" w:space="0" w:color="auto"/>
      </w:divBdr>
    </w:div>
    <w:div w:id="53548308">
      <w:bodyDiv w:val="1"/>
      <w:marLeft w:val="0"/>
      <w:marRight w:val="0"/>
      <w:marTop w:val="0"/>
      <w:marBottom w:val="0"/>
      <w:divBdr>
        <w:top w:val="none" w:sz="0" w:space="0" w:color="auto"/>
        <w:left w:val="none" w:sz="0" w:space="0" w:color="auto"/>
        <w:bottom w:val="none" w:sz="0" w:space="0" w:color="auto"/>
        <w:right w:val="none" w:sz="0" w:space="0" w:color="auto"/>
      </w:divBdr>
    </w:div>
    <w:div w:id="58018400">
      <w:bodyDiv w:val="1"/>
      <w:marLeft w:val="0"/>
      <w:marRight w:val="0"/>
      <w:marTop w:val="0"/>
      <w:marBottom w:val="0"/>
      <w:divBdr>
        <w:top w:val="none" w:sz="0" w:space="0" w:color="auto"/>
        <w:left w:val="none" w:sz="0" w:space="0" w:color="auto"/>
        <w:bottom w:val="none" w:sz="0" w:space="0" w:color="auto"/>
        <w:right w:val="none" w:sz="0" w:space="0" w:color="auto"/>
      </w:divBdr>
    </w:div>
    <w:div w:id="58863241">
      <w:bodyDiv w:val="1"/>
      <w:marLeft w:val="0"/>
      <w:marRight w:val="0"/>
      <w:marTop w:val="0"/>
      <w:marBottom w:val="0"/>
      <w:divBdr>
        <w:top w:val="none" w:sz="0" w:space="0" w:color="auto"/>
        <w:left w:val="none" w:sz="0" w:space="0" w:color="auto"/>
        <w:bottom w:val="none" w:sz="0" w:space="0" w:color="auto"/>
        <w:right w:val="none" w:sz="0" w:space="0" w:color="auto"/>
      </w:divBdr>
    </w:div>
    <w:div w:id="59524733">
      <w:bodyDiv w:val="1"/>
      <w:marLeft w:val="0"/>
      <w:marRight w:val="0"/>
      <w:marTop w:val="0"/>
      <w:marBottom w:val="0"/>
      <w:divBdr>
        <w:top w:val="none" w:sz="0" w:space="0" w:color="auto"/>
        <w:left w:val="none" w:sz="0" w:space="0" w:color="auto"/>
        <w:bottom w:val="none" w:sz="0" w:space="0" w:color="auto"/>
        <w:right w:val="none" w:sz="0" w:space="0" w:color="auto"/>
      </w:divBdr>
      <w:divsChild>
        <w:div w:id="477651685">
          <w:marLeft w:val="547"/>
          <w:marRight w:val="0"/>
          <w:marTop w:val="115"/>
          <w:marBottom w:val="0"/>
          <w:divBdr>
            <w:top w:val="none" w:sz="0" w:space="0" w:color="auto"/>
            <w:left w:val="none" w:sz="0" w:space="0" w:color="auto"/>
            <w:bottom w:val="none" w:sz="0" w:space="0" w:color="auto"/>
            <w:right w:val="none" w:sz="0" w:space="0" w:color="auto"/>
          </w:divBdr>
        </w:div>
      </w:divsChild>
    </w:div>
    <w:div w:id="76100679">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78602517">
      <w:bodyDiv w:val="1"/>
      <w:marLeft w:val="0"/>
      <w:marRight w:val="0"/>
      <w:marTop w:val="0"/>
      <w:marBottom w:val="0"/>
      <w:divBdr>
        <w:top w:val="none" w:sz="0" w:space="0" w:color="auto"/>
        <w:left w:val="none" w:sz="0" w:space="0" w:color="auto"/>
        <w:bottom w:val="none" w:sz="0" w:space="0" w:color="auto"/>
        <w:right w:val="none" w:sz="0" w:space="0" w:color="auto"/>
      </w:divBdr>
    </w:div>
    <w:div w:id="78841574">
      <w:bodyDiv w:val="1"/>
      <w:marLeft w:val="0"/>
      <w:marRight w:val="0"/>
      <w:marTop w:val="0"/>
      <w:marBottom w:val="0"/>
      <w:divBdr>
        <w:top w:val="none" w:sz="0" w:space="0" w:color="auto"/>
        <w:left w:val="none" w:sz="0" w:space="0" w:color="auto"/>
        <w:bottom w:val="none" w:sz="0" w:space="0" w:color="auto"/>
        <w:right w:val="none" w:sz="0" w:space="0" w:color="auto"/>
      </w:divBdr>
    </w:div>
    <w:div w:id="97528532">
      <w:bodyDiv w:val="1"/>
      <w:marLeft w:val="0"/>
      <w:marRight w:val="0"/>
      <w:marTop w:val="0"/>
      <w:marBottom w:val="0"/>
      <w:divBdr>
        <w:top w:val="none" w:sz="0" w:space="0" w:color="auto"/>
        <w:left w:val="none" w:sz="0" w:space="0" w:color="auto"/>
        <w:bottom w:val="none" w:sz="0" w:space="0" w:color="auto"/>
        <w:right w:val="none" w:sz="0" w:space="0" w:color="auto"/>
      </w:divBdr>
    </w:div>
    <w:div w:id="104665875">
      <w:bodyDiv w:val="1"/>
      <w:marLeft w:val="0"/>
      <w:marRight w:val="0"/>
      <w:marTop w:val="0"/>
      <w:marBottom w:val="0"/>
      <w:divBdr>
        <w:top w:val="none" w:sz="0" w:space="0" w:color="auto"/>
        <w:left w:val="none" w:sz="0" w:space="0" w:color="auto"/>
        <w:bottom w:val="none" w:sz="0" w:space="0" w:color="auto"/>
        <w:right w:val="none" w:sz="0" w:space="0" w:color="auto"/>
      </w:divBdr>
    </w:div>
    <w:div w:id="106513084">
      <w:bodyDiv w:val="1"/>
      <w:marLeft w:val="0"/>
      <w:marRight w:val="0"/>
      <w:marTop w:val="0"/>
      <w:marBottom w:val="0"/>
      <w:divBdr>
        <w:top w:val="none" w:sz="0" w:space="0" w:color="auto"/>
        <w:left w:val="none" w:sz="0" w:space="0" w:color="auto"/>
        <w:bottom w:val="none" w:sz="0" w:space="0" w:color="auto"/>
        <w:right w:val="none" w:sz="0" w:space="0" w:color="auto"/>
      </w:divBdr>
    </w:div>
    <w:div w:id="112066602">
      <w:bodyDiv w:val="1"/>
      <w:marLeft w:val="0"/>
      <w:marRight w:val="0"/>
      <w:marTop w:val="0"/>
      <w:marBottom w:val="0"/>
      <w:divBdr>
        <w:top w:val="none" w:sz="0" w:space="0" w:color="auto"/>
        <w:left w:val="none" w:sz="0" w:space="0" w:color="auto"/>
        <w:bottom w:val="none" w:sz="0" w:space="0" w:color="auto"/>
        <w:right w:val="none" w:sz="0" w:space="0" w:color="auto"/>
      </w:divBdr>
    </w:div>
    <w:div w:id="115956441">
      <w:bodyDiv w:val="1"/>
      <w:marLeft w:val="0"/>
      <w:marRight w:val="0"/>
      <w:marTop w:val="0"/>
      <w:marBottom w:val="0"/>
      <w:divBdr>
        <w:top w:val="none" w:sz="0" w:space="0" w:color="auto"/>
        <w:left w:val="none" w:sz="0" w:space="0" w:color="auto"/>
        <w:bottom w:val="none" w:sz="0" w:space="0" w:color="auto"/>
        <w:right w:val="none" w:sz="0" w:space="0" w:color="auto"/>
      </w:divBdr>
    </w:div>
    <w:div w:id="135147638">
      <w:bodyDiv w:val="1"/>
      <w:marLeft w:val="0"/>
      <w:marRight w:val="0"/>
      <w:marTop w:val="0"/>
      <w:marBottom w:val="0"/>
      <w:divBdr>
        <w:top w:val="none" w:sz="0" w:space="0" w:color="auto"/>
        <w:left w:val="none" w:sz="0" w:space="0" w:color="auto"/>
        <w:bottom w:val="none" w:sz="0" w:space="0" w:color="auto"/>
        <w:right w:val="none" w:sz="0" w:space="0" w:color="auto"/>
      </w:divBdr>
    </w:div>
    <w:div w:id="152533527">
      <w:bodyDiv w:val="1"/>
      <w:marLeft w:val="0"/>
      <w:marRight w:val="0"/>
      <w:marTop w:val="0"/>
      <w:marBottom w:val="0"/>
      <w:divBdr>
        <w:top w:val="none" w:sz="0" w:space="0" w:color="auto"/>
        <w:left w:val="none" w:sz="0" w:space="0" w:color="auto"/>
        <w:bottom w:val="none" w:sz="0" w:space="0" w:color="auto"/>
        <w:right w:val="none" w:sz="0" w:space="0" w:color="auto"/>
      </w:divBdr>
    </w:div>
    <w:div w:id="159388067">
      <w:bodyDiv w:val="1"/>
      <w:marLeft w:val="0"/>
      <w:marRight w:val="0"/>
      <w:marTop w:val="0"/>
      <w:marBottom w:val="0"/>
      <w:divBdr>
        <w:top w:val="none" w:sz="0" w:space="0" w:color="auto"/>
        <w:left w:val="none" w:sz="0" w:space="0" w:color="auto"/>
        <w:bottom w:val="none" w:sz="0" w:space="0" w:color="auto"/>
        <w:right w:val="none" w:sz="0" w:space="0" w:color="auto"/>
      </w:divBdr>
    </w:div>
    <w:div w:id="182013953">
      <w:bodyDiv w:val="1"/>
      <w:marLeft w:val="0"/>
      <w:marRight w:val="0"/>
      <w:marTop w:val="0"/>
      <w:marBottom w:val="0"/>
      <w:divBdr>
        <w:top w:val="none" w:sz="0" w:space="0" w:color="auto"/>
        <w:left w:val="none" w:sz="0" w:space="0" w:color="auto"/>
        <w:bottom w:val="none" w:sz="0" w:space="0" w:color="auto"/>
        <w:right w:val="none" w:sz="0" w:space="0" w:color="auto"/>
      </w:divBdr>
    </w:div>
    <w:div w:id="217933036">
      <w:bodyDiv w:val="1"/>
      <w:marLeft w:val="0"/>
      <w:marRight w:val="0"/>
      <w:marTop w:val="0"/>
      <w:marBottom w:val="0"/>
      <w:divBdr>
        <w:top w:val="none" w:sz="0" w:space="0" w:color="auto"/>
        <w:left w:val="none" w:sz="0" w:space="0" w:color="auto"/>
        <w:bottom w:val="none" w:sz="0" w:space="0" w:color="auto"/>
        <w:right w:val="none" w:sz="0" w:space="0" w:color="auto"/>
      </w:divBdr>
    </w:div>
    <w:div w:id="246577193">
      <w:bodyDiv w:val="1"/>
      <w:marLeft w:val="0"/>
      <w:marRight w:val="0"/>
      <w:marTop w:val="0"/>
      <w:marBottom w:val="0"/>
      <w:divBdr>
        <w:top w:val="none" w:sz="0" w:space="0" w:color="auto"/>
        <w:left w:val="none" w:sz="0" w:space="0" w:color="auto"/>
        <w:bottom w:val="none" w:sz="0" w:space="0" w:color="auto"/>
        <w:right w:val="none" w:sz="0" w:space="0" w:color="auto"/>
      </w:divBdr>
    </w:div>
    <w:div w:id="253056533">
      <w:bodyDiv w:val="1"/>
      <w:marLeft w:val="0"/>
      <w:marRight w:val="0"/>
      <w:marTop w:val="0"/>
      <w:marBottom w:val="0"/>
      <w:divBdr>
        <w:top w:val="none" w:sz="0" w:space="0" w:color="auto"/>
        <w:left w:val="none" w:sz="0" w:space="0" w:color="auto"/>
        <w:bottom w:val="none" w:sz="0" w:space="0" w:color="auto"/>
        <w:right w:val="none" w:sz="0" w:space="0" w:color="auto"/>
      </w:divBdr>
    </w:div>
    <w:div w:id="257448177">
      <w:bodyDiv w:val="1"/>
      <w:marLeft w:val="0"/>
      <w:marRight w:val="0"/>
      <w:marTop w:val="0"/>
      <w:marBottom w:val="0"/>
      <w:divBdr>
        <w:top w:val="none" w:sz="0" w:space="0" w:color="auto"/>
        <w:left w:val="none" w:sz="0" w:space="0" w:color="auto"/>
        <w:bottom w:val="none" w:sz="0" w:space="0" w:color="auto"/>
        <w:right w:val="none" w:sz="0" w:space="0" w:color="auto"/>
      </w:divBdr>
    </w:div>
    <w:div w:id="259484736">
      <w:bodyDiv w:val="1"/>
      <w:marLeft w:val="0"/>
      <w:marRight w:val="0"/>
      <w:marTop w:val="0"/>
      <w:marBottom w:val="0"/>
      <w:divBdr>
        <w:top w:val="none" w:sz="0" w:space="0" w:color="auto"/>
        <w:left w:val="none" w:sz="0" w:space="0" w:color="auto"/>
        <w:bottom w:val="none" w:sz="0" w:space="0" w:color="auto"/>
        <w:right w:val="none" w:sz="0" w:space="0" w:color="auto"/>
      </w:divBdr>
    </w:div>
    <w:div w:id="260527160">
      <w:bodyDiv w:val="1"/>
      <w:marLeft w:val="0"/>
      <w:marRight w:val="0"/>
      <w:marTop w:val="0"/>
      <w:marBottom w:val="0"/>
      <w:divBdr>
        <w:top w:val="none" w:sz="0" w:space="0" w:color="auto"/>
        <w:left w:val="none" w:sz="0" w:space="0" w:color="auto"/>
        <w:bottom w:val="none" w:sz="0" w:space="0" w:color="auto"/>
        <w:right w:val="none" w:sz="0" w:space="0" w:color="auto"/>
      </w:divBdr>
    </w:div>
    <w:div w:id="278025090">
      <w:bodyDiv w:val="1"/>
      <w:marLeft w:val="0"/>
      <w:marRight w:val="0"/>
      <w:marTop w:val="0"/>
      <w:marBottom w:val="0"/>
      <w:divBdr>
        <w:top w:val="none" w:sz="0" w:space="0" w:color="auto"/>
        <w:left w:val="none" w:sz="0" w:space="0" w:color="auto"/>
        <w:bottom w:val="none" w:sz="0" w:space="0" w:color="auto"/>
        <w:right w:val="none" w:sz="0" w:space="0" w:color="auto"/>
      </w:divBdr>
    </w:div>
    <w:div w:id="315257808">
      <w:bodyDiv w:val="1"/>
      <w:marLeft w:val="0"/>
      <w:marRight w:val="0"/>
      <w:marTop w:val="0"/>
      <w:marBottom w:val="0"/>
      <w:divBdr>
        <w:top w:val="none" w:sz="0" w:space="0" w:color="auto"/>
        <w:left w:val="none" w:sz="0" w:space="0" w:color="auto"/>
        <w:bottom w:val="none" w:sz="0" w:space="0" w:color="auto"/>
        <w:right w:val="none" w:sz="0" w:space="0" w:color="auto"/>
      </w:divBdr>
    </w:div>
    <w:div w:id="320081712">
      <w:bodyDiv w:val="1"/>
      <w:marLeft w:val="0"/>
      <w:marRight w:val="0"/>
      <w:marTop w:val="0"/>
      <w:marBottom w:val="0"/>
      <w:divBdr>
        <w:top w:val="none" w:sz="0" w:space="0" w:color="auto"/>
        <w:left w:val="none" w:sz="0" w:space="0" w:color="auto"/>
        <w:bottom w:val="none" w:sz="0" w:space="0" w:color="auto"/>
        <w:right w:val="none" w:sz="0" w:space="0" w:color="auto"/>
      </w:divBdr>
    </w:div>
    <w:div w:id="323509622">
      <w:bodyDiv w:val="1"/>
      <w:marLeft w:val="0"/>
      <w:marRight w:val="0"/>
      <w:marTop w:val="0"/>
      <w:marBottom w:val="0"/>
      <w:divBdr>
        <w:top w:val="none" w:sz="0" w:space="0" w:color="auto"/>
        <w:left w:val="none" w:sz="0" w:space="0" w:color="auto"/>
        <w:bottom w:val="none" w:sz="0" w:space="0" w:color="auto"/>
        <w:right w:val="none" w:sz="0" w:space="0" w:color="auto"/>
      </w:divBdr>
    </w:div>
    <w:div w:id="323709127">
      <w:bodyDiv w:val="1"/>
      <w:marLeft w:val="0"/>
      <w:marRight w:val="0"/>
      <w:marTop w:val="0"/>
      <w:marBottom w:val="0"/>
      <w:divBdr>
        <w:top w:val="none" w:sz="0" w:space="0" w:color="auto"/>
        <w:left w:val="none" w:sz="0" w:space="0" w:color="auto"/>
        <w:bottom w:val="none" w:sz="0" w:space="0" w:color="auto"/>
        <w:right w:val="none" w:sz="0" w:space="0" w:color="auto"/>
      </w:divBdr>
    </w:div>
    <w:div w:id="335159526">
      <w:bodyDiv w:val="1"/>
      <w:marLeft w:val="0"/>
      <w:marRight w:val="0"/>
      <w:marTop w:val="0"/>
      <w:marBottom w:val="0"/>
      <w:divBdr>
        <w:top w:val="none" w:sz="0" w:space="0" w:color="auto"/>
        <w:left w:val="none" w:sz="0" w:space="0" w:color="auto"/>
        <w:bottom w:val="none" w:sz="0" w:space="0" w:color="auto"/>
        <w:right w:val="none" w:sz="0" w:space="0" w:color="auto"/>
      </w:divBdr>
    </w:div>
    <w:div w:id="349719528">
      <w:bodyDiv w:val="1"/>
      <w:marLeft w:val="0"/>
      <w:marRight w:val="0"/>
      <w:marTop w:val="0"/>
      <w:marBottom w:val="0"/>
      <w:divBdr>
        <w:top w:val="none" w:sz="0" w:space="0" w:color="auto"/>
        <w:left w:val="none" w:sz="0" w:space="0" w:color="auto"/>
        <w:bottom w:val="none" w:sz="0" w:space="0" w:color="auto"/>
        <w:right w:val="none" w:sz="0" w:space="0" w:color="auto"/>
      </w:divBdr>
    </w:div>
    <w:div w:id="353307604">
      <w:bodyDiv w:val="1"/>
      <w:marLeft w:val="0"/>
      <w:marRight w:val="0"/>
      <w:marTop w:val="0"/>
      <w:marBottom w:val="0"/>
      <w:divBdr>
        <w:top w:val="none" w:sz="0" w:space="0" w:color="auto"/>
        <w:left w:val="none" w:sz="0" w:space="0" w:color="auto"/>
        <w:bottom w:val="none" w:sz="0" w:space="0" w:color="auto"/>
        <w:right w:val="none" w:sz="0" w:space="0" w:color="auto"/>
      </w:divBdr>
    </w:div>
    <w:div w:id="391199432">
      <w:bodyDiv w:val="1"/>
      <w:marLeft w:val="0"/>
      <w:marRight w:val="0"/>
      <w:marTop w:val="0"/>
      <w:marBottom w:val="0"/>
      <w:divBdr>
        <w:top w:val="none" w:sz="0" w:space="0" w:color="auto"/>
        <w:left w:val="none" w:sz="0" w:space="0" w:color="auto"/>
        <w:bottom w:val="none" w:sz="0" w:space="0" w:color="auto"/>
        <w:right w:val="none" w:sz="0" w:space="0" w:color="auto"/>
      </w:divBdr>
    </w:div>
    <w:div w:id="424544038">
      <w:bodyDiv w:val="1"/>
      <w:marLeft w:val="0"/>
      <w:marRight w:val="0"/>
      <w:marTop w:val="0"/>
      <w:marBottom w:val="0"/>
      <w:divBdr>
        <w:top w:val="none" w:sz="0" w:space="0" w:color="auto"/>
        <w:left w:val="none" w:sz="0" w:space="0" w:color="auto"/>
        <w:bottom w:val="none" w:sz="0" w:space="0" w:color="auto"/>
        <w:right w:val="none" w:sz="0" w:space="0" w:color="auto"/>
      </w:divBdr>
    </w:div>
    <w:div w:id="436950152">
      <w:bodyDiv w:val="1"/>
      <w:marLeft w:val="0"/>
      <w:marRight w:val="0"/>
      <w:marTop w:val="0"/>
      <w:marBottom w:val="0"/>
      <w:divBdr>
        <w:top w:val="none" w:sz="0" w:space="0" w:color="auto"/>
        <w:left w:val="none" w:sz="0" w:space="0" w:color="auto"/>
        <w:bottom w:val="none" w:sz="0" w:space="0" w:color="auto"/>
        <w:right w:val="none" w:sz="0" w:space="0" w:color="auto"/>
      </w:divBdr>
    </w:div>
    <w:div w:id="474951935">
      <w:bodyDiv w:val="1"/>
      <w:marLeft w:val="0"/>
      <w:marRight w:val="0"/>
      <w:marTop w:val="0"/>
      <w:marBottom w:val="0"/>
      <w:divBdr>
        <w:top w:val="none" w:sz="0" w:space="0" w:color="auto"/>
        <w:left w:val="none" w:sz="0" w:space="0" w:color="auto"/>
        <w:bottom w:val="none" w:sz="0" w:space="0" w:color="auto"/>
        <w:right w:val="none" w:sz="0" w:space="0" w:color="auto"/>
      </w:divBdr>
    </w:div>
    <w:div w:id="482506125">
      <w:bodyDiv w:val="1"/>
      <w:marLeft w:val="0"/>
      <w:marRight w:val="0"/>
      <w:marTop w:val="0"/>
      <w:marBottom w:val="0"/>
      <w:divBdr>
        <w:top w:val="none" w:sz="0" w:space="0" w:color="auto"/>
        <w:left w:val="none" w:sz="0" w:space="0" w:color="auto"/>
        <w:bottom w:val="none" w:sz="0" w:space="0" w:color="auto"/>
        <w:right w:val="none" w:sz="0" w:space="0" w:color="auto"/>
      </w:divBdr>
    </w:div>
    <w:div w:id="489758182">
      <w:bodyDiv w:val="1"/>
      <w:marLeft w:val="0"/>
      <w:marRight w:val="0"/>
      <w:marTop w:val="0"/>
      <w:marBottom w:val="0"/>
      <w:divBdr>
        <w:top w:val="none" w:sz="0" w:space="0" w:color="auto"/>
        <w:left w:val="none" w:sz="0" w:space="0" w:color="auto"/>
        <w:bottom w:val="none" w:sz="0" w:space="0" w:color="auto"/>
        <w:right w:val="none" w:sz="0" w:space="0" w:color="auto"/>
      </w:divBdr>
    </w:div>
    <w:div w:id="489902815">
      <w:bodyDiv w:val="1"/>
      <w:marLeft w:val="0"/>
      <w:marRight w:val="0"/>
      <w:marTop w:val="0"/>
      <w:marBottom w:val="0"/>
      <w:divBdr>
        <w:top w:val="none" w:sz="0" w:space="0" w:color="auto"/>
        <w:left w:val="none" w:sz="0" w:space="0" w:color="auto"/>
        <w:bottom w:val="none" w:sz="0" w:space="0" w:color="auto"/>
        <w:right w:val="none" w:sz="0" w:space="0" w:color="auto"/>
      </w:divBdr>
    </w:div>
    <w:div w:id="573315087">
      <w:bodyDiv w:val="1"/>
      <w:marLeft w:val="0"/>
      <w:marRight w:val="0"/>
      <w:marTop w:val="0"/>
      <w:marBottom w:val="0"/>
      <w:divBdr>
        <w:top w:val="none" w:sz="0" w:space="0" w:color="auto"/>
        <w:left w:val="none" w:sz="0" w:space="0" w:color="auto"/>
        <w:bottom w:val="none" w:sz="0" w:space="0" w:color="auto"/>
        <w:right w:val="none" w:sz="0" w:space="0" w:color="auto"/>
      </w:divBdr>
    </w:div>
    <w:div w:id="583536455">
      <w:bodyDiv w:val="1"/>
      <w:marLeft w:val="0"/>
      <w:marRight w:val="0"/>
      <w:marTop w:val="0"/>
      <w:marBottom w:val="0"/>
      <w:divBdr>
        <w:top w:val="none" w:sz="0" w:space="0" w:color="auto"/>
        <w:left w:val="none" w:sz="0" w:space="0" w:color="auto"/>
        <w:bottom w:val="none" w:sz="0" w:space="0" w:color="auto"/>
        <w:right w:val="none" w:sz="0" w:space="0" w:color="auto"/>
      </w:divBdr>
    </w:div>
    <w:div w:id="595022385">
      <w:bodyDiv w:val="1"/>
      <w:marLeft w:val="0"/>
      <w:marRight w:val="0"/>
      <w:marTop w:val="0"/>
      <w:marBottom w:val="0"/>
      <w:divBdr>
        <w:top w:val="none" w:sz="0" w:space="0" w:color="auto"/>
        <w:left w:val="none" w:sz="0" w:space="0" w:color="auto"/>
        <w:bottom w:val="none" w:sz="0" w:space="0" w:color="auto"/>
        <w:right w:val="none" w:sz="0" w:space="0" w:color="auto"/>
      </w:divBdr>
    </w:div>
    <w:div w:id="599265878">
      <w:bodyDiv w:val="1"/>
      <w:marLeft w:val="0"/>
      <w:marRight w:val="0"/>
      <w:marTop w:val="0"/>
      <w:marBottom w:val="0"/>
      <w:divBdr>
        <w:top w:val="none" w:sz="0" w:space="0" w:color="auto"/>
        <w:left w:val="none" w:sz="0" w:space="0" w:color="auto"/>
        <w:bottom w:val="none" w:sz="0" w:space="0" w:color="auto"/>
        <w:right w:val="none" w:sz="0" w:space="0" w:color="auto"/>
      </w:divBdr>
    </w:div>
    <w:div w:id="615067437">
      <w:bodyDiv w:val="1"/>
      <w:marLeft w:val="0"/>
      <w:marRight w:val="0"/>
      <w:marTop w:val="0"/>
      <w:marBottom w:val="0"/>
      <w:divBdr>
        <w:top w:val="none" w:sz="0" w:space="0" w:color="auto"/>
        <w:left w:val="none" w:sz="0" w:space="0" w:color="auto"/>
        <w:bottom w:val="none" w:sz="0" w:space="0" w:color="auto"/>
        <w:right w:val="none" w:sz="0" w:space="0" w:color="auto"/>
      </w:divBdr>
    </w:div>
    <w:div w:id="624384943">
      <w:bodyDiv w:val="1"/>
      <w:marLeft w:val="0"/>
      <w:marRight w:val="0"/>
      <w:marTop w:val="0"/>
      <w:marBottom w:val="0"/>
      <w:divBdr>
        <w:top w:val="none" w:sz="0" w:space="0" w:color="auto"/>
        <w:left w:val="none" w:sz="0" w:space="0" w:color="auto"/>
        <w:bottom w:val="none" w:sz="0" w:space="0" w:color="auto"/>
        <w:right w:val="none" w:sz="0" w:space="0" w:color="auto"/>
      </w:divBdr>
    </w:div>
    <w:div w:id="662705630">
      <w:bodyDiv w:val="1"/>
      <w:marLeft w:val="0"/>
      <w:marRight w:val="0"/>
      <w:marTop w:val="0"/>
      <w:marBottom w:val="0"/>
      <w:divBdr>
        <w:top w:val="none" w:sz="0" w:space="0" w:color="auto"/>
        <w:left w:val="none" w:sz="0" w:space="0" w:color="auto"/>
        <w:bottom w:val="none" w:sz="0" w:space="0" w:color="auto"/>
        <w:right w:val="none" w:sz="0" w:space="0" w:color="auto"/>
      </w:divBdr>
    </w:div>
    <w:div w:id="677273377">
      <w:bodyDiv w:val="1"/>
      <w:marLeft w:val="0"/>
      <w:marRight w:val="0"/>
      <w:marTop w:val="0"/>
      <w:marBottom w:val="0"/>
      <w:divBdr>
        <w:top w:val="none" w:sz="0" w:space="0" w:color="auto"/>
        <w:left w:val="none" w:sz="0" w:space="0" w:color="auto"/>
        <w:bottom w:val="none" w:sz="0" w:space="0" w:color="auto"/>
        <w:right w:val="none" w:sz="0" w:space="0" w:color="auto"/>
      </w:divBdr>
    </w:div>
    <w:div w:id="697852258">
      <w:bodyDiv w:val="1"/>
      <w:marLeft w:val="0"/>
      <w:marRight w:val="0"/>
      <w:marTop w:val="0"/>
      <w:marBottom w:val="0"/>
      <w:divBdr>
        <w:top w:val="none" w:sz="0" w:space="0" w:color="auto"/>
        <w:left w:val="none" w:sz="0" w:space="0" w:color="auto"/>
        <w:bottom w:val="none" w:sz="0" w:space="0" w:color="auto"/>
        <w:right w:val="none" w:sz="0" w:space="0" w:color="auto"/>
      </w:divBdr>
    </w:div>
    <w:div w:id="698050177">
      <w:bodyDiv w:val="1"/>
      <w:marLeft w:val="0"/>
      <w:marRight w:val="0"/>
      <w:marTop w:val="0"/>
      <w:marBottom w:val="0"/>
      <w:divBdr>
        <w:top w:val="none" w:sz="0" w:space="0" w:color="auto"/>
        <w:left w:val="none" w:sz="0" w:space="0" w:color="auto"/>
        <w:bottom w:val="none" w:sz="0" w:space="0" w:color="auto"/>
        <w:right w:val="none" w:sz="0" w:space="0" w:color="auto"/>
      </w:divBdr>
    </w:div>
    <w:div w:id="711031402">
      <w:bodyDiv w:val="1"/>
      <w:marLeft w:val="0"/>
      <w:marRight w:val="0"/>
      <w:marTop w:val="0"/>
      <w:marBottom w:val="0"/>
      <w:divBdr>
        <w:top w:val="none" w:sz="0" w:space="0" w:color="auto"/>
        <w:left w:val="none" w:sz="0" w:space="0" w:color="auto"/>
        <w:bottom w:val="none" w:sz="0" w:space="0" w:color="auto"/>
        <w:right w:val="none" w:sz="0" w:space="0" w:color="auto"/>
      </w:divBdr>
    </w:div>
    <w:div w:id="732191853">
      <w:bodyDiv w:val="1"/>
      <w:marLeft w:val="0"/>
      <w:marRight w:val="0"/>
      <w:marTop w:val="0"/>
      <w:marBottom w:val="0"/>
      <w:divBdr>
        <w:top w:val="none" w:sz="0" w:space="0" w:color="auto"/>
        <w:left w:val="none" w:sz="0" w:space="0" w:color="auto"/>
        <w:bottom w:val="none" w:sz="0" w:space="0" w:color="auto"/>
        <w:right w:val="none" w:sz="0" w:space="0" w:color="auto"/>
      </w:divBdr>
    </w:div>
    <w:div w:id="741949177">
      <w:bodyDiv w:val="1"/>
      <w:marLeft w:val="0"/>
      <w:marRight w:val="0"/>
      <w:marTop w:val="0"/>
      <w:marBottom w:val="0"/>
      <w:divBdr>
        <w:top w:val="none" w:sz="0" w:space="0" w:color="auto"/>
        <w:left w:val="none" w:sz="0" w:space="0" w:color="auto"/>
        <w:bottom w:val="none" w:sz="0" w:space="0" w:color="auto"/>
        <w:right w:val="none" w:sz="0" w:space="0" w:color="auto"/>
      </w:divBdr>
    </w:div>
    <w:div w:id="745415715">
      <w:bodyDiv w:val="1"/>
      <w:marLeft w:val="0"/>
      <w:marRight w:val="0"/>
      <w:marTop w:val="0"/>
      <w:marBottom w:val="0"/>
      <w:divBdr>
        <w:top w:val="none" w:sz="0" w:space="0" w:color="auto"/>
        <w:left w:val="none" w:sz="0" w:space="0" w:color="auto"/>
        <w:bottom w:val="none" w:sz="0" w:space="0" w:color="auto"/>
        <w:right w:val="none" w:sz="0" w:space="0" w:color="auto"/>
      </w:divBdr>
    </w:div>
    <w:div w:id="746808589">
      <w:bodyDiv w:val="1"/>
      <w:marLeft w:val="0"/>
      <w:marRight w:val="0"/>
      <w:marTop w:val="0"/>
      <w:marBottom w:val="0"/>
      <w:divBdr>
        <w:top w:val="none" w:sz="0" w:space="0" w:color="auto"/>
        <w:left w:val="none" w:sz="0" w:space="0" w:color="auto"/>
        <w:bottom w:val="none" w:sz="0" w:space="0" w:color="auto"/>
        <w:right w:val="none" w:sz="0" w:space="0" w:color="auto"/>
      </w:divBdr>
    </w:div>
    <w:div w:id="749158900">
      <w:bodyDiv w:val="1"/>
      <w:marLeft w:val="0"/>
      <w:marRight w:val="0"/>
      <w:marTop w:val="0"/>
      <w:marBottom w:val="0"/>
      <w:divBdr>
        <w:top w:val="none" w:sz="0" w:space="0" w:color="auto"/>
        <w:left w:val="none" w:sz="0" w:space="0" w:color="auto"/>
        <w:bottom w:val="none" w:sz="0" w:space="0" w:color="auto"/>
        <w:right w:val="none" w:sz="0" w:space="0" w:color="auto"/>
      </w:divBdr>
    </w:div>
    <w:div w:id="753011206">
      <w:bodyDiv w:val="1"/>
      <w:marLeft w:val="0"/>
      <w:marRight w:val="0"/>
      <w:marTop w:val="0"/>
      <w:marBottom w:val="0"/>
      <w:divBdr>
        <w:top w:val="none" w:sz="0" w:space="0" w:color="auto"/>
        <w:left w:val="none" w:sz="0" w:space="0" w:color="auto"/>
        <w:bottom w:val="none" w:sz="0" w:space="0" w:color="auto"/>
        <w:right w:val="none" w:sz="0" w:space="0" w:color="auto"/>
      </w:divBdr>
    </w:div>
    <w:div w:id="763844366">
      <w:bodyDiv w:val="1"/>
      <w:marLeft w:val="0"/>
      <w:marRight w:val="0"/>
      <w:marTop w:val="0"/>
      <w:marBottom w:val="0"/>
      <w:divBdr>
        <w:top w:val="none" w:sz="0" w:space="0" w:color="auto"/>
        <w:left w:val="none" w:sz="0" w:space="0" w:color="auto"/>
        <w:bottom w:val="none" w:sz="0" w:space="0" w:color="auto"/>
        <w:right w:val="none" w:sz="0" w:space="0" w:color="auto"/>
      </w:divBdr>
    </w:div>
    <w:div w:id="763916453">
      <w:bodyDiv w:val="1"/>
      <w:marLeft w:val="0"/>
      <w:marRight w:val="0"/>
      <w:marTop w:val="0"/>
      <w:marBottom w:val="0"/>
      <w:divBdr>
        <w:top w:val="none" w:sz="0" w:space="0" w:color="auto"/>
        <w:left w:val="none" w:sz="0" w:space="0" w:color="auto"/>
        <w:bottom w:val="none" w:sz="0" w:space="0" w:color="auto"/>
        <w:right w:val="none" w:sz="0" w:space="0" w:color="auto"/>
      </w:divBdr>
    </w:div>
    <w:div w:id="792557403">
      <w:bodyDiv w:val="1"/>
      <w:marLeft w:val="0"/>
      <w:marRight w:val="0"/>
      <w:marTop w:val="0"/>
      <w:marBottom w:val="0"/>
      <w:divBdr>
        <w:top w:val="none" w:sz="0" w:space="0" w:color="auto"/>
        <w:left w:val="none" w:sz="0" w:space="0" w:color="auto"/>
        <w:bottom w:val="none" w:sz="0" w:space="0" w:color="auto"/>
        <w:right w:val="none" w:sz="0" w:space="0" w:color="auto"/>
      </w:divBdr>
    </w:div>
    <w:div w:id="815727824">
      <w:bodyDiv w:val="1"/>
      <w:marLeft w:val="0"/>
      <w:marRight w:val="0"/>
      <w:marTop w:val="0"/>
      <w:marBottom w:val="0"/>
      <w:divBdr>
        <w:top w:val="none" w:sz="0" w:space="0" w:color="auto"/>
        <w:left w:val="none" w:sz="0" w:space="0" w:color="auto"/>
        <w:bottom w:val="none" w:sz="0" w:space="0" w:color="auto"/>
        <w:right w:val="none" w:sz="0" w:space="0" w:color="auto"/>
      </w:divBdr>
    </w:div>
    <w:div w:id="861674420">
      <w:bodyDiv w:val="1"/>
      <w:marLeft w:val="0"/>
      <w:marRight w:val="0"/>
      <w:marTop w:val="0"/>
      <w:marBottom w:val="0"/>
      <w:divBdr>
        <w:top w:val="none" w:sz="0" w:space="0" w:color="auto"/>
        <w:left w:val="none" w:sz="0" w:space="0" w:color="auto"/>
        <w:bottom w:val="none" w:sz="0" w:space="0" w:color="auto"/>
        <w:right w:val="none" w:sz="0" w:space="0" w:color="auto"/>
      </w:divBdr>
    </w:div>
    <w:div w:id="895239305">
      <w:bodyDiv w:val="1"/>
      <w:marLeft w:val="0"/>
      <w:marRight w:val="0"/>
      <w:marTop w:val="0"/>
      <w:marBottom w:val="0"/>
      <w:divBdr>
        <w:top w:val="none" w:sz="0" w:space="0" w:color="auto"/>
        <w:left w:val="none" w:sz="0" w:space="0" w:color="auto"/>
        <w:bottom w:val="none" w:sz="0" w:space="0" w:color="auto"/>
        <w:right w:val="none" w:sz="0" w:space="0" w:color="auto"/>
      </w:divBdr>
    </w:div>
    <w:div w:id="902640449">
      <w:bodyDiv w:val="1"/>
      <w:marLeft w:val="0"/>
      <w:marRight w:val="0"/>
      <w:marTop w:val="0"/>
      <w:marBottom w:val="0"/>
      <w:divBdr>
        <w:top w:val="none" w:sz="0" w:space="0" w:color="auto"/>
        <w:left w:val="none" w:sz="0" w:space="0" w:color="auto"/>
        <w:bottom w:val="none" w:sz="0" w:space="0" w:color="auto"/>
        <w:right w:val="none" w:sz="0" w:space="0" w:color="auto"/>
      </w:divBdr>
    </w:div>
    <w:div w:id="907810014">
      <w:bodyDiv w:val="1"/>
      <w:marLeft w:val="0"/>
      <w:marRight w:val="0"/>
      <w:marTop w:val="0"/>
      <w:marBottom w:val="0"/>
      <w:divBdr>
        <w:top w:val="none" w:sz="0" w:space="0" w:color="auto"/>
        <w:left w:val="none" w:sz="0" w:space="0" w:color="auto"/>
        <w:bottom w:val="none" w:sz="0" w:space="0" w:color="auto"/>
        <w:right w:val="none" w:sz="0" w:space="0" w:color="auto"/>
      </w:divBdr>
    </w:div>
    <w:div w:id="909340287">
      <w:bodyDiv w:val="1"/>
      <w:marLeft w:val="0"/>
      <w:marRight w:val="0"/>
      <w:marTop w:val="0"/>
      <w:marBottom w:val="0"/>
      <w:divBdr>
        <w:top w:val="none" w:sz="0" w:space="0" w:color="auto"/>
        <w:left w:val="none" w:sz="0" w:space="0" w:color="auto"/>
        <w:bottom w:val="none" w:sz="0" w:space="0" w:color="auto"/>
        <w:right w:val="none" w:sz="0" w:space="0" w:color="auto"/>
      </w:divBdr>
    </w:div>
    <w:div w:id="933785149">
      <w:bodyDiv w:val="1"/>
      <w:marLeft w:val="0"/>
      <w:marRight w:val="0"/>
      <w:marTop w:val="0"/>
      <w:marBottom w:val="0"/>
      <w:divBdr>
        <w:top w:val="none" w:sz="0" w:space="0" w:color="auto"/>
        <w:left w:val="none" w:sz="0" w:space="0" w:color="auto"/>
        <w:bottom w:val="none" w:sz="0" w:space="0" w:color="auto"/>
        <w:right w:val="none" w:sz="0" w:space="0" w:color="auto"/>
      </w:divBdr>
    </w:div>
    <w:div w:id="965283516">
      <w:bodyDiv w:val="1"/>
      <w:marLeft w:val="0"/>
      <w:marRight w:val="0"/>
      <w:marTop w:val="0"/>
      <w:marBottom w:val="0"/>
      <w:divBdr>
        <w:top w:val="none" w:sz="0" w:space="0" w:color="auto"/>
        <w:left w:val="none" w:sz="0" w:space="0" w:color="auto"/>
        <w:bottom w:val="none" w:sz="0" w:space="0" w:color="auto"/>
        <w:right w:val="none" w:sz="0" w:space="0" w:color="auto"/>
      </w:divBdr>
    </w:div>
    <w:div w:id="972564478">
      <w:bodyDiv w:val="1"/>
      <w:marLeft w:val="0"/>
      <w:marRight w:val="0"/>
      <w:marTop w:val="0"/>
      <w:marBottom w:val="0"/>
      <w:divBdr>
        <w:top w:val="none" w:sz="0" w:space="0" w:color="auto"/>
        <w:left w:val="none" w:sz="0" w:space="0" w:color="auto"/>
        <w:bottom w:val="none" w:sz="0" w:space="0" w:color="auto"/>
        <w:right w:val="none" w:sz="0" w:space="0" w:color="auto"/>
      </w:divBdr>
    </w:div>
    <w:div w:id="973102310">
      <w:bodyDiv w:val="1"/>
      <w:marLeft w:val="0"/>
      <w:marRight w:val="0"/>
      <w:marTop w:val="0"/>
      <w:marBottom w:val="0"/>
      <w:divBdr>
        <w:top w:val="none" w:sz="0" w:space="0" w:color="auto"/>
        <w:left w:val="none" w:sz="0" w:space="0" w:color="auto"/>
        <w:bottom w:val="none" w:sz="0" w:space="0" w:color="auto"/>
        <w:right w:val="none" w:sz="0" w:space="0" w:color="auto"/>
      </w:divBdr>
    </w:div>
    <w:div w:id="988706858">
      <w:bodyDiv w:val="1"/>
      <w:marLeft w:val="0"/>
      <w:marRight w:val="0"/>
      <w:marTop w:val="0"/>
      <w:marBottom w:val="0"/>
      <w:divBdr>
        <w:top w:val="none" w:sz="0" w:space="0" w:color="auto"/>
        <w:left w:val="none" w:sz="0" w:space="0" w:color="auto"/>
        <w:bottom w:val="none" w:sz="0" w:space="0" w:color="auto"/>
        <w:right w:val="none" w:sz="0" w:space="0" w:color="auto"/>
      </w:divBdr>
    </w:div>
    <w:div w:id="996109568">
      <w:bodyDiv w:val="1"/>
      <w:marLeft w:val="0"/>
      <w:marRight w:val="0"/>
      <w:marTop w:val="0"/>
      <w:marBottom w:val="0"/>
      <w:divBdr>
        <w:top w:val="none" w:sz="0" w:space="0" w:color="auto"/>
        <w:left w:val="none" w:sz="0" w:space="0" w:color="auto"/>
        <w:bottom w:val="none" w:sz="0" w:space="0" w:color="auto"/>
        <w:right w:val="none" w:sz="0" w:space="0" w:color="auto"/>
      </w:divBdr>
    </w:div>
    <w:div w:id="1037124326">
      <w:bodyDiv w:val="1"/>
      <w:marLeft w:val="0"/>
      <w:marRight w:val="0"/>
      <w:marTop w:val="0"/>
      <w:marBottom w:val="0"/>
      <w:divBdr>
        <w:top w:val="none" w:sz="0" w:space="0" w:color="auto"/>
        <w:left w:val="none" w:sz="0" w:space="0" w:color="auto"/>
        <w:bottom w:val="none" w:sz="0" w:space="0" w:color="auto"/>
        <w:right w:val="none" w:sz="0" w:space="0" w:color="auto"/>
      </w:divBdr>
    </w:div>
    <w:div w:id="1047530873">
      <w:bodyDiv w:val="1"/>
      <w:marLeft w:val="0"/>
      <w:marRight w:val="0"/>
      <w:marTop w:val="0"/>
      <w:marBottom w:val="0"/>
      <w:divBdr>
        <w:top w:val="none" w:sz="0" w:space="0" w:color="auto"/>
        <w:left w:val="none" w:sz="0" w:space="0" w:color="auto"/>
        <w:bottom w:val="none" w:sz="0" w:space="0" w:color="auto"/>
        <w:right w:val="none" w:sz="0" w:space="0" w:color="auto"/>
      </w:divBdr>
    </w:div>
    <w:div w:id="1054086415">
      <w:bodyDiv w:val="1"/>
      <w:marLeft w:val="0"/>
      <w:marRight w:val="0"/>
      <w:marTop w:val="0"/>
      <w:marBottom w:val="0"/>
      <w:divBdr>
        <w:top w:val="none" w:sz="0" w:space="0" w:color="auto"/>
        <w:left w:val="none" w:sz="0" w:space="0" w:color="auto"/>
        <w:bottom w:val="none" w:sz="0" w:space="0" w:color="auto"/>
        <w:right w:val="none" w:sz="0" w:space="0" w:color="auto"/>
      </w:divBdr>
    </w:div>
    <w:div w:id="1057322493">
      <w:bodyDiv w:val="1"/>
      <w:marLeft w:val="0"/>
      <w:marRight w:val="0"/>
      <w:marTop w:val="0"/>
      <w:marBottom w:val="0"/>
      <w:divBdr>
        <w:top w:val="none" w:sz="0" w:space="0" w:color="auto"/>
        <w:left w:val="none" w:sz="0" w:space="0" w:color="auto"/>
        <w:bottom w:val="none" w:sz="0" w:space="0" w:color="auto"/>
        <w:right w:val="none" w:sz="0" w:space="0" w:color="auto"/>
      </w:divBdr>
    </w:div>
    <w:div w:id="1114591044">
      <w:bodyDiv w:val="1"/>
      <w:marLeft w:val="0"/>
      <w:marRight w:val="0"/>
      <w:marTop w:val="0"/>
      <w:marBottom w:val="0"/>
      <w:divBdr>
        <w:top w:val="none" w:sz="0" w:space="0" w:color="auto"/>
        <w:left w:val="none" w:sz="0" w:space="0" w:color="auto"/>
        <w:bottom w:val="none" w:sz="0" w:space="0" w:color="auto"/>
        <w:right w:val="none" w:sz="0" w:space="0" w:color="auto"/>
      </w:divBdr>
    </w:div>
    <w:div w:id="1122845829">
      <w:bodyDiv w:val="1"/>
      <w:marLeft w:val="0"/>
      <w:marRight w:val="0"/>
      <w:marTop w:val="0"/>
      <w:marBottom w:val="0"/>
      <w:divBdr>
        <w:top w:val="none" w:sz="0" w:space="0" w:color="auto"/>
        <w:left w:val="none" w:sz="0" w:space="0" w:color="auto"/>
        <w:bottom w:val="none" w:sz="0" w:space="0" w:color="auto"/>
        <w:right w:val="none" w:sz="0" w:space="0" w:color="auto"/>
      </w:divBdr>
    </w:div>
    <w:div w:id="1143740583">
      <w:bodyDiv w:val="1"/>
      <w:marLeft w:val="0"/>
      <w:marRight w:val="0"/>
      <w:marTop w:val="0"/>
      <w:marBottom w:val="0"/>
      <w:divBdr>
        <w:top w:val="none" w:sz="0" w:space="0" w:color="auto"/>
        <w:left w:val="none" w:sz="0" w:space="0" w:color="auto"/>
        <w:bottom w:val="none" w:sz="0" w:space="0" w:color="auto"/>
        <w:right w:val="none" w:sz="0" w:space="0" w:color="auto"/>
      </w:divBdr>
    </w:div>
    <w:div w:id="1174956974">
      <w:bodyDiv w:val="1"/>
      <w:marLeft w:val="0"/>
      <w:marRight w:val="0"/>
      <w:marTop w:val="0"/>
      <w:marBottom w:val="0"/>
      <w:divBdr>
        <w:top w:val="none" w:sz="0" w:space="0" w:color="auto"/>
        <w:left w:val="none" w:sz="0" w:space="0" w:color="auto"/>
        <w:bottom w:val="none" w:sz="0" w:space="0" w:color="auto"/>
        <w:right w:val="none" w:sz="0" w:space="0" w:color="auto"/>
      </w:divBdr>
    </w:div>
    <w:div w:id="1184051806">
      <w:bodyDiv w:val="1"/>
      <w:marLeft w:val="0"/>
      <w:marRight w:val="0"/>
      <w:marTop w:val="0"/>
      <w:marBottom w:val="0"/>
      <w:divBdr>
        <w:top w:val="none" w:sz="0" w:space="0" w:color="auto"/>
        <w:left w:val="none" w:sz="0" w:space="0" w:color="auto"/>
        <w:bottom w:val="none" w:sz="0" w:space="0" w:color="auto"/>
        <w:right w:val="none" w:sz="0" w:space="0" w:color="auto"/>
      </w:divBdr>
    </w:div>
    <w:div w:id="1185245292">
      <w:bodyDiv w:val="1"/>
      <w:marLeft w:val="0"/>
      <w:marRight w:val="0"/>
      <w:marTop w:val="0"/>
      <w:marBottom w:val="0"/>
      <w:divBdr>
        <w:top w:val="none" w:sz="0" w:space="0" w:color="auto"/>
        <w:left w:val="none" w:sz="0" w:space="0" w:color="auto"/>
        <w:bottom w:val="none" w:sz="0" w:space="0" w:color="auto"/>
        <w:right w:val="none" w:sz="0" w:space="0" w:color="auto"/>
      </w:divBdr>
    </w:div>
    <w:div w:id="1195340421">
      <w:bodyDiv w:val="1"/>
      <w:marLeft w:val="0"/>
      <w:marRight w:val="0"/>
      <w:marTop w:val="0"/>
      <w:marBottom w:val="0"/>
      <w:divBdr>
        <w:top w:val="none" w:sz="0" w:space="0" w:color="auto"/>
        <w:left w:val="none" w:sz="0" w:space="0" w:color="auto"/>
        <w:bottom w:val="none" w:sz="0" w:space="0" w:color="auto"/>
        <w:right w:val="none" w:sz="0" w:space="0" w:color="auto"/>
      </w:divBdr>
    </w:div>
    <w:div w:id="1196308010">
      <w:bodyDiv w:val="1"/>
      <w:marLeft w:val="0"/>
      <w:marRight w:val="0"/>
      <w:marTop w:val="0"/>
      <w:marBottom w:val="0"/>
      <w:divBdr>
        <w:top w:val="none" w:sz="0" w:space="0" w:color="auto"/>
        <w:left w:val="none" w:sz="0" w:space="0" w:color="auto"/>
        <w:bottom w:val="none" w:sz="0" w:space="0" w:color="auto"/>
        <w:right w:val="none" w:sz="0" w:space="0" w:color="auto"/>
      </w:divBdr>
    </w:div>
    <w:div w:id="1204824817">
      <w:bodyDiv w:val="1"/>
      <w:marLeft w:val="0"/>
      <w:marRight w:val="0"/>
      <w:marTop w:val="0"/>
      <w:marBottom w:val="0"/>
      <w:divBdr>
        <w:top w:val="none" w:sz="0" w:space="0" w:color="auto"/>
        <w:left w:val="none" w:sz="0" w:space="0" w:color="auto"/>
        <w:bottom w:val="none" w:sz="0" w:space="0" w:color="auto"/>
        <w:right w:val="none" w:sz="0" w:space="0" w:color="auto"/>
      </w:divBdr>
    </w:div>
    <w:div w:id="1280453501">
      <w:bodyDiv w:val="1"/>
      <w:marLeft w:val="0"/>
      <w:marRight w:val="0"/>
      <w:marTop w:val="0"/>
      <w:marBottom w:val="0"/>
      <w:divBdr>
        <w:top w:val="none" w:sz="0" w:space="0" w:color="auto"/>
        <w:left w:val="none" w:sz="0" w:space="0" w:color="auto"/>
        <w:bottom w:val="none" w:sz="0" w:space="0" w:color="auto"/>
        <w:right w:val="none" w:sz="0" w:space="0" w:color="auto"/>
      </w:divBdr>
    </w:div>
    <w:div w:id="1288925429">
      <w:bodyDiv w:val="1"/>
      <w:marLeft w:val="0"/>
      <w:marRight w:val="0"/>
      <w:marTop w:val="0"/>
      <w:marBottom w:val="0"/>
      <w:divBdr>
        <w:top w:val="none" w:sz="0" w:space="0" w:color="auto"/>
        <w:left w:val="none" w:sz="0" w:space="0" w:color="auto"/>
        <w:bottom w:val="none" w:sz="0" w:space="0" w:color="auto"/>
        <w:right w:val="none" w:sz="0" w:space="0" w:color="auto"/>
      </w:divBdr>
    </w:div>
    <w:div w:id="1306086324">
      <w:bodyDiv w:val="1"/>
      <w:marLeft w:val="0"/>
      <w:marRight w:val="0"/>
      <w:marTop w:val="0"/>
      <w:marBottom w:val="0"/>
      <w:divBdr>
        <w:top w:val="none" w:sz="0" w:space="0" w:color="auto"/>
        <w:left w:val="none" w:sz="0" w:space="0" w:color="auto"/>
        <w:bottom w:val="none" w:sz="0" w:space="0" w:color="auto"/>
        <w:right w:val="none" w:sz="0" w:space="0" w:color="auto"/>
      </w:divBdr>
    </w:div>
    <w:div w:id="1310020397">
      <w:bodyDiv w:val="1"/>
      <w:marLeft w:val="0"/>
      <w:marRight w:val="0"/>
      <w:marTop w:val="0"/>
      <w:marBottom w:val="0"/>
      <w:divBdr>
        <w:top w:val="none" w:sz="0" w:space="0" w:color="auto"/>
        <w:left w:val="none" w:sz="0" w:space="0" w:color="auto"/>
        <w:bottom w:val="none" w:sz="0" w:space="0" w:color="auto"/>
        <w:right w:val="none" w:sz="0" w:space="0" w:color="auto"/>
      </w:divBdr>
    </w:div>
    <w:div w:id="1317613595">
      <w:bodyDiv w:val="1"/>
      <w:marLeft w:val="0"/>
      <w:marRight w:val="0"/>
      <w:marTop w:val="0"/>
      <w:marBottom w:val="0"/>
      <w:divBdr>
        <w:top w:val="none" w:sz="0" w:space="0" w:color="auto"/>
        <w:left w:val="none" w:sz="0" w:space="0" w:color="auto"/>
        <w:bottom w:val="none" w:sz="0" w:space="0" w:color="auto"/>
        <w:right w:val="none" w:sz="0" w:space="0" w:color="auto"/>
      </w:divBdr>
    </w:div>
    <w:div w:id="1332756299">
      <w:bodyDiv w:val="1"/>
      <w:marLeft w:val="0"/>
      <w:marRight w:val="0"/>
      <w:marTop w:val="0"/>
      <w:marBottom w:val="0"/>
      <w:divBdr>
        <w:top w:val="none" w:sz="0" w:space="0" w:color="auto"/>
        <w:left w:val="none" w:sz="0" w:space="0" w:color="auto"/>
        <w:bottom w:val="none" w:sz="0" w:space="0" w:color="auto"/>
        <w:right w:val="none" w:sz="0" w:space="0" w:color="auto"/>
      </w:divBdr>
    </w:div>
    <w:div w:id="1354039974">
      <w:bodyDiv w:val="1"/>
      <w:marLeft w:val="0"/>
      <w:marRight w:val="0"/>
      <w:marTop w:val="0"/>
      <w:marBottom w:val="0"/>
      <w:divBdr>
        <w:top w:val="none" w:sz="0" w:space="0" w:color="auto"/>
        <w:left w:val="none" w:sz="0" w:space="0" w:color="auto"/>
        <w:bottom w:val="none" w:sz="0" w:space="0" w:color="auto"/>
        <w:right w:val="none" w:sz="0" w:space="0" w:color="auto"/>
      </w:divBdr>
    </w:div>
    <w:div w:id="1355039385">
      <w:bodyDiv w:val="1"/>
      <w:marLeft w:val="0"/>
      <w:marRight w:val="0"/>
      <w:marTop w:val="0"/>
      <w:marBottom w:val="0"/>
      <w:divBdr>
        <w:top w:val="none" w:sz="0" w:space="0" w:color="auto"/>
        <w:left w:val="none" w:sz="0" w:space="0" w:color="auto"/>
        <w:bottom w:val="none" w:sz="0" w:space="0" w:color="auto"/>
        <w:right w:val="none" w:sz="0" w:space="0" w:color="auto"/>
      </w:divBdr>
    </w:div>
    <w:div w:id="1356075262">
      <w:bodyDiv w:val="1"/>
      <w:marLeft w:val="0"/>
      <w:marRight w:val="0"/>
      <w:marTop w:val="0"/>
      <w:marBottom w:val="0"/>
      <w:divBdr>
        <w:top w:val="none" w:sz="0" w:space="0" w:color="auto"/>
        <w:left w:val="none" w:sz="0" w:space="0" w:color="auto"/>
        <w:bottom w:val="none" w:sz="0" w:space="0" w:color="auto"/>
        <w:right w:val="none" w:sz="0" w:space="0" w:color="auto"/>
      </w:divBdr>
    </w:div>
    <w:div w:id="1362244279">
      <w:bodyDiv w:val="1"/>
      <w:marLeft w:val="0"/>
      <w:marRight w:val="0"/>
      <w:marTop w:val="0"/>
      <w:marBottom w:val="0"/>
      <w:divBdr>
        <w:top w:val="none" w:sz="0" w:space="0" w:color="auto"/>
        <w:left w:val="none" w:sz="0" w:space="0" w:color="auto"/>
        <w:bottom w:val="none" w:sz="0" w:space="0" w:color="auto"/>
        <w:right w:val="none" w:sz="0" w:space="0" w:color="auto"/>
      </w:divBdr>
    </w:div>
    <w:div w:id="1366710611">
      <w:bodyDiv w:val="1"/>
      <w:marLeft w:val="0"/>
      <w:marRight w:val="0"/>
      <w:marTop w:val="0"/>
      <w:marBottom w:val="0"/>
      <w:divBdr>
        <w:top w:val="none" w:sz="0" w:space="0" w:color="auto"/>
        <w:left w:val="none" w:sz="0" w:space="0" w:color="auto"/>
        <w:bottom w:val="none" w:sz="0" w:space="0" w:color="auto"/>
        <w:right w:val="none" w:sz="0" w:space="0" w:color="auto"/>
      </w:divBdr>
    </w:div>
    <w:div w:id="1394817738">
      <w:bodyDiv w:val="1"/>
      <w:marLeft w:val="0"/>
      <w:marRight w:val="0"/>
      <w:marTop w:val="0"/>
      <w:marBottom w:val="0"/>
      <w:divBdr>
        <w:top w:val="none" w:sz="0" w:space="0" w:color="auto"/>
        <w:left w:val="none" w:sz="0" w:space="0" w:color="auto"/>
        <w:bottom w:val="none" w:sz="0" w:space="0" w:color="auto"/>
        <w:right w:val="none" w:sz="0" w:space="0" w:color="auto"/>
      </w:divBdr>
    </w:div>
    <w:div w:id="1405562625">
      <w:bodyDiv w:val="1"/>
      <w:marLeft w:val="0"/>
      <w:marRight w:val="0"/>
      <w:marTop w:val="0"/>
      <w:marBottom w:val="0"/>
      <w:divBdr>
        <w:top w:val="none" w:sz="0" w:space="0" w:color="auto"/>
        <w:left w:val="none" w:sz="0" w:space="0" w:color="auto"/>
        <w:bottom w:val="none" w:sz="0" w:space="0" w:color="auto"/>
        <w:right w:val="none" w:sz="0" w:space="0" w:color="auto"/>
      </w:divBdr>
    </w:div>
    <w:div w:id="1422723876">
      <w:bodyDiv w:val="1"/>
      <w:marLeft w:val="0"/>
      <w:marRight w:val="0"/>
      <w:marTop w:val="0"/>
      <w:marBottom w:val="0"/>
      <w:divBdr>
        <w:top w:val="none" w:sz="0" w:space="0" w:color="auto"/>
        <w:left w:val="none" w:sz="0" w:space="0" w:color="auto"/>
        <w:bottom w:val="none" w:sz="0" w:space="0" w:color="auto"/>
        <w:right w:val="none" w:sz="0" w:space="0" w:color="auto"/>
      </w:divBdr>
    </w:div>
    <w:div w:id="1446197612">
      <w:bodyDiv w:val="1"/>
      <w:marLeft w:val="0"/>
      <w:marRight w:val="0"/>
      <w:marTop w:val="0"/>
      <w:marBottom w:val="0"/>
      <w:divBdr>
        <w:top w:val="none" w:sz="0" w:space="0" w:color="auto"/>
        <w:left w:val="none" w:sz="0" w:space="0" w:color="auto"/>
        <w:bottom w:val="none" w:sz="0" w:space="0" w:color="auto"/>
        <w:right w:val="none" w:sz="0" w:space="0" w:color="auto"/>
      </w:divBdr>
    </w:div>
    <w:div w:id="1470509797">
      <w:bodyDiv w:val="1"/>
      <w:marLeft w:val="0"/>
      <w:marRight w:val="0"/>
      <w:marTop w:val="0"/>
      <w:marBottom w:val="0"/>
      <w:divBdr>
        <w:top w:val="none" w:sz="0" w:space="0" w:color="auto"/>
        <w:left w:val="none" w:sz="0" w:space="0" w:color="auto"/>
        <w:bottom w:val="none" w:sz="0" w:space="0" w:color="auto"/>
        <w:right w:val="none" w:sz="0" w:space="0" w:color="auto"/>
      </w:divBdr>
    </w:div>
    <w:div w:id="1491096867">
      <w:bodyDiv w:val="1"/>
      <w:marLeft w:val="0"/>
      <w:marRight w:val="0"/>
      <w:marTop w:val="0"/>
      <w:marBottom w:val="0"/>
      <w:divBdr>
        <w:top w:val="none" w:sz="0" w:space="0" w:color="auto"/>
        <w:left w:val="none" w:sz="0" w:space="0" w:color="auto"/>
        <w:bottom w:val="none" w:sz="0" w:space="0" w:color="auto"/>
        <w:right w:val="none" w:sz="0" w:space="0" w:color="auto"/>
      </w:divBdr>
    </w:div>
    <w:div w:id="1512066617">
      <w:bodyDiv w:val="1"/>
      <w:marLeft w:val="0"/>
      <w:marRight w:val="0"/>
      <w:marTop w:val="0"/>
      <w:marBottom w:val="0"/>
      <w:divBdr>
        <w:top w:val="none" w:sz="0" w:space="0" w:color="auto"/>
        <w:left w:val="none" w:sz="0" w:space="0" w:color="auto"/>
        <w:bottom w:val="none" w:sz="0" w:space="0" w:color="auto"/>
        <w:right w:val="none" w:sz="0" w:space="0" w:color="auto"/>
      </w:divBdr>
    </w:div>
    <w:div w:id="1531600581">
      <w:bodyDiv w:val="1"/>
      <w:marLeft w:val="0"/>
      <w:marRight w:val="0"/>
      <w:marTop w:val="0"/>
      <w:marBottom w:val="0"/>
      <w:divBdr>
        <w:top w:val="none" w:sz="0" w:space="0" w:color="auto"/>
        <w:left w:val="none" w:sz="0" w:space="0" w:color="auto"/>
        <w:bottom w:val="none" w:sz="0" w:space="0" w:color="auto"/>
        <w:right w:val="none" w:sz="0" w:space="0" w:color="auto"/>
      </w:divBdr>
    </w:div>
    <w:div w:id="1533614085">
      <w:bodyDiv w:val="1"/>
      <w:marLeft w:val="0"/>
      <w:marRight w:val="0"/>
      <w:marTop w:val="0"/>
      <w:marBottom w:val="0"/>
      <w:divBdr>
        <w:top w:val="none" w:sz="0" w:space="0" w:color="auto"/>
        <w:left w:val="none" w:sz="0" w:space="0" w:color="auto"/>
        <w:bottom w:val="none" w:sz="0" w:space="0" w:color="auto"/>
        <w:right w:val="none" w:sz="0" w:space="0" w:color="auto"/>
      </w:divBdr>
    </w:div>
    <w:div w:id="1534535151">
      <w:bodyDiv w:val="1"/>
      <w:marLeft w:val="0"/>
      <w:marRight w:val="0"/>
      <w:marTop w:val="0"/>
      <w:marBottom w:val="0"/>
      <w:divBdr>
        <w:top w:val="none" w:sz="0" w:space="0" w:color="auto"/>
        <w:left w:val="none" w:sz="0" w:space="0" w:color="auto"/>
        <w:bottom w:val="none" w:sz="0" w:space="0" w:color="auto"/>
        <w:right w:val="none" w:sz="0" w:space="0" w:color="auto"/>
      </w:divBdr>
    </w:div>
    <w:div w:id="1540168377">
      <w:bodyDiv w:val="1"/>
      <w:marLeft w:val="0"/>
      <w:marRight w:val="0"/>
      <w:marTop w:val="0"/>
      <w:marBottom w:val="0"/>
      <w:divBdr>
        <w:top w:val="none" w:sz="0" w:space="0" w:color="auto"/>
        <w:left w:val="none" w:sz="0" w:space="0" w:color="auto"/>
        <w:bottom w:val="none" w:sz="0" w:space="0" w:color="auto"/>
        <w:right w:val="none" w:sz="0" w:space="0" w:color="auto"/>
      </w:divBdr>
    </w:div>
    <w:div w:id="1551722194">
      <w:bodyDiv w:val="1"/>
      <w:marLeft w:val="0"/>
      <w:marRight w:val="0"/>
      <w:marTop w:val="0"/>
      <w:marBottom w:val="0"/>
      <w:divBdr>
        <w:top w:val="none" w:sz="0" w:space="0" w:color="auto"/>
        <w:left w:val="none" w:sz="0" w:space="0" w:color="auto"/>
        <w:bottom w:val="none" w:sz="0" w:space="0" w:color="auto"/>
        <w:right w:val="none" w:sz="0" w:space="0" w:color="auto"/>
      </w:divBdr>
    </w:div>
    <w:div w:id="1570773674">
      <w:bodyDiv w:val="1"/>
      <w:marLeft w:val="0"/>
      <w:marRight w:val="0"/>
      <w:marTop w:val="0"/>
      <w:marBottom w:val="0"/>
      <w:divBdr>
        <w:top w:val="none" w:sz="0" w:space="0" w:color="auto"/>
        <w:left w:val="none" w:sz="0" w:space="0" w:color="auto"/>
        <w:bottom w:val="none" w:sz="0" w:space="0" w:color="auto"/>
        <w:right w:val="none" w:sz="0" w:space="0" w:color="auto"/>
      </w:divBdr>
    </w:div>
    <w:div w:id="1594513817">
      <w:bodyDiv w:val="1"/>
      <w:marLeft w:val="0"/>
      <w:marRight w:val="0"/>
      <w:marTop w:val="0"/>
      <w:marBottom w:val="0"/>
      <w:divBdr>
        <w:top w:val="none" w:sz="0" w:space="0" w:color="auto"/>
        <w:left w:val="none" w:sz="0" w:space="0" w:color="auto"/>
        <w:bottom w:val="none" w:sz="0" w:space="0" w:color="auto"/>
        <w:right w:val="none" w:sz="0" w:space="0" w:color="auto"/>
      </w:divBdr>
      <w:divsChild>
        <w:div w:id="1166432448">
          <w:marLeft w:val="0"/>
          <w:marRight w:val="0"/>
          <w:marTop w:val="0"/>
          <w:marBottom w:val="0"/>
          <w:divBdr>
            <w:top w:val="none" w:sz="0" w:space="0" w:color="auto"/>
            <w:left w:val="none" w:sz="0" w:space="0" w:color="auto"/>
            <w:bottom w:val="none" w:sz="0" w:space="0" w:color="auto"/>
            <w:right w:val="none" w:sz="0" w:space="0" w:color="auto"/>
          </w:divBdr>
          <w:divsChild>
            <w:div w:id="1368994137">
              <w:marLeft w:val="0"/>
              <w:marRight w:val="0"/>
              <w:marTop w:val="0"/>
              <w:marBottom w:val="0"/>
              <w:divBdr>
                <w:top w:val="none" w:sz="0" w:space="0" w:color="auto"/>
                <w:left w:val="none" w:sz="0" w:space="0" w:color="auto"/>
                <w:bottom w:val="none" w:sz="0" w:space="0" w:color="auto"/>
                <w:right w:val="none" w:sz="0" w:space="0" w:color="auto"/>
              </w:divBdr>
              <w:divsChild>
                <w:div w:id="574436861">
                  <w:marLeft w:val="0"/>
                  <w:marRight w:val="0"/>
                  <w:marTop w:val="0"/>
                  <w:marBottom w:val="0"/>
                  <w:divBdr>
                    <w:top w:val="none" w:sz="0" w:space="0" w:color="auto"/>
                    <w:left w:val="none" w:sz="0" w:space="0" w:color="auto"/>
                    <w:bottom w:val="none" w:sz="0" w:space="0" w:color="auto"/>
                    <w:right w:val="none" w:sz="0" w:space="0" w:color="auto"/>
                  </w:divBdr>
                  <w:divsChild>
                    <w:div w:id="477768294">
                      <w:marLeft w:val="0"/>
                      <w:marRight w:val="0"/>
                      <w:marTop w:val="0"/>
                      <w:marBottom w:val="0"/>
                      <w:divBdr>
                        <w:top w:val="none" w:sz="0" w:space="0" w:color="auto"/>
                        <w:left w:val="none" w:sz="0" w:space="0" w:color="auto"/>
                        <w:bottom w:val="none" w:sz="0" w:space="0" w:color="auto"/>
                        <w:right w:val="none" w:sz="0" w:space="0" w:color="auto"/>
                      </w:divBdr>
                      <w:divsChild>
                        <w:div w:id="944654151">
                          <w:marLeft w:val="0"/>
                          <w:marRight w:val="0"/>
                          <w:marTop w:val="0"/>
                          <w:marBottom w:val="0"/>
                          <w:divBdr>
                            <w:top w:val="none" w:sz="0" w:space="0" w:color="auto"/>
                            <w:left w:val="none" w:sz="0" w:space="0" w:color="auto"/>
                            <w:bottom w:val="none" w:sz="0" w:space="0" w:color="auto"/>
                            <w:right w:val="none" w:sz="0" w:space="0" w:color="auto"/>
                          </w:divBdr>
                          <w:divsChild>
                            <w:div w:id="1123813738">
                              <w:marLeft w:val="0"/>
                              <w:marRight w:val="0"/>
                              <w:marTop w:val="0"/>
                              <w:marBottom w:val="0"/>
                              <w:divBdr>
                                <w:top w:val="none" w:sz="0" w:space="0" w:color="auto"/>
                                <w:left w:val="none" w:sz="0" w:space="0" w:color="auto"/>
                                <w:bottom w:val="none" w:sz="0" w:space="0" w:color="auto"/>
                                <w:right w:val="none" w:sz="0" w:space="0" w:color="auto"/>
                              </w:divBdr>
                              <w:divsChild>
                                <w:div w:id="1323193081">
                                  <w:marLeft w:val="0"/>
                                  <w:marRight w:val="0"/>
                                  <w:marTop w:val="0"/>
                                  <w:marBottom w:val="0"/>
                                  <w:divBdr>
                                    <w:top w:val="none" w:sz="0" w:space="0" w:color="auto"/>
                                    <w:left w:val="none" w:sz="0" w:space="0" w:color="auto"/>
                                    <w:bottom w:val="none" w:sz="0" w:space="0" w:color="auto"/>
                                    <w:right w:val="none" w:sz="0" w:space="0" w:color="auto"/>
                                  </w:divBdr>
                                  <w:divsChild>
                                    <w:div w:id="32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047433">
      <w:bodyDiv w:val="1"/>
      <w:marLeft w:val="0"/>
      <w:marRight w:val="0"/>
      <w:marTop w:val="0"/>
      <w:marBottom w:val="0"/>
      <w:divBdr>
        <w:top w:val="none" w:sz="0" w:space="0" w:color="auto"/>
        <w:left w:val="none" w:sz="0" w:space="0" w:color="auto"/>
        <w:bottom w:val="none" w:sz="0" w:space="0" w:color="auto"/>
        <w:right w:val="none" w:sz="0" w:space="0" w:color="auto"/>
      </w:divBdr>
    </w:div>
    <w:div w:id="1597519665">
      <w:bodyDiv w:val="1"/>
      <w:marLeft w:val="0"/>
      <w:marRight w:val="0"/>
      <w:marTop w:val="0"/>
      <w:marBottom w:val="0"/>
      <w:divBdr>
        <w:top w:val="none" w:sz="0" w:space="0" w:color="auto"/>
        <w:left w:val="none" w:sz="0" w:space="0" w:color="auto"/>
        <w:bottom w:val="none" w:sz="0" w:space="0" w:color="auto"/>
        <w:right w:val="none" w:sz="0" w:space="0" w:color="auto"/>
      </w:divBdr>
    </w:div>
    <w:div w:id="1602831445">
      <w:bodyDiv w:val="1"/>
      <w:marLeft w:val="0"/>
      <w:marRight w:val="0"/>
      <w:marTop w:val="0"/>
      <w:marBottom w:val="0"/>
      <w:divBdr>
        <w:top w:val="none" w:sz="0" w:space="0" w:color="auto"/>
        <w:left w:val="none" w:sz="0" w:space="0" w:color="auto"/>
        <w:bottom w:val="none" w:sz="0" w:space="0" w:color="auto"/>
        <w:right w:val="none" w:sz="0" w:space="0" w:color="auto"/>
      </w:divBdr>
    </w:div>
    <w:div w:id="1624575874">
      <w:bodyDiv w:val="1"/>
      <w:marLeft w:val="0"/>
      <w:marRight w:val="0"/>
      <w:marTop w:val="0"/>
      <w:marBottom w:val="0"/>
      <w:divBdr>
        <w:top w:val="none" w:sz="0" w:space="0" w:color="auto"/>
        <w:left w:val="none" w:sz="0" w:space="0" w:color="auto"/>
        <w:bottom w:val="none" w:sz="0" w:space="0" w:color="auto"/>
        <w:right w:val="none" w:sz="0" w:space="0" w:color="auto"/>
      </w:divBdr>
    </w:div>
    <w:div w:id="1626428244">
      <w:bodyDiv w:val="1"/>
      <w:marLeft w:val="0"/>
      <w:marRight w:val="0"/>
      <w:marTop w:val="0"/>
      <w:marBottom w:val="0"/>
      <w:divBdr>
        <w:top w:val="none" w:sz="0" w:space="0" w:color="auto"/>
        <w:left w:val="none" w:sz="0" w:space="0" w:color="auto"/>
        <w:bottom w:val="none" w:sz="0" w:space="0" w:color="auto"/>
        <w:right w:val="none" w:sz="0" w:space="0" w:color="auto"/>
      </w:divBdr>
    </w:div>
    <w:div w:id="1670257710">
      <w:bodyDiv w:val="1"/>
      <w:marLeft w:val="0"/>
      <w:marRight w:val="0"/>
      <w:marTop w:val="0"/>
      <w:marBottom w:val="0"/>
      <w:divBdr>
        <w:top w:val="none" w:sz="0" w:space="0" w:color="auto"/>
        <w:left w:val="none" w:sz="0" w:space="0" w:color="auto"/>
        <w:bottom w:val="none" w:sz="0" w:space="0" w:color="auto"/>
        <w:right w:val="none" w:sz="0" w:space="0" w:color="auto"/>
      </w:divBdr>
    </w:div>
    <w:div w:id="1677269019">
      <w:bodyDiv w:val="1"/>
      <w:marLeft w:val="0"/>
      <w:marRight w:val="0"/>
      <w:marTop w:val="0"/>
      <w:marBottom w:val="0"/>
      <w:divBdr>
        <w:top w:val="none" w:sz="0" w:space="0" w:color="auto"/>
        <w:left w:val="none" w:sz="0" w:space="0" w:color="auto"/>
        <w:bottom w:val="none" w:sz="0" w:space="0" w:color="auto"/>
        <w:right w:val="none" w:sz="0" w:space="0" w:color="auto"/>
      </w:divBdr>
    </w:div>
    <w:div w:id="1680815142">
      <w:bodyDiv w:val="1"/>
      <w:marLeft w:val="0"/>
      <w:marRight w:val="0"/>
      <w:marTop w:val="0"/>
      <w:marBottom w:val="0"/>
      <w:divBdr>
        <w:top w:val="none" w:sz="0" w:space="0" w:color="auto"/>
        <w:left w:val="none" w:sz="0" w:space="0" w:color="auto"/>
        <w:bottom w:val="none" w:sz="0" w:space="0" w:color="auto"/>
        <w:right w:val="none" w:sz="0" w:space="0" w:color="auto"/>
      </w:divBdr>
    </w:div>
    <w:div w:id="1690832703">
      <w:bodyDiv w:val="1"/>
      <w:marLeft w:val="0"/>
      <w:marRight w:val="0"/>
      <w:marTop w:val="0"/>
      <w:marBottom w:val="0"/>
      <w:divBdr>
        <w:top w:val="none" w:sz="0" w:space="0" w:color="auto"/>
        <w:left w:val="none" w:sz="0" w:space="0" w:color="auto"/>
        <w:bottom w:val="none" w:sz="0" w:space="0" w:color="auto"/>
        <w:right w:val="none" w:sz="0" w:space="0" w:color="auto"/>
      </w:divBdr>
    </w:div>
    <w:div w:id="1725173312">
      <w:bodyDiv w:val="1"/>
      <w:marLeft w:val="0"/>
      <w:marRight w:val="0"/>
      <w:marTop w:val="0"/>
      <w:marBottom w:val="0"/>
      <w:divBdr>
        <w:top w:val="none" w:sz="0" w:space="0" w:color="auto"/>
        <w:left w:val="none" w:sz="0" w:space="0" w:color="auto"/>
        <w:bottom w:val="none" w:sz="0" w:space="0" w:color="auto"/>
        <w:right w:val="none" w:sz="0" w:space="0" w:color="auto"/>
      </w:divBdr>
    </w:div>
    <w:div w:id="1727994082">
      <w:bodyDiv w:val="1"/>
      <w:marLeft w:val="0"/>
      <w:marRight w:val="0"/>
      <w:marTop w:val="0"/>
      <w:marBottom w:val="0"/>
      <w:divBdr>
        <w:top w:val="none" w:sz="0" w:space="0" w:color="auto"/>
        <w:left w:val="none" w:sz="0" w:space="0" w:color="auto"/>
        <w:bottom w:val="none" w:sz="0" w:space="0" w:color="auto"/>
        <w:right w:val="none" w:sz="0" w:space="0" w:color="auto"/>
      </w:divBdr>
    </w:div>
    <w:div w:id="1747871660">
      <w:bodyDiv w:val="1"/>
      <w:marLeft w:val="0"/>
      <w:marRight w:val="0"/>
      <w:marTop w:val="0"/>
      <w:marBottom w:val="0"/>
      <w:divBdr>
        <w:top w:val="none" w:sz="0" w:space="0" w:color="auto"/>
        <w:left w:val="none" w:sz="0" w:space="0" w:color="auto"/>
        <w:bottom w:val="none" w:sz="0" w:space="0" w:color="auto"/>
        <w:right w:val="none" w:sz="0" w:space="0" w:color="auto"/>
      </w:divBdr>
    </w:div>
    <w:div w:id="1748962890">
      <w:bodyDiv w:val="1"/>
      <w:marLeft w:val="0"/>
      <w:marRight w:val="0"/>
      <w:marTop w:val="0"/>
      <w:marBottom w:val="0"/>
      <w:divBdr>
        <w:top w:val="none" w:sz="0" w:space="0" w:color="auto"/>
        <w:left w:val="none" w:sz="0" w:space="0" w:color="auto"/>
        <w:bottom w:val="none" w:sz="0" w:space="0" w:color="auto"/>
        <w:right w:val="none" w:sz="0" w:space="0" w:color="auto"/>
      </w:divBdr>
      <w:divsChild>
        <w:div w:id="1777481858">
          <w:marLeft w:val="547"/>
          <w:marRight w:val="0"/>
          <w:marTop w:val="115"/>
          <w:marBottom w:val="0"/>
          <w:divBdr>
            <w:top w:val="none" w:sz="0" w:space="0" w:color="auto"/>
            <w:left w:val="none" w:sz="0" w:space="0" w:color="auto"/>
            <w:bottom w:val="none" w:sz="0" w:space="0" w:color="auto"/>
            <w:right w:val="none" w:sz="0" w:space="0" w:color="auto"/>
          </w:divBdr>
        </w:div>
      </w:divsChild>
    </w:div>
    <w:div w:id="1765296286">
      <w:bodyDiv w:val="1"/>
      <w:marLeft w:val="0"/>
      <w:marRight w:val="0"/>
      <w:marTop w:val="0"/>
      <w:marBottom w:val="0"/>
      <w:divBdr>
        <w:top w:val="none" w:sz="0" w:space="0" w:color="auto"/>
        <w:left w:val="none" w:sz="0" w:space="0" w:color="auto"/>
        <w:bottom w:val="none" w:sz="0" w:space="0" w:color="auto"/>
        <w:right w:val="none" w:sz="0" w:space="0" w:color="auto"/>
      </w:divBdr>
    </w:div>
    <w:div w:id="1782259581">
      <w:bodyDiv w:val="1"/>
      <w:marLeft w:val="0"/>
      <w:marRight w:val="0"/>
      <w:marTop w:val="0"/>
      <w:marBottom w:val="0"/>
      <w:divBdr>
        <w:top w:val="none" w:sz="0" w:space="0" w:color="auto"/>
        <w:left w:val="none" w:sz="0" w:space="0" w:color="auto"/>
        <w:bottom w:val="none" w:sz="0" w:space="0" w:color="auto"/>
        <w:right w:val="none" w:sz="0" w:space="0" w:color="auto"/>
      </w:divBdr>
    </w:div>
    <w:div w:id="1788620992">
      <w:bodyDiv w:val="1"/>
      <w:marLeft w:val="0"/>
      <w:marRight w:val="0"/>
      <w:marTop w:val="0"/>
      <w:marBottom w:val="0"/>
      <w:divBdr>
        <w:top w:val="none" w:sz="0" w:space="0" w:color="auto"/>
        <w:left w:val="none" w:sz="0" w:space="0" w:color="auto"/>
        <w:bottom w:val="none" w:sz="0" w:space="0" w:color="auto"/>
        <w:right w:val="none" w:sz="0" w:space="0" w:color="auto"/>
      </w:divBdr>
    </w:div>
    <w:div w:id="1788812556">
      <w:bodyDiv w:val="1"/>
      <w:marLeft w:val="0"/>
      <w:marRight w:val="0"/>
      <w:marTop w:val="0"/>
      <w:marBottom w:val="0"/>
      <w:divBdr>
        <w:top w:val="none" w:sz="0" w:space="0" w:color="auto"/>
        <w:left w:val="none" w:sz="0" w:space="0" w:color="auto"/>
        <w:bottom w:val="none" w:sz="0" w:space="0" w:color="auto"/>
        <w:right w:val="none" w:sz="0" w:space="0" w:color="auto"/>
      </w:divBdr>
    </w:div>
    <w:div w:id="1817142675">
      <w:bodyDiv w:val="1"/>
      <w:marLeft w:val="0"/>
      <w:marRight w:val="0"/>
      <w:marTop w:val="0"/>
      <w:marBottom w:val="0"/>
      <w:divBdr>
        <w:top w:val="none" w:sz="0" w:space="0" w:color="auto"/>
        <w:left w:val="none" w:sz="0" w:space="0" w:color="auto"/>
        <w:bottom w:val="none" w:sz="0" w:space="0" w:color="auto"/>
        <w:right w:val="none" w:sz="0" w:space="0" w:color="auto"/>
      </w:divBdr>
    </w:div>
    <w:div w:id="1836413441">
      <w:bodyDiv w:val="1"/>
      <w:marLeft w:val="0"/>
      <w:marRight w:val="0"/>
      <w:marTop w:val="0"/>
      <w:marBottom w:val="0"/>
      <w:divBdr>
        <w:top w:val="none" w:sz="0" w:space="0" w:color="auto"/>
        <w:left w:val="none" w:sz="0" w:space="0" w:color="auto"/>
        <w:bottom w:val="none" w:sz="0" w:space="0" w:color="auto"/>
        <w:right w:val="none" w:sz="0" w:space="0" w:color="auto"/>
      </w:divBdr>
    </w:div>
    <w:div w:id="1861044541">
      <w:bodyDiv w:val="1"/>
      <w:marLeft w:val="0"/>
      <w:marRight w:val="0"/>
      <w:marTop w:val="0"/>
      <w:marBottom w:val="0"/>
      <w:divBdr>
        <w:top w:val="none" w:sz="0" w:space="0" w:color="auto"/>
        <w:left w:val="none" w:sz="0" w:space="0" w:color="auto"/>
        <w:bottom w:val="none" w:sz="0" w:space="0" w:color="auto"/>
        <w:right w:val="none" w:sz="0" w:space="0" w:color="auto"/>
      </w:divBdr>
    </w:div>
    <w:div w:id="1866597574">
      <w:bodyDiv w:val="1"/>
      <w:marLeft w:val="0"/>
      <w:marRight w:val="0"/>
      <w:marTop w:val="0"/>
      <w:marBottom w:val="0"/>
      <w:divBdr>
        <w:top w:val="none" w:sz="0" w:space="0" w:color="auto"/>
        <w:left w:val="none" w:sz="0" w:space="0" w:color="auto"/>
        <w:bottom w:val="none" w:sz="0" w:space="0" w:color="auto"/>
        <w:right w:val="none" w:sz="0" w:space="0" w:color="auto"/>
      </w:divBdr>
    </w:div>
    <w:div w:id="1874079147">
      <w:bodyDiv w:val="1"/>
      <w:marLeft w:val="0"/>
      <w:marRight w:val="0"/>
      <w:marTop w:val="0"/>
      <w:marBottom w:val="0"/>
      <w:divBdr>
        <w:top w:val="none" w:sz="0" w:space="0" w:color="auto"/>
        <w:left w:val="none" w:sz="0" w:space="0" w:color="auto"/>
        <w:bottom w:val="none" w:sz="0" w:space="0" w:color="auto"/>
        <w:right w:val="none" w:sz="0" w:space="0" w:color="auto"/>
      </w:divBdr>
    </w:div>
    <w:div w:id="1878656803">
      <w:bodyDiv w:val="1"/>
      <w:marLeft w:val="0"/>
      <w:marRight w:val="0"/>
      <w:marTop w:val="0"/>
      <w:marBottom w:val="0"/>
      <w:divBdr>
        <w:top w:val="none" w:sz="0" w:space="0" w:color="auto"/>
        <w:left w:val="none" w:sz="0" w:space="0" w:color="auto"/>
        <w:bottom w:val="none" w:sz="0" w:space="0" w:color="auto"/>
        <w:right w:val="none" w:sz="0" w:space="0" w:color="auto"/>
      </w:divBdr>
    </w:div>
    <w:div w:id="1882474841">
      <w:bodyDiv w:val="1"/>
      <w:marLeft w:val="0"/>
      <w:marRight w:val="0"/>
      <w:marTop w:val="0"/>
      <w:marBottom w:val="0"/>
      <w:divBdr>
        <w:top w:val="none" w:sz="0" w:space="0" w:color="auto"/>
        <w:left w:val="none" w:sz="0" w:space="0" w:color="auto"/>
        <w:bottom w:val="none" w:sz="0" w:space="0" w:color="auto"/>
        <w:right w:val="none" w:sz="0" w:space="0" w:color="auto"/>
      </w:divBdr>
    </w:div>
    <w:div w:id="1885630103">
      <w:bodyDiv w:val="1"/>
      <w:marLeft w:val="0"/>
      <w:marRight w:val="0"/>
      <w:marTop w:val="0"/>
      <w:marBottom w:val="0"/>
      <w:divBdr>
        <w:top w:val="none" w:sz="0" w:space="0" w:color="auto"/>
        <w:left w:val="none" w:sz="0" w:space="0" w:color="auto"/>
        <w:bottom w:val="none" w:sz="0" w:space="0" w:color="auto"/>
        <w:right w:val="none" w:sz="0" w:space="0" w:color="auto"/>
      </w:divBdr>
    </w:div>
    <w:div w:id="1898322696">
      <w:bodyDiv w:val="1"/>
      <w:marLeft w:val="0"/>
      <w:marRight w:val="0"/>
      <w:marTop w:val="0"/>
      <w:marBottom w:val="0"/>
      <w:divBdr>
        <w:top w:val="none" w:sz="0" w:space="0" w:color="auto"/>
        <w:left w:val="none" w:sz="0" w:space="0" w:color="auto"/>
        <w:bottom w:val="none" w:sz="0" w:space="0" w:color="auto"/>
        <w:right w:val="none" w:sz="0" w:space="0" w:color="auto"/>
      </w:divBdr>
    </w:div>
    <w:div w:id="1907059511">
      <w:bodyDiv w:val="1"/>
      <w:marLeft w:val="0"/>
      <w:marRight w:val="0"/>
      <w:marTop w:val="0"/>
      <w:marBottom w:val="0"/>
      <w:divBdr>
        <w:top w:val="none" w:sz="0" w:space="0" w:color="auto"/>
        <w:left w:val="none" w:sz="0" w:space="0" w:color="auto"/>
        <w:bottom w:val="none" w:sz="0" w:space="0" w:color="auto"/>
        <w:right w:val="none" w:sz="0" w:space="0" w:color="auto"/>
      </w:divBdr>
    </w:div>
    <w:div w:id="1908802555">
      <w:bodyDiv w:val="1"/>
      <w:marLeft w:val="0"/>
      <w:marRight w:val="0"/>
      <w:marTop w:val="0"/>
      <w:marBottom w:val="0"/>
      <w:divBdr>
        <w:top w:val="none" w:sz="0" w:space="0" w:color="auto"/>
        <w:left w:val="none" w:sz="0" w:space="0" w:color="auto"/>
        <w:bottom w:val="none" w:sz="0" w:space="0" w:color="auto"/>
        <w:right w:val="none" w:sz="0" w:space="0" w:color="auto"/>
      </w:divBdr>
    </w:div>
    <w:div w:id="1935429646">
      <w:bodyDiv w:val="1"/>
      <w:marLeft w:val="0"/>
      <w:marRight w:val="0"/>
      <w:marTop w:val="0"/>
      <w:marBottom w:val="0"/>
      <w:divBdr>
        <w:top w:val="none" w:sz="0" w:space="0" w:color="auto"/>
        <w:left w:val="none" w:sz="0" w:space="0" w:color="auto"/>
        <w:bottom w:val="none" w:sz="0" w:space="0" w:color="auto"/>
        <w:right w:val="none" w:sz="0" w:space="0" w:color="auto"/>
      </w:divBdr>
    </w:div>
    <w:div w:id="2029868814">
      <w:bodyDiv w:val="1"/>
      <w:marLeft w:val="0"/>
      <w:marRight w:val="0"/>
      <w:marTop w:val="0"/>
      <w:marBottom w:val="0"/>
      <w:divBdr>
        <w:top w:val="none" w:sz="0" w:space="0" w:color="auto"/>
        <w:left w:val="none" w:sz="0" w:space="0" w:color="auto"/>
        <w:bottom w:val="none" w:sz="0" w:space="0" w:color="auto"/>
        <w:right w:val="none" w:sz="0" w:space="0" w:color="auto"/>
      </w:divBdr>
    </w:div>
    <w:div w:id="2041927935">
      <w:bodyDiv w:val="1"/>
      <w:marLeft w:val="0"/>
      <w:marRight w:val="0"/>
      <w:marTop w:val="0"/>
      <w:marBottom w:val="0"/>
      <w:divBdr>
        <w:top w:val="none" w:sz="0" w:space="0" w:color="auto"/>
        <w:left w:val="none" w:sz="0" w:space="0" w:color="auto"/>
        <w:bottom w:val="none" w:sz="0" w:space="0" w:color="auto"/>
        <w:right w:val="none" w:sz="0" w:space="0" w:color="auto"/>
      </w:divBdr>
    </w:div>
    <w:div w:id="2054846668">
      <w:bodyDiv w:val="1"/>
      <w:marLeft w:val="0"/>
      <w:marRight w:val="0"/>
      <w:marTop w:val="0"/>
      <w:marBottom w:val="0"/>
      <w:divBdr>
        <w:top w:val="none" w:sz="0" w:space="0" w:color="auto"/>
        <w:left w:val="none" w:sz="0" w:space="0" w:color="auto"/>
        <w:bottom w:val="none" w:sz="0" w:space="0" w:color="auto"/>
        <w:right w:val="none" w:sz="0" w:space="0" w:color="auto"/>
      </w:divBdr>
    </w:div>
    <w:div w:id="2090615446">
      <w:bodyDiv w:val="1"/>
      <w:marLeft w:val="0"/>
      <w:marRight w:val="0"/>
      <w:marTop w:val="0"/>
      <w:marBottom w:val="0"/>
      <w:divBdr>
        <w:top w:val="none" w:sz="0" w:space="0" w:color="auto"/>
        <w:left w:val="none" w:sz="0" w:space="0" w:color="auto"/>
        <w:bottom w:val="none" w:sz="0" w:space="0" w:color="auto"/>
        <w:right w:val="none" w:sz="0" w:space="0" w:color="auto"/>
      </w:divBdr>
    </w:div>
    <w:div w:id="2115709192">
      <w:bodyDiv w:val="1"/>
      <w:marLeft w:val="0"/>
      <w:marRight w:val="0"/>
      <w:marTop w:val="0"/>
      <w:marBottom w:val="0"/>
      <w:divBdr>
        <w:top w:val="none" w:sz="0" w:space="0" w:color="auto"/>
        <w:left w:val="none" w:sz="0" w:space="0" w:color="auto"/>
        <w:bottom w:val="none" w:sz="0" w:space="0" w:color="auto"/>
        <w:right w:val="none" w:sz="0" w:space="0" w:color="auto"/>
      </w:divBdr>
    </w:div>
    <w:div w:id="2124349474">
      <w:bodyDiv w:val="1"/>
      <w:marLeft w:val="0"/>
      <w:marRight w:val="0"/>
      <w:marTop w:val="0"/>
      <w:marBottom w:val="0"/>
      <w:divBdr>
        <w:top w:val="none" w:sz="0" w:space="0" w:color="auto"/>
        <w:left w:val="none" w:sz="0" w:space="0" w:color="auto"/>
        <w:bottom w:val="none" w:sz="0" w:space="0" w:color="auto"/>
        <w:right w:val="none" w:sz="0" w:space="0" w:color="auto"/>
      </w:divBdr>
    </w:div>
    <w:div w:id="2130463744">
      <w:bodyDiv w:val="1"/>
      <w:marLeft w:val="0"/>
      <w:marRight w:val="0"/>
      <w:marTop w:val="0"/>
      <w:marBottom w:val="0"/>
      <w:divBdr>
        <w:top w:val="none" w:sz="0" w:space="0" w:color="auto"/>
        <w:left w:val="none" w:sz="0" w:space="0" w:color="auto"/>
        <w:bottom w:val="none" w:sz="0" w:space="0" w:color="auto"/>
        <w:right w:val="none" w:sz="0" w:space="0" w:color="auto"/>
      </w:divBdr>
    </w:div>
    <w:div w:id="2131706581">
      <w:bodyDiv w:val="1"/>
      <w:marLeft w:val="0"/>
      <w:marRight w:val="0"/>
      <w:marTop w:val="0"/>
      <w:marBottom w:val="0"/>
      <w:divBdr>
        <w:top w:val="none" w:sz="0" w:space="0" w:color="auto"/>
        <w:left w:val="none" w:sz="0" w:space="0" w:color="auto"/>
        <w:bottom w:val="none" w:sz="0" w:space="0" w:color="auto"/>
        <w:right w:val="none" w:sz="0" w:space="0" w:color="auto"/>
      </w:divBdr>
    </w:div>
    <w:div w:id="2141028175">
      <w:bodyDiv w:val="1"/>
      <w:marLeft w:val="0"/>
      <w:marRight w:val="0"/>
      <w:marTop w:val="0"/>
      <w:marBottom w:val="0"/>
      <w:divBdr>
        <w:top w:val="none" w:sz="0" w:space="0" w:color="auto"/>
        <w:left w:val="none" w:sz="0" w:space="0" w:color="auto"/>
        <w:bottom w:val="none" w:sz="0" w:space="0" w:color="auto"/>
        <w:right w:val="none" w:sz="0" w:space="0" w:color="auto"/>
      </w:divBdr>
    </w:div>
    <w:div w:id="21419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hyperlink" Target="mailto:elina.gusare@fm.gov.lv" TargetMode="Externa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4072-6D44-4A27-8C5C-4C7910C77518}">
  <ds:schemaRefs>
    <ds:schemaRef ds:uri="http://schemas.openxmlformats.org/officeDocument/2006/bibliography"/>
  </ds:schemaRefs>
</ds:datastoreItem>
</file>

<file path=customXml/itemProps10.xml><?xml version="1.0" encoding="utf-8"?>
<ds:datastoreItem xmlns:ds="http://schemas.openxmlformats.org/officeDocument/2006/customXml" ds:itemID="{125338B1-1C0C-4C63-ADFD-3DC71DB48227}">
  <ds:schemaRefs>
    <ds:schemaRef ds:uri="http://schemas.openxmlformats.org/officeDocument/2006/bibliography"/>
  </ds:schemaRefs>
</ds:datastoreItem>
</file>

<file path=customXml/itemProps11.xml><?xml version="1.0" encoding="utf-8"?>
<ds:datastoreItem xmlns:ds="http://schemas.openxmlformats.org/officeDocument/2006/customXml" ds:itemID="{E4333826-0C9E-4B25-8F0F-9957852CDCCC}">
  <ds:schemaRefs>
    <ds:schemaRef ds:uri="http://schemas.openxmlformats.org/officeDocument/2006/bibliography"/>
  </ds:schemaRefs>
</ds:datastoreItem>
</file>

<file path=customXml/itemProps12.xml><?xml version="1.0" encoding="utf-8"?>
<ds:datastoreItem xmlns:ds="http://schemas.openxmlformats.org/officeDocument/2006/customXml" ds:itemID="{0D7CFB66-4890-2142-956A-9C7D2372DE58}">
  <ds:schemaRefs>
    <ds:schemaRef ds:uri="http://schemas.openxmlformats.org/officeDocument/2006/bibliography"/>
  </ds:schemaRefs>
</ds:datastoreItem>
</file>

<file path=customXml/itemProps13.xml><?xml version="1.0" encoding="utf-8"?>
<ds:datastoreItem xmlns:ds="http://schemas.openxmlformats.org/officeDocument/2006/customXml" ds:itemID="{6A0E644A-E095-4672-B4E0-61291BADFD1C}">
  <ds:schemaRefs>
    <ds:schemaRef ds:uri="http://schemas.openxmlformats.org/officeDocument/2006/bibliography"/>
  </ds:schemaRefs>
</ds:datastoreItem>
</file>

<file path=customXml/itemProps14.xml><?xml version="1.0" encoding="utf-8"?>
<ds:datastoreItem xmlns:ds="http://schemas.openxmlformats.org/officeDocument/2006/customXml" ds:itemID="{65E4EE30-E66F-4775-8284-60CC0B0CFB02}">
  <ds:schemaRefs>
    <ds:schemaRef ds:uri="http://schemas.openxmlformats.org/officeDocument/2006/bibliography"/>
  </ds:schemaRefs>
</ds:datastoreItem>
</file>

<file path=customXml/itemProps15.xml><?xml version="1.0" encoding="utf-8"?>
<ds:datastoreItem xmlns:ds="http://schemas.openxmlformats.org/officeDocument/2006/customXml" ds:itemID="{B29ADCC4-797F-473E-9D68-425A252F3A4A}">
  <ds:schemaRefs>
    <ds:schemaRef ds:uri="http://schemas.openxmlformats.org/officeDocument/2006/bibliography"/>
  </ds:schemaRefs>
</ds:datastoreItem>
</file>

<file path=customXml/itemProps16.xml><?xml version="1.0" encoding="utf-8"?>
<ds:datastoreItem xmlns:ds="http://schemas.openxmlformats.org/officeDocument/2006/customXml" ds:itemID="{DD9F9391-245C-451C-9CA7-E89AF22E010B}">
  <ds:schemaRefs>
    <ds:schemaRef ds:uri="http://schemas.openxmlformats.org/officeDocument/2006/bibliography"/>
  </ds:schemaRefs>
</ds:datastoreItem>
</file>

<file path=customXml/itemProps17.xml><?xml version="1.0" encoding="utf-8"?>
<ds:datastoreItem xmlns:ds="http://schemas.openxmlformats.org/officeDocument/2006/customXml" ds:itemID="{1EE645AE-9F90-334D-B3BD-F7E31094C520}">
  <ds:schemaRefs>
    <ds:schemaRef ds:uri="http://schemas.openxmlformats.org/officeDocument/2006/bibliography"/>
  </ds:schemaRefs>
</ds:datastoreItem>
</file>

<file path=customXml/itemProps18.xml><?xml version="1.0" encoding="utf-8"?>
<ds:datastoreItem xmlns:ds="http://schemas.openxmlformats.org/officeDocument/2006/customXml" ds:itemID="{6E5F823D-E562-418A-BEBA-3A6A3F340350}">
  <ds:schemaRefs>
    <ds:schemaRef ds:uri="http://schemas.openxmlformats.org/officeDocument/2006/bibliography"/>
  </ds:schemaRefs>
</ds:datastoreItem>
</file>

<file path=customXml/itemProps19.xml><?xml version="1.0" encoding="utf-8"?>
<ds:datastoreItem xmlns:ds="http://schemas.openxmlformats.org/officeDocument/2006/customXml" ds:itemID="{0CA1D545-8ADF-2740-8D39-8919017BD46F}">
  <ds:schemaRefs>
    <ds:schemaRef ds:uri="http://schemas.openxmlformats.org/officeDocument/2006/bibliography"/>
  </ds:schemaRefs>
</ds:datastoreItem>
</file>

<file path=customXml/itemProps2.xml><?xml version="1.0" encoding="utf-8"?>
<ds:datastoreItem xmlns:ds="http://schemas.openxmlformats.org/officeDocument/2006/customXml" ds:itemID="{F299013B-ED06-4462-84B4-F77E18E0A73A}">
  <ds:schemaRefs>
    <ds:schemaRef ds:uri="http://schemas.openxmlformats.org/officeDocument/2006/bibliography"/>
  </ds:schemaRefs>
</ds:datastoreItem>
</file>

<file path=customXml/itemProps20.xml><?xml version="1.0" encoding="utf-8"?>
<ds:datastoreItem xmlns:ds="http://schemas.openxmlformats.org/officeDocument/2006/customXml" ds:itemID="{FB90D9E4-18D9-4183-A48F-EA381435F2F3}">
  <ds:schemaRefs>
    <ds:schemaRef ds:uri="http://schemas.openxmlformats.org/officeDocument/2006/bibliography"/>
  </ds:schemaRefs>
</ds:datastoreItem>
</file>

<file path=customXml/itemProps21.xml><?xml version="1.0" encoding="utf-8"?>
<ds:datastoreItem xmlns:ds="http://schemas.openxmlformats.org/officeDocument/2006/customXml" ds:itemID="{43CAC643-E018-4175-9C3F-92801F4E345D}">
  <ds:schemaRefs>
    <ds:schemaRef ds:uri="http://schemas.openxmlformats.org/officeDocument/2006/bibliography"/>
  </ds:schemaRefs>
</ds:datastoreItem>
</file>

<file path=customXml/itemProps22.xml><?xml version="1.0" encoding="utf-8"?>
<ds:datastoreItem xmlns:ds="http://schemas.openxmlformats.org/officeDocument/2006/customXml" ds:itemID="{73ED510B-A4BE-48DB-AFB0-636E8A57CE5B}">
  <ds:schemaRefs>
    <ds:schemaRef ds:uri="http://schemas.openxmlformats.org/officeDocument/2006/bibliography"/>
  </ds:schemaRefs>
</ds:datastoreItem>
</file>

<file path=customXml/itemProps23.xml><?xml version="1.0" encoding="utf-8"?>
<ds:datastoreItem xmlns:ds="http://schemas.openxmlformats.org/officeDocument/2006/customXml" ds:itemID="{934D61EA-D657-4A8C-8AC1-5EC89C01D967}">
  <ds:schemaRefs>
    <ds:schemaRef ds:uri="http://schemas.openxmlformats.org/officeDocument/2006/bibliography"/>
  </ds:schemaRefs>
</ds:datastoreItem>
</file>

<file path=customXml/itemProps24.xml><?xml version="1.0" encoding="utf-8"?>
<ds:datastoreItem xmlns:ds="http://schemas.openxmlformats.org/officeDocument/2006/customXml" ds:itemID="{DBB387F8-4734-44AD-A358-0FEE7193F19E}">
  <ds:schemaRefs>
    <ds:schemaRef ds:uri="http://schemas.openxmlformats.org/officeDocument/2006/bibliography"/>
  </ds:schemaRefs>
</ds:datastoreItem>
</file>

<file path=customXml/itemProps25.xml><?xml version="1.0" encoding="utf-8"?>
<ds:datastoreItem xmlns:ds="http://schemas.openxmlformats.org/officeDocument/2006/customXml" ds:itemID="{C6558560-7844-44C9-B632-E3DBC70247DF}">
  <ds:schemaRefs>
    <ds:schemaRef ds:uri="http://schemas.openxmlformats.org/officeDocument/2006/bibliography"/>
  </ds:schemaRefs>
</ds:datastoreItem>
</file>

<file path=customXml/itemProps26.xml><?xml version="1.0" encoding="utf-8"?>
<ds:datastoreItem xmlns:ds="http://schemas.openxmlformats.org/officeDocument/2006/customXml" ds:itemID="{BE96B84E-2E96-4503-9CBB-719DFBA8F1B8}">
  <ds:schemaRefs>
    <ds:schemaRef ds:uri="http://schemas.openxmlformats.org/officeDocument/2006/bibliography"/>
  </ds:schemaRefs>
</ds:datastoreItem>
</file>

<file path=customXml/itemProps27.xml><?xml version="1.0" encoding="utf-8"?>
<ds:datastoreItem xmlns:ds="http://schemas.openxmlformats.org/officeDocument/2006/customXml" ds:itemID="{9EDC1B94-C0F7-4068-89A0-A545810550F7}">
  <ds:schemaRefs>
    <ds:schemaRef ds:uri="http://schemas.openxmlformats.org/officeDocument/2006/bibliography"/>
  </ds:schemaRefs>
</ds:datastoreItem>
</file>

<file path=customXml/itemProps28.xml><?xml version="1.0" encoding="utf-8"?>
<ds:datastoreItem xmlns:ds="http://schemas.openxmlformats.org/officeDocument/2006/customXml" ds:itemID="{4CCBCD78-49D4-4018-81F6-691405C54BC2}">
  <ds:schemaRefs>
    <ds:schemaRef ds:uri="http://schemas.openxmlformats.org/officeDocument/2006/bibliography"/>
  </ds:schemaRefs>
</ds:datastoreItem>
</file>

<file path=customXml/itemProps29.xml><?xml version="1.0" encoding="utf-8"?>
<ds:datastoreItem xmlns:ds="http://schemas.openxmlformats.org/officeDocument/2006/customXml" ds:itemID="{FF63CC38-D748-4387-8325-50F747DD6E2D}">
  <ds:schemaRefs>
    <ds:schemaRef ds:uri="http://schemas.openxmlformats.org/officeDocument/2006/bibliography"/>
  </ds:schemaRefs>
</ds:datastoreItem>
</file>

<file path=customXml/itemProps3.xml><?xml version="1.0" encoding="utf-8"?>
<ds:datastoreItem xmlns:ds="http://schemas.openxmlformats.org/officeDocument/2006/customXml" ds:itemID="{A9DF23AE-2D58-41DF-848F-106E6C7257A4}">
  <ds:schemaRefs>
    <ds:schemaRef ds:uri="http://schemas.openxmlformats.org/officeDocument/2006/bibliography"/>
  </ds:schemaRefs>
</ds:datastoreItem>
</file>

<file path=customXml/itemProps30.xml><?xml version="1.0" encoding="utf-8"?>
<ds:datastoreItem xmlns:ds="http://schemas.openxmlformats.org/officeDocument/2006/customXml" ds:itemID="{0FA7B2E7-1E6C-4BDF-90A9-22623550C262}">
  <ds:schemaRefs>
    <ds:schemaRef ds:uri="http://schemas.openxmlformats.org/officeDocument/2006/bibliography"/>
  </ds:schemaRefs>
</ds:datastoreItem>
</file>

<file path=customXml/itemProps31.xml><?xml version="1.0" encoding="utf-8"?>
<ds:datastoreItem xmlns:ds="http://schemas.openxmlformats.org/officeDocument/2006/customXml" ds:itemID="{32D12E10-0983-46EA-9F80-1FA53D50F6FE}">
  <ds:schemaRefs>
    <ds:schemaRef ds:uri="http://schemas.openxmlformats.org/officeDocument/2006/bibliography"/>
  </ds:schemaRefs>
</ds:datastoreItem>
</file>

<file path=customXml/itemProps32.xml><?xml version="1.0" encoding="utf-8"?>
<ds:datastoreItem xmlns:ds="http://schemas.openxmlformats.org/officeDocument/2006/customXml" ds:itemID="{63D863DC-5683-456B-821F-DF2D603FA0AB}">
  <ds:schemaRefs>
    <ds:schemaRef ds:uri="http://schemas.openxmlformats.org/officeDocument/2006/bibliography"/>
  </ds:schemaRefs>
</ds:datastoreItem>
</file>

<file path=customXml/itemProps33.xml><?xml version="1.0" encoding="utf-8"?>
<ds:datastoreItem xmlns:ds="http://schemas.openxmlformats.org/officeDocument/2006/customXml" ds:itemID="{162F0AC5-CDB7-45CA-898E-20623D70C7D9}">
  <ds:schemaRefs>
    <ds:schemaRef ds:uri="http://schemas.openxmlformats.org/officeDocument/2006/bibliography"/>
  </ds:schemaRefs>
</ds:datastoreItem>
</file>

<file path=customXml/itemProps34.xml><?xml version="1.0" encoding="utf-8"?>
<ds:datastoreItem xmlns:ds="http://schemas.openxmlformats.org/officeDocument/2006/customXml" ds:itemID="{1679D2F9-D090-4B1B-BC41-A1CA92B52FAE}">
  <ds:schemaRefs>
    <ds:schemaRef ds:uri="http://schemas.openxmlformats.org/officeDocument/2006/bibliography"/>
  </ds:schemaRefs>
</ds:datastoreItem>
</file>

<file path=customXml/itemProps35.xml><?xml version="1.0" encoding="utf-8"?>
<ds:datastoreItem xmlns:ds="http://schemas.openxmlformats.org/officeDocument/2006/customXml" ds:itemID="{73CDE8B6-463D-4511-AF68-43E27089D769}">
  <ds:schemaRefs>
    <ds:schemaRef ds:uri="http://schemas.openxmlformats.org/officeDocument/2006/bibliography"/>
  </ds:schemaRefs>
</ds:datastoreItem>
</file>

<file path=customXml/itemProps36.xml><?xml version="1.0" encoding="utf-8"?>
<ds:datastoreItem xmlns:ds="http://schemas.openxmlformats.org/officeDocument/2006/customXml" ds:itemID="{0AE3EECA-9038-45C1-996F-A24EBB9929EA}">
  <ds:schemaRefs>
    <ds:schemaRef ds:uri="http://schemas.openxmlformats.org/officeDocument/2006/bibliography"/>
  </ds:schemaRefs>
</ds:datastoreItem>
</file>

<file path=customXml/itemProps37.xml><?xml version="1.0" encoding="utf-8"?>
<ds:datastoreItem xmlns:ds="http://schemas.openxmlformats.org/officeDocument/2006/customXml" ds:itemID="{15DFF641-343A-428C-A3D2-57D102BD132C}">
  <ds:schemaRefs>
    <ds:schemaRef ds:uri="http://schemas.openxmlformats.org/officeDocument/2006/bibliography"/>
  </ds:schemaRefs>
</ds:datastoreItem>
</file>

<file path=customXml/itemProps38.xml><?xml version="1.0" encoding="utf-8"?>
<ds:datastoreItem xmlns:ds="http://schemas.openxmlformats.org/officeDocument/2006/customXml" ds:itemID="{1548C039-7492-42FF-A44F-1B468CED156B}">
  <ds:schemaRefs>
    <ds:schemaRef ds:uri="http://schemas.openxmlformats.org/officeDocument/2006/bibliography"/>
  </ds:schemaRefs>
</ds:datastoreItem>
</file>

<file path=customXml/itemProps39.xml><?xml version="1.0" encoding="utf-8"?>
<ds:datastoreItem xmlns:ds="http://schemas.openxmlformats.org/officeDocument/2006/customXml" ds:itemID="{FC55E18C-F280-4547-8387-C15594EBB6D8}">
  <ds:schemaRefs>
    <ds:schemaRef ds:uri="http://schemas.openxmlformats.org/officeDocument/2006/bibliography"/>
  </ds:schemaRefs>
</ds:datastoreItem>
</file>

<file path=customXml/itemProps4.xml><?xml version="1.0" encoding="utf-8"?>
<ds:datastoreItem xmlns:ds="http://schemas.openxmlformats.org/officeDocument/2006/customXml" ds:itemID="{A1E99CE6-9677-8845-9C98-B050C5B9FACA}">
  <ds:schemaRefs>
    <ds:schemaRef ds:uri="http://schemas.openxmlformats.org/officeDocument/2006/bibliography"/>
  </ds:schemaRefs>
</ds:datastoreItem>
</file>

<file path=customXml/itemProps40.xml><?xml version="1.0" encoding="utf-8"?>
<ds:datastoreItem xmlns:ds="http://schemas.openxmlformats.org/officeDocument/2006/customXml" ds:itemID="{E88617CE-58CC-4F24-B6AE-AD046C294B1D}">
  <ds:schemaRefs>
    <ds:schemaRef ds:uri="http://schemas.openxmlformats.org/officeDocument/2006/bibliography"/>
  </ds:schemaRefs>
</ds:datastoreItem>
</file>

<file path=customXml/itemProps41.xml><?xml version="1.0" encoding="utf-8"?>
<ds:datastoreItem xmlns:ds="http://schemas.openxmlformats.org/officeDocument/2006/customXml" ds:itemID="{19C5751B-727C-44B0-BEDF-70D25DC299FD}">
  <ds:schemaRefs>
    <ds:schemaRef ds:uri="http://schemas.openxmlformats.org/officeDocument/2006/bibliography"/>
  </ds:schemaRefs>
</ds:datastoreItem>
</file>

<file path=customXml/itemProps42.xml><?xml version="1.0" encoding="utf-8"?>
<ds:datastoreItem xmlns:ds="http://schemas.openxmlformats.org/officeDocument/2006/customXml" ds:itemID="{E4F51CDE-D4B2-4C03-9DFE-98F2875731FE}">
  <ds:schemaRefs>
    <ds:schemaRef ds:uri="http://schemas.openxmlformats.org/officeDocument/2006/bibliography"/>
  </ds:schemaRefs>
</ds:datastoreItem>
</file>

<file path=customXml/itemProps5.xml><?xml version="1.0" encoding="utf-8"?>
<ds:datastoreItem xmlns:ds="http://schemas.openxmlformats.org/officeDocument/2006/customXml" ds:itemID="{B50B8973-E8A0-46C1-B31B-54DEE7E2840A}">
  <ds:schemaRefs>
    <ds:schemaRef ds:uri="http://schemas.openxmlformats.org/officeDocument/2006/bibliography"/>
  </ds:schemaRefs>
</ds:datastoreItem>
</file>

<file path=customXml/itemProps6.xml><?xml version="1.0" encoding="utf-8"?>
<ds:datastoreItem xmlns:ds="http://schemas.openxmlformats.org/officeDocument/2006/customXml" ds:itemID="{08A78418-2478-4205-92D6-36CCB5F452A9}">
  <ds:schemaRefs>
    <ds:schemaRef ds:uri="http://schemas.openxmlformats.org/officeDocument/2006/bibliography"/>
  </ds:schemaRefs>
</ds:datastoreItem>
</file>

<file path=customXml/itemProps7.xml><?xml version="1.0" encoding="utf-8"?>
<ds:datastoreItem xmlns:ds="http://schemas.openxmlformats.org/officeDocument/2006/customXml" ds:itemID="{2D05F42E-1D55-1746-8E4D-D6E17F6F04B2}">
  <ds:schemaRefs>
    <ds:schemaRef ds:uri="http://schemas.openxmlformats.org/officeDocument/2006/bibliography"/>
  </ds:schemaRefs>
</ds:datastoreItem>
</file>

<file path=customXml/itemProps8.xml><?xml version="1.0" encoding="utf-8"?>
<ds:datastoreItem xmlns:ds="http://schemas.openxmlformats.org/officeDocument/2006/customXml" ds:itemID="{151526D9-2308-4E98-8B15-33573338826A}">
  <ds:schemaRefs>
    <ds:schemaRef ds:uri="http://schemas.openxmlformats.org/officeDocument/2006/bibliography"/>
  </ds:schemaRefs>
</ds:datastoreItem>
</file>

<file path=customXml/itemProps9.xml><?xml version="1.0" encoding="utf-8"?>
<ds:datastoreItem xmlns:ds="http://schemas.openxmlformats.org/officeDocument/2006/customXml" ds:itemID="{04D5A01B-667B-454F-BCF6-C7D8DFA9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50</Pages>
  <Words>68279</Words>
  <Characters>38920</Characters>
  <Application>Microsoft Office Word</Application>
  <DocSecurity>0</DocSecurity>
  <Lines>324</Lines>
  <Paragraphs>213</Paragraphs>
  <ScaleCrop>false</ScaleCrop>
  <HeadingPairs>
    <vt:vector size="2" baseType="variant">
      <vt:variant>
        <vt:lpstr>Title</vt:lpstr>
      </vt:variant>
      <vt:variant>
        <vt:i4>1</vt:i4>
      </vt:variant>
    </vt:vector>
  </HeadingPairs>
  <TitlesOfParts>
    <vt:vector size="1" baseType="lpstr">
      <vt:lpstr>Latvijas Vispārējās valdības budžeta plāna projekts 2019.gadam</vt:lpstr>
    </vt:vector>
  </TitlesOfParts>
  <Company>Finanšu ministrija</Company>
  <LinksUpToDate>false</LinksUpToDate>
  <CharactersWithSpaces>106986</CharactersWithSpaces>
  <SharedDoc>false</SharedDoc>
  <HLinks>
    <vt:vector size="240" baseType="variant">
      <vt:variant>
        <vt:i4>2293767</vt:i4>
      </vt:variant>
      <vt:variant>
        <vt:i4>234</vt:i4>
      </vt:variant>
      <vt:variant>
        <vt:i4>0</vt:i4>
      </vt:variant>
      <vt:variant>
        <vt:i4>5</vt:i4>
      </vt:variant>
      <vt:variant>
        <vt:lpwstr>mailto:Anda.Apse@fm.gov.lv</vt:lpwstr>
      </vt:variant>
      <vt:variant>
        <vt:lpwstr/>
      </vt:variant>
      <vt:variant>
        <vt:i4>7143484</vt:i4>
      </vt:variant>
      <vt:variant>
        <vt:i4>231</vt:i4>
      </vt:variant>
      <vt:variant>
        <vt:i4>0</vt:i4>
      </vt:variant>
      <vt:variant>
        <vt:i4>5</vt:i4>
      </vt:variant>
      <vt:variant>
        <vt:lpwstr>http://www.klientuskola.lv/</vt:lpwstr>
      </vt:variant>
      <vt:variant>
        <vt:lpwstr/>
      </vt:variant>
      <vt:variant>
        <vt:i4>1245233</vt:i4>
      </vt:variant>
      <vt:variant>
        <vt:i4>224</vt:i4>
      </vt:variant>
      <vt:variant>
        <vt:i4>0</vt:i4>
      </vt:variant>
      <vt:variant>
        <vt:i4>5</vt:i4>
      </vt:variant>
      <vt:variant>
        <vt:lpwstr/>
      </vt:variant>
      <vt:variant>
        <vt:lpwstr>_Toc322789885</vt:lpwstr>
      </vt:variant>
      <vt:variant>
        <vt:i4>1245233</vt:i4>
      </vt:variant>
      <vt:variant>
        <vt:i4>218</vt:i4>
      </vt:variant>
      <vt:variant>
        <vt:i4>0</vt:i4>
      </vt:variant>
      <vt:variant>
        <vt:i4>5</vt:i4>
      </vt:variant>
      <vt:variant>
        <vt:lpwstr/>
      </vt:variant>
      <vt:variant>
        <vt:lpwstr>_Toc322789884</vt:lpwstr>
      </vt:variant>
      <vt:variant>
        <vt:i4>1245233</vt:i4>
      </vt:variant>
      <vt:variant>
        <vt:i4>212</vt:i4>
      </vt:variant>
      <vt:variant>
        <vt:i4>0</vt:i4>
      </vt:variant>
      <vt:variant>
        <vt:i4>5</vt:i4>
      </vt:variant>
      <vt:variant>
        <vt:lpwstr/>
      </vt:variant>
      <vt:variant>
        <vt:lpwstr>_Toc322789883</vt:lpwstr>
      </vt:variant>
      <vt:variant>
        <vt:i4>1245233</vt:i4>
      </vt:variant>
      <vt:variant>
        <vt:i4>206</vt:i4>
      </vt:variant>
      <vt:variant>
        <vt:i4>0</vt:i4>
      </vt:variant>
      <vt:variant>
        <vt:i4>5</vt:i4>
      </vt:variant>
      <vt:variant>
        <vt:lpwstr/>
      </vt:variant>
      <vt:variant>
        <vt:lpwstr>_Toc322789882</vt:lpwstr>
      </vt:variant>
      <vt:variant>
        <vt:i4>1245233</vt:i4>
      </vt:variant>
      <vt:variant>
        <vt:i4>200</vt:i4>
      </vt:variant>
      <vt:variant>
        <vt:i4>0</vt:i4>
      </vt:variant>
      <vt:variant>
        <vt:i4>5</vt:i4>
      </vt:variant>
      <vt:variant>
        <vt:lpwstr/>
      </vt:variant>
      <vt:variant>
        <vt:lpwstr>_Toc322789881</vt:lpwstr>
      </vt:variant>
      <vt:variant>
        <vt:i4>1245233</vt:i4>
      </vt:variant>
      <vt:variant>
        <vt:i4>194</vt:i4>
      </vt:variant>
      <vt:variant>
        <vt:i4>0</vt:i4>
      </vt:variant>
      <vt:variant>
        <vt:i4>5</vt:i4>
      </vt:variant>
      <vt:variant>
        <vt:lpwstr/>
      </vt:variant>
      <vt:variant>
        <vt:lpwstr>_Toc322789880</vt:lpwstr>
      </vt:variant>
      <vt:variant>
        <vt:i4>1835057</vt:i4>
      </vt:variant>
      <vt:variant>
        <vt:i4>188</vt:i4>
      </vt:variant>
      <vt:variant>
        <vt:i4>0</vt:i4>
      </vt:variant>
      <vt:variant>
        <vt:i4>5</vt:i4>
      </vt:variant>
      <vt:variant>
        <vt:lpwstr/>
      </vt:variant>
      <vt:variant>
        <vt:lpwstr>_Toc322789879</vt:lpwstr>
      </vt:variant>
      <vt:variant>
        <vt:i4>1835057</vt:i4>
      </vt:variant>
      <vt:variant>
        <vt:i4>182</vt:i4>
      </vt:variant>
      <vt:variant>
        <vt:i4>0</vt:i4>
      </vt:variant>
      <vt:variant>
        <vt:i4>5</vt:i4>
      </vt:variant>
      <vt:variant>
        <vt:lpwstr/>
      </vt:variant>
      <vt:variant>
        <vt:lpwstr>_Toc322789878</vt:lpwstr>
      </vt:variant>
      <vt:variant>
        <vt:i4>1835057</vt:i4>
      </vt:variant>
      <vt:variant>
        <vt:i4>176</vt:i4>
      </vt:variant>
      <vt:variant>
        <vt:i4>0</vt:i4>
      </vt:variant>
      <vt:variant>
        <vt:i4>5</vt:i4>
      </vt:variant>
      <vt:variant>
        <vt:lpwstr/>
      </vt:variant>
      <vt:variant>
        <vt:lpwstr>_Toc322789877</vt:lpwstr>
      </vt:variant>
      <vt:variant>
        <vt:i4>1835057</vt:i4>
      </vt:variant>
      <vt:variant>
        <vt:i4>170</vt:i4>
      </vt:variant>
      <vt:variant>
        <vt:i4>0</vt:i4>
      </vt:variant>
      <vt:variant>
        <vt:i4>5</vt:i4>
      </vt:variant>
      <vt:variant>
        <vt:lpwstr/>
      </vt:variant>
      <vt:variant>
        <vt:lpwstr>_Toc322789876</vt:lpwstr>
      </vt:variant>
      <vt:variant>
        <vt:i4>1835057</vt:i4>
      </vt:variant>
      <vt:variant>
        <vt:i4>164</vt:i4>
      </vt:variant>
      <vt:variant>
        <vt:i4>0</vt:i4>
      </vt:variant>
      <vt:variant>
        <vt:i4>5</vt:i4>
      </vt:variant>
      <vt:variant>
        <vt:lpwstr/>
      </vt:variant>
      <vt:variant>
        <vt:lpwstr>_Toc322789875</vt:lpwstr>
      </vt:variant>
      <vt:variant>
        <vt:i4>1835057</vt:i4>
      </vt:variant>
      <vt:variant>
        <vt:i4>158</vt:i4>
      </vt:variant>
      <vt:variant>
        <vt:i4>0</vt:i4>
      </vt:variant>
      <vt:variant>
        <vt:i4>5</vt:i4>
      </vt:variant>
      <vt:variant>
        <vt:lpwstr/>
      </vt:variant>
      <vt:variant>
        <vt:lpwstr>_Toc322789874</vt:lpwstr>
      </vt:variant>
      <vt:variant>
        <vt:i4>1835057</vt:i4>
      </vt:variant>
      <vt:variant>
        <vt:i4>152</vt:i4>
      </vt:variant>
      <vt:variant>
        <vt:i4>0</vt:i4>
      </vt:variant>
      <vt:variant>
        <vt:i4>5</vt:i4>
      </vt:variant>
      <vt:variant>
        <vt:lpwstr/>
      </vt:variant>
      <vt:variant>
        <vt:lpwstr>_Toc322789873</vt:lpwstr>
      </vt:variant>
      <vt:variant>
        <vt:i4>1835057</vt:i4>
      </vt:variant>
      <vt:variant>
        <vt:i4>146</vt:i4>
      </vt:variant>
      <vt:variant>
        <vt:i4>0</vt:i4>
      </vt:variant>
      <vt:variant>
        <vt:i4>5</vt:i4>
      </vt:variant>
      <vt:variant>
        <vt:lpwstr/>
      </vt:variant>
      <vt:variant>
        <vt:lpwstr>_Toc322789872</vt:lpwstr>
      </vt:variant>
      <vt:variant>
        <vt:i4>1835057</vt:i4>
      </vt:variant>
      <vt:variant>
        <vt:i4>140</vt:i4>
      </vt:variant>
      <vt:variant>
        <vt:i4>0</vt:i4>
      </vt:variant>
      <vt:variant>
        <vt:i4>5</vt:i4>
      </vt:variant>
      <vt:variant>
        <vt:lpwstr/>
      </vt:variant>
      <vt:variant>
        <vt:lpwstr>_Toc322789871</vt:lpwstr>
      </vt:variant>
      <vt:variant>
        <vt:i4>1835057</vt:i4>
      </vt:variant>
      <vt:variant>
        <vt:i4>134</vt:i4>
      </vt:variant>
      <vt:variant>
        <vt:i4>0</vt:i4>
      </vt:variant>
      <vt:variant>
        <vt:i4>5</vt:i4>
      </vt:variant>
      <vt:variant>
        <vt:lpwstr/>
      </vt:variant>
      <vt:variant>
        <vt:lpwstr>_Toc322789870</vt:lpwstr>
      </vt:variant>
      <vt:variant>
        <vt:i4>1900593</vt:i4>
      </vt:variant>
      <vt:variant>
        <vt:i4>128</vt:i4>
      </vt:variant>
      <vt:variant>
        <vt:i4>0</vt:i4>
      </vt:variant>
      <vt:variant>
        <vt:i4>5</vt:i4>
      </vt:variant>
      <vt:variant>
        <vt:lpwstr/>
      </vt:variant>
      <vt:variant>
        <vt:lpwstr>_Toc322789869</vt:lpwstr>
      </vt:variant>
      <vt:variant>
        <vt:i4>1900593</vt:i4>
      </vt:variant>
      <vt:variant>
        <vt:i4>122</vt:i4>
      </vt:variant>
      <vt:variant>
        <vt:i4>0</vt:i4>
      </vt:variant>
      <vt:variant>
        <vt:i4>5</vt:i4>
      </vt:variant>
      <vt:variant>
        <vt:lpwstr/>
      </vt:variant>
      <vt:variant>
        <vt:lpwstr>_Toc322789868</vt:lpwstr>
      </vt:variant>
      <vt:variant>
        <vt:i4>1900593</vt:i4>
      </vt:variant>
      <vt:variant>
        <vt:i4>116</vt:i4>
      </vt:variant>
      <vt:variant>
        <vt:i4>0</vt:i4>
      </vt:variant>
      <vt:variant>
        <vt:i4>5</vt:i4>
      </vt:variant>
      <vt:variant>
        <vt:lpwstr/>
      </vt:variant>
      <vt:variant>
        <vt:lpwstr>_Toc322789867</vt:lpwstr>
      </vt:variant>
      <vt:variant>
        <vt:i4>1900593</vt:i4>
      </vt:variant>
      <vt:variant>
        <vt:i4>110</vt:i4>
      </vt:variant>
      <vt:variant>
        <vt:i4>0</vt:i4>
      </vt:variant>
      <vt:variant>
        <vt:i4>5</vt:i4>
      </vt:variant>
      <vt:variant>
        <vt:lpwstr/>
      </vt:variant>
      <vt:variant>
        <vt:lpwstr>_Toc322789866</vt:lpwstr>
      </vt:variant>
      <vt:variant>
        <vt:i4>1900593</vt:i4>
      </vt:variant>
      <vt:variant>
        <vt:i4>104</vt:i4>
      </vt:variant>
      <vt:variant>
        <vt:i4>0</vt:i4>
      </vt:variant>
      <vt:variant>
        <vt:i4>5</vt:i4>
      </vt:variant>
      <vt:variant>
        <vt:lpwstr/>
      </vt:variant>
      <vt:variant>
        <vt:lpwstr>_Toc322789865</vt:lpwstr>
      </vt:variant>
      <vt:variant>
        <vt:i4>1900593</vt:i4>
      </vt:variant>
      <vt:variant>
        <vt:i4>98</vt:i4>
      </vt:variant>
      <vt:variant>
        <vt:i4>0</vt:i4>
      </vt:variant>
      <vt:variant>
        <vt:i4>5</vt:i4>
      </vt:variant>
      <vt:variant>
        <vt:lpwstr/>
      </vt:variant>
      <vt:variant>
        <vt:lpwstr>_Toc322789864</vt:lpwstr>
      </vt:variant>
      <vt:variant>
        <vt:i4>1900593</vt:i4>
      </vt:variant>
      <vt:variant>
        <vt:i4>92</vt:i4>
      </vt:variant>
      <vt:variant>
        <vt:i4>0</vt:i4>
      </vt:variant>
      <vt:variant>
        <vt:i4>5</vt:i4>
      </vt:variant>
      <vt:variant>
        <vt:lpwstr/>
      </vt:variant>
      <vt:variant>
        <vt:lpwstr>_Toc322789863</vt:lpwstr>
      </vt:variant>
      <vt:variant>
        <vt:i4>1900593</vt:i4>
      </vt:variant>
      <vt:variant>
        <vt:i4>86</vt:i4>
      </vt:variant>
      <vt:variant>
        <vt:i4>0</vt:i4>
      </vt:variant>
      <vt:variant>
        <vt:i4>5</vt:i4>
      </vt:variant>
      <vt:variant>
        <vt:lpwstr/>
      </vt:variant>
      <vt:variant>
        <vt:lpwstr>_Toc322789862</vt:lpwstr>
      </vt:variant>
      <vt:variant>
        <vt:i4>1900593</vt:i4>
      </vt:variant>
      <vt:variant>
        <vt:i4>80</vt:i4>
      </vt:variant>
      <vt:variant>
        <vt:i4>0</vt:i4>
      </vt:variant>
      <vt:variant>
        <vt:i4>5</vt:i4>
      </vt:variant>
      <vt:variant>
        <vt:lpwstr/>
      </vt:variant>
      <vt:variant>
        <vt:lpwstr>_Toc322789861</vt:lpwstr>
      </vt:variant>
      <vt:variant>
        <vt:i4>1900593</vt:i4>
      </vt:variant>
      <vt:variant>
        <vt:i4>74</vt:i4>
      </vt:variant>
      <vt:variant>
        <vt:i4>0</vt:i4>
      </vt:variant>
      <vt:variant>
        <vt:i4>5</vt:i4>
      </vt:variant>
      <vt:variant>
        <vt:lpwstr/>
      </vt:variant>
      <vt:variant>
        <vt:lpwstr>_Toc322789860</vt:lpwstr>
      </vt:variant>
      <vt:variant>
        <vt:i4>1966129</vt:i4>
      </vt:variant>
      <vt:variant>
        <vt:i4>68</vt:i4>
      </vt:variant>
      <vt:variant>
        <vt:i4>0</vt:i4>
      </vt:variant>
      <vt:variant>
        <vt:i4>5</vt:i4>
      </vt:variant>
      <vt:variant>
        <vt:lpwstr/>
      </vt:variant>
      <vt:variant>
        <vt:lpwstr>_Toc322789859</vt:lpwstr>
      </vt:variant>
      <vt:variant>
        <vt:i4>1966129</vt:i4>
      </vt:variant>
      <vt:variant>
        <vt:i4>62</vt:i4>
      </vt:variant>
      <vt:variant>
        <vt:i4>0</vt:i4>
      </vt:variant>
      <vt:variant>
        <vt:i4>5</vt:i4>
      </vt:variant>
      <vt:variant>
        <vt:lpwstr/>
      </vt:variant>
      <vt:variant>
        <vt:lpwstr>_Toc322789858</vt:lpwstr>
      </vt:variant>
      <vt:variant>
        <vt:i4>1966129</vt:i4>
      </vt:variant>
      <vt:variant>
        <vt:i4>56</vt:i4>
      </vt:variant>
      <vt:variant>
        <vt:i4>0</vt:i4>
      </vt:variant>
      <vt:variant>
        <vt:i4>5</vt:i4>
      </vt:variant>
      <vt:variant>
        <vt:lpwstr/>
      </vt:variant>
      <vt:variant>
        <vt:lpwstr>_Toc322789857</vt:lpwstr>
      </vt:variant>
      <vt:variant>
        <vt:i4>1966129</vt:i4>
      </vt:variant>
      <vt:variant>
        <vt:i4>50</vt:i4>
      </vt:variant>
      <vt:variant>
        <vt:i4>0</vt:i4>
      </vt:variant>
      <vt:variant>
        <vt:i4>5</vt:i4>
      </vt:variant>
      <vt:variant>
        <vt:lpwstr/>
      </vt:variant>
      <vt:variant>
        <vt:lpwstr>_Toc322789856</vt:lpwstr>
      </vt:variant>
      <vt:variant>
        <vt:i4>1966129</vt:i4>
      </vt:variant>
      <vt:variant>
        <vt:i4>44</vt:i4>
      </vt:variant>
      <vt:variant>
        <vt:i4>0</vt:i4>
      </vt:variant>
      <vt:variant>
        <vt:i4>5</vt:i4>
      </vt:variant>
      <vt:variant>
        <vt:lpwstr/>
      </vt:variant>
      <vt:variant>
        <vt:lpwstr>_Toc322789855</vt:lpwstr>
      </vt:variant>
      <vt:variant>
        <vt:i4>1966129</vt:i4>
      </vt:variant>
      <vt:variant>
        <vt:i4>38</vt:i4>
      </vt:variant>
      <vt:variant>
        <vt:i4>0</vt:i4>
      </vt:variant>
      <vt:variant>
        <vt:i4>5</vt:i4>
      </vt:variant>
      <vt:variant>
        <vt:lpwstr/>
      </vt:variant>
      <vt:variant>
        <vt:lpwstr>_Toc322789854</vt:lpwstr>
      </vt:variant>
      <vt:variant>
        <vt:i4>1966129</vt:i4>
      </vt:variant>
      <vt:variant>
        <vt:i4>32</vt:i4>
      </vt:variant>
      <vt:variant>
        <vt:i4>0</vt:i4>
      </vt:variant>
      <vt:variant>
        <vt:i4>5</vt:i4>
      </vt:variant>
      <vt:variant>
        <vt:lpwstr/>
      </vt:variant>
      <vt:variant>
        <vt:lpwstr>_Toc322789853</vt:lpwstr>
      </vt:variant>
      <vt:variant>
        <vt:i4>1966129</vt:i4>
      </vt:variant>
      <vt:variant>
        <vt:i4>26</vt:i4>
      </vt:variant>
      <vt:variant>
        <vt:i4>0</vt:i4>
      </vt:variant>
      <vt:variant>
        <vt:i4>5</vt:i4>
      </vt:variant>
      <vt:variant>
        <vt:lpwstr/>
      </vt:variant>
      <vt:variant>
        <vt:lpwstr>_Toc322789852</vt:lpwstr>
      </vt:variant>
      <vt:variant>
        <vt:i4>1966129</vt:i4>
      </vt:variant>
      <vt:variant>
        <vt:i4>20</vt:i4>
      </vt:variant>
      <vt:variant>
        <vt:i4>0</vt:i4>
      </vt:variant>
      <vt:variant>
        <vt:i4>5</vt:i4>
      </vt:variant>
      <vt:variant>
        <vt:lpwstr/>
      </vt:variant>
      <vt:variant>
        <vt:lpwstr>_Toc322789851</vt:lpwstr>
      </vt:variant>
      <vt:variant>
        <vt:i4>1966129</vt:i4>
      </vt:variant>
      <vt:variant>
        <vt:i4>14</vt:i4>
      </vt:variant>
      <vt:variant>
        <vt:i4>0</vt:i4>
      </vt:variant>
      <vt:variant>
        <vt:i4>5</vt:i4>
      </vt:variant>
      <vt:variant>
        <vt:lpwstr/>
      </vt:variant>
      <vt:variant>
        <vt:lpwstr>_Toc322789850</vt:lpwstr>
      </vt:variant>
      <vt:variant>
        <vt:i4>2031665</vt:i4>
      </vt:variant>
      <vt:variant>
        <vt:i4>8</vt:i4>
      </vt:variant>
      <vt:variant>
        <vt:i4>0</vt:i4>
      </vt:variant>
      <vt:variant>
        <vt:i4>5</vt:i4>
      </vt:variant>
      <vt:variant>
        <vt:lpwstr/>
      </vt:variant>
      <vt:variant>
        <vt:lpwstr>_Toc322789849</vt:lpwstr>
      </vt:variant>
      <vt:variant>
        <vt:i4>2031665</vt:i4>
      </vt:variant>
      <vt:variant>
        <vt:i4>2</vt:i4>
      </vt:variant>
      <vt:variant>
        <vt:i4>0</vt:i4>
      </vt:variant>
      <vt:variant>
        <vt:i4>5</vt:i4>
      </vt:variant>
      <vt:variant>
        <vt:lpwstr/>
      </vt:variant>
      <vt:variant>
        <vt:lpwstr>_Toc322789848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Vispārējās valdības budžeta plāna projekts 2019.gadam</dc:title>
  <dc:subject>Informatīvais ziņojums</dc:subject>
  <dc:creator>elina.gusare@fm.gov.lv</dc:creator>
  <dc:description>67083911, elina.gusare@fm.gov.lv</dc:description>
  <cp:lastModifiedBy>Elīna Gusāre</cp:lastModifiedBy>
  <cp:revision>36</cp:revision>
  <cp:lastPrinted>2019-02-18T07:47:00Z</cp:lastPrinted>
  <dcterms:created xsi:type="dcterms:W3CDTF">2019-02-16T11:43:00Z</dcterms:created>
  <dcterms:modified xsi:type="dcterms:W3CDTF">2019-02-18T07:47:00Z</dcterms:modified>
</cp:coreProperties>
</file>