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AB8" w:rsidRPr="006C650B" w:rsidRDefault="000546CF" w:rsidP="0039011F">
      <w:pPr>
        <w:spacing w:line="240" w:lineRule="auto"/>
        <w:jc w:val="center"/>
        <w:rPr>
          <w:b/>
          <w:sz w:val="28"/>
          <w:szCs w:val="28"/>
        </w:rPr>
      </w:pPr>
      <w:r w:rsidRPr="006C650B">
        <w:rPr>
          <w:b/>
          <w:sz w:val="28"/>
          <w:szCs w:val="28"/>
        </w:rPr>
        <w:t>Informatīvais ziņojums</w:t>
      </w:r>
    </w:p>
    <w:p w:rsidR="001A28DA" w:rsidRDefault="000546CF" w:rsidP="0039011F">
      <w:pPr>
        <w:spacing w:before="120" w:line="240" w:lineRule="auto"/>
        <w:jc w:val="center"/>
        <w:rPr>
          <w:b/>
          <w:sz w:val="28"/>
          <w:szCs w:val="28"/>
        </w:rPr>
      </w:pPr>
      <w:r w:rsidRPr="006C650B">
        <w:rPr>
          <w:b/>
          <w:sz w:val="28"/>
          <w:szCs w:val="28"/>
        </w:rPr>
        <w:t>par Eiropas Savienības Tiesliet</w:t>
      </w:r>
      <w:r w:rsidR="001A28DA">
        <w:rPr>
          <w:b/>
          <w:sz w:val="28"/>
          <w:szCs w:val="28"/>
        </w:rPr>
        <w:t xml:space="preserve">u un iekšlietu ministru padomes </w:t>
      </w:r>
    </w:p>
    <w:p w:rsidR="000546CF" w:rsidRPr="006C650B" w:rsidRDefault="002A19D4" w:rsidP="001A28DA">
      <w:pPr>
        <w:spacing w:line="240" w:lineRule="auto"/>
        <w:jc w:val="center"/>
        <w:rPr>
          <w:b/>
          <w:sz w:val="28"/>
          <w:szCs w:val="28"/>
        </w:rPr>
      </w:pPr>
      <w:r w:rsidRPr="006C650B">
        <w:rPr>
          <w:b/>
          <w:sz w:val="28"/>
          <w:szCs w:val="28"/>
        </w:rPr>
        <w:t>201</w:t>
      </w:r>
      <w:r w:rsidR="006C7059">
        <w:rPr>
          <w:b/>
          <w:sz w:val="28"/>
          <w:szCs w:val="28"/>
        </w:rPr>
        <w:t>9</w:t>
      </w:r>
      <w:r w:rsidRPr="006C650B">
        <w:rPr>
          <w:b/>
          <w:sz w:val="28"/>
          <w:szCs w:val="28"/>
        </w:rPr>
        <w:t>.</w:t>
      </w:r>
      <w:r w:rsidR="001A28DA">
        <w:rPr>
          <w:b/>
          <w:sz w:val="28"/>
          <w:szCs w:val="28"/>
        </w:rPr>
        <w:t xml:space="preserve"> </w:t>
      </w:r>
      <w:r w:rsidR="0065007B" w:rsidRPr="006C650B">
        <w:rPr>
          <w:b/>
          <w:sz w:val="28"/>
          <w:szCs w:val="28"/>
        </w:rPr>
        <w:t xml:space="preserve">gada </w:t>
      </w:r>
      <w:r w:rsidR="006C7059">
        <w:rPr>
          <w:b/>
          <w:sz w:val="28"/>
          <w:szCs w:val="28"/>
        </w:rPr>
        <w:t>7.</w:t>
      </w:r>
      <w:r w:rsidR="001A28DA">
        <w:rPr>
          <w:b/>
          <w:sz w:val="28"/>
          <w:szCs w:val="28"/>
        </w:rPr>
        <w:t>-</w:t>
      </w:r>
      <w:r w:rsidR="006C7059">
        <w:rPr>
          <w:b/>
          <w:sz w:val="28"/>
          <w:szCs w:val="28"/>
        </w:rPr>
        <w:t xml:space="preserve"> 8.</w:t>
      </w:r>
      <w:r w:rsidR="001A28DA">
        <w:rPr>
          <w:b/>
          <w:sz w:val="28"/>
          <w:szCs w:val="28"/>
        </w:rPr>
        <w:t xml:space="preserve"> </w:t>
      </w:r>
      <w:r w:rsidR="006C7059">
        <w:rPr>
          <w:b/>
          <w:sz w:val="28"/>
          <w:szCs w:val="28"/>
        </w:rPr>
        <w:t>februāra</w:t>
      </w:r>
      <w:r w:rsidR="0065007B" w:rsidRPr="006C650B">
        <w:rPr>
          <w:b/>
          <w:sz w:val="28"/>
          <w:szCs w:val="28"/>
        </w:rPr>
        <w:t xml:space="preserve"> neformālajā sanāksmē</w:t>
      </w:r>
      <w:r w:rsidR="001A28DA">
        <w:rPr>
          <w:b/>
          <w:sz w:val="28"/>
          <w:szCs w:val="28"/>
        </w:rPr>
        <w:t xml:space="preserve"> </w:t>
      </w:r>
      <w:r w:rsidR="0065007B" w:rsidRPr="006C650B">
        <w:rPr>
          <w:b/>
          <w:sz w:val="28"/>
          <w:szCs w:val="28"/>
        </w:rPr>
        <w:t>iekļautajiem iekšlietu jomas jautājumiem</w:t>
      </w:r>
    </w:p>
    <w:p w:rsidR="00EB43AA" w:rsidRPr="006C650B" w:rsidRDefault="00EB43AA" w:rsidP="00C23AB8">
      <w:pPr>
        <w:spacing w:line="240" w:lineRule="auto"/>
        <w:rPr>
          <w:sz w:val="28"/>
          <w:szCs w:val="28"/>
        </w:rPr>
      </w:pPr>
    </w:p>
    <w:p w:rsidR="003F161E" w:rsidRPr="006C650B" w:rsidRDefault="000546CF" w:rsidP="003F161E">
      <w:pPr>
        <w:spacing w:line="240" w:lineRule="auto"/>
        <w:ind w:firstLine="567"/>
        <w:jc w:val="both"/>
        <w:rPr>
          <w:sz w:val="28"/>
          <w:szCs w:val="28"/>
        </w:rPr>
      </w:pPr>
      <w:r w:rsidRPr="006C650B">
        <w:rPr>
          <w:sz w:val="28"/>
          <w:szCs w:val="28"/>
        </w:rPr>
        <w:t>201</w:t>
      </w:r>
      <w:r w:rsidR="006C7059">
        <w:rPr>
          <w:sz w:val="28"/>
          <w:szCs w:val="28"/>
        </w:rPr>
        <w:t>9</w:t>
      </w:r>
      <w:r w:rsidRPr="006C650B">
        <w:rPr>
          <w:sz w:val="28"/>
          <w:szCs w:val="28"/>
        </w:rPr>
        <w:t>.</w:t>
      </w:r>
      <w:r w:rsidR="001A28DA">
        <w:rPr>
          <w:sz w:val="28"/>
          <w:szCs w:val="28"/>
        </w:rPr>
        <w:t xml:space="preserve"> </w:t>
      </w:r>
      <w:r w:rsidRPr="006C650B">
        <w:rPr>
          <w:sz w:val="28"/>
          <w:szCs w:val="28"/>
        </w:rPr>
        <w:t xml:space="preserve">gada </w:t>
      </w:r>
      <w:r w:rsidR="006C7059">
        <w:rPr>
          <w:sz w:val="28"/>
          <w:szCs w:val="28"/>
        </w:rPr>
        <w:t>7.</w:t>
      </w:r>
      <w:r w:rsidR="001A28DA">
        <w:rPr>
          <w:sz w:val="28"/>
          <w:szCs w:val="28"/>
        </w:rPr>
        <w:t>-</w:t>
      </w:r>
      <w:r w:rsidR="006C7059">
        <w:rPr>
          <w:sz w:val="28"/>
          <w:szCs w:val="28"/>
        </w:rPr>
        <w:t>8.</w:t>
      </w:r>
      <w:r w:rsidR="001A28DA">
        <w:rPr>
          <w:sz w:val="28"/>
          <w:szCs w:val="28"/>
        </w:rPr>
        <w:t xml:space="preserve"> </w:t>
      </w:r>
      <w:r w:rsidR="006C7059">
        <w:rPr>
          <w:sz w:val="28"/>
          <w:szCs w:val="28"/>
        </w:rPr>
        <w:t>februārī Bukarestē, Rumānijā</w:t>
      </w:r>
      <w:r w:rsidR="006C650B">
        <w:rPr>
          <w:sz w:val="28"/>
          <w:szCs w:val="28"/>
        </w:rPr>
        <w:t>,</w:t>
      </w:r>
      <w:r w:rsidR="00B17943" w:rsidRPr="006C650B">
        <w:rPr>
          <w:sz w:val="28"/>
          <w:szCs w:val="28"/>
        </w:rPr>
        <w:t xml:space="preserve"> notik</w:t>
      </w:r>
      <w:r w:rsidR="002A19D4" w:rsidRPr="006C650B">
        <w:rPr>
          <w:sz w:val="28"/>
          <w:szCs w:val="28"/>
        </w:rPr>
        <w:t>s</w:t>
      </w:r>
      <w:r w:rsidR="0065007B" w:rsidRPr="006C650B">
        <w:rPr>
          <w:sz w:val="28"/>
          <w:szCs w:val="28"/>
        </w:rPr>
        <w:t xml:space="preserve"> </w:t>
      </w:r>
      <w:r w:rsidRPr="006C650B">
        <w:rPr>
          <w:sz w:val="28"/>
          <w:szCs w:val="28"/>
        </w:rPr>
        <w:t xml:space="preserve">Eiropas Savienības (turpmāk – ES) Tieslietu un iekšlietu ministru padomes (turpmāk – Padome) </w:t>
      </w:r>
      <w:r w:rsidR="0065007B" w:rsidRPr="006C650B">
        <w:rPr>
          <w:sz w:val="28"/>
          <w:szCs w:val="28"/>
        </w:rPr>
        <w:t>neformālā</w:t>
      </w:r>
      <w:r w:rsidRPr="006C650B">
        <w:rPr>
          <w:sz w:val="28"/>
          <w:szCs w:val="28"/>
        </w:rPr>
        <w:t xml:space="preserve"> sanāksme. </w:t>
      </w:r>
      <w:r w:rsidR="0065007B" w:rsidRPr="006C650B">
        <w:rPr>
          <w:sz w:val="28"/>
          <w:szCs w:val="28"/>
        </w:rPr>
        <w:t>Sanāksmes darba kārtībā iekļauti šādi</w:t>
      </w:r>
      <w:r w:rsidR="006C7059">
        <w:rPr>
          <w:sz w:val="28"/>
          <w:szCs w:val="28"/>
        </w:rPr>
        <w:t xml:space="preserve"> iekšlietu</w:t>
      </w:r>
      <w:r w:rsidR="0065007B" w:rsidRPr="006C650B">
        <w:rPr>
          <w:sz w:val="28"/>
          <w:szCs w:val="28"/>
        </w:rPr>
        <w:t xml:space="preserve"> jautājumi: </w:t>
      </w:r>
    </w:p>
    <w:p w:rsidR="00126BBE" w:rsidRDefault="00126BBE" w:rsidP="006C7059">
      <w:pPr>
        <w:spacing w:line="240" w:lineRule="auto"/>
        <w:jc w:val="both"/>
        <w:rPr>
          <w:sz w:val="28"/>
          <w:szCs w:val="28"/>
        </w:rPr>
      </w:pPr>
    </w:p>
    <w:p w:rsidR="006C7059" w:rsidRDefault="006C7059" w:rsidP="006C7059">
      <w:pPr>
        <w:numPr>
          <w:ilvl w:val="0"/>
          <w:numId w:val="24"/>
        </w:numPr>
        <w:spacing w:line="240" w:lineRule="auto"/>
        <w:ind w:left="357" w:firstLine="0"/>
        <w:jc w:val="both"/>
        <w:rPr>
          <w:b/>
          <w:i/>
          <w:sz w:val="28"/>
          <w:szCs w:val="28"/>
        </w:rPr>
      </w:pPr>
      <w:r>
        <w:rPr>
          <w:b/>
          <w:i/>
          <w:sz w:val="28"/>
          <w:szCs w:val="28"/>
        </w:rPr>
        <w:t>Sadarbības stiprināšana ES pretterorisma jomā – iespējas un izaicinājumi</w:t>
      </w:r>
    </w:p>
    <w:p w:rsidR="006C7059" w:rsidRDefault="00121C66" w:rsidP="001A28DA">
      <w:pPr>
        <w:spacing w:line="240" w:lineRule="auto"/>
        <w:ind w:firstLine="567"/>
        <w:jc w:val="both"/>
        <w:rPr>
          <w:sz w:val="28"/>
          <w:szCs w:val="28"/>
        </w:rPr>
      </w:pPr>
      <w:r>
        <w:rPr>
          <w:sz w:val="28"/>
          <w:szCs w:val="28"/>
        </w:rPr>
        <w:t>2017.gada 6.jūlijā Eiropas Parlaments (turpmāk – EP) izveidoja Speciālo komiteju terorisma jautājumos (turpmāk – TERR), kuras mandāts sākotnēji tika noteikts uz vienu gadu, pēc tam tika pagarināts līdz 2018.gada novembra vidum.</w:t>
      </w:r>
    </w:p>
    <w:p w:rsidR="00121C66" w:rsidRDefault="00121C66" w:rsidP="006C7059">
      <w:pPr>
        <w:spacing w:line="240" w:lineRule="auto"/>
        <w:jc w:val="both"/>
        <w:rPr>
          <w:sz w:val="28"/>
          <w:szCs w:val="28"/>
        </w:rPr>
      </w:pPr>
      <w:r>
        <w:rPr>
          <w:sz w:val="28"/>
          <w:szCs w:val="28"/>
        </w:rPr>
        <w:t>2018.gada 12.decembra EP plenārsesijā tika apstiprināts TERR gala ziņojums, kas dod visaptverošu pārskatu par iniciatīvām un pasākumiem, kas pēdējos gados ir apstiprināti, lai novērstu un cīnītos pret terorismu ES, novērtē sasniegto progresu, kā arī ietver 227 rekomendācijas dalībvalstīm, Eiropas Komisijai un Padomei, kā novērst konstatētos trūkumus.</w:t>
      </w:r>
    </w:p>
    <w:p w:rsidR="00121C66" w:rsidRDefault="00121C66" w:rsidP="001A28DA">
      <w:pPr>
        <w:spacing w:line="240" w:lineRule="auto"/>
        <w:ind w:firstLine="567"/>
        <w:jc w:val="both"/>
        <w:rPr>
          <w:sz w:val="28"/>
          <w:szCs w:val="28"/>
        </w:rPr>
      </w:pPr>
      <w:r>
        <w:rPr>
          <w:sz w:val="28"/>
          <w:szCs w:val="28"/>
        </w:rPr>
        <w:t>Dalībvalstu sākotnējā viedokļu apmaiņa par TERR gala ziņojumu notika 2019.gada 16.janvāra ES Padomes Terorisma jautājumu darba grupas sanāksmē, kurā dalībvalstis kopumā atzinīgi novērtēja ziņojuma visaptverošo raksturu, kā arī sabalansēto pieeju.</w:t>
      </w:r>
      <w:r w:rsidR="006E248A">
        <w:rPr>
          <w:sz w:val="28"/>
          <w:szCs w:val="28"/>
        </w:rPr>
        <w:t xml:space="preserve"> Diskusija indicēja, ka TERR rekomendācijām attiecas uz pasākumiem, ko jau šobrīd īsteno gan dalībvalstis, gan arī ES.</w:t>
      </w:r>
    </w:p>
    <w:p w:rsidR="006E248A" w:rsidRDefault="006E248A" w:rsidP="001A28DA">
      <w:pPr>
        <w:spacing w:line="240" w:lineRule="auto"/>
        <w:ind w:firstLine="567"/>
        <w:jc w:val="both"/>
        <w:rPr>
          <w:sz w:val="28"/>
          <w:szCs w:val="28"/>
        </w:rPr>
      </w:pPr>
      <w:r w:rsidRPr="00770B4D">
        <w:rPr>
          <w:sz w:val="28"/>
          <w:szCs w:val="28"/>
        </w:rPr>
        <w:t>Dalībvalstis norādīja, ka</w:t>
      </w:r>
      <w:r w:rsidR="001C4D7D">
        <w:rPr>
          <w:sz w:val="28"/>
          <w:szCs w:val="28"/>
        </w:rPr>
        <w:t xml:space="preserve"> tās</w:t>
      </w:r>
      <w:r w:rsidRPr="00770B4D">
        <w:rPr>
          <w:sz w:val="28"/>
          <w:szCs w:val="28"/>
        </w:rPr>
        <w:t xml:space="preserve"> pilnībā piekrīt tām rekomendācijām, kas vērstas uz </w:t>
      </w:r>
      <w:proofErr w:type="spellStart"/>
      <w:r w:rsidRPr="00770B4D">
        <w:rPr>
          <w:sz w:val="28"/>
          <w:szCs w:val="28"/>
        </w:rPr>
        <w:t>prevencijas</w:t>
      </w:r>
      <w:proofErr w:type="spellEnd"/>
      <w:r w:rsidRPr="00770B4D">
        <w:rPr>
          <w:sz w:val="28"/>
          <w:szCs w:val="28"/>
        </w:rPr>
        <w:t xml:space="preserve"> pasākumiem un cīņ</w:t>
      </w:r>
      <w:r w:rsidR="00DE54F2">
        <w:rPr>
          <w:sz w:val="28"/>
          <w:szCs w:val="28"/>
        </w:rPr>
        <w:t>u</w:t>
      </w:r>
      <w:r w:rsidRPr="00770B4D">
        <w:rPr>
          <w:sz w:val="28"/>
          <w:szCs w:val="28"/>
        </w:rPr>
        <w:t xml:space="preserve"> ar </w:t>
      </w:r>
      <w:proofErr w:type="spellStart"/>
      <w:r w:rsidRPr="00770B4D">
        <w:rPr>
          <w:sz w:val="28"/>
          <w:szCs w:val="28"/>
        </w:rPr>
        <w:t>radikalizāciju</w:t>
      </w:r>
      <w:proofErr w:type="spellEnd"/>
      <w:r w:rsidRPr="00770B4D">
        <w:rPr>
          <w:sz w:val="28"/>
          <w:szCs w:val="28"/>
        </w:rPr>
        <w:t>, sadarbspējas nodrošināšanu, tostarp arī plašāku biometrisko datu izmantošanu, kā arī pilnīgu pieejamo ES instrumentu izmantošanu.</w:t>
      </w:r>
    </w:p>
    <w:p w:rsidR="006E248A" w:rsidRDefault="006E248A" w:rsidP="001A28DA">
      <w:pPr>
        <w:spacing w:line="240" w:lineRule="auto"/>
        <w:ind w:firstLine="567"/>
        <w:jc w:val="both"/>
        <w:rPr>
          <w:sz w:val="28"/>
          <w:szCs w:val="28"/>
        </w:rPr>
      </w:pPr>
      <w:r>
        <w:rPr>
          <w:sz w:val="28"/>
          <w:szCs w:val="28"/>
        </w:rPr>
        <w:t>Vienlaikus dalībvalstis arī norādīja, ka daļu no rekomendācijām tās neatbalstīs</w:t>
      </w:r>
      <w:r w:rsidR="001C33E5">
        <w:rPr>
          <w:sz w:val="28"/>
          <w:szCs w:val="28"/>
        </w:rPr>
        <w:t xml:space="preserve"> vai nu tādēļ, ka </w:t>
      </w:r>
      <w:r w:rsidR="001C4D7D">
        <w:rPr>
          <w:sz w:val="28"/>
          <w:szCs w:val="28"/>
        </w:rPr>
        <w:t>tās (rekomendācijas)</w:t>
      </w:r>
      <w:r w:rsidR="001C33E5">
        <w:rPr>
          <w:sz w:val="28"/>
          <w:szCs w:val="28"/>
        </w:rPr>
        <w:t xml:space="preserve"> ir nacionālās kompetences jautājumi, vai arī tādēļ, ka šobrīd ir pāragri diskutēt par </w:t>
      </w:r>
      <w:r w:rsidR="001C4D7D">
        <w:rPr>
          <w:sz w:val="28"/>
          <w:szCs w:val="28"/>
        </w:rPr>
        <w:t>rosinātajām iniciatīvām</w:t>
      </w:r>
      <w:r w:rsidR="001C33E5">
        <w:rPr>
          <w:sz w:val="28"/>
          <w:szCs w:val="28"/>
        </w:rPr>
        <w:t>.</w:t>
      </w:r>
    </w:p>
    <w:p w:rsidR="001C33E5" w:rsidRDefault="001C33E5" w:rsidP="006C7059">
      <w:pPr>
        <w:spacing w:line="240" w:lineRule="auto"/>
        <w:jc w:val="both"/>
        <w:rPr>
          <w:sz w:val="28"/>
          <w:szCs w:val="28"/>
        </w:rPr>
      </w:pPr>
      <w:r>
        <w:rPr>
          <w:sz w:val="28"/>
          <w:szCs w:val="28"/>
        </w:rPr>
        <w:t>Ministri tiek aicināti diskutēt par galvenajām iespējām un izaicinājumiem, kas izriet no rekomendācijām, kā arī turpmāko rīcību.</w:t>
      </w:r>
    </w:p>
    <w:p w:rsidR="001C33E5" w:rsidRDefault="001C33E5" w:rsidP="006C7059">
      <w:pPr>
        <w:spacing w:line="240" w:lineRule="auto"/>
        <w:jc w:val="both"/>
        <w:rPr>
          <w:sz w:val="28"/>
          <w:szCs w:val="28"/>
        </w:rPr>
      </w:pPr>
    </w:p>
    <w:p w:rsidR="001C33E5" w:rsidRDefault="001C33E5" w:rsidP="006C7059">
      <w:pPr>
        <w:spacing w:line="240" w:lineRule="auto"/>
        <w:jc w:val="both"/>
        <w:rPr>
          <w:sz w:val="28"/>
          <w:szCs w:val="28"/>
        </w:rPr>
      </w:pPr>
      <w:r>
        <w:rPr>
          <w:b/>
          <w:sz w:val="28"/>
          <w:szCs w:val="28"/>
          <w:u w:val="single"/>
        </w:rPr>
        <w:t>Latvijas viedoklis</w:t>
      </w:r>
      <w:r>
        <w:rPr>
          <w:sz w:val="28"/>
          <w:szCs w:val="28"/>
        </w:rPr>
        <w:t>:</w:t>
      </w:r>
    </w:p>
    <w:p w:rsidR="00770B4D" w:rsidRPr="006E1D81" w:rsidRDefault="00370A9E" w:rsidP="001A28DA">
      <w:pPr>
        <w:spacing w:after="240" w:line="240" w:lineRule="auto"/>
        <w:jc w:val="both"/>
        <w:rPr>
          <w:i/>
          <w:sz w:val="28"/>
          <w:szCs w:val="28"/>
        </w:rPr>
      </w:pPr>
      <w:r w:rsidRPr="006E1D81">
        <w:rPr>
          <w:i/>
          <w:sz w:val="28"/>
          <w:szCs w:val="28"/>
        </w:rPr>
        <w:t xml:space="preserve">Latvija </w:t>
      </w:r>
      <w:r w:rsidR="009A1943">
        <w:rPr>
          <w:i/>
          <w:sz w:val="28"/>
          <w:szCs w:val="28"/>
        </w:rPr>
        <w:t xml:space="preserve">atzinīgi vērtē EP ieguldīto darbu </w:t>
      </w:r>
      <w:r w:rsidRPr="006E1D81">
        <w:rPr>
          <w:i/>
          <w:sz w:val="28"/>
          <w:szCs w:val="28"/>
        </w:rPr>
        <w:t>ziņojum</w:t>
      </w:r>
      <w:r w:rsidR="009A1943">
        <w:rPr>
          <w:i/>
          <w:sz w:val="28"/>
          <w:szCs w:val="28"/>
        </w:rPr>
        <w:t>a un rekomendāciju</w:t>
      </w:r>
      <w:r w:rsidR="006E1D81">
        <w:rPr>
          <w:i/>
          <w:sz w:val="28"/>
          <w:szCs w:val="28"/>
        </w:rPr>
        <w:t>, kas adresētas</w:t>
      </w:r>
      <w:r w:rsidR="006E1D81" w:rsidRPr="006E1D81">
        <w:rPr>
          <w:i/>
          <w:sz w:val="28"/>
          <w:szCs w:val="28"/>
        </w:rPr>
        <w:t xml:space="preserve"> </w:t>
      </w:r>
      <w:r w:rsidRPr="006E1D81">
        <w:rPr>
          <w:i/>
          <w:sz w:val="28"/>
          <w:szCs w:val="28"/>
        </w:rPr>
        <w:t xml:space="preserve">dalībvalstīm, Eiropas Komisijai </w:t>
      </w:r>
      <w:r w:rsidR="00EB3771" w:rsidRPr="006E1D81">
        <w:rPr>
          <w:i/>
          <w:sz w:val="28"/>
          <w:szCs w:val="28"/>
        </w:rPr>
        <w:t xml:space="preserve">un </w:t>
      </w:r>
      <w:r w:rsidR="008B56F8">
        <w:rPr>
          <w:i/>
          <w:sz w:val="28"/>
          <w:szCs w:val="28"/>
        </w:rPr>
        <w:t xml:space="preserve">ES </w:t>
      </w:r>
      <w:r w:rsidR="00EB3771" w:rsidRPr="006E1D81">
        <w:rPr>
          <w:i/>
          <w:sz w:val="28"/>
          <w:szCs w:val="28"/>
        </w:rPr>
        <w:t xml:space="preserve">tieslietu un iekšlietu aģentūrām (piemēram, </w:t>
      </w:r>
      <w:proofErr w:type="spellStart"/>
      <w:r w:rsidR="00EB3771" w:rsidRPr="006E1D81">
        <w:rPr>
          <w:i/>
          <w:sz w:val="28"/>
          <w:szCs w:val="28"/>
        </w:rPr>
        <w:t>Eurojust</w:t>
      </w:r>
      <w:proofErr w:type="spellEnd"/>
      <w:r w:rsidR="00EB3771" w:rsidRPr="006E1D81">
        <w:rPr>
          <w:i/>
          <w:sz w:val="28"/>
          <w:szCs w:val="28"/>
        </w:rPr>
        <w:t xml:space="preserve">, CEPOL, </w:t>
      </w:r>
      <w:proofErr w:type="spellStart"/>
      <w:r w:rsidR="00EB3771" w:rsidRPr="006E1D81">
        <w:rPr>
          <w:i/>
          <w:sz w:val="28"/>
          <w:szCs w:val="28"/>
        </w:rPr>
        <w:t>Europol</w:t>
      </w:r>
      <w:proofErr w:type="spellEnd"/>
      <w:r w:rsidR="00EB3771" w:rsidRPr="006E1D81">
        <w:rPr>
          <w:i/>
          <w:sz w:val="28"/>
          <w:szCs w:val="28"/>
        </w:rPr>
        <w:t>)</w:t>
      </w:r>
      <w:r w:rsidR="009A1943">
        <w:rPr>
          <w:i/>
          <w:sz w:val="28"/>
          <w:szCs w:val="28"/>
        </w:rPr>
        <w:t>, sagatavošanā</w:t>
      </w:r>
      <w:r w:rsidR="00EB3771" w:rsidRPr="006E1D81">
        <w:rPr>
          <w:i/>
          <w:sz w:val="28"/>
          <w:szCs w:val="28"/>
        </w:rPr>
        <w:t>.</w:t>
      </w:r>
      <w:r w:rsidR="00770B4D">
        <w:rPr>
          <w:i/>
          <w:sz w:val="28"/>
          <w:szCs w:val="28"/>
        </w:rPr>
        <w:t xml:space="preserve"> </w:t>
      </w:r>
      <w:r w:rsidR="00770B4D" w:rsidRPr="006E1D81">
        <w:rPr>
          <w:i/>
          <w:sz w:val="28"/>
          <w:szCs w:val="28"/>
        </w:rPr>
        <w:t>L</w:t>
      </w:r>
      <w:r w:rsidR="008B56F8">
        <w:rPr>
          <w:i/>
          <w:sz w:val="28"/>
          <w:szCs w:val="28"/>
        </w:rPr>
        <w:t xml:space="preserve">atvijas vērtējumā </w:t>
      </w:r>
      <w:r w:rsidR="00770B4D">
        <w:rPr>
          <w:i/>
          <w:sz w:val="28"/>
          <w:szCs w:val="28"/>
        </w:rPr>
        <w:t>rekomendācijas var kalpot par labu pamatu t</w:t>
      </w:r>
      <w:r w:rsidR="008B56F8">
        <w:rPr>
          <w:i/>
          <w:sz w:val="28"/>
          <w:szCs w:val="28"/>
        </w:rPr>
        <w:t xml:space="preserve">urpmākām </w:t>
      </w:r>
      <w:r w:rsidR="00770B4D">
        <w:rPr>
          <w:i/>
          <w:sz w:val="28"/>
          <w:szCs w:val="28"/>
        </w:rPr>
        <w:t xml:space="preserve">diskusijām. </w:t>
      </w:r>
    </w:p>
    <w:p w:rsidR="001A28DA" w:rsidRDefault="00EB3771" w:rsidP="006C7059">
      <w:pPr>
        <w:spacing w:line="240" w:lineRule="auto"/>
        <w:jc w:val="both"/>
        <w:rPr>
          <w:i/>
          <w:sz w:val="28"/>
          <w:szCs w:val="28"/>
        </w:rPr>
      </w:pPr>
      <w:r w:rsidRPr="006E1D81">
        <w:rPr>
          <w:i/>
          <w:sz w:val="28"/>
          <w:szCs w:val="28"/>
        </w:rPr>
        <w:t>Latvija piekrīt gala ziņojumā paustajam viedoklim, ka Eiropas Savienības ietvarā pieņemtajiem terorisma apkarošanas pasākumiem</w:t>
      </w:r>
      <w:r w:rsidR="006E1D81" w:rsidRPr="006E1D81">
        <w:rPr>
          <w:i/>
          <w:sz w:val="28"/>
          <w:szCs w:val="28"/>
        </w:rPr>
        <w:t xml:space="preserve"> (gan leģislatīviem, gan neleģislatīviem)</w:t>
      </w:r>
      <w:r w:rsidRPr="006E1D81">
        <w:rPr>
          <w:i/>
          <w:sz w:val="28"/>
          <w:szCs w:val="28"/>
        </w:rPr>
        <w:t xml:space="preserve"> ir īpaša nozīme dalībvalstu atbalstīšanā, labākas prakses koordinēšanā un apmaiņā</w:t>
      </w:r>
      <w:r w:rsidR="006E1D81" w:rsidRPr="006E1D81">
        <w:rPr>
          <w:i/>
          <w:sz w:val="28"/>
          <w:szCs w:val="28"/>
        </w:rPr>
        <w:t xml:space="preserve">. Kopējie risinājumi sniedz iespēju dalībvalstīm labāk </w:t>
      </w:r>
      <w:r w:rsidR="006E1D81" w:rsidRPr="006E1D81">
        <w:rPr>
          <w:i/>
          <w:sz w:val="28"/>
          <w:szCs w:val="28"/>
        </w:rPr>
        <w:lastRenderedPageBreak/>
        <w:t xml:space="preserve">pretoties terorismam, tai skaitā </w:t>
      </w:r>
      <w:proofErr w:type="spellStart"/>
      <w:r w:rsidR="006E1D81" w:rsidRPr="006E1D81">
        <w:rPr>
          <w:i/>
          <w:sz w:val="28"/>
          <w:szCs w:val="28"/>
        </w:rPr>
        <w:t>radikalizācijai</w:t>
      </w:r>
      <w:proofErr w:type="spellEnd"/>
      <w:r w:rsidR="006E1D81" w:rsidRPr="006E1D81">
        <w:rPr>
          <w:i/>
          <w:sz w:val="28"/>
          <w:szCs w:val="28"/>
        </w:rPr>
        <w:t xml:space="preserve"> un ekstrēmismam.</w:t>
      </w:r>
    </w:p>
    <w:p w:rsidR="001A28DA" w:rsidRDefault="001A28DA">
      <w:pPr>
        <w:widowControl/>
        <w:spacing w:line="240" w:lineRule="auto"/>
        <w:rPr>
          <w:b/>
          <w:i/>
          <w:sz w:val="28"/>
          <w:szCs w:val="28"/>
        </w:rPr>
      </w:pPr>
      <w:r>
        <w:rPr>
          <w:b/>
          <w:i/>
          <w:sz w:val="28"/>
          <w:szCs w:val="28"/>
        </w:rPr>
        <w:br w:type="page"/>
      </w:r>
    </w:p>
    <w:p w:rsidR="006C7059" w:rsidRPr="001A28DA" w:rsidRDefault="006C7059" w:rsidP="001A28DA">
      <w:pPr>
        <w:pStyle w:val="ListParagraph"/>
        <w:numPr>
          <w:ilvl w:val="0"/>
          <w:numId w:val="26"/>
        </w:numPr>
        <w:spacing w:line="240" w:lineRule="auto"/>
        <w:jc w:val="both"/>
        <w:rPr>
          <w:b/>
          <w:i/>
          <w:sz w:val="28"/>
          <w:szCs w:val="28"/>
        </w:rPr>
      </w:pPr>
      <w:r w:rsidRPr="001A28DA">
        <w:rPr>
          <w:b/>
          <w:i/>
          <w:sz w:val="28"/>
          <w:szCs w:val="28"/>
        </w:rPr>
        <w:t>Policijas darbs savienotā pasaulē, izmantojot jaunu informāciju</w:t>
      </w:r>
    </w:p>
    <w:p w:rsidR="006C7059" w:rsidRDefault="00150C20" w:rsidP="001A28DA">
      <w:pPr>
        <w:spacing w:line="240" w:lineRule="auto"/>
        <w:ind w:firstLine="567"/>
        <w:jc w:val="both"/>
        <w:rPr>
          <w:sz w:val="28"/>
          <w:szCs w:val="28"/>
        </w:rPr>
      </w:pPr>
      <w:r w:rsidRPr="00150C20">
        <w:rPr>
          <w:sz w:val="28"/>
          <w:szCs w:val="28"/>
        </w:rPr>
        <w:t>2018.gada jūnijā apmēram</w:t>
      </w:r>
      <w:r>
        <w:rPr>
          <w:sz w:val="28"/>
          <w:szCs w:val="28"/>
        </w:rPr>
        <w:t xml:space="preserve"> puse no pasaules iedzīvotājiem lietoja internetu. Tiek sagaidīts, ka tuvākajā nākotnē praktiski visas dzīves jomas būs digitalizētas vai digitāli iespējotas. Iespējas, ko sniedz globālais tīmeklis, vienlaikus ir izaicinājums valsts institūcijām, īstenojot to funkcijas virtuālā vidē.</w:t>
      </w:r>
    </w:p>
    <w:p w:rsidR="00150C20" w:rsidRDefault="00150C20" w:rsidP="001A28DA">
      <w:pPr>
        <w:spacing w:line="240" w:lineRule="auto"/>
        <w:ind w:firstLine="567"/>
        <w:jc w:val="both"/>
        <w:rPr>
          <w:sz w:val="28"/>
          <w:szCs w:val="28"/>
        </w:rPr>
      </w:pPr>
      <w:r>
        <w:rPr>
          <w:sz w:val="28"/>
          <w:szCs w:val="28"/>
        </w:rPr>
        <w:t>Lai spētu izsekot kriminālajai pasaulei digitālajā gadsimtā un arī gūtu labumu no tehnoloģiju attīstības, ir svarīgi, lai visas tiesībaizsardzības iestādes atzītu, saprastu un izmantotu digitālos datus to ikdienas darbā.</w:t>
      </w:r>
    </w:p>
    <w:p w:rsidR="00150C20" w:rsidRDefault="00150C20" w:rsidP="001A28DA">
      <w:pPr>
        <w:spacing w:line="240" w:lineRule="auto"/>
        <w:ind w:firstLine="567"/>
        <w:jc w:val="both"/>
        <w:rPr>
          <w:sz w:val="28"/>
          <w:szCs w:val="28"/>
        </w:rPr>
      </w:pPr>
      <w:r>
        <w:rPr>
          <w:sz w:val="28"/>
          <w:szCs w:val="28"/>
        </w:rPr>
        <w:t>Prezidentūra vēlas uzsākt diskusiju par tām iespējām, kādas, risinot jaunos izaicinājumus, sniedz apmaiņa ar zināšanām par to, kā apstrādāt digitālos datus</w:t>
      </w:r>
      <w:r w:rsidR="00EA7622">
        <w:rPr>
          <w:sz w:val="28"/>
          <w:szCs w:val="28"/>
        </w:rPr>
        <w:t>,</w:t>
      </w:r>
      <w:r>
        <w:rPr>
          <w:sz w:val="28"/>
          <w:szCs w:val="28"/>
        </w:rPr>
        <w:t xml:space="preserve"> tiesībaizsardzības iestāžu starp</w:t>
      </w:r>
      <w:r w:rsidR="002B3D1E">
        <w:rPr>
          <w:sz w:val="28"/>
          <w:szCs w:val="28"/>
        </w:rPr>
        <w:t>ā. Lai to īstenotu, tiek piedāvāta integrēta Eiropas vide, kas būtu pieejam</w:t>
      </w:r>
      <w:r w:rsidR="00EA7622">
        <w:rPr>
          <w:sz w:val="28"/>
          <w:szCs w:val="28"/>
        </w:rPr>
        <w:t>a</w:t>
      </w:r>
      <w:r w:rsidR="002B3D1E">
        <w:rPr>
          <w:sz w:val="28"/>
          <w:szCs w:val="28"/>
        </w:rPr>
        <w:t xml:space="preserve"> visām tiesībaizsardzības iestādēm un kas nodrošinātu zināšanu</w:t>
      </w:r>
      <w:r w:rsidR="00EA7622">
        <w:rPr>
          <w:sz w:val="28"/>
          <w:szCs w:val="28"/>
        </w:rPr>
        <w:t xml:space="preserve"> un</w:t>
      </w:r>
      <w:r w:rsidR="002B3D1E">
        <w:rPr>
          <w:sz w:val="28"/>
          <w:szCs w:val="28"/>
        </w:rPr>
        <w:t xml:space="preserve"> labās prakses apmaiņu, fokusētos uz visiem interesējošo jautājumu attīstību, nodrošinātu algoritmu, pieteikumu un citu programmatūras rīku uzkrāšanu, attīstību, testēšanu, validēšanu un izmantošanu, kā arī noteiktu prioritātes un uzraudzību, tostarp arī pieejamo līdzekļu sadali.</w:t>
      </w:r>
    </w:p>
    <w:p w:rsidR="002B3D1E" w:rsidRDefault="002B3D1E" w:rsidP="001A28DA">
      <w:pPr>
        <w:spacing w:line="240" w:lineRule="auto"/>
        <w:ind w:firstLine="567"/>
        <w:jc w:val="both"/>
        <w:rPr>
          <w:sz w:val="28"/>
          <w:szCs w:val="28"/>
        </w:rPr>
      </w:pPr>
      <w:r>
        <w:rPr>
          <w:sz w:val="28"/>
          <w:szCs w:val="28"/>
        </w:rPr>
        <w:t>Ministri tiek aicināti diskutēt par Prezidentūras piedāvāto integrēto Eiropas vidi, kā arī norādīt iespējas un izaicinājumus, ar kuriem dalībvalstis ir saskārušās nacionāli.</w:t>
      </w:r>
    </w:p>
    <w:p w:rsidR="002B3D1E" w:rsidRDefault="002B3D1E" w:rsidP="006C7059">
      <w:pPr>
        <w:spacing w:line="240" w:lineRule="auto"/>
        <w:jc w:val="both"/>
        <w:rPr>
          <w:sz w:val="28"/>
          <w:szCs w:val="28"/>
        </w:rPr>
      </w:pPr>
    </w:p>
    <w:p w:rsidR="002B3D1E" w:rsidRPr="002B3D1E" w:rsidRDefault="002B3D1E" w:rsidP="006C7059">
      <w:pPr>
        <w:spacing w:line="240" w:lineRule="auto"/>
        <w:jc w:val="both"/>
        <w:rPr>
          <w:sz w:val="28"/>
          <w:szCs w:val="28"/>
        </w:rPr>
      </w:pPr>
      <w:r>
        <w:rPr>
          <w:b/>
          <w:sz w:val="28"/>
          <w:szCs w:val="28"/>
          <w:u w:val="single"/>
        </w:rPr>
        <w:t>Latvijas viedoklis</w:t>
      </w:r>
      <w:r>
        <w:rPr>
          <w:sz w:val="28"/>
          <w:szCs w:val="28"/>
        </w:rPr>
        <w:t>:</w:t>
      </w:r>
    </w:p>
    <w:p w:rsidR="008B56F8" w:rsidRDefault="008B56F8" w:rsidP="001A28DA">
      <w:pPr>
        <w:spacing w:after="240" w:line="240" w:lineRule="auto"/>
        <w:jc w:val="both"/>
        <w:rPr>
          <w:i/>
          <w:sz w:val="28"/>
          <w:szCs w:val="28"/>
        </w:rPr>
      </w:pPr>
      <w:r w:rsidRPr="00D87897">
        <w:rPr>
          <w:i/>
          <w:sz w:val="28"/>
          <w:szCs w:val="28"/>
        </w:rPr>
        <w:t>Latvija piekrīt</w:t>
      </w:r>
      <w:r>
        <w:rPr>
          <w:i/>
          <w:sz w:val="28"/>
          <w:szCs w:val="28"/>
        </w:rPr>
        <w:t>, ka mūsdienās policijas darbu arvien lielākā mērā ietekmē straujā tehnoloģiju attīstība un ar to saistītie izaicinājumi, kas pieprasa pārdomātu un koordinētu rīcību gan nacionālā, gan arī ES līmenī.</w:t>
      </w:r>
    </w:p>
    <w:p w:rsidR="008B56F8" w:rsidRDefault="008B56F8" w:rsidP="008B56F8">
      <w:pPr>
        <w:spacing w:line="240" w:lineRule="auto"/>
        <w:jc w:val="both"/>
        <w:rPr>
          <w:i/>
          <w:sz w:val="28"/>
          <w:szCs w:val="28"/>
        </w:rPr>
      </w:pPr>
      <w:r>
        <w:rPr>
          <w:i/>
          <w:sz w:val="28"/>
          <w:szCs w:val="28"/>
        </w:rPr>
        <w:t xml:space="preserve">Vienlaikus Latvija uzskata, ka uzsvars būtu liekams uz esošo iniciatīvu pēc iespējas efektīvāku praktisko īstenošanu. </w:t>
      </w:r>
      <w:r w:rsidRPr="00D0381D">
        <w:rPr>
          <w:bCs/>
          <w:i/>
          <w:sz w:val="28"/>
          <w:szCs w:val="28"/>
        </w:rPr>
        <w:t>Tikai tad, ja tiek secināts, ka esošie pasākumi ir nepietiekami un nesniedz gaidīto pienesumu, Latvijas</w:t>
      </w:r>
      <w:r w:rsidRPr="00D0381D">
        <w:rPr>
          <w:b/>
          <w:bCs/>
          <w:i/>
          <w:sz w:val="28"/>
          <w:szCs w:val="28"/>
        </w:rPr>
        <w:t xml:space="preserve"> </w:t>
      </w:r>
      <w:r w:rsidRPr="00D0381D">
        <w:rPr>
          <w:bCs/>
          <w:i/>
          <w:sz w:val="28"/>
          <w:szCs w:val="28"/>
        </w:rPr>
        <w:t xml:space="preserve">skatījumā būtu jāpievēršas jaunu pasākumu un iniciatīvu apsvēršanai un izveidei. </w:t>
      </w:r>
      <w:r>
        <w:rPr>
          <w:i/>
          <w:sz w:val="28"/>
          <w:szCs w:val="28"/>
        </w:rPr>
        <w:t xml:space="preserve">   </w:t>
      </w:r>
    </w:p>
    <w:p w:rsidR="008B56F8" w:rsidRPr="00150C20" w:rsidRDefault="008B56F8" w:rsidP="006C7059">
      <w:pPr>
        <w:spacing w:line="240" w:lineRule="auto"/>
        <w:jc w:val="both"/>
        <w:rPr>
          <w:i/>
          <w:sz w:val="28"/>
          <w:szCs w:val="28"/>
        </w:rPr>
      </w:pPr>
    </w:p>
    <w:p w:rsidR="006C7059" w:rsidRDefault="006C7059" w:rsidP="006C7059">
      <w:pPr>
        <w:numPr>
          <w:ilvl w:val="0"/>
          <w:numId w:val="24"/>
        </w:numPr>
        <w:spacing w:line="240" w:lineRule="auto"/>
        <w:jc w:val="both"/>
        <w:rPr>
          <w:b/>
          <w:i/>
          <w:sz w:val="28"/>
          <w:szCs w:val="28"/>
        </w:rPr>
      </w:pPr>
      <w:r>
        <w:rPr>
          <w:b/>
          <w:i/>
          <w:sz w:val="28"/>
          <w:szCs w:val="28"/>
        </w:rPr>
        <w:t>Šengenas darb</w:t>
      </w:r>
      <w:r w:rsidR="001C4D7D">
        <w:rPr>
          <w:b/>
          <w:i/>
          <w:sz w:val="28"/>
          <w:szCs w:val="28"/>
        </w:rPr>
        <w:t>ība</w:t>
      </w:r>
    </w:p>
    <w:p w:rsidR="006C7059" w:rsidRDefault="002B3D1E" w:rsidP="001A28DA">
      <w:pPr>
        <w:spacing w:line="240" w:lineRule="auto"/>
        <w:ind w:firstLine="567"/>
        <w:jc w:val="both"/>
        <w:rPr>
          <w:sz w:val="28"/>
          <w:szCs w:val="28"/>
        </w:rPr>
      </w:pPr>
      <w:r>
        <w:rPr>
          <w:sz w:val="28"/>
          <w:szCs w:val="28"/>
        </w:rPr>
        <w:t>Viens no Eiropas integrācijas lielākajiem sasniegumiem ir Šengenas sadarbība, kas ir arī viens no galvenajiem instrumentiem, ar kura palīdzību Eiropas pilsoņi var īstenot savas brīvības un iekšējais tirgus var uzplaukt un attīstīties.</w:t>
      </w:r>
    </w:p>
    <w:p w:rsidR="00AB38F0" w:rsidRDefault="002B3D1E" w:rsidP="001A28DA">
      <w:pPr>
        <w:spacing w:line="240" w:lineRule="auto"/>
        <w:ind w:firstLine="567"/>
        <w:jc w:val="both"/>
        <w:rPr>
          <w:sz w:val="28"/>
          <w:szCs w:val="28"/>
        </w:rPr>
      </w:pPr>
      <w:r>
        <w:rPr>
          <w:sz w:val="28"/>
          <w:szCs w:val="28"/>
        </w:rPr>
        <w:t>Diemžēl Šengenas sistēma pierādīja, ka nav pilnībā gatava tiem izaicinājumiem, ar kuriem ES saskaras pēdēj</w:t>
      </w:r>
      <w:r w:rsidR="00AB38F0">
        <w:rPr>
          <w:sz w:val="28"/>
          <w:szCs w:val="28"/>
        </w:rPr>
        <w:t>o gadu</w:t>
      </w:r>
      <w:r>
        <w:rPr>
          <w:sz w:val="28"/>
          <w:szCs w:val="28"/>
        </w:rPr>
        <w:t xml:space="preserve"> laikā, proti, draudiem iekšējai drošībai</w:t>
      </w:r>
      <w:r w:rsidR="00AB38F0">
        <w:rPr>
          <w:sz w:val="28"/>
          <w:szCs w:val="28"/>
        </w:rPr>
        <w:t xml:space="preserve"> un efektīvai ES ārējo robežu apsardzībai. Rezultātā vairākas dalībvalstis ir atjaunojušas kontroles uz iekšējām robežām.</w:t>
      </w:r>
    </w:p>
    <w:p w:rsidR="002B3D1E" w:rsidRDefault="00AB38F0" w:rsidP="001A28DA">
      <w:pPr>
        <w:spacing w:line="240" w:lineRule="auto"/>
        <w:ind w:firstLine="567"/>
        <w:jc w:val="both"/>
        <w:rPr>
          <w:sz w:val="28"/>
          <w:szCs w:val="28"/>
        </w:rPr>
      </w:pPr>
      <w:r>
        <w:rPr>
          <w:sz w:val="28"/>
          <w:szCs w:val="28"/>
        </w:rPr>
        <w:t>Lai novērstu šādu situāciju, stiprinātu ES iekšējo drošību un novērstu negatīvo ietekmi, Eiropas Komisija ir nākusi klajā ar priekšlikumiem</w:t>
      </w:r>
      <w:r w:rsidR="003D63D7">
        <w:rPr>
          <w:sz w:val="28"/>
          <w:szCs w:val="28"/>
        </w:rPr>
        <w:t xml:space="preserve"> ārējo robežu pārvaldības stiprināšanai un jaunu IT sistēmu izveidošanai vai esošo sistēmu uzlabošanai.</w:t>
      </w:r>
    </w:p>
    <w:p w:rsidR="003D63D7" w:rsidRDefault="003D63D7" w:rsidP="001A28DA">
      <w:pPr>
        <w:spacing w:line="240" w:lineRule="auto"/>
        <w:ind w:firstLine="567"/>
        <w:jc w:val="both"/>
        <w:rPr>
          <w:sz w:val="28"/>
          <w:szCs w:val="28"/>
        </w:rPr>
      </w:pPr>
      <w:r>
        <w:rPr>
          <w:sz w:val="28"/>
          <w:szCs w:val="28"/>
        </w:rPr>
        <w:t>Neraugoties uz visiem līdz šim īstenotajiem pasākumiem, vēl aizvien nav izdevies pilnībā atgriezties pie Šengenas telpas bez iekšējām robežām.</w:t>
      </w:r>
    </w:p>
    <w:p w:rsidR="003D63D7" w:rsidRDefault="003D63D7" w:rsidP="001A28DA">
      <w:pPr>
        <w:spacing w:line="240" w:lineRule="auto"/>
        <w:ind w:firstLine="567"/>
        <w:jc w:val="both"/>
        <w:rPr>
          <w:sz w:val="28"/>
          <w:szCs w:val="28"/>
        </w:rPr>
      </w:pPr>
      <w:r>
        <w:rPr>
          <w:sz w:val="28"/>
          <w:szCs w:val="28"/>
        </w:rPr>
        <w:lastRenderedPageBreak/>
        <w:t>Ministri tiek aicināti diskutēt par to, kuri īstermiņa un vidējā termiņa pasākumi būtu īstenojami, lai atjaunotu Šengenas darbīb</w:t>
      </w:r>
      <w:r w:rsidR="00DD3317">
        <w:rPr>
          <w:sz w:val="28"/>
          <w:szCs w:val="28"/>
        </w:rPr>
        <w:t>u</w:t>
      </w:r>
      <w:r>
        <w:rPr>
          <w:sz w:val="28"/>
          <w:szCs w:val="28"/>
        </w:rPr>
        <w:t>, kā arī par to, kā varētu nodrošināt lielāku saskaņotību starp Šengenas instrumentiem un novērst fragmentāciju.</w:t>
      </w:r>
    </w:p>
    <w:p w:rsidR="003D63D7" w:rsidRDefault="003D63D7" w:rsidP="006C7059">
      <w:pPr>
        <w:spacing w:line="240" w:lineRule="auto"/>
        <w:jc w:val="both"/>
        <w:rPr>
          <w:sz w:val="28"/>
          <w:szCs w:val="28"/>
        </w:rPr>
      </w:pPr>
    </w:p>
    <w:p w:rsidR="003D63D7" w:rsidRDefault="003D63D7" w:rsidP="006C7059">
      <w:pPr>
        <w:spacing w:line="240" w:lineRule="auto"/>
        <w:jc w:val="both"/>
        <w:rPr>
          <w:sz w:val="28"/>
          <w:szCs w:val="28"/>
        </w:rPr>
      </w:pPr>
      <w:r>
        <w:rPr>
          <w:b/>
          <w:sz w:val="28"/>
          <w:szCs w:val="28"/>
          <w:u w:val="single"/>
        </w:rPr>
        <w:t>Latvijas viedoklis</w:t>
      </w:r>
      <w:r>
        <w:rPr>
          <w:sz w:val="28"/>
          <w:szCs w:val="28"/>
        </w:rPr>
        <w:t>:</w:t>
      </w:r>
    </w:p>
    <w:p w:rsidR="006C7059" w:rsidRDefault="009D48EB" w:rsidP="001A28DA">
      <w:pPr>
        <w:spacing w:after="240" w:line="240" w:lineRule="auto"/>
        <w:jc w:val="both"/>
        <w:rPr>
          <w:i/>
          <w:sz w:val="28"/>
          <w:szCs w:val="28"/>
        </w:rPr>
      </w:pPr>
      <w:r>
        <w:rPr>
          <w:i/>
          <w:sz w:val="28"/>
          <w:szCs w:val="28"/>
        </w:rPr>
        <w:t xml:space="preserve">Latvija vienmēr ir uzsvērusi Šengenas </w:t>
      </w:r>
      <w:r w:rsidR="008B56F8">
        <w:rPr>
          <w:i/>
          <w:sz w:val="28"/>
          <w:szCs w:val="28"/>
        </w:rPr>
        <w:t xml:space="preserve">telpas </w:t>
      </w:r>
      <w:r>
        <w:rPr>
          <w:i/>
          <w:sz w:val="28"/>
          <w:szCs w:val="28"/>
        </w:rPr>
        <w:t xml:space="preserve">izveidi kā vienu no galvenajiem Eiropas sasniegumiem, ko Eiropas pilsoņi izjūt ikdienā. Tādēļ </w:t>
      </w:r>
      <w:r w:rsidR="008B56F8">
        <w:rPr>
          <w:i/>
          <w:sz w:val="28"/>
          <w:szCs w:val="28"/>
        </w:rPr>
        <w:t xml:space="preserve">atbalsta visus centienus, kas vērsti </w:t>
      </w:r>
      <w:r w:rsidR="00DD3317">
        <w:rPr>
          <w:i/>
          <w:sz w:val="28"/>
          <w:szCs w:val="28"/>
        </w:rPr>
        <w:t xml:space="preserve">uz </w:t>
      </w:r>
      <w:r w:rsidR="008B56F8">
        <w:rPr>
          <w:i/>
          <w:sz w:val="28"/>
          <w:szCs w:val="28"/>
        </w:rPr>
        <w:t>tās stiprināšan</w:t>
      </w:r>
      <w:r w:rsidR="00DD3317">
        <w:rPr>
          <w:i/>
          <w:sz w:val="28"/>
          <w:szCs w:val="28"/>
        </w:rPr>
        <w:t>u</w:t>
      </w:r>
      <w:r w:rsidR="008B56F8">
        <w:rPr>
          <w:i/>
          <w:sz w:val="28"/>
          <w:szCs w:val="28"/>
        </w:rPr>
        <w:t xml:space="preserve"> un normālas funkcionēšanas atjaunošan</w:t>
      </w:r>
      <w:r w:rsidR="00DD3317">
        <w:rPr>
          <w:i/>
          <w:sz w:val="28"/>
          <w:szCs w:val="28"/>
        </w:rPr>
        <w:t>u</w:t>
      </w:r>
      <w:r w:rsidR="008B56F8">
        <w:rPr>
          <w:i/>
          <w:sz w:val="28"/>
          <w:szCs w:val="28"/>
        </w:rPr>
        <w:t>.</w:t>
      </w:r>
    </w:p>
    <w:p w:rsidR="008B56F8" w:rsidRPr="008B56F8" w:rsidRDefault="008B56F8" w:rsidP="006C7059">
      <w:pPr>
        <w:spacing w:line="240" w:lineRule="auto"/>
        <w:jc w:val="both"/>
        <w:rPr>
          <w:i/>
          <w:sz w:val="28"/>
          <w:szCs w:val="28"/>
        </w:rPr>
      </w:pPr>
      <w:r>
        <w:rPr>
          <w:i/>
          <w:sz w:val="28"/>
          <w:szCs w:val="28"/>
        </w:rPr>
        <w:t>Latvijas vērtējumā Šengenas sistēmas struktūra ir labi pārdomāta un pierādījusi sevi vairākās desmitgadēs. Šobrīd primārais un svarīgākais pasākums Šengenas telpas normālas darb</w:t>
      </w:r>
      <w:r w:rsidR="001C4D7D">
        <w:rPr>
          <w:i/>
          <w:sz w:val="28"/>
          <w:szCs w:val="28"/>
        </w:rPr>
        <w:t xml:space="preserve">ības </w:t>
      </w:r>
      <w:r>
        <w:rPr>
          <w:i/>
          <w:sz w:val="28"/>
          <w:szCs w:val="28"/>
        </w:rPr>
        <w:t>nodrošināšanai būtu pamatprincipa – savstarpējās uzticēšanās – atjaunošana.</w:t>
      </w:r>
    </w:p>
    <w:p w:rsidR="008B56F8" w:rsidRDefault="008B56F8" w:rsidP="006C7059">
      <w:pPr>
        <w:spacing w:line="240" w:lineRule="auto"/>
        <w:jc w:val="both"/>
        <w:rPr>
          <w:b/>
          <w:i/>
          <w:sz w:val="28"/>
          <w:szCs w:val="28"/>
        </w:rPr>
      </w:pPr>
    </w:p>
    <w:p w:rsidR="006C7059" w:rsidRDefault="006C7059" w:rsidP="006C7059">
      <w:pPr>
        <w:numPr>
          <w:ilvl w:val="0"/>
          <w:numId w:val="24"/>
        </w:numPr>
        <w:spacing w:line="240" w:lineRule="auto"/>
        <w:ind w:left="357" w:firstLine="0"/>
        <w:jc w:val="both"/>
        <w:rPr>
          <w:b/>
          <w:i/>
          <w:sz w:val="28"/>
          <w:szCs w:val="28"/>
        </w:rPr>
      </w:pPr>
      <w:r>
        <w:rPr>
          <w:b/>
          <w:i/>
          <w:sz w:val="28"/>
          <w:szCs w:val="28"/>
        </w:rPr>
        <w:t>ES migrācijas un patvēruma politika “Solis tuvāk pareizajam risinājumam”</w:t>
      </w:r>
    </w:p>
    <w:p w:rsidR="00FC7B3F" w:rsidRPr="003D63D7" w:rsidRDefault="009B3B53" w:rsidP="001A28DA">
      <w:pPr>
        <w:spacing w:line="240" w:lineRule="auto"/>
        <w:ind w:firstLine="567"/>
        <w:jc w:val="both"/>
        <w:rPr>
          <w:sz w:val="28"/>
          <w:szCs w:val="28"/>
        </w:rPr>
      </w:pPr>
      <w:r>
        <w:rPr>
          <w:sz w:val="28"/>
          <w:szCs w:val="28"/>
        </w:rPr>
        <w:t>Kopš migrācijas krīzes 2015.gadā ir izdarīts ļoti daudz, lai vairotu ES noturību pret šādām krīzēm nākotnē. Vienlaikus ir skaidrs, ka nepieciešams turpmāks darbs, lai varētu noslēgt uzsākto Kopējās Eiropas patvērum</w:t>
      </w:r>
      <w:r w:rsidR="00B55649">
        <w:rPr>
          <w:sz w:val="28"/>
          <w:szCs w:val="28"/>
        </w:rPr>
        <w:t>a</w:t>
      </w:r>
      <w:r>
        <w:rPr>
          <w:sz w:val="28"/>
          <w:szCs w:val="28"/>
        </w:rPr>
        <w:t xml:space="preserve"> sistēmas</w:t>
      </w:r>
      <w:r w:rsidR="00B55649">
        <w:rPr>
          <w:sz w:val="28"/>
          <w:szCs w:val="28"/>
        </w:rPr>
        <w:t xml:space="preserve"> (turpmāk – KEPS)</w:t>
      </w:r>
      <w:r>
        <w:rPr>
          <w:sz w:val="28"/>
          <w:szCs w:val="28"/>
        </w:rPr>
        <w:t xml:space="preserve"> reformu.</w:t>
      </w:r>
      <w:r w:rsidR="00FC7B3F">
        <w:rPr>
          <w:sz w:val="28"/>
          <w:szCs w:val="28"/>
        </w:rPr>
        <w:t xml:space="preserve"> Visiem pieņemamu risinājumu meklēšana ir diskusiju galvenais aspekts, it īpaši ja ir vēlme nodrošināt pieņemto lēmumu efektivitāti un pozitīvus rezultātus to īstenošanā.</w:t>
      </w:r>
    </w:p>
    <w:p w:rsidR="00FF4DE7" w:rsidRDefault="00FC7B3F" w:rsidP="001A28DA">
      <w:pPr>
        <w:spacing w:line="240" w:lineRule="auto"/>
        <w:ind w:firstLine="567"/>
        <w:jc w:val="both"/>
        <w:rPr>
          <w:rFonts w:eastAsia="Calibri"/>
          <w:sz w:val="28"/>
          <w:szCs w:val="28"/>
        </w:rPr>
      </w:pPr>
      <w:r>
        <w:rPr>
          <w:rFonts w:eastAsia="Calibri"/>
          <w:sz w:val="28"/>
          <w:szCs w:val="28"/>
        </w:rPr>
        <w:t>Lai arī šobrīd darbs pie Dublinas regulas grozījumiem ir apstājies, ir skaidrs, ka tas būs jāturpina, lai uzlabotu noteikumus par atbildīgās dalībvalsts par patvēruma pieteikuma izskatīšanu noteikšanu. Līdztekus diskusijā</w:t>
      </w:r>
      <w:r w:rsidR="00C04A87">
        <w:rPr>
          <w:rFonts w:eastAsia="Calibri"/>
          <w:sz w:val="28"/>
          <w:szCs w:val="28"/>
        </w:rPr>
        <w:t>m</w:t>
      </w:r>
      <w:r>
        <w:rPr>
          <w:rFonts w:eastAsia="Calibri"/>
          <w:sz w:val="28"/>
          <w:szCs w:val="28"/>
        </w:rPr>
        <w:t xml:space="preserve"> par Dublinas regulas grozījumiem ir jāturpina darbs pie </w:t>
      </w:r>
      <w:proofErr w:type="spellStart"/>
      <w:r>
        <w:rPr>
          <w:rFonts w:eastAsia="Calibri"/>
          <w:sz w:val="28"/>
          <w:szCs w:val="28"/>
        </w:rPr>
        <w:t>prevencijas</w:t>
      </w:r>
      <w:proofErr w:type="spellEnd"/>
      <w:r>
        <w:rPr>
          <w:rFonts w:eastAsia="Calibri"/>
          <w:sz w:val="28"/>
          <w:szCs w:val="28"/>
        </w:rPr>
        <w:t xml:space="preserve"> pasākumiem</w:t>
      </w:r>
      <w:r w:rsidR="00C04A87">
        <w:rPr>
          <w:rFonts w:eastAsia="Calibri"/>
          <w:sz w:val="28"/>
          <w:szCs w:val="28"/>
        </w:rPr>
        <w:t>, lai novērstu atkārtotu migrācijas krīzi.</w:t>
      </w:r>
    </w:p>
    <w:p w:rsidR="00C04A87" w:rsidRDefault="00C04A87" w:rsidP="001A28DA">
      <w:pPr>
        <w:spacing w:line="240" w:lineRule="auto"/>
        <w:ind w:firstLine="567"/>
        <w:jc w:val="both"/>
        <w:rPr>
          <w:rFonts w:eastAsia="Calibri"/>
          <w:sz w:val="28"/>
          <w:szCs w:val="28"/>
        </w:rPr>
      </w:pPr>
      <w:r>
        <w:rPr>
          <w:rFonts w:eastAsia="Calibri"/>
          <w:sz w:val="28"/>
          <w:szCs w:val="28"/>
        </w:rPr>
        <w:t>2018.</w:t>
      </w:r>
      <w:r w:rsidR="001A28DA">
        <w:rPr>
          <w:rFonts w:eastAsia="Calibri"/>
          <w:sz w:val="28"/>
          <w:szCs w:val="28"/>
        </w:rPr>
        <w:t xml:space="preserve"> </w:t>
      </w:r>
      <w:r>
        <w:rPr>
          <w:rFonts w:eastAsia="Calibri"/>
          <w:sz w:val="28"/>
          <w:szCs w:val="28"/>
        </w:rPr>
        <w:t>gada 4.</w:t>
      </w:r>
      <w:r w:rsidR="001A28DA">
        <w:rPr>
          <w:rFonts w:eastAsia="Calibri"/>
          <w:sz w:val="28"/>
          <w:szCs w:val="28"/>
        </w:rPr>
        <w:t xml:space="preserve"> </w:t>
      </w:r>
      <w:r>
        <w:rPr>
          <w:rFonts w:eastAsia="Calibri"/>
          <w:sz w:val="28"/>
          <w:szCs w:val="28"/>
        </w:rPr>
        <w:t>decembra paziņojumā “Pārvaldot migrāciju visos tās aspektos: panāktais progress atbilstoši Eiropas migrācijas programmai</w:t>
      </w:r>
      <w:r w:rsidR="009045FB">
        <w:rPr>
          <w:rFonts w:eastAsia="Calibri"/>
          <w:sz w:val="28"/>
          <w:szCs w:val="28"/>
        </w:rPr>
        <w:t>”</w:t>
      </w:r>
      <w:r>
        <w:rPr>
          <w:rStyle w:val="FootnoteReference"/>
          <w:rFonts w:eastAsia="Calibri"/>
          <w:sz w:val="28"/>
          <w:szCs w:val="28"/>
        </w:rPr>
        <w:footnoteReference w:id="1"/>
      </w:r>
      <w:r>
        <w:rPr>
          <w:rFonts w:eastAsia="Calibri"/>
          <w:sz w:val="28"/>
          <w:szCs w:val="28"/>
        </w:rPr>
        <w:t xml:space="preserve"> Eiropas Komisija piedāvā izstrādāt pagaidu risinājumus, kas darbotos līdz jaunās Dublinas regulas spēkā stāšanās brīdim.</w:t>
      </w:r>
    </w:p>
    <w:p w:rsidR="00C04A87" w:rsidRDefault="00C04A87" w:rsidP="00FF4DE7">
      <w:pPr>
        <w:spacing w:line="240" w:lineRule="auto"/>
        <w:jc w:val="both"/>
        <w:rPr>
          <w:rFonts w:eastAsia="Calibri"/>
          <w:sz w:val="28"/>
          <w:szCs w:val="28"/>
        </w:rPr>
      </w:pPr>
      <w:r>
        <w:rPr>
          <w:rFonts w:eastAsia="Calibri"/>
          <w:sz w:val="28"/>
          <w:szCs w:val="28"/>
        </w:rPr>
        <w:t>Prezidentūra kopā ar visām iesaistītajām pusēm plāno izpētīt pagaidu risinājumu konceptu un iespējas tos piemērot praksē.</w:t>
      </w:r>
    </w:p>
    <w:p w:rsidR="00C04A87" w:rsidRDefault="00C04A87" w:rsidP="00FF4DE7">
      <w:pPr>
        <w:spacing w:line="240" w:lineRule="auto"/>
        <w:jc w:val="both"/>
        <w:rPr>
          <w:rFonts w:eastAsia="Calibri"/>
          <w:sz w:val="28"/>
          <w:szCs w:val="28"/>
        </w:rPr>
      </w:pPr>
      <w:r>
        <w:rPr>
          <w:rFonts w:eastAsia="Calibri"/>
          <w:sz w:val="28"/>
          <w:szCs w:val="28"/>
        </w:rPr>
        <w:t>Ministri aicināti atbildēt uz jautājumiem:</w:t>
      </w:r>
    </w:p>
    <w:p w:rsidR="00C04A87" w:rsidRDefault="00C04A87" w:rsidP="00C04A87">
      <w:pPr>
        <w:numPr>
          <w:ilvl w:val="0"/>
          <w:numId w:val="25"/>
        </w:numPr>
        <w:spacing w:line="240" w:lineRule="auto"/>
        <w:jc w:val="both"/>
        <w:rPr>
          <w:rFonts w:eastAsia="Calibri"/>
          <w:sz w:val="28"/>
          <w:szCs w:val="28"/>
        </w:rPr>
      </w:pPr>
      <w:r>
        <w:rPr>
          <w:rFonts w:eastAsia="Calibri"/>
          <w:sz w:val="28"/>
          <w:szCs w:val="28"/>
        </w:rPr>
        <w:t>Vai variet atbalstīt pagaidu risinājumus kā piemērotu operacionālu un paredzamu risinājumu īstermiņā līdz KEPS reformas noslēgumam?</w:t>
      </w:r>
    </w:p>
    <w:p w:rsidR="00C04A87" w:rsidRDefault="00C04A87" w:rsidP="00C04A87">
      <w:pPr>
        <w:numPr>
          <w:ilvl w:val="0"/>
          <w:numId w:val="25"/>
        </w:numPr>
        <w:spacing w:line="240" w:lineRule="auto"/>
        <w:jc w:val="both"/>
        <w:rPr>
          <w:rFonts w:eastAsia="Calibri"/>
          <w:sz w:val="28"/>
          <w:szCs w:val="28"/>
        </w:rPr>
      </w:pPr>
      <w:r>
        <w:rPr>
          <w:rFonts w:eastAsia="Calibri"/>
          <w:sz w:val="28"/>
          <w:szCs w:val="28"/>
        </w:rPr>
        <w:t>Kā nodrošināt ātru un efektīvu šī koncepta īstenošanu?</w:t>
      </w:r>
    </w:p>
    <w:p w:rsidR="00C04A87" w:rsidRDefault="00C04A87" w:rsidP="00C04A87">
      <w:pPr>
        <w:numPr>
          <w:ilvl w:val="0"/>
          <w:numId w:val="25"/>
        </w:numPr>
        <w:spacing w:line="240" w:lineRule="auto"/>
        <w:jc w:val="both"/>
        <w:rPr>
          <w:rFonts w:eastAsia="Calibri"/>
          <w:sz w:val="28"/>
          <w:szCs w:val="28"/>
        </w:rPr>
      </w:pPr>
      <w:r>
        <w:rPr>
          <w:rFonts w:eastAsia="Calibri"/>
          <w:sz w:val="28"/>
          <w:szCs w:val="28"/>
        </w:rPr>
        <w:t>Kādiem aspektiem būtu jābūt prioritāriem sadarbībā ar trešajām valstīm?</w:t>
      </w:r>
    </w:p>
    <w:p w:rsidR="00C04A87" w:rsidRDefault="00C04A87" w:rsidP="00C04A87">
      <w:pPr>
        <w:spacing w:line="240" w:lineRule="auto"/>
        <w:jc w:val="both"/>
        <w:rPr>
          <w:rFonts w:eastAsia="Calibri"/>
          <w:sz w:val="28"/>
          <w:szCs w:val="28"/>
        </w:rPr>
      </w:pPr>
    </w:p>
    <w:p w:rsidR="00C04A87" w:rsidRDefault="00C04A87" w:rsidP="00C04A87">
      <w:pPr>
        <w:spacing w:line="240" w:lineRule="auto"/>
        <w:jc w:val="both"/>
        <w:rPr>
          <w:rFonts w:eastAsia="Calibri"/>
          <w:sz w:val="28"/>
          <w:szCs w:val="28"/>
        </w:rPr>
      </w:pPr>
      <w:r>
        <w:rPr>
          <w:rFonts w:eastAsia="Calibri"/>
          <w:b/>
          <w:sz w:val="28"/>
          <w:szCs w:val="28"/>
          <w:u w:val="single"/>
        </w:rPr>
        <w:t>Latvijas viedoklis</w:t>
      </w:r>
      <w:r>
        <w:rPr>
          <w:rFonts w:eastAsia="Calibri"/>
          <w:sz w:val="28"/>
          <w:szCs w:val="28"/>
        </w:rPr>
        <w:t>:</w:t>
      </w:r>
    </w:p>
    <w:p w:rsidR="00C04A87" w:rsidRDefault="00C04A87" w:rsidP="001A28DA">
      <w:pPr>
        <w:spacing w:after="240" w:line="240" w:lineRule="auto"/>
        <w:jc w:val="both"/>
        <w:rPr>
          <w:rFonts w:eastAsia="Calibri"/>
          <w:i/>
          <w:sz w:val="28"/>
          <w:szCs w:val="28"/>
        </w:rPr>
      </w:pPr>
      <w:r>
        <w:rPr>
          <w:rFonts w:eastAsia="Calibri"/>
          <w:i/>
          <w:sz w:val="28"/>
          <w:szCs w:val="28"/>
        </w:rPr>
        <w:t>Latvija atbalsta darba turpināš</w:t>
      </w:r>
      <w:r w:rsidR="00A87D32">
        <w:rPr>
          <w:rFonts w:eastAsia="Calibri"/>
          <w:i/>
          <w:sz w:val="28"/>
          <w:szCs w:val="28"/>
        </w:rPr>
        <w:t>an</w:t>
      </w:r>
      <w:r>
        <w:rPr>
          <w:rFonts w:eastAsia="Calibri"/>
          <w:i/>
          <w:sz w:val="28"/>
          <w:szCs w:val="28"/>
        </w:rPr>
        <w:t xml:space="preserve">u pie KEPS reformas, meklējot visām pusēm pieņemamu risinājumu. Tāpat Latvija ir atvērta jaunām iniciatīvām, kas varētu </w:t>
      </w:r>
      <w:r>
        <w:rPr>
          <w:rFonts w:eastAsia="Calibri"/>
          <w:i/>
          <w:sz w:val="28"/>
          <w:szCs w:val="28"/>
        </w:rPr>
        <w:lastRenderedPageBreak/>
        <w:t>palīdzēt pašreizēj</w:t>
      </w:r>
      <w:r w:rsidR="00C648B5">
        <w:rPr>
          <w:rFonts w:eastAsia="Calibri"/>
          <w:i/>
          <w:sz w:val="28"/>
          <w:szCs w:val="28"/>
        </w:rPr>
        <w:t>ā</w:t>
      </w:r>
      <w:r>
        <w:rPr>
          <w:rFonts w:eastAsia="Calibri"/>
          <w:i/>
          <w:sz w:val="28"/>
          <w:szCs w:val="28"/>
        </w:rPr>
        <w:t xml:space="preserve"> situācij</w:t>
      </w:r>
      <w:r w:rsidR="00C648B5">
        <w:rPr>
          <w:rFonts w:eastAsia="Calibri"/>
          <w:i/>
          <w:sz w:val="28"/>
          <w:szCs w:val="28"/>
        </w:rPr>
        <w:t>ā</w:t>
      </w:r>
      <w:r>
        <w:rPr>
          <w:rFonts w:eastAsia="Calibri"/>
          <w:i/>
          <w:sz w:val="28"/>
          <w:szCs w:val="28"/>
        </w:rPr>
        <w:t xml:space="preserve">. </w:t>
      </w:r>
      <w:r w:rsidR="00F6570C">
        <w:rPr>
          <w:rFonts w:eastAsia="Calibri"/>
          <w:i/>
          <w:sz w:val="28"/>
          <w:szCs w:val="28"/>
        </w:rPr>
        <w:t>Tādēļ konceptuāli neiebilstam pagaidu risinājumu koncepta izpētei un iespējamajai piemērošanai praksē. Vienlaikus atgādinām, ka Latvijas nostāja par patvēruma meklētāju pārdali saglabājas nemainīga, proti, tas var notikt tikai dalībvalstīm brīvprātīgi iesaistoties šādos pasākumos.</w:t>
      </w:r>
    </w:p>
    <w:p w:rsidR="00F6570C" w:rsidRPr="00C04A87" w:rsidRDefault="00F6570C" w:rsidP="00C04A87">
      <w:pPr>
        <w:spacing w:line="240" w:lineRule="auto"/>
        <w:jc w:val="both"/>
        <w:rPr>
          <w:rFonts w:eastAsia="Calibri"/>
          <w:i/>
          <w:sz w:val="28"/>
          <w:szCs w:val="28"/>
        </w:rPr>
      </w:pPr>
      <w:r>
        <w:rPr>
          <w:rFonts w:eastAsia="Calibri"/>
          <w:i/>
          <w:sz w:val="28"/>
          <w:szCs w:val="28"/>
        </w:rPr>
        <w:t>Latvijas vērtējumā stratēģiska sadarbība ar trešajām valstīm ir viens no efektīvas migrācijas plūsmu pārvaldības stūrakmeņiem.</w:t>
      </w:r>
      <w:r w:rsidR="009D48EB">
        <w:rPr>
          <w:rFonts w:eastAsia="Calibri"/>
          <w:i/>
          <w:sz w:val="28"/>
          <w:szCs w:val="28"/>
        </w:rPr>
        <w:t xml:space="preserve"> Tādēļ arī turpmākajai sadarbībai ir jābūt izsvērtai un mērķtiecīgai, lai ieguvums būtu visām iesaistītajām pusēm.</w:t>
      </w:r>
    </w:p>
    <w:p w:rsidR="00126BBE" w:rsidRPr="006C650B" w:rsidRDefault="00126BBE" w:rsidP="00B66BBE">
      <w:pPr>
        <w:spacing w:line="240" w:lineRule="auto"/>
        <w:jc w:val="both"/>
        <w:rPr>
          <w:rFonts w:eastAsia="Calibri"/>
          <w:sz w:val="28"/>
          <w:szCs w:val="28"/>
        </w:rPr>
      </w:pPr>
    </w:p>
    <w:p w:rsidR="00126BBE" w:rsidRPr="006C650B" w:rsidRDefault="00126BBE" w:rsidP="00B66BBE">
      <w:pPr>
        <w:spacing w:line="240" w:lineRule="auto"/>
        <w:jc w:val="both"/>
        <w:rPr>
          <w:rFonts w:eastAsia="Calibri"/>
          <w:sz w:val="28"/>
          <w:szCs w:val="28"/>
        </w:rPr>
      </w:pPr>
    </w:p>
    <w:p w:rsidR="00126BBE" w:rsidRDefault="00126BBE" w:rsidP="00B66BBE">
      <w:pPr>
        <w:spacing w:line="240" w:lineRule="auto"/>
        <w:jc w:val="both"/>
        <w:rPr>
          <w:rFonts w:eastAsia="Calibri"/>
          <w:sz w:val="28"/>
          <w:szCs w:val="28"/>
        </w:rPr>
      </w:pPr>
      <w:r w:rsidRPr="006C650B">
        <w:rPr>
          <w:rFonts w:eastAsia="Calibri"/>
          <w:sz w:val="28"/>
          <w:szCs w:val="28"/>
        </w:rPr>
        <w:t>Iekšlietu ministrs</w:t>
      </w:r>
      <w:r w:rsidRPr="006C650B">
        <w:rPr>
          <w:rFonts w:eastAsia="Calibri"/>
          <w:sz w:val="28"/>
          <w:szCs w:val="28"/>
        </w:rPr>
        <w:tab/>
      </w:r>
      <w:r w:rsidRPr="006C650B">
        <w:rPr>
          <w:rFonts w:eastAsia="Calibri"/>
          <w:sz w:val="28"/>
          <w:szCs w:val="28"/>
        </w:rPr>
        <w:tab/>
      </w:r>
      <w:r w:rsidRPr="006C650B">
        <w:rPr>
          <w:rFonts w:eastAsia="Calibri"/>
          <w:sz w:val="28"/>
          <w:szCs w:val="28"/>
        </w:rPr>
        <w:tab/>
      </w:r>
      <w:r w:rsidRPr="006C650B">
        <w:rPr>
          <w:rFonts w:eastAsia="Calibri"/>
          <w:sz w:val="28"/>
          <w:szCs w:val="28"/>
        </w:rPr>
        <w:tab/>
      </w:r>
      <w:r w:rsidRPr="006C650B">
        <w:rPr>
          <w:rFonts w:eastAsia="Calibri"/>
          <w:sz w:val="28"/>
          <w:szCs w:val="28"/>
        </w:rPr>
        <w:tab/>
      </w:r>
      <w:r w:rsidRPr="006C650B">
        <w:rPr>
          <w:rFonts w:eastAsia="Calibri"/>
          <w:sz w:val="28"/>
          <w:szCs w:val="28"/>
        </w:rPr>
        <w:tab/>
      </w:r>
      <w:r w:rsidRPr="006C650B">
        <w:rPr>
          <w:rFonts w:eastAsia="Calibri"/>
          <w:sz w:val="28"/>
          <w:szCs w:val="28"/>
        </w:rPr>
        <w:tab/>
      </w:r>
      <w:r w:rsidRPr="006C650B">
        <w:rPr>
          <w:rFonts w:eastAsia="Calibri"/>
          <w:sz w:val="28"/>
          <w:szCs w:val="28"/>
        </w:rPr>
        <w:tab/>
      </w:r>
      <w:r w:rsidRPr="006C650B">
        <w:rPr>
          <w:rFonts w:eastAsia="Calibri"/>
          <w:sz w:val="28"/>
          <w:szCs w:val="28"/>
        </w:rPr>
        <w:tab/>
      </w:r>
      <w:r w:rsidRPr="006C650B">
        <w:rPr>
          <w:rFonts w:eastAsia="Calibri"/>
          <w:sz w:val="28"/>
          <w:szCs w:val="28"/>
        </w:rPr>
        <w:tab/>
      </w:r>
      <w:r w:rsidR="001A28DA">
        <w:rPr>
          <w:rFonts w:eastAsia="Calibri"/>
          <w:sz w:val="28"/>
          <w:szCs w:val="28"/>
        </w:rPr>
        <w:t xml:space="preserve">Sandis </w:t>
      </w:r>
      <w:r w:rsidR="006C7059">
        <w:rPr>
          <w:rFonts w:eastAsia="Calibri"/>
          <w:sz w:val="28"/>
          <w:szCs w:val="28"/>
        </w:rPr>
        <w:t>Ģirģens</w:t>
      </w:r>
    </w:p>
    <w:p w:rsidR="001A28DA" w:rsidRDefault="001A28DA" w:rsidP="00B66BBE">
      <w:pPr>
        <w:spacing w:line="240" w:lineRule="auto"/>
        <w:jc w:val="both"/>
        <w:rPr>
          <w:rFonts w:eastAsia="Calibri"/>
          <w:sz w:val="28"/>
          <w:szCs w:val="28"/>
        </w:rPr>
      </w:pPr>
    </w:p>
    <w:p w:rsidR="001A28DA" w:rsidRDefault="001A28DA" w:rsidP="00B66BBE">
      <w:pPr>
        <w:spacing w:line="240" w:lineRule="auto"/>
        <w:jc w:val="both"/>
        <w:rPr>
          <w:rFonts w:eastAsia="Calibri"/>
          <w:sz w:val="28"/>
          <w:szCs w:val="28"/>
        </w:rPr>
      </w:pPr>
    </w:p>
    <w:p w:rsidR="001A28DA" w:rsidRDefault="001A28DA" w:rsidP="00B66BBE">
      <w:pPr>
        <w:spacing w:line="240" w:lineRule="auto"/>
        <w:jc w:val="both"/>
        <w:rPr>
          <w:rFonts w:eastAsia="Calibri"/>
          <w:sz w:val="28"/>
          <w:szCs w:val="28"/>
        </w:rPr>
      </w:pPr>
    </w:p>
    <w:p w:rsidR="001A28DA" w:rsidRDefault="001A28DA" w:rsidP="00B66BBE">
      <w:pPr>
        <w:spacing w:line="240" w:lineRule="auto"/>
        <w:jc w:val="both"/>
        <w:rPr>
          <w:rFonts w:eastAsia="Calibri"/>
          <w:sz w:val="28"/>
          <w:szCs w:val="28"/>
        </w:rPr>
      </w:pPr>
    </w:p>
    <w:p w:rsidR="001A28DA" w:rsidRDefault="001A28DA" w:rsidP="00B66BBE">
      <w:pPr>
        <w:spacing w:line="240" w:lineRule="auto"/>
        <w:jc w:val="both"/>
        <w:rPr>
          <w:rFonts w:eastAsia="Calibri"/>
          <w:sz w:val="28"/>
          <w:szCs w:val="28"/>
        </w:rPr>
      </w:pPr>
    </w:p>
    <w:p w:rsidR="001A28DA" w:rsidRDefault="001A28DA" w:rsidP="00B66BBE">
      <w:pPr>
        <w:spacing w:line="240" w:lineRule="auto"/>
        <w:jc w:val="both"/>
        <w:rPr>
          <w:rFonts w:eastAsia="Calibri"/>
          <w:sz w:val="28"/>
          <w:szCs w:val="28"/>
        </w:rPr>
      </w:pPr>
    </w:p>
    <w:p w:rsidR="001A28DA" w:rsidRDefault="001A28DA" w:rsidP="00B66BBE">
      <w:pPr>
        <w:spacing w:line="240" w:lineRule="auto"/>
        <w:jc w:val="both"/>
        <w:rPr>
          <w:rFonts w:eastAsia="Calibri"/>
          <w:sz w:val="28"/>
          <w:szCs w:val="28"/>
        </w:rPr>
      </w:pPr>
    </w:p>
    <w:p w:rsidR="001A28DA" w:rsidRDefault="001A28DA" w:rsidP="00B66BBE">
      <w:pPr>
        <w:spacing w:line="240" w:lineRule="auto"/>
        <w:jc w:val="both"/>
        <w:rPr>
          <w:rFonts w:eastAsia="Calibri"/>
          <w:sz w:val="28"/>
          <w:szCs w:val="28"/>
        </w:rPr>
      </w:pPr>
    </w:p>
    <w:p w:rsidR="001A28DA" w:rsidRDefault="001A28DA" w:rsidP="00B66BBE">
      <w:pPr>
        <w:spacing w:line="240" w:lineRule="auto"/>
        <w:jc w:val="both"/>
        <w:rPr>
          <w:rFonts w:eastAsia="Calibri"/>
          <w:sz w:val="28"/>
          <w:szCs w:val="28"/>
        </w:rPr>
      </w:pPr>
    </w:p>
    <w:p w:rsidR="001A28DA" w:rsidRDefault="001A28DA" w:rsidP="00B66BBE">
      <w:pPr>
        <w:spacing w:line="240" w:lineRule="auto"/>
        <w:jc w:val="both"/>
        <w:rPr>
          <w:rFonts w:eastAsia="Calibri"/>
          <w:sz w:val="28"/>
          <w:szCs w:val="28"/>
        </w:rPr>
      </w:pPr>
    </w:p>
    <w:p w:rsidR="001A28DA" w:rsidRDefault="001A28DA" w:rsidP="00B66BBE">
      <w:pPr>
        <w:spacing w:line="240" w:lineRule="auto"/>
        <w:jc w:val="both"/>
        <w:rPr>
          <w:rFonts w:eastAsia="Calibri"/>
          <w:sz w:val="28"/>
          <w:szCs w:val="28"/>
        </w:rPr>
      </w:pPr>
    </w:p>
    <w:p w:rsidR="001A28DA" w:rsidRDefault="001A28DA" w:rsidP="00B66BBE">
      <w:pPr>
        <w:spacing w:line="240" w:lineRule="auto"/>
        <w:jc w:val="both"/>
        <w:rPr>
          <w:rFonts w:eastAsia="Calibri"/>
          <w:sz w:val="28"/>
          <w:szCs w:val="28"/>
        </w:rPr>
      </w:pPr>
    </w:p>
    <w:p w:rsidR="001A28DA" w:rsidRDefault="001A28DA" w:rsidP="00B66BBE">
      <w:pPr>
        <w:spacing w:line="240" w:lineRule="auto"/>
        <w:jc w:val="both"/>
        <w:rPr>
          <w:rFonts w:eastAsia="Calibri"/>
          <w:sz w:val="28"/>
          <w:szCs w:val="28"/>
        </w:rPr>
      </w:pPr>
    </w:p>
    <w:p w:rsidR="001A28DA" w:rsidRDefault="001A28DA" w:rsidP="00B66BBE">
      <w:pPr>
        <w:spacing w:line="240" w:lineRule="auto"/>
        <w:jc w:val="both"/>
        <w:rPr>
          <w:rFonts w:eastAsia="Calibri"/>
          <w:sz w:val="28"/>
          <w:szCs w:val="28"/>
        </w:rPr>
      </w:pPr>
    </w:p>
    <w:p w:rsidR="001A28DA" w:rsidRDefault="001A28DA" w:rsidP="00B66BBE">
      <w:pPr>
        <w:spacing w:line="240" w:lineRule="auto"/>
        <w:jc w:val="both"/>
        <w:rPr>
          <w:rFonts w:eastAsia="Calibri"/>
          <w:sz w:val="28"/>
          <w:szCs w:val="28"/>
        </w:rPr>
      </w:pPr>
    </w:p>
    <w:p w:rsidR="001A28DA" w:rsidRDefault="001A28DA" w:rsidP="00B66BBE">
      <w:pPr>
        <w:spacing w:line="240" w:lineRule="auto"/>
        <w:jc w:val="both"/>
        <w:rPr>
          <w:rFonts w:eastAsia="Calibri"/>
          <w:sz w:val="28"/>
          <w:szCs w:val="28"/>
        </w:rPr>
      </w:pPr>
    </w:p>
    <w:p w:rsidR="001A28DA" w:rsidRDefault="001A28DA" w:rsidP="00B66BBE">
      <w:pPr>
        <w:spacing w:line="240" w:lineRule="auto"/>
        <w:jc w:val="both"/>
        <w:rPr>
          <w:rFonts w:eastAsia="Calibri"/>
          <w:sz w:val="28"/>
          <w:szCs w:val="28"/>
        </w:rPr>
      </w:pPr>
    </w:p>
    <w:p w:rsidR="001A28DA" w:rsidRDefault="001A28DA" w:rsidP="00B66BBE">
      <w:pPr>
        <w:spacing w:line="240" w:lineRule="auto"/>
        <w:jc w:val="both"/>
        <w:rPr>
          <w:rFonts w:eastAsia="Calibri"/>
          <w:sz w:val="28"/>
          <w:szCs w:val="28"/>
        </w:rPr>
      </w:pPr>
    </w:p>
    <w:p w:rsidR="001A28DA" w:rsidRDefault="001A28DA" w:rsidP="00B66BBE">
      <w:pPr>
        <w:spacing w:line="240" w:lineRule="auto"/>
        <w:jc w:val="both"/>
        <w:rPr>
          <w:rFonts w:eastAsia="Calibri"/>
          <w:sz w:val="28"/>
          <w:szCs w:val="28"/>
        </w:rPr>
      </w:pPr>
    </w:p>
    <w:p w:rsidR="001A28DA" w:rsidRDefault="001A28DA" w:rsidP="00B66BBE">
      <w:pPr>
        <w:spacing w:line="240" w:lineRule="auto"/>
        <w:jc w:val="both"/>
        <w:rPr>
          <w:rFonts w:eastAsia="Calibri"/>
          <w:sz w:val="28"/>
          <w:szCs w:val="28"/>
        </w:rPr>
      </w:pPr>
    </w:p>
    <w:p w:rsidR="001A28DA" w:rsidRDefault="001A28DA" w:rsidP="00B66BBE">
      <w:pPr>
        <w:spacing w:line="240" w:lineRule="auto"/>
        <w:jc w:val="both"/>
        <w:rPr>
          <w:rFonts w:eastAsia="Calibri"/>
          <w:sz w:val="28"/>
          <w:szCs w:val="28"/>
        </w:rPr>
      </w:pPr>
    </w:p>
    <w:p w:rsidR="001A28DA" w:rsidRDefault="001A28DA" w:rsidP="00B66BBE">
      <w:pPr>
        <w:spacing w:line="240" w:lineRule="auto"/>
        <w:jc w:val="both"/>
        <w:rPr>
          <w:rFonts w:eastAsia="Calibri"/>
          <w:sz w:val="28"/>
          <w:szCs w:val="28"/>
        </w:rPr>
      </w:pPr>
    </w:p>
    <w:p w:rsidR="001A28DA" w:rsidRDefault="001A28DA" w:rsidP="001A28DA">
      <w:pPr>
        <w:widowControl/>
        <w:spacing w:line="240" w:lineRule="auto"/>
        <w:rPr>
          <w:bCs/>
          <w:sz w:val="20"/>
          <w:lang w:eastAsia="lv-LV"/>
        </w:rPr>
      </w:pPr>
    </w:p>
    <w:p w:rsidR="001A28DA" w:rsidRDefault="001A28DA" w:rsidP="001A28DA">
      <w:pPr>
        <w:widowControl/>
        <w:spacing w:line="240" w:lineRule="auto"/>
        <w:rPr>
          <w:bCs/>
          <w:sz w:val="20"/>
          <w:lang w:eastAsia="lv-LV"/>
        </w:rPr>
      </w:pPr>
    </w:p>
    <w:p w:rsidR="001A28DA" w:rsidRDefault="001A28DA" w:rsidP="001A28DA">
      <w:pPr>
        <w:widowControl/>
        <w:spacing w:line="240" w:lineRule="auto"/>
        <w:rPr>
          <w:bCs/>
          <w:sz w:val="20"/>
          <w:lang w:eastAsia="lv-LV"/>
        </w:rPr>
      </w:pPr>
    </w:p>
    <w:p w:rsidR="001A28DA" w:rsidRPr="0039155A" w:rsidRDefault="001A28DA" w:rsidP="001A28DA">
      <w:pPr>
        <w:widowControl/>
        <w:spacing w:line="240" w:lineRule="auto"/>
        <w:rPr>
          <w:bCs/>
          <w:sz w:val="20"/>
          <w:lang w:eastAsia="lv-LV"/>
        </w:rPr>
      </w:pPr>
      <w:r>
        <w:rPr>
          <w:bCs/>
          <w:sz w:val="20"/>
          <w:lang w:eastAsia="lv-LV"/>
        </w:rPr>
        <w:fldChar w:fldCharType="begin"/>
      </w:r>
      <w:r>
        <w:rPr>
          <w:bCs/>
          <w:sz w:val="20"/>
          <w:lang w:eastAsia="lv-LV"/>
        </w:rPr>
        <w:instrText xml:space="preserve"> CREATEDATE  \@ "dd.MM.yyyy. HH:MM"  \* MERGEFORMAT </w:instrText>
      </w:r>
      <w:r>
        <w:rPr>
          <w:bCs/>
          <w:sz w:val="20"/>
          <w:lang w:eastAsia="lv-LV"/>
        </w:rPr>
        <w:fldChar w:fldCharType="separate"/>
      </w:r>
      <w:r>
        <w:rPr>
          <w:bCs/>
          <w:noProof/>
          <w:sz w:val="20"/>
          <w:lang w:eastAsia="lv-LV"/>
        </w:rPr>
        <w:t>31.01.2019. 11:01</w:t>
      </w:r>
      <w:r>
        <w:rPr>
          <w:bCs/>
          <w:sz w:val="20"/>
          <w:lang w:eastAsia="lv-LV"/>
        </w:rPr>
        <w:fldChar w:fldCharType="end"/>
      </w:r>
    </w:p>
    <w:p w:rsidR="001A28DA" w:rsidRDefault="001A28DA" w:rsidP="001A28DA">
      <w:pPr>
        <w:widowControl/>
        <w:spacing w:line="240" w:lineRule="auto"/>
        <w:rPr>
          <w:bCs/>
          <w:sz w:val="20"/>
          <w:lang w:eastAsia="lv-LV"/>
        </w:rPr>
      </w:pPr>
      <w:r>
        <w:rPr>
          <w:bCs/>
          <w:sz w:val="20"/>
          <w:lang w:eastAsia="lv-LV"/>
        </w:rPr>
        <w:fldChar w:fldCharType="begin"/>
      </w:r>
      <w:r>
        <w:rPr>
          <w:bCs/>
          <w:sz w:val="20"/>
          <w:lang w:eastAsia="lv-LV"/>
        </w:rPr>
        <w:instrText xml:space="preserve"> NUMWORDS   \* MERGEFORMAT </w:instrText>
      </w:r>
      <w:r>
        <w:rPr>
          <w:bCs/>
          <w:sz w:val="20"/>
          <w:lang w:eastAsia="lv-LV"/>
        </w:rPr>
        <w:fldChar w:fldCharType="separate"/>
      </w:r>
      <w:r>
        <w:rPr>
          <w:bCs/>
          <w:noProof/>
          <w:sz w:val="20"/>
          <w:lang w:eastAsia="lv-LV"/>
        </w:rPr>
        <w:t>1103</w:t>
      </w:r>
      <w:r>
        <w:rPr>
          <w:bCs/>
          <w:sz w:val="20"/>
          <w:lang w:eastAsia="lv-LV"/>
        </w:rPr>
        <w:fldChar w:fldCharType="end"/>
      </w:r>
      <w:bookmarkStart w:id="0" w:name="_GoBack"/>
      <w:bookmarkEnd w:id="0"/>
    </w:p>
    <w:p w:rsidR="001A28DA" w:rsidRPr="0039155A" w:rsidRDefault="001A28DA" w:rsidP="001A28DA">
      <w:pPr>
        <w:widowControl/>
        <w:spacing w:line="240" w:lineRule="auto"/>
        <w:rPr>
          <w:bCs/>
          <w:sz w:val="20"/>
          <w:lang w:eastAsia="lv-LV"/>
        </w:rPr>
      </w:pPr>
      <w:r w:rsidRPr="0039155A">
        <w:rPr>
          <w:bCs/>
          <w:sz w:val="20"/>
          <w:lang w:eastAsia="lv-LV"/>
        </w:rPr>
        <w:t>Eiropas lietu un starptautiskās sadarbības departamenta</w:t>
      </w:r>
    </w:p>
    <w:p w:rsidR="001A28DA" w:rsidRPr="0039155A" w:rsidRDefault="001A28DA" w:rsidP="001A28DA">
      <w:pPr>
        <w:widowControl/>
        <w:spacing w:line="240" w:lineRule="auto"/>
        <w:rPr>
          <w:bCs/>
          <w:sz w:val="20"/>
          <w:lang w:eastAsia="lv-LV"/>
        </w:rPr>
      </w:pPr>
      <w:r w:rsidRPr="0039155A">
        <w:rPr>
          <w:bCs/>
          <w:sz w:val="20"/>
          <w:lang w:eastAsia="lv-LV"/>
        </w:rPr>
        <w:t xml:space="preserve">Eiropas lietu nodaļas </w:t>
      </w:r>
      <w:r>
        <w:rPr>
          <w:bCs/>
          <w:sz w:val="20"/>
          <w:lang w:eastAsia="lv-LV"/>
        </w:rPr>
        <w:t>vadītāja</w:t>
      </w:r>
    </w:p>
    <w:p w:rsidR="001A28DA" w:rsidRPr="0039155A" w:rsidRDefault="001A28DA" w:rsidP="001A28DA">
      <w:pPr>
        <w:widowControl/>
        <w:spacing w:line="240" w:lineRule="auto"/>
        <w:rPr>
          <w:bCs/>
          <w:sz w:val="20"/>
          <w:lang w:eastAsia="lv-LV"/>
        </w:rPr>
      </w:pPr>
      <w:r>
        <w:rPr>
          <w:bCs/>
          <w:sz w:val="20"/>
          <w:lang w:eastAsia="lv-LV"/>
        </w:rPr>
        <w:t>I</w:t>
      </w:r>
      <w:r w:rsidRPr="0039155A">
        <w:rPr>
          <w:bCs/>
          <w:sz w:val="20"/>
          <w:lang w:eastAsia="lv-LV"/>
        </w:rPr>
        <w:t>.</w:t>
      </w:r>
      <w:r>
        <w:rPr>
          <w:bCs/>
          <w:sz w:val="20"/>
          <w:lang w:eastAsia="lv-LV"/>
        </w:rPr>
        <w:t>Muceniece, 67219170</w:t>
      </w:r>
    </w:p>
    <w:p w:rsidR="001A28DA" w:rsidRPr="006C650B" w:rsidRDefault="001A28DA" w:rsidP="001A28DA">
      <w:pPr>
        <w:spacing w:line="240" w:lineRule="auto"/>
        <w:jc w:val="both"/>
        <w:rPr>
          <w:rFonts w:eastAsia="Calibri"/>
          <w:sz w:val="28"/>
          <w:szCs w:val="28"/>
        </w:rPr>
      </w:pPr>
      <w:hyperlink r:id="rId8" w:history="1">
        <w:r w:rsidRPr="00FF4167">
          <w:rPr>
            <w:rStyle w:val="Hyperlink"/>
            <w:bCs/>
            <w:sz w:val="20"/>
            <w:lang w:eastAsia="lv-LV"/>
          </w:rPr>
          <w:t>iveta.muceniece@iem.gov.lv</w:t>
        </w:r>
      </w:hyperlink>
    </w:p>
    <w:sectPr w:rsidR="001A28DA" w:rsidRPr="006C650B" w:rsidSect="00390236">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41E" w:rsidRDefault="00A6341E">
      <w:r>
        <w:separator/>
      </w:r>
    </w:p>
  </w:endnote>
  <w:endnote w:type="continuationSeparator" w:id="0">
    <w:p w:rsidR="00A6341E" w:rsidRDefault="00A6341E">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3B" w:rsidRDefault="00F1303B" w:rsidP="003902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303B" w:rsidRDefault="00F1303B" w:rsidP="00116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F8" w:rsidRPr="001A28DA" w:rsidRDefault="001A28DA" w:rsidP="00E727A4">
    <w:pPr>
      <w:pStyle w:val="Footer"/>
      <w:rPr>
        <w:i/>
        <w:sz w:val="20"/>
      </w:rPr>
    </w:pPr>
    <w:r w:rsidRPr="001A28DA">
      <w:rPr>
        <w:i/>
        <w:sz w:val="20"/>
      </w:rPr>
      <w:fldChar w:fldCharType="begin"/>
    </w:r>
    <w:r w:rsidRPr="001A28DA">
      <w:rPr>
        <w:i/>
        <w:sz w:val="20"/>
      </w:rPr>
      <w:instrText xml:space="preserve"> FILENAME   \* MERGEFORMAT </w:instrText>
    </w:r>
    <w:r w:rsidRPr="001A28DA">
      <w:rPr>
        <w:i/>
        <w:sz w:val="20"/>
      </w:rPr>
      <w:fldChar w:fldCharType="separate"/>
    </w:r>
    <w:r w:rsidRPr="001A28DA">
      <w:rPr>
        <w:i/>
        <w:noProof/>
        <w:sz w:val="20"/>
      </w:rPr>
      <w:t>IEMzino_300119</w:t>
    </w:r>
    <w:r w:rsidRPr="001A28DA">
      <w:rPr>
        <w: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3B" w:rsidRPr="001A28DA" w:rsidRDefault="001A28DA" w:rsidP="00E727A4">
    <w:pPr>
      <w:pStyle w:val="Footer"/>
      <w:rPr>
        <w:i/>
        <w:sz w:val="20"/>
      </w:rPr>
    </w:pPr>
    <w:r w:rsidRPr="001A28DA">
      <w:rPr>
        <w:i/>
        <w:sz w:val="20"/>
      </w:rPr>
      <w:fldChar w:fldCharType="begin"/>
    </w:r>
    <w:r w:rsidRPr="001A28DA">
      <w:rPr>
        <w:i/>
        <w:sz w:val="20"/>
      </w:rPr>
      <w:instrText xml:space="preserve"> FILENAME   \* MERGEFORMAT </w:instrText>
    </w:r>
    <w:r w:rsidRPr="001A28DA">
      <w:rPr>
        <w:i/>
        <w:sz w:val="20"/>
      </w:rPr>
      <w:fldChar w:fldCharType="separate"/>
    </w:r>
    <w:r w:rsidRPr="001A28DA">
      <w:rPr>
        <w:i/>
        <w:noProof/>
        <w:sz w:val="20"/>
      </w:rPr>
      <w:t>IEMzino_300119</w:t>
    </w:r>
    <w:r w:rsidRPr="001A28DA">
      <w:rP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41E" w:rsidRDefault="00A6341E">
      <w:pPr>
        <w:pStyle w:val="FootnoteText"/>
      </w:pPr>
      <w:r>
        <w:separator/>
      </w:r>
    </w:p>
  </w:footnote>
  <w:footnote w:type="continuationSeparator" w:id="0">
    <w:p w:rsidR="00A6341E" w:rsidRDefault="00A6341E">
      <w:pPr>
        <w:pStyle w:val="FootnoteText"/>
      </w:pPr>
      <w:r>
        <w:separator/>
      </w:r>
    </w:p>
  </w:footnote>
  <w:footnote w:id="1">
    <w:p w:rsidR="00C04A87" w:rsidRPr="00C04A87" w:rsidRDefault="00C04A87">
      <w:pPr>
        <w:pStyle w:val="FootnoteText"/>
        <w:rPr>
          <w:i/>
        </w:rPr>
      </w:pPr>
      <w:r>
        <w:rPr>
          <w:rStyle w:val="FootnoteReference"/>
        </w:rPr>
        <w:footnoteRef/>
      </w:r>
      <w:r>
        <w:t xml:space="preserve"> COM (2018) 798 </w:t>
      </w:r>
      <w:proofErr w:type="spellStart"/>
      <w:r>
        <w:rPr>
          <w:i/>
        </w:rPr>
        <w:t>final</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3B" w:rsidRDefault="00F1303B" w:rsidP="00763A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303B" w:rsidRDefault="00F13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3B" w:rsidRDefault="00F1303B" w:rsidP="00763A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28DA">
      <w:rPr>
        <w:rStyle w:val="PageNumber"/>
        <w:noProof/>
      </w:rPr>
      <w:t>4</w:t>
    </w:r>
    <w:r>
      <w:rPr>
        <w:rStyle w:val="PageNumber"/>
      </w:rPr>
      <w:fldChar w:fldCharType="end"/>
    </w:r>
  </w:p>
  <w:p w:rsidR="001A28DA" w:rsidRDefault="001A28DA" w:rsidP="00765F86">
    <w:pPr>
      <w:pStyle w:val="Header"/>
      <w:jc w:val="right"/>
      <w:rPr>
        <w:i/>
      </w:rPr>
    </w:pPr>
  </w:p>
  <w:p w:rsidR="001A28DA" w:rsidRDefault="001A28DA" w:rsidP="00765F86">
    <w:pPr>
      <w:pStyle w:val="Header"/>
      <w:jc w:val="right"/>
      <w:rPr>
        <w:i/>
      </w:rPr>
    </w:pPr>
  </w:p>
  <w:p w:rsidR="00F1303B" w:rsidRPr="00E727A4" w:rsidRDefault="00F1303B" w:rsidP="001A28DA">
    <w:pPr>
      <w:pStyle w:val="Header"/>
      <w:spacing w:after="240"/>
      <w:jc w:val="right"/>
      <w:rPr>
        <w:i/>
      </w:rPr>
    </w:pPr>
    <w:r w:rsidRPr="00E727A4">
      <w:rPr>
        <w:i/>
      </w:rPr>
      <w:t>Pielikums Nr.</w:t>
    </w:r>
    <w:r w:rsidR="001A28DA">
      <w:rPr>
        <w:i/>
      </w:rPr>
      <w:t xml:space="preserve"> </w:t>
    </w:r>
    <w:r w:rsidRPr="00E727A4">
      <w:rPr>
        <w:i/>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3B" w:rsidRPr="001A28DA" w:rsidRDefault="00F1303B" w:rsidP="00765F86">
    <w:pPr>
      <w:pStyle w:val="Header"/>
      <w:jc w:val="right"/>
      <w:rPr>
        <w:i/>
      </w:rPr>
    </w:pPr>
    <w:r w:rsidRPr="001A28DA">
      <w:rPr>
        <w:i/>
      </w:rPr>
      <w:t>Pielikums Nr.</w:t>
    </w:r>
    <w:r w:rsidR="001A28DA">
      <w:rPr>
        <w:i/>
      </w:rPr>
      <w:t xml:space="preserve"> </w:t>
    </w:r>
    <w:r w:rsidRPr="001A28DA">
      <w:rPr>
        <w:i/>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25625338"/>
    <w:multiLevelType w:val="hybridMultilevel"/>
    <w:tmpl w:val="C1DEDEA8"/>
    <w:lvl w:ilvl="0" w:tplc="C3EE20D2">
      <w:start w:val="2"/>
      <w:numFmt w:val="bullet"/>
      <w:lvlText w:val="-"/>
      <w:lvlJc w:val="left"/>
      <w:pPr>
        <w:ind w:left="720" w:hanging="360"/>
      </w:pPr>
      <w:rPr>
        <w:rFonts w:ascii="Times New Roman" w:eastAsia="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5"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6"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7"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8" w15:restartNumberingAfterBreak="0">
    <w:nsid w:val="3E4B720E"/>
    <w:multiLevelType w:val="hybridMultilevel"/>
    <w:tmpl w:val="03029AD4"/>
    <w:lvl w:ilvl="0" w:tplc="B972DBAC">
      <w:start w:val="2018"/>
      <w:numFmt w:val="bullet"/>
      <w:lvlText w:val="-"/>
      <w:lvlJc w:val="left"/>
      <w:pPr>
        <w:ind w:left="720" w:hanging="360"/>
      </w:pPr>
      <w:rPr>
        <w:rFonts w:ascii="Times New Roman" w:eastAsia="Times New Roman" w:hAnsi="Times New Roman" w:cs="Times New Roman" w:hint="default"/>
        <w:b/>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101A24"/>
    <w:multiLevelType w:val="singleLevel"/>
    <w:tmpl w:val="49C4613E"/>
    <w:name w:val="Considérant__1"/>
    <w:lvl w:ilvl="0">
      <w:start w:val="1"/>
      <w:numFmt w:val="decimal"/>
      <w:pStyle w:val="Considrant"/>
      <w:lvlText w:val="(%1)"/>
      <w:lvlJc w:val="left"/>
      <w:pPr>
        <w:tabs>
          <w:tab w:val="num" w:pos="709"/>
        </w:tabs>
        <w:ind w:left="709" w:hanging="709"/>
      </w:pPr>
      <w:rPr>
        <w:rFonts w:cs="Times New Roman"/>
      </w:rPr>
    </w:lvl>
  </w:abstractNum>
  <w:abstractNum w:abstractNumId="10"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1"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2" w15:restartNumberingAfterBreak="0">
    <w:nsid w:val="46347072"/>
    <w:multiLevelType w:val="hybridMultilevel"/>
    <w:tmpl w:val="843A1C4C"/>
    <w:lvl w:ilvl="0" w:tplc="04260011">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40758D"/>
    <w:multiLevelType w:val="hybridMultilevel"/>
    <w:tmpl w:val="D98EC1AE"/>
    <w:lvl w:ilvl="0" w:tplc="CE80BB60">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ED63DA9"/>
    <w:multiLevelType w:val="hybridMultilevel"/>
    <w:tmpl w:val="20BC157E"/>
    <w:lvl w:ilvl="0" w:tplc="43A212FE">
      <w:start w:val="2015"/>
      <w:numFmt w:val="bullet"/>
      <w:lvlText w:val="-"/>
      <w:lvlJc w:val="left"/>
      <w:pPr>
        <w:ind w:left="720" w:hanging="360"/>
      </w:pPr>
      <w:rPr>
        <w:rFonts w:ascii="Times New Roman" w:eastAsia="Times New Roman" w:hAnsi="Times New Roman" w:cs="Times New Roman" w:hint="default"/>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6D60E32"/>
    <w:multiLevelType w:val="hybridMultilevel"/>
    <w:tmpl w:val="9F18C8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26B5FFE"/>
    <w:multiLevelType w:val="hybridMultilevel"/>
    <w:tmpl w:val="DED4262C"/>
    <w:lvl w:ilvl="0" w:tplc="49D0231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B96198F"/>
    <w:multiLevelType w:val="hybridMultilevel"/>
    <w:tmpl w:val="890ABC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9" w15:restartNumberingAfterBreak="0">
    <w:nsid w:val="72F31441"/>
    <w:multiLevelType w:val="hybridMultilevel"/>
    <w:tmpl w:val="E6D872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21" w15:restartNumberingAfterBreak="0">
    <w:nsid w:val="7AE97E89"/>
    <w:multiLevelType w:val="singleLevel"/>
    <w:tmpl w:val="998E636E"/>
    <w:name w:val="Bullet 0__1"/>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2" w15:restartNumberingAfterBreak="0">
    <w:nsid w:val="7F4D6E7D"/>
    <w:multiLevelType w:val="hybridMultilevel"/>
    <w:tmpl w:val="F6D4B902"/>
    <w:lvl w:ilvl="0" w:tplc="CE80BB60">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0"/>
  </w:num>
  <w:num w:numId="4">
    <w:abstractNumId w:val="1"/>
  </w:num>
  <w:num w:numId="5">
    <w:abstractNumId w:val="11"/>
  </w:num>
  <w:num w:numId="6">
    <w:abstractNumId w:val="6"/>
  </w:num>
  <w:num w:numId="7">
    <w:abstractNumId w:val="10"/>
  </w:num>
  <w:num w:numId="8">
    <w:abstractNumId w:val="18"/>
  </w:num>
  <w:num w:numId="9">
    <w:abstractNumId w:val="4"/>
  </w:num>
  <w:num w:numId="10">
    <w:abstractNumId w:val="0"/>
  </w:num>
  <w:num w:numId="11">
    <w:abstractNumId w:val="2"/>
  </w:num>
  <w:num w:numId="12">
    <w:abstractNumId w:val="2"/>
  </w:num>
  <w:num w:numId="13">
    <w:abstractNumId w:val="2"/>
  </w:num>
  <w:num w:numId="14">
    <w:abstractNumId w:val="2"/>
  </w:num>
  <w:num w:numId="15">
    <w:abstractNumId w:val="9"/>
  </w:num>
  <w:num w:numId="16">
    <w:abstractNumId w:val="21"/>
  </w:num>
  <w:num w:numId="17">
    <w:abstractNumId w:val="14"/>
  </w:num>
  <w:num w:numId="18">
    <w:abstractNumId w:val="17"/>
  </w:num>
  <w:num w:numId="19">
    <w:abstractNumId w:val="16"/>
  </w:num>
  <w:num w:numId="20">
    <w:abstractNumId w:val="12"/>
  </w:num>
  <w:num w:numId="21">
    <w:abstractNumId w:val="15"/>
  </w:num>
  <w:num w:numId="22">
    <w:abstractNumId w:val="8"/>
  </w:num>
  <w:num w:numId="23">
    <w:abstractNumId w:val="13"/>
  </w:num>
  <w:num w:numId="24">
    <w:abstractNumId w:val="22"/>
  </w:num>
  <w:num w:numId="25">
    <w:abstractNumId w:val="19"/>
  </w:num>
  <w:num w:numId="2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da-DK" w:vendorID="666" w:dllVersion="513" w:checkStyle="1"/>
  <w:activeWritingStyle w:appName="MSWord" w:lang="fi-FI" w:vendorID="666" w:dllVersion="513" w:checkStyle="1"/>
  <w:activeWritingStyle w:appName="MSWord" w:lang="lv-LV" w:vendorID="7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MLV"/>
  </w:docVars>
  <w:rsids>
    <w:rsidRoot w:val="00D6529B"/>
    <w:rsid w:val="00007AFF"/>
    <w:rsid w:val="000117F2"/>
    <w:rsid w:val="000153D4"/>
    <w:rsid w:val="000235B0"/>
    <w:rsid w:val="00034647"/>
    <w:rsid w:val="00035046"/>
    <w:rsid w:val="0004068A"/>
    <w:rsid w:val="00046435"/>
    <w:rsid w:val="000508DF"/>
    <w:rsid w:val="0005090E"/>
    <w:rsid w:val="000512A7"/>
    <w:rsid w:val="0005201A"/>
    <w:rsid w:val="0005394C"/>
    <w:rsid w:val="000546CF"/>
    <w:rsid w:val="00064EEA"/>
    <w:rsid w:val="00065C39"/>
    <w:rsid w:val="000705DB"/>
    <w:rsid w:val="00082AC7"/>
    <w:rsid w:val="00083778"/>
    <w:rsid w:val="0009065D"/>
    <w:rsid w:val="00090BD4"/>
    <w:rsid w:val="000B162C"/>
    <w:rsid w:val="000D1AF5"/>
    <w:rsid w:val="000D5952"/>
    <w:rsid w:val="000D72CB"/>
    <w:rsid w:val="000E44AA"/>
    <w:rsid w:val="000E6DA8"/>
    <w:rsid w:val="000E7205"/>
    <w:rsid w:val="00100CBA"/>
    <w:rsid w:val="00101042"/>
    <w:rsid w:val="00105F08"/>
    <w:rsid w:val="00116662"/>
    <w:rsid w:val="00117D5C"/>
    <w:rsid w:val="0012198D"/>
    <w:rsid w:val="00121C66"/>
    <w:rsid w:val="00125B10"/>
    <w:rsid w:val="00126BBE"/>
    <w:rsid w:val="00144045"/>
    <w:rsid w:val="00150C20"/>
    <w:rsid w:val="001524D3"/>
    <w:rsid w:val="001542A5"/>
    <w:rsid w:val="00154EBB"/>
    <w:rsid w:val="00163771"/>
    <w:rsid w:val="001678F1"/>
    <w:rsid w:val="00195B4E"/>
    <w:rsid w:val="00196150"/>
    <w:rsid w:val="001968C4"/>
    <w:rsid w:val="00197B88"/>
    <w:rsid w:val="001A28DA"/>
    <w:rsid w:val="001B7750"/>
    <w:rsid w:val="001C018E"/>
    <w:rsid w:val="001C18C8"/>
    <w:rsid w:val="001C33E5"/>
    <w:rsid w:val="001C4D7D"/>
    <w:rsid w:val="001C5B3D"/>
    <w:rsid w:val="001C7ABB"/>
    <w:rsid w:val="001E0ADB"/>
    <w:rsid w:val="001F0178"/>
    <w:rsid w:val="001F41E6"/>
    <w:rsid w:val="001F6D1A"/>
    <w:rsid w:val="0020244F"/>
    <w:rsid w:val="002136AA"/>
    <w:rsid w:val="00225403"/>
    <w:rsid w:val="002306F8"/>
    <w:rsid w:val="0023513E"/>
    <w:rsid w:val="0023532E"/>
    <w:rsid w:val="0023553E"/>
    <w:rsid w:val="00241F6E"/>
    <w:rsid w:val="00256AB4"/>
    <w:rsid w:val="00261B3E"/>
    <w:rsid w:val="00261F1E"/>
    <w:rsid w:val="002622BB"/>
    <w:rsid w:val="00262CED"/>
    <w:rsid w:val="00285E2E"/>
    <w:rsid w:val="00287508"/>
    <w:rsid w:val="00294308"/>
    <w:rsid w:val="002955CA"/>
    <w:rsid w:val="002A19D4"/>
    <w:rsid w:val="002A730F"/>
    <w:rsid w:val="002A7E6A"/>
    <w:rsid w:val="002B322C"/>
    <w:rsid w:val="002B3D1E"/>
    <w:rsid w:val="002B70A5"/>
    <w:rsid w:val="002C6460"/>
    <w:rsid w:val="002D2ED6"/>
    <w:rsid w:val="002E1A90"/>
    <w:rsid w:val="002E48E6"/>
    <w:rsid w:val="002F1616"/>
    <w:rsid w:val="002F1A0F"/>
    <w:rsid w:val="002F29A2"/>
    <w:rsid w:val="002F4B59"/>
    <w:rsid w:val="002F553F"/>
    <w:rsid w:val="00302799"/>
    <w:rsid w:val="00302D3E"/>
    <w:rsid w:val="003054A3"/>
    <w:rsid w:val="00307E10"/>
    <w:rsid w:val="00313374"/>
    <w:rsid w:val="00314732"/>
    <w:rsid w:val="003213C9"/>
    <w:rsid w:val="003236FA"/>
    <w:rsid w:val="003327FD"/>
    <w:rsid w:val="003368D5"/>
    <w:rsid w:val="003406AA"/>
    <w:rsid w:val="00352795"/>
    <w:rsid w:val="00352BE9"/>
    <w:rsid w:val="00354ABC"/>
    <w:rsid w:val="00356DE3"/>
    <w:rsid w:val="003575E3"/>
    <w:rsid w:val="00363C24"/>
    <w:rsid w:val="00363E3E"/>
    <w:rsid w:val="00370A9E"/>
    <w:rsid w:val="0037397D"/>
    <w:rsid w:val="0039011F"/>
    <w:rsid w:val="00390236"/>
    <w:rsid w:val="00393211"/>
    <w:rsid w:val="003A6F67"/>
    <w:rsid w:val="003B2166"/>
    <w:rsid w:val="003C5014"/>
    <w:rsid w:val="003C6383"/>
    <w:rsid w:val="003D5E53"/>
    <w:rsid w:val="003D63D7"/>
    <w:rsid w:val="003F161E"/>
    <w:rsid w:val="00410786"/>
    <w:rsid w:val="004137C1"/>
    <w:rsid w:val="0042552E"/>
    <w:rsid w:val="00427547"/>
    <w:rsid w:val="004342B2"/>
    <w:rsid w:val="0043699D"/>
    <w:rsid w:val="00441090"/>
    <w:rsid w:val="004418F6"/>
    <w:rsid w:val="00446046"/>
    <w:rsid w:val="00451A22"/>
    <w:rsid w:val="0045305E"/>
    <w:rsid w:val="00453845"/>
    <w:rsid w:val="00457BD2"/>
    <w:rsid w:val="00457E44"/>
    <w:rsid w:val="00462B59"/>
    <w:rsid w:val="00463B94"/>
    <w:rsid w:val="0047262F"/>
    <w:rsid w:val="0047529A"/>
    <w:rsid w:val="004A7E01"/>
    <w:rsid w:val="004B3CFE"/>
    <w:rsid w:val="004C0842"/>
    <w:rsid w:val="004C2F4C"/>
    <w:rsid w:val="004C3AC5"/>
    <w:rsid w:val="004C5413"/>
    <w:rsid w:val="004D108B"/>
    <w:rsid w:val="004D5F30"/>
    <w:rsid w:val="004D609B"/>
    <w:rsid w:val="004F306C"/>
    <w:rsid w:val="004F63DE"/>
    <w:rsid w:val="00501ECF"/>
    <w:rsid w:val="0050227C"/>
    <w:rsid w:val="00514345"/>
    <w:rsid w:val="00533248"/>
    <w:rsid w:val="0054080C"/>
    <w:rsid w:val="00567A91"/>
    <w:rsid w:val="00572600"/>
    <w:rsid w:val="0058356F"/>
    <w:rsid w:val="005A0835"/>
    <w:rsid w:val="005A3418"/>
    <w:rsid w:val="005A6D01"/>
    <w:rsid w:val="005B3AB5"/>
    <w:rsid w:val="005C068D"/>
    <w:rsid w:val="005C5B9F"/>
    <w:rsid w:val="005C6353"/>
    <w:rsid w:val="005D02E8"/>
    <w:rsid w:val="005D0D96"/>
    <w:rsid w:val="005D6A72"/>
    <w:rsid w:val="005E60EC"/>
    <w:rsid w:val="005E70F0"/>
    <w:rsid w:val="005F3163"/>
    <w:rsid w:val="005F615B"/>
    <w:rsid w:val="00603C8C"/>
    <w:rsid w:val="006143B4"/>
    <w:rsid w:val="00614983"/>
    <w:rsid w:val="00632633"/>
    <w:rsid w:val="00642BE1"/>
    <w:rsid w:val="00645ECA"/>
    <w:rsid w:val="0065007B"/>
    <w:rsid w:val="006520D4"/>
    <w:rsid w:val="00660290"/>
    <w:rsid w:val="00677FFD"/>
    <w:rsid w:val="00680189"/>
    <w:rsid w:val="00682408"/>
    <w:rsid w:val="0068381C"/>
    <w:rsid w:val="00691D07"/>
    <w:rsid w:val="00692514"/>
    <w:rsid w:val="006A26CE"/>
    <w:rsid w:val="006B5CD3"/>
    <w:rsid w:val="006C4EB2"/>
    <w:rsid w:val="006C650B"/>
    <w:rsid w:val="006C7059"/>
    <w:rsid w:val="006D5D34"/>
    <w:rsid w:val="006D65A4"/>
    <w:rsid w:val="006E1D81"/>
    <w:rsid w:val="006E248A"/>
    <w:rsid w:val="006E3610"/>
    <w:rsid w:val="006E5222"/>
    <w:rsid w:val="006F0DF1"/>
    <w:rsid w:val="00706CAD"/>
    <w:rsid w:val="00710F3A"/>
    <w:rsid w:val="00722E1F"/>
    <w:rsid w:val="00723526"/>
    <w:rsid w:val="00734C27"/>
    <w:rsid w:val="00744BAC"/>
    <w:rsid w:val="00763261"/>
    <w:rsid w:val="00763A78"/>
    <w:rsid w:val="00765F86"/>
    <w:rsid w:val="00770B4D"/>
    <w:rsid w:val="00772B9B"/>
    <w:rsid w:val="00775A61"/>
    <w:rsid w:val="007A1D05"/>
    <w:rsid w:val="007A24E1"/>
    <w:rsid w:val="007A5956"/>
    <w:rsid w:val="007B748D"/>
    <w:rsid w:val="007D164B"/>
    <w:rsid w:val="007D302C"/>
    <w:rsid w:val="007F1B0D"/>
    <w:rsid w:val="007F69FD"/>
    <w:rsid w:val="0081077C"/>
    <w:rsid w:val="008145C7"/>
    <w:rsid w:val="00824668"/>
    <w:rsid w:val="00827F8E"/>
    <w:rsid w:val="00831548"/>
    <w:rsid w:val="00834B30"/>
    <w:rsid w:val="0084385F"/>
    <w:rsid w:val="00844B0C"/>
    <w:rsid w:val="00854ABE"/>
    <w:rsid w:val="00854DDE"/>
    <w:rsid w:val="00855794"/>
    <w:rsid w:val="00857CB4"/>
    <w:rsid w:val="008731CF"/>
    <w:rsid w:val="00884562"/>
    <w:rsid w:val="0089736D"/>
    <w:rsid w:val="00897B15"/>
    <w:rsid w:val="008A48E4"/>
    <w:rsid w:val="008A5956"/>
    <w:rsid w:val="008A6938"/>
    <w:rsid w:val="008A6C74"/>
    <w:rsid w:val="008B0D36"/>
    <w:rsid w:val="008B2C94"/>
    <w:rsid w:val="008B56F8"/>
    <w:rsid w:val="008C78E8"/>
    <w:rsid w:val="008D203D"/>
    <w:rsid w:val="008D4A7E"/>
    <w:rsid w:val="008D589F"/>
    <w:rsid w:val="008E6C8C"/>
    <w:rsid w:val="008E77A4"/>
    <w:rsid w:val="008F0E3D"/>
    <w:rsid w:val="009045FB"/>
    <w:rsid w:val="0092219F"/>
    <w:rsid w:val="00924076"/>
    <w:rsid w:val="0092514F"/>
    <w:rsid w:val="009340C2"/>
    <w:rsid w:val="00936B18"/>
    <w:rsid w:val="0098447F"/>
    <w:rsid w:val="0098460A"/>
    <w:rsid w:val="00996A20"/>
    <w:rsid w:val="009A1943"/>
    <w:rsid w:val="009A3BDA"/>
    <w:rsid w:val="009B05B3"/>
    <w:rsid w:val="009B3B53"/>
    <w:rsid w:val="009D0C07"/>
    <w:rsid w:val="009D2C1B"/>
    <w:rsid w:val="009D43F6"/>
    <w:rsid w:val="009D48EB"/>
    <w:rsid w:val="009E04B6"/>
    <w:rsid w:val="009E3991"/>
    <w:rsid w:val="009E5E1A"/>
    <w:rsid w:val="009F55A7"/>
    <w:rsid w:val="00A12F0C"/>
    <w:rsid w:val="00A20F92"/>
    <w:rsid w:val="00A30826"/>
    <w:rsid w:val="00A33064"/>
    <w:rsid w:val="00A33FB3"/>
    <w:rsid w:val="00A4194D"/>
    <w:rsid w:val="00A42E55"/>
    <w:rsid w:val="00A44EE6"/>
    <w:rsid w:val="00A45DC2"/>
    <w:rsid w:val="00A55D18"/>
    <w:rsid w:val="00A6341E"/>
    <w:rsid w:val="00A63B07"/>
    <w:rsid w:val="00A65C51"/>
    <w:rsid w:val="00A704D2"/>
    <w:rsid w:val="00A75D0F"/>
    <w:rsid w:val="00A84F05"/>
    <w:rsid w:val="00A87D32"/>
    <w:rsid w:val="00A90755"/>
    <w:rsid w:val="00AB1754"/>
    <w:rsid w:val="00AB38F0"/>
    <w:rsid w:val="00AB70E7"/>
    <w:rsid w:val="00AC4F10"/>
    <w:rsid w:val="00AE19C5"/>
    <w:rsid w:val="00AF6C0D"/>
    <w:rsid w:val="00B02A0C"/>
    <w:rsid w:val="00B04694"/>
    <w:rsid w:val="00B06EDE"/>
    <w:rsid w:val="00B077C7"/>
    <w:rsid w:val="00B17943"/>
    <w:rsid w:val="00B17AFA"/>
    <w:rsid w:val="00B2159B"/>
    <w:rsid w:val="00B364BE"/>
    <w:rsid w:val="00B410F1"/>
    <w:rsid w:val="00B47F45"/>
    <w:rsid w:val="00B55649"/>
    <w:rsid w:val="00B55C00"/>
    <w:rsid w:val="00B63AB6"/>
    <w:rsid w:val="00B66BBE"/>
    <w:rsid w:val="00B672DE"/>
    <w:rsid w:val="00B7002A"/>
    <w:rsid w:val="00B87DE8"/>
    <w:rsid w:val="00BC4EC7"/>
    <w:rsid w:val="00BC7E05"/>
    <w:rsid w:val="00BD18C6"/>
    <w:rsid w:val="00BE2FB8"/>
    <w:rsid w:val="00C008E7"/>
    <w:rsid w:val="00C0274D"/>
    <w:rsid w:val="00C04A87"/>
    <w:rsid w:val="00C068A7"/>
    <w:rsid w:val="00C22FFA"/>
    <w:rsid w:val="00C2310C"/>
    <w:rsid w:val="00C23AB8"/>
    <w:rsid w:val="00C303BE"/>
    <w:rsid w:val="00C41AFF"/>
    <w:rsid w:val="00C5173D"/>
    <w:rsid w:val="00C56E75"/>
    <w:rsid w:val="00C57846"/>
    <w:rsid w:val="00C648B5"/>
    <w:rsid w:val="00C707FB"/>
    <w:rsid w:val="00C70FDD"/>
    <w:rsid w:val="00C76C4E"/>
    <w:rsid w:val="00C80A2B"/>
    <w:rsid w:val="00C816E5"/>
    <w:rsid w:val="00C926B4"/>
    <w:rsid w:val="00C95CD3"/>
    <w:rsid w:val="00CA2896"/>
    <w:rsid w:val="00CB6654"/>
    <w:rsid w:val="00CD08C1"/>
    <w:rsid w:val="00CD0F3B"/>
    <w:rsid w:val="00CD2CF7"/>
    <w:rsid w:val="00CE70C9"/>
    <w:rsid w:val="00D019E9"/>
    <w:rsid w:val="00D14A97"/>
    <w:rsid w:val="00D155CA"/>
    <w:rsid w:val="00D16C30"/>
    <w:rsid w:val="00D2326E"/>
    <w:rsid w:val="00D33899"/>
    <w:rsid w:val="00D3396C"/>
    <w:rsid w:val="00D57867"/>
    <w:rsid w:val="00D61825"/>
    <w:rsid w:val="00D6529B"/>
    <w:rsid w:val="00D66259"/>
    <w:rsid w:val="00D84410"/>
    <w:rsid w:val="00D94C84"/>
    <w:rsid w:val="00DA2705"/>
    <w:rsid w:val="00DB16EB"/>
    <w:rsid w:val="00DB47EC"/>
    <w:rsid w:val="00DC1626"/>
    <w:rsid w:val="00DD3317"/>
    <w:rsid w:val="00DE54F2"/>
    <w:rsid w:val="00DF7AEB"/>
    <w:rsid w:val="00E04FE9"/>
    <w:rsid w:val="00E102CC"/>
    <w:rsid w:val="00E1595E"/>
    <w:rsid w:val="00E15E82"/>
    <w:rsid w:val="00E41E0C"/>
    <w:rsid w:val="00E43675"/>
    <w:rsid w:val="00E44319"/>
    <w:rsid w:val="00E44333"/>
    <w:rsid w:val="00E531EF"/>
    <w:rsid w:val="00E65231"/>
    <w:rsid w:val="00E65685"/>
    <w:rsid w:val="00E65A0E"/>
    <w:rsid w:val="00E701F6"/>
    <w:rsid w:val="00E727A4"/>
    <w:rsid w:val="00E94F7A"/>
    <w:rsid w:val="00EA7622"/>
    <w:rsid w:val="00EB3771"/>
    <w:rsid w:val="00EB43AA"/>
    <w:rsid w:val="00EB4B1E"/>
    <w:rsid w:val="00EC1F33"/>
    <w:rsid w:val="00ED2970"/>
    <w:rsid w:val="00ED673A"/>
    <w:rsid w:val="00EF24B8"/>
    <w:rsid w:val="00EF4CAB"/>
    <w:rsid w:val="00EF5ADA"/>
    <w:rsid w:val="00EF7B6C"/>
    <w:rsid w:val="00F0245F"/>
    <w:rsid w:val="00F02E2A"/>
    <w:rsid w:val="00F101D4"/>
    <w:rsid w:val="00F1303B"/>
    <w:rsid w:val="00F13F59"/>
    <w:rsid w:val="00F144CE"/>
    <w:rsid w:val="00F1770E"/>
    <w:rsid w:val="00F2384B"/>
    <w:rsid w:val="00F302B9"/>
    <w:rsid w:val="00F32E2B"/>
    <w:rsid w:val="00F33F0D"/>
    <w:rsid w:val="00F35423"/>
    <w:rsid w:val="00F35AFD"/>
    <w:rsid w:val="00F4342F"/>
    <w:rsid w:val="00F55696"/>
    <w:rsid w:val="00F6570C"/>
    <w:rsid w:val="00F73A93"/>
    <w:rsid w:val="00F76DD1"/>
    <w:rsid w:val="00FA1669"/>
    <w:rsid w:val="00FB17CE"/>
    <w:rsid w:val="00FB69B0"/>
    <w:rsid w:val="00FC0436"/>
    <w:rsid w:val="00FC7B3F"/>
    <w:rsid w:val="00FD18EB"/>
    <w:rsid w:val="00FE0D0A"/>
    <w:rsid w:val="00FE47BE"/>
    <w:rsid w:val="00FE57EB"/>
    <w:rsid w:val="00FF4D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0894DF4F"/>
  <w15:chartTrackingRefBased/>
  <w15:docId w15:val="{269DA22E-C8F1-49EB-B07E-58A0D9FD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10"/>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uiPriority w:val="99"/>
    <w:rPr>
      <w:b/>
      <w:vertAlign w:val="superscript"/>
    </w:rPr>
  </w:style>
  <w:style w:type="paragraph" w:styleId="FootnoteText">
    <w:name w:val="footnote text"/>
    <w:aliases w:val=" Char"/>
    <w:basedOn w:val="Normal"/>
    <w:link w:val="FootnoteTextChar"/>
    <w:uiPriority w:val="99"/>
    <w:pPr>
      <w:tabs>
        <w:tab w:val="left" w:pos="567"/>
      </w:tabs>
      <w:spacing w:line="240" w:lineRule="auto"/>
      <w:ind w:left="567" w:hanging="567"/>
    </w:pPr>
  </w:style>
  <w:style w:type="paragraph" w:styleId="Header">
    <w:name w:val="header"/>
    <w:basedOn w:val="Normal"/>
    <w:link w:val="HeaderChar"/>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styleId="Strong">
    <w:name w:val="Strong"/>
    <w:qFormat/>
    <w:rsid w:val="00C23AB8"/>
    <w:rPr>
      <w:b/>
      <w:bCs/>
    </w:rPr>
  </w:style>
  <w:style w:type="paragraph" w:styleId="BalloonText">
    <w:name w:val="Balloon Text"/>
    <w:basedOn w:val="Normal"/>
    <w:semiHidden/>
    <w:rsid w:val="00775A61"/>
    <w:rPr>
      <w:rFonts w:ascii="Tahoma" w:hAnsi="Tahoma" w:cs="Tahoma"/>
      <w:sz w:val="16"/>
      <w:szCs w:val="16"/>
    </w:rPr>
  </w:style>
  <w:style w:type="paragraph" w:customStyle="1" w:styleId="Considrant">
    <w:name w:val="Considérant"/>
    <w:basedOn w:val="Normal"/>
    <w:rsid w:val="005E70F0"/>
    <w:pPr>
      <w:widowControl/>
      <w:numPr>
        <w:numId w:val="15"/>
      </w:numPr>
      <w:spacing w:before="120" w:after="120" w:line="240" w:lineRule="auto"/>
      <w:jc w:val="both"/>
    </w:pPr>
    <w:rPr>
      <w:snapToGrid w:val="0"/>
      <w:szCs w:val="24"/>
      <w:lang w:eastAsia="en-GB"/>
    </w:rPr>
  </w:style>
  <w:style w:type="paragraph" w:styleId="CommentText">
    <w:name w:val="annotation text"/>
    <w:basedOn w:val="Normal"/>
    <w:link w:val="CommentTextChar"/>
    <w:uiPriority w:val="99"/>
    <w:rsid w:val="00BE2FB8"/>
    <w:rPr>
      <w:snapToGrid w:val="0"/>
      <w:szCs w:val="24"/>
      <w:lang w:val="en-GB"/>
    </w:rPr>
  </w:style>
  <w:style w:type="paragraph" w:customStyle="1" w:styleId="Bullet0">
    <w:name w:val="Bullet 0"/>
    <w:basedOn w:val="Normal"/>
    <w:rsid w:val="00393211"/>
    <w:pPr>
      <w:widowControl/>
      <w:numPr>
        <w:numId w:val="16"/>
      </w:numPr>
      <w:spacing w:before="120" w:after="120" w:line="240" w:lineRule="auto"/>
      <w:jc w:val="both"/>
    </w:pPr>
    <w:rPr>
      <w:snapToGrid w:val="0"/>
      <w:szCs w:val="24"/>
      <w:lang w:eastAsia="en-GB"/>
    </w:rPr>
  </w:style>
  <w:style w:type="character" w:styleId="CommentReference">
    <w:name w:val="annotation reference"/>
    <w:semiHidden/>
    <w:rsid w:val="00046435"/>
    <w:rPr>
      <w:sz w:val="16"/>
      <w:szCs w:val="16"/>
    </w:rPr>
  </w:style>
  <w:style w:type="paragraph" w:styleId="CommentSubject">
    <w:name w:val="annotation subject"/>
    <w:basedOn w:val="CommentText"/>
    <w:next w:val="CommentText"/>
    <w:semiHidden/>
    <w:rsid w:val="00046435"/>
    <w:rPr>
      <w:b/>
      <w:bCs/>
      <w:snapToGrid/>
      <w:sz w:val="20"/>
      <w:szCs w:val="20"/>
      <w:lang w:val="lv-LV"/>
    </w:rPr>
  </w:style>
  <w:style w:type="character" w:styleId="Hyperlink">
    <w:name w:val="Hyperlink"/>
    <w:rsid w:val="00CD08C1"/>
    <w:rPr>
      <w:color w:val="0000FF"/>
      <w:u w:val="single"/>
    </w:rPr>
  </w:style>
  <w:style w:type="character" w:styleId="Emphasis">
    <w:name w:val="Emphasis"/>
    <w:qFormat/>
    <w:rsid w:val="00827F8E"/>
    <w:rPr>
      <w:i/>
      <w:iCs/>
    </w:rPr>
  </w:style>
  <w:style w:type="character" w:customStyle="1" w:styleId="CommentTextChar">
    <w:name w:val="Comment Text Char"/>
    <w:link w:val="CommentText"/>
    <w:uiPriority w:val="99"/>
    <w:rsid w:val="00D57867"/>
    <w:rPr>
      <w:snapToGrid w:val="0"/>
      <w:sz w:val="24"/>
      <w:szCs w:val="24"/>
      <w:lang w:val="en-GB" w:eastAsia="fr-BE" w:bidi="ar-SA"/>
    </w:rPr>
  </w:style>
  <w:style w:type="paragraph" w:styleId="BodyText3">
    <w:name w:val="Body Text 3"/>
    <w:basedOn w:val="Normal"/>
    <w:rsid w:val="00854DDE"/>
    <w:pPr>
      <w:widowControl/>
      <w:spacing w:after="120" w:line="240" w:lineRule="auto"/>
    </w:pPr>
    <w:rPr>
      <w:sz w:val="16"/>
      <w:szCs w:val="16"/>
      <w:lang w:val="en-GB" w:eastAsia="en-US"/>
    </w:rPr>
  </w:style>
  <w:style w:type="paragraph" w:styleId="BodyText2">
    <w:name w:val="Body Text 2"/>
    <w:basedOn w:val="Normal"/>
    <w:link w:val="BodyText2Char"/>
    <w:rsid w:val="00D019E9"/>
    <w:pPr>
      <w:spacing w:after="120" w:line="480" w:lineRule="auto"/>
    </w:pPr>
  </w:style>
  <w:style w:type="paragraph" w:customStyle="1" w:styleId="Prliminairetype">
    <w:name w:val="Préliminaire type"/>
    <w:basedOn w:val="Normal"/>
    <w:next w:val="Normal"/>
    <w:rsid w:val="00D019E9"/>
    <w:pPr>
      <w:widowControl/>
      <w:spacing w:before="360" w:line="240" w:lineRule="auto"/>
      <w:jc w:val="center"/>
    </w:pPr>
    <w:rPr>
      <w:b/>
      <w:szCs w:val="24"/>
      <w:lang w:val="en-GB" w:eastAsia="de-DE"/>
    </w:rPr>
  </w:style>
  <w:style w:type="paragraph" w:customStyle="1" w:styleId="entemet0">
    <w:name w:val="entemet"/>
    <w:basedOn w:val="Normal"/>
    <w:rsid w:val="004F63DE"/>
    <w:pPr>
      <w:widowControl/>
      <w:spacing w:before="100" w:beforeAutospacing="1" w:after="100" w:afterAutospacing="1" w:line="240" w:lineRule="auto"/>
    </w:pPr>
    <w:rPr>
      <w:szCs w:val="24"/>
      <w:lang w:val="en-US"/>
    </w:rPr>
  </w:style>
  <w:style w:type="paragraph" w:styleId="PlainText">
    <w:name w:val="Plain Text"/>
    <w:basedOn w:val="Normal"/>
    <w:rsid w:val="004F63DE"/>
    <w:pPr>
      <w:widowControl/>
      <w:spacing w:line="240" w:lineRule="auto"/>
    </w:pPr>
    <w:rPr>
      <w:rFonts w:ascii="Verdana" w:hAnsi="Verdana" w:cs="Verdana"/>
      <w:szCs w:val="24"/>
      <w:lang w:val="en-GB"/>
    </w:rPr>
  </w:style>
  <w:style w:type="character" w:customStyle="1" w:styleId="hps">
    <w:name w:val="hps"/>
    <w:rsid w:val="00457E44"/>
    <w:rPr>
      <w:rFonts w:cs="Times New Roman"/>
    </w:rPr>
  </w:style>
  <w:style w:type="character" w:customStyle="1" w:styleId="HeaderChar">
    <w:name w:val="Header Char"/>
    <w:link w:val="Header"/>
    <w:semiHidden/>
    <w:rsid w:val="00457E44"/>
    <w:rPr>
      <w:sz w:val="24"/>
      <w:lang w:val="lv-LV" w:eastAsia="fr-BE" w:bidi="ar-SA"/>
    </w:rPr>
  </w:style>
  <w:style w:type="paragraph" w:styleId="Signature">
    <w:name w:val="Signature"/>
    <w:basedOn w:val="Normal"/>
    <w:next w:val="EnvelopeReturn"/>
    <w:link w:val="SignatureChar"/>
    <w:rsid w:val="00E15E82"/>
    <w:pPr>
      <w:keepNext/>
      <w:keepLines/>
      <w:tabs>
        <w:tab w:val="right" w:pos="9072"/>
      </w:tabs>
      <w:suppressAutoHyphens/>
      <w:spacing w:before="600" w:line="240" w:lineRule="auto"/>
      <w:ind w:firstLine="720"/>
    </w:pPr>
    <w:rPr>
      <w:sz w:val="26"/>
      <w:lang w:val="en-AU" w:eastAsia="en-US"/>
    </w:rPr>
  </w:style>
  <w:style w:type="character" w:customStyle="1" w:styleId="SignatureChar">
    <w:name w:val="Signature Char"/>
    <w:link w:val="Signature"/>
    <w:rsid w:val="00E15E82"/>
    <w:rPr>
      <w:sz w:val="26"/>
      <w:lang w:val="en-AU" w:eastAsia="en-US" w:bidi="ar-SA"/>
    </w:rPr>
  </w:style>
  <w:style w:type="paragraph" w:styleId="EnvelopeReturn">
    <w:name w:val="envelope return"/>
    <w:basedOn w:val="Normal"/>
    <w:rsid w:val="00E15E82"/>
    <w:rPr>
      <w:rFonts w:ascii="Arial" w:hAnsi="Arial" w:cs="Arial"/>
      <w:sz w:val="20"/>
    </w:rPr>
  </w:style>
  <w:style w:type="paragraph" w:styleId="HTMLPreformatted">
    <w:name w:val="HTML Preformatted"/>
    <w:basedOn w:val="Normal"/>
    <w:rsid w:val="00D1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eastAsia="lv-LV" w:bidi="sa-IN"/>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065C39"/>
    <w:pPr>
      <w:ind w:left="720"/>
    </w:pPr>
  </w:style>
  <w:style w:type="character" w:customStyle="1" w:styleId="FootnoteTextChar">
    <w:name w:val="Footnote Text Char"/>
    <w:aliases w:val=" Char Char"/>
    <w:link w:val="FootnoteText"/>
    <w:uiPriority w:val="99"/>
    <w:rsid w:val="00D3396C"/>
    <w:rPr>
      <w:sz w:val="24"/>
      <w:lang w:eastAsia="fr-B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531EF"/>
    <w:rPr>
      <w:sz w:val="24"/>
      <w:lang w:eastAsia="fr-BE"/>
    </w:rPr>
  </w:style>
  <w:style w:type="character" w:customStyle="1" w:styleId="BodyText2Char">
    <w:name w:val="Body Text 2 Char"/>
    <w:link w:val="BodyText2"/>
    <w:rsid w:val="00603C8C"/>
    <w:rPr>
      <w:sz w:val="24"/>
      <w:lang w:eastAsia="fr-BE"/>
    </w:rPr>
  </w:style>
  <w:style w:type="table" w:styleId="TableGrid">
    <w:name w:val="Table Grid"/>
    <w:basedOn w:val="TableNormal"/>
    <w:rsid w:val="008F0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04A87"/>
    <w:rPr>
      <w:sz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25876">
      <w:bodyDiv w:val="1"/>
      <w:marLeft w:val="0"/>
      <w:marRight w:val="0"/>
      <w:marTop w:val="0"/>
      <w:marBottom w:val="0"/>
      <w:divBdr>
        <w:top w:val="none" w:sz="0" w:space="0" w:color="auto"/>
        <w:left w:val="none" w:sz="0" w:space="0" w:color="auto"/>
        <w:bottom w:val="none" w:sz="0" w:space="0" w:color="auto"/>
        <w:right w:val="none" w:sz="0" w:space="0" w:color="auto"/>
      </w:divBdr>
    </w:div>
    <w:div w:id="18873271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veta.muceniece@i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Upd\All\Tpl\CML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FB1A1-48EB-44E3-9DBE-6A18E7BF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CMLv</Template>
  <TotalTime>26</TotalTime>
  <Pages>4</Pages>
  <Words>1103</Words>
  <Characters>7829</Characters>
  <Application>Microsoft Office Word</Application>
  <DocSecurity>0</DocSecurity>
  <Lines>177</Lines>
  <Paragraphs>57</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subject/>
  <dc:creator>User</dc:creator>
  <cp:keywords/>
  <cp:lastModifiedBy>Igors Silantjevs</cp:lastModifiedBy>
  <cp:revision>3</cp:revision>
  <cp:lastPrinted>2016-02-01T08:37:00Z</cp:lastPrinted>
  <dcterms:created xsi:type="dcterms:W3CDTF">2019-01-31T09:02:00Z</dcterms:created>
  <dcterms:modified xsi:type="dcterms:W3CDTF">2019-01-31T09:27:00Z</dcterms:modified>
</cp:coreProperties>
</file>