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80"/>
        <w:gridCol w:w="1980"/>
        <w:gridCol w:w="567"/>
        <w:gridCol w:w="2268"/>
      </w:tblGrid>
      <w:tr w:rsidR="003E25A0" w:rsidRPr="003E25A0" w14:paraId="6239DF4E" w14:textId="77777777" w:rsidTr="004C0807">
        <w:trPr>
          <w:trHeight w:val="567"/>
        </w:trPr>
        <w:tc>
          <w:tcPr>
            <w:tcW w:w="680" w:type="dxa"/>
            <w:hideMark/>
          </w:tcPr>
          <w:p w14:paraId="2DD9F990" w14:textId="77777777" w:rsidR="00412762" w:rsidRPr="003E25A0" w:rsidRDefault="00412762">
            <w:pPr>
              <w:pStyle w:val="Header"/>
              <w:rPr>
                <w:rFonts w:ascii="Times New Roman" w:eastAsia="Times New Roman" w:hAnsi="Times New Roman"/>
                <w:spacing w:val="20"/>
                <w:sz w:val="16"/>
                <w:szCs w:val="16"/>
              </w:rPr>
            </w:pPr>
            <w:r w:rsidRPr="003E25A0">
              <w:rPr>
                <w:rFonts w:ascii="Times New Roman" w:eastAsia="Times New Roman" w:hAnsi="Times New Roman"/>
              </w:rPr>
              <w:t>Rīgā</w:t>
            </w:r>
          </w:p>
        </w:tc>
        <w:tc>
          <w:tcPr>
            <w:tcW w:w="1980" w:type="dxa"/>
            <w:tcBorders>
              <w:top w:val="nil"/>
              <w:left w:val="nil"/>
              <w:bottom w:val="dashed" w:sz="4" w:space="0" w:color="auto"/>
              <w:right w:val="nil"/>
            </w:tcBorders>
            <w:hideMark/>
          </w:tcPr>
          <w:p w14:paraId="1E47E1A8" w14:textId="04899D88" w:rsidR="00412762" w:rsidRPr="009A6F3B" w:rsidRDefault="009A6F3B" w:rsidP="0054256A">
            <w:pPr>
              <w:spacing w:after="0" w:line="240" w:lineRule="auto"/>
              <w:rPr>
                <w:rFonts w:ascii="Times New Roman" w:eastAsia="Times New Roman" w:hAnsi="Times New Roman"/>
                <w:spacing w:val="20"/>
                <w:sz w:val="24"/>
                <w:szCs w:val="24"/>
              </w:rPr>
            </w:pPr>
            <w:r w:rsidRPr="009A6F3B">
              <w:rPr>
                <w:rFonts w:ascii="Times New Roman" w:eastAsia="Times New Roman" w:hAnsi="Times New Roman"/>
                <w:spacing w:val="20"/>
                <w:sz w:val="24"/>
                <w:szCs w:val="24"/>
              </w:rPr>
              <w:t>21.01.2019</w:t>
            </w:r>
          </w:p>
        </w:tc>
        <w:tc>
          <w:tcPr>
            <w:tcW w:w="567" w:type="dxa"/>
            <w:hideMark/>
          </w:tcPr>
          <w:p w14:paraId="46A8A36D" w14:textId="77777777" w:rsidR="00412762" w:rsidRPr="009A6F3B" w:rsidRDefault="00412762" w:rsidP="0054256A">
            <w:pPr>
              <w:pStyle w:val="Header"/>
              <w:rPr>
                <w:rFonts w:ascii="Times New Roman" w:eastAsia="Times New Roman" w:hAnsi="Times New Roman"/>
                <w:spacing w:val="20"/>
                <w:sz w:val="24"/>
                <w:szCs w:val="24"/>
              </w:rPr>
            </w:pPr>
            <w:r w:rsidRPr="009A6F3B">
              <w:rPr>
                <w:rFonts w:ascii="Times New Roman" w:eastAsia="Times New Roman" w:hAnsi="Times New Roman"/>
                <w:sz w:val="24"/>
                <w:szCs w:val="24"/>
              </w:rPr>
              <w:t>Nr.</w:t>
            </w:r>
          </w:p>
        </w:tc>
        <w:tc>
          <w:tcPr>
            <w:tcW w:w="2268" w:type="dxa"/>
            <w:tcBorders>
              <w:top w:val="nil"/>
              <w:left w:val="nil"/>
              <w:bottom w:val="dashed" w:sz="4" w:space="0" w:color="auto"/>
              <w:right w:val="nil"/>
            </w:tcBorders>
          </w:tcPr>
          <w:p w14:paraId="4E926BAE" w14:textId="2E6D21EE" w:rsidR="00412762" w:rsidRPr="009A6F3B" w:rsidRDefault="009A6F3B" w:rsidP="0054256A">
            <w:pPr>
              <w:rPr>
                <w:rFonts w:ascii="Times New Roman" w:eastAsia="Times New Roman" w:hAnsi="Times New Roman"/>
                <w:spacing w:val="20"/>
                <w:sz w:val="24"/>
                <w:szCs w:val="24"/>
              </w:rPr>
            </w:pPr>
            <w:r w:rsidRPr="009A6F3B">
              <w:rPr>
                <w:rFonts w:ascii="Times New Roman" w:eastAsia="Times New Roman" w:hAnsi="Times New Roman"/>
                <w:spacing w:val="20"/>
                <w:sz w:val="24"/>
                <w:szCs w:val="24"/>
              </w:rPr>
              <w:t>4-3.1/19/205</w:t>
            </w:r>
          </w:p>
        </w:tc>
      </w:tr>
      <w:tr w:rsidR="00412762" w:rsidRPr="003E25A0" w14:paraId="6B3693FF" w14:textId="77777777" w:rsidTr="004C0807">
        <w:trPr>
          <w:trHeight w:val="284"/>
        </w:trPr>
        <w:tc>
          <w:tcPr>
            <w:tcW w:w="680" w:type="dxa"/>
            <w:hideMark/>
          </w:tcPr>
          <w:p w14:paraId="61389F28" w14:textId="77777777" w:rsidR="00412762" w:rsidRPr="003E25A0" w:rsidRDefault="00412762">
            <w:pPr>
              <w:pStyle w:val="Header"/>
              <w:rPr>
                <w:rFonts w:ascii="Times New Roman" w:eastAsia="Times New Roman" w:hAnsi="Times New Roman"/>
                <w:spacing w:val="20"/>
                <w:sz w:val="16"/>
                <w:szCs w:val="16"/>
              </w:rPr>
            </w:pPr>
            <w:r w:rsidRPr="003E25A0">
              <w:rPr>
                <w:rFonts w:ascii="Times New Roman" w:eastAsia="Times New Roman" w:hAnsi="Times New Roman"/>
              </w:rPr>
              <w:t>Uz</w:t>
            </w:r>
          </w:p>
        </w:tc>
        <w:tc>
          <w:tcPr>
            <w:tcW w:w="1980" w:type="dxa"/>
            <w:tcBorders>
              <w:top w:val="dashed" w:sz="4" w:space="0" w:color="auto"/>
              <w:left w:val="nil"/>
              <w:bottom w:val="dashed" w:sz="4" w:space="0" w:color="auto"/>
              <w:right w:val="nil"/>
            </w:tcBorders>
          </w:tcPr>
          <w:p w14:paraId="543EA9FB" w14:textId="77777777" w:rsidR="00412762" w:rsidRPr="003E25A0" w:rsidRDefault="00412762">
            <w:pPr>
              <w:pStyle w:val="Header"/>
              <w:rPr>
                <w:rFonts w:ascii="Times New Roman" w:eastAsia="Times New Roman" w:hAnsi="Times New Roman"/>
                <w:spacing w:val="20"/>
                <w:sz w:val="28"/>
                <w:szCs w:val="28"/>
              </w:rPr>
            </w:pPr>
          </w:p>
        </w:tc>
        <w:tc>
          <w:tcPr>
            <w:tcW w:w="567" w:type="dxa"/>
            <w:hideMark/>
          </w:tcPr>
          <w:p w14:paraId="030BE3F8" w14:textId="77777777" w:rsidR="00412762" w:rsidRPr="003E25A0" w:rsidRDefault="00412762" w:rsidP="0054256A">
            <w:pPr>
              <w:pStyle w:val="Header"/>
              <w:rPr>
                <w:rFonts w:ascii="Times New Roman" w:eastAsia="Times New Roman" w:hAnsi="Times New Roman"/>
                <w:spacing w:val="20"/>
                <w:sz w:val="16"/>
                <w:szCs w:val="16"/>
              </w:rPr>
            </w:pPr>
            <w:r w:rsidRPr="003E25A0">
              <w:rPr>
                <w:rFonts w:ascii="Times New Roman" w:eastAsia="Times New Roman" w:hAnsi="Times New Roman"/>
              </w:rPr>
              <w:t>Nr.</w:t>
            </w:r>
          </w:p>
        </w:tc>
        <w:tc>
          <w:tcPr>
            <w:tcW w:w="2268" w:type="dxa"/>
            <w:tcBorders>
              <w:top w:val="dashed" w:sz="4" w:space="0" w:color="auto"/>
              <w:left w:val="nil"/>
              <w:bottom w:val="dashed" w:sz="4" w:space="0" w:color="auto"/>
              <w:right w:val="nil"/>
            </w:tcBorders>
          </w:tcPr>
          <w:p w14:paraId="7A355624" w14:textId="77777777" w:rsidR="00412762" w:rsidRPr="003E25A0" w:rsidRDefault="00412762" w:rsidP="0054256A">
            <w:pPr>
              <w:pStyle w:val="Header"/>
              <w:rPr>
                <w:rFonts w:ascii="Times New Roman" w:eastAsia="Times New Roman" w:hAnsi="Times New Roman"/>
                <w:spacing w:val="20"/>
                <w:sz w:val="28"/>
                <w:szCs w:val="28"/>
              </w:rPr>
            </w:pPr>
          </w:p>
        </w:tc>
      </w:tr>
    </w:tbl>
    <w:p w14:paraId="27D88437" w14:textId="77777777" w:rsidR="00412762" w:rsidRPr="003E25A0" w:rsidRDefault="00412762" w:rsidP="0054256A">
      <w:pPr>
        <w:tabs>
          <w:tab w:val="left" w:pos="1515"/>
        </w:tabs>
        <w:spacing w:after="0" w:line="240" w:lineRule="auto"/>
        <w:rPr>
          <w:rFonts w:ascii="Times New Roman" w:hAnsi="Times New Roman"/>
          <w:sz w:val="24"/>
          <w:szCs w:val="24"/>
        </w:rPr>
      </w:pPr>
    </w:p>
    <w:p w14:paraId="3854FF15" w14:textId="77777777" w:rsidR="0054256A" w:rsidRPr="003E25A0" w:rsidRDefault="0054256A" w:rsidP="0054256A">
      <w:pPr>
        <w:tabs>
          <w:tab w:val="left" w:pos="1515"/>
        </w:tabs>
        <w:spacing w:after="0" w:line="240" w:lineRule="auto"/>
        <w:rPr>
          <w:rFonts w:ascii="Times New Roman" w:hAnsi="Times New Roman"/>
          <w:sz w:val="24"/>
          <w:szCs w:val="24"/>
        </w:rPr>
      </w:pPr>
    </w:p>
    <w:p w14:paraId="2FCA9EF3" w14:textId="77777777" w:rsidR="00416C1E" w:rsidRPr="003E25A0" w:rsidRDefault="00416C1E" w:rsidP="00416C1E">
      <w:pPr>
        <w:spacing w:after="0" w:line="240" w:lineRule="auto"/>
        <w:jc w:val="right"/>
        <w:rPr>
          <w:rFonts w:ascii="Times New Roman" w:hAnsi="Times New Roman"/>
          <w:sz w:val="28"/>
          <w:szCs w:val="28"/>
        </w:rPr>
      </w:pPr>
      <w:r w:rsidRPr="003E25A0">
        <w:rPr>
          <w:rFonts w:ascii="Times New Roman" w:hAnsi="Times New Roman"/>
          <w:noProof/>
          <w:sz w:val="28"/>
          <w:szCs w:val="28"/>
        </w:rPr>
        <w:t>Valsts kancelejai</w:t>
      </w:r>
    </w:p>
    <w:p w14:paraId="0B408D59" w14:textId="77777777" w:rsidR="00447057" w:rsidRPr="003E25A0" w:rsidRDefault="00447057" w:rsidP="00447057">
      <w:pPr>
        <w:spacing w:after="0" w:line="240" w:lineRule="auto"/>
        <w:jc w:val="both"/>
        <w:rPr>
          <w:rFonts w:ascii="Times New Roman" w:hAnsi="Times New Roman"/>
          <w:sz w:val="28"/>
          <w:szCs w:val="28"/>
        </w:rPr>
      </w:pPr>
    </w:p>
    <w:tbl>
      <w:tblPr>
        <w:tblW w:w="10003" w:type="dxa"/>
        <w:tblLook w:val="04A0" w:firstRow="1" w:lastRow="0" w:firstColumn="1" w:lastColumn="0" w:noHBand="0" w:noVBand="1"/>
      </w:tblPr>
      <w:tblGrid>
        <w:gridCol w:w="5211"/>
        <w:gridCol w:w="4792"/>
      </w:tblGrid>
      <w:tr w:rsidR="00447057" w:rsidRPr="003E25A0" w14:paraId="3F99B053" w14:textId="77777777" w:rsidTr="0050182A">
        <w:tc>
          <w:tcPr>
            <w:tcW w:w="5211" w:type="dxa"/>
          </w:tcPr>
          <w:p w14:paraId="467B443B" w14:textId="6CB88F7E" w:rsidR="00447057" w:rsidRPr="003E25A0" w:rsidRDefault="006647AC" w:rsidP="006647AC">
            <w:pPr>
              <w:widowControl/>
              <w:spacing w:after="0" w:line="240" w:lineRule="auto"/>
              <w:jc w:val="both"/>
              <w:rPr>
                <w:rFonts w:ascii="Times New Roman" w:eastAsia="Times New Roman" w:hAnsi="Times New Roman"/>
                <w:noProof/>
                <w:sz w:val="28"/>
                <w:szCs w:val="28"/>
                <w:lang w:eastAsia="lv-LV"/>
              </w:rPr>
            </w:pPr>
            <w:r w:rsidRPr="006647AC">
              <w:rPr>
                <w:rFonts w:ascii="Times New Roman" w:eastAsia="Times New Roman" w:hAnsi="Times New Roman"/>
                <w:bCs/>
                <w:sz w:val="28"/>
                <w:szCs w:val="28"/>
                <w:lang w:eastAsia="lv-LV"/>
              </w:rPr>
              <w:t xml:space="preserve">Par Ministru kabineta 2015.gada 17.jūlija sēdes </w:t>
            </w:r>
            <w:proofErr w:type="spellStart"/>
            <w:r w:rsidRPr="006647AC">
              <w:rPr>
                <w:rFonts w:ascii="Times New Roman" w:eastAsia="Times New Roman" w:hAnsi="Times New Roman"/>
                <w:bCs/>
                <w:sz w:val="28"/>
                <w:szCs w:val="28"/>
                <w:lang w:eastAsia="lv-LV"/>
              </w:rPr>
              <w:t>protokollēmuma</w:t>
            </w:r>
            <w:proofErr w:type="spellEnd"/>
            <w:r w:rsidRPr="006647AC">
              <w:rPr>
                <w:rFonts w:ascii="Times New Roman" w:eastAsia="Times New Roman" w:hAnsi="Times New Roman"/>
                <w:bCs/>
                <w:sz w:val="28"/>
                <w:szCs w:val="28"/>
                <w:lang w:eastAsia="lv-LV"/>
              </w:rPr>
              <w:t xml:space="preserve"> </w:t>
            </w:r>
            <w:r w:rsidRPr="006647AC">
              <w:rPr>
                <w:rFonts w:ascii="Times New Roman" w:eastAsia="Times New Roman" w:hAnsi="Times New Roman"/>
                <w:noProof/>
                <w:sz w:val="28"/>
                <w:szCs w:val="28"/>
                <w:lang w:eastAsia="lv-LV"/>
              </w:rPr>
              <w:t xml:space="preserve">(prot. Nr. 34 39. §) </w:t>
            </w:r>
            <w:r w:rsidRPr="006647AC">
              <w:rPr>
                <w:rFonts w:ascii="Times New Roman" w:eastAsia="Times New Roman" w:hAnsi="Times New Roman"/>
                <w:sz w:val="28"/>
                <w:szCs w:val="28"/>
                <w:lang w:eastAsia="lv-LV"/>
              </w:rPr>
              <w:t>2.punkta atzīšanu par aktualitāti zaudējušu</w:t>
            </w:r>
          </w:p>
        </w:tc>
        <w:tc>
          <w:tcPr>
            <w:tcW w:w="4792" w:type="dxa"/>
          </w:tcPr>
          <w:p w14:paraId="01F56E6B" w14:textId="77777777" w:rsidR="00447057" w:rsidRPr="003E25A0" w:rsidRDefault="00447057" w:rsidP="0050182A">
            <w:pPr>
              <w:spacing w:after="0" w:line="240" w:lineRule="auto"/>
              <w:jc w:val="both"/>
              <w:rPr>
                <w:rFonts w:ascii="Times New Roman" w:hAnsi="Times New Roman"/>
                <w:sz w:val="28"/>
                <w:szCs w:val="28"/>
              </w:rPr>
            </w:pPr>
            <w:bookmarkStart w:id="0" w:name="_GoBack"/>
            <w:bookmarkEnd w:id="0"/>
          </w:p>
        </w:tc>
      </w:tr>
    </w:tbl>
    <w:p w14:paraId="060E3580" w14:textId="77777777" w:rsidR="00416C1E" w:rsidRPr="003E25A0" w:rsidRDefault="00416C1E" w:rsidP="00447057">
      <w:pPr>
        <w:spacing w:after="0" w:line="240" w:lineRule="auto"/>
        <w:jc w:val="both"/>
        <w:rPr>
          <w:rFonts w:ascii="Times New Roman" w:hAnsi="Times New Roman"/>
          <w:sz w:val="28"/>
          <w:szCs w:val="28"/>
        </w:rPr>
      </w:pPr>
    </w:p>
    <w:p w14:paraId="6A2735B5" w14:textId="03D39CC4" w:rsidR="00416C1E" w:rsidRPr="003E25A0" w:rsidRDefault="00416C1E" w:rsidP="006647AC">
      <w:pPr>
        <w:spacing w:after="0" w:line="240" w:lineRule="auto"/>
        <w:ind w:firstLine="720"/>
        <w:jc w:val="both"/>
        <w:rPr>
          <w:rFonts w:ascii="Times New Roman" w:eastAsia="Times New Roman" w:hAnsi="Times New Roman"/>
          <w:noProof/>
          <w:sz w:val="28"/>
          <w:szCs w:val="28"/>
          <w:lang w:eastAsia="lv-LV"/>
        </w:rPr>
      </w:pPr>
      <w:r w:rsidRPr="003E25A0">
        <w:rPr>
          <w:rFonts w:ascii="Times New Roman" w:eastAsia="Times New Roman" w:hAnsi="Times New Roman"/>
          <w:sz w:val="28"/>
          <w:szCs w:val="28"/>
        </w:rPr>
        <w:t xml:space="preserve">Pamatojoties uz Ministru kabineta 2009. gada 7. aprīļa noteikumu Nr. 300 "Ministru kabineta kārtības rullis" 164.4. apakšpunktu iesniedzu izskatīšanai </w:t>
      </w:r>
      <w:r w:rsidR="00A72000" w:rsidRPr="003E25A0">
        <w:rPr>
          <w:rFonts w:ascii="Times New Roman" w:eastAsia="Times New Roman" w:hAnsi="Times New Roman"/>
          <w:b/>
          <w:sz w:val="28"/>
          <w:szCs w:val="28"/>
        </w:rPr>
        <w:t>tuvākajā</w:t>
      </w:r>
      <w:r w:rsidR="00A72000" w:rsidRPr="003E25A0">
        <w:rPr>
          <w:rFonts w:ascii="Times New Roman" w:eastAsia="Times New Roman" w:hAnsi="Times New Roman"/>
          <w:sz w:val="28"/>
          <w:szCs w:val="28"/>
        </w:rPr>
        <w:t xml:space="preserve"> </w:t>
      </w:r>
      <w:r w:rsidRPr="003E25A0">
        <w:rPr>
          <w:rFonts w:ascii="Times New Roman" w:eastAsia="Times New Roman" w:hAnsi="Times New Roman"/>
          <w:sz w:val="28"/>
          <w:szCs w:val="28"/>
        </w:rPr>
        <w:t xml:space="preserve">Ministru kabineta sēdē Ministru kabineta sēdes </w:t>
      </w:r>
      <w:proofErr w:type="spellStart"/>
      <w:r w:rsidRPr="003E25A0">
        <w:rPr>
          <w:rFonts w:ascii="Times New Roman" w:eastAsia="Times New Roman" w:hAnsi="Times New Roman"/>
          <w:sz w:val="28"/>
          <w:szCs w:val="28"/>
        </w:rPr>
        <w:t>protokollēmuma</w:t>
      </w:r>
      <w:proofErr w:type="spellEnd"/>
      <w:r w:rsidRPr="003E25A0">
        <w:rPr>
          <w:rFonts w:ascii="Times New Roman" w:eastAsia="Times New Roman" w:hAnsi="Times New Roman"/>
          <w:sz w:val="28"/>
          <w:szCs w:val="28"/>
        </w:rPr>
        <w:t xml:space="preserve"> projektu </w:t>
      </w:r>
      <w:r w:rsidR="006647AC" w:rsidRPr="003E25A0">
        <w:rPr>
          <w:rFonts w:ascii="Times New Roman" w:eastAsia="Times New Roman" w:hAnsi="Times New Roman"/>
          <w:sz w:val="28"/>
          <w:szCs w:val="28"/>
        </w:rPr>
        <w:t>“</w:t>
      </w:r>
      <w:r w:rsidR="006647AC" w:rsidRPr="003E25A0">
        <w:rPr>
          <w:rFonts w:ascii="Times New Roman" w:eastAsia="Times New Roman" w:hAnsi="Times New Roman"/>
          <w:bCs/>
          <w:sz w:val="28"/>
          <w:szCs w:val="28"/>
          <w:lang w:eastAsia="lv-LV"/>
        </w:rPr>
        <w:t xml:space="preserve">Par Ministru kabineta 2015.gada 17.jūlija sēdes </w:t>
      </w:r>
      <w:proofErr w:type="spellStart"/>
      <w:r w:rsidR="006647AC" w:rsidRPr="003E25A0">
        <w:rPr>
          <w:rFonts w:ascii="Times New Roman" w:eastAsia="Times New Roman" w:hAnsi="Times New Roman"/>
          <w:bCs/>
          <w:sz w:val="28"/>
          <w:szCs w:val="28"/>
          <w:lang w:eastAsia="lv-LV"/>
        </w:rPr>
        <w:t>protokollēmuma</w:t>
      </w:r>
      <w:proofErr w:type="spellEnd"/>
      <w:r w:rsidR="006647AC" w:rsidRPr="003E25A0">
        <w:rPr>
          <w:rFonts w:ascii="Times New Roman" w:eastAsia="Times New Roman" w:hAnsi="Times New Roman"/>
          <w:bCs/>
          <w:sz w:val="28"/>
          <w:szCs w:val="28"/>
          <w:lang w:eastAsia="lv-LV"/>
        </w:rPr>
        <w:t xml:space="preserve"> </w:t>
      </w:r>
      <w:r w:rsidR="006647AC" w:rsidRPr="003E25A0">
        <w:rPr>
          <w:rFonts w:ascii="Times New Roman" w:eastAsia="Times New Roman" w:hAnsi="Times New Roman"/>
          <w:noProof/>
          <w:sz w:val="28"/>
          <w:szCs w:val="28"/>
          <w:lang w:eastAsia="lv-LV"/>
        </w:rPr>
        <w:t xml:space="preserve">(prot. Nr. 34 39. §) </w:t>
      </w:r>
      <w:r w:rsidR="006647AC" w:rsidRPr="003E25A0">
        <w:rPr>
          <w:rFonts w:ascii="Times New Roman" w:eastAsia="Times New Roman" w:hAnsi="Times New Roman"/>
          <w:sz w:val="28"/>
          <w:szCs w:val="28"/>
          <w:lang w:eastAsia="lv-LV"/>
        </w:rPr>
        <w:t>“Noteikumu projekts “Nodibinājuma “Akadēmiskās informācijas centrs” maksas pakalpojumu cenrādis””” 2.punkta atzīšanu par aktualitāti zaudējušu</w:t>
      </w:r>
      <w:r w:rsidR="006647AC" w:rsidRPr="003E25A0">
        <w:rPr>
          <w:rFonts w:ascii="Times New Roman" w:eastAsia="Times New Roman" w:hAnsi="Times New Roman"/>
          <w:noProof/>
          <w:sz w:val="28"/>
          <w:szCs w:val="28"/>
          <w:lang w:eastAsia="lv-LV"/>
        </w:rPr>
        <w:t xml:space="preserve"> </w:t>
      </w:r>
      <w:r w:rsidRPr="003E25A0">
        <w:rPr>
          <w:rFonts w:ascii="Times New Roman" w:eastAsia="Times New Roman" w:hAnsi="Times New Roman"/>
          <w:sz w:val="28"/>
          <w:szCs w:val="28"/>
        </w:rPr>
        <w:t>(turpmāk – projekts).</w:t>
      </w:r>
    </w:p>
    <w:p w14:paraId="7D444228" w14:textId="77777777" w:rsidR="00416C1E" w:rsidRPr="003E25A0" w:rsidRDefault="00416C1E" w:rsidP="006647AC">
      <w:pPr>
        <w:spacing w:after="0" w:line="240" w:lineRule="auto"/>
        <w:ind w:left="-142" w:right="437" w:firstLine="862"/>
        <w:jc w:val="both"/>
        <w:rPr>
          <w:rFonts w:ascii="Times New Roman" w:eastAsia="Times New Roman" w:hAnsi="Times New Roman"/>
          <w:sz w:val="28"/>
          <w:szCs w:val="28"/>
        </w:rPr>
      </w:pPr>
    </w:p>
    <w:tbl>
      <w:tblPr>
        <w:tblW w:w="5074"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2"/>
        <w:gridCol w:w="2266"/>
        <w:gridCol w:w="6662"/>
      </w:tblGrid>
      <w:tr w:rsidR="003E25A0" w:rsidRPr="003E25A0" w14:paraId="2E6CB420" w14:textId="77777777" w:rsidTr="0048295D">
        <w:tc>
          <w:tcPr>
            <w:tcW w:w="296" w:type="pct"/>
            <w:tcBorders>
              <w:top w:val="outset" w:sz="6" w:space="0" w:color="auto"/>
              <w:left w:val="outset" w:sz="6" w:space="0" w:color="auto"/>
              <w:bottom w:val="outset" w:sz="6" w:space="0" w:color="auto"/>
              <w:right w:val="outset" w:sz="6" w:space="0" w:color="auto"/>
            </w:tcBorders>
            <w:hideMark/>
          </w:tcPr>
          <w:p w14:paraId="3EAAFDD4" w14:textId="77777777" w:rsidR="00416C1E" w:rsidRPr="003E25A0" w:rsidRDefault="00416C1E" w:rsidP="00416C1E">
            <w:pPr>
              <w:spacing w:after="0" w:line="360" w:lineRule="auto"/>
              <w:jc w:val="both"/>
              <w:rPr>
                <w:rFonts w:ascii="Times New Roman" w:hAnsi="Times New Roman"/>
                <w:sz w:val="28"/>
                <w:szCs w:val="28"/>
              </w:rPr>
            </w:pPr>
            <w:r w:rsidRPr="003E25A0">
              <w:rPr>
                <w:rFonts w:ascii="Times New Roman" w:hAnsi="Times New Roman"/>
                <w:sz w:val="28"/>
                <w:szCs w:val="28"/>
              </w:rPr>
              <w:t>1.</w:t>
            </w:r>
          </w:p>
        </w:tc>
        <w:tc>
          <w:tcPr>
            <w:tcW w:w="1194" w:type="pct"/>
            <w:tcBorders>
              <w:top w:val="outset" w:sz="6" w:space="0" w:color="auto"/>
              <w:left w:val="outset" w:sz="6" w:space="0" w:color="auto"/>
              <w:bottom w:val="outset" w:sz="6" w:space="0" w:color="auto"/>
              <w:right w:val="outset" w:sz="6" w:space="0" w:color="auto"/>
            </w:tcBorders>
            <w:hideMark/>
          </w:tcPr>
          <w:p w14:paraId="40D88D40" w14:textId="77777777" w:rsidR="00416C1E" w:rsidRPr="003E25A0" w:rsidRDefault="00416C1E" w:rsidP="00416C1E">
            <w:pPr>
              <w:spacing w:after="0" w:line="240" w:lineRule="auto"/>
              <w:jc w:val="both"/>
              <w:rPr>
                <w:rFonts w:ascii="Times New Roman" w:hAnsi="Times New Roman"/>
                <w:sz w:val="28"/>
                <w:szCs w:val="28"/>
              </w:rPr>
            </w:pPr>
            <w:r w:rsidRPr="003E25A0">
              <w:rPr>
                <w:rFonts w:ascii="Times New Roman" w:hAnsi="Times New Roman"/>
                <w:sz w:val="28"/>
                <w:szCs w:val="28"/>
              </w:rPr>
              <w:t>Iesniegšanas pamatojums</w:t>
            </w:r>
          </w:p>
        </w:tc>
        <w:tc>
          <w:tcPr>
            <w:tcW w:w="3510" w:type="pct"/>
            <w:tcBorders>
              <w:top w:val="outset" w:sz="6" w:space="0" w:color="auto"/>
              <w:left w:val="outset" w:sz="6" w:space="0" w:color="auto"/>
              <w:bottom w:val="outset" w:sz="6" w:space="0" w:color="auto"/>
              <w:right w:val="outset" w:sz="6" w:space="0" w:color="auto"/>
            </w:tcBorders>
            <w:hideMark/>
          </w:tcPr>
          <w:p w14:paraId="4EAFA4EB" w14:textId="3F42F1C7" w:rsidR="00416C1E" w:rsidRPr="003E25A0" w:rsidRDefault="00416C1E" w:rsidP="006647AC">
            <w:pPr>
              <w:pStyle w:val="ListParagraph"/>
              <w:widowControl/>
              <w:tabs>
                <w:tab w:val="left" w:pos="377"/>
              </w:tabs>
              <w:spacing w:after="0" w:line="240" w:lineRule="auto"/>
              <w:ind w:left="0"/>
              <w:jc w:val="both"/>
              <w:rPr>
                <w:rFonts w:ascii="Times New Roman" w:hAnsi="Times New Roman"/>
                <w:sz w:val="28"/>
                <w:szCs w:val="28"/>
              </w:rPr>
            </w:pPr>
            <w:r w:rsidRPr="003E25A0">
              <w:rPr>
                <w:rFonts w:ascii="Times New Roman" w:hAnsi="Times New Roman"/>
                <w:sz w:val="28"/>
                <w:szCs w:val="28"/>
              </w:rPr>
              <w:t xml:space="preserve">Atbilstoši Ministru kabineta </w:t>
            </w:r>
            <w:r w:rsidR="006647AC" w:rsidRPr="003E25A0">
              <w:rPr>
                <w:rFonts w:ascii="Times New Roman" w:eastAsia="Times New Roman" w:hAnsi="Times New Roman"/>
                <w:bCs/>
                <w:sz w:val="28"/>
                <w:szCs w:val="28"/>
                <w:lang w:eastAsia="lv-LV"/>
              </w:rPr>
              <w:t xml:space="preserve">2015.gada 17.jūlija sēdes </w:t>
            </w:r>
            <w:proofErr w:type="spellStart"/>
            <w:r w:rsidR="006647AC" w:rsidRPr="003E25A0">
              <w:rPr>
                <w:rFonts w:ascii="Times New Roman" w:eastAsia="Times New Roman" w:hAnsi="Times New Roman"/>
                <w:bCs/>
                <w:sz w:val="28"/>
                <w:szCs w:val="28"/>
                <w:lang w:eastAsia="lv-LV"/>
              </w:rPr>
              <w:t>protokollēmuma</w:t>
            </w:r>
            <w:proofErr w:type="spellEnd"/>
            <w:r w:rsidR="006647AC" w:rsidRPr="003E25A0">
              <w:rPr>
                <w:rFonts w:ascii="Times New Roman" w:eastAsia="Times New Roman" w:hAnsi="Times New Roman"/>
                <w:bCs/>
                <w:sz w:val="28"/>
                <w:szCs w:val="28"/>
                <w:lang w:eastAsia="lv-LV"/>
              </w:rPr>
              <w:t xml:space="preserve"> </w:t>
            </w:r>
            <w:r w:rsidR="006647AC" w:rsidRPr="003E25A0">
              <w:rPr>
                <w:rFonts w:ascii="Times New Roman" w:eastAsia="Times New Roman" w:hAnsi="Times New Roman"/>
                <w:noProof/>
                <w:sz w:val="28"/>
                <w:szCs w:val="28"/>
                <w:lang w:eastAsia="lv-LV"/>
              </w:rPr>
              <w:t xml:space="preserve">(prot. Nr. 34 39. §) </w:t>
            </w:r>
            <w:r w:rsidR="006647AC" w:rsidRPr="003E25A0">
              <w:rPr>
                <w:rFonts w:ascii="Times New Roman" w:eastAsia="Times New Roman" w:hAnsi="Times New Roman"/>
                <w:sz w:val="28"/>
                <w:szCs w:val="28"/>
                <w:lang w:eastAsia="lv-LV"/>
              </w:rPr>
              <w:t xml:space="preserve">“Noteikumu projekts “Nodibinājuma “Akadēmiskās informācijas centrs” maksas pakalpojumu cenrādis”” </w:t>
            </w:r>
            <w:r w:rsidR="003E25A0" w:rsidRPr="003E25A0">
              <w:rPr>
                <w:rFonts w:ascii="Times New Roman" w:eastAsia="Times New Roman" w:hAnsi="Times New Roman"/>
                <w:sz w:val="28"/>
                <w:szCs w:val="28"/>
                <w:lang w:eastAsia="lv-LV"/>
              </w:rPr>
              <w:t xml:space="preserve">(turpmāk – </w:t>
            </w:r>
            <w:proofErr w:type="spellStart"/>
            <w:r w:rsidR="003E25A0" w:rsidRPr="003E25A0">
              <w:rPr>
                <w:rFonts w:ascii="Times New Roman" w:eastAsia="Times New Roman" w:hAnsi="Times New Roman"/>
                <w:sz w:val="28"/>
                <w:szCs w:val="28"/>
                <w:lang w:eastAsia="lv-LV"/>
              </w:rPr>
              <w:t>protokollēmums</w:t>
            </w:r>
            <w:proofErr w:type="spellEnd"/>
            <w:r w:rsidR="003E25A0" w:rsidRPr="003E25A0">
              <w:rPr>
                <w:rFonts w:ascii="Times New Roman" w:eastAsia="Times New Roman" w:hAnsi="Times New Roman"/>
                <w:sz w:val="28"/>
                <w:szCs w:val="28"/>
                <w:lang w:eastAsia="lv-LV"/>
              </w:rPr>
              <w:t xml:space="preserve">) </w:t>
            </w:r>
            <w:r w:rsidR="006647AC" w:rsidRPr="003E25A0">
              <w:rPr>
                <w:rFonts w:ascii="Times New Roman" w:eastAsia="Times New Roman" w:hAnsi="Times New Roman"/>
                <w:sz w:val="28"/>
                <w:szCs w:val="28"/>
                <w:lang w:eastAsia="lv-LV"/>
              </w:rPr>
              <w:t xml:space="preserve">2.punktam </w:t>
            </w:r>
            <w:r w:rsidR="006647AC" w:rsidRPr="003E25A0">
              <w:rPr>
                <w:rFonts w:ascii="Times New Roman" w:hAnsi="Times New Roman"/>
                <w:sz w:val="28"/>
                <w:szCs w:val="28"/>
              </w:rPr>
              <w:t xml:space="preserve">Izglītības un zinātnes ministrijai ir noteikts uzdevums izvērtēt augstākās izglītības </w:t>
            </w:r>
            <w:proofErr w:type="spellStart"/>
            <w:r w:rsidR="006647AC" w:rsidRPr="003E25A0">
              <w:rPr>
                <w:rFonts w:ascii="Times New Roman" w:hAnsi="Times New Roman"/>
                <w:sz w:val="28"/>
                <w:szCs w:val="28"/>
              </w:rPr>
              <w:t>diplomatzīšanas</w:t>
            </w:r>
            <w:proofErr w:type="spellEnd"/>
            <w:r w:rsidR="006647AC" w:rsidRPr="003E25A0">
              <w:rPr>
                <w:rFonts w:ascii="Times New Roman" w:hAnsi="Times New Roman"/>
                <w:sz w:val="28"/>
                <w:szCs w:val="28"/>
              </w:rPr>
              <w:t xml:space="preserve"> kārtību un izstrādāt priekšlikumus ārvalstīs iegūtā akadēmiskā grāda vai izglītības dokumenta ekspertīzes paātrināšanai, sagatavot un līdz 2015.gada 31.decembrim iesniegt izskatīšanai Ministru kabinetā attiecīgu konceptuālo ziņojumu</w:t>
            </w:r>
            <w:r w:rsidR="003E25A0" w:rsidRPr="003E25A0">
              <w:rPr>
                <w:rFonts w:ascii="Times New Roman" w:hAnsi="Times New Roman"/>
                <w:sz w:val="28"/>
                <w:szCs w:val="28"/>
              </w:rPr>
              <w:t xml:space="preserve"> (turpmāk – uzdevums)</w:t>
            </w:r>
            <w:r w:rsidR="006647AC" w:rsidRPr="003E25A0">
              <w:rPr>
                <w:rFonts w:ascii="Times New Roman" w:hAnsi="Times New Roman"/>
                <w:sz w:val="28"/>
                <w:szCs w:val="28"/>
              </w:rPr>
              <w:t>.</w:t>
            </w:r>
          </w:p>
          <w:p w14:paraId="2D75ABA0" w14:textId="715FC7FE" w:rsidR="003E25A0" w:rsidRPr="003E25A0" w:rsidRDefault="003E25A0" w:rsidP="003E25A0">
            <w:pPr>
              <w:widowControl/>
              <w:spacing w:after="0" w:line="240" w:lineRule="auto"/>
              <w:jc w:val="both"/>
              <w:rPr>
                <w:rFonts w:ascii="Times New Roman" w:eastAsia="Times New Roman" w:hAnsi="Times New Roman"/>
                <w:sz w:val="28"/>
                <w:szCs w:val="28"/>
                <w:lang w:eastAsia="lv-LV"/>
              </w:rPr>
            </w:pPr>
            <w:proofErr w:type="spellStart"/>
            <w:r w:rsidRPr="003E25A0">
              <w:rPr>
                <w:rFonts w:ascii="Times New Roman" w:eastAsia="Times New Roman" w:hAnsi="Times New Roman"/>
                <w:sz w:val="28"/>
                <w:szCs w:val="28"/>
                <w:lang w:eastAsia="lv-LV"/>
              </w:rPr>
              <w:t>Protokollēmumā</w:t>
            </w:r>
            <w:proofErr w:type="spellEnd"/>
            <w:r w:rsidRPr="003E25A0">
              <w:rPr>
                <w:rFonts w:ascii="Times New Roman" w:eastAsia="Times New Roman" w:hAnsi="Times New Roman"/>
                <w:sz w:val="28"/>
                <w:szCs w:val="28"/>
                <w:lang w:eastAsia="lv-LV"/>
              </w:rPr>
              <w:t xml:space="preserve"> noteiktais uzdevums ir aktualitāti zaudējis, ņemot vērā, ka ir realizēti šādi pasākumi:</w:t>
            </w:r>
          </w:p>
          <w:p w14:paraId="1645DD63" w14:textId="77777777" w:rsidR="003E25A0" w:rsidRPr="003E25A0" w:rsidRDefault="003E25A0" w:rsidP="003E25A0">
            <w:pPr>
              <w:widowControl/>
              <w:numPr>
                <w:ilvl w:val="0"/>
                <w:numId w:val="13"/>
              </w:numPr>
              <w:tabs>
                <w:tab w:val="left" w:pos="993"/>
              </w:tabs>
              <w:spacing w:after="0" w:line="240" w:lineRule="auto"/>
              <w:ind w:left="0" w:firstLine="720"/>
              <w:contextualSpacing/>
              <w:jc w:val="both"/>
              <w:rPr>
                <w:rFonts w:ascii="Times New Roman" w:eastAsia="Times New Roman" w:hAnsi="Times New Roman"/>
                <w:sz w:val="28"/>
                <w:szCs w:val="28"/>
                <w:lang w:eastAsia="lv-LV"/>
              </w:rPr>
            </w:pPr>
            <w:r w:rsidRPr="003E25A0">
              <w:rPr>
                <w:rFonts w:ascii="Times New Roman" w:eastAsia="Times New Roman" w:hAnsi="Times New Roman"/>
                <w:sz w:val="28"/>
                <w:szCs w:val="28"/>
                <w:lang w:eastAsia="lv-LV"/>
              </w:rPr>
              <w:t xml:space="preserve">Izglītības un zinātnes ministrija 2017.gadā ir izstrādājusi nosacījumus labajai praksei ārvalstu studējošo piesaistē un studiju nodrošināšanā, paredzot izglītības kvalitāti kā galveno labās prakses principu. Minēto nosacījumu izpildi nodrošina vienošanās, kuru slēdz starp Izglītības un zinātnes ministriju un  vienošanās augstākās izglītības iestādi. Ar šo vienošanos augstākās izglītības </w:t>
            </w:r>
            <w:r w:rsidRPr="003E25A0">
              <w:rPr>
                <w:rFonts w:ascii="Times New Roman" w:eastAsia="Times New Roman" w:hAnsi="Times New Roman"/>
                <w:sz w:val="28"/>
                <w:szCs w:val="28"/>
                <w:lang w:eastAsia="lv-LV"/>
              </w:rPr>
              <w:lastRenderedPageBreak/>
              <w:t>iestādes apņemas ievērot tajā ietvertos kritērijus un principus, sekmējot labo praksi ārvalstu studentu piesaistē un studiju procesa nodrošināšanā, tostarp apņemas nodrošināt, ka informācija par augstākās izglītības iestādes darbības profilu un pašvērtējumu ir pieejama Eiropas Savienības izveidotajā augstākās izglītības iestāžu salīdzinošajā platformā “</w:t>
            </w:r>
            <w:proofErr w:type="spellStart"/>
            <w:r w:rsidRPr="003E25A0">
              <w:rPr>
                <w:rFonts w:ascii="Times New Roman" w:eastAsia="Times New Roman" w:hAnsi="Times New Roman"/>
                <w:sz w:val="28"/>
                <w:szCs w:val="28"/>
                <w:lang w:eastAsia="lv-LV"/>
              </w:rPr>
              <w:t>Multirank</w:t>
            </w:r>
            <w:proofErr w:type="spellEnd"/>
            <w:r w:rsidRPr="003E25A0">
              <w:rPr>
                <w:rFonts w:ascii="Times New Roman" w:eastAsia="Times New Roman" w:hAnsi="Times New Roman"/>
                <w:sz w:val="28"/>
                <w:szCs w:val="28"/>
                <w:lang w:eastAsia="lv-LV"/>
              </w:rPr>
              <w:t>” kā arī nodrošinot, ka Latvijas studējošajiem studiju process un atbalsta serviss tiek nodrošināts tādā pašā kvalitātē kā ārvalstu studējošajiem.</w:t>
            </w:r>
          </w:p>
          <w:p w14:paraId="114AE4A7" w14:textId="77777777" w:rsidR="003E25A0" w:rsidRPr="003E25A0" w:rsidRDefault="003E25A0" w:rsidP="003E25A0">
            <w:pPr>
              <w:widowControl/>
              <w:numPr>
                <w:ilvl w:val="0"/>
                <w:numId w:val="13"/>
              </w:numPr>
              <w:tabs>
                <w:tab w:val="left" w:pos="993"/>
              </w:tabs>
              <w:spacing w:after="0" w:line="240" w:lineRule="auto"/>
              <w:ind w:left="0" w:firstLine="720"/>
              <w:contextualSpacing/>
              <w:jc w:val="both"/>
              <w:rPr>
                <w:rFonts w:ascii="Times New Roman" w:eastAsia="Times New Roman" w:hAnsi="Times New Roman"/>
                <w:sz w:val="28"/>
                <w:szCs w:val="28"/>
                <w:lang w:eastAsia="lv-LV"/>
              </w:rPr>
            </w:pPr>
            <w:r w:rsidRPr="003E25A0">
              <w:rPr>
                <w:rFonts w:ascii="Times New Roman" w:eastAsia="Times New Roman" w:hAnsi="Times New Roman"/>
                <w:sz w:val="28"/>
                <w:szCs w:val="28"/>
                <w:lang w:eastAsia="lv-LV"/>
              </w:rPr>
              <w:t>2018. gada 28. maijā ir parakstīts Ārlietu ministrijas un Augstākās izglītības eksporta apvienības Sadarbības memorands par ārvalstu studentu piesaisti, nosakot, ka Augstākās izglītības eksporta apvienībā esošās augstskolas veiks atbilstošu studentu atlasi – vispārējo un svešvalodu zināšanu pārbaudi, savukārt Ārlietu ministrija nodrošinās studentu savlaicīgu vīzu pieteikumu izskatīšanu atbilstoši memorandā noteiktajam laika grafikam.  </w:t>
            </w:r>
          </w:p>
          <w:p w14:paraId="42620E1F" w14:textId="4E390E14" w:rsidR="003E25A0" w:rsidRPr="003E25A0" w:rsidRDefault="003E25A0" w:rsidP="003E25A0">
            <w:pPr>
              <w:widowControl/>
              <w:numPr>
                <w:ilvl w:val="0"/>
                <w:numId w:val="13"/>
              </w:numPr>
              <w:tabs>
                <w:tab w:val="left" w:pos="993"/>
              </w:tabs>
              <w:spacing w:after="0" w:line="240" w:lineRule="auto"/>
              <w:ind w:left="0" w:firstLine="720"/>
              <w:contextualSpacing/>
              <w:jc w:val="both"/>
              <w:rPr>
                <w:rFonts w:ascii="Times New Roman" w:eastAsia="Times New Roman" w:hAnsi="Times New Roman"/>
                <w:sz w:val="28"/>
                <w:szCs w:val="28"/>
                <w:lang w:eastAsia="lv-LV"/>
              </w:rPr>
            </w:pPr>
            <w:r w:rsidRPr="003E25A0">
              <w:rPr>
                <w:rFonts w:ascii="Times New Roman" w:eastAsia="Times New Roman" w:hAnsi="Times New Roman"/>
                <w:sz w:val="28"/>
                <w:szCs w:val="28"/>
                <w:lang w:eastAsia="lv-LV"/>
              </w:rPr>
              <w:t xml:space="preserve">Ministru kabineta 2017. gada 19. septembra noteikumi Nr. 566 “Noteikumi par informācijas institūcijām un institūcijām, kas izsniedz ārvalstīs iegūtās profesionālās kvalifikācijas atzīšanas apliecības reglamentētajās profesijās”  nosaka informācijas institūcijas attiecībā uz reglamentētajām profesijām, institūcijas, kas izsniedz ārvalstīs iegūtās profesionālās kvalifikācijas atzīšanas apliecības reglamentētajās profesijās un, ka informācijas institūcija attiecībā uz reglamentētajām profesijām, kas nav minētas šo noteikumu </w:t>
            </w:r>
            <w:hyperlink r:id="rId7" w:anchor="piel1" w:history="1">
              <w:r w:rsidRPr="003E25A0">
                <w:rPr>
                  <w:rFonts w:ascii="Times New Roman" w:eastAsia="Times New Roman" w:hAnsi="Times New Roman"/>
                  <w:sz w:val="28"/>
                  <w:szCs w:val="28"/>
                  <w:lang w:eastAsia="lv-LV"/>
                </w:rPr>
                <w:t>1.</w:t>
              </w:r>
            </w:hyperlink>
            <w:r w:rsidRPr="003E25A0">
              <w:rPr>
                <w:rFonts w:ascii="Times New Roman" w:eastAsia="Times New Roman" w:hAnsi="Times New Roman"/>
                <w:sz w:val="28"/>
                <w:szCs w:val="28"/>
                <w:lang w:eastAsia="lv-LV"/>
              </w:rPr>
              <w:t> pielikumā, ir nodibinājums "Akadēmiskās informācijas centrs".</w:t>
            </w:r>
          </w:p>
          <w:p w14:paraId="46C48208" w14:textId="77777777" w:rsidR="003E25A0" w:rsidRPr="003E25A0" w:rsidRDefault="003E25A0" w:rsidP="003E25A0">
            <w:pPr>
              <w:widowControl/>
              <w:spacing w:after="0" w:line="240" w:lineRule="auto"/>
              <w:rPr>
                <w:rFonts w:ascii="Times New Roman" w:eastAsia="Times New Roman" w:hAnsi="Times New Roman"/>
                <w:vanish/>
                <w:sz w:val="28"/>
                <w:szCs w:val="28"/>
                <w:lang w:eastAsia="lv-LV"/>
              </w:rPr>
            </w:pPr>
            <w:r w:rsidRPr="003E25A0">
              <w:rPr>
                <w:rFonts w:ascii="Times New Roman" w:eastAsia="Times New Roman" w:hAnsi="Times New Roman"/>
                <w:vanish/>
                <w:sz w:val="28"/>
                <w:szCs w:val="28"/>
                <w:lang w:eastAsia="lv-LV"/>
              </w:rPr>
              <w:t>2</w:t>
            </w:r>
          </w:p>
          <w:p w14:paraId="7BBD5487" w14:textId="77777777" w:rsidR="003E25A0" w:rsidRPr="003E25A0" w:rsidRDefault="003E25A0" w:rsidP="003E25A0">
            <w:pPr>
              <w:widowControl/>
              <w:shd w:val="clear" w:color="auto" w:fill="000000"/>
              <w:spacing w:after="0" w:line="240" w:lineRule="auto"/>
              <w:rPr>
                <w:rFonts w:ascii="Times New Roman" w:eastAsia="Times New Roman" w:hAnsi="Times New Roman"/>
                <w:vanish/>
                <w:sz w:val="28"/>
                <w:szCs w:val="28"/>
                <w:lang w:eastAsia="lv-LV"/>
              </w:rPr>
            </w:pPr>
            <w:r w:rsidRPr="003E25A0">
              <w:rPr>
                <w:rFonts w:ascii="Times New Roman" w:eastAsia="Times New Roman" w:hAnsi="Times New Roman"/>
                <w:vanish/>
                <w:sz w:val="28"/>
                <w:szCs w:val="28"/>
                <w:lang w:eastAsia="lv-LV"/>
              </w:rPr>
              <w:t>Parādīt iespējas</w:t>
            </w:r>
          </w:p>
          <w:p w14:paraId="2960C744" w14:textId="77777777" w:rsidR="003E25A0" w:rsidRPr="003E25A0" w:rsidRDefault="003E25A0" w:rsidP="003E25A0">
            <w:pPr>
              <w:widowControl/>
              <w:shd w:val="clear" w:color="auto" w:fill="000000"/>
              <w:spacing w:after="0" w:line="240" w:lineRule="auto"/>
              <w:rPr>
                <w:rFonts w:ascii="Times New Roman" w:eastAsia="Times New Roman" w:hAnsi="Times New Roman"/>
                <w:vanish/>
                <w:sz w:val="28"/>
                <w:szCs w:val="28"/>
                <w:lang w:eastAsia="lv-LV"/>
              </w:rPr>
            </w:pPr>
            <w:r w:rsidRPr="003E25A0">
              <w:rPr>
                <w:rFonts w:ascii="Times New Roman" w:eastAsia="Times New Roman" w:hAnsi="Times New Roman"/>
                <w:vanish/>
                <w:sz w:val="28"/>
                <w:szCs w:val="28"/>
                <w:lang w:eastAsia="lv-LV"/>
              </w:rPr>
              <w:t>Slēpt iespējas</w:t>
            </w:r>
          </w:p>
          <w:p w14:paraId="00C937E0" w14:textId="77777777" w:rsidR="003E25A0" w:rsidRPr="003E25A0" w:rsidRDefault="003E25A0" w:rsidP="003E25A0">
            <w:pPr>
              <w:widowControl/>
              <w:numPr>
                <w:ilvl w:val="0"/>
                <w:numId w:val="14"/>
              </w:numPr>
              <w:pBdr>
                <w:bottom w:val="single" w:sz="6" w:space="0" w:color="59595B"/>
              </w:pBdr>
              <w:shd w:val="clear" w:color="auto" w:fill="414142"/>
              <w:spacing w:after="0" w:line="435" w:lineRule="atLeast"/>
              <w:ind w:left="0"/>
              <w:rPr>
                <w:rFonts w:ascii="Times New Roman" w:eastAsia="Times New Roman" w:hAnsi="Times New Roman"/>
                <w:b/>
                <w:bCs/>
                <w:vanish/>
                <w:sz w:val="28"/>
                <w:szCs w:val="28"/>
                <w:lang w:eastAsia="lv-LV"/>
              </w:rPr>
            </w:pPr>
            <w:r w:rsidRPr="003E25A0">
              <w:rPr>
                <w:rFonts w:ascii="Times New Roman" w:eastAsia="Times New Roman" w:hAnsi="Times New Roman"/>
                <w:b/>
                <w:bCs/>
                <w:vanish/>
                <w:sz w:val="28"/>
                <w:szCs w:val="28"/>
                <w:lang w:eastAsia="lv-LV"/>
              </w:rPr>
              <w:t>Drukāt punktu</w:t>
            </w:r>
          </w:p>
          <w:p w14:paraId="42713A62" w14:textId="77777777" w:rsidR="003E25A0" w:rsidRPr="003E25A0" w:rsidRDefault="003E25A0" w:rsidP="003E25A0">
            <w:pPr>
              <w:widowControl/>
              <w:numPr>
                <w:ilvl w:val="0"/>
                <w:numId w:val="14"/>
              </w:numPr>
              <w:pBdr>
                <w:bottom w:val="single" w:sz="6" w:space="0" w:color="59595B"/>
              </w:pBdr>
              <w:shd w:val="clear" w:color="auto" w:fill="414142"/>
              <w:spacing w:after="0" w:line="435" w:lineRule="atLeast"/>
              <w:ind w:left="0"/>
              <w:rPr>
                <w:rFonts w:ascii="Times New Roman" w:eastAsia="Times New Roman" w:hAnsi="Times New Roman"/>
                <w:b/>
                <w:bCs/>
                <w:vanish/>
                <w:sz w:val="28"/>
                <w:szCs w:val="28"/>
                <w:lang w:eastAsia="lv-LV"/>
              </w:rPr>
            </w:pPr>
            <w:r w:rsidRPr="003E25A0">
              <w:rPr>
                <w:rFonts w:ascii="Times New Roman" w:eastAsia="Times New Roman" w:hAnsi="Times New Roman"/>
                <w:b/>
                <w:bCs/>
                <w:vanish/>
                <w:sz w:val="28"/>
                <w:szCs w:val="28"/>
                <w:lang w:eastAsia="lv-LV"/>
              </w:rPr>
              <w:t>Saglabāt kā PDF</w:t>
            </w:r>
          </w:p>
          <w:p w14:paraId="0CD98950" w14:textId="77777777" w:rsidR="003E25A0" w:rsidRPr="003E25A0" w:rsidRDefault="003E25A0" w:rsidP="003E25A0">
            <w:pPr>
              <w:widowControl/>
              <w:numPr>
                <w:ilvl w:val="0"/>
                <w:numId w:val="14"/>
              </w:numPr>
              <w:pBdr>
                <w:bottom w:val="single" w:sz="6" w:space="0" w:color="59595B"/>
              </w:pBdr>
              <w:shd w:val="clear" w:color="auto" w:fill="414142"/>
              <w:spacing w:after="0" w:line="435" w:lineRule="atLeast"/>
              <w:ind w:left="0"/>
              <w:rPr>
                <w:rFonts w:ascii="Times New Roman" w:eastAsia="Times New Roman" w:hAnsi="Times New Roman"/>
                <w:b/>
                <w:bCs/>
                <w:vanish/>
                <w:sz w:val="28"/>
                <w:szCs w:val="28"/>
                <w:lang w:eastAsia="lv-LV"/>
              </w:rPr>
            </w:pPr>
            <w:r w:rsidRPr="003E25A0">
              <w:rPr>
                <w:rFonts w:ascii="Times New Roman" w:eastAsia="Times New Roman" w:hAnsi="Times New Roman"/>
                <w:b/>
                <w:bCs/>
                <w:vanish/>
                <w:sz w:val="28"/>
                <w:szCs w:val="28"/>
                <w:lang w:eastAsia="lv-LV"/>
              </w:rPr>
              <w:t>Pievienot piezīmi</w:t>
            </w:r>
          </w:p>
          <w:p w14:paraId="10757A7D" w14:textId="77777777" w:rsidR="003E25A0" w:rsidRPr="003E25A0" w:rsidRDefault="003E25A0" w:rsidP="003E25A0">
            <w:pPr>
              <w:widowControl/>
              <w:numPr>
                <w:ilvl w:val="0"/>
                <w:numId w:val="14"/>
              </w:numPr>
              <w:pBdr>
                <w:bottom w:val="single" w:sz="6" w:space="0" w:color="59595B"/>
              </w:pBdr>
              <w:shd w:val="clear" w:color="auto" w:fill="414142"/>
              <w:spacing w:after="0" w:line="435" w:lineRule="atLeast"/>
              <w:ind w:left="0"/>
              <w:rPr>
                <w:rFonts w:ascii="Times New Roman" w:eastAsia="Times New Roman" w:hAnsi="Times New Roman"/>
                <w:b/>
                <w:bCs/>
                <w:vanish/>
                <w:sz w:val="28"/>
                <w:szCs w:val="28"/>
                <w:lang w:eastAsia="lv-LV"/>
              </w:rPr>
            </w:pPr>
            <w:r w:rsidRPr="003E25A0">
              <w:rPr>
                <w:rFonts w:ascii="Times New Roman" w:eastAsia="Times New Roman" w:hAnsi="Times New Roman"/>
                <w:b/>
                <w:bCs/>
                <w:vanish/>
                <w:sz w:val="28"/>
                <w:szCs w:val="28"/>
                <w:lang w:eastAsia="lv-LV"/>
              </w:rPr>
              <w:t>Atsauce uz punktu</w:t>
            </w:r>
          </w:p>
          <w:p w14:paraId="05E8B846" w14:textId="77777777" w:rsidR="003E25A0" w:rsidRPr="003E25A0" w:rsidRDefault="003E25A0" w:rsidP="003E25A0">
            <w:pPr>
              <w:widowControl/>
              <w:numPr>
                <w:ilvl w:val="0"/>
                <w:numId w:val="13"/>
              </w:numPr>
              <w:tabs>
                <w:tab w:val="left" w:pos="993"/>
              </w:tabs>
              <w:spacing w:after="0" w:line="240" w:lineRule="auto"/>
              <w:ind w:left="0" w:firstLine="720"/>
              <w:contextualSpacing/>
              <w:jc w:val="both"/>
              <w:rPr>
                <w:rFonts w:ascii="Times New Roman" w:eastAsia="Times New Roman" w:hAnsi="Times New Roman"/>
                <w:sz w:val="28"/>
                <w:szCs w:val="28"/>
                <w:lang w:eastAsia="lv-LV"/>
              </w:rPr>
            </w:pPr>
            <w:bookmarkStart w:id="1" w:name="p-634813"/>
            <w:bookmarkStart w:id="2" w:name="p2"/>
            <w:bookmarkEnd w:id="1"/>
            <w:bookmarkEnd w:id="2"/>
            <w:r w:rsidRPr="003E25A0">
              <w:rPr>
                <w:rFonts w:ascii="Times New Roman" w:eastAsia="Times New Roman" w:hAnsi="Times New Roman"/>
                <w:sz w:val="28"/>
                <w:szCs w:val="28"/>
                <w:lang w:eastAsia="lv-LV"/>
              </w:rPr>
              <w:t>Ministru kabineta 2006.gada 10.oktobra noteikumu Nr.846 “</w:t>
            </w:r>
            <w:r w:rsidRPr="003E25A0">
              <w:rPr>
                <w:rFonts w:ascii="Times New Roman" w:eastAsia="Times New Roman" w:hAnsi="Times New Roman"/>
                <w:bCs/>
                <w:sz w:val="28"/>
                <w:szCs w:val="28"/>
                <w:lang w:eastAsia="lv-LV"/>
              </w:rPr>
              <w:t xml:space="preserve">Noteikumi par prasībām, kritērijiem un kārtību uzņemšanai studiju programmās” </w:t>
            </w:r>
            <w:r w:rsidRPr="003E25A0">
              <w:rPr>
                <w:rFonts w:ascii="Times New Roman" w:eastAsia="Times New Roman" w:hAnsi="Times New Roman"/>
                <w:sz w:val="28"/>
                <w:szCs w:val="28"/>
                <w:lang w:eastAsia="lv-LV"/>
              </w:rPr>
              <w:t xml:space="preserve">(Ministru kabineta </w:t>
            </w:r>
            <w:hyperlink r:id="rId8" w:tgtFrame="_blank" w:history="1">
              <w:r w:rsidRPr="003E25A0">
                <w:rPr>
                  <w:rFonts w:ascii="Times New Roman" w:eastAsia="Times New Roman" w:hAnsi="Times New Roman"/>
                  <w:sz w:val="28"/>
                  <w:szCs w:val="28"/>
                  <w:lang w:eastAsia="lv-LV"/>
                </w:rPr>
                <w:t>2018.</w:t>
              </w:r>
            </w:hyperlink>
            <w:r w:rsidRPr="003E25A0">
              <w:rPr>
                <w:rFonts w:ascii="Times New Roman" w:eastAsia="Times New Roman" w:hAnsi="Times New Roman"/>
                <w:sz w:val="28"/>
                <w:szCs w:val="28"/>
                <w:lang w:eastAsia="lv-LV"/>
              </w:rPr>
              <w:t>gada 27.novembra noteikumu Nr. 749 redakcijā)</w:t>
            </w:r>
            <w:r w:rsidRPr="003E25A0">
              <w:rPr>
                <w:rFonts w:ascii="Times New Roman" w:eastAsia="Times New Roman" w:hAnsi="Times New Roman"/>
                <w:bCs/>
                <w:sz w:val="28"/>
                <w:szCs w:val="28"/>
                <w:lang w:eastAsia="lv-LV"/>
              </w:rPr>
              <w:t xml:space="preserve"> 7.¹ punkts</w:t>
            </w:r>
            <w:r w:rsidRPr="003E25A0">
              <w:rPr>
                <w:rFonts w:ascii="Times New Roman" w:eastAsia="Times New Roman" w:hAnsi="Times New Roman"/>
                <w:sz w:val="28"/>
                <w:szCs w:val="28"/>
                <w:lang w:eastAsia="lv-LV"/>
              </w:rPr>
              <w:t xml:space="preserve"> nosaka, ka ārzemnieks iesniegumam pievieno starptautiskās testēšanas institūcijas pēdējo piecu gadu laikā izsniegtu dokumentu, kas apliecina, ka ārzemnieka attiecīgās studiju programmas īstenošanas valodas prasme ir vismaz B2 līmenī. Minēto dokumentu nepievieno, ja ārzemnieks vidējo izglītību vai augstāko izglītību ieguvis attiecīgās studiju programmas īstenošanas valodā.</w:t>
            </w:r>
          </w:p>
          <w:p w14:paraId="1A46EFDD" w14:textId="7905AA30" w:rsidR="00416C1E" w:rsidRPr="003E25A0" w:rsidRDefault="003E25A0" w:rsidP="00D407F3">
            <w:pPr>
              <w:widowControl/>
              <w:numPr>
                <w:ilvl w:val="0"/>
                <w:numId w:val="13"/>
              </w:numPr>
              <w:shd w:val="clear" w:color="auto" w:fill="FFFFFF"/>
              <w:tabs>
                <w:tab w:val="left" w:pos="993"/>
              </w:tabs>
              <w:spacing w:after="0" w:line="240" w:lineRule="auto"/>
              <w:ind w:left="0" w:firstLine="709"/>
              <w:contextualSpacing/>
              <w:jc w:val="both"/>
              <w:rPr>
                <w:rFonts w:ascii="Times New Roman" w:eastAsia="Times New Roman" w:hAnsi="Times New Roman"/>
                <w:sz w:val="28"/>
                <w:szCs w:val="28"/>
                <w:lang w:eastAsia="lv-LV"/>
              </w:rPr>
            </w:pPr>
            <w:r w:rsidRPr="003E25A0">
              <w:rPr>
                <w:rFonts w:ascii="Times New Roman" w:eastAsia="Times New Roman" w:hAnsi="Times New Roman"/>
                <w:sz w:val="28"/>
                <w:szCs w:val="28"/>
                <w:lang w:eastAsia="lv-LV"/>
              </w:rPr>
              <w:t xml:space="preserve">2018. gada 8. jūnijā Viļņā, Lietuvā ir parakstīts Igaunijas Republikas valdības, Latvijas Republikas </w:t>
            </w:r>
            <w:r w:rsidRPr="003E25A0">
              <w:rPr>
                <w:rFonts w:ascii="Times New Roman" w:eastAsia="Times New Roman" w:hAnsi="Times New Roman"/>
                <w:sz w:val="28"/>
                <w:szCs w:val="28"/>
                <w:lang w:eastAsia="lv-LV"/>
              </w:rPr>
              <w:lastRenderedPageBreak/>
              <w:t xml:space="preserve">valdības un Lietuvas Republikas valdības līgums par kvalifikāciju, kas saistītas ar augstāko izglītību, savstarpēju automātisku akadēmisku atzīšanu (pieņemts ar likumu Saeimā 2018. gada 1. novembrī un spēkā ar </w:t>
            </w:r>
            <w:hyperlink r:id="rId9" w:tgtFrame="_blank" w:history="1">
              <w:r w:rsidRPr="003E25A0">
                <w:rPr>
                  <w:rFonts w:ascii="Times New Roman" w:eastAsia="Times New Roman" w:hAnsi="Times New Roman"/>
                  <w:sz w:val="28"/>
                  <w:szCs w:val="28"/>
                  <w:lang w:eastAsia="lv-LV"/>
                </w:rPr>
                <w:t>2018.</w:t>
              </w:r>
            </w:hyperlink>
            <w:r w:rsidRPr="003E25A0">
              <w:rPr>
                <w:rFonts w:ascii="Times New Roman" w:eastAsia="Times New Roman" w:hAnsi="Times New Roman"/>
                <w:sz w:val="28"/>
                <w:szCs w:val="28"/>
                <w:lang w:eastAsia="lv-LV"/>
              </w:rPr>
              <w:t>gada 15.novembri).</w:t>
            </w:r>
          </w:p>
        </w:tc>
      </w:tr>
      <w:tr w:rsidR="003E25A0" w:rsidRPr="003E25A0" w14:paraId="4281EBCA" w14:textId="77777777" w:rsidTr="0048295D">
        <w:tc>
          <w:tcPr>
            <w:tcW w:w="296" w:type="pct"/>
            <w:tcBorders>
              <w:top w:val="outset" w:sz="6" w:space="0" w:color="auto"/>
              <w:left w:val="outset" w:sz="6" w:space="0" w:color="auto"/>
              <w:bottom w:val="outset" w:sz="6" w:space="0" w:color="auto"/>
              <w:right w:val="outset" w:sz="6" w:space="0" w:color="auto"/>
            </w:tcBorders>
            <w:hideMark/>
          </w:tcPr>
          <w:p w14:paraId="1B46FB01" w14:textId="31DEAC4A" w:rsidR="00416C1E" w:rsidRPr="003E25A0" w:rsidRDefault="00416C1E" w:rsidP="00416C1E">
            <w:pPr>
              <w:pStyle w:val="ListParagraph"/>
              <w:numPr>
                <w:ilvl w:val="0"/>
                <w:numId w:val="12"/>
              </w:numPr>
              <w:spacing w:after="0" w:line="360" w:lineRule="auto"/>
              <w:jc w:val="both"/>
              <w:rPr>
                <w:rFonts w:ascii="Times New Roman" w:hAnsi="Times New Roman"/>
                <w:sz w:val="28"/>
                <w:szCs w:val="28"/>
              </w:rPr>
            </w:pPr>
          </w:p>
        </w:tc>
        <w:tc>
          <w:tcPr>
            <w:tcW w:w="1194" w:type="pct"/>
            <w:tcBorders>
              <w:top w:val="outset" w:sz="6" w:space="0" w:color="auto"/>
              <w:left w:val="outset" w:sz="6" w:space="0" w:color="auto"/>
              <w:bottom w:val="outset" w:sz="6" w:space="0" w:color="auto"/>
              <w:right w:val="outset" w:sz="6" w:space="0" w:color="auto"/>
            </w:tcBorders>
            <w:hideMark/>
          </w:tcPr>
          <w:p w14:paraId="0D1824DE" w14:textId="77777777" w:rsidR="00416C1E" w:rsidRPr="003E25A0" w:rsidRDefault="00416C1E" w:rsidP="00416C1E">
            <w:pPr>
              <w:spacing w:after="0" w:line="240" w:lineRule="auto"/>
              <w:jc w:val="both"/>
              <w:rPr>
                <w:rFonts w:ascii="Times New Roman" w:hAnsi="Times New Roman"/>
                <w:sz w:val="28"/>
                <w:szCs w:val="28"/>
              </w:rPr>
            </w:pPr>
            <w:r w:rsidRPr="003E25A0">
              <w:rPr>
                <w:rFonts w:ascii="Times New Roman" w:hAnsi="Times New Roman"/>
                <w:sz w:val="28"/>
                <w:szCs w:val="28"/>
              </w:rPr>
              <w:t>Valsts sekretāru sanāksmes datums un numurs</w:t>
            </w:r>
          </w:p>
        </w:tc>
        <w:tc>
          <w:tcPr>
            <w:tcW w:w="3510" w:type="pct"/>
            <w:tcBorders>
              <w:top w:val="outset" w:sz="6" w:space="0" w:color="auto"/>
              <w:left w:val="outset" w:sz="6" w:space="0" w:color="auto"/>
              <w:bottom w:val="outset" w:sz="6" w:space="0" w:color="auto"/>
              <w:right w:val="outset" w:sz="6" w:space="0" w:color="auto"/>
            </w:tcBorders>
            <w:hideMark/>
          </w:tcPr>
          <w:p w14:paraId="724B0168" w14:textId="77777777" w:rsidR="00416C1E" w:rsidRPr="003E25A0" w:rsidRDefault="00416C1E" w:rsidP="00416C1E">
            <w:pPr>
              <w:spacing w:after="0" w:line="240" w:lineRule="auto"/>
              <w:jc w:val="both"/>
              <w:rPr>
                <w:rFonts w:ascii="Times New Roman" w:hAnsi="Times New Roman"/>
                <w:b/>
                <w:sz w:val="28"/>
                <w:szCs w:val="28"/>
                <w:u w:val="single"/>
              </w:rPr>
            </w:pPr>
            <w:r w:rsidRPr="003E25A0">
              <w:rPr>
                <w:rFonts w:ascii="Times New Roman" w:hAnsi="Times New Roman"/>
                <w:sz w:val="28"/>
                <w:szCs w:val="28"/>
              </w:rPr>
              <w:t>Nav attiecināms.</w:t>
            </w:r>
          </w:p>
        </w:tc>
      </w:tr>
      <w:tr w:rsidR="003E25A0" w:rsidRPr="003E25A0" w14:paraId="39AA9F36" w14:textId="77777777" w:rsidTr="0048295D">
        <w:tc>
          <w:tcPr>
            <w:tcW w:w="296" w:type="pct"/>
            <w:tcBorders>
              <w:top w:val="outset" w:sz="6" w:space="0" w:color="auto"/>
              <w:left w:val="outset" w:sz="6" w:space="0" w:color="auto"/>
              <w:bottom w:val="outset" w:sz="6" w:space="0" w:color="auto"/>
              <w:right w:val="outset" w:sz="6" w:space="0" w:color="auto"/>
            </w:tcBorders>
            <w:hideMark/>
          </w:tcPr>
          <w:p w14:paraId="0D3F8BB6" w14:textId="77777777" w:rsidR="00416C1E" w:rsidRPr="003E25A0" w:rsidRDefault="00416C1E" w:rsidP="00416C1E">
            <w:pPr>
              <w:spacing w:after="0" w:line="360" w:lineRule="auto"/>
              <w:jc w:val="both"/>
              <w:rPr>
                <w:rFonts w:ascii="Times New Roman" w:hAnsi="Times New Roman"/>
                <w:sz w:val="28"/>
                <w:szCs w:val="28"/>
              </w:rPr>
            </w:pPr>
            <w:r w:rsidRPr="003E25A0">
              <w:rPr>
                <w:rFonts w:ascii="Times New Roman" w:hAnsi="Times New Roman"/>
                <w:sz w:val="28"/>
                <w:szCs w:val="28"/>
              </w:rPr>
              <w:t>3.</w:t>
            </w:r>
          </w:p>
        </w:tc>
        <w:tc>
          <w:tcPr>
            <w:tcW w:w="1194" w:type="pct"/>
            <w:tcBorders>
              <w:top w:val="outset" w:sz="6" w:space="0" w:color="auto"/>
              <w:left w:val="outset" w:sz="6" w:space="0" w:color="auto"/>
              <w:bottom w:val="outset" w:sz="6" w:space="0" w:color="auto"/>
              <w:right w:val="outset" w:sz="6" w:space="0" w:color="auto"/>
            </w:tcBorders>
            <w:hideMark/>
          </w:tcPr>
          <w:p w14:paraId="59DF8B19" w14:textId="77777777" w:rsidR="00416C1E" w:rsidRPr="003E25A0" w:rsidRDefault="00416C1E" w:rsidP="00416C1E">
            <w:pPr>
              <w:spacing w:after="0" w:line="240" w:lineRule="auto"/>
              <w:jc w:val="both"/>
              <w:rPr>
                <w:rFonts w:ascii="Times New Roman" w:hAnsi="Times New Roman"/>
                <w:sz w:val="28"/>
                <w:szCs w:val="28"/>
              </w:rPr>
            </w:pPr>
            <w:r w:rsidRPr="003E25A0">
              <w:rPr>
                <w:rFonts w:ascii="Times New Roman" w:hAnsi="Times New Roman"/>
                <w:sz w:val="28"/>
                <w:szCs w:val="28"/>
              </w:rPr>
              <w:t>Informācija par saskaņojumiem</w:t>
            </w:r>
          </w:p>
        </w:tc>
        <w:tc>
          <w:tcPr>
            <w:tcW w:w="3510" w:type="pct"/>
            <w:tcBorders>
              <w:top w:val="outset" w:sz="6" w:space="0" w:color="auto"/>
              <w:left w:val="outset" w:sz="6" w:space="0" w:color="auto"/>
              <w:bottom w:val="outset" w:sz="6" w:space="0" w:color="auto"/>
              <w:right w:val="outset" w:sz="6" w:space="0" w:color="auto"/>
            </w:tcBorders>
            <w:hideMark/>
          </w:tcPr>
          <w:p w14:paraId="6FE830F2" w14:textId="77777777" w:rsidR="00416C1E" w:rsidRPr="003E25A0" w:rsidRDefault="00A614A4" w:rsidP="00416C1E">
            <w:pPr>
              <w:spacing w:after="0" w:line="240" w:lineRule="auto"/>
              <w:jc w:val="both"/>
              <w:rPr>
                <w:rFonts w:ascii="Times New Roman" w:hAnsi="Times New Roman"/>
                <w:sz w:val="28"/>
                <w:szCs w:val="28"/>
              </w:rPr>
            </w:pPr>
            <w:r w:rsidRPr="003E25A0">
              <w:rPr>
                <w:rFonts w:ascii="Times New Roman" w:hAnsi="Times New Roman"/>
                <w:sz w:val="28"/>
                <w:szCs w:val="28"/>
              </w:rPr>
              <w:t>Nav attiecināms.</w:t>
            </w:r>
            <w:r w:rsidR="00416C1E" w:rsidRPr="003E25A0">
              <w:rPr>
                <w:rFonts w:ascii="Times New Roman" w:hAnsi="Times New Roman"/>
                <w:sz w:val="28"/>
                <w:szCs w:val="28"/>
              </w:rPr>
              <w:t xml:space="preserve"> </w:t>
            </w:r>
          </w:p>
        </w:tc>
      </w:tr>
      <w:tr w:rsidR="003E25A0" w:rsidRPr="003E25A0" w14:paraId="0C9EB552" w14:textId="77777777" w:rsidTr="0048295D">
        <w:tc>
          <w:tcPr>
            <w:tcW w:w="296" w:type="pct"/>
            <w:tcBorders>
              <w:top w:val="outset" w:sz="6" w:space="0" w:color="auto"/>
              <w:left w:val="outset" w:sz="6" w:space="0" w:color="auto"/>
              <w:bottom w:val="outset" w:sz="6" w:space="0" w:color="auto"/>
              <w:right w:val="outset" w:sz="6" w:space="0" w:color="auto"/>
            </w:tcBorders>
            <w:hideMark/>
          </w:tcPr>
          <w:p w14:paraId="61AAB8A7" w14:textId="77777777" w:rsidR="00416C1E" w:rsidRPr="003E25A0" w:rsidRDefault="00416C1E" w:rsidP="00416C1E">
            <w:pPr>
              <w:spacing w:after="0" w:line="360" w:lineRule="auto"/>
              <w:jc w:val="both"/>
              <w:rPr>
                <w:rFonts w:ascii="Times New Roman" w:hAnsi="Times New Roman"/>
                <w:sz w:val="28"/>
                <w:szCs w:val="28"/>
              </w:rPr>
            </w:pPr>
            <w:r w:rsidRPr="003E25A0">
              <w:rPr>
                <w:rFonts w:ascii="Times New Roman" w:hAnsi="Times New Roman"/>
                <w:sz w:val="28"/>
                <w:szCs w:val="28"/>
              </w:rPr>
              <w:t>4.</w:t>
            </w:r>
          </w:p>
        </w:tc>
        <w:tc>
          <w:tcPr>
            <w:tcW w:w="1194" w:type="pct"/>
            <w:tcBorders>
              <w:top w:val="outset" w:sz="6" w:space="0" w:color="auto"/>
              <w:left w:val="outset" w:sz="6" w:space="0" w:color="auto"/>
              <w:bottom w:val="outset" w:sz="6" w:space="0" w:color="auto"/>
              <w:right w:val="outset" w:sz="6" w:space="0" w:color="auto"/>
            </w:tcBorders>
            <w:hideMark/>
          </w:tcPr>
          <w:p w14:paraId="6D7AB6EE" w14:textId="77777777" w:rsidR="00416C1E" w:rsidRPr="003E25A0" w:rsidRDefault="00416C1E" w:rsidP="00416C1E">
            <w:pPr>
              <w:spacing w:after="0" w:line="240" w:lineRule="auto"/>
              <w:jc w:val="both"/>
              <w:rPr>
                <w:rFonts w:ascii="Times New Roman" w:hAnsi="Times New Roman"/>
                <w:sz w:val="28"/>
                <w:szCs w:val="28"/>
              </w:rPr>
            </w:pPr>
            <w:r w:rsidRPr="003E25A0">
              <w:rPr>
                <w:rFonts w:ascii="Times New Roman" w:hAnsi="Times New Roman"/>
                <w:sz w:val="28"/>
                <w:szCs w:val="28"/>
              </w:rPr>
              <w:t>Informācija par saskaņojumu ar Eiropas Savienības institūcijām</w:t>
            </w:r>
          </w:p>
        </w:tc>
        <w:tc>
          <w:tcPr>
            <w:tcW w:w="3510" w:type="pct"/>
            <w:tcBorders>
              <w:top w:val="outset" w:sz="6" w:space="0" w:color="auto"/>
              <w:left w:val="outset" w:sz="6" w:space="0" w:color="auto"/>
              <w:bottom w:val="outset" w:sz="6" w:space="0" w:color="auto"/>
              <w:right w:val="outset" w:sz="6" w:space="0" w:color="auto"/>
            </w:tcBorders>
            <w:hideMark/>
          </w:tcPr>
          <w:p w14:paraId="17C8C79E" w14:textId="77777777" w:rsidR="00416C1E" w:rsidRPr="003E25A0" w:rsidRDefault="00416C1E" w:rsidP="00416C1E">
            <w:pPr>
              <w:spacing w:after="0" w:line="240" w:lineRule="auto"/>
              <w:jc w:val="both"/>
              <w:rPr>
                <w:rFonts w:ascii="Times New Roman" w:hAnsi="Times New Roman"/>
                <w:sz w:val="28"/>
                <w:szCs w:val="28"/>
              </w:rPr>
            </w:pPr>
            <w:r w:rsidRPr="003E25A0">
              <w:rPr>
                <w:rFonts w:ascii="Times New Roman" w:hAnsi="Times New Roman"/>
                <w:sz w:val="28"/>
                <w:szCs w:val="28"/>
              </w:rPr>
              <w:t>Nav attiecināms.</w:t>
            </w:r>
          </w:p>
        </w:tc>
      </w:tr>
      <w:tr w:rsidR="003E25A0" w:rsidRPr="003E25A0" w14:paraId="742FC110" w14:textId="77777777" w:rsidTr="0048295D">
        <w:tc>
          <w:tcPr>
            <w:tcW w:w="296" w:type="pct"/>
            <w:tcBorders>
              <w:top w:val="outset" w:sz="6" w:space="0" w:color="auto"/>
              <w:left w:val="outset" w:sz="6" w:space="0" w:color="auto"/>
              <w:bottom w:val="outset" w:sz="6" w:space="0" w:color="auto"/>
              <w:right w:val="outset" w:sz="6" w:space="0" w:color="auto"/>
            </w:tcBorders>
            <w:hideMark/>
          </w:tcPr>
          <w:p w14:paraId="3F9EB1C1" w14:textId="77777777" w:rsidR="00416C1E" w:rsidRPr="003E25A0" w:rsidRDefault="00416C1E" w:rsidP="00416C1E">
            <w:pPr>
              <w:spacing w:after="0" w:line="360" w:lineRule="auto"/>
              <w:jc w:val="both"/>
              <w:rPr>
                <w:rFonts w:ascii="Times New Roman" w:hAnsi="Times New Roman"/>
                <w:sz w:val="28"/>
                <w:szCs w:val="28"/>
              </w:rPr>
            </w:pPr>
            <w:r w:rsidRPr="003E25A0">
              <w:rPr>
                <w:rFonts w:ascii="Times New Roman" w:hAnsi="Times New Roman"/>
                <w:sz w:val="28"/>
                <w:szCs w:val="28"/>
              </w:rPr>
              <w:t>5.</w:t>
            </w:r>
          </w:p>
        </w:tc>
        <w:tc>
          <w:tcPr>
            <w:tcW w:w="1194" w:type="pct"/>
            <w:tcBorders>
              <w:top w:val="outset" w:sz="6" w:space="0" w:color="auto"/>
              <w:left w:val="outset" w:sz="6" w:space="0" w:color="auto"/>
              <w:bottom w:val="outset" w:sz="6" w:space="0" w:color="auto"/>
              <w:right w:val="outset" w:sz="6" w:space="0" w:color="auto"/>
            </w:tcBorders>
            <w:hideMark/>
          </w:tcPr>
          <w:p w14:paraId="4615FDF9" w14:textId="77777777" w:rsidR="00416C1E" w:rsidRPr="003E25A0" w:rsidRDefault="00416C1E" w:rsidP="00416C1E">
            <w:pPr>
              <w:spacing w:after="0" w:line="240" w:lineRule="auto"/>
              <w:jc w:val="both"/>
              <w:rPr>
                <w:rFonts w:ascii="Times New Roman" w:hAnsi="Times New Roman"/>
                <w:sz w:val="28"/>
                <w:szCs w:val="28"/>
              </w:rPr>
            </w:pPr>
            <w:r w:rsidRPr="003E25A0">
              <w:rPr>
                <w:rFonts w:ascii="Times New Roman" w:hAnsi="Times New Roman"/>
                <w:sz w:val="28"/>
                <w:szCs w:val="28"/>
              </w:rPr>
              <w:t>Politikas joma</w:t>
            </w:r>
          </w:p>
        </w:tc>
        <w:tc>
          <w:tcPr>
            <w:tcW w:w="3510" w:type="pct"/>
            <w:tcBorders>
              <w:top w:val="outset" w:sz="6" w:space="0" w:color="auto"/>
              <w:left w:val="outset" w:sz="6" w:space="0" w:color="auto"/>
              <w:bottom w:val="outset" w:sz="6" w:space="0" w:color="auto"/>
              <w:right w:val="outset" w:sz="6" w:space="0" w:color="auto"/>
            </w:tcBorders>
            <w:hideMark/>
          </w:tcPr>
          <w:p w14:paraId="54BD1086" w14:textId="77777777" w:rsidR="00416C1E" w:rsidRPr="003E25A0" w:rsidRDefault="00416C1E" w:rsidP="00416C1E">
            <w:pPr>
              <w:spacing w:after="0" w:line="240" w:lineRule="auto"/>
              <w:jc w:val="both"/>
              <w:rPr>
                <w:rFonts w:ascii="Times New Roman" w:hAnsi="Times New Roman"/>
                <w:sz w:val="28"/>
                <w:szCs w:val="28"/>
              </w:rPr>
            </w:pPr>
            <w:r w:rsidRPr="003E25A0">
              <w:rPr>
                <w:rFonts w:ascii="Times New Roman" w:hAnsi="Times New Roman"/>
                <w:sz w:val="28"/>
                <w:szCs w:val="28"/>
              </w:rPr>
              <w:t>Izglītības un zinātnes politika.</w:t>
            </w:r>
          </w:p>
        </w:tc>
      </w:tr>
      <w:tr w:rsidR="003E25A0" w:rsidRPr="003E25A0" w14:paraId="1D72F6D4" w14:textId="77777777" w:rsidTr="0048295D">
        <w:tc>
          <w:tcPr>
            <w:tcW w:w="296" w:type="pct"/>
            <w:tcBorders>
              <w:top w:val="outset" w:sz="6" w:space="0" w:color="auto"/>
              <w:left w:val="outset" w:sz="6" w:space="0" w:color="auto"/>
              <w:bottom w:val="outset" w:sz="6" w:space="0" w:color="auto"/>
              <w:right w:val="outset" w:sz="6" w:space="0" w:color="auto"/>
            </w:tcBorders>
            <w:hideMark/>
          </w:tcPr>
          <w:p w14:paraId="670E8197" w14:textId="77777777" w:rsidR="00416C1E" w:rsidRPr="003E25A0" w:rsidRDefault="00416C1E" w:rsidP="00416C1E">
            <w:pPr>
              <w:spacing w:after="0" w:line="360" w:lineRule="auto"/>
              <w:jc w:val="both"/>
              <w:rPr>
                <w:rFonts w:ascii="Times New Roman" w:hAnsi="Times New Roman"/>
                <w:sz w:val="28"/>
                <w:szCs w:val="28"/>
              </w:rPr>
            </w:pPr>
            <w:r w:rsidRPr="003E25A0">
              <w:rPr>
                <w:rFonts w:ascii="Times New Roman" w:hAnsi="Times New Roman"/>
                <w:sz w:val="28"/>
                <w:szCs w:val="28"/>
              </w:rPr>
              <w:t>6.</w:t>
            </w:r>
          </w:p>
        </w:tc>
        <w:tc>
          <w:tcPr>
            <w:tcW w:w="1194" w:type="pct"/>
            <w:tcBorders>
              <w:top w:val="outset" w:sz="6" w:space="0" w:color="auto"/>
              <w:left w:val="outset" w:sz="6" w:space="0" w:color="auto"/>
              <w:bottom w:val="outset" w:sz="6" w:space="0" w:color="auto"/>
              <w:right w:val="outset" w:sz="6" w:space="0" w:color="auto"/>
            </w:tcBorders>
            <w:hideMark/>
          </w:tcPr>
          <w:p w14:paraId="328E6495" w14:textId="77777777" w:rsidR="00416C1E" w:rsidRPr="003E25A0" w:rsidRDefault="00416C1E" w:rsidP="00416C1E">
            <w:pPr>
              <w:spacing w:after="0" w:line="240" w:lineRule="auto"/>
              <w:jc w:val="both"/>
              <w:rPr>
                <w:rFonts w:ascii="Times New Roman" w:hAnsi="Times New Roman"/>
                <w:sz w:val="28"/>
                <w:szCs w:val="28"/>
              </w:rPr>
            </w:pPr>
            <w:r w:rsidRPr="003E25A0">
              <w:rPr>
                <w:rFonts w:ascii="Times New Roman" w:hAnsi="Times New Roman"/>
                <w:sz w:val="28"/>
                <w:szCs w:val="28"/>
              </w:rPr>
              <w:t>Atbildīgā amatpersona</w:t>
            </w:r>
          </w:p>
        </w:tc>
        <w:tc>
          <w:tcPr>
            <w:tcW w:w="3510" w:type="pct"/>
            <w:tcBorders>
              <w:top w:val="outset" w:sz="6" w:space="0" w:color="auto"/>
              <w:left w:val="outset" w:sz="6" w:space="0" w:color="auto"/>
              <w:bottom w:val="outset" w:sz="6" w:space="0" w:color="auto"/>
              <w:right w:val="outset" w:sz="6" w:space="0" w:color="auto"/>
            </w:tcBorders>
            <w:hideMark/>
          </w:tcPr>
          <w:p w14:paraId="1BB58318" w14:textId="77777777" w:rsidR="00416C1E" w:rsidRPr="003E25A0" w:rsidRDefault="00416C1E" w:rsidP="00416C1E">
            <w:pPr>
              <w:spacing w:after="0" w:line="240" w:lineRule="auto"/>
              <w:jc w:val="both"/>
              <w:rPr>
                <w:rFonts w:ascii="Times New Roman" w:hAnsi="Times New Roman"/>
                <w:sz w:val="28"/>
                <w:szCs w:val="28"/>
              </w:rPr>
            </w:pPr>
            <w:r w:rsidRPr="003E25A0">
              <w:rPr>
                <w:rFonts w:ascii="Times New Roman" w:eastAsia="Times New Roman" w:hAnsi="Times New Roman"/>
                <w:sz w:val="28"/>
                <w:szCs w:val="28"/>
                <w:lang w:eastAsia="lv-LV"/>
              </w:rPr>
              <w:t xml:space="preserve">Izglītības un zinātnes ministrijas </w:t>
            </w:r>
            <w:r w:rsidRPr="003E25A0">
              <w:rPr>
                <w:rFonts w:ascii="Times New Roman" w:hAnsi="Times New Roman"/>
                <w:iCs/>
                <w:sz w:val="28"/>
                <w:szCs w:val="28"/>
              </w:rPr>
              <w:t>Augstākās izglītības, zinātnes un inovāciju departamenta</w:t>
            </w:r>
            <w:r w:rsidRPr="003E25A0">
              <w:rPr>
                <w:rFonts w:ascii="Times New Roman" w:hAnsi="Times New Roman"/>
                <w:iCs/>
                <w:sz w:val="28"/>
                <w:szCs w:val="28"/>
              </w:rPr>
              <w:br/>
              <w:t>direktora vietniece augstākās izglītības jomā Dace Jansone.</w:t>
            </w:r>
          </w:p>
        </w:tc>
      </w:tr>
      <w:tr w:rsidR="003E25A0" w:rsidRPr="003E25A0" w14:paraId="5C655332" w14:textId="77777777" w:rsidTr="0048295D">
        <w:tc>
          <w:tcPr>
            <w:tcW w:w="296" w:type="pct"/>
            <w:tcBorders>
              <w:top w:val="outset" w:sz="6" w:space="0" w:color="auto"/>
              <w:left w:val="outset" w:sz="6" w:space="0" w:color="auto"/>
              <w:bottom w:val="outset" w:sz="6" w:space="0" w:color="auto"/>
              <w:right w:val="outset" w:sz="6" w:space="0" w:color="auto"/>
            </w:tcBorders>
            <w:hideMark/>
          </w:tcPr>
          <w:p w14:paraId="5E73E4F3" w14:textId="77777777" w:rsidR="00416C1E" w:rsidRPr="003E25A0" w:rsidRDefault="00416C1E" w:rsidP="00416C1E">
            <w:pPr>
              <w:spacing w:after="0" w:line="360" w:lineRule="auto"/>
              <w:jc w:val="both"/>
              <w:rPr>
                <w:rFonts w:ascii="Times New Roman" w:hAnsi="Times New Roman"/>
                <w:sz w:val="28"/>
                <w:szCs w:val="28"/>
              </w:rPr>
            </w:pPr>
            <w:r w:rsidRPr="003E25A0">
              <w:rPr>
                <w:rFonts w:ascii="Times New Roman" w:hAnsi="Times New Roman"/>
                <w:sz w:val="28"/>
                <w:szCs w:val="28"/>
              </w:rPr>
              <w:t>7.</w:t>
            </w:r>
          </w:p>
        </w:tc>
        <w:tc>
          <w:tcPr>
            <w:tcW w:w="1194" w:type="pct"/>
            <w:tcBorders>
              <w:top w:val="outset" w:sz="6" w:space="0" w:color="auto"/>
              <w:left w:val="outset" w:sz="6" w:space="0" w:color="auto"/>
              <w:bottom w:val="outset" w:sz="6" w:space="0" w:color="auto"/>
              <w:right w:val="outset" w:sz="6" w:space="0" w:color="auto"/>
            </w:tcBorders>
            <w:hideMark/>
          </w:tcPr>
          <w:p w14:paraId="1F23387D" w14:textId="77777777" w:rsidR="00416C1E" w:rsidRPr="003E25A0" w:rsidRDefault="00416C1E" w:rsidP="00416C1E">
            <w:pPr>
              <w:spacing w:after="0" w:line="240" w:lineRule="auto"/>
              <w:jc w:val="both"/>
              <w:rPr>
                <w:rFonts w:ascii="Times New Roman" w:hAnsi="Times New Roman"/>
                <w:sz w:val="28"/>
                <w:szCs w:val="28"/>
              </w:rPr>
            </w:pPr>
            <w:r w:rsidRPr="003E25A0">
              <w:rPr>
                <w:rFonts w:ascii="Times New Roman" w:hAnsi="Times New Roman"/>
                <w:sz w:val="28"/>
                <w:szCs w:val="28"/>
              </w:rPr>
              <w:t>Uzaicināmās personas</w:t>
            </w:r>
          </w:p>
        </w:tc>
        <w:tc>
          <w:tcPr>
            <w:tcW w:w="3510" w:type="pct"/>
            <w:tcBorders>
              <w:top w:val="outset" w:sz="6" w:space="0" w:color="auto"/>
              <w:left w:val="outset" w:sz="6" w:space="0" w:color="auto"/>
              <w:bottom w:val="outset" w:sz="6" w:space="0" w:color="auto"/>
              <w:right w:val="outset" w:sz="6" w:space="0" w:color="auto"/>
            </w:tcBorders>
            <w:hideMark/>
          </w:tcPr>
          <w:p w14:paraId="253AD0B4" w14:textId="77777777" w:rsidR="00416C1E" w:rsidRPr="003E25A0" w:rsidRDefault="00416C1E" w:rsidP="00416C1E">
            <w:pPr>
              <w:spacing w:after="0" w:line="240" w:lineRule="auto"/>
              <w:jc w:val="both"/>
              <w:rPr>
                <w:rFonts w:ascii="Times New Roman" w:hAnsi="Times New Roman"/>
                <w:sz w:val="28"/>
                <w:szCs w:val="28"/>
              </w:rPr>
            </w:pPr>
            <w:r w:rsidRPr="003E25A0">
              <w:rPr>
                <w:rFonts w:ascii="Times New Roman" w:hAnsi="Times New Roman"/>
                <w:iCs/>
                <w:sz w:val="28"/>
                <w:szCs w:val="28"/>
              </w:rPr>
              <w:t>Izglītības un zinātnes ministrijas</w:t>
            </w:r>
            <w:r w:rsidRPr="003E25A0">
              <w:rPr>
                <w:rFonts w:ascii="Times New Roman" w:hAnsi="Times New Roman"/>
                <w:iCs/>
                <w:sz w:val="28"/>
                <w:szCs w:val="28"/>
              </w:rPr>
              <w:br/>
              <w:t>valsts sekretāra vietnieka - Augstākās izglītības, zinātnes un inovāciju departamenta</w:t>
            </w:r>
            <w:r w:rsidRPr="003E25A0">
              <w:rPr>
                <w:rFonts w:ascii="Times New Roman" w:hAnsi="Times New Roman"/>
                <w:iCs/>
                <w:sz w:val="28"/>
                <w:szCs w:val="28"/>
              </w:rPr>
              <w:br/>
              <w:t>direktora pienākumu izpildītājs, Augstākās izglītības, zinātnes un inovāciju departamenta</w:t>
            </w:r>
            <w:r w:rsidRPr="003E25A0">
              <w:rPr>
                <w:rFonts w:ascii="Times New Roman" w:hAnsi="Times New Roman"/>
                <w:iCs/>
                <w:sz w:val="28"/>
                <w:szCs w:val="28"/>
              </w:rPr>
              <w:br/>
              <w:t>vietnieks zinātnes jomā Dmitrijs Stepanovs.</w:t>
            </w:r>
          </w:p>
        </w:tc>
      </w:tr>
      <w:tr w:rsidR="003E25A0" w:rsidRPr="003E25A0" w14:paraId="5C7305E6" w14:textId="77777777" w:rsidTr="0048295D">
        <w:tc>
          <w:tcPr>
            <w:tcW w:w="296" w:type="pct"/>
            <w:tcBorders>
              <w:top w:val="outset" w:sz="6" w:space="0" w:color="auto"/>
              <w:left w:val="outset" w:sz="6" w:space="0" w:color="auto"/>
              <w:bottom w:val="outset" w:sz="6" w:space="0" w:color="auto"/>
              <w:right w:val="outset" w:sz="6" w:space="0" w:color="auto"/>
            </w:tcBorders>
            <w:hideMark/>
          </w:tcPr>
          <w:p w14:paraId="36357BC8" w14:textId="77777777" w:rsidR="00416C1E" w:rsidRPr="003E25A0" w:rsidRDefault="00416C1E" w:rsidP="00416C1E">
            <w:pPr>
              <w:spacing w:after="0" w:line="360" w:lineRule="auto"/>
              <w:jc w:val="both"/>
              <w:rPr>
                <w:rFonts w:ascii="Times New Roman" w:hAnsi="Times New Roman"/>
                <w:sz w:val="28"/>
                <w:szCs w:val="28"/>
              </w:rPr>
            </w:pPr>
            <w:r w:rsidRPr="003E25A0">
              <w:rPr>
                <w:rFonts w:ascii="Times New Roman" w:hAnsi="Times New Roman"/>
                <w:sz w:val="28"/>
                <w:szCs w:val="28"/>
              </w:rPr>
              <w:t>8.</w:t>
            </w:r>
          </w:p>
        </w:tc>
        <w:tc>
          <w:tcPr>
            <w:tcW w:w="1194" w:type="pct"/>
            <w:tcBorders>
              <w:top w:val="outset" w:sz="6" w:space="0" w:color="auto"/>
              <w:left w:val="outset" w:sz="6" w:space="0" w:color="auto"/>
              <w:bottom w:val="outset" w:sz="6" w:space="0" w:color="auto"/>
              <w:right w:val="outset" w:sz="6" w:space="0" w:color="auto"/>
            </w:tcBorders>
            <w:hideMark/>
          </w:tcPr>
          <w:p w14:paraId="3CDA8099" w14:textId="77777777" w:rsidR="00416C1E" w:rsidRPr="003E25A0" w:rsidRDefault="00416C1E" w:rsidP="00416C1E">
            <w:pPr>
              <w:spacing w:after="0" w:line="240" w:lineRule="auto"/>
              <w:jc w:val="both"/>
              <w:rPr>
                <w:rFonts w:ascii="Times New Roman" w:hAnsi="Times New Roman"/>
                <w:sz w:val="28"/>
                <w:szCs w:val="28"/>
              </w:rPr>
            </w:pPr>
            <w:r w:rsidRPr="003E25A0">
              <w:rPr>
                <w:rFonts w:ascii="Times New Roman" w:hAnsi="Times New Roman"/>
                <w:sz w:val="28"/>
                <w:szCs w:val="28"/>
              </w:rPr>
              <w:t>Projekta ierobežotas pieejamības statuss</w:t>
            </w:r>
          </w:p>
        </w:tc>
        <w:tc>
          <w:tcPr>
            <w:tcW w:w="3510" w:type="pct"/>
            <w:tcBorders>
              <w:top w:val="outset" w:sz="6" w:space="0" w:color="auto"/>
              <w:left w:val="outset" w:sz="6" w:space="0" w:color="auto"/>
              <w:bottom w:val="outset" w:sz="6" w:space="0" w:color="auto"/>
              <w:right w:val="outset" w:sz="6" w:space="0" w:color="auto"/>
            </w:tcBorders>
            <w:hideMark/>
          </w:tcPr>
          <w:p w14:paraId="2584385D" w14:textId="77777777" w:rsidR="00416C1E" w:rsidRPr="003E25A0" w:rsidRDefault="00416C1E" w:rsidP="00416C1E">
            <w:pPr>
              <w:spacing w:after="0" w:line="240" w:lineRule="auto"/>
              <w:jc w:val="both"/>
              <w:rPr>
                <w:rFonts w:ascii="Times New Roman" w:hAnsi="Times New Roman"/>
                <w:sz w:val="28"/>
                <w:szCs w:val="28"/>
              </w:rPr>
            </w:pPr>
            <w:r w:rsidRPr="003E25A0">
              <w:rPr>
                <w:rFonts w:ascii="Times New Roman" w:hAnsi="Times New Roman"/>
                <w:sz w:val="28"/>
                <w:szCs w:val="28"/>
              </w:rPr>
              <w:t>Projektam nav piešķirts ierobežotas pieejamības statuss.</w:t>
            </w:r>
          </w:p>
        </w:tc>
      </w:tr>
      <w:tr w:rsidR="00416C1E" w:rsidRPr="003E25A0" w14:paraId="5C62DBCB" w14:textId="77777777" w:rsidTr="0048295D">
        <w:tc>
          <w:tcPr>
            <w:tcW w:w="296" w:type="pct"/>
            <w:tcBorders>
              <w:top w:val="outset" w:sz="6" w:space="0" w:color="auto"/>
              <w:left w:val="outset" w:sz="6" w:space="0" w:color="auto"/>
              <w:bottom w:val="outset" w:sz="6" w:space="0" w:color="auto"/>
              <w:right w:val="outset" w:sz="6" w:space="0" w:color="auto"/>
            </w:tcBorders>
            <w:hideMark/>
          </w:tcPr>
          <w:p w14:paraId="43B638A6" w14:textId="77777777" w:rsidR="00416C1E" w:rsidRPr="003E25A0" w:rsidRDefault="00416C1E" w:rsidP="00416C1E">
            <w:pPr>
              <w:spacing w:after="0" w:line="360" w:lineRule="auto"/>
              <w:jc w:val="both"/>
              <w:rPr>
                <w:rFonts w:ascii="Times New Roman" w:hAnsi="Times New Roman"/>
                <w:sz w:val="28"/>
                <w:szCs w:val="28"/>
              </w:rPr>
            </w:pPr>
            <w:r w:rsidRPr="003E25A0">
              <w:rPr>
                <w:rFonts w:ascii="Times New Roman" w:hAnsi="Times New Roman"/>
                <w:sz w:val="28"/>
                <w:szCs w:val="28"/>
              </w:rPr>
              <w:t>9.</w:t>
            </w:r>
          </w:p>
        </w:tc>
        <w:tc>
          <w:tcPr>
            <w:tcW w:w="1194" w:type="pct"/>
            <w:tcBorders>
              <w:top w:val="outset" w:sz="6" w:space="0" w:color="auto"/>
              <w:left w:val="outset" w:sz="6" w:space="0" w:color="auto"/>
              <w:bottom w:val="outset" w:sz="6" w:space="0" w:color="auto"/>
              <w:right w:val="outset" w:sz="6" w:space="0" w:color="auto"/>
            </w:tcBorders>
            <w:hideMark/>
          </w:tcPr>
          <w:p w14:paraId="40A807F4" w14:textId="77777777" w:rsidR="00416C1E" w:rsidRPr="003E25A0" w:rsidRDefault="00416C1E" w:rsidP="00416C1E">
            <w:pPr>
              <w:spacing w:after="0" w:line="240" w:lineRule="auto"/>
              <w:jc w:val="both"/>
              <w:rPr>
                <w:rFonts w:ascii="Times New Roman" w:hAnsi="Times New Roman"/>
                <w:sz w:val="28"/>
                <w:szCs w:val="28"/>
              </w:rPr>
            </w:pPr>
            <w:r w:rsidRPr="003E25A0">
              <w:rPr>
                <w:rFonts w:ascii="Times New Roman" w:hAnsi="Times New Roman"/>
                <w:sz w:val="28"/>
                <w:szCs w:val="28"/>
              </w:rPr>
              <w:t>Cita informācija</w:t>
            </w:r>
          </w:p>
        </w:tc>
        <w:tc>
          <w:tcPr>
            <w:tcW w:w="3510" w:type="pct"/>
            <w:tcBorders>
              <w:top w:val="outset" w:sz="6" w:space="0" w:color="auto"/>
              <w:left w:val="outset" w:sz="6" w:space="0" w:color="auto"/>
              <w:bottom w:val="outset" w:sz="6" w:space="0" w:color="auto"/>
              <w:right w:val="outset" w:sz="6" w:space="0" w:color="auto"/>
            </w:tcBorders>
            <w:hideMark/>
          </w:tcPr>
          <w:p w14:paraId="0945F8B5" w14:textId="77777777" w:rsidR="00416C1E" w:rsidRPr="003E25A0" w:rsidRDefault="00416C1E" w:rsidP="00416C1E">
            <w:pPr>
              <w:spacing w:after="0" w:line="240" w:lineRule="auto"/>
              <w:jc w:val="both"/>
              <w:rPr>
                <w:rFonts w:ascii="Times New Roman" w:hAnsi="Times New Roman"/>
                <w:sz w:val="28"/>
                <w:szCs w:val="28"/>
              </w:rPr>
            </w:pPr>
            <w:r w:rsidRPr="003E25A0">
              <w:rPr>
                <w:rFonts w:ascii="Times New Roman" w:hAnsi="Times New Roman"/>
                <w:sz w:val="28"/>
                <w:szCs w:val="28"/>
              </w:rPr>
              <w:t>Nav.</w:t>
            </w:r>
          </w:p>
        </w:tc>
      </w:tr>
    </w:tbl>
    <w:p w14:paraId="5796E2BF" w14:textId="77777777" w:rsidR="00416C1E" w:rsidRPr="003E25A0" w:rsidRDefault="00416C1E" w:rsidP="00416C1E">
      <w:pPr>
        <w:spacing w:after="0" w:line="240" w:lineRule="auto"/>
        <w:jc w:val="both"/>
        <w:rPr>
          <w:rFonts w:ascii="Times New Roman" w:hAnsi="Times New Roman"/>
          <w:sz w:val="28"/>
          <w:szCs w:val="28"/>
        </w:rPr>
      </w:pPr>
    </w:p>
    <w:p w14:paraId="528597B8" w14:textId="22FC4596" w:rsidR="00416C1E" w:rsidRPr="003E25A0" w:rsidRDefault="00416C1E" w:rsidP="00A614A4">
      <w:pPr>
        <w:spacing w:after="0" w:line="240" w:lineRule="auto"/>
        <w:ind w:firstLine="720"/>
        <w:jc w:val="both"/>
        <w:rPr>
          <w:rFonts w:ascii="Times New Roman" w:hAnsi="Times New Roman"/>
          <w:sz w:val="28"/>
          <w:szCs w:val="28"/>
        </w:rPr>
      </w:pPr>
      <w:r w:rsidRPr="003E25A0">
        <w:rPr>
          <w:rFonts w:ascii="Times New Roman" w:hAnsi="Times New Roman"/>
          <w:sz w:val="28"/>
          <w:szCs w:val="28"/>
        </w:rPr>
        <w:t>Pieliku</w:t>
      </w:r>
      <w:r w:rsidR="003E25A0">
        <w:rPr>
          <w:rFonts w:ascii="Times New Roman" w:hAnsi="Times New Roman"/>
          <w:sz w:val="28"/>
          <w:szCs w:val="28"/>
        </w:rPr>
        <w:t>mā: Projekts uz 1 lapas (datne:IZMprot_17</w:t>
      </w:r>
      <w:r w:rsidRPr="003E25A0">
        <w:rPr>
          <w:rFonts w:ascii="Times New Roman" w:hAnsi="Times New Roman"/>
          <w:sz w:val="28"/>
          <w:szCs w:val="28"/>
        </w:rPr>
        <w:t>0119_</w:t>
      </w:r>
      <w:r w:rsidR="003E25A0">
        <w:rPr>
          <w:rFonts w:ascii="Times New Roman" w:hAnsi="Times New Roman"/>
          <w:sz w:val="28"/>
          <w:szCs w:val="28"/>
        </w:rPr>
        <w:t>priekslikumi</w:t>
      </w:r>
      <w:r w:rsidRPr="003E25A0">
        <w:rPr>
          <w:rFonts w:ascii="Times New Roman" w:hAnsi="Times New Roman"/>
          <w:sz w:val="28"/>
          <w:szCs w:val="28"/>
        </w:rPr>
        <w:t>).</w:t>
      </w:r>
    </w:p>
    <w:p w14:paraId="247F37E7" w14:textId="77777777" w:rsidR="00A614A4" w:rsidRPr="003E25A0" w:rsidRDefault="00A614A4" w:rsidP="00416C1E">
      <w:pPr>
        <w:tabs>
          <w:tab w:val="right" w:pos="9074"/>
        </w:tabs>
        <w:spacing w:after="0" w:line="240" w:lineRule="auto"/>
        <w:jc w:val="both"/>
        <w:rPr>
          <w:rFonts w:ascii="Times New Roman" w:hAnsi="Times New Roman"/>
          <w:sz w:val="28"/>
          <w:szCs w:val="28"/>
        </w:rPr>
      </w:pPr>
    </w:p>
    <w:p w14:paraId="3F905131" w14:textId="77777777" w:rsidR="00416C1E" w:rsidRPr="003E25A0" w:rsidRDefault="00416C1E" w:rsidP="00416C1E">
      <w:pPr>
        <w:widowControl/>
        <w:spacing w:after="0" w:line="240" w:lineRule="auto"/>
        <w:ind w:firstLine="720"/>
        <w:rPr>
          <w:rFonts w:ascii="Times New Roman" w:eastAsia="Times New Roman" w:hAnsi="Times New Roman"/>
          <w:sz w:val="28"/>
          <w:szCs w:val="28"/>
          <w:lang w:eastAsia="lv-LV"/>
        </w:rPr>
      </w:pPr>
      <w:r w:rsidRPr="003E25A0">
        <w:rPr>
          <w:rFonts w:ascii="Times New Roman" w:eastAsia="Times New Roman" w:hAnsi="Times New Roman"/>
          <w:sz w:val="28"/>
          <w:szCs w:val="28"/>
          <w:lang w:eastAsia="lv-LV"/>
        </w:rPr>
        <w:t>Izglītības un zinātnes ministra vietā –</w:t>
      </w:r>
    </w:p>
    <w:p w14:paraId="1E878817" w14:textId="77777777" w:rsidR="00416C1E" w:rsidRPr="003E25A0" w:rsidRDefault="00416C1E" w:rsidP="00416C1E">
      <w:pPr>
        <w:widowControl/>
        <w:spacing w:after="0" w:line="240" w:lineRule="auto"/>
        <w:ind w:firstLine="720"/>
        <w:rPr>
          <w:rFonts w:ascii="Times New Roman" w:eastAsia="Times New Roman" w:hAnsi="Times New Roman"/>
          <w:sz w:val="28"/>
          <w:szCs w:val="28"/>
          <w:lang w:eastAsia="lv-LV"/>
        </w:rPr>
      </w:pPr>
      <w:r w:rsidRPr="003E25A0">
        <w:rPr>
          <w:rFonts w:ascii="Times New Roman" w:eastAsia="Times New Roman" w:hAnsi="Times New Roman"/>
          <w:sz w:val="28"/>
          <w:szCs w:val="28"/>
          <w:lang w:eastAsia="lv-LV"/>
        </w:rPr>
        <w:t xml:space="preserve">labklājības ministrs </w:t>
      </w:r>
      <w:r w:rsidRPr="003E25A0">
        <w:rPr>
          <w:rFonts w:ascii="Times New Roman" w:eastAsia="Times New Roman" w:hAnsi="Times New Roman"/>
          <w:sz w:val="28"/>
          <w:szCs w:val="28"/>
          <w:lang w:eastAsia="lv-LV"/>
        </w:rPr>
        <w:tab/>
      </w:r>
      <w:r w:rsidRPr="003E25A0">
        <w:rPr>
          <w:rFonts w:ascii="Times New Roman" w:eastAsia="Times New Roman" w:hAnsi="Times New Roman"/>
          <w:sz w:val="28"/>
          <w:szCs w:val="28"/>
          <w:lang w:eastAsia="lv-LV"/>
        </w:rPr>
        <w:tab/>
      </w:r>
      <w:r w:rsidRPr="003E25A0">
        <w:rPr>
          <w:rFonts w:ascii="Times New Roman" w:eastAsia="Times New Roman" w:hAnsi="Times New Roman"/>
          <w:sz w:val="28"/>
          <w:szCs w:val="28"/>
          <w:lang w:eastAsia="lv-LV"/>
        </w:rPr>
        <w:tab/>
      </w:r>
      <w:r w:rsidRPr="003E25A0">
        <w:rPr>
          <w:rFonts w:ascii="Times New Roman" w:eastAsia="Times New Roman" w:hAnsi="Times New Roman"/>
          <w:sz w:val="28"/>
          <w:szCs w:val="28"/>
          <w:lang w:eastAsia="lv-LV"/>
        </w:rPr>
        <w:tab/>
      </w:r>
      <w:r w:rsidRPr="003E25A0">
        <w:rPr>
          <w:rFonts w:ascii="Times New Roman" w:eastAsia="Times New Roman" w:hAnsi="Times New Roman"/>
          <w:sz w:val="28"/>
          <w:szCs w:val="28"/>
          <w:lang w:eastAsia="lv-LV"/>
        </w:rPr>
        <w:tab/>
        <w:t>Jānis Reirs</w:t>
      </w:r>
    </w:p>
    <w:p w14:paraId="507C922D" w14:textId="77777777" w:rsidR="00416C1E" w:rsidRPr="003E25A0" w:rsidRDefault="00416C1E" w:rsidP="00416C1E">
      <w:pPr>
        <w:widowControl/>
        <w:spacing w:after="0" w:line="240" w:lineRule="auto"/>
        <w:rPr>
          <w:rFonts w:ascii="Times New Roman" w:eastAsia="Times New Roman" w:hAnsi="Times New Roman"/>
          <w:sz w:val="28"/>
          <w:szCs w:val="28"/>
          <w:lang w:eastAsia="lv-LV"/>
        </w:rPr>
      </w:pPr>
    </w:p>
    <w:p w14:paraId="5600AE8C" w14:textId="77777777" w:rsidR="00A614A4" w:rsidRPr="003E25A0" w:rsidRDefault="00A614A4" w:rsidP="00624F4B">
      <w:pPr>
        <w:spacing w:after="0" w:line="240" w:lineRule="auto"/>
        <w:rPr>
          <w:rFonts w:ascii="Times New Roman" w:hAnsi="Times New Roman"/>
          <w:sz w:val="20"/>
          <w:szCs w:val="24"/>
        </w:rPr>
      </w:pPr>
    </w:p>
    <w:p w14:paraId="733527C5" w14:textId="77777777" w:rsidR="00A614A4" w:rsidRDefault="00A614A4" w:rsidP="003B6B02">
      <w:pPr>
        <w:spacing w:after="0" w:line="240" w:lineRule="auto"/>
        <w:ind w:firstLine="851"/>
        <w:rPr>
          <w:rFonts w:ascii="Times New Roman" w:hAnsi="Times New Roman"/>
          <w:sz w:val="20"/>
          <w:szCs w:val="24"/>
        </w:rPr>
      </w:pPr>
    </w:p>
    <w:p w14:paraId="270F694F" w14:textId="77777777" w:rsidR="003E25A0" w:rsidRDefault="003E25A0" w:rsidP="003B6B02">
      <w:pPr>
        <w:spacing w:after="0" w:line="240" w:lineRule="auto"/>
        <w:ind w:firstLine="851"/>
        <w:rPr>
          <w:rFonts w:ascii="Times New Roman" w:hAnsi="Times New Roman"/>
          <w:sz w:val="20"/>
          <w:szCs w:val="24"/>
        </w:rPr>
      </w:pPr>
    </w:p>
    <w:p w14:paraId="1547B639" w14:textId="77777777" w:rsidR="003E25A0" w:rsidRDefault="003E25A0" w:rsidP="003B6B02">
      <w:pPr>
        <w:spacing w:after="0" w:line="240" w:lineRule="auto"/>
        <w:ind w:firstLine="851"/>
        <w:rPr>
          <w:rFonts w:ascii="Times New Roman" w:hAnsi="Times New Roman"/>
          <w:sz w:val="20"/>
          <w:szCs w:val="24"/>
        </w:rPr>
      </w:pPr>
    </w:p>
    <w:p w14:paraId="7B2656DC" w14:textId="77777777" w:rsidR="003E25A0" w:rsidRPr="003E25A0" w:rsidRDefault="003E25A0" w:rsidP="003B6B02">
      <w:pPr>
        <w:spacing w:after="0" w:line="240" w:lineRule="auto"/>
        <w:ind w:firstLine="851"/>
        <w:rPr>
          <w:rFonts w:ascii="Times New Roman" w:hAnsi="Times New Roman"/>
          <w:sz w:val="20"/>
          <w:szCs w:val="24"/>
        </w:rPr>
      </w:pPr>
    </w:p>
    <w:p w14:paraId="59439485" w14:textId="77777777" w:rsidR="00A614A4" w:rsidRPr="003E25A0" w:rsidRDefault="00A614A4" w:rsidP="003B6B02">
      <w:pPr>
        <w:spacing w:after="0" w:line="240" w:lineRule="auto"/>
        <w:ind w:firstLine="851"/>
        <w:rPr>
          <w:rFonts w:ascii="Times New Roman" w:hAnsi="Times New Roman"/>
          <w:sz w:val="20"/>
          <w:szCs w:val="24"/>
        </w:rPr>
      </w:pPr>
    </w:p>
    <w:p w14:paraId="10A59826" w14:textId="77777777" w:rsidR="00A614A4" w:rsidRPr="003E25A0" w:rsidRDefault="00A614A4" w:rsidP="003B6B02">
      <w:pPr>
        <w:spacing w:after="0" w:line="240" w:lineRule="auto"/>
        <w:ind w:firstLine="851"/>
        <w:rPr>
          <w:rFonts w:ascii="Times New Roman" w:hAnsi="Times New Roman"/>
          <w:sz w:val="20"/>
          <w:szCs w:val="24"/>
        </w:rPr>
      </w:pPr>
      <w:r w:rsidRPr="003E25A0">
        <w:rPr>
          <w:rFonts w:ascii="Times New Roman" w:hAnsi="Times New Roman"/>
          <w:sz w:val="20"/>
          <w:szCs w:val="24"/>
        </w:rPr>
        <w:t>Depkovska, 67047772</w:t>
      </w:r>
    </w:p>
    <w:p w14:paraId="3BCA9783" w14:textId="77777777" w:rsidR="00A614A4" w:rsidRPr="003E25A0" w:rsidRDefault="00007D58" w:rsidP="003B6B02">
      <w:pPr>
        <w:spacing w:after="0" w:line="240" w:lineRule="auto"/>
        <w:ind w:firstLine="851"/>
        <w:rPr>
          <w:rFonts w:ascii="Times New Roman" w:hAnsi="Times New Roman"/>
          <w:sz w:val="20"/>
          <w:szCs w:val="24"/>
        </w:rPr>
      </w:pPr>
      <w:hyperlink r:id="rId10" w:history="1">
        <w:r w:rsidR="00A614A4" w:rsidRPr="003E25A0">
          <w:rPr>
            <w:rStyle w:val="Hyperlink"/>
            <w:rFonts w:ascii="Times New Roman" w:hAnsi="Times New Roman"/>
            <w:color w:val="auto"/>
            <w:sz w:val="20"/>
            <w:szCs w:val="24"/>
          </w:rPr>
          <w:t>anita.depkovska@izm.gov.lv</w:t>
        </w:r>
      </w:hyperlink>
      <w:r w:rsidR="00A614A4" w:rsidRPr="003E25A0">
        <w:rPr>
          <w:rFonts w:ascii="Times New Roman" w:hAnsi="Times New Roman"/>
          <w:sz w:val="20"/>
          <w:szCs w:val="24"/>
        </w:rPr>
        <w:t xml:space="preserve"> </w:t>
      </w:r>
    </w:p>
    <w:sectPr w:rsidR="00A614A4" w:rsidRPr="003E25A0" w:rsidSect="003E25A0">
      <w:headerReference w:type="default" r:id="rId11"/>
      <w:footerReference w:type="default" r:id="rId12"/>
      <w:headerReference w:type="first" r:id="rId13"/>
      <w:footerReference w:type="first" r:id="rId14"/>
      <w:type w:val="continuous"/>
      <w:pgSz w:w="11920" w:h="16840"/>
      <w:pgMar w:top="1134" w:right="851" w:bottom="426" w:left="1701" w:header="709"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06C66" w14:textId="77777777" w:rsidR="00007D58" w:rsidRDefault="00007D58">
      <w:pPr>
        <w:spacing w:after="0" w:line="240" w:lineRule="auto"/>
      </w:pPr>
      <w:r>
        <w:separator/>
      </w:r>
    </w:p>
  </w:endnote>
  <w:endnote w:type="continuationSeparator" w:id="0">
    <w:p w14:paraId="36623C64" w14:textId="77777777" w:rsidR="00007D58" w:rsidRDefault="00007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141F4" w14:textId="77777777" w:rsidR="003E25A0" w:rsidRPr="003E25A0" w:rsidRDefault="003E25A0" w:rsidP="003E25A0">
    <w:pPr>
      <w:pStyle w:val="Footer"/>
      <w:jc w:val="both"/>
      <w:rPr>
        <w:rFonts w:ascii="Times New Roman" w:hAnsi="Times New Roman"/>
      </w:rPr>
    </w:pPr>
    <w:r w:rsidRPr="003E25A0">
      <w:rPr>
        <w:rFonts w:ascii="Times New Roman" w:hAnsi="Times New Roman"/>
      </w:rPr>
      <w:t>IZMpav_170119_priekšlikumi;</w:t>
    </w:r>
    <w:r w:rsidRPr="003E25A0">
      <w:rPr>
        <w:rFonts w:ascii="Times New Roman" w:hAnsi="Times New Roman"/>
        <w:color w:val="000000"/>
      </w:rPr>
      <w:t xml:space="preserve"> </w:t>
    </w:r>
    <w:r w:rsidRPr="006647AC">
      <w:rPr>
        <w:rFonts w:ascii="Times New Roman" w:eastAsia="Times New Roman" w:hAnsi="Times New Roman"/>
        <w:bCs/>
        <w:lang w:eastAsia="lv-LV"/>
      </w:rPr>
      <w:t xml:space="preserve">Par Ministru kabineta 2015.gada 17.jūlija sēdes </w:t>
    </w:r>
    <w:proofErr w:type="spellStart"/>
    <w:r w:rsidRPr="006647AC">
      <w:rPr>
        <w:rFonts w:ascii="Times New Roman" w:eastAsia="Times New Roman" w:hAnsi="Times New Roman"/>
        <w:bCs/>
        <w:lang w:eastAsia="lv-LV"/>
      </w:rPr>
      <w:t>protokollēmuma</w:t>
    </w:r>
    <w:proofErr w:type="spellEnd"/>
    <w:r w:rsidRPr="006647AC">
      <w:rPr>
        <w:rFonts w:ascii="Times New Roman" w:eastAsia="Times New Roman" w:hAnsi="Times New Roman"/>
        <w:bCs/>
        <w:lang w:eastAsia="lv-LV"/>
      </w:rPr>
      <w:t xml:space="preserve"> </w:t>
    </w:r>
    <w:r w:rsidRPr="006647AC">
      <w:rPr>
        <w:rFonts w:ascii="Times New Roman" w:eastAsia="Times New Roman" w:hAnsi="Times New Roman"/>
        <w:noProof/>
        <w:lang w:eastAsia="lv-LV"/>
      </w:rPr>
      <w:t xml:space="preserve">(prot. Nr. 34 39. §) </w:t>
    </w:r>
    <w:r w:rsidRPr="006647AC">
      <w:rPr>
        <w:rFonts w:ascii="Times New Roman" w:eastAsia="Times New Roman" w:hAnsi="Times New Roman"/>
        <w:lang w:eastAsia="lv-LV"/>
      </w:rPr>
      <w:t>2.punkta atzīšanu par aktualitāti zaudējušu</w:t>
    </w:r>
  </w:p>
  <w:p w14:paraId="3CF5337A" w14:textId="77777777" w:rsidR="00A614A4" w:rsidRPr="00A614A4" w:rsidRDefault="00A614A4" w:rsidP="00A614A4">
    <w:pPr>
      <w:pStyle w:val="Footer"/>
      <w:rPr>
        <w:rFonts w:ascii="Times New Roman" w:hAnsi="Times New Roman"/>
      </w:rPr>
    </w:pPr>
  </w:p>
  <w:p w14:paraId="25C49F32" w14:textId="77777777" w:rsidR="00416C1E" w:rsidRPr="00A614A4" w:rsidRDefault="00416C1E" w:rsidP="00416C1E">
    <w:pPr>
      <w:pStyle w:val="Footer"/>
      <w:rPr>
        <w:rFonts w:ascii="Times New Roman" w:hAnsi="Times New Roman"/>
      </w:rPr>
    </w:pPr>
  </w:p>
  <w:p w14:paraId="031C0CC5" w14:textId="77777777" w:rsidR="00416C1E" w:rsidRDefault="00416C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C30FE" w14:textId="3EC9BACD" w:rsidR="00A614A4" w:rsidRPr="003E25A0" w:rsidRDefault="003E25A0" w:rsidP="003E25A0">
    <w:pPr>
      <w:pStyle w:val="Footer"/>
      <w:jc w:val="both"/>
      <w:rPr>
        <w:rFonts w:ascii="Times New Roman" w:hAnsi="Times New Roman"/>
      </w:rPr>
    </w:pPr>
    <w:r w:rsidRPr="003E25A0">
      <w:rPr>
        <w:rFonts w:ascii="Times New Roman" w:hAnsi="Times New Roman"/>
      </w:rPr>
      <w:t>IZMpav_17</w:t>
    </w:r>
    <w:r w:rsidR="00416C1E" w:rsidRPr="003E25A0">
      <w:rPr>
        <w:rFonts w:ascii="Times New Roman" w:hAnsi="Times New Roman"/>
      </w:rPr>
      <w:t>0119_</w:t>
    </w:r>
    <w:r w:rsidRPr="003E25A0">
      <w:rPr>
        <w:rFonts w:ascii="Times New Roman" w:hAnsi="Times New Roman"/>
      </w:rPr>
      <w:t>priekšlikumi</w:t>
    </w:r>
    <w:r w:rsidR="00A614A4" w:rsidRPr="003E25A0">
      <w:rPr>
        <w:rFonts w:ascii="Times New Roman" w:hAnsi="Times New Roman"/>
      </w:rPr>
      <w:t>;</w:t>
    </w:r>
    <w:r w:rsidR="00A614A4" w:rsidRPr="003E25A0">
      <w:rPr>
        <w:rFonts w:ascii="Times New Roman" w:hAnsi="Times New Roman"/>
        <w:color w:val="000000"/>
      </w:rPr>
      <w:t xml:space="preserve"> </w:t>
    </w:r>
    <w:r w:rsidRPr="006647AC">
      <w:rPr>
        <w:rFonts w:ascii="Times New Roman" w:eastAsia="Times New Roman" w:hAnsi="Times New Roman"/>
        <w:bCs/>
        <w:lang w:eastAsia="lv-LV"/>
      </w:rPr>
      <w:t xml:space="preserve">Par Ministru kabineta 2015.gada 17.jūlija sēdes </w:t>
    </w:r>
    <w:proofErr w:type="spellStart"/>
    <w:r w:rsidRPr="006647AC">
      <w:rPr>
        <w:rFonts w:ascii="Times New Roman" w:eastAsia="Times New Roman" w:hAnsi="Times New Roman"/>
        <w:bCs/>
        <w:lang w:eastAsia="lv-LV"/>
      </w:rPr>
      <w:t>protokollēmuma</w:t>
    </w:r>
    <w:proofErr w:type="spellEnd"/>
    <w:r w:rsidRPr="006647AC">
      <w:rPr>
        <w:rFonts w:ascii="Times New Roman" w:eastAsia="Times New Roman" w:hAnsi="Times New Roman"/>
        <w:bCs/>
        <w:lang w:eastAsia="lv-LV"/>
      </w:rPr>
      <w:t xml:space="preserve"> </w:t>
    </w:r>
    <w:r w:rsidRPr="006647AC">
      <w:rPr>
        <w:rFonts w:ascii="Times New Roman" w:eastAsia="Times New Roman" w:hAnsi="Times New Roman"/>
        <w:noProof/>
        <w:lang w:eastAsia="lv-LV"/>
      </w:rPr>
      <w:t xml:space="preserve">(prot. Nr. 34 39. §) </w:t>
    </w:r>
    <w:r w:rsidRPr="006647AC">
      <w:rPr>
        <w:rFonts w:ascii="Times New Roman" w:eastAsia="Times New Roman" w:hAnsi="Times New Roman"/>
        <w:lang w:eastAsia="lv-LV"/>
      </w:rPr>
      <w:t>2.punkta atzīšanu par aktualitāti zaudējušu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799B7" w14:textId="77777777" w:rsidR="00007D58" w:rsidRDefault="00007D58">
      <w:pPr>
        <w:spacing w:after="0" w:line="240" w:lineRule="auto"/>
      </w:pPr>
      <w:r>
        <w:separator/>
      </w:r>
    </w:p>
  </w:footnote>
  <w:footnote w:type="continuationSeparator" w:id="0">
    <w:p w14:paraId="5D86642E" w14:textId="77777777" w:rsidR="00007D58" w:rsidRDefault="00007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rPr>
      <w:id w:val="-1625378499"/>
      <w:docPartObj>
        <w:docPartGallery w:val="Page Numbers (Top of Page)"/>
        <w:docPartUnique/>
      </w:docPartObj>
    </w:sdtPr>
    <w:sdtEndPr>
      <w:rPr>
        <w:noProof/>
      </w:rPr>
    </w:sdtEndPr>
    <w:sdtContent>
      <w:p w14:paraId="64AFF673" w14:textId="77777777" w:rsidR="004C0807" w:rsidRPr="004C0807" w:rsidRDefault="004C0807">
        <w:pPr>
          <w:pStyle w:val="Header"/>
          <w:jc w:val="center"/>
          <w:rPr>
            <w:rFonts w:ascii="Times New Roman" w:hAnsi="Times New Roman"/>
            <w:sz w:val="28"/>
          </w:rPr>
        </w:pPr>
        <w:r w:rsidRPr="004C0807">
          <w:rPr>
            <w:rFonts w:ascii="Times New Roman" w:hAnsi="Times New Roman"/>
            <w:sz w:val="28"/>
          </w:rPr>
          <w:fldChar w:fldCharType="begin"/>
        </w:r>
        <w:r w:rsidRPr="004C0807">
          <w:rPr>
            <w:rFonts w:ascii="Times New Roman" w:hAnsi="Times New Roman"/>
            <w:sz w:val="28"/>
          </w:rPr>
          <w:instrText xml:space="preserve"> PAGE   \* MERGEFORMAT </w:instrText>
        </w:r>
        <w:r w:rsidRPr="004C0807">
          <w:rPr>
            <w:rFonts w:ascii="Times New Roman" w:hAnsi="Times New Roman"/>
            <w:sz w:val="28"/>
          </w:rPr>
          <w:fldChar w:fldCharType="separate"/>
        </w:r>
        <w:r w:rsidR="009A6F3B">
          <w:rPr>
            <w:rFonts w:ascii="Times New Roman" w:hAnsi="Times New Roman"/>
            <w:noProof/>
            <w:sz w:val="28"/>
          </w:rPr>
          <w:t>3</w:t>
        </w:r>
        <w:r w:rsidRPr="004C0807">
          <w:rPr>
            <w:rFonts w:ascii="Times New Roman" w:hAnsi="Times New Roman"/>
            <w:noProof/>
            <w:sz w:val="28"/>
          </w:rPr>
          <w:fldChar w:fldCharType="end"/>
        </w:r>
      </w:p>
    </w:sdtContent>
  </w:sdt>
  <w:p w14:paraId="4D8E818D" w14:textId="77777777" w:rsidR="004C0807" w:rsidRDefault="004C08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1E66F" w14:textId="77777777" w:rsidR="0029154C" w:rsidRDefault="0029154C" w:rsidP="0029154C">
    <w:pPr>
      <w:pStyle w:val="Header"/>
      <w:rPr>
        <w:rFonts w:ascii="Times New Roman" w:hAnsi="Times New Roman"/>
      </w:rPr>
    </w:pPr>
  </w:p>
  <w:p w14:paraId="36021B19" w14:textId="77777777" w:rsidR="0029154C" w:rsidRDefault="0029154C" w:rsidP="0029154C">
    <w:pPr>
      <w:pStyle w:val="Header"/>
      <w:rPr>
        <w:rFonts w:ascii="Times New Roman" w:hAnsi="Times New Roman"/>
      </w:rPr>
    </w:pPr>
  </w:p>
  <w:p w14:paraId="09D661B5" w14:textId="77777777" w:rsidR="0029154C" w:rsidRDefault="0029154C" w:rsidP="0029154C">
    <w:pPr>
      <w:pStyle w:val="Header"/>
      <w:rPr>
        <w:rFonts w:ascii="Times New Roman" w:hAnsi="Times New Roman"/>
      </w:rPr>
    </w:pPr>
  </w:p>
  <w:p w14:paraId="006F0525" w14:textId="77777777" w:rsidR="0029154C" w:rsidRDefault="0029154C" w:rsidP="0029154C">
    <w:pPr>
      <w:pStyle w:val="Header"/>
      <w:rPr>
        <w:rFonts w:ascii="Times New Roman" w:hAnsi="Times New Roman"/>
      </w:rPr>
    </w:pPr>
  </w:p>
  <w:p w14:paraId="3E250C3F" w14:textId="77777777" w:rsidR="0029154C" w:rsidRDefault="0029154C" w:rsidP="0029154C">
    <w:pPr>
      <w:pStyle w:val="Header"/>
      <w:rPr>
        <w:rFonts w:ascii="Times New Roman" w:hAnsi="Times New Roman"/>
      </w:rPr>
    </w:pPr>
  </w:p>
  <w:p w14:paraId="2E53A262" w14:textId="77777777" w:rsidR="0029154C" w:rsidRDefault="0029154C" w:rsidP="0029154C">
    <w:pPr>
      <w:pStyle w:val="Header"/>
      <w:rPr>
        <w:rFonts w:ascii="Times New Roman" w:hAnsi="Times New Roman"/>
      </w:rPr>
    </w:pPr>
  </w:p>
  <w:p w14:paraId="59895235" w14:textId="77777777" w:rsidR="0029154C" w:rsidRDefault="0029154C" w:rsidP="0029154C">
    <w:pPr>
      <w:pStyle w:val="Header"/>
      <w:rPr>
        <w:rFonts w:ascii="Times New Roman" w:hAnsi="Times New Roman"/>
      </w:rPr>
    </w:pPr>
  </w:p>
  <w:p w14:paraId="04239579" w14:textId="77777777" w:rsidR="0029154C" w:rsidRDefault="0029154C" w:rsidP="0029154C">
    <w:pPr>
      <w:pStyle w:val="Header"/>
      <w:rPr>
        <w:rFonts w:ascii="Times New Roman" w:hAnsi="Times New Roman"/>
      </w:rPr>
    </w:pPr>
  </w:p>
  <w:p w14:paraId="6429EABE" w14:textId="77777777" w:rsidR="0029154C" w:rsidRDefault="0029154C" w:rsidP="0029154C">
    <w:pPr>
      <w:pStyle w:val="Header"/>
      <w:rPr>
        <w:rFonts w:ascii="Times New Roman" w:hAnsi="Times New Roman"/>
      </w:rPr>
    </w:pPr>
  </w:p>
  <w:p w14:paraId="371F662C" w14:textId="77777777" w:rsidR="0029154C" w:rsidRDefault="0029154C" w:rsidP="0029154C">
    <w:pPr>
      <w:pStyle w:val="Header"/>
      <w:rPr>
        <w:rFonts w:ascii="Times New Roman" w:hAnsi="Times New Roman"/>
      </w:rPr>
    </w:pPr>
  </w:p>
  <w:p w14:paraId="4A9F7615" w14:textId="77777777" w:rsidR="0029154C" w:rsidRPr="00815277" w:rsidRDefault="00CD6899" w:rsidP="0029154C">
    <w:pPr>
      <w:pStyle w:val="Header"/>
      <w:rPr>
        <w:rFonts w:ascii="Times New Roman" w:hAnsi="Times New Roman"/>
      </w:rPr>
    </w:pPr>
    <w:r>
      <w:rPr>
        <w:noProof/>
        <w:lang w:eastAsia="lv-LV"/>
      </w:rPr>
      <w:drawing>
        <wp:anchor distT="0" distB="0" distL="114300" distR="114300" simplePos="0" relativeHeight="251656704" behindDoc="1" locked="0" layoutInCell="1" allowOverlap="1" wp14:anchorId="3648609A" wp14:editId="11AECE9D">
          <wp:simplePos x="0" y="0"/>
          <wp:positionH relativeFrom="page">
            <wp:posOffset>1217930</wp:posOffset>
          </wp:positionH>
          <wp:positionV relativeFrom="page">
            <wp:posOffset>742950</wp:posOffset>
          </wp:positionV>
          <wp:extent cx="5671820" cy="1033145"/>
          <wp:effectExtent l="0" t="0" r="5080" b="0"/>
          <wp:wrapNone/>
          <wp:docPr id="1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anchor>
      </w:drawing>
    </w:r>
    <w:r w:rsidR="00FA4C56">
      <w:rPr>
        <w:noProof/>
        <w:lang w:eastAsia="lv-LV"/>
      </w:rPr>
      <mc:AlternateContent>
        <mc:Choice Requires="wps">
          <w:drawing>
            <wp:anchor distT="0" distB="0" distL="114300" distR="114300" simplePos="0" relativeHeight="251658752" behindDoc="1" locked="0" layoutInCell="1" allowOverlap="1" wp14:anchorId="7A390844" wp14:editId="78FF117C">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7CF30" w14:textId="77777777" w:rsidR="0029154C" w:rsidRDefault="0029154C" w:rsidP="0029154C">
                          <w:pPr>
                            <w:spacing w:after="0" w:line="194" w:lineRule="exact"/>
                            <w:ind w:left="20" w:right="-45"/>
                            <w:jc w:val="center"/>
                            <w:rPr>
                              <w:rFonts w:ascii="Times New Roman" w:eastAsia="Times New Roman" w:hAnsi="Times New Roman"/>
                              <w:sz w:val="17"/>
                              <w:szCs w:val="17"/>
                            </w:rPr>
                          </w:pPr>
                          <w:r w:rsidRPr="0021556E">
                            <w:rPr>
                              <w:rFonts w:ascii="Times New Roman" w:eastAsia="Times New Roman" w:hAnsi="Times New Roman"/>
                              <w:color w:val="231F20"/>
                              <w:sz w:val="17"/>
                              <w:szCs w:val="17"/>
                            </w:rPr>
                            <w:t>Vaļņu iela 2, Rīga, LV - 1050, tālr. 67226209, fakss 67223905, e-pasts pasts@izm.gov.lv, www.izm.gov.lv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90844"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14:paraId="0267CF30" w14:textId="77777777" w:rsidR="0029154C" w:rsidRDefault="0029154C" w:rsidP="0029154C">
                    <w:pPr>
                      <w:spacing w:after="0" w:line="194" w:lineRule="exact"/>
                      <w:ind w:left="20" w:right="-45"/>
                      <w:jc w:val="center"/>
                      <w:rPr>
                        <w:rFonts w:ascii="Times New Roman" w:eastAsia="Times New Roman" w:hAnsi="Times New Roman"/>
                        <w:sz w:val="17"/>
                        <w:szCs w:val="17"/>
                      </w:rPr>
                    </w:pPr>
                    <w:r w:rsidRPr="0021556E">
                      <w:rPr>
                        <w:rFonts w:ascii="Times New Roman" w:eastAsia="Times New Roman" w:hAnsi="Times New Roman"/>
                        <w:color w:val="231F20"/>
                        <w:sz w:val="17"/>
                        <w:szCs w:val="17"/>
                      </w:rPr>
                      <w:t>Vaļņu iela 2, Rīga, LV - 1050, tālr. 67226209, fakss 67223905, e-pasts pasts@izm.gov.lv, www.izm.gov.lv</w:t>
                    </w:r>
                  </w:p>
                </w:txbxContent>
              </v:textbox>
              <w10:wrap anchorx="page" anchory="page"/>
            </v:shape>
          </w:pict>
        </mc:Fallback>
      </mc:AlternateContent>
    </w:r>
    <w:r w:rsidR="00FA4C56">
      <w:rPr>
        <w:noProof/>
        <w:lang w:eastAsia="lv-LV"/>
      </w:rPr>
      <mc:AlternateContent>
        <mc:Choice Requires="wpg">
          <w:drawing>
            <wp:anchor distT="0" distB="0" distL="114300" distR="114300" simplePos="0" relativeHeight="251657728" behindDoc="1" locked="0" layoutInCell="1" allowOverlap="1" wp14:anchorId="6C4EBAC1" wp14:editId="235F6FEE">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B068E6"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14:paraId="6281E422" w14:textId="77777777" w:rsidR="0029154C" w:rsidRDefault="002915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2C57A6"/>
    <w:multiLevelType w:val="hybridMultilevel"/>
    <w:tmpl w:val="3620EC44"/>
    <w:lvl w:ilvl="0" w:tplc="492474A4">
      <w:start w:val="1"/>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0505CF2"/>
    <w:multiLevelType w:val="hybridMultilevel"/>
    <w:tmpl w:val="E6EEF768"/>
    <w:lvl w:ilvl="0" w:tplc="5148AD9C">
      <w:start w:val="1"/>
      <w:numFmt w:val="decimal"/>
      <w:lvlText w:val="%1."/>
      <w:lvlJc w:val="left"/>
      <w:pPr>
        <w:ind w:left="1023" w:hanging="360"/>
      </w:pPr>
      <w:rPr>
        <w:rFonts w:eastAsia="Calibri" w:hint="default"/>
      </w:rPr>
    </w:lvl>
    <w:lvl w:ilvl="1" w:tplc="04260019" w:tentative="1">
      <w:start w:val="1"/>
      <w:numFmt w:val="lowerLetter"/>
      <w:lvlText w:val="%2."/>
      <w:lvlJc w:val="left"/>
      <w:pPr>
        <w:ind w:left="1743" w:hanging="360"/>
      </w:pPr>
    </w:lvl>
    <w:lvl w:ilvl="2" w:tplc="0426001B" w:tentative="1">
      <w:start w:val="1"/>
      <w:numFmt w:val="lowerRoman"/>
      <w:lvlText w:val="%3."/>
      <w:lvlJc w:val="right"/>
      <w:pPr>
        <w:ind w:left="2463" w:hanging="180"/>
      </w:pPr>
    </w:lvl>
    <w:lvl w:ilvl="3" w:tplc="0426000F" w:tentative="1">
      <w:start w:val="1"/>
      <w:numFmt w:val="decimal"/>
      <w:lvlText w:val="%4."/>
      <w:lvlJc w:val="left"/>
      <w:pPr>
        <w:ind w:left="3183" w:hanging="360"/>
      </w:pPr>
    </w:lvl>
    <w:lvl w:ilvl="4" w:tplc="04260019" w:tentative="1">
      <w:start w:val="1"/>
      <w:numFmt w:val="lowerLetter"/>
      <w:lvlText w:val="%5."/>
      <w:lvlJc w:val="left"/>
      <w:pPr>
        <w:ind w:left="3903" w:hanging="360"/>
      </w:pPr>
    </w:lvl>
    <w:lvl w:ilvl="5" w:tplc="0426001B" w:tentative="1">
      <w:start w:val="1"/>
      <w:numFmt w:val="lowerRoman"/>
      <w:lvlText w:val="%6."/>
      <w:lvlJc w:val="right"/>
      <w:pPr>
        <w:ind w:left="4623" w:hanging="180"/>
      </w:pPr>
    </w:lvl>
    <w:lvl w:ilvl="6" w:tplc="0426000F" w:tentative="1">
      <w:start w:val="1"/>
      <w:numFmt w:val="decimal"/>
      <w:lvlText w:val="%7."/>
      <w:lvlJc w:val="left"/>
      <w:pPr>
        <w:ind w:left="5343" w:hanging="360"/>
      </w:pPr>
    </w:lvl>
    <w:lvl w:ilvl="7" w:tplc="04260019" w:tentative="1">
      <w:start w:val="1"/>
      <w:numFmt w:val="lowerLetter"/>
      <w:lvlText w:val="%8."/>
      <w:lvlJc w:val="left"/>
      <w:pPr>
        <w:ind w:left="6063" w:hanging="360"/>
      </w:pPr>
    </w:lvl>
    <w:lvl w:ilvl="8" w:tplc="0426001B" w:tentative="1">
      <w:start w:val="1"/>
      <w:numFmt w:val="lowerRoman"/>
      <w:lvlText w:val="%9."/>
      <w:lvlJc w:val="right"/>
      <w:pPr>
        <w:ind w:left="6783" w:hanging="180"/>
      </w:pPr>
    </w:lvl>
  </w:abstractNum>
  <w:abstractNum w:abstractNumId="13" w15:restartNumberingAfterBreak="0">
    <w:nsid w:val="777342C9"/>
    <w:multiLevelType w:val="multilevel"/>
    <w:tmpl w:val="D622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3470"/>
    <w:rsid w:val="00006384"/>
    <w:rsid w:val="00007D58"/>
    <w:rsid w:val="00030349"/>
    <w:rsid w:val="00041BF9"/>
    <w:rsid w:val="000B0F3E"/>
    <w:rsid w:val="0010478F"/>
    <w:rsid w:val="00124173"/>
    <w:rsid w:val="002114C0"/>
    <w:rsid w:val="0021556E"/>
    <w:rsid w:val="00275B9E"/>
    <w:rsid w:val="0029154C"/>
    <w:rsid w:val="002B3077"/>
    <w:rsid w:val="002E1474"/>
    <w:rsid w:val="00304A60"/>
    <w:rsid w:val="00327E1D"/>
    <w:rsid w:val="00335032"/>
    <w:rsid w:val="003B6B02"/>
    <w:rsid w:val="003E25A0"/>
    <w:rsid w:val="00404D5B"/>
    <w:rsid w:val="00412762"/>
    <w:rsid w:val="00416C1E"/>
    <w:rsid w:val="004367F2"/>
    <w:rsid w:val="00445E09"/>
    <w:rsid w:val="00447057"/>
    <w:rsid w:val="0048295D"/>
    <w:rsid w:val="00493308"/>
    <w:rsid w:val="00497A62"/>
    <w:rsid w:val="004C0807"/>
    <w:rsid w:val="004C56C6"/>
    <w:rsid w:val="004D7D93"/>
    <w:rsid w:val="00534914"/>
    <w:rsid w:val="00535564"/>
    <w:rsid w:val="0054256A"/>
    <w:rsid w:val="0056448F"/>
    <w:rsid w:val="005D2E7A"/>
    <w:rsid w:val="006234ED"/>
    <w:rsid w:val="00624F4B"/>
    <w:rsid w:val="00632B22"/>
    <w:rsid w:val="00663C3A"/>
    <w:rsid w:val="006647AC"/>
    <w:rsid w:val="006806C3"/>
    <w:rsid w:val="006C1639"/>
    <w:rsid w:val="006D2609"/>
    <w:rsid w:val="00703980"/>
    <w:rsid w:val="00707878"/>
    <w:rsid w:val="00747CCB"/>
    <w:rsid w:val="007654D1"/>
    <w:rsid w:val="007704BD"/>
    <w:rsid w:val="00787C7E"/>
    <w:rsid w:val="007B3BA5"/>
    <w:rsid w:val="007B48EC"/>
    <w:rsid w:val="007E4D1F"/>
    <w:rsid w:val="00815277"/>
    <w:rsid w:val="00876C21"/>
    <w:rsid w:val="00923887"/>
    <w:rsid w:val="00950DDC"/>
    <w:rsid w:val="00954D5A"/>
    <w:rsid w:val="009A6F3B"/>
    <w:rsid w:val="00A13854"/>
    <w:rsid w:val="00A17275"/>
    <w:rsid w:val="00A614A4"/>
    <w:rsid w:val="00A72000"/>
    <w:rsid w:val="00A86954"/>
    <w:rsid w:val="00AD2D59"/>
    <w:rsid w:val="00B92BE3"/>
    <w:rsid w:val="00BA38D4"/>
    <w:rsid w:val="00C47F57"/>
    <w:rsid w:val="00C94648"/>
    <w:rsid w:val="00CA6C67"/>
    <w:rsid w:val="00CD6899"/>
    <w:rsid w:val="00D04379"/>
    <w:rsid w:val="00D1721C"/>
    <w:rsid w:val="00D21FA6"/>
    <w:rsid w:val="00D314DC"/>
    <w:rsid w:val="00D407F3"/>
    <w:rsid w:val="00D53FF1"/>
    <w:rsid w:val="00D55B4B"/>
    <w:rsid w:val="00D6418E"/>
    <w:rsid w:val="00D76A6A"/>
    <w:rsid w:val="00DF4029"/>
    <w:rsid w:val="00E365CE"/>
    <w:rsid w:val="00E47290"/>
    <w:rsid w:val="00E71656"/>
    <w:rsid w:val="00EF3967"/>
    <w:rsid w:val="00F20335"/>
    <w:rsid w:val="00F60586"/>
    <w:rsid w:val="00F64EC3"/>
    <w:rsid w:val="00F84204"/>
    <w:rsid w:val="00FA4C56"/>
    <w:rsid w:val="00FC4A77"/>
    <w:rsid w:val="00FD73EE"/>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C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uiPriority w:val="34"/>
    <w:qFormat/>
    <w:rsid w:val="00416C1E"/>
    <w:pPr>
      <w:ind w:left="720"/>
      <w:contextualSpacing/>
    </w:pPr>
  </w:style>
  <w:style w:type="paragraph" w:styleId="FootnoteText">
    <w:name w:val="footnote text"/>
    <w:basedOn w:val="Normal"/>
    <w:link w:val="FootnoteTextChar"/>
    <w:uiPriority w:val="99"/>
    <w:unhideWhenUsed/>
    <w:rsid w:val="00A614A4"/>
    <w:pPr>
      <w:widowControl/>
      <w:spacing w:after="0" w:line="240" w:lineRule="auto"/>
    </w:pPr>
    <w:rPr>
      <w:sz w:val="20"/>
      <w:szCs w:val="20"/>
    </w:rPr>
  </w:style>
  <w:style w:type="character" w:customStyle="1" w:styleId="FootnoteTextChar">
    <w:name w:val="Footnote Text Char"/>
    <w:basedOn w:val="DefaultParagraphFont"/>
    <w:link w:val="FootnoteText"/>
    <w:uiPriority w:val="99"/>
    <w:rsid w:val="00A614A4"/>
    <w:rPr>
      <w:lang w:eastAsia="en-US"/>
    </w:rPr>
  </w:style>
  <w:style w:type="character" w:styleId="FootnoteReference">
    <w:name w:val="footnote reference"/>
    <w:basedOn w:val="DefaultParagraphFont"/>
    <w:uiPriority w:val="99"/>
    <w:unhideWhenUsed/>
    <w:rsid w:val="00A614A4"/>
    <w:rPr>
      <w:vertAlign w:val="superscript"/>
    </w:rPr>
  </w:style>
  <w:style w:type="character" w:styleId="CommentReference">
    <w:name w:val="annotation reference"/>
    <w:basedOn w:val="DefaultParagraphFont"/>
    <w:uiPriority w:val="99"/>
    <w:semiHidden/>
    <w:unhideWhenUsed/>
    <w:rsid w:val="004367F2"/>
    <w:rPr>
      <w:sz w:val="16"/>
      <w:szCs w:val="16"/>
    </w:rPr>
  </w:style>
  <w:style w:type="paragraph" w:styleId="CommentText">
    <w:name w:val="annotation text"/>
    <w:basedOn w:val="Normal"/>
    <w:link w:val="CommentTextChar"/>
    <w:uiPriority w:val="99"/>
    <w:semiHidden/>
    <w:unhideWhenUsed/>
    <w:rsid w:val="004367F2"/>
    <w:pPr>
      <w:spacing w:line="240" w:lineRule="auto"/>
    </w:pPr>
    <w:rPr>
      <w:sz w:val="20"/>
      <w:szCs w:val="20"/>
    </w:rPr>
  </w:style>
  <w:style w:type="character" w:customStyle="1" w:styleId="CommentTextChar">
    <w:name w:val="Comment Text Char"/>
    <w:basedOn w:val="DefaultParagraphFont"/>
    <w:link w:val="CommentText"/>
    <w:uiPriority w:val="99"/>
    <w:semiHidden/>
    <w:rsid w:val="004367F2"/>
    <w:rPr>
      <w:lang w:eastAsia="en-US"/>
    </w:rPr>
  </w:style>
  <w:style w:type="paragraph" w:styleId="CommentSubject">
    <w:name w:val="annotation subject"/>
    <w:basedOn w:val="CommentText"/>
    <w:next w:val="CommentText"/>
    <w:link w:val="CommentSubjectChar"/>
    <w:uiPriority w:val="99"/>
    <w:semiHidden/>
    <w:unhideWhenUsed/>
    <w:rsid w:val="004367F2"/>
    <w:rPr>
      <w:b/>
      <w:bCs/>
    </w:rPr>
  </w:style>
  <w:style w:type="character" w:customStyle="1" w:styleId="CommentSubjectChar">
    <w:name w:val="Comment Subject Char"/>
    <w:basedOn w:val="CommentTextChar"/>
    <w:link w:val="CommentSubject"/>
    <w:uiPriority w:val="99"/>
    <w:semiHidden/>
    <w:rsid w:val="004367F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804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3491-grozijumi-ministru-kabineta-2006-gada-10-oktobra-noteikumos-nr-846-noteikumi-par-prasibam-kriterijiem-un-kartibu-uznemsanai-st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ikumi.lv/ta/id/293663"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ita.depkovska@izm.gov.lv" TargetMode="External"/><Relationship Id="rId4" Type="http://schemas.openxmlformats.org/officeDocument/2006/relationships/webSettings" Target="webSettings.xml"/><Relationship Id="rId9" Type="http://schemas.openxmlformats.org/officeDocument/2006/relationships/hyperlink" Target="https://likumi.lv/ta/jaunakie/stajas-speka/2018/11/15/"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3676</Words>
  <Characters>2096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2019-01-17T12:59:00Z</dcterms:created>
  <dcterms:modified xsi:type="dcterms:W3CDTF">2019-01-21T13:19:00Z</dcterms:modified>
</cp:coreProperties>
</file>