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A5F" w:rsidRDefault="00B351DF" w:rsidP="00B351DF">
      <w:pPr>
        <w:jc w:val="center"/>
        <w:rPr>
          <w:rFonts w:ascii="Times New Roman" w:hAnsi="Times New Roman" w:cs="Times New Roman"/>
          <w:b/>
          <w:sz w:val="24"/>
          <w:szCs w:val="24"/>
        </w:rPr>
      </w:pPr>
      <w:bookmarkStart w:id="0" w:name="_GoBack"/>
      <w:bookmarkEnd w:id="0"/>
      <w:r w:rsidRPr="00B351DF">
        <w:rPr>
          <w:rFonts w:ascii="Times New Roman" w:hAnsi="Times New Roman" w:cs="Times New Roman"/>
          <w:b/>
          <w:sz w:val="24"/>
          <w:szCs w:val="24"/>
        </w:rPr>
        <w:t>Ministru kabineta noteikumu “Grozījumi Ministru kabineta 2010.gada 10.augusta noteikumos Nr.741 “Noteikumi par ostas valdes locekļu mēnešalgu un speciālo piemaksu” projekta sākotnējās ietekmes novērtējuma ziņojums (anotācija)</w:t>
      </w:r>
    </w:p>
    <w:p w:rsidR="00B351DF" w:rsidRDefault="00B351DF" w:rsidP="00B351DF">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62"/>
        <w:gridCol w:w="2127"/>
        <w:gridCol w:w="6372"/>
      </w:tblGrid>
      <w:tr w:rsidR="00B351DF" w:rsidTr="006D5C41">
        <w:tc>
          <w:tcPr>
            <w:tcW w:w="9061" w:type="dxa"/>
            <w:gridSpan w:val="3"/>
          </w:tcPr>
          <w:p w:rsidR="00B351DF" w:rsidRDefault="00B351DF" w:rsidP="00B351DF">
            <w:pPr>
              <w:jc w:val="center"/>
              <w:rPr>
                <w:rFonts w:ascii="Times New Roman" w:hAnsi="Times New Roman" w:cs="Times New Roman"/>
                <w:sz w:val="24"/>
                <w:szCs w:val="24"/>
              </w:rPr>
            </w:pPr>
            <w:r>
              <w:rPr>
                <w:rFonts w:ascii="Times New Roman" w:eastAsia="Times New Roman" w:hAnsi="Times New Roman" w:cs="Times New Roman"/>
                <w:b/>
                <w:bCs/>
                <w:color w:val="0D0D0D" w:themeColor="text1" w:themeTint="F2"/>
                <w:sz w:val="24"/>
                <w:szCs w:val="24"/>
                <w:lang w:eastAsia="lv-LV"/>
              </w:rPr>
              <w:t>Tiesību akta projekta anotācijas kopsavilkums</w:t>
            </w:r>
          </w:p>
        </w:tc>
      </w:tr>
      <w:tr w:rsidR="00B351DF" w:rsidTr="00B351DF">
        <w:tc>
          <w:tcPr>
            <w:tcW w:w="2689" w:type="dxa"/>
            <w:gridSpan w:val="2"/>
          </w:tcPr>
          <w:p w:rsidR="00B351DF" w:rsidRDefault="00B351DF" w:rsidP="00B351DF">
            <w:pPr>
              <w:rPr>
                <w:rFonts w:ascii="Times New Roman" w:hAnsi="Times New Roman" w:cs="Times New Roman"/>
                <w:sz w:val="24"/>
                <w:szCs w:val="24"/>
              </w:rPr>
            </w:pPr>
            <w:r>
              <w:rPr>
                <w:rFonts w:ascii="Times New Roman" w:eastAsia="Times New Roman" w:hAnsi="Times New Roman" w:cs="Times New Roman"/>
                <w:bCs/>
                <w:color w:val="0D0D0D" w:themeColor="text1" w:themeTint="F2"/>
                <w:sz w:val="24"/>
                <w:szCs w:val="24"/>
                <w:lang w:eastAsia="lv-LV"/>
              </w:rPr>
              <w:t>Mērķis, risinājums un projekta spēkā stāšanās laiks (500 zīmes bez atstarpēm)</w:t>
            </w:r>
          </w:p>
        </w:tc>
        <w:tc>
          <w:tcPr>
            <w:tcW w:w="6372" w:type="dxa"/>
          </w:tcPr>
          <w:p w:rsidR="00B351DF" w:rsidRDefault="004F2D88" w:rsidP="00B351DF">
            <w:pPr>
              <w:rPr>
                <w:rFonts w:ascii="Times New Roman" w:hAnsi="Times New Roman" w:cs="Times New Roman"/>
                <w:sz w:val="24"/>
                <w:szCs w:val="24"/>
              </w:rPr>
            </w:pPr>
            <w:r w:rsidRPr="004F2D88">
              <w:rPr>
                <w:rFonts w:ascii="Times New Roman" w:hAnsi="Times New Roman" w:cs="Times New Roman"/>
                <w:sz w:val="24"/>
                <w:szCs w:val="24"/>
              </w:rPr>
              <w:t>Kopsavilkums nav aizpildāms saskaņā ar Ministru kabineta 2009.gada 15.decembra instrukcijas Nr.19 “Tiesību akta projekta sākotnējās ietekmes izvērtēšanas kārtība” 5.1punktu.</w:t>
            </w:r>
          </w:p>
        </w:tc>
      </w:tr>
      <w:tr w:rsidR="00B351DF" w:rsidTr="006D5C41">
        <w:tc>
          <w:tcPr>
            <w:tcW w:w="9061" w:type="dxa"/>
            <w:gridSpan w:val="3"/>
          </w:tcPr>
          <w:p w:rsidR="00B351DF" w:rsidRDefault="00B351DF" w:rsidP="00B351DF">
            <w:pPr>
              <w:jc w:val="center"/>
              <w:rPr>
                <w:rFonts w:ascii="Times New Roman" w:hAnsi="Times New Roman" w:cs="Times New Roman"/>
                <w:sz w:val="24"/>
                <w:szCs w:val="24"/>
              </w:rPr>
            </w:pPr>
            <w:r w:rsidRPr="00A30746">
              <w:rPr>
                <w:rFonts w:ascii="Times New Roman" w:eastAsia="Times New Roman" w:hAnsi="Times New Roman" w:cs="Times New Roman"/>
                <w:b/>
                <w:bCs/>
                <w:color w:val="0D0D0D" w:themeColor="text1" w:themeTint="F2"/>
                <w:sz w:val="24"/>
                <w:szCs w:val="24"/>
                <w:lang w:eastAsia="lv-LV"/>
              </w:rPr>
              <w:t>I. Tiesību akta projekta izstrādes nepieciešamība</w:t>
            </w:r>
          </w:p>
        </w:tc>
      </w:tr>
      <w:tr w:rsidR="00B351DF" w:rsidTr="00B351DF">
        <w:tc>
          <w:tcPr>
            <w:tcW w:w="562" w:type="dxa"/>
          </w:tcPr>
          <w:p w:rsidR="00B351DF" w:rsidRDefault="00B351DF" w:rsidP="00B351DF">
            <w:pPr>
              <w:rPr>
                <w:rFonts w:ascii="Times New Roman" w:eastAsia="Times New Roman" w:hAnsi="Times New Roman" w:cs="Times New Roman"/>
                <w:bCs/>
                <w:color w:val="0D0D0D" w:themeColor="text1" w:themeTint="F2"/>
                <w:sz w:val="24"/>
                <w:szCs w:val="24"/>
                <w:lang w:eastAsia="lv-LV"/>
              </w:rPr>
            </w:pPr>
            <w:r>
              <w:rPr>
                <w:rFonts w:ascii="Times New Roman" w:eastAsia="Times New Roman" w:hAnsi="Times New Roman" w:cs="Times New Roman"/>
                <w:bCs/>
                <w:color w:val="0D0D0D" w:themeColor="text1" w:themeTint="F2"/>
                <w:sz w:val="24"/>
                <w:szCs w:val="24"/>
                <w:lang w:eastAsia="lv-LV"/>
              </w:rPr>
              <w:t>1.</w:t>
            </w:r>
          </w:p>
        </w:tc>
        <w:tc>
          <w:tcPr>
            <w:tcW w:w="2127" w:type="dxa"/>
          </w:tcPr>
          <w:p w:rsidR="00B351DF" w:rsidRDefault="00B351DF" w:rsidP="00B351DF">
            <w:pPr>
              <w:rPr>
                <w:rFonts w:ascii="Times New Roman" w:eastAsia="Times New Roman" w:hAnsi="Times New Roman" w:cs="Times New Roman"/>
                <w:bCs/>
                <w:color w:val="0D0D0D" w:themeColor="text1" w:themeTint="F2"/>
                <w:sz w:val="24"/>
                <w:szCs w:val="24"/>
                <w:lang w:eastAsia="lv-LV"/>
              </w:rPr>
            </w:pPr>
            <w:r>
              <w:rPr>
                <w:rFonts w:ascii="Times New Roman" w:eastAsia="Times New Roman" w:hAnsi="Times New Roman" w:cs="Times New Roman"/>
                <w:bCs/>
                <w:color w:val="0D0D0D" w:themeColor="text1" w:themeTint="F2"/>
                <w:sz w:val="24"/>
                <w:szCs w:val="24"/>
                <w:lang w:eastAsia="lv-LV"/>
              </w:rPr>
              <w:t>Pamatojums</w:t>
            </w:r>
          </w:p>
        </w:tc>
        <w:tc>
          <w:tcPr>
            <w:tcW w:w="6372" w:type="dxa"/>
          </w:tcPr>
          <w:p w:rsidR="00B351DF" w:rsidRDefault="00E45EA1" w:rsidP="00E45EA1">
            <w:pPr>
              <w:jc w:val="both"/>
              <w:rPr>
                <w:rFonts w:ascii="Times New Roman" w:hAnsi="Times New Roman" w:cs="Times New Roman"/>
                <w:sz w:val="24"/>
                <w:szCs w:val="24"/>
              </w:rPr>
            </w:pPr>
            <w:r>
              <w:rPr>
                <w:rFonts w:ascii="Times New Roman" w:hAnsi="Times New Roman" w:cs="Times New Roman"/>
                <w:sz w:val="24"/>
                <w:szCs w:val="24"/>
              </w:rPr>
              <w:t xml:space="preserve">    </w:t>
            </w:r>
            <w:r w:rsidR="00B23A97">
              <w:rPr>
                <w:rFonts w:ascii="Times New Roman" w:hAnsi="Times New Roman" w:cs="Times New Roman"/>
                <w:sz w:val="24"/>
                <w:szCs w:val="24"/>
              </w:rPr>
              <w:t xml:space="preserve">Ministru kabineta noteikumu grozījumi izstrādāti, </w:t>
            </w:r>
            <w:r w:rsidR="002D6937">
              <w:rPr>
                <w:rFonts w:ascii="Times New Roman" w:hAnsi="Times New Roman" w:cs="Times New Roman"/>
                <w:sz w:val="24"/>
                <w:szCs w:val="24"/>
              </w:rPr>
              <w:t>ievērojot A.K. Kariņa valdības deklarācijā noteikto – piemērot Latvijas lielajām ostām OECD valsts kapitālsabiedrību pārvaldības principus, palielināt valsts ietekmi lēmumu pieņemšanā un nodrošināt efektīvāku resursu izmantošanu.</w:t>
            </w:r>
          </w:p>
        </w:tc>
      </w:tr>
      <w:tr w:rsidR="00B351DF" w:rsidTr="00B351DF">
        <w:tc>
          <w:tcPr>
            <w:tcW w:w="562" w:type="dxa"/>
          </w:tcPr>
          <w:p w:rsidR="00B351DF" w:rsidRDefault="00B351DF" w:rsidP="00B351DF">
            <w:pPr>
              <w:rPr>
                <w:rFonts w:ascii="Times New Roman" w:eastAsia="Times New Roman" w:hAnsi="Times New Roman" w:cs="Times New Roman"/>
                <w:bCs/>
                <w:color w:val="0D0D0D" w:themeColor="text1" w:themeTint="F2"/>
                <w:sz w:val="24"/>
                <w:szCs w:val="24"/>
                <w:lang w:eastAsia="lv-LV"/>
              </w:rPr>
            </w:pPr>
            <w:r>
              <w:rPr>
                <w:rFonts w:ascii="Times New Roman" w:eastAsia="Times New Roman" w:hAnsi="Times New Roman" w:cs="Times New Roman"/>
                <w:bCs/>
                <w:color w:val="0D0D0D" w:themeColor="text1" w:themeTint="F2"/>
                <w:sz w:val="24"/>
                <w:szCs w:val="24"/>
                <w:lang w:eastAsia="lv-LV"/>
              </w:rPr>
              <w:t>2.</w:t>
            </w:r>
          </w:p>
        </w:tc>
        <w:tc>
          <w:tcPr>
            <w:tcW w:w="2127" w:type="dxa"/>
          </w:tcPr>
          <w:p w:rsidR="00B351DF" w:rsidRDefault="00B351DF" w:rsidP="00B351DF">
            <w:pPr>
              <w:rPr>
                <w:rFonts w:ascii="Times New Roman" w:eastAsia="Times New Roman" w:hAnsi="Times New Roman" w:cs="Times New Roman"/>
                <w:bCs/>
                <w:color w:val="0D0D0D" w:themeColor="text1" w:themeTint="F2"/>
                <w:sz w:val="24"/>
                <w:szCs w:val="24"/>
                <w:lang w:eastAsia="lv-LV"/>
              </w:rPr>
            </w:pPr>
            <w:r w:rsidRPr="00B351DF">
              <w:rPr>
                <w:rFonts w:ascii="Times New Roman" w:eastAsia="Times New Roman" w:hAnsi="Times New Roman" w:cs="Times New Roman"/>
                <w:bCs/>
                <w:color w:val="0D0D0D" w:themeColor="text1" w:themeTint="F2"/>
                <w:sz w:val="24"/>
                <w:szCs w:val="24"/>
                <w:lang w:eastAsia="lv-LV"/>
              </w:rPr>
              <w:t>Pašreizējā situācija un problēmas, kuru risināšanai tiesību akta projekts izstrādāts, tiesiskā regulējuma mērķis un būtība</w:t>
            </w:r>
          </w:p>
        </w:tc>
        <w:tc>
          <w:tcPr>
            <w:tcW w:w="6372" w:type="dxa"/>
          </w:tcPr>
          <w:p w:rsidR="00713349" w:rsidRDefault="00E45EA1" w:rsidP="009F13D9">
            <w:pPr>
              <w:jc w:val="both"/>
              <w:rPr>
                <w:rFonts w:ascii="Times New Roman" w:hAnsi="Times New Roman" w:cs="Times New Roman"/>
                <w:sz w:val="24"/>
                <w:szCs w:val="24"/>
              </w:rPr>
            </w:pPr>
            <w:r>
              <w:rPr>
                <w:rFonts w:ascii="Times New Roman" w:hAnsi="Times New Roman" w:cs="Times New Roman"/>
                <w:sz w:val="24"/>
                <w:szCs w:val="24"/>
              </w:rPr>
              <w:t xml:space="preserve">    </w:t>
            </w:r>
            <w:r w:rsidR="009E2AC3">
              <w:rPr>
                <w:rFonts w:ascii="Times New Roman" w:hAnsi="Times New Roman" w:cs="Times New Roman"/>
                <w:sz w:val="24"/>
                <w:szCs w:val="24"/>
              </w:rPr>
              <w:t xml:space="preserve">2010.gadā </w:t>
            </w:r>
            <w:r w:rsidR="00EB7779">
              <w:rPr>
                <w:rFonts w:ascii="Times New Roman" w:hAnsi="Times New Roman" w:cs="Times New Roman"/>
                <w:sz w:val="24"/>
                <w:szCs w:val="24"/>
              </w:rPr>
              <w:t xml:space="preserve">Atbilstoši Valsts un pašvaldību institūciju amatpersonu un darbinieku atlīdzības likuma 13.pantam </w:t>
            </w:r>
            <w:r>
              <w:rPr>
                <w:rFonts w:ascii="Times New Roman" w:hAnsi="Times New Roman" w:cs="Times New Roman"/>
                <w:sz w:val="24"/>
                <w:szCs w:val="24"/>
              </w:rPr>
              <w:t>Ministru kabinets</w:t>
            </w:r>
            <w:r w:rsidR="006D5C41">
              <w:rPr>
                <w:rFonts w:ascii="Times New Roman" w:hAnsi="Times New Roman" w:cs="Times New Roman"/>
                <w:sz w:val="24"/>
                <w:szCs w:val="24"/>
              </w:rPr>
              <w:t>,</w:t>
            </w:r>
            <w:r>
              <w:rPr>
                <w:rFonts w:ascii="Times New Roman" w:hAnsi="Times New Roman" w:cs="Times New Roman"/>
                <w:sz w:val="24"/>
                <w:szCs w:val="24"/>
              </w:rPr>
              <w:t xml:space="preserve"> </w:t>
            </w:r>
            <w:r w:rsidR="006D5C41">
              <w:rPr>
                <w:rFonts w:ascii="Times New Roman" w:hAnsi="Times New Roman" w:cs="Times New Roman"/>
                <w:sz w:val="24"/>
                <w:szCs w:val="24"/>
              </w:rPr>
              <w:t xml:space="preserve">pieņemot Ministru kabineta noteikumus, </w:t>
            </w:r>
            <w:r>
              <w:rPr>
                <w:rFonts w:ascii="Times New Roman" w:hAnsi="Times New Roman" w:cs="Times New Roman"/>
                <w:sz w:val="24"/>
                <w:szCs w:val="24"/>
              </w:rPr>
              <w:t>noteica ostu valdes locekļu mēnešalgu apmēru atbilstoši ostu iedalījumam.</w:t>
            </w:r>
            <w:r w:rsidR="009F13D9">
              <w:rPr>
                <w:rFonts w:ascii="Times New Roman" w:hAnsi="Times New Roman" w:cs="Times New Roman"/>
                <w:sz w:val="24"/>
                <w:szCs w:val="24"/>
              </w:rPr>
              <w:t xml:space="preserve"> Atbilstošais ostu iedalījums noteikts saskaņā ar ostas bilances kopsummu un neto apgrozījumu ņemot vērā pēdējo apstiprināto gada pārskatu.</w:t>
            </w:r>
          </w:p>
          <w:p w:rsidR="00B351DF" w:rsidRDefault="00713349" w:rsidP="009F13D9">
            <w:pPr>
              <w:jc w:val="both"/>
              <w:rPr>
                <w:rFonts w:ascii="Times New Roman" w:hAnsi="Times New Roman" w:cs="Times New Roman"/>
                <w:sz w:val="24"/>
                <w:szCs w:val="24"/>
              </w:rPr>
            </w:pPr>
            <w:r>
              <w:rPr>
                <w:rFonts w:ascii="Times New Roman" w:hAnsi="Times New Roman" w:cs="Times New Roman"/>
                <w:sz w:val="24"/>
                <w:szCs w:val="24"/>
              </w:rPr>
              <w:t xml:space="preserve">    </w:t>
            </w:r>
            <w:r w:rsidR="00E45EA1">
              <w:rPr>
                <w:rFonts w:ascii="Times New Roman" w:hAnsi="Times New Roman" w:cs="Times New Roman"/>
                <w:sz w:val="24"/>
                <w:szCs w:val="24"/>
              </w:rPr>
              <w:t>Šobrīd, ņemot vērā ostu iedalījumu, ostu valdes priekšsēdēt</w:t>
            </w:r>
            <w:r w:rsidR="006D5C41">
              <w:rPr>
                <w:rFonts w:ascii="Times New Roman" w:hAnsi="Times New Roman" w:cs="Times New Roman"/>
                <w:sz w:val="24"/>
                <w:szCs w:val="24"/>
              </w:rPr>
              <w:t>ā</w:t>
            </w:r>
            <w:r w:rsidR="00E45EA1">
              <w:rPr>
                <w:rFonts w:ascii="Times New Roman" w:hAnsi="Times New Roman" w:cs="Times New Roman"/>
                <w:sz w:val="24"/>
                <w:szCs w:val="24"/>
              </w:rPr>
              <w:t>j</w:t>
            </w:r>
            <w:r w:rsidR="009F13D9">
              <w:rPr>
                <w:rFonts w:ascii="Times New Roman" w:hAnsi="Times New Roman" w:cs="Times New Roman"/>
                <w:sz w:val="24"/>
                <w:szCs w:val="24"/>
              </w:rPr>
              <w:t>a</w:t>
            </w:r>
            <w:r w:rsidR="00E45EA1">
              <w:rPr>
                <w:rFonts w:ascii="Times New Roman" w:hAnsi="Times New Roman" w:cs="Times New Roman"/>
                <w:sz w:val="24"/>
                <w:szCs w:val="24"/>
              </w:rPr>
              <w:t xml:space="preserve"> alga mazajās ostās ir 853.72 </w:t>
            </w:r>
            <w:proofErr w:type="spellStart"/>
            <w:r w:rsidR="00E45EA1" w:rsidRPr="00E45EA1">
              <w:rPr>
                <w:rFonts w:ascii="Times New Roman" w:hAnsi="Times New Roman" w:cs="Times New Roman"/>
                <w:i/>
                <w:sz w:val="24"/>
                <w:szCs w:val="24"/>
              </w:rPr>
              <w:t>euro</w:t>
            </w:r>
            <w:proofErr w:type="spellEnd"/>
            <w:r w:rsidR="00E45EA1">
              <w:rPr>
                <w:rFonts w:ascii="Times New Roman" w:hAnsi="Times New Roman" w:cs="Times New Roman"/>
                <w:sz w:val="24"/>
                <w:szCs w:val="24"/>
              </w:rPr>
              <w:t xml:space="preserve">, vidējās ostās ir 2134.31 </w:t>
            </w:r>
            <w:proofErr w:type="spellStart"/>
            <w:r w:rsidR="00E45EA1" w:rsidRPr="00E45EA1">
              <w:rPr>
                <w:rFonts w:ascii="Times New Roman" w:hAnsi="Times New Roman" w:cs="Times New Roman"/>
                <w:i/>
                <w:sz w:val="24"/>
                <w:szCs w:val="24"/>
              </w:rPr>
              <w:t>euro</w:t>
            </w:r>
            <w:proofErr w:type="spellEnd"/>
            <w:r w:rsidR="00E45EA1">
              <w:rPr>
                <w:rFonts w:ascii="Times New Roman" w:hAnsi="Times New Roman" w:cs="Times New Roman"/>
                <w:sz w:val="24"/>
                <w:szCs w:val="24"/>
              </w:rPr>
              <w:t xml:space="preserve"> un lielajās ostās 3984.04 </w:t>
            </w:r>
            <w:proofErr w:type="spellStart"/>
            <w:r w:rsidR="00E45EA1" w:rsidRPr="00E45EA1">
              <w:rPr>
                <w:rFonts w:ascii="Times New Roman" w:hAnsi="Times New Roman" w:cs="Times New Roman"/>
                <w:i/>
                <w:sz w:val="24"/>
                <w:szCs w:val="24"/>
              </w:rPr>
              <w:t>euro</w:t>
            </w:r>
            <w:proofErr w:type="spellEnd"/>
            <w:r w:rsidR="00E45EA1">
              <w:rPr>
                <w:rFonts w:ascii="Times New Roman" w:hAnsi="Times New Roman" w:cs="Times New Roman"/>
                <w:i/>
                <w:sz w:val="24"/>
                <w:szCs w:val="24"/>
              </w:rPr>
              <w:t xml:space="preserve">, </w:t>
            </w:r>
            <w:r w:rsidR="00E45EA1" w:rsidRPr="00E45EA1">
              <w:rPr>
                <w:rFonts w:ascii="Times New Roman" w:hAnsi="Times New Roman" w:cs="Times New Roman"/>
                <w:sz w:val="24"/>
                <w:szCs w:val="24"/>
              </w:rPr>
              <w:t xml:space="preserve">savukārt </w:t>
            </w:r>
            <w:r w:rsidR="009F13D9">
              <w:rPr>
                <w:rFonts w:ascii="Times New Roman" w:hAnsi="Times New Roman" w:cs="Times New Roman"/>
                <w:sz w:val="24"/>
                <w:szCs w:val="24"/>
              </w:rPr>
              <w:t xml:space="preserve">lielo un vidējo ostu valdes locekļu mēnešalgu nosaka 95% apmērā no ostas valdes priekšsēdētāja mēnešalgas. Mazās ostas valdes </w:t>
            </w:r>
            <w:r>
              <w:rPr>
                <w:rFonts w:ascii="Times New Roman" w:hAnsi="Times New Roman" w:cs="Times New Roman"/>
                <w:sz w:val="24"/>
                <w:szCs w:val="24"/>
              </w:rPr>
              <w:t>priekšsēdēt</w:t>
            </w:r>
            <w:r w:rsidR="006D5C41">
              <w:rPr>
                <w:rFonts w:ascii="Times New Roman" w:hAnsi="Times New Roman" w:cs="Times New Roman"/>
                <w:sz w:val="24"/>
                <w:szCs w:val="24"/>
              </w:rPr>
              <w:t>ā</w:t>
            </w:r>
            <w:r>
              <w:rPr>
                <w:rFonts w:ascii="Times New Roman" w:hAnsi="Times New Roman" w:cs="Times New Roman"/>
                <w:sz w:val="24"/>
                <w:szCs w:val="24"/>
              </w:rPr>
              <w:t>j</w:t>
            </w:r>
            <w:r w:rsidR="006D5C41">
              <w:rPr>
                <w:rFonts w:ascii="Times New Roman" w:hAnsi="Times New Roman" w:cs="Times New Roman"/>
                <w:sz w:val="24"/>
                <w:szCs w:val="24"/>
              </w:rPr>
              <w:t>a</w:t>
            </w:r>
            <w:r>
              <w:rPr>
                <w:rFonts w:ascii="Times New Roman" w:hAnsi="Times New Roman" w:cs="Times New Roman"/>
                <w:sz w:val="24"/>
                <w:szCs w:val="24"/>
              </w:rPr>
              <w:t>m un valdes loceklim</w:t>
            </w:r>
            <w:r w:rsidR="009F13D9">
              <w:rPr>
                <w:rFonts w:ascii="Times New Roman" w:hAnsi="Times New Roman" w:cs="Times New Roman"/>
                <w:sz w:val="24"/>
                <w:szCs w:val="24"/>
              </w:rPr>
              <w:t xml:space="preserve"> mēnešalgu nosaka, ja ostas iepriekšējā kalendār</w:t>
            </w:r>
            <w:r w:rsidR="006D5C41">
              <w:rPr>
                <w:rFonts w:ascii="Times New Roman" w:hAnsi="Times New Roman" w:cs="Times New Roman"/>
                <w:sz w:val="24"/>
                <w:szCs w:val="24"/>
              </w:rPr>
              <w:t>ā</w:t>
            </w:r>
            <w:r w:rsidR="009F13D9">
              <w:rPr>
                <w:rFonts w:ascii="Times New Roman" w:hAnsi="Times New Roman" w:cs="Times New Roman"/>
                <w:sz w:val="24"/>
                <w:szCs w:val="24"/>
              </w:rPr>
              <w:t xml:space="preserve"> gadā ir sasniegusi kravu apgrozījumu,</w:t>
            </w:r>
            <w:r>
              <w:rPr>
                <w:rFonts w:ascii="Times New Roman" w:hAnsi="Times New Roman" w:cs="Times New Roman"/>
                <w:sz w:val="24"/>
                <w:szCs w:val="24"/>
              </w:rPr>
              <w:t xml:space="preserve"> kas ir</w:t>
            </w:r>
            <w:r w:rsidR="009F13D9">
              <w:rPr>
                <w:rFonts w:ascii="Times New Roman" w:hAnsi="Times New Roman" w:cs="Times New Roman"/>
                <w:sz w:val="24"/>
                <w:szCs w:val="24"/>
              </w:rPr>
              <w:t xml:space="preserve"> ne mazāk</w:t>
            </w:r>
            <w:r>
              <w:rPr>
                <w:rFonts w:ascii="Times New Roman" w:hAnsi="Times New Roman" w:cs="Times New Roman"/>
                <w:sz w:val="24"/>
                <w:szCs w:val="24"/>
              </w:rPr>
              <w:t>s</w:t>
            </w:r>
            <w:r w:rsidR="009F13D9">
              <w:rPr>
                <w:rFonts w:ascii="Times New Roman" w:hAnsi="Times New Roman" w:cs="Times New Roman"/>
                <w:sz w:val="24"/>
                <w:szCs w:val="24"/>
              </w:rPr>
              <w:t xml:space="preserve"> par 200 tūkstošiem tonnu.</w:t>
            </w:r>
            <w:r>
              <w:rPr>
                <w:rFonts w:ascii="Times New Roman" w:hAnsi="Times New Roman" w:cs="Times New Roman"/>
                <w:sz w:val="24"/>
                <w:szCs w:val="24"/>
              </w:rPr>
              <w:t xml:space="preserve"> 2018.gadā četras mazās ostas no septiņām neatbilst iepriekš minētajam kritērijam un šajās ostās valdes priekšsēdētāj</w:t>
            </w:r>
            <w:r w:rsidR="006D5C41">
              <w:rPr>
                <w:rFonts w:ascii="Times New Roman" w:hAnsi="Times New Roman" w:cs="Times New Roman"/>
                <w:sz w:val="24"/>
                <w:szCs w:val="24"/>
              </w:rPr>
              <w:t>i</w:t>
            </w:r>
            <w:r>
              <w:rPr>
                <w:rFonts w:ascii="Times New Roman" w:hAnsi="Times New Roman" w:cs="Times New Roman"/>
                <w:sz w:val="24"/>
                <w:szCs w:val="24"/>
              </w:rPr>
              <w:t xml:space="preserve"> un valdes locekļi nesaņem atalgojumu.</w:t>
            </w:r>
          </w:p>
          <w:p w:rsidR="00713349" w:rsidRDefault="00713349" w:rsidP="002F0784">
            <w:pPr>
              <w:pStyle w:val="Default"/>
              <w:jc w:val="both"/>
            </w:pPr>
            <w:r>
              <w:t xml:space="preserve">     Pamatojoties uz A.K. Kariņa valdības deklarācijas 82.punktu</w:t>
            </w:r>
            <w:r w:rsidR="00543614">
              <w:t>, kurā teikts, ka Latvijas lielo ostu darbīb</w:t>
            </w:r>
            <w:r w:rsidR="006D5C41">
              <w:t>ā</w:t>
            </w:r>
            <w:r w:rsidR="00543614">
              <w:t xml:space="preserve"> piemēros OECD valsts kapitālsabiedrību pārvald</w:t>
            </w:r>
            <w:r w:rsidR="006D5C41">
              <w:t>ības</w:t>
            </w:r>
            <w:r w:rsidR="00543614">
              <w:t xml:space="preserve"> princip</w:t>
            </w:r>
            <w:r w:rsidR="006D5C41">
              <w:t>us</w:t>
            </w:r>
            <w:r w:rsidR="00543614">
              <w:t xml:space="preserve">, palielinās valsts ietekmi lēmumu pieņemšanā un nodrošinās efektīvāku resursu izmantošanu, kā arī paredz, </w:t>
            </w:r>
            <w:r w:rsidR="006D5C41">
              <w:t xml:space="preserve">ostu pārvaldības modeļa izvērtēšanu un reformēšanu kā prioritāro risinājumu paredzot to pārveidošanu </w:t>
            </w:r>
            <w:r w:rsidR="00543614">
              <w:t xml:space="preserve">par valsts kapitālsabiedrībām, tiek ierosināti grozījumi </w:t>
            </w:r>
            <w:r w:rsidR="00344513">
              <w:t>Ministru kabineta 2010.gada 10.augusta noteikumos “Noteikumi par ostas valdes locekļu mēnešalgu un speciālo piemaksu”</w:t>
            </w:r>
            <w:r w:rsidR="00A8200A">
              <w:t xml:space="preserve"> (turpmāk – MK noteikumi</w:t>
            </w:r>
            <w:r w:rsidR="009E2AC3">
              <w:t xml:space="preserve"> Nr.741)</w:t>
            </w:r>
            <w:r w:rsidR="00344513">
              <w:t>, pielāgojot ostu valdes priekšsēdētāja un valdes locekļu mēnešalg</w:t>
            </w:r>
            <w:r w:rsidR="006D5C41">
              <w:t>as</w:t>
            </w:r>
            <w:r w:rsidR="00344513">
              <w:t xml:space="preserve"> apmēru publiskas personas kapitālsabiedrību</w:t>
            </w:r>
            <w:r w:rsidR="006D5C41">
              <w:t xml:space="preserve"> padomes </w:t>
            </w:r>
            <w:r w:rsidR="00344513">
              <w:t xml:space="preserve">priekšsēdētāju un </w:t>
            </w:r>
            <w:r w:rsidR="006D5C41">
              <w:t xml:space="preserve">padomes </w:t>
            </w:r>
            <w:r w:rsidR="00344513">
              <w:t>locekļu mēneša atlīdzība</w:t>
            </w:r>
            <w:r w:rsidR="006D5C41">
              <w:t>i</w:t>
            </w:r>
            <w:r w:rsidR="00344513">
              <w:t xml:space="preserve">, </w:t>
            </w:r>
            <w:r w:rsidR="002F0784">
              <w:t>izmantojot</w:t>
            </w:r>
            <w:r w:rsidR="00344513">
              <w:t xml:space="preserve"> </w:t>
            </w:r>
            <w:r w:rsidR="006D5C41">
              <w:t xml:space="preserve">valstī strādājošo iepriekšējā gada mēneša vidējās darba samaksu reizinot ar </w:t>
            </w:r>
            <w:r w:rsidR="00344513">
              <w:t>koeficient</w:t>
            </w:r>
            <w:r w:rsidR="006D5C41">
              <w:t>u</w:t>
            </w:r>
            <w:r w:rsidR="00344513">
              <w:t>.</w:t>
            </w:r>
          </w:p>
          <w:p w:rsidR="002F0784" w:rsidRDefault="002F0784" w:rsidP="002F0784">
            <w:pPr>
              <w:pStyle w:val="Default"/>
              <w:jc w:val="both"/>
            </w:pPr>
            <w:r>
              <w:t xml:space="preserve">     Grozījumi paredz, ka </w:t>
            </w:r>
            <w:r w:rsidR="0028654D">
              <w:t>reizi gadā</w:t>
            </w:r>
            <w:r w:rsidR="008269F1">
              <w:t xml:space="preserve"> pēc ostas gada pārskata apstiprināšanas,</w:t>
            </w:r>
            <w:r w:rsidR="0028654D">
              <w:t xml:space="preserve"> </w:t>
            </w:r>
            <w:r w:rsidR="008269F1">
              <w:t>ievērojot</w:t>
            </w:r>
            <w:r w:rsidR="0028654D">
              <w:t xml:space="preserve"> Centrālās statistikas pārvaldes </w:t>
            </w:r>
            <w:r w:rsidR="0028654D">
              <w:lastRenderedPageBreak/>
              <w:t>paziņojum</w:t>
            </w:r>
            <w:r w:rsidR="008269F1">
              <w:t>u</w:t>
            </w:r>
            <w:r w:rsidR="0028654D">
              <w:t>, kurā norādīta valstī strādājoš</w:t>
            </w:r>
            <w:r w:rsidR="006D5C41">
              <w:t>o</w:t>
            </w:r>
            <w:r w:rsidR="0028654D">
              <w:t xml:space="preserve"> gada mēneša vidējā darba</w:t>
            </w:r>
            <w:r w:rsidR="003750A1">
              <w:t xml:space="preserve"> alga, tiek pārrēķināta ostu valdes  priekšsēdētāja mēnešalga, piemērojot (reizinot) attiecīgās ostas koeficientu, kas norādīti noteikumu projekta pielikumā. </w:t>
            </w:r>
            <w:r w:rsidR="006D5C41">
              <w:t>Mēneš</w:t>
            </w:r>
            <w:r w:rsidR="003750A1">
              <w:t xml:space="preserve">alga tiks noapaļota pilnos </w:t>
            </w:r>
            <w:proofErr w:type="spellStart"/>
            <w:r w:rsidR="003750A1" w:rsidRPr="003750A1">
              <w:rPr>
                <w:i/>
              </w:rPr>
              <w:t>euro</w:t>
            </w:r>
            <w:proofErr w:type="spellEnd"/>
            <w:r w:rsidR="003750A1">
              <w:t>. Izrietoši no ostas valdes priekšsēdētāja aprēķinātās mēnešalgas, vidējās un lielās ostās valdes locekļu mēnešalgu noteiks 90% apmērā no tās.</w:t>
            </w:r>
            <w:r w:rsidR="00042E15">
              <w:t xml:space="preserve"> Mazo ostu valdes priekšsēdētāju un valdes locekļu mēnešalgu aprēķins netiek mainīts.</w:t>
            </w:r>
          </w:p>
          <w:p w:rsidR="00042E15" w:rsidRPr="00E45EA1" w:rsidRDefault="00233562" w:rsidP="008269F1">
            <w:pPr>
              <w:pStyle w:val="Default"/>
              <w:jc w:val="both"/>
            </w:pPr>
            <w:r>
              <w:t xml:space="preserve">     Šobrīd ostas valdes priekšsēdētājs un valdes loceklis saņem ikmēneša speciālo piemaksu pie mēnešalgas, ja ostas kravas apgrozījums iepriekšējā kalendāra gadā pārsniedz ostas kravu apgrozījumu, kāds bija gadā pirms iepriekšējā kalendāra gada, kā arī ja ostas valdes priekšsēdētājs un valdes loceklis iepriekšējā kalendāra gadā ne mazāk kā sešus mēnešus ir veicis attiecīgi valdes priekšsēdētāja un valdes locekļa pienākumus. Piedāvātie grozījumi</w:t>
            </w:r>
            <w:r w:rsidR="008269F1">
              <w:t>,</w:t>
            </w:r>
            <w:r>
              <w:t xml:space="preserve"> </w:t>
            </w:r>
            <w:r w:rsidR="008269F1">
              <w:t xml:space="preserve">līdzīgi kā kapitālsabiedrības padomes loceklim izmaksā prēmiju, </w:t>
            </w:r>
            <w:r>
              <w:t xml:space="preserve">paredz </w:t>
            </w:r>
            <w:r w:rsidR="008269F1">
              <w:t>speciālo</w:t>
            </w:r>
            <w:r>
              <w:t xml:space="preserve"> piemaks</w:t>
            </w:r>
            <w:r w:rsidR="008269F1">
              <w:t>u lielās un vidējās ostas valdes priekšsēdētājam un valdes loceklim izmaksāt reizi gadā</w:t>
            </w:r>
            <w:r>
              <w:t xml:space="preserve"> </w:t>
            </w:r>
            <w:r w:rsidR="008269F1">
              <w:t xml:space="preserve">vienas mēnešalgas apmērā paredzot nosacījumus, ja </w:t>
            </w:r>
            <w:r w:rsidR="008269F1" w:rsidRPr="008269F1">
              <w:t>ostas kravu apgrozījums iepriekšējā kalendāra gadā pārsniedz ostas kravu apgrozījumu, kāds bija gadā pirms iepriekšējā kalendāra gada, un ostas valdes priekšsēdētājs un valdes loceklis iepriekšējā kalendāra gadā ne mazāk kā sešus mēnešus ir veicis attiecīgi valdes priekšsēdētāja un valdes locekļa pienākumus.</w:t>
            </w:r>
            <w:r w:rsidR="008269F1">
              <w:t xml:space="preserve"> </w:t>
            </w:r>
            <w:r w:rsidR="009E2AC3">
              <w:t>Mazās ostās speciālo piemaksu sistēma netiek mainīta, lai motivētu mazo ostu darbību un uzlabotu to darbības rādītājus.</w:t>
            </w:r>
            <w:r w:rsidR="00A8200A">
              <w:t xml:space="preserve"> </w:t>
            </w:r>
          </w:p>
        </w:tc>
      </w:tr>
      <w:tr w:rsidR="00B351DF" w:rsidTr="00B351DF">
        <w:tc>
          <w:tcPr>
            <w:tcW w:w="562" w:type="dxa"/>
          </w:tcPr>
          <w:p w:rsidR="00B351DF" w:rsidRDefault="00B351DF" w:rsidP="00B351DF">
            <w:pPr>
              <w:rPr>
                <w:rFonts w:ascii="Times New Roman" w:eastAsia="Times New Roman" w:hAnsi="Times New Roman" w:cs="Times New Roman"/>
                <w:bCs/>
                <w:color w:val="0D0D0D" w:themeColor="text1" w:themeTint="F2"/>
                <w:sz w:val="24"/>
                <w:szCs w:val="24"/>
                <w:lang w:eastAsia="lv-LV"/>
              </w:rPr>
            </w:pPr>
            <w:r>
              <w:rPr>
                <w:rFonts w:ascii="Times New Roman" w:eastAsia="Times New Roman" w:hAnsi="Times New Roman" w:cs="Times New Roman"/>
                <w:bCs/>
                <w:color w:val="0D0D0D" w:themeColor="text1" w:themeTint="F2"/>
                <w:sz w:val="24"/>
                <w:szCs w:val="24"/>
                <w:lang w:eastAsia="lv-LV"/>
              </w:rPr>
              <w:lastRenderedPageBreak/>
              <w:t>3.</w:t>
            </w:r>
          </w:p>
        </w:tc>
        <w:tc>
          <w:tcPr>
            <w:tcW w:w="2127" w:type="dxa"/>
          </w:tcPr>
          <w:p w:rsidR="00B351DF" w:rsidRDefault="00B351DF" w:rsidP="00B351DF">
            <w:pPr>
              <w:rPr>
                <w:rFonts w:ascii="Times New Roman" w:eastAsia="Times New Roman" w:hAnsi="Times New Roman" w:cs="Times New Roman"/>
                <w:bCs/>
                <w:color w:val="0D0D0D" w:themeColor="text1" w:themeTint="F2"/>
                <w:sz w:val="24"/>
                <w:szCs w:val="24"/>
                <w:lang w:eastAsia="lv-LV"/>
              </w:rPr>
            </w:pPr>
            <w:r w:rsidRPr="0075012F">
              <w:rPr>
                <w:rFonts w:ascii="Times New Roman" w:hAnsi="Times New Roman" w:cs="Times New Roman"/>
                <w:sz w:val="24"/>
                <w:szCs w:val="24"/>
              </w:rPr>
              <w:t>Projekta izstrādē iesaistītās institūcijas</w:t>
            </w:r>
            <w:r>
              <w:rPr>
                <w:rFonts w:ascii="Times New Roman" w:hAnsi="Times New Roman" w:cs="Times New Roman"/>
                <w:sz w:val="24"/>
                <w:szCs w:val="24"/>
              </w:rPr>
              <w:t xml:space="preserve"> un publiskas personas kapitālsabiedrības</w:t>
            </w:r>
          </w:p>
        </w:tc>
        <w:tc>
          <w:tcPr>
            <w:tcW w:w="6372" w:type="dxa"/>
          </w:tcPr>
          <w:p w:rsidR="00B351DF" w:rsidRDefault="00082ED5" w:rsidP="00B351DF">
            <w:pPr>
              <w:rPr>
                <w:rFonts w:ascii="Times New Roman" w:hAnsi="Times New Roman" w:cs="Times New Roman"/>
                <w:sz w:val="24"/>
                <w:szCs w:val="24"/>
              </w:rPr>
            </w:pPr>
            <w:r>
              <w:rPr>
                <w:rFonts w:ascii="Times New Roman" w:hAnsi="Times New Roman" w:cs="Times New Roman"/>
                <w:sz w:val="24"/>
                <w:szCs w:val="24"/>
              </w:rPr>
              <w:t>Satiksmes ministrija.</w:t>
            </w:r>
          </w:p>
        </w:tc>
      </w:tr>
      <w:tr w:rsidR="00B351DF" w:rsidTr="00B351DF">
        <w:tc>
          <w:tcPr>
            <w:tcW w:w="562" w:type="dxa"/>
          </w:tcPr>
          <w:p w:rsidR="00B351DF" w:rsidRDefault="00B351DF" w:rsidP="00B351DF">
            <w:pPr>
              <w:rPr>
                <w:rFonts w:ascii="Times New Roman" w:eastAsia="Times New Roman" w:hAnsi="Times New Roman" w:cs="Times New Roman"/>
                <w:bCs/>
                <w:color w:val="0D0D0D" w:themeColor="text1" w:themeTint="F2"/>
                <w:sz w:val="24"/>
                <w:szCs w:val="24"/>
                <w:lang w:eastAsia="lv-LV"/>
              </w:rPr>
            </w:pPr>
            <w:r>
              <w:rPr>
                <w:rFonts w:ascii="Times New Roman" w:eastAsia="Times New Roman" w:hAnsi="Times New Roman" w:cs="Times New Roman"/>
                <w:bCs/>
                <w:color w:val="0D0D0D" w:themeColor="text1" w:themeTint="F2"/>
                <w:sz w:val="24"/>
                <w:szCs w:val="24"/>
                <w:lang w:eastAsia="lv-LV"/>
              </w:rPr>
              <w:t>4.</w:t>
            </w:r>
          </w:p>
        </w:tc>
        <w:tc>
          <w:tcPr>
            <w:tcW w:w="2127" w:type="dxa"/>
          </w:tcPr>
          <w:p w:rsidR="00B351DF" w:rsidRDefault="00B351DF" w:rsidP="00B351DF">
            <w:pPr>
              <w:rPr>
                <w:rFonts w:ascii="Times New Roman" w:eastAsia="Times New Roman" w:hAnsi="Times New Roman" w:cs="Times New Roman"/>
                <w:bCs/>
                <w:color w:val="0D0D0D" w:themeColor="text1" w:themeTint="F2"/>
                <w:sz w:val="24"/>
                <w:szCs w:val="24"/>
                <w:lang w:eastAsia="lv-LV"/>
              </w:rPr>
            </w:pPr>
            <w:r>
              <w:rPr>
                <w:rFonts w:ascii="Times New Roman" w:eastAsia="Times New Roman" w:hAnsi="Times New Roman" w:cs="Times New Roman"/>
                <w:bCs/>
                <w:color w:val="0D0D0D" w:themeColor="text1" w:themeTint="F2"/>
                <w:sz w:val="24"/>
                <w:szCs w:val="24"/>
                <w:lang w:eastAsia="lv-LV"/>
              </w:rPr>
              <w:t>Cita informācija</w:t>
            </w:r>
          </w:p>
        </w:tc>
        <w:tc>
          <w:tcPr>
            <w:tcW w:w="6372" w:type="dxa"/>
          </w:tcPr>
          <w:p w:rsidR="00B351DF" w:rsidRDefault="00A266F2" w:rsidP="00B351DF">
            <w:pPr>
              <w:rPr>
                <w:rFonts w:ascii="Times New Roman" w:hAnsi="Times New Roman" w:cs="Times New Roman"/>
                <w:sz w:val="24"/>
                <w:szCs w:val="24"/>
              </w:rPr>
            </w:pPr>
            <w:r>
              <w:rPr>
                <w:rFonts w:ascii="Times New Roman" w:hAnsi="Times New Roman" w:cs="Times New Roman"/>
                <w:sz w:val="24"/>
                <w:szCs w:val="24"/>
              </w:rPr>
              <w:t>Nav.</w:t>
            </w:r>
          </w:p>
        </w:tc>
      </w:tr>
      <w:tr w:rsidR="00B351DF" w:rsidTr="006D5C41">
        <w:tc>
          <w:tcPr>
            <w:tcW w:w="9061" w:type="dxa"/>
            <w:gridSpan w:val="3"/>
          </w:tcPr>
          <w:p w:rsidR="00B351DF" w:rsidRDefault="00B351DF" w:rsidP="00B351DF">
            <w:pPr>
              <w:jc w:val="center"/>
              <w:rPr>
                <w:rFonts w:ascii="Times New Roman" w:hAnsi="Times New Roman" w:cs="Times New Roman"/>
                <w:sz w:val="24"/>
                <w:szCs w:val="24"/>
              </w:rPr>
            </w:pPr>
            <w:r w:rsidRPr="0075012F">
              <w:rPr>
                <w:rFonts w:ascii="Times New Roman" w:hAnsi="Times New Roman" w:cs="Times New Roman"/>
                <w:b/>
                <w:sz w:val="24"/>
                <w:szCs w:val="24"/>
              </w:rPr>
              <w:t>II. Tiesību akta projekta ietekme uz sabiedrību</w:t>
            </w:r>
          </w:p>
        </w:tc>
      </w:tr>
      <w:tr w:rsidR="00B351DF" w:rsidTr="00B351DF">
        <w:tc>
          <w:tcPr>
            <w:tcW w:w="562" w:type="dxa"/>
          </w:tcPr>
          <w:p w:rsidR="00B351DF" w:rsidRPr="00B351DF" w:rsidRDefault="00B351DF" w:rsidP="00B351DF">
            <w:pPr>
              <w:rPr>
                <w:rFonts w:ascii="Times New Roman" w:hAnsi="Times New Roman" w:cs="Times New Roman"/>
                <w:sz w:val="24"/>
                <w:szCs w:val="24"/>
              </w:rPr>
            </w:pPr>
            <w:r>
              <w:rPr>
                <w:rFonts w:ascii="Times New Roman" w:hAnsi="Times New Roman" w:cs="Times New Roman"/>
                <w:sz w:val="24"/>
                <w:szCs w:val="24"/>
              </w:rPr>
              <w:t>1.</w:t>
            </w:r>
          </w:p>
        </w:tc>
        <w:tc>
          <w:tcPr>
            <w:tcW w:w="2127" w:type="dxa"/>
          </w:tcPr>
          <w:p w:rsidR="00B351DF" w:rsidRPr="00B351DF" w:rsidRDefault="00B351DF" w:rsidP="00B351DF">
            <w:pPr>
              <w:rPr>
                <w:rFonts w:ascii="Times New Roman" w:hAnsi="Times New Roman" w:cs="Times New Roman"/>
                <w:sz w:val="24"/>
                <w:szCs w:val="24"/>
              </w:rPr>
            </w:pPr>
            <w:r w:rsidRPr="0075012F">
              <w:rPr>
                <w:rFonts w:ascii="Times New Roman" w:hAnsi="Times New Roman" w:cs="Times New Roman"/>
                <w:sz w:val="24"/>
                <w:szCs w:val="24"/>
              </w:rPr>
              <w:t>Sabiedrības mērķgrupas, kuras tiesiskais regulējums ietekmē vai varētu ietekmēt</w:t>
            </w:r>
          </w:p>
        </w:tc>
        <w:tc>
          <w:tcPr>
            <w:tcW w:w="6372" w:type="dxa"/>
          </w:tcPr>
          <w:p w:rsidR="00B351DF" w:rsidRPr="00A266F2" w:rsidRDefault="00A266F2" w:rsidP="00881230">
            <w:pPr>
              <w:jc w:val="both"/>
              <w:rPr>
                <w:rFonts w:ascii="Times New Roman" w:hAnsi="Times New Roman" w:cs="Times New Roman"/>
                <w:sz w:val="24"/>
                <w:szCs w:val="24"/>
              </w:rPr>
            </w:pPr>
            <w:r>
              <w:rPr>
                <w:rFonts w:ascii="Times New Roman" w:hAnsi="Times New Roman" w:cs="Times New Roman"/>
                <w:sz w:val="24"/>
                <w:szCs w:val="24"/>
              </w:rPr>
              <w:t>Latvijas ostu valdes locekļi.</w:t>
            </w:r>
          </w:p>
        </w:tc>
      </w:tr>
      <w:tr w:rsidR="00B351DF" w:rsidTr="00B351DF">
        <w:tc>
          <w:tcPr>
            <w:tcW w:w="562" w:type="dxa"/>
          </w:tcPr>
          <w:p w:rsidR="00B351DF" w:rsidRPr="00B351DF" w:rsidRDefault="00B351DF" w:rsidP="00B351DF">
            <w:pPr>
              <w:rPr>
                <w:rFonts w:ascii="Times New Roman" w:hAnsi="Times New Roman" w:cs="Times New Roman"/>
                <w:sz w:val="24"/>
                <w:szCs w:val="24"/>
              </w:rPr>
            </w:pPr>
            <w:r>
              <w:rPr>
                <w:rFonts w:ascii="Times New Roman" w:hAnsi="Times New Roman" w:cs="Times New Roman"/>
                <w:sz w:val="24"/>
                <w:szCs w:val="24"/>
              </w:rPr>
              <w:t>2.</w:t>
            </w:r>
          </w:p>
        </w:tc>
        <w:tc>
          <w:tcPr>
            <w:tcW w:w="2127" w:type="dxa"/>
          </w:tcPr>
          <w:p w:rsidR="00B351DF" w:rsidRPr="00B351DF" w:rsidRDefault="00B351DF" w:rsidP="00B351DF">
            <w:pPr>
              <w:rPr>
                <w:rFonts w:ascii="Times New Roman" w:hAnsi="Times New Roman" w:cs="Times New Roman"/>
                <w:sz w:val="24"/>
                <w:szCs w:val="24"/>
              </w:rPr>
            </w:pPr>
            <w:r w:rsidRPr="0075012F">
              <w:rPr>
                <w:rFonts w:ascii="Times New Roman" w:hAnsi="Times New Roman" w:cs="Times New Roman"/>
                <w:sz w:val="24"/>
                <w:szCs w:val="24"/>
              </w:rPr>
              <w:t>Tiesiskā regulējuma ietekme uz tautsaimniecību un administratīvo slogu</w:t>
            </w:r>
          </w:p>
        </w:tc>
        <w:tc>
          <w:tcPr>
            <w:tcW w:w="6372" w:type="dxa"/>
          </w:tcPr>
          <w:p w:rsidR="00B351DF" w:rsidRPr="00B351DF" w:rsidRDefault="00881230" w:rsidP="00881230">
            <w:pPr>
              <w:jc w:val="both"/>
              <w:rPr>
                <w:rFonts w:ascii="Times New Roman" w:hAnsi="Times New Roman" w:cs="Times New Roman"/>
                <w:sz w:val="24"/>
                <w:szCs w:val="24"/>
              </w:rPr>
            </w:pPr>
            <w:r w:rsidRPr="00881230">
              <w:rPr>
                <w:rFonts w:ascii="Times New Roman" w:hAnsi="Times New Roman" w:cs="Times New Roman"/>
                <w:sz w:val="24"/>
                <w:szCs w:val="24"/>
              </w:rPr>
              <w:t>Projekta tiesiskais regulējums nepalielina administratīvo slogu, līdz ar to sabiedrības grupām un institūcijām projekta tiesiskais regulējums nemaina tiesības un pienākumus, kā arī veicamās darbības.</w:t>
            </w:r>
          </w:p>
        </w:tc>
      </w:tr>
      <w:tr w:rsidR="00B351DF" w:rsidTr="00B351DF">
        <w:tc>
          <w:tcPr>
            <w:tcW w:w="562" w:type="dxa"/>
          </w:tcPr>
          <w:p w:rsidR="00B351DF" w:rsidRPr="00B351DF" w:rsidRDefault="00B351DF" w:rsidP="00B351DF">
            <w:pPr>
              <w:rPr>
                <w:rFonts w:ascii="Times New Roman" w:hAnsi="Times New Roman" w:cs="Times New Roman"/>
                <w:sz w:val="24"/>
                <w:szCs w:val="24"/>
              </w:rPr>
            </w:pPr>
            <w:r>
              <w:rPr>
                <w:rFonts w:ascii="Times New Roman" w:hAnsi="Times New Roman" w:cs="Times New Roman"/>
                <w:sz w:val="24"/>
                <w:szCs w:val="24"/>
              </w:rPr>
              <w:t>3.</w:t>
            </w:r>
          </w:p>
        </w:tc>
        <w:tc>
          <w:tcPr>
            <w:tcW w:w="2127" w:type="dxa"/>
          </w:tcPr>
          <w:p w:rsidR="00B351DF" w:rsidRPr="00B351DF" w:rsidRDefault="00B351DF" w:rsidP="00B351DF">
            <w:pPr>
              <w:rPr>
                <w:rFonts w:ascii="Times New Roman" w:hAnsi="Times New Roman" w:cs="Times New Roman"/>
                <w:sz w:val="24"/>
                <w:szCs w:val="24"/>
              </w:rPr>
            </w:pPr>
            <w:r w:rsidRPr="0075012F">
              <w:rPr>
                <w:rFonts w:ascii="Times New Roman" w:hAnsi="Times New Roman" w:cs="Times New Roman"/>
                <w:sz w:val="24"/>
                <w:szCs w:val="24"/>
              </w:rPr>
              <w:t>Administratīvo izmaksu monetārs novērtējums</w:t>
            </w:r>
          </w:p>
        </w:tc>
        <w:tc>
          <w:tcPr>
            <w:tcW w:w="6372" w:type="dxa"/>
          </w:tcPr>
          <w:p w:rsidR="00B351DF" w:rsidRPr="00B351DF" w:rsidRDefault="00881230" w:rsidP="00881230">
            <w:pPr>
              <w:rPr>
                <w:rFonts w:ascii="Times New Roman" w:hAnsi="Times New Roman" w:cs="Times New Roman"/>
                <w:sz w:val="24"/>
                <w:szCs w:val="24"/>
              </w:rPr>
            </w:pPr>
            <w:r w:rsidRPr="00881230">
              <w:rPr>
                <w:rFonts w:ascii="Times New Roman" w:hAnsi="Times New Roman" w:cs="Times New Roman"/>
                <w:sz w:val="24"/>
                <w:szCs w:val="24"/>
              </w:rPr>
              <w:t>Projekts šo jomu neskar.</w:t>
            </w:r>
          </w:p>
        </w:tc>
      </w:tr>
      <w:tr w:rsidR="00B351DF" w:rsidTr="00B351DF">
        <w:tc>
          <w:tcPr>
            <w:tcW w:w="562" w:type="dxa"/>
          </w:tcPr>
          <w:p w:rsidR="00B351DF" w:rsidRPr="00B351DF" w:rsidRDefault="00B351DF" w:rsidP="00B351DF">
            <w:pPr>
              <w:rPr>
                <w:rFonts w:ascii="Times New Roman" w:hAnsi="Times New Roman" w:cs="Times New Roman"/>
                <w:sz w:val="24"/>
                <w:szCs w:val="24"/>
              </w:rPr>
            </w:pPr>
            <w:r>
              <w:rPr>
                <w:rFonts w:ascii="Times New Roman" w:hAnsi="Times New Roman" w:cs="Times New Roman"/>
                <w:sz w:val="24"/>
                <w:szCs w:val="24"/>
              </w:rPr>
              <w:t>4.</w:t>
            </w:r>
          </w:p>
        </w:tc>
        <w:tc>
          <w:tcPr>
            <w:tcW w:w="2127" w:type="dxa"/>
          </w:tcPr>
          <w:p w:rsidR="00B351DF" w:rsidRPr="0075012F" w:rsidRDefault="00B351DF" w:rsidP="00B351DF">
            <w:pPr>
              <w:rPr>
                <w:rFonts w:ascii="Times New Roman" w:hAnsi="Times New Roman" w:cs="Times New Roman"/>
                <w:sz w:val="24"/>
                <w:szCs w:val="24"/>
              </w:rPr>
            </w:pPr>
            <w:r>
              <w:rPr>
                <w:rFonts w:ascii="Times New Roman" w:hAnsi="Times New Roman" w:cs="Times New Roman"/>
                <w:sz w:val="24"/>
                <w:szCs w:val="24"/>
              </w:rPr>
              <w:t>Atbilstība izmaksu monetārs novērtējums</w:t>
            </w:r>
          </w:p>
        </w:tc>
        <w:tc>
          <w:tcPr>
            <w:tcW w:w="6372" w:type="dxa"/>
          </w:tcPr>
          <w:p w:rsidR="00B351DF" w:rsidRPr="00B351DF" w:rsidRDefault="00881230" w:rsidP="00881230">
            <w:pPr>
              <w:rPr>
                <w:rFonts w:ascii="Times New Roman" w:hAnsi="Times New Roman" w:cs="Times New Roman"/>
                <w:sz w:val="24"/>
                <w:szCs w:val="24"/>
              </w:rPr>
            </w:pPr>
            <w:r w:rsidRPr="00881230">
              <w:rPr>
                <w:rFonts w:ascii="Times New Roman" w:hAnsi="Times New Roman" w:cs="Times New Roman"/>
                <w:sz w:val="24"/>
                <w:szCs w:val="24"/>
              </w:rPr>
              <w:t>Projekts šo jomu neskar.</w:t>
            </w:r>
          </w:p>
        </w:tc>
      </w:tr>
      <w:tr w:rsidR="00B351DF" w:rsidTr="00B351DF">
        <w:tc>
          <w:tcPr>
            <w:tcW w:w="562" w:type="dxa"/>
          </w:tcPr>
          <w:p w:rsidR="00B351DF" w:rsidRPr="00B351DF" w:rsidRDefault="00B351DF" w:rsidP="00B351DF">
            <w:pPr>
              <w:rPr>
                <w:rFonts w:ascii="Times New Roman" w:hAnsi="Times New Roman" w:cs="Times New Roman"/>
                <w:sz w:val="24"/>
                <w:szCs w:val="24"/>
              </w:rPr>
            </w:pPr>
            <w:r>
              <w:rPr>
                <w:rFonts w:ascii="Times New Roman" w:hAnsi="Times New Roman" w:cs="Times New Roman"/>
                <w:sz w:val="24"/>
                <w:szCs w:val="24"/>
              </w:rPr>
              <w:t>5.</w:t>
            </w:r>
          </w:p>
        </w:tc>
        <w:tc>
          <w:tcPr>
            <w:tcW w:w="2127" w:type="dxa"/>
          </w:tcPr>
          <w:p w:rsidR="00B351DF" w:rsidRPr="0075012F" w:rsidRDefault="00B351DF" w:rsidP="00B351DF">
            <w:pPr>
              <w:rPr>
                <w:rFonts w:ascii="Times New Roman" w:hAnsi="Times New Roman" w:cs="Times New Roman"/>
                <w:sz w:val="24"/>
                <w:szCs w:val="24"/>
              </w:rPr>
            </w:pPr>
            <w:r w:rsidRPr="0075012F">
              <w:rPr>
                <w:rFonts w:ascii="Times New Roman" w:hAnsi="Times New Roman" w:cs="Times New Roman"/>
                <w:sz w:val="24"/>
                <w:szCs w:val="24"/>
              </w:rPr>
              <w:t>Cita informācija</w:t>
            </w:r>
          </w:p>
        </w:tc>
        <w:tc>
          <w:tcPr>
            <w:tcW w:w="6372" w:type="dxa"/>
          </w:tcPr>
          <w:p w:rsidR="00B351DF" w:rsidRPr="00B351DF" w:rsidRDefault="00881230" w:rsidP="00881230">
            <w:pPr>
              <w:rPr>
                <w:rFonts w:ascii="Times New Roman" w:hAnsi="Times New Roman" w:cs="Times New Roman"/>
                <w:sz w:val="24"/>
                <w:szCs w:val="24"/>
              </w:rPr>
            </w:pPr>
            <w:r>
              <w:rPr>
                <w:rFonts w:ascii="Times New Roman" w:hAnsi="Times New Roman" w:cs="Times New Roman"/>
                <w:sz w:val="24"/>
                <w:szCs w:val="24"/>
              </w:rPr>
              <w:t>Nav.</w:t>
            </w:r>
          </w:p>
        </w:tc>
      </w:tr>
      <w:tr w:rsidR="00B351DF" w:rsidTr="006D5C41">
        <w:tc>
          <w:tcPr>
            <w:tcW w:w="9061" w:type="dxa"/>
            <w:gridSpan w:val="3"/>
          </w:tcPr>
          <w:p w:rsidR="00B351DF" w:rsidRPr="00B351DF" w:rsidRDefault="00B351DF" w:rsidP="00B351DF">
            <w:pPr>
              <w:jc w:val="center"/>
              <w:rPr>
                <w:rFonts w:ascii="Times New Roman" w:hAnsi="Times New Roman" w:cs="Times New Roman"/>
                <w:b/>
                <w:sz w:val="24"/>
                <w:szCs w:val="24"/>
              </w:rPr>
            </w:pPr>
            <w:r w:rsidRPr="00B351DF">
              <w:rPr>
                <w:rFonts w:ascii="Times New Roman" w:hAnsi="Times New Roman" w:cs="Times New Roman"/>
                <w:b/>
                <w:sz w:val="24"/>
                <w:szCs w:val="24"/>
              </w:rPr>
              <w:lastRenderedPageBreak/>
              <w:t>III. Tiesību akta projekta ietekme uz valsts budžetu un pašvaldību budžetiem</w:t>
            </w:r>
          </w:p>
        </w:tc>
      </w:tr>
      <w:tr w:rsidR="00B351DF" w:rsidTr="006D5C41">
        <w:tc>
          <w:tcPr>
            <w:tcW w:w="9061" w:type="dxa"/>
            <w:gridSpan w:val="3"/>
          </w:tcPr>
          <w:p w:rsidR="00B351DF" w:rsidRPr="001B7328" w:rsidRDefault="001B7328" w:rsidP="00B351DF">
            <w:pPr>
              <w:jc w:val="center"/>
              <w:rPr>
                <w:rFonts w:ascii="Times New Roman" w:hAnsi="Times New Roman" w:cs="Times New Roman"/>
                <w:sz w:val="24"/>
                <w:szCs w:val="24"/>
              </w:rPr>
            </w:pPr>
            <w:r w:rsidRPr="001B7328">
              <w:rPr>
                <w:rFonts w:ascii="Times New Roman" w:hAnsi="Times New Roman" w:cs="Times New Roman"/>
                <w:sz w:val="24"/>
                <w:szCs w:val="24"/>
              </w:rPr>
              <w:t>Projekts šo jomu neskar.</w:t>
            </w:r>
          </w:p>
        </w:tc>
      </w:tr>
      <w:tr w:rsidR="00B351DF" w:rsidTr="006D5C41">
        <w:tc>
          <w:tcPr>
            <w:tcW w:w="9061" w:type="dxa"/>
            <w:gridSpan w:val="3"/>
          </w:tcPr>
          <w:p w:rsidR="00B351DF" w:rsidRPr="0075012F" w:rsidRDefault="00B351DF" w:rsidP="00B351DF">
            <w:pPr>
              <w:jc w:val="center"/>
              <w:rPr>
                <w:rFonts w:ascii="Times New Roman" w:hAnsi="Times New Roman" w:cs="Times New Roman"/>
                <w:b/>
                <w:sz w:val="24"/>
                <w:szCs w:val="24"/>
              </w:rPr>
            </w:pPr>
            <w:r w:rsidRPr="00B351DF">
              <w:rPr>
                <w:rFonts w:ascii="Times New Roman" w:hAnsi="Times New Roman" w:cs="Times New Roman"/>
                <w:b/>
                <w:sz w:val="24"/>
                <w:szCs w:val="24"/>
              </w:rPr>
              <w:t>IV. Tiesību akta projekta ietekme uz spēkā esošo tiesību normu sistēmu</w:t>
            </w:r>
          </w:p>
        </w:tc>
      </w:tr>
      <w:tr w:rsidR="00B351DF" w:rsidTr="006D5C41">
        <w:tc>
          <w:tcPr>
            <w:tcW w:w="9061" w:type="dxa"/>
            <w:gridSpan w:val="3"/>
          </w:tcPr>
          <w:p w:rsidR="00B351DF" w:rsidRPr="001B7328" w:rsidRDefault="001B7328" w:rsidP="00B351DF">
            <w:pPr>
              <w:jc w:val="center"/>
              <w:rPr>
                <w:rFonts w:ascii="Times New Roman" w:hAnsi="Times New Roman" w:cs="Times New Roman"/>
                <w:sz w:val="24"/>
                <w:szCs w:val="24"/>
              </w:rPr>
            </w:pPr>
            <w:r w:rsidRPr="001B7328">
              <w:rPr>
                <w:rFonts w:ascii="Times New Roman" w:hAnsi="Times New Roman" w:cs="Times New Roman"/>
                <w:sz w:val="24"/>
                <w:szCs w:val="24"/>
              </w:rPr>
              <w:t>Projekts šo jomu neskar.</w:t>
            </w:r>
          </w:p>
        </w:tc>
      </w:tr>
      <w:tr w:rsidR="00B351DF" w:rsidTr="006D5C41">
        <w:tc>
          <w:tcPr>
            <w:tcW w:w="9061" w:type="dxa"/>
            <w:gridSpan w:val="3"/>
          </w:tcPr>
          <w:p w:rsidR="00B351DF" w:rsidRPr="0075012F" w:rsidRDefault="00B351DF" w:rsidP="00B351DF">
            <w:pPr>
              <w:jc w:val="center"/>
              <w:rPr>
                <w:rFonts w:ascii="Times New Roman" w:hAnsi="Times New Roman" w:cs="Times New Roman"/>
                <w:b/>
                <w:sz w:val="24"/>
                <w:szCs w:val="24"/>
              </w:rPr>
            </w:pPr>
            <w:r w:rsidRPr="00B351DF">
              <w:rPr>
                <w:rFonts w:ascii="Times New Roman" w:hAnsi="Times New Roman" w:cs="Times New Roman"/>
                <w:b/>
                <w:sz w:val="24"/>
                <w:szCs w:val="24"/>
              </w:rPr>
              <w:t>V. Tiesību akta projekta atbilstība Latvijas Republikas starptautiskajām saistībām</w:t>
            </w:r>
          </w:p>
        </w:tc>
      </w:tr>
      <w:tr w:rsidR="00B351DF" w:rsidTr="006D5C41">
        <w:tc>
          <w:tcPr>
            <w:tcW w:w="9061" w:type="dxa"/>
            <w:gridSpan w:val="3"/>
          </w:tcPr>
          <w:p w:rsidR="00B351DF" w:rsidRPr="001B7328" w:rsidRDefault="001B7328" w:rsidP="00B351DF">
            <w:pPr>
              <w:jc w:val="center"/>
              <w:rPr>
                <w:rFonts w:ascii="Times New Roman" w:hAnsi="Times New Roman" w:cs="Times New Roman"/>
                <w:sz w:val="24"/>
                <w:szCs w:val="24"/>
              </w:rPr>
            </w:pPr>
            <w:r w:rsidRPr="001B7328">
              <w:rPr>
                <w:rFonts w:ascii="Times New Roman" w:hAnsi="Times New Roman" w:cs="Times New Roman"/>
                <w:sz w:val="24"/>
                <w:szCs w:val="24"/>
              </w:rPr>
              <w:t>Projekts šo jomu neskar.</w:t>
            </w:r>
          </w:p>
        </w:tc>
      </w:tr>
      <w:tr w:rsidR="00B351DF" w:rsidTr="006D5C41">
        <w:tc>
          <w:tcPr>
            <w:tcW w:w="9061" w:type="dxa"/>
            <w:gridSpan w:val="3"/>
          </w:tcPr>
          <w:p w:rsidR="00B351DF" w:rsidRPr="0075012F" w:rsidRDefault="00B351DF" w:rsidP="00B351DF">
            <w:pPr>
              <w:jc w:val="center"/>
              <w:rPr>
                <w:rFonts w:ascii="Times New Roman" w:hAnsi="Times New Roman" w:cs="Times New Roman"/>
                <w:b/>
                <w:sz w:val="24"/>
                <w:szCs w:val="24"/>
              </w:rPr>
            </w:pPr>
            <w:r w:rsidRPr="00B351DF">
              <w:rPr>
                <w:rFonts w:ascii="Times New Roman" w:hAnsi="Times New Roman" w:cs="Times New Roman"/>
                <w:b/>
                <w:sz w:val="24"/>
                <w:szCs w:val="24"/>
              </w:rPr>
              <w:t>VI. Sabiedrības līdzdalība un komunikācijas aktivitātes</w:t>
            </w:r>
          </w:p>
        </w:tc>
      </w:tr>
      <w:tr w:rsidR="00DE5B8B" w:rsidTr="00DE5B8B">
        <w:tc>
          <w:tcPr>
            <w:tcW w:w="562" w:type="dxa"/>
          </w:tcPr>
          <w:p w:rsidR="00DE5B8B" w:rsidRPr="00DE5B8B" w:rsidRDefault="00DE5B8B" w:rsidP="00DE5B8B">
            <w:pPr>
              <w:rPr>
                <w:rFonts w:ascii="Times New Roman" w:hAnsi="Times New Roman" w:cs="Times New Roman"/>
                <w:sz w:val="24"/>
                <w:szCs w:val="24"/>
              </w:rPr>
            </w:pPr>
            <w:r w:rsidRPr="00DE5B8B">
              <w:rPr>
                <w:rFonts w:ascii="Times New Roman" w:hAnsi="Times New Roman" w:cs="Times New Roman"/>
                <w:sz w:val="24"/>
                <w:szCs w:val="24"/>
              </w:rPr>
              <w:t>1.</w:t>
            </w:r>
          </w:p>
        </w:tc>
        <w:tc>
          <w:tcPr>
            <w:tcW w:w="2127" w:type="dxa"/>
          </w:tcPr>
          <w:p w:rsidR="00DE5B8B" w:rsidRPr="00DE5B8B" w:rsidRDefault="00DE5B8B" w:rsidP="00DE5B8B">
            <w:pPr>
              <w:rPr>
                <w:rFonts w:ascii="Times New Roman" w:hAnsi="Times New Roman" w:cs="Times New Roman"/>
                <w:sz w:val="24"/>
                <w:szCs w:val="24"/>
              </w:rPr>
            </w:pPr>
            <w:r w:rsidRPr="00DE5B8B">
              <w:rPr>
                <w:rFonts w:ascii="Times New Roman" w:hAnsi="Times New Roman" w:cs="Times New Roman"/>
                <w:sz w:val="24"/>
                <w:szCs w:val="24"/>
              </w:rPr>
              <w:t>Plānotās sabiedrības līdzdalības un komunikācijas aktivitātes saistībā ar projektu</w:t>
            </w:r>
          </w:p>
        </w:tc>
        <w:tc>
          <w:tcPr>
            <w:tcW w:w="6372" w:type="dxa"/>
          </w:tcPr>
          <w:p w:rsidR="00DE5B8B" w:rsidRPr="00DE5B8B" w:rsidRDefault="00DE5B8B" w:rsidP="004F2D88">
            <w:pPr>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   </w:t>
            </w:r>
            <w:r w:rsidR="004F2D88" w:rsidRPr="004F2D88">
              <w:rPr>
                <w:rFonts w:ascii="Times New Roman" w:eastAsia="Times New Roman" w:hAnsi="Times New Roman" w:cs="Times New Roman"/>
                <w:sz w:val="24"/>
                <w:szCs w:val="24"/>
                <w:lang w:eastAsia="lv-LV"/>
              </w:rPr>
              <w:t>201</w:t>
            </w:r>
            <w:r w:rsidR="004F2D88">
              <w:rPr>
                <w:rFonts w:ascii="Times New Roman" w:eastAsia="Times New Roman" w:hAnsi="Times New Roman" w:cs="Times New Roman"/>
                <w:sz w:val="24"/>
                <w:szCs w:val="24"/>
                <w:lang w:eastAsia="lv-LV"/>
              </w:rPr>
              <w:t>9</w:t>
            </w:r>
            <w:r w:rsidR="004F2D88" w:rsidRPr="004F2D88">
              <w:rPr>
                <w:rFonts w:ascii="Times New Roman" w:eastAsia="Times New Roman" w:hAnsi="Times New Roman" w:cs="Times New Roman"/>
                <w:sz w:val="24"/>
                <w:szCs w:val="24"/>
                <w:lang w:eastAsia="lv-LV"/>
              </w:rPr>
              <w:t xml:space="preserve">.gada </w:t>
            </w:r>
            <w:r w:rsidR="004F2D88">
              <w:rPr>
                <w:rFonts w:ascii="Times New Roman" w:eastAsia="Times New Roman" w:hAnsi="Times New Roman" w:cs="Times New Roman"/>
                <w:sz w:val="24"/>
                <w:szCs w:val="24"/>
                <w:lang w:eastAsia="lv-LV"/>
              </w:rPr>
              <w:t>26</w:t>
            </w:r>
            <w:r w:rsidR="004F2D88" w:rsidRPr="004F2D88">
              <w:rPr>
                <w:rFonts w:ascii="Times New Roman" w:eastAsia="Times New Roman" w:hAnsi="Times New Roman" w:cs="Times New Roman"/>
                <w:sz w:val="24"/>
                <w:szCs w:val="24"/>
                <w:lang w:eastAsia="lv-LV"/>
              </w:rPr>
              <w:t>.</w:t>
            </w:r>
            <w:r w:rsidR="004F2D88">
              <w:rPr>
                <w:rFonts w:ascii="Times New Roman" w:eastAsia="Times New Roman" w:hAnsi="Times New Roman" w:cs="Times New Roman"/>
                <w:sz w:val="24"/>
                <w:szCs w:val="24"/>
                <w:lang w:eastAsia="lv-LV"/>
              </w:rPr>
              <w:t>februārī</w:t>
            </w:r>
            <w:r w:rsidR="004F2D88" w:rsidRPr="004F2D88">
              <w:rPr>
                <w:rFonts w:ascii="Times New Roman" w:eastAsia="Times New Roman" w:hAnsi="Times New Roman" w:cs="Times New Roman"/>
                <w:sz w:val="24"/>
                <w:szCs w:val="24"/>
                <w:lang w:eastAsia="lv-LV"/>
              </w:rPr>
              <w:t xml:space="preserve"> projekts tika publicēts </w:t>
            </w:r>
            <w:r w:rsidR="004F2D88">
              <w:rPr>
                <w:rFonts w:ascii="Times New Roman" w:eastAsia="Times New Roman" w:hAnsi="Times New Roman" w:cs="Times New Roman"/>
                <w:sz w:val="24"/>
                <w:szCs w:val="24"/>
                <w:lang w:eastAsia="lv-LV"/>
              </w:rPr>
              <w:t>Satiksmes</w:t>
            </w:r>
            <w:r w:rsidR="004F2D88" w:rsidRPr="004F2D88">
              <w:rPr>
                <w:rFonts w:ascii="Times New Roman" w:eastAsia="Times New Roman" w:hAnsi="Times New Roman" w:cs="Times New Roman"/>
                <w:sz w:val="24"/>
                <w:szCs w:val="24"/>
                <w:lang w:eastAsia="lv-LV"/>
              </w:rPr>
              <w:t xml:space="preserve"> ministrijas </w:t>
            </w:r>
            <w:r w:rsidR="004F2D88">
              <w:rPr>
                <w:rFonts w:ascii="Times New Roman" w:eastAsia="Times New Roman" w:hAnsi="Times New Roman" w:cs="Times New Roman"/>
                <w:sz w:val="24"/>
                <w:szCs w:val="24"/>
                <w:lang w:eastAsia="lv-LV"/>
              </w:rPr>
              <w:t>mājas lapā</w:t>
            </w:r>
            <w:r w:rsidR="004F2D88" w:rsidRPr="004F2D88">
              <w:rPr>
                <w:rFonts w:ascii="Times New Roman" w:eastAsia="Times New Roman" w:hAnsi="Times New Roman" w:cs="Times New Roman"/>
                <w:sz w:val="24"/>
                <w:szCs w:val="24"/>
                <w:lang w:eastAsia="lv-LV"/>
              </w:rPr>
              <w:t>, tādējādi dodot iespēju sabiedrībai līdzdarboties tiesību akta izstrādes procesā.</w:t>
            </w:r>
            <w:r>
              <w:rPr>
                <w:rFonts w:ascii="Times New Roman" w:eastAsia="Times New Roman" w:hAnsi="Times New Roman" w:cs="Times New Roman"/>
                <w:sz w:val="24"/>
                <w:szCs w:val="24"/>
                <w:lang w:eastAsia="lv-LV"/>
              </w:rPr>
              <w:t xml:space="preserve">   </w:t>
            </w:r>
          </w:p>
        </w:tc>
      </w:tr>
      <w:tr w:rsidR="00DE5B8B" w:rsidTr="00DE5B8B">
        <w:tc>
          <w:tcPr>
            <w:tcW w:w="562" w:type="dxa"/>
          </w:tcPr>
          <w:p w:rsidR="00DE5B8B" w:rsidRPr="00DE5B8B" w:rsidRDefault="00DE5B8B" w:rsidP="00DE5B8B">
            <w:pPr>
              <w:rPr>
                <w:rFonts w:ascii="Times New Roman" w:hAnsi="Times New Roman" w:cs="Times New Roman"/>
                <w:sz w:val="24"/>
                <w:szCs w:val="24"/>
              </w:rPr>
            </w:pPr>
            <w:r w:rsidRPr="00DE5B8B">
              <w:rPr>
                <w:rFonts w:ascii="Times New Roman" w:hAnsi="Times New Roman" w:cs="Times New Roman"/>
                <w:sz w:val="24"/>
                <w:szCs w:val="24"/>
              </w:rPr>
              <w:t>2.</w:t>
            </w:r>
          </w:p>
        </w:tc>
        <w:tc>
          <w:tcPr>
            <w:tcW w:w="2127" w:type="dxa"/>
          </w:tcPr>
          <w:p w:rsidR="00DE5B8B" w:rsidRPr="00DE5B8B" w:rsidRDefault="00DE5B8B" w:rsidP="00DE5B8B">
            <w:pPr>
              <w:rPr>
                <w:rFonts w:ascii="Times New Roman" w:hAnsi="Times New Roman" w:cs="Times New Roman"/>
                <w:sz w:val="24"/>
                <w:szCs w:val="24"/>
              </w:rPr>
            </w:pPr>
            <w:r w:rsidRPr="00DE5B8B">
              <w:rPr>
                <w:rFonts w:ascii="Times New Roman" w:hAnsi="Times New Roman" w:cs="Times New Roman"/>
                <w:sz w:val="24"/>
                <w:szCs w:val="24"/>
              </w:rPr>
              <w:t>Sabiedrības līdzdalība projekta izstrādē</w:t>
            </w:r>
          </w:p>
        </w:tc>
        <w:tc>
          <w:tcPr>
            <w:tcW w:w="6372" w:type="dxa"/>
          </w:tcPr>
          <w:p w:rsidR="00DE5B8B" w:rsidRPr="00DE5B8B" w:rsidRDefault="00DE5B8B" w:rsidP="00DE5B8B">
            <w:pPr>
              <w:rPr>
                <w:rFonts w:ascii="Times New Roman" w:hAnsi="Times New Roman" w:cs="Times New Roman"/>
                <w:sz w:val="24"/>
                <w:szCs w:val="24"/>
              </w:rPr>
            </w:pPr>
            <w:r>
              <w:rPr>
                <w:rFonts w:ascii="Times New Roman" w:hAnsi="Times New Roman" w:cs="Times New Roman"/>
                <w:sz w:val="24"/>
                <w:szCs w:val="24"/>
              </w:rPr>
              <w:t>Nav.</w:t>
            </w:r>
          </w:p>
        </w:tc>
      </w:tr>
      <w:tr w:rsidR="00DE5B8B" w:rsidTr="00DE5B8B">
        <w:tc>
          <w:tcPr>
            <w:tcW w:w="562" w:type="dxa"/>
          </w:tcPr>
          <w:p w:rsidR="00DE5B8B" w:rsidRPr="00DE5B8B" w:rsidRDefault="00DE5B8B" w:rsidP="00DE5B8B">
            <w:pPr>
              <w:rPr>
                <w:rFonts w:ascii="Times New Roman" w:hAnsi="Times New Roman" w:cs="Times New Roman"/>
                <w:sz w:val="24"/>
                <w:szCs w:val="24"/>
              </w:rPr>
            </w:pPr>
            <w:r w:rsidRPr="00DE5B8B">
              <w:rPr>
                <w:rFonts w:ascii="Times New Roman" w:hAnsi="Times New Roman" w:cs="Times New Roman"/>
                <w:sz w:val="24"/>
                <w:szCs w:val="24"/>
              </w:rPr>
              <w:t>3.</w:t>
            </w:r>
          </w:p>
        </w:tc>
        <w:tc>
          <w:tcPr>
            <w:tcW w:w="2127" w:type="dxa"/>
          </w:tcPr>
          <w:p w:rsidR="00DE5B8B" w:rsidRPr="00DE5B8B" w:rsidRDefault="00DE5B8B" w:rsidP="00DE5B8B">
            <w:pPr>
              <w:rPr>
                <w:rFonts w:ascii="Times New Roman" w:hAnsi="Times New Roman" w:cs="Times New Roman"/>
                <w:sz w:val="24"/>
                <w:szCs w:val="24"/>
              </w:rPr>
            </w:pPr>
            <w:r w:rsidRPr="00DE5B8B">
              <w:rPr>
                <w:rFonts w:ascii="Times New Roman" w:hAnsi="Times New Roman" w:cs="Times New Roman"/>
                <w:sz w:val="24"/>
                <w:szCs w:val="24"/>
              </w:rPr>
              <w:t>Sabiedrības līdzdalības rezultāti</w:t>
            </w:r>
          </w:p>
        </w:tc>
        <w:tc>
          <w:tcPr>
            <w:tcW w:w="6372" w:type="dxa"/>
          </w:tcPr>
          <w:p w:rsidR="00DE5B8B" w:rsidRPr="00DE5B8B" w:rsidRDefault="00DE5B8B" w:rsidP="00DE5B8B">
            <w:pPr>
              <w:rPr>
                <w:rFonts w:ascii="Times New Roman" w:hAnsi="Times New Roman" w:cs="Times New Roman"/>
                <w:sz w:val="24"/>
                <w:szCs w:val="24"/>
              </w:rPr>
            </w:pPr>
            <w:r>
              <w:rPr>
                <w:rFonts w:ascii="Times New Roman" w:hAnsi="Times New Roman" w:cs="Times New Roman"/>
                <w:sz w:val="24"/>
                <w:szCs w:val="24"/>
              </w:rPr>
              <w:t>Nav.</w:t>
            </w:r>
          </w:p>
        </w:tc>
      </w:tr>
      <w:tr w:rsidR="00DE5B8B" w:rsidTr="00DE5B8B">
        <w:tc>
          <w:tcPr>
            <w:tcW w:w="562" w:type="dxa"/>
          </w:tcPr>
          <w:p w:rsidR="00DE5B8B" w:rsidRPr="00DE5B8B" w:rsidRDefault="00DE5B8B" w:rsidP="00DE5B8B">
            <w:pPr>
              <w:rPr>
                <w:rFonts w:ascii="Times New Roman" w:hAnsi="Times New Roman" w:cs="Times New Roman"/>
                <w:sz w:val="24"/>
                <w:szCs w:val="24"/>
              </w:rPr>
            </w:pPr>
            <w:r w:rsidRPr="00DE5B8B">
              <w:rPr>
                <w:rFonts w:ascii="Times New Roman" w:hAnsi="Times New Roman" w:cs="Times New Roman"/>
                <w:sz w:val="24"/>
                <w:szCs w:val="24"/>
              </w:rPr>
              <w:t>4.</w:t>
            </w:r>
          </w:p>
        </w:tc>
        <w:tc>
          <w:tcPr>
            <w:tcW w:w="2127" w:type="dxa"/>
          </w:tcPr>
          <w:p w:rsidR="00DE5B8B" w:rsidRPr="00DE5B8B" w:rsidRDefault="00DE5B8B" w:rsidP="00DE5B8B">
            <w:pPr>
              <w:rPr>
                <w:rFonts w:ascii="Times New Roman" w:hAnsi="Times New Roman" w:cs="Times New Roman"/>
                <w:sz w:val="24"/>
                <w:szCs w:val="24"/>
              </w:rPr>
            </w:pPr>
            <w:r>
              <w:rPr>
                <w:rFonts w:ascii="Times New Roman" w:hAnsi="Times New Roman" w:cs="Times New Roman"/>
                <w:sz w:val="24"/>
                <w:szCs w:val="24"/>
              </w:rPr>
              <w:t>Cita informācija</w:t>
            </w:r>
          </w:p>
        </w:tc>
        <w:tc>
          <w:tcPr>
            <w:tcW w:w="6372" w:type="dxa"/>
          </w:tcPr>
          <w:p w:rsidR="00DE5B8B" w:rsidRPr="00DE5B8B" w:rsidRDefault="00DE5B8B" w:rsidP="00DE5B8B">
            <w:pPr>
              <w:rPr>
                <w:rFonts w:ascii="Times New Roman" w:hAnsi="Times New Roman" w:cs="Times New Roman"/>
                <w:sz w:val="24"/>
                <w:szCs w:val="24"/>
              </w:rPr>
            </w:pPr>
            <w:r w:rsidRPr="00DE5B8B">
              <w:rPr>
                <w:rFonts w:ascii="Times New Roman" w:hAnsi="Times New Roman" w:cs="Times New Roman"/>
                <w:sz w:val="24"/>
                <w:szCs w:val="24"/>
              </w:rPr>
              <w:t>Nav</w:t>
            </w:r>
            <w:r>
              <w:rPr>
                <w:rFonts w:ascii="Times New Roman" w:hAnsi="Times New Roman" w:cs="Times New Roman"/>
                <w:sz w:val="24"/>
                <w:szCs w:val="24"/>
              </w:rPr>
              <w:t>.</w:t>
            </w:r>
          </w:p>
        </w:tc>
      </w:tr>
      <w:tr w:rsidR="00B351DF" w:rsidTr="006D5C41">
        <w:tc>
          <w:tcPr>
            <w:tcW w:w="9061" w:type="dxa"/>
            <w:gridSpan w:val="3"/>
          </w:tcPr>
          <w:p w:rsidR="00B351DF" w:rsidRPr="0075012F" w:rsidRDefault="00FC0705" w:rsidP="00B351DF">
            <w:pPr>
              <w:jc w:val="center"/>
              <w:rPr>
                <w:rFonts w:ascii="Times New Roman" w:hAnsi="Times New Roman" w:cs="Times New Roman"/>
                <w:b/>
                <w:sz w:val="24"/>
                <w:szCs w:val="24"/>
              </w:rPr>
            </w:pPr>
            <w:r w:rsidRPr="00FC0705">
              <w:rPr>
                <w:rFonts w:ascii="Times New Roman" w:hAnsi="Times New Roman" w:cs="Times New Roman"/>
                <w:b/>
                <w:sz w:val="24"/>
                <w:szCs w:val="24"/>
              </w:rPr>
              <w:t>VII. Tiesību akta projekta izpildes nodrošināšana un tās ietekme uz institūcijām</w:t>
            </w:r>
          </w:p>
        </w:tc>
      </w:tr>
      <w:tr w:rsidR="00FC0705" w:rsidTr="00FC0705">
        <w:tc>
          <w:tcPr>
            <w:tcW w:w="562" w:type="dxa"/>
          </w:tcPr>
          <w:p w:rsidR="00FC0705" w:rsidRPr="00FC0705" w:rsidRDefault="00FC0705" w:rsidP="00FC0705">
            <w:pPr>
              <w:rPr>
                <w:rFonts w:ascii="Times New Roman" w:hAnsi="Times New Roman" w:cs="Times New Roman"/>
                <w:sz w:val="24"/>
                <w:szCs w:val="24"/>
              </w:rPr>
            </w:pPr>
            <w:r w:rsidRPr="00FC0705">
              <w:rPr>
                <w:rFonts w:ascii="Times New Roman" w:hAnsi="Times New Roman" w:cs="Times New Roman"/>
                <w:sz w:val="24"/>
                <w:szCs w:val="24"/>
              </w:rPr>
              <w:t>1.</w:t>
            </w:r>
          </w:p>
        </w:tc>
        <w:tc>
          <w:tcPr>
            <w:tcW w:w="2127" w:type="dxa"/>
          </w:tcPr>
          <w:p w:rsidR="00FC0705" w:rsidRPr="00FC0705" w:rsidRDefault="00FC0705" w:rsidP="00FC0705">
            <w:pPr>
              <w:rPr>
                <w:rFonts w:ascii="Times New Roman" w:hAnsi="Times New Roman" w:cs="Times New Roman"/>
                <w:sz w:val="24"/>
                <w:szCs w:val="24"/>
              </w:rPr>
            </w:pPr>
            <w:r w:rsidRPr="00FC0705">
              <w:rPr>
                <w:rFonts w:ascii="Times New Roman" w:hAnsi="Times New Roman" w:cs="Times New Roman"/>
                <w:sz w:val="24"/>
                <w:szCs w:val="24"/>
              </w:rPr>
              <w:t>Projekta izpildē iesaistītās institūcijas</w:t>
            </w:r>
          </w:p>
        </w:tc>
        <w:tc>
          <w:tcPr>
            <w:tcW w:w="6372" w:type="dxa"/>
          </w:tcPr>
          <w:p w:rsidR="00FC0705" w:rsidRPr="00393E8E" w:rsidRDefault="00393E8E" w:rsidP="00393E8E">
            <w:pPr>
              <w:jc w:val="both"/>
              <w:rPr>
                <w:rFonts w:ascii="Times New Roman" w:hAnsi="Times New Roman" w:cs="Times New Roman"/>
                <w:sz w:val="24"/>
                <w:szCs w:val="24"/>
              </w:rPr>
            </w:pPr>
            <w:r>
              <w:rPr>
                <w:rFonts w:ascii="Times New Roman" w:hAnsi="Times New Roman" w:cs="Times New Roman"/>
                <w:sz w:val="24"/>
                <w:szCs w:val="24"/>
              </w:rPr>
              <w:t>Satiksmes ministrija.</w:t>
            </w:r>
          </w:p>
        </w:tc>
      </w:tr>
      <w:tr w:rsidR="00FC0705" w:rsidTr="00FC0705">
        <w:tc>
          <w:tcPr>
            <w:tcW w:w="562" w:type="dxa"/>
          </w:tcPr>
          <w:p w:rsidR="00FC0705" w:rsidRPr="00FC0705" w:rsidRDefault="00FC0705" w:rsidP="00FC0705">
            <w:pPr>
              <w:rPr>
                <w:rFonts w:ascii="Times New Roman" w:hAnsi="Times New Roman" w:cs="Times New Roman"/>
                <w:sz w:val="24"/>
                <w:szCs w:val="24"/>
              </w:rPr>
            </w:pPr>
            <w:r w:rsidRPr="00FC0705">
              <w:rPr>
                <w:rFonts w:ascii="Times New Roman" w:hAnsi="Times New Roman" w:cs="Times New Roman"/>
                <w:sz w:val="24"/>
                <w:szCs w:val="24"/>
              </w:rPr>
              <w:t>2.</w:t>
            </w:r>
          </w:p>
        </w:tc>
        <w:tc>
          <w:tcPr>
            <w:tcW w:w="2127" w:type="dxa"/>
          </w:tcPr>
          <w:p w:rsidR="00FC0705" w:rsidRPr="00FC0705" w:rsidRDefault="00FC0705" w:rsidP="00FC0705">
            <w:pPr>
              <w:rPr>
                <w:rFonts w:ascii="Times New Roman" w:hAnsi="Times New Roman" w:cs="Times New Roman"/>
                <w:sz w:val="24"/>
                <w:szCs w:val="24"/>
              </w:rPr>
            </w:pPr>
            <w:r w:rsidRPr="00FC0705">
              <w:rPr>
                <w:rFonts w:ascii="Times New Roman" w:hAnsi="Times New Roman" w:cs="Times New Roman"/>
                <w:sz w:val="24"/>
                <w:szCs w:val="24"/>
              </w:rPr>
              <w:t>Projekta izpildes ietekme uz pārvaldes funkcijām un institucionālo struktūru.</w:t>
            </w:r>
          </w:p>
          <w:p w:rsidR="00FC0705" w:rsidRPr="00FC0705" w:rsidRDefault="00FC0705" w:rsidP="00FC0705">
            <w:pPr>
              <w:rPr>
                <w:rFonts w:ascii="Times New Roman" w:hAnsi="Times New Roman" w:cs="Times New Roman"/>
                <w:sz w:val="24"/>
                <w:szCs w:val="24"/>
              </w:rPr>
            </w:pPr>
          </w:p>
          <w:p w:rsidR="00FC0705" w:rsidRPr="00FC0705" w:rsidRDefault="00FC0705" w:rsidP="00FC0705">
            <w:pPr>
              <w:rPr>
                <w:rFonts w:ascii="Times New Roman" w:hAnsi="Times New Roman" w:cs="Times New Roman"/>
                <w:sz w:val="24"/>
                <w:szCs w:val="24"/>
              </w:rPr>
            </w:pPr>
            <w:r w:rsidRPr="00FC0705">
              <w:rPr>
                <w:rFonts w:ascii="Times New Roman" w:hAnsi="Times New Roman" w:cs="Times New Roman"/>
                <w:sz w:val="24"/>
                <w:szCs w:val="24"/>
              </w:rPr>
              <w:t>Jaunu institūciju izveide, esošu institūciju likvidācija vai reorganizācija, to ietekme uz institūcijas cilvēkresursiem</w:t>
            </w:r>
          </w:p>
        </w:tc>
        <w:tc>
          <w:tcPr>
            <w:tcW w:w="6372" w:type="dxa"/>
          </w:tcPr>
          <w:p w:rsidR="00FC0705" w:rsidRPr="0075012F" w:rsidRDefault="00393E8E" w:rsidP="00393E8E">
            <w:pPr>
              <w:jc w:val="both"/>
              <w:rPr>
                <w:rFonts w:ascii="Times New Roman" w:hAnsi="Times New Roman" w:cs="Times New Roman"/>
                <w:b/>
                <w:sz w:val="24"/>
                <w:szCs w:val="24"/>
              </w:rPr>
            </w:pPr>
            <w:r>
              <w:rPr>
                <w:rFonts w:ascii="Times New Roman" w:eastAsia="Times New Roman" w:hAnsi="Times New Roman" w:cs="Times New Roman"/>
                <w:sz w:val="24"/>
                <w:szCs w:val="24"/>
                <w:lang w:eastAsia="lv-LV"/>
              </w:rPr>
              <w:t xml:space="preserve">      </w:t>
            </w:r>
            <w:r w:rsidRPr="0022018F">
              <w:rPr>
                <w:rFonts w:ascii="Times New Roman" w:eastAsia="Times New Roman" w:hAnsi="Times New Roman" w:cs="Times New Roman"/>
                <w:sz w:val="24"/>
                <w:szCs w:val="24"/>
                <w:lang w:eastAsia="lv-LV"/>
              </w:rPr>
              <w:t>Nav ietekmes uz pārvaldes funkcijām un institucionālo struktūru. Nav paredzēta jaunu institūciju izveide, esošu institūciju likvidācija vai reorganizācija, ne arī to ietekme uz institūcijas cilvēkresursiem.</w:t>
            </w:r>
          </w:p>
        </w:tc>
      </w:tr>
      <w:tr w:rsidR="00FC0705" w:rsidTr="00FC0705">
        <w:tc>
          <w:tcPr>
            <w:tcW w:w="562" w:type="dxa"/>
          </w:tcPr>
          <w:p w:rsidR="00FC0705" w:rsidRPr="00FC0705" w:rsidRDefault="00FC0705" w:rsidP="00FC0705">
            <w:pPr>
              <w:rPr>
                <w:rFonts w:ascii="Times New Roman" w:hAnsi="Times New Roman" w:cs="Times New Roman"/>
                <w:sz w:val="24"/>
                <w:szCs w:val="24"/>
              </w:rPr>
            </w:pPr>
            <w:r w:rsidRPr="00FC0705">
              <w:rPr>
                <w:rFonts w:ascii="Times New Roman" w:hAnsi="Times New Roman" w:cs="Times New Roman"/>
                <w:sz w:val="24"/>
                <w:szCs w:val="24"/>
              </w:rPr>
              <w:t>3.</w:t>
            </w:r>
          </w:p>
        </w:tc>
        <w:tc>
          <w:tcPr>
            <w:tcW w:w="2127" w:type="dxa"/>
          </w:tcPr>
          <w:p w:rsidR="00FC0705" w:rsidRPr="00FC0705" w:rsidRDefault="00FC0705" w:rsidP="00B351DF">
            <w:pPr>
              <w:jc w:val="center"/>
              <w:rPr>
                <w:rFonts w:ascii="Times New Roman" w:hAnsi="Times New Roman" w:cs="Times New Roman"/>
                <w:sz w:val="24"/>
                <w:szCs w:val="24"/>
              </w:rPr>
            </w:pPr>
            <w:r w:rsidRPr="00FC0705">
              <w:rPr>
                <w:rFonts w:ascii="Times New Roman" w:hAnsi="Times New Roman" w:cs="Times New Roman"/>
                <w:sz w:val="24"/>
                <w:szCs w:val="24"/>
              </w:rPr>
              <w:t>Cita informācija</w:t>
            </w:r>
          </w:p>
        </w:tc>
        <w:tc>
          <w:tcPr>
            <w:tcW w:w="6372" w:type="dxa"/>
          </w:tcPr>
          <w:p w:rsidR="00FC0705" w:rsidRPr="00393E8E" w:rsidRDefault="00393E8E" w:rsidP="00393E8E">
            <w:pPr>
              <w:jc w:val="both"/>
              <w:rPr>
                <w:rFonts w:ascii="Times New Roman" w:hAnsi="Times New Roman" w:cs="Times New Roman"/>
                <w:sz w:val="24"/>
                <w:szCs w:val="24"/>
              </w:rPr>
            </w:pPr>
            <w:r>
              <w:rPr>
                <w:rFonts w:ascii="Times New Roman" w:hAnsi="Times New Roman" w:cs="Times New Roman"/>
                <w:sz w:val="24"/>
                <w:szCs w:val="24"/>
              </w:rPr>
              <w:t>Nav.</w:t>
            </w:r>
          </w:p>
        </w:tc>
      </w:tr>
    </w:tbl>
    <w:p w:rsidR="00B351DF" w:rsidRDefault="00B351DF" w:rsidP="00B351DF">
      <w:pPr>
        <w:rPr>
          <w:rFonts w:ascii="Times New Roman" w:hAnsi="Times New Roman" w:cs="Times New Roman"/>
          <w:sz w:val="24"/>
          <w:szCs w:val="24"/>
        </w:rPr>
      </w:pPr>
    </w:p>
    <w:p w:rsidR="00CF55B2" w:rsidRPr="0075012F" w:rsidRDefault="00CF55B2" w:rsidP="00CF55B2">
      <w:pPr>
        <w:rPr>
          <w:rFonts w:ascii="Times New Roman" w:hAnsi="Times New Roman" w:cs="Times New Roman"/>
          <w:sz w:val="24"/>
          <w:szCs w:val="24"/>
        </w:rPr>
      </w:pPr>
      <w:r w:rsidRPr="0075012F">
        <w:rPr>
          <w:rFonts w:ascii="Times New Roman" w:hAnsi="Times New Roman" w:cs="Times New Roman"/>
          <w:sz w:val="24"/>
          <w:szCs w:val="24"/>
        </w:rPr>
        <w:t xml:space="preserve">Satiksmes ministrs                                                                                       </w:t>
      </w:r>
      <w:proofErr w:type="spellStart"/>
      <w:r>
        <w:rPr>
          <w:rFonts w:ascii="Times New Roman" w:hAnsi="Times New Roman" w:cs="Times New Roman"/>
          <w:sz w:val="24"/>
          <w:szCs w:val="24"/>
        </w:rPr>
        <w:t>T</w:t>
      </w:r>
      <w:r w:rsidRPr="0075012F">
        <w:rPr>
          <w:rFonts w:ascii="Times New Roman" w:hAnsi="Times New Roman" w:cs="Times New Roman"/>
          <w:sz w:val="24"/>
          <w:szCs w:val="24"/>
        </w:rPr>
        <w:t>.</w:t>
      </w:r>
      <w:r>
        <w:rPr>
          <w:rFonts w:ascii="Times New Roman" w:hAnsi="Times New Roman" w:cs="Times New Roman"/>
          <w:sz w:val="24"/>
          <w:szCs w:val="24"/>
        </w:rPr>
        <w:t>Linkaits</w:t>
      </w:r>
      <w:proofErr w:type="spellEnd"/>
    </w:p>
    <w:p w:rsidR="00CF55B2" w:rsidRPr="0075012F" w:rsidRDefault="00CF55B2" w:rsidP="00CF55B2">
      <w:pPr>
        <w:rPr>
          <w:rFonts w:ascii="Times New Roman" w:hAnsi="Times New Roman" w:cs="Times New Roman"/>
          <w:sz w:val="24"/>
          <w:szCs w:val="24"/>
        </w:rPr>
      </w:pPr>
    </w:p>
    <w:p w:rsidR="00CF55B2" w:rsidRPr="0075012F" w:rsidRDefault="00CF55B2" w:rsidP="00CF55B2">
      <w:pPr>
        <w:rPr>
          <w:rFonts w:ascii="Times New Roman" w:hAnsi="Times New Roman" w:cs="Times New Roman"/>
          <w:sz w:val="24"/>
          <w:szCs w:val="24"/>
        </w:rPr>
      </w:pPr>
      <w:r w:rsidRPr="0075012F">
        <w:rPr>
          <w:rFonts w:ascii="Times New Roman" w:hAnsi="Times New Roman" w:cs="Times New Roman"/>
          <w:sz w:val="24"/>
          <w:szCs w:val="24"/>
        </w:rPr>
        <w:t>Vīza:</w:t>
      </w:r>
      <w:r w:rsidRPr="0075012F">
        <w:rPr>
          <w:rFonts w:ascii="Times New Roman" w:hAnsi="Times New Roman" w:cs="Times New Roman"/>
          <w:sz w:val="24"/>
          <w:szCs w:val="24"/>
        </w:rPr>
        <w:br/>
        <w:t>valsts sekretārs                                                                                             K.Ozoliņš</w:t>
      </w:r>
    </w:p>
    <w:p w:rsidR="00CF55B2" w:rsidRPr="00B351DF" w:rsidRDefault="00CF55B2" w:rsidP="00B351DF">
      <w:pPr>
        <w:rPr>
          <w:rFonts w:ascii="Times New Roman" w:hAnsi="Times New Roman" w:cs="Times New Roman"/>
          <w:sz w:val="24"/>
          <w:szCs w:val="24"/>
        </w:rPr>
      </w:pPr>
    </w:p>
    <w:sectPr w:rsidR="00CF55B2" w:rsidRPr="00B351DF" w:rsidSect="00F85FC7">
      <w:headerReference w:type="default" r:id="rId6"/>
      <w:footerReference w:type="default" r:id="rId7"/>
      <w:footerReference w:type="first" r:id="rId8"/>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0C3" w:rsidRDefault="00C770C3" w:rsidP="00F85FC7">
      <w:pPr>
        <w:spacing w:after="0" w:line="240" w:lineRule="auto"/>
      </w:pPr>
      <w:r>
        <w:separator/>
      </w:r>
    </w:p>
  </w:endnote>
  <w:endnote w:type="continuationSeparator" w:id="0">
    <w:p w:rsidR="00C770C3" w:rsidRDefault="00C770C3" w:rsidP="00F8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10022FF" w:usb1="C000E47F" w:usb2="00000029" w:usb3="00000000" w:csb0="000001D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41" w:rsidRPr="00CF55B2" w:rsidRDefault="006D5C41">
    <w:pPr>
      <w:pStyle w:val="Footer"/>
      <w:rPr>
        <w:rFonts w:ascii="Times New Roman" w:hAnsi="Times New Roman" w:cs="Times New Roman"/>
        <w:sz w:val="20"/>
        <w:szCs w:val="20"/>
      </w:rPr>
    </w:pPr>
    <w:r w:rsidRPr="00CF55B2">
      <w:rPr>
        <w:rFonts w:ascii="Times New Roman" w:hAnsi="Times New Roman" w:cs="Times New Roman"/>
        <w:sz w:val="20"/>
        <w:szCs w:val="20"/>
      </w:rPr>
      <w:t>SManot_2</w:t>
    </w:r>
    <w:r w:rsidR="002C18BD">
      <w:rPr>
        <w:rFonts w:ascii="Times New Roman" w:hAnsi="Times New Roman" w:cs="Times New Roman"/>
        <w:sz w:val="20"/>
        <w:szCs w:val="20"/>
      </w:rPr>
      <w:t>6</w:t>
    </w:r>
    <w:r w:rsidRPr="00CF55B2">
      <w:rPr>
        <w:rFonts w:ascii="Times New Roman" w:hAnsi="Times New Roman" w:cs="Times New Roman"/>
        <w:sz w:val="20"/>
        <w:szCs w:val="20"/>
      </w:rPr>
      <w:t>0219_osta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41" w:rsidRPr="00CF55B2" w:rsidRDefault="006D5C41">
    <w:pPr>
      <w:pStyle w:val="Footer"/>
      <w:rPr>
        <w:rFonts w:ascii="Times New Roman" w:hAnsi="Times New Roman" w:cs="Times New Roman"/>
        <w:sz w:val="20"/>
        <w:szCs w:val="20"/>
      </w:rPr>
    </w:pPr>
    <w:r w:rsidRPr="00CF55B2">
      <w:rPr>
        <w:rFonts w:ascii="Times New Roman" w:hAnsi="Times New Roman" w:cs="Times New Roman"/>
        <w:sz w:val="20"/>
        <w:szCs w:val="20"/>
      </w:rPr>
      <w:t>SManot_2</w:t>
    </w:r>
    <w:r w:rsidR="002C18BD">
      <w:rPr>
        <w:rFonts w:ascii="Times New Roman" w:hAnsi="Times New Roman" w:cs="Times New Roman"/>
        <w:sz w:val="20"/>
        <w:szCs w:val="20"/>
      </w:rPr>
      <w:t>6</w:t>
    </w:r>
    <w:r w:rsidRPr="00CF55B2">
      <w:rPr>
        <w:rFonts w:ascii="Times New Roman" w:hAnsi="Times New Roman" w:cs="Times New Roman"/>
        <w:sz w:val="20"/>
        <w:szCs w:val="20"/>
      </w:rPr>
      <w:t>0219_osta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0C3" w:rsidRDefault="00C770C3" w:rsidP="00F85FC7">
      <w:pPr>
        <w:spacing w:after="0" w:line="240" w:lineRule="auto"/>
      </w:pPr>
      <w:r>
        <w:separator/>
      </w:r>
    </w:p>
  </w:footnote>
  <w:footnote w:type="continuationSeparator" w:id="0">
    <w:p w:rsidR="00C770C3" w:rsidRDefault="00C770C3" w:rsidP="00F85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229253"/>
      <w:docPartObj>
        <w:docPartGallery w:val="Page Numbers (Top of Page)"/>
        <w:docPartUnique/>
      </w:docPartObj>
    </w:sdtPr>
    <w:sdtEndPr>
      <w:rPr>
        <w:rFonts w:ascii="Times New Roman" w:hAnsi="Times New Roman" w:cs="Times New Roman"/>
        <w:noProof/>
        <w:sz w:val="24"/>
        <w:szCs w:val="24"/>
      </w:rPr>
    </w:sdtEndPr>
    <w:sdtContent>
      <w:p w:rsidR="006D5C41" w:rsidRPr="00F85FC7" w:rsidRDefault="006D5C41">
        <w:pPr>
          <w:pStyle w:val="Header"/>
          <w:jc w:val="center"/>
          <w:rPr>
            <w:rFonts w:ascii="Times New Roman" w:hAnsi="Times New Roman" w:cs="Times New Roman"/>
            <w:sz w:val="24"/>
            <w:szCs w:val="24"/>
          </w:rPr>
        </w:pPr>
        <w:r w:rsidRPr="00F85FC7">
          <w:rPr>
            <w:rFonts w:ascii="Times New Roman" w:hAnsi="Times New Roman" w:cs="Times New Roman"/>
            <w:sz w:val="24"/>
            <w:szCs w:val="24"/>
          </w:rPr>
          <w:fldChar w:fldCharType="begin"/>
        </w:r>
        <w:r w:rsidRPr="00F85FC7">
          <w:rPr>
            <w:rFonts w:ascii="Times New Roman" w:hAnsi="Times New Roman" w:cs="Times New Roman"/>
            <w:sz w:val="24"/>
            <w:szCs w:val="24"/>
          </w:rPr>
          <w:instrText xml:space="preserve"> PAGE   \* MERGEFORMAT </w:instrText>
        </w:r>
        <w:r w:rsidRPr="00F85FC7">
          <w:rPr>
            <w:rFonts w:ascii="Times New Roman" w:hAnsi="Times New Roman" w:cs="Times New Roman"/>
            <w:sz w:val="24"/>
            <w:szCs w:val="24"/>
          </w:rPr>
          <w:fldChar w:fldCharType="separate"/>
        </w:r>
        <w:r w:rsidR="001619F7">
          <w:rPr>
            <w:rFonts w:ascii="Times New Roman" w:hAnsi="Times New Roman" w:cs="Times New Roman"/>
            <w:noProof/>
            <w:sz w:val="24"/>
            <w:szCs w:val="24"/>
          </w:rPr>
          <w:t>3</w:t>
        </w:r>
        <w:r w:rsidRPr="00F85FC7">
          <w:rPr>
            <w:rFonts w:ascii="Times New Roman" w:hAnsi="Times New Roman" w:cs="Times New Roman"/>
            <w:noProof/>
            <w:sz w:val="24"/>
            <w:szCs w:val="24"/>
          </w:rPr>
          <w:fldChar w:fldCharType="end"/>
        </w:r>
      </w:p>
    </w:sdtContent>
  </w:sdt>
  <w:p w:rsidR="006D5C41" w:rsidRDefault="006D5C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1DF"/>
    <w:rsid w:val="000132D2"/>
    <w:rsid w:val="00013793"/>
    <w:rsid w:val="000141E8"/>
    <w:rsid w:val="0003011F"/>
    <w:rsid w:val="00042C07"/>
    <w:rsid w:val="00042E15"/>
    <w:rsid w:val="00046010"/>
    <w:rsid w:val="00051E84"/>
    <w:rsid w:val="000533A8"/>
    <w:rsid w:val="000612DA"/>
    <w:rsid w:val="00064761"/>
    <w:rsid w:val="000673C9"/>
    <w:rsid w:val="00073D08"/>
    <w:rsid w:val="00082ED5"/>
    <w:rsid w:val="000A47BD"/>
    <w:rsid w:val="000B3AD0"/>
    <w:rsid w:val="000B3BB2"/>
    <w:rsid w:val="000B4240"/>
    <w:rsid w:val="000B6202"/>
    <w:rsid w:val="000C58A9"/>
    <w:rsid w:val="000C620F"/>
    <w:rsid w:val="000D0967"/>
    <w:rsid w:val="000D0F40"/>
    <w:rsid w:val="000E2027"/>
    <w:rsid w:val="00104388"/>
    <w:rsid w:val="00146F4D"/>
    <w:rsid w:val="00151FC8"/>
    <w:rsid w:val="00157BFF"/>
    <w:rsid w:val="00160288"/>
    <w:rsid w:val="001619F7"/>
    <w:rsid w:val="001750D2"/>
    <w:rsid w:val="00176589"/>
    <w:rsid w:val="0017698F"/>
    <w:rsid w:val="00182D8F"/>
    <w:rsid w:val="0019214E"/>
    <w:rsid w:val="00196457"/>
    <w:rsid w:val="001A0929"/>
    <w:rsid w:val="001A3EF8"/>
    <w:rsid w:val="001B12EA"/>
    <w:rsid w:val="001B7328"/>
    <w:rsid w:val="001C4598"/>
    <w:rsid w:val="001D0959"/>
    <w:rsid w:val="001D15B1"/>
    <w:rsid w:val="001D1992"/>
    <w:rsid w:val="001D6DC6"/>
    <w:rsid w:val="001E0538"/>
    <w:rsid w:val="001E5DFB"/>
    <w:rsid w:val="001F44D2"/>
    <w:rsid w:val="0020030B"/>
    <w:rsid w:val="00202370"/>
    <w:rsid w:val="00207605"/>
    <w:rsid w:val="00207D88"/>
    <w:rsid w:val="002207E4"/>
    <w:rsid w:val="0022318E"/>
    <w:rsid w:val="00233562"/>
    <w:rsid w:val="00234F72"/>
    <w:rsid w:val="00240F59"/>
    <w:rsid w:val="002411F0"/>
    <w:rsid w:val="00241FE8"/>
    <w:rsid w:val="00245BBD"/>
    <w:rsid w:val="002648C4"/>
    <w:rsid w:val="00273D91"/>
    <w:rsid w:val="0028031F"/>
    <w:rsid w:val="00282EB3"/>
    <w:rsid w:val="00284D9E"/>
    <w:rsid w:val="00285633"/>
    <w:rsid w:val="0028654D"/>
    <w:rsid w:val="002A134A"/>
    <w:rsid w:val="002C18BD"/>
    <w:rsid w:val="002C1CF0"/>
    <w:rsid w:val="002D6937"/>
    <w:rsid w:val="002F06DC"/>
    <w:rsid w:val="002F0784"/>
    <w:rsid w:val="003022FA"/>
    <w:rsid w:val="00304037"/>
    <w:rsid w:val="003066D3"/>
    <w:rsid w:val="00311C8E"/>
    <w:rsid w:val="003127B1"/>
    <w:rsid w:val="00320FBA"/>
    <w:rsid w:val="00344513"/>
    <w:rsid w:val="003478BD"/>
    <w:rsid w:val="00356304"/>
    <w:rsid w:val="003715C7"/>
    <w:rsid w:val="003750A1"/>
    <w:rsid w:val="00384B96"/>
    <w:rsid w:val="00387E05"/>
    <w:rsid w:val="00393E8E"/>
    <w:rsid w:val="0039770D"/>
    <w:rsid w:val="003A3009"/>
    <w:rsid w:val="003B097B"/>
    <w:rsid w:val="003B3D8A"/>
    <w:rsid w:val="003B4D04"/>
    <w:rsid w:val="003B52CE"/>
    <w:rsid w:val="003C2303"/>
    <w:rsid w:val="003C57ED"/>
    <w:rsid w:val="003C5C9D"/>
    <w:rsid w:val="003F15AE"/>
    <w:rsid w:val="003F6C85"/>
    <w:rsid w:val="004113A2"/>
    <w:rsid w:val="00415551"/>
    <w:rsid w:val="0044240A"/>
    <w:rsid w:val="00465B02"/>
    <w:rsid w:val="0048718B"/>
    <w:rsid w:val="004A611D"/>
    <w:rsid w:val="004A6ABE"/>
    <w:rsid w:val="004B09F6"/>
    <w:rsid w:val="004C4EFC"/>
    <w:rsid w:val="004C7931"/>
    <w:rsid w:val="004C7C34"/>
    <w:rsid w:val="004D51A7"/>
    <w:rsid w:val="004E1F55"/>
    <w:rsid w:val="004F2D3A"/>
    <w:rsid w:val="004F2D88"/>
    <w:rsid w:val="00501A53"/>
    <w:rsid w:val="00503D28"/>
    <w:rsid w:val="00507EF2"/>
    <w:rsid w:val="00523B9E"/>
    <w:rsid w:val="005309A1"/>
    <w:rsid w:val="00531055"/>
    <w:rsid w:val="00535DC7"/>
    <w:rsid w:val="00543614"/>
    <w:rsid w:val="00547070"/>
    <w:rsid w:val="00552001"/>
    <w:rsid w:val="005A1193"/>
    <w:rsid w:val="005A40E1"/>
    <w:rsid w:val="005B121C"/>
    <w:rsid w:val="005C6A74"/>
    <w:rsid w:val="005C74AF"/>
    <w:rsid w:val="005D057E"/>
    <w:rsid w:val="005D19C1"/>
    <w:rsid w:val="005D3389"/>
    <w:rsid w:val="005F48D3"/>
    <w:rsid w:val="005F7D4D"/>
    <w:rsid w:val="00607BA7"/>
    <w:rsid w:val="00616D80"/>
    <w:rsid w:val="006478D5"/>
    <w:rsid w:val="00665741"/>
    <w:rsid w:val="00672500"/>
    <w:rsid w:val="006817EB"/>
    <w:rsid w:val="00681A4C"/>
    <w:rsid w:val="00690617"/>
    <w:rsid w:val="006944A0"/>
    <w:rsid w:val="006C2A52"/>
    <w:rsid w:val="006D0BA5"/>
    <w:rsid w:val="006D11B5"/>
    <w:rsid w:val="006D3EAA"/>
    <w:rsid w:val="006D3EEF"/>
    <w:rsid w:val="006D5C41"/>
    <w:rsid w:val="006F1733"/>
    <w:rsid w:val="006F7D57"/>
    <w:rsid w:val="00713349"/>
    <w:rsid w:val="00716E27"/>
    <w:rsid w:val="00727CA9"/>
    <w:rsid w:val="007323BC"/>
    <w:rsid w:val="00732D62"/>
    <w:rsid w:val="007423AC"/>
    <w:rsid w:val="00742BED"/>
    <w:rsid w:val="007517A4"/>
    <w:rsid w:val="007806C8"/>
    <w:rsid w:val="007809D3"/>
    <w:rsid w:val="007848C8"/>
    <w:rsid w:val="0078772A"/>
    <w:rsid w:val="00790328"/>
    <w:rsid w:val="007926A9"/>
    <w:rsid w:val="00792E4E"/>
    <w:rsid w:val="00796652"/>
    <w:rsid w:val="007A1E15"/>
    <w:rsid w:val="007A2DFD"/>
    <w:rsid w:val="007A6C92"/>
    <w:rsid w:val="007C1A46"/>
    <w:rsid w:val="007C5AF3"/>
    <w:rsid w:val="007D29D8"/>
    <w:rsid w:val="007D6466"/>
    <w:rsid w:val="007E26E6"/>
    <w:rsid w:val="007E668D"/>
    <w:rsid w:val="008112C4"/>
    <w:rsid w:val="00817A77"/>
    <w:rsid w:val="008269F1"/>
    <w:rsid w:val="00836A5F"/>
    <w:rsid w:val="00840467"/>
    <w:rsid w:val="00847277"/>
    <w:rsid w:val="00871850"/>
    <w:rsid w:val="00881230"/>
    <w:rsid w:val="0088455F"/>
    <w:rsid w:val="0088517B"/>
    <w:rsid w:val="008A5B85"/>
    <w:rsid w:val="008B4642"/>
    <w:rsid w:val="008C2379"/>
    <w:rsid w:val="008D0AD7"/>
    <w:rsid w:val="008D100F"/>
    <w:rsid w:val="008E0032"/>
    <w:rsid w:val="008F5273"/>
    <w:rsid w:val="008F6123"/>
    <w:rsid w:val="0090627B"/>
    <w:rsid w:val="00913AFA"/>
    <w:rsid w:val="00920C0B"/>
    <w:rsid w:val="009342A7"/>
    <w:rsid w:val="00955841"/>
    <w:rsid w:val="009620A6"/>
    <w:rsid w:val="00963759"/>
    <w:rsid w:val="00971CD0"/>
    <w:rsid w:val="00986645"/>
    <w:rsid w:val="009879D1"/>
    <w:rsid w:val="009909A9"/>
    <w:rsid w:val="009C0862"/>
    <w:rsid w:val="009C107D"/>
    <w:rsid w:val="009D1E06"/>
    <w:rsid w:val="009D4B3D"/>
    <w:rsid w:val="009E2AC3"/>
    <w:rsid w:val="009E4941"/>
    <w:rsid w:val="009F13D9"/>
    <w:rsid w:val="009F5042"/>
    <w:rsid w:val="00A10E01"/>
    <w:rsid w:val="00A23FBE"/>
    <w:rsid w:val="00A24F4A"/>
    <w:rsid w:val="00A266F2"/>
    <w:rsid w:val="00A26B37"/>
    <w:rsid w:val="00A26EE9"/>
    <w:rsid w:val="00A366CD"/>
    <w:rsid w:val="00A50C64"/>
    <w:rsid w:val="00A54146"/>
    <w:rsid w:val="00A60054"/>
    <w:rsid w:val="00A61686"/>
    <w:rsid w:val="00A72A5D"/>
    <w:rsid w:val="00A8200A"/>
    <w:rsid w:val="00AA474E"/>
    <w:rsid w:val="00AA537F"/>
    <w:rsid w:val="00AA7706"/>
    <w:rsid w:val="00AB1566"/>
    <w:rsid w:val="00AB32A4"/>
    <w:rsid w:val="00AC0A1F"/>
    <w:rsid w:val="00AC2DC4"/>
    <w:rsid w:val="00AC3478"/>
    <w:rsid w:val="00AD0B25"/>
    <w:rsid w:val="00AD2DB8"/>
    <w:rsid w:val="00AD64FF"/>
    <w:rsid w:val="00AF01F0"/>
    <w:rsid w:val="00AF084D"/>
    <w:rsid w:val="00B04221"/>
    <w:rsid w:val="00B04B0A"/>
    <w:rsid w:val="00B1705E"/>
    <w:rsid w:val="00B17730"/>
    <w:rsid w:val="00B21F7A"/>
    <w:rsid w:val="00B23A97"/>
    <w:rsid w:val="00B33CE4"/>
    <w:rsid w:val="00B351DF"/>
    <w:rsid w:val="00B562BA"/>
    <w:rsid w:val="00B620C1"/>
    <w:rsid w:val="00B81409"/>
    <w:rsid w:val="00BA4767"/>
    <w:rsid w:val="00BB3FD2"/>
    <w:rsid w:val="00BB6A4C"/>
    <w:rsid w:val="00BC7F3B"/>
    <w:rsid w:val="00BD1471"/>
    <w:rsid w:val="00BD2E91"/>
    <w:rsid w:val="00BE0E1C"/>
    <w:rsid w:val="00BE7665"/>
    <w:rsid w:val="00C03979"/>
    <w:rsid w:val="00C16FA6"/>
    <w:rsid w:val="00C1728E"/>
    <w:rsid w:val="00C27EF1"/>
    <w:rsid w:val="00C32802"/>
    <w:rsid w:val="00C334B2"/>
    <w:rsid w:val="00C479E9"/>
    <w:rsid w:val="00C50908"/>
    <w:rsid w:val="00C537A4"/>
    <w:rsid w:val="00C63AE5"/>
    <w:rsid w:val="00C669F3"/>
    <w:rsid w:val="00C74D52"/>
    <w:rsid w:val="00C770C3"/>
    <w:rsid w:val="00C836C2"/>
    <w:rsid w:val="00C87C12"/>
    <w:rsid w:val="00C9223F"/>
    <w:rsid w:val="00CA15B1"/>
    <w:rsid w:val="00CA34E7"/>
    <w:rsid w:val="00CA687B"/>
    <w:rsid w:val="00CB5E0F"/>
    <w:rsid w:val="00CC0F11"/>
    <w:rsid w:val="00CC77AE"/>
    <w:rsid w:val="00CD4749"/>
    <w:rsid w:val="00CF0461"/>
    <w:rsid w:val="00CF2CF5"/>
    <w:rsid w:val="00CF55B2"/>
    <w:rsid w:val="00CF695E"/>
    <w:rsid w:val="00D12F81"/>
    <w:rsid w:val="00D36319"/>
    <w:rsid w:val="00D50BBC"/>
    <w:rsid w:val="00D5782C"/>
    <w:rsid w:val="00D66F66"/>
    <w:rsid w:val="00D76F22"/>
    <w:rsid w:val="00D83989"/>
    <w:rsid w:val="00D851D2"/>
    <w:rsid w:val="00D902F9"/>
    <w:rsid w:val="00DA229A"/>
    <w:rsid w:val="00DA3189"/>
    <w:rsid w:val="00DB3C1B"/>
    <w:rsid w:val="00DC31EB"/>
    <w:rsid w:val="00DD4103"/>
    <w:rsid w:val="00DD5F57"/>
    <w:rsid w:val="00DE0DD7"/>
    <w:rsid w:val="00DE5B8B"/>
    <w:rsid w:val="00DF0BFC"/>
    <w:rsid w:val="00DF2EFA"/>
    <w:rsid w:val="00E05430"/>
    <w:rsid w:val="00E11ED5"/>
    <w:rsid w:val="00E261CD"/>
    <w:rsid w:val="00E3323F"/>
    <w:rsid w:val="00E34506"/>
    <w:rsid w:val="00E40308"/>
    <w:rsid w:val="00E4553E"/>
    <w:rsid w:val="00E45EA1"/>
    <w:rsid w:val="00E7351F"/>
    <w:rsid w:val="00E82FC9"/>
    <w:rsid w:val="00E86F80"/>
    <w:rsid w:val="00EA5599"/>
    <w:rsid w:val="00EA59AE"/>
    <w:rsid w:val="00EB3A1F"/>
    <w:rsid w:val="00EB7779"/>
    <w:rsid w:val="00EB7888"/>
    <w:rsid w:val="00EC1F90"/>
    <w:rsid w:val="00ED2BE3"/>
    <w:rsid w:val="00ED5AC1"/>
    <w:rsid w:val="00ED6573"/>
    <w:rsid w:val="00F07143"/>
    <w:rsid w:val="00F344E3"/>
    <w:rsid w:val="00F36907"/>
    <w:rsid w:val="00F43D8B"/>
    <w:rsid w:val="00F4712F"/>
    <w:rsid w:val="00F4730A"/>
    <w:rsid w:val="00F55418"/>
    <w:rsid w:val="00F57440"/>
    <w:rsid w:val="00F62F4A"/>
    <w:rsid w:val="00F81093"/>
    <w:rsid w:val="00F85FC7"/>
    <w:rsid w:val="00F8654C"/>
    <w:rsid w:val="00F93C19"/>
    <w:rsid w:val="00FC0705"/>
    <w:rsid w:val="00FD406F"/>
    <w:rsid w:val="00FE29A2"/>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01B33CD-240D-4F34-9B9A-CF3B193C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361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85F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5FC7"/>
  </w:style>
  <w:style w:type="paragraph" w:styleId="Footer">
    <w:name w:val="footer"/>
    <w:basedOn w:val="Normal"/>
    <w:link w:val="FooterChar"/>
    <w:uiPriority w:val="99"/>
    <w:unhideWhenUsed/>
    <w:rsid w:val="00F85F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5FC7"/>
  </w:style>
  <w:style w:type="character" w:styleId="Hyperlink">
    <w:name w:val="Hyperlink"/>
    <w:basedOn w:val="DefaultParagraphFont"/>
    <w:uiPriority w:val="99"/>
    <w:unhideWhenUsed/>
    <w:rsid w:val="00CF55B2"/>
    <w:rPr>
      <w:color w:val="0563C1" w:themeColor="hyperlink"/>
      <w:u w:val="single"/>
    </w:rPr>
  </w:style>
  <w:style w:type="paragraph" w:styleId="BalloonText">
    <w:name w:val="Balloon Text"/>
    <w:basedOn w:val="Normal"/>
    <w:link w:val="BalloonTextChar"/>
    <w:uiPriority w:val="99"/>
    <w:semiHidden/>
    <w:unhideWhenUsed/>
    <w:rsid w:val="00647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8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4396</Words>
  <Characters>2506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noteikumu "Grozījumi MK 2010.gada 10.augusta noteikumos Nr.741 "Noteikumi par ostas valdes locekļu mēnešalgu un speciālo piemaksu" projekta sākotnējās ietekmes novērtējuma ziņojums (anotācija)</vt:lpstr>
    </vt:vector>
  </TitlesOfParts>
  <Company>Satiksmes ministrija</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MK 2010.gada 10.augusta noteikumos Nr.741 "Noteikumi par ostas valdes locekļu mēnešalgu un speciālo piemaksu" projekta sākotnējās ietekmes novērtējuma ziņojums (anotācija)</dc:title>
  <dc:subject>MK noteikumu projekta anotācija</dc:subject>
  <dc:creator>Signe Klusa</dc:creator>
  <dc:description>Signe.Klusa@sam.gov.lv 67028154</dc:description>
  <cp:lastModifiedBy>Jekaterina Borovika</cp:lastModifiedBy>
  <cp:revision>2</cp:revision>
  <cp:lastPrinted>2019-02-20T11:02:00Z</cp:lastPrinted>
  <dcterms:created xsi:type="dcterms:W3CDTF">2019-02-26T12:39:00Z</dcterms:created>
  <dcterms:modified xsi:type="dcterms:W3CDTF">2019-02-26T12:39:00Z</dcterms:modified>
</cp:coreProperties>
</file>