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9F72" w14:textId="5ED1B697" w:rsidR="00B41718" w:rsidRPr="00E9117A" w:rsidRDefault="008B1F08" w:rsidP="00E9117A">
      <w:pPr>
        <w:tabs>
          <w:tab w:val="left" w:pos="1185"/>
          <w:tab w:val="center" w:pos="4535"/>
        </w:tabs>
        <w:outlineLvl w:val="0"/>
        <w:rPr>
          <w:b/>
          <w:bCs/>
          <w:lang w:eastAsia="x-none"/>
        </w:rPr>
      </w:pPr>
      <w:bookmarkStart w:id="0" w:name="OLE_LINK1"/>
      <w:bookmarkStart w:id="1" w:name="OLE_LINK2"/>
      <w:r w:rsidRPr="00E9117A">
        <w:rPr>
          <w:b/>
          <w:bCs/>
          <w:lang w:eastAsia="x-none"/>
        </w:rPr>
        <w:tab/>
      </w:r>
      <w:r w:rsidRPr="00E9117A">
        <w:rPr>
          <w:b/>
          <w:bCs/>
          <w:lang w:eastAsia="x-none"/>
        </w:rPr>
        <w:tab/>
      </w:r>
      <w:r w:rsidR="00B41718" w:rsidRPr="00E9117A">
        <w:rPr>
          <w:b/>
          <w:bCs/>
          <w:lang w:eastAsia="x-none"/>
        </w:rPr>
        <w:t>Informatīvais ziņojums</w:t>
      </w:r>
    </w:p>
    <w:p w14:paraId="71253922" w14:textId="1EEB73CC" w:rsidR="00C83BF3" w:rsidRPr="00E9117A" w:rsidRDefault="00C83BF3" w:rsidP="00F72877">
      <w:pPr>
        <w:jc w:val="center"/>
        <w:rPr>
          <w:b/>
          <w:lang w:eastAsia="x-none"/>
        </w:rPr>
      </w:pPr>
      <w:bookmarkStart w:id="2" w:name="_Hlk797378"/>
      <w:r w:rsidRPr="00E9117A">
        <w:rPr>
          <w:b/>
          <w:lang w:eastAsia="lv-LV"/>
        </w:rPr>
        <w:t>"</w:t>
      </w:r>
      <w:r w:rsidR="008834F6" w:rsidRPr="008834F6">
        <w:t xml:space="preserve"> </w:t>
      </w:r>
      <w:r w:rsidR="008834F6" w:rsidRPr="008834F6">
        <w:rPr>
          <w:b/>
          <w:lang w:eastAsia="lv-LV"/>
        </w:rPr>
        <w:t>Par tieslietu ministra prioritāriem rīcības virzieniem efektīvas tieslietu sistēmas attīstībai, lai veicinātu tautsaimniecības izaugsmi</w:t>
      </w:r>
      <w:r w:rsidR="008834F6" w:rsidRPr="008834F6">
        <w:rPr>
          <w:b/>
          <w:lang w:eastAsia="lv-LV"/>
        </w:rPr>
        <w:t xml:space="preserve"> </w:t>
      </w:r>
      <w:r w:rsidRPr="00E9117A">
        <w:rPr>
          <w:b/>
          <w:lang w:eastAsia="lv-LV"/>
        </w:rPr>
        <w:t>"</w:t>
      </w:r>
      <w:bookmarkEnd w:id="2"/>
    </w:p>
    <w:bookmarkEnd w:id="0"/>
    <w:bookmarkEnd w:id="1"/>
    <w:p w14:paraId="396485E7" w14:textId="77777777" w:rsidR="00B41718" w:rsidRPr="00E9117A" w:rsidRDefault="00B41718" w:rsidP="00B41718">
      <w:pPr>
        <w:autoSpaceDE w:val="0"/>
        <w:autoSpaceDN w:val="0"/>
        <w:adjustRightInd w:val="0"/>
      </w:pPr>
    </w:p>
    <w:p w14:paraId="1597B030" w14:textId="77777777" w:rsidR="004756F2" w:rsidRPr="00E9117A" w:rsidRDefault="004756F2" w:rsidP="004756F2">
      <w:pPr>
        <w:pStyle w:val="Sarakstarindkopa"/>
        <w:numPr>
          <w:ilvl w:val="0"/>
          <w:numId w:val="39"/>
        </w:numPr>
        <w:spacing w:after="200" w:line="276" w:lineRule="auto"/>
        <w:jc w:val="both"/>
        <w:rPr>
          <w:b/>
          <w:bCs/>
        </w:rPr>
      </w:pPr>
      <w:bookmarkStart w:id="3" w:name="_Hlk504118800"/>
      <w:r w:rsidRPr="00E9117A">
        <w:rPr>
          <w:b/>
          <w:bCs/>
        </w:rPr>
        <w:t>Ievads</w:t>
      </w:r>
    </w:p>
    <w:p w14:paraId="774ED12A" w14:textId="1F92AB2D" w:rsidR="004756F2" w:rsidRPr="00E9117A" w:rsidRDefault="004756F2" w:rsidP="00B933C2">
      <w:pPr>
        <w:spacing w:after="120"/>
        <w:ind w:firstLine="360"/>
        <w:jc w:val="both"/>
        <w:rPr>
          <w:bCs/>
        </w:rPr>
      </w:pPr>
      <w:r w:rsidRPr="00E9117A">
        <w:rPr>
          <w:bCs/>
        </w:rPr>
        <w:t xml:space="preserve">Atbilstoši </w:t>
      </w:r>
      <w:r w:rsidR="002B2B79" w:rsidRPr="00E9117A">
        <w:rPr>
          <w:lang w:eastAsia="lv-LV"/>
        </w:rPr>
        <w:t xml:space="preserve">deklarācijā par Artura Krišjāņa Kariņa vadītā Ministru kabineta iecerēto darbību (turpmāk – Deklarācija) </w:t>
      </w:r>
      <w:r w:rsidRPr="00E9117A">
        <w:rPr>
          <w:bCs/>
        </w:rPr>
        <w:t>paredzētaja</w:t>
      </w:r>
      <w:r w:rsidR="00C83BF3" w:rsidRPr="00E9117A">
        <w:rPr>
          <w:bCs/>
        </w:rPr>
        <w:t xml:space="preserve">i valdības darba prioritātei </w:t>
      </w:r>
      <w:r w:rsidR="00C83BF3" w:rsidRPr="00E9117A">
        <w:rPr>
          <w:lang w:eastAsia="lv-LV"/>
        </w:rPr>
        <w:t>– tiesiskuma stiprināšana un Deklarācijas sadaļā "Bezkompromisu tiesiskums un likuma vara" noteiktajam</w:t>
      </w:r>
      <w:r w:rsidRPr="00E9117A">
        <w:rPr>
          <w:bCs/>
        </w:rPr>
        <w:t xml:space="preserve">, </w:t>
      </w:r>
      <w:r w:rsidR="00B933C2" w:rsidRPr="00E9117A">
        <w:rPr>
          <w:bCs/>
        </w:rPr>
        <w:t xml:space="preserve">Ministru prezidenta biedrs, </w:t>
      </w:r>
      <w:r w:rsidRPr="00E9117A">
        <w:rPr>
          <w:bCs/>
        </w:rPr>
        <w:t>tieslietu ministrs</w:t>
      </w:r>
      <w:r w:rsidR="00B933C2" w:rsidRPr="00E9117A">
        <w:rPr>
          <w:bCs/>
        </w:rPr>
        <w:t xml:space="preserve"> Jānis Bordāns</w:t>
      </w:r>
      <w:r w:rsidRPr="00E9117A">
        <w:rPr>
          <w:bCs/>
        </w:rPr>
        <w:t xml:space="preserve"> ir noteicis svarīgākos uzdevumus efektīvas tieslietu sistēmas attīstībai ar mērķi veicināt tautsaimniecības izaugsmi un radīt labvēlīgu tiesisku vidi komercdarbībai un investīciju piesaistei. Minēto mērķu sasniegšanai ir noteikti divi galvenie rīcības virzieni – stabila tiesiskā vide un efektīvs tiesu darbs. </w:t>
      </w:r>
    </w:p>
    <w:p w14:paraId="25BB2D26" w14:textId="77777777" w:rsidR="004756F2" w:rsidRPr="00E9117A" w:rsidRDefault="004756F2" w:rsidP="00B933C2">
      <w:pPr>
        <w:spacing w:after="120"/>
        <w:ind w:firstLine="360"/>
        <w:jc w:val="both"/>
      </w:pPr>
      <w:r w:rsidRPr="00E9117A">
        <w:rPr>
          <w:bCs/>
        </w:rPr>
        <w:t>Efektīvu tieslietu sistēmu nav iespējams izveidot bez ciešas sadarbības ar nacionālajiem un starptautiskajiem sadarbības partneriem. Ļoti būtiski ir izsvērt, ka rūpīgs un neatlaidīgs darbs tieslietu sistēmas attīstībai ir arī Latvijas starptautiskās reputācijas jautājums</w:t>
      </w:r>
    </w:p>
    <w:p w14:paraId="18BFCC12" w14:textId="5E32345C" w:rsidR="004756F2" w:rsidRPr="00E9117A" w:rsidRDefault="004756F2" w:rsidP="00B933C2">
      <w:pPr>
        <w:spacing w:after="120"/>
        <w:ind w:firstLine="360"/>
        <w:jc w:val="both"/>
      </w:pPr>
      <w:r w:rsidRPr="00E9117A">
        <w:t xml:space="preserve">2018.gadā tika pieņemts </w:t>
      </w:r>
      <w:proofErr w:type="spellStart"/>
      <w:r w:rsidRPr="00E9117A">
        <w:rPr>
          <w:i/>
        </w:rPr>
        <w:t>Moneyval</w:t>
      </w:r>
      <w:proofErr w:type="spellEnd"/>
      <w:r w:rsidRPr="00E9117A">
        <w:t xml:space="preserve"> 5.kārtas novērtējuma ziņojums par Latvijas noziedzīgi iegūtu līdzekļu legalizācijas un terorisma finansēšanas novēršanas un apkarošanas sistēmas. Lai arī šī novērtējuma mērķis ir salīdzinošai šaurs, tas ir skaidri iezīmējis kopējās problēmas tieslietu jomā, kuru risināšanai ir nepieciešama nekavējoša rīcība. Vienlaikus ir jāpatur prātā, ka Latvijas tieslietu sistēmu ir vērtējušas arī citas starptautiskās organizācijas (OECD, CEPEJ, SVF u.c.), kā arī Valsts kontrole. Arī viņu vērtējumos iekļautās atziņas ir būtiski ņemt vērā, definējot turpmākos uzdevumus.</w:t>
      </w:r>
    </w:p>
    <w:p w14:paraId="470F9041" w14:textId="5E2F0681" w:rsidR="00C83BF3" w:rsidRPr="00E9117A" w:rsidRDefault="00C83BF3" w:rsidP="004756F2">
      <w:pPr>
        <w:jc w:val="both"/>
      </w:pPr>
    </w:p>
    <w:p w14:paraId="4D196C23" w14:textId="50FC4428" w:rsidR="002B2B79" w:rsidRPr="00E9117A" w:rsidRDefault="002B2B79" w:rsidP="002B2B79">
      <w:pPr>
        <w:jc w:val="center"/>
        <w:rPr>
          <w:b/>
        </w:rPr>
      </w:pPr>
      <w:r w:rsidRPr="00E9117A">
        <w:rPr>
          <w:b/>
        </w:rPr>
        <w:t>I Stabila tiesiskā vide.</w:t>
      </w:r>
    </w:p>
    <w:p w14:paraId="78CFA0AC" w14:textId="77777777" w:rsidR="002B2B79" w:rsidRPr="00E9117A" w:rsidRDefault="002B2B79" w:rsidP="002B2B79">
      <w:pPr>
        <w:jc w:val="center"/>
        <w:rPr>
          <w:b/>
        </w:rPr>
      </w:pPr>
    </w:p>
    <w:p w14:paraId="11048A09" w14:textId="1F6B1057" w:rsidR="004756F2" w:rsidRPr="00E9117A" w:rsidRDefault="004756F2" w:rsidP="00C83BF3">
      <w:pPr>
        <w:pStyle w:val="Sarakstarindkopa"/>
        <w:numPr>
          <w:ilvl w:val="0"/>
          <w:numId w:val="39"/>
        </w:numPr>
        <w:jc w:val="both"/>
        <w:rPr>
          <w:b/>
          <w:bCs/>
        </w:rPr>
      </w:pPr>
      <w:r w:rsidRPr="00E9117A">
        <w:rPr>
          <w:b/>
          <w:bCs/>
        </w:rPr>
        <w:t>Prioritārie uzdevumi krimināltiesību jomā</w:t>
      </w:r>
    </w:p>
    <w:p w14:paraId="695EA4D5" w14:textId="77777777" w:rsidR="002B2B79" w:rsidRPr="00E9117A" w:rsidRDefault="002B2B79" w:rsidP="002B2B79">
      <w:pPr>
        <w:pStyle w:val="Sarakstarindkopa"/>
        <w:jc w:val="both"/>
        <w:rPr>
          <w:b/>
          <w:bCs/>
        </w:rPr>
      </w:pPr>
    </w:p>
    <w:p w14:paraId="76303749" w14:textId="7F062EC1" w:rsidR="004756F2" w:rsidRPr="00E9117A" w:rsidRDefault="004756F2" w:rsidP="00E9117A">
      <w:pPr>
        <w:spacing w:after="120"/>
        <w:ind w:firstLine="360"/>
        <w:jc w:val="both"/>
      </w:pPr>
      <w:r w:rsidRPr="00E9117A">
        <w:rPr>
          <w:bCs/>
        </w:rPr>
        <w:t xml:space="preserve">Noziedzīgi iegūtu līdzekļu legalizācijas (turpmāk - NILL) lietas līdz nesenai pagātnei nebija Latvijas prioritāte visās kriminālprocesa stadijās – sākot no pirmstiesas izmeklēšanas līdz tiesas spriedumam. Prioritātes trūkumu papildināja </w:t>
      </w:r>
      <w:r w:rsidR="00B933C2" w:rsidRPr="00E9117A">
        <w:rPr>
          <w:bCs/>
        </w:rPr>
        <w:t xml:space="preserve">sekojošas </w:t>
      </w:r>
      <w:r w:rsidRPr="00E9117A">
        <w:rPr>
          <w:bCs/>
        </w:rPr>
        <w:t>problēmas:</w:t>
      </w:r>
    </w:p>
    <w:p w14:paraId="32C5D851" w14:textId="2B3CB0B4" w:rsidR="004756F2" w:rsidRPr="00E9117A" w:rsidRDefault="004756F2" w:rsidP="00E9117A">
      <w:pPr>
        <w:pStyle w:val="Sarakstarindkopa"/>
        <w:numPr>
          <w:ilvl w:val="0"/>
          <w:numId w:val="40"/>
        </w:numPr>
        <w:spacing w:after="120" w:line="276" w:lineRule="auto"/>
        <w:contextualSpacing w:val="0"/>
        <w:jc w:val="both"/>
      </w:pPr>
      <w:r w:rsidRPr="00E9117A">
        <w:rPr>
          <w:bCs/>
        </w:rPr>
        <w:t>Nav vienotas izpratnes par NILL un konfiskācijas jautājumiem</w:t>
      </w:r>
      <w:r w:rsidR="00B933C2" w:rsidRPr="00E9117A">
        <w:rPr>
          <w:bCs/>
        </w:rPr>
        <w:t>;</w:t>
      </w:r>
    </w:p>
    <w:p w14:paraId="6B086B5F" w14:textId="5253B657" w:rsidR="004756F2" w:rsidRPr="00E9117A" w:rsidRDefault="004756F2" w:rsidP="004756F2">
      <w:pPr>
        <w:pStyle w:val="Sarakstarindkopa"/>
        <w:numPr>
          <w:ilvl w:val="0"/>
          <w:numId w:val="40"/>
        </w:numPr>
        <w:spacing w:after="200" w:line="276" w:lineRule="auto"/>
        <w:jc w:val="both"/>
      </w:pPr>
      <w:r w:rsidRPr="00E9117A">
        <w:rPr>
          <w:bCs/>
        </w:rPr>
        <w:t>Piemērotie kriminālsodi par ekonomiskajiem noziegumiem, tai skaitā par korupciju un NILL, nav atturoši</w:t>
      </w:r>
      <w:r w:rsidR="00B933C2" w:rsidRPr="00E9117A">
        <w:rPr>
          <w:bCs/>
        </w:rPr>
        <w:t>;</w:t>
      </w:r>
    </w:p>
    <w:p w14:paraId="3D0C1472" w14:textId="3B56E05C" w:rsidR="004756F2" w:rsidRPr="00E9117A" w:rsidRDefault="004756F2" w:rsidP="004756F2">
      <w:pPr>
        <w:pStyle w:val="Sarakstarindkopa"/>
        <w:numPr>
          <w:ilvl w:val="0"/>
          <w:numId w:val="40"/>
        </w:numPr>
        <w:spacing w:after="200" w:line="276" w:lineRule="auto"/>
        <w:jc w:val="both"/>
      </w:pPr>
      <w:r w:rsidRPr="00E9117A">
        <w:rPr>
          <w:bCs/>
        </w:rPr>
        <w:t>Nebija pietiekamas izpratnes par ekonomisko noziegumu kaitīgumu</w:t>
      </w:r>
      <w:r w:rsidR="00B933C2" w:rsidRPr="00E9117A">
        <w:rPr>
          <w:bCs/>
        </w:rPr>
        <w:t>.</w:t>
      </w:r>
    </w:p>
    <w:p w14:paraId="137939DA" w14:textId="77777777" w:rsidR="004756F2" w:rsidRPr="00E9117A" w:rsidRDefault="004756F2" w:rsidP="00E9117A">
      <w:pPr>
        <w:ind w:firstLine="357"/>
        <w:jc w:val="both"/>
      </w:pPr>
      <w:r w:rsidRPr="00E9117A">
        <w:t xml:space="preserve">Pieaugot pozitīvām tendencēm Latvijas ekonomikas attīstībā, svarīgi ir nodrošināt ekonomikas izaugsmi ilgtermiņā. </w:t>
      </w:r>
      <w:r w:rsidRPr="00E9117A">
        <w:rPr>
          <w:bCs/>
        </w:rPr>
        <w:t>Neefektīva ekonomisko noziegumu apkarošana, jo īpaši NILL apkarošana, apdraud Latvijas tautsaimniecības izaugsmi</w:t>
      </w:r>
      <w:r w:rsidRPr="00E9117A">
        <w:t xml:space="preserve">. Panākot efektīvu pirmstiesas izmeklēšanas procesu un tiesu sistēmas funkcionēšanu, tiek veidoti patiesi līdzvērtīgi godīgas konkurences apstākļi biznesa vidē. </w:t>
      </w:r>
      <w:r w:rsidRPr="00E9117A">
        <w:rPr>
          <w:bCs/>
        </w:rPr>
        <w:t>Efektivitātes trūkums apdraud godīga biznesa izaugsmi.</w:t>
      </w:r>
      <w:r w:rsidRPr="00E9117A">
        <w:t xml:space="preserve"> </w:t>
      </w:r>
      <w:r w:rsidRPr="00E9117A">
        <w:rPr>
          <w:bCs/>
        </w:rPr>
        <w:t>Lai būtu iespējamas izmaiņas ekonomisko noziegumu apkarošanā, ir jāpatur prātā šādi ļoti būtiski faktori:</w:t>
      </w:r>
    </w:p>
    <w:p w14:paraId="2CAD0AE8" w14:textId="77777777" w:rsidR="004756F2" w:rsidRPr="00E9117A" w:rsidRDefault="004756F2" w:rsidP="00E9117A">
      <w:pPr>
        <w:numPr>
          <w:ilvl w:val="0"/>
          <w:numId w:val="30"/>
        </w:numPr>
        <w:spacing w:after="120"/>
        <w:ind w:left="714" w:hanging="357"/>
        <w:jc w:val="both"/>
      </w:pPr>
      <w:r w:rsidRPr="00E9117A">
        <w:t>Tiesībsargājošo iestāžu izmeklētās lietas liecina, ka ekonomisku noziegumu izmeklēšana ir ļoti laikietilpīgs process, jo notiek ar sarežģītu naudas atmazgāšanas shēmu palīdzību, izmantojot Latvijā un daudzās ārvalstīs reģistrētus uzņēmumus;</w:t>
      </w:r>
    </w:p>
    <w:p w14:paraId="05882E4B" w14:textId="77777777" w:rsidR="004756F2" w:rsidRPr="00E9117A" w:rsidRDefault="004756F2" w:rsidP="00E9117A">
      <w:pPr>
        <w:numPr>
          <w:ilvl w:val="0"/>
          <w:numId w:val="30"/>
        </w:numPr>
        <w:spacing w:after="120"/>
        <w:ind w:left="714" w:hanging="357"/>
        <w:jc w:val="both"/>
      </w:pPr>
      <w:r w:rsidRPr="00E9117A">
        <w:t xml:space="preserve">Noziedzības </w:t>
      </w:r>
      <w:proofErr w:type="spellStart"/>
      <w:r w:rsidRPr="00E9117A">
        <w:t>prevencijai</w:t>
      </w:r>
      <w:proofErr w:type="spellEnd"/>
      <w:r w:rsidRPr="00E9117A">
        <w:t xml:space="preserve"> ir svarīgi, lai tiek nodrošināta soda neizbēgamība un lai tiesas piemērotie sodi ir atturoši; šobrīd situācija vēl joprojām ir nepārliecinoša</w:t>
      </w:r>
    </w:p>
    <w:p w14:paraId="546495B6" w14:textId="09714002" w:rsidR="004756F2" w:rsidRPr="00E9117A" w:rsidRDefault="004756F2" w:rsidP="00E9117A">
      <w:pPr>
        <w:numPr>
          <w:ilvl w:val="0"/>
          <w:numId w:val="30"/>
        </w:numPr>
        <w:spacing w:after="120"/>
        <w:ind w:left="714" w:hanging="357"/>
        <w:jc w:val="both"/>
      </w:pPr>
      <w:r w:rsidRPr="00E9117A">
        <w:lastRenderedPageBreak/>
        <w:t xml:space="preserve">Tiesībsargājošo iestāžu spēju apkarot noziedzību tieši ietekmē personāla izglītība, iestādes materiāltehniskā spēja un darba procesu efektivitāte, tādēļ ir nepieciešami </w:t>
      </w:r>
      <w:r w:rsidR="00B933C2" w:rsidRPr="00E9117A">
        <w:t>efektīvi uzlabojumi</w:t>
      </w:r>
      <w:r w:rsidR="00F33FE2" w:rsidRPr="00E9117A">
        <w:t>.</w:t>
      </w:r>
    </w:p>
    <w:p w14:paraId="0CE4A564" w14:textId="77777777" w:rsidR="00F33FE2" w:rsidRPr="00E9117A" w:rsidRDefault="00F33FE2" w:rsidP="00F33FE2">
      <w:pPr>
        <w:ind w:left="714"/>
        <w:jc w:val="both"/>
      </w:pPr>
    </w:p>
    <w:p w14:paraId="31D0563D" w14:textId="77777777" w:rsidR="004756F2" w:rsidRPr="00E9117A" w:rsidRDefault="004756F2" w:rsidP="00E9117A">
      <w:pPr>
        <w:spacing w:after="120"/>
        <w:ind w:firstLine="357"/>
        <w:jc w:val="both"/>
      </w:pPr>
      <w:r w:rsidRPr="00E9117A">
        <w:rPr>
          <w:bCs/>
        </w:rPr>
        <w:t>Tieslietu ministrija (arī TM) jau šobrīd ir uzsākusi virkni pasākumu, lai savas kompetences ietvaros mainītu tiesībsargājošo iestāžu un tiesu darbu NILL apkarošanas jomā, un proti:</w:t>
      </w:r>
    </w:p>
    <w:p w14:paraId="208923F3" w14:textId="77777777" w:rsidR="004756F2" w:rsidRPr="00E9117A" w:rsidRDefault="004756F2" w:rsidP="00E9117A">
      <w:pPr>
        <w:pStyle w:val="Sarakstarindkopa"/>
        <w:numPr>
          <w:ilvl w:val="0"/>
          <w:numId w:val="42"/>
        </w:numPr>
        <w:spacing w:after="120"/>
        <w:ind w:left="714" w:hanging="357"/>
        <w:contextualSpacing w:val="0"/>
        <w:jc w:val="both"/>
      </w:pPr>
      <w:r w:rsidRPr="00E9117A">
        <w:t xml:space="preserve">TM veic konsultācijas ar tiesu priekšsēdētājiem nolūkā </w:t>
      </w:r>
      <w:proofErr w:type="spellStart"/>
      <w:r w:rsidRPr="00E9117A">
        <w:t>prioritizēt</w:t>
      </w:r>
      <w:proofErr w:type="spellEnd"/>
      <w:r w:rsidRPr="00E9117A">
        <w:t xml:space="preserve"> NILL lietu iztiesāšanu, atbilstoši Latvijas riska profilam, līdzīgi uzdevumi ir paredzēti izmeklēšanas iestādēm un prokuratūrai;</w:t>
      </w:r>
    </w:p>
    <w:p w14:paraId="4834E72F" w14:textId="77777777" w:rsidR="004756F2" w:rsidRPr="00E9117A" w:rsidRDefault="004756F2" w:rsidP="00E9117A">
      <w:pPr>
        <w:pStyle w:val="Sarakstarindkopa"/>
        <w:numPr>
          <w:ilvl w:val="0"/>
          <w:numId w:val="42"/>
        </w:numPr>
        <w:spacing w:after="120"/>
        <w:ind w:left="714" w:hanging="357"/>
        <w:contextualSpacing w:val="0"/>
        <w:jc w:val="both"/>
      </w:pPr>
      <w:r w:rsidRPr="00E9117A">
        <w:t>Tiesu administrācijas administrētā „Justīcija attīstībai” projekta ietvaros tiek nodrošinātas tiesnešu, prokuroru un izmeklētāju apmācības par noziedzīgi iegūtu līdzekļu legalizāciju, ārvalstu amatpersonu kukuļošanas apkarošanu un  konfiskāciju, apmācību ietvaros tiesnešiem ietverot tematu par sodu politiku;</w:t>
      </w:r>
    </w:p>
    <w:p w14:paraId="3095E1F9" w14:textId="71345AF1" w:rsidR="004756F2" w:rsidRPr="00E9117A" w:rsidRDefault="004756F2" w:rsidP="00E9117A">
      <w:pPr>
        <w:pStyle w:val="Sarakstarindkopa"/>
        <w:numPr>
          <w:ilvl w:val="0"/>
          <w:numId w:val="42"/>
        </w:numPr>
        <w:spacing w:after="120"/>
        <w:ind w:left="714" w:hanging="357"/>
        <w:contextualSpacing w:val="0"/>
        <w:jc w:val="both"/>
      </w:pPr>
      <w:r w:rsidRPr="00E9117A">
        <w:t>2019.gada laikā tiks izstrādāts Augstākās tiesas tiesu prakses apkopojums (esošās prakses analīze, secinājumu un rekomendāciju izteikšana nolūkā veicināt vienveidīgu normu piemērošanu NILL jomā), kas tiek veikts ciešā sadarbībā ar Tieslietu ministriju.</w:t>
      </w:r>
    </w:p>
    <w:p w14:paraId="0091BCBA" w14:textId="77777777" w:rsidR="00945D3B" w:rsidRPr="00E9117A" w:rsidRDefault="00945D3B" w:rsidP="00945D3B">
      <w:pPr>
        <w:pStyle w:val="Sarakstarindkopa"/>
        <w:ind w:left="714"/>
        <w:jc w:val="both"/>
      </w:pPr>
    </w:p>
    <w:p w14:paraId="010AD684" w14:textId="58B140F3" w:rsidR="004756F2" w:rsidRPr="00E9117A" w:rsidRDefault="004756F2" w:rsidP="00E9117A">
      <w:pPr>
        <w:spacing w:after="120"/>
        <w:ind w:firstLine="357"/>
        <w:jc w:val="both"/>
      </w:pPr>
      <w:r w:rsidRPr="00E9117A">
        <w:rPr>
          <w:bCs/>
        </w:rPr>
        <w:t xml:space="preserve">Izvērtējot starptautisko organizāciju definētās rekomendācijas, Valsts kontroles secinājumus un Tieslietu ministrijas veikto situācijas novērtējumu, ministrija ierosina 2019. – 2020.gadu laikā veikt </w:t>
      </w:r>
      <w:r w:rsidR="00B933C2" w:rsidRPr="00E9117A">
        <w:rPr>
          <w:bCs/>
        </w:rPr>
        <w:t xml:space="preserve">sekojošus </w:t>
      </w:r>
      <w:r w:rsidRPr="00E9117A">
        <w:rPr>
          <w:bCs/>
        </w:rPr>
        <w:t>pasākumus:</w:t>
      </w:r>
    </w:p>
    <w:p w14:paraId="17D43D41" w14:textId="77777777" w:rsidR="004756F2" w:rsidRPr="00E9117A" w:rsidRDefault="004756F2" w:rsidP="00E9117A">
      <w:pPr>
        <w:numPr>
          <w:ilvl w:val="0"/>
          <w:numId w:val="31"/>
        </w:numPr>
        <w:spacing w:after="120"/>
        <w:ind w:left="714" w:hanging="357"/>
        <w:jc w:val="both"/>
      </w:pPr>
      <w:r w:rsidRPr="00E9117A">
        <w:t>Veikt kompleksu un padziļinātu izvērtējumu, lai uz to tiktu balstīta konceptuāla vienošanās par izmeklēšanas institūta turpmāku attīstību;</w:t>
      </w:r>
    </w:p>
    <w:p w14:paraId="443E9C0A" w14:textId="77777777" w:rsidR="004756F2" w:rsidRPr="00E9117A" w:rsidRDefault="004756F2" w:rsidP="00E9117A">
      <w:pPr>
        <w:numPr>
          <w:ilvl w:val="0"/>
          <w:numId w:val="31"/>
        </w:numPr>
        <w:spacing w:after="120"/>
        <w:ind w:left="714" w:hanging="357"/>
        <w:jc w:val="both"/>
      </w:pPr>
      <w:r w:rsidRPr="00E9117A">
        <w:t>Aktīvi veicināt jau esošo KPL instrumentu izmantošanu, tai skaitā tos, kas ieviesti ar likumu "Grozījumi Kriminālprocesa likumā", kas stājās spēkā 2018. gada 1. septembrī (vienkāršots pirmstiesas izmeklēšanas process), lai mazinātu pirmstiesas izmeklēšanā esošo kriminālprocesu skaitu un apjomu;</w:t>
      </w:r>
    </w:p>
    <w:p w14:paraId="30F4FE2B" w14:textId="77777777" w:rsidR="004756F2" w:rsidRPr="00E9117A" w:rsidRDefault="004756F2" w:rsidP="00E9117A">
      <w:pPr>
        <w:numPr>
          <w:ilvl w:val="0"/>
          <w:numId w:val="31"/>
        </w:numPr>
        <w:spacing w:after="120"/>
        <w:ind w:left="714" w:hanging="357"/>
        <w:jc w:val="both"/>
      </w:pPr>
      <w:r w:rsidRPr="00E9117A">
        <w:t>Iesaistoties visām ieinteresētajām pusēm, gatavot metodiskos materiālus izmeklētājiem un prokuroriem, kas veicinātu kopīgu izpratni par pirmstiesas izmeklēšanas veikšanu, prioritāti nosakot ekonomisko noziegumu izmeklēšanas jomā;</w:t>
      </w:r>
    </w:p>
    <w:p w14:paraId="41C78133" w14:textId="77777777" w:rsidR="004756F2" w:rsidRPr="00E9117A" w:rsidRDefault="004756F2" w:rsidP="00E9117A">
      <w:pPr>
        <w:numPr>
          <w:ilvl w:val="0"/>
          <w:numId w:val="31"/>
        </w:numPr>
        <w:spacing w:after="120"/>
        <w:ind w:left="714" w:hanging="357"/>
        <w:jc w:val="both"/>
      </w:pPr>
      <w:r w:rsidRPr="00E9117A">
        <w:t xml:space="preserve">Uzlabot sadarbību izmeklēšanas iestāžu un prokuratūras starpā reģionālajā līmenī; </w:t>
      </w:r>
    </w:p>
    <w:p w14:paraId="1DB4699B" w14:textId="77777777" w:rsidR="004756F2" w:rsidRPr="00E9117A" w:rsidRDefault="004756F2" w:rsidP="00E9117A">
      <w:pPr>
        <w:numPr>
          <w:ilvl w:val="0"/>
          <w:numId w:val="31"/>
        </w:numPr>
        <w:spacing w:after="120"/>
        <w:ind w:left="714" w:hanging="357"/>
        <w:jc w:val="both"/>
      </w:pPr>
      <w:r w:rsidRPr="00E9117A">
        <w:t xml:space="preserve">Izvērtēt iespējamos risinājumus sīko </w:t>
      </w:r>
      <w:r w:rsidRPr="00E9117A">
        <w:rPr>
          <w:bCs/>
        </w:rPr>
        <w:t>noziedzīgo nodarījumu dekriminalizācijai, kas ir saistāms ar administratīvās atbildības reformas ieviešanu 2019.gada laikā;</w:t>
      </w:r>
    </w:p>
    <w:p w14:paraId="2D441E40" w14:textId="77777777" w:rsidR="004756F2" w:rsidRPr="00E9117A" w:rsidRDefault="004756F2" w:rsidP="00E9117A">
      <w:pPr>
        <w:numPr>
          <w:ilvl w:val="0"/>
          <w:numId w:val="31"/>
        </w:numPr>
        <w:spacing w:after="120"/>
        <w:ind w:left="714" w:hanging="357"/>
        <w:jc w:val="both"/>
      </w:pPr>
      <w:r w:rsidRPr="00E9117A">
        <w:t>Risināt jautājumu par izmeklēšanas institūta kapacitātes palielināšanu un stiprināšanu – izmeklētāju atalgojuma palielināšanu, izglītības līmeņa paaugstināšanu un darbinieku mainības mazināšanu tiesībsargājošās iestādēs;</w:t>
      </w:r>
    </w:p>
    <w:p w14:paraId="294946E8" w14:textId="7201D1B5" w:rsidR="004756F2" w:rsidRPr="00E9117A" w:rsidRDefault="004756F2" w:rsidP="00F33FE2">
      <w:pPr>
        <w:numPr>
          <w:ilvl w:val="0"/>
          <w:numId w:val="32"/>
        </w:numPr>
        <w:ind w:left="714" w:hanging="357"/>
        <w:jc w:val="both"/>
      </w:pPr>
      <w:r w:rsidRPr="00E9117A">
        <w:t> Administratīvo sodu sistēmas reformas ietvaros plašāk piemērot principu «konsultē vispirms», kā arī veicināt sadarbību starp privātpersonu un valsti, izmantojot APL procesu, mazinot represīvā mehānisma piemērošanu (administratīvos sodus).</w:t>
      </w:r>
    </w:p>
    <w:p w14:paraId="4AD6F80D" w14:textId="77777777" w:rsidR="00945D3B" w:rsidRPr="00E9117A" w:rsidRDefault="00945D3B" w:rsidP="00945D3B">
      <w:pPr>
        <w:ind w:left="714"/>
        <w:jc w:val="both"/>
      </w:pPr>
    </w:p>
    <w:p w14:paraId="7B31FAF5" w14:textId="77777777" w:rsidR="004756F2" w:rsidRPr="00E9117A" w:rsidRDefault="004756F2" w:rsidP="004756F2">
      <w:pPr>
        <w:pStyle w:val="Sarakstarindkopa"/>
        <w:numPr>
          <w:ilvl w:val="0"/>
          <w:numId w:val="43"/>
        </w:numPr>
        <w:spacing w:after="200" w:line="276" w:lineRule="auto"/>
        <w:jc w:val="both"/>
        <w:rPr>
          <w:b/>
          <w:bCs/>
        </w:rPr>
      </w:pPr>
      <w:r w:rsidRPr="00E9117A">
        <w:rPr>
          <w:b/>
          <w:bCs/>
        </w:rPr>
        <w:t>Prioritārie uzdevumi civiltiesību jomā</w:t>
      </w:r>
    </w:p>
    <w:p w14:paraId="4775908D" w14:textId="23159B45" w:rsidR="004756F2" w:rsidRPr="00E9117A" w:rsidRDefault="004756F2" w:rsidP="00E9117A">
      <w:pPr>
        <w:spacing w:after="120"/>
        <w:ind w:firstLine="357"/>
        <w:jc w:val="both"/>
      </w:pPr>
      <w:r w:rsidRPr="00E9117A">
        <w:t xml:space="preserve">Izvērtējot privāto tiesību jomā esoša tiesiskā regulējuma piemērošanu praksē, ministrija secina, ka atsevišķās jomās tiesiskais regulējums pieļauj tā iespējamu </w:t>
      </w:r>
      <w:r w:rsidRPr="00E9117A">
        <w:rPr>
          <w:bCs/>
        </w:rPr>
        <w:t xml:space="preserve">ļaunprātīgu izmantošanu </w:t>
      </w:r>
      <w:r w:rsidRPr="00E9117A">
        <w:t xml:space="preserve">negodīgam biznesam vai rada </w:t>
      </w:r>
      <w:r w:rsidRPr="00E9117A">
        <w:rPr>
          <w:bCs/>
        </w:rPr>
        <w:t>nestabilitātes</w:t>
      </w:r>
      <w:r w:rsidRPr="00E9117A">
        <w:t xml:space="preserve"> sajūtu investoriem. Šāda situācija neveicina stabilu tiesisko vidi un rada pamatotas šaubas par iestāžu spēju efektīvi bez liekiem birokrātiskiem </w:t>
      </w:r>
      <w:r w:rsidRPr="00E9117A">
        <w:lastRenderedPageBreak/>
        <w:t xml:space="preserve">šķēršļiem piemērot regulējumu. To papildina fakts, ka uzraugošo iestāžu rīcībā nav modernu rīku biznesa procesu </w:t>
      </w:r>
      <w:r w:rsidRPr="00E9117A">
        <w:rPr>
          <w:bCs/>
        </w:rPr>
        <w:t xml:space="preserve">caurspīdīguma nodrošināšanai </w:t>
      </w:r>
      <w:r w:rsidRPr="00E9117A">
        <w:t>un efektīvai klientu apkalpošanai.</w:t>
      </w:r>
    </w:p>
    <w:p w14:paraId="04373B55" w14:textId="0EF27C9D" w:rsidR="004756F2" w:rsidRPr="00E9117A" w:rsidRDefault="004756F2" w:rsidP="00E9117A">
      <w:pPr>
        <w:ind w:firstLine="357"/>
        <w:jc w:val="both"/>
        <w:rPr>
          <w:bCs/>
        </w:rPr>
      </w:pPr>
      <w:r w:rsidRPr="00E9117A">
        <w:rPr>
          <w:bCs/>
        </w:rPr>
        <w:t xml:space="preserve">Ņemot vērā šos secinājumus, ministrija ierosina 2019.-2020.gados veikt vairākus neatliekamus pasākumus, kas veicinātu caurspīdīguma principa iedzīvināšanu </w:t>
      </w:r>
      <w:proofErr w:type="spellStart"/>
      <w:r w:rsidRPr="00E9117A">
        <w:rPr>
          <w:bCs/>
        </w:rPr>
        <w:t>komerctiesiskajā</w:t>
      </w:r>
      <w:proofErr w:type="spellEnd"/>
      <w:r w:rsidRPr="00E9117A">
        <w:rPr>
          <w:bCs/>
        </w:rPr>
        <w:t xml:space="preserve"> vidē, veicinātu stabilu un pievilcīgu tiesisko vidi komercdarbībai un investīciju piesaistei, kā arī uzraugošo iestāžu spēju nostiprināšanai.</w:t>
      </w:r>
      <w:r w:rsidRPr="00E9117A">
        <w:br/>
      </w:r>
    </w:p>
    <w:p w14:paraId="55EBD1A4" w14:textId="77777777" w:rsidR="004756F2" w:rsidRPr="00E9117A" w:rsidRDefault="004756F2" w:rsidP="00E9117A">
      <w:pPr>
        <w:spacing w:after="120"/>
        <w:jc w:val="both"/>
      </w:pPr>
      <w:r w:rsidRPr="00E9117A">
        <w:rPr>
          <w:bCs/>
          <w:u w:val="single"/>
        </w:rPr>
        <w:t xml:space="preserve">Pasākumi caurspīdīguma principa iedzīvināšanai </w:t>
      </w:r>
      <w:proofErr w:type="spellStart"/>
      <w:r w:rsidRPr="00E9117A">
        <w:rPr>
          <w:bCs/>
          <w:u w:val="single"/>
        </w:rPr>
        <w:t>komerctiesiskajā</w:t>
      </w:r>
      <w:proofErr w:type="spellEnd"/>
      <w:r w:rsidRPr="00E9117A">
        <w:rPr>
          <w:bCs/>
          <w:u w:val="single"/>
        </w:rPr>
        <w:t xml:space="preserve"> vidē</w:t>
      </w:r>
      <w:r w:rsidRPr="00E9117A">
        <w:rPr>
          <w:bCs/>
        </w:rPr>
        <w:t>:</w:t>
      </w:r>
    </w:p>
    <w:p w14:paraId="52D66F65" w14:textId="77777777" w:rsidR="004756F2" w:rsidRPr="00E9117A" w:rsidRDefault="004756F2" w:rsidP="004756F2">
      <w:pPr>
        <w:numPr>
          <w:ilvl w:val="0"/>
          <w:numId w:val="33"/>
        </w:numPr>
        <w:spacing w:after="200" w:line="276" w:lineRule="auto"/>
        <w:jc w:val="both"/>
      </w:pPr>
      <w:r w:rsidRPr="00E9117A">
        <w:rPr>
          <w:b/>
          <w:bCs/>
        </w:rPr>
        <w:t xml:space="preserve">Obligātas elektroniskās reģistrācijas ieviešana </w:t>
      </w:r>
      <w:r w:rsidRPr="00E9117A">
        <w:t>komercreģistrā, vienlaikus nodrošinot pilnvērtīgu ārvalstnieku identifikāciju.</w:t>
      </w:r>
    </w:p>
    <w:p w14:paraId="077C6856" w14:textId="045CE9AB" w:rsidR="004756F2" w:rsidRPr="00E9117A" w:rsidRDefault="004756F2" w:rsidP="00E9117A">
      <w:pPr>
        <w:spacing w:after="120"/>
        <w:ind w:left="709"/>
        <w:jc w:val="both"/>
      </w:pPr>
      <w:r w:rsidRPr="00E9117A">
        <w:t>Vienlaikus ar komersantu reģistrācijas procesa noteikšanu elektroniskai vai ar zvērināta notāra starpniecību, kā arī centralizēta risinājuma ieviešanu ārvalstnieku identificēšanai valsts līmenī, tiks pilnveidota arī ārvalstnieku identificēšana komercreģistrā</w:t>
      </w:r>
      <w:r w:rsidR="00B933C2" w:rsidRPr="00E9117A">
        <w:t>.</w:t>
      </w:r>
    </w:p>
    <w:p w14:paraId="4ABB5B45" w14:textId="77777777" w:rsidR="004756F2" w:rsidRPr="00E9117A" w:rsidRDefault="004756F2" w:rsidP="004756F2">
      <w:pPr>
        <w:numPr>
          <w:ilvl w:val="0"/>
          <w:numId w:val="34"/>
        </w:numPr>
        <w:spacing w:after="200" w:line="276" w:lineRule="auto"/>
        <w:jc w:val="both"/>
      </w:pPr>
      <w:r w:rsidRPr="00E9117A">
        <w:rPr>
          <w:b/>
          <w:bCs/>
        </w:rPr>
        <w:t xml:space="preserve">Droša, skaidra akciju reģistrācijas un uzskaites kārtība </w:t>
      </w:r>
      <w:r w:rsidRPr="00E9117A">
        <w:t>caur akciju turēšanu kontos. Caurspīdīgas akciju sabiedrības  - viegli pieejama, aktuāla un uzticama informācija par akcionāriem.</w:t>
      </w:r>
    </w:p>
    <w:p w14:paraId="10A95078" w14:textId="77777777" w:rsidR="004756F2" w:rsidRPr="00E9117A" w:rsidRDefault="004756F2" w:rsidP="00E9117A">
      <w:pPr>
        <w:spacing w:after="120"/>
        <w:ind w:left="709"/>
        <w:jc w:val="both"/>
      </w:pPr>
      <w:r w:rsidRPr="00E9117A">
        <w:t>Šobrīd akcionāru reģistrus ved pašas sabiedrības un informācija par akcionāriem nav pieejama trešajām personām.</w:t>
      </w:r>
    </w:p>
    <w:p w14:paraId="4A80BC5F" w14:textId="77777777" w:rsidR="004756F2" w:rsidRPr="00E9117A" w:rsidRDefault="004756F2" w:rsidP="004756F2">
      <w:pPr>
        <w:numPr>
          <w:ilvl w:val="0"/>
          <w:numId w:val="35"/>
        </w:numPr>
        <w:spacing w:after="200" w:line="276" w:lineRule="auto"/>
        <w:jc w:val="both"/>
      </w:pPr>
      <w:r w:rsidRPr="00E9117A">
        <w:rPr>
          <w:b/>
          <w:bCs/>
        </w:rPr>
        <w:t xml:space="preserve">Patiesā labuma guvēju reģistrācija Uzņēmumu reģistrā  </w:t>
      </w:r>
      <w:r w:rsidRPr="00E9117A">
        <w:t>- balstīta uz NILLTFNL risku novērtēšanu, publiskā un privātā sektora sadarbības ceļā</w:t>
      </w:r>
    </w:p>
    <w:p w14:paraId="47C76BDE" w14:textId="37C0A56C" w:rsidR="004756F2" w:rsidRPr="00E9117A" w:rsidRDefault="004756F2" w:rsidP="00B933C2">
      <w:pPr>
        <w:spacing w:after="120"/>
        <w:ind w:firstLine="357"/>
        <w:jc w:val="both"/>
      </w:pPr>
      <w:r w:rsidRPr="00E9117A">
        <w:t xml:space="preserve">Nodrošināta </w:t>
      </w:r>
      <w:r w:rsidRPr="00E9117A">
        <w:rPr>
          <w:i/>
        </w:rPr>
        <w:t>MONEYVAL</w:t>
      </w:r>
      <w:r w:rsidRPr="00E9117A">
        <w:t xml:space="preserve"> rekomendāciju ieviešana - NILLTFNL prasībām atbilstoša juridisko personu patieso labuma guvēju informācijas reģistrācija un pieejamība, samazinot juridisko personu ar augstāko riska pakāpi izmantošanu noziedzīgiem mērķiem.</w:t>
      </w:r>
    </w:p>
    <w:p w14:paraId="74970443" w14:textId="77777777" w:rsidR="00B933C2" w:rsidRPr="00E9117A" w:rsidRDefault="00B933C2" w:rsidP="00E9117A">
      <w:pPr>
        <w:spacing w:after="120"/>
        <w:ind w:firstLine="357"/>
        <w:jc w:val="both"/>
      </w:pPr>
    </w:p>
    <w:p w14:paraId="4881F7F1" w14:textId="77777777" w:rsidR="004756F2" w:rsidRPr="00E9117A" w:rsidRDefault="004756F2" w:rsidP="00E9117A">
      <w:pPr>
        <w:spacing w:after="120"/>
        <w:jc w:val="both"/>
      </w:pPr>
      <w:r w:rsidRPr="00E9117A">
        <w:rPr>
          <w:bCs/>
          <w:u w:val="single"/>
        </w:rPr>
        <w:t>Pasākumi tiesiskās vides pievilcībai un stabilitātei</w:t>
      </w:r>
      <w:r w:rsidRPr="00E9117A">
        <w:rPr>
          <w:bCs/>
        </w:rPr>
        <w:t>:</w:t>
      </w:r>
    </w:p>
    <w:p w14:paraId="3D11BFA7" w14:textId="69993461" w:rsidR="004756F2" w:rsidRPr="00E9117A" w:rsidRDefault="004756F2" w:rsidP="004756F2">
      <w:pPr>
        <w:numPr>
          <w:ilvl w:val="0"/>
          <w:numId w:val="36"/>
        </w:numPr>
        <w:spacing w:after="200" w:line="276" w:lineRule="auto"/>
        <w:jc w:val="both"/>
      </w:pPr>
      <w:r w:rsidRPr="00E9117A">
        <w:rPr>
          <w:b/>
        </w:rPr>
        <w:t>Vienots zemes un ēkas īpašums</w:t>
      </w:r>
      <w:r w:rsidRPr="00E9117A">
        <w:t xml:space="preserve"> – pilnvērtīgāks īpašums – piespiedu dalītā īpašuma tiesisko attiecību sakārtošana virzībā uz vienotu īpašumu</w:t>
      </w:r>
      <w:r w:rsidR="00E9117A" w:rsidRPr="00E9117A">
        <w:t>.</w:t>
      </w:r>
    </w:p>
    <w:p w14:paraId="6CF2411B" w14:textId="77777777" w:rsidR="004756F2" w:rsidRPr="00E9117A" w:rsidRDefault="004756F2" w:rsidP="00E9117A">
      <w:pPr>
        <w:spacing w:after="120"/>
        <w:ind w:left="709"/>
        <w:jc w:val="both"/>
      </w:pPr>
      <w:r w:rsidRPr="00E9117A">
        <w:t xml:space="preserve">Zemes reformas un privatizācijas ceļā radītās piespiedu dalītā īpašuma attiecības, kur zeme pieder vieniem, ēkas - otriem neapmierina nedz zemes, nedz ēku īpašniekus. Īpaši sāpīgs šis jautājums ir daudzdzīvokļu dzīvojamo māju gadījumos, bet skar arī citus ēku un zemju īpašniekus. Tādēļ ir jāturpina darbs pie likumprojekta, lai rastu dalītā īpašuma izbeigšanas risinājumus. Paralēli tam ir jālīdzsvaro piespiedu nomu regulējums, lai novērstu Satversmes tiesas sprieduma 2018.gada 12.aprīļa sprieduma sekas un nodrošināt līdzsvarotu piespiedu nomu regulējumu starp zemes un ēkas īpašniekiem. </w:t>
      </w:r>
    </w:p>
    <w:p w14:paraId="24B8A80A" w14:textId="357B4E6C" w:rsidR="004756F2" w:rsidRPr="00E9117A" w:rsidRDefault="004756F2" w:rsidP="004756F2">
      <w:pPr>
        <w:numPr>
          <w:ilvl w:val="0"/>
          <w:numId w:val="37"/>
        </w:numPr>
        <w:spacing w:after="200" w:line="276" w:lineRule="auto"/>
        <w:jc w:val="both"/>
      </w:pPr>
      <w:r w:rsidRPr="00E9117A">
        <w:rPr>
          <w:b/>
        </w:rPr>
        <w:t>Pagaidu aizsardzības regulējums civillietās</w:t>
      </w:r>
      <w:r w:rsidRPr="00E9117A">
        <w:t xml:space="preserve"> – tiesības uz efektīvu tiesas aizsardzību visu civillietu kategoriju lietās līdz strīda izšķiršanai tiesā ar spēkā stājušos spriedumu</w:t>
      </w:r>
      <w:r w:rsidR="00E9117A" w:rsidRPr="00E9117A">
        <w:t>.</w:t>
      </w:r>
    </w:p>
    <w:p w14:paraId="5B134B97" w14:textId="33F6F44C" w:rsidR="004756F2" w:rsidRPr="00E9117A" w:rsidRDefault="004756F2" w:rsidP="00B933C2">
      <w:pPr>
        <w:ind w:left="709"/>
        <w:jc w:val="both"/>
      </w:pPr>
      <w:r w:rsidRPr="00E9117A">
        <w:t xml:space="preserve">Šobrīd pagaidu aizsardzība ir iespējama tikai 5 civillietu kategorijās intelektuālā īpašuma, kapitālsabiedrību dalībnieku, vardarbības lietās, maksātnespējas procesa pagaidu aizsardzības lietas, bērnu un laulības šķiršanas lietās. Trauksmes celšanas likums paredz līdz 2019.gada decembrim ieviest pagaidu aizsardzību trauksmes cēlāja aizsardzībai civilprocesā. Tomēr TM piedāvā nākt klajā ar visaptverošu pagaidu aizsardzības regulējumu, kas būtu pieejams gan </w:t>
      </w:r>
      <w:proofErr w:type="spellStart"/>
      <w:r w:rsidRPr="00E9117A">
        <w:t>komercstrīdos</w:t>
      </w:r>
      <w:proofErr w:type="spellEnd"/>
      <w:r w:rsidRPr="00E9117A">
        <w:t xml:space="preserve">, gan </w:t>
      </w:r>
      <w:proofErr w:type="spellStart"/>
      <w:r w:rsidRPr="00E9117A">
        <w:t>robežstrīdos</w:t>
      </w:r>
      <w:proofErr w:type="spellEnd"/>
      <w:r w:rsidRPr="00E9117A">
        <w:t xml:space="preserve"> un </w:t>
      </w:r>
      <w:r w:rsidRPr="00E9117A">
        <w:lastRenderedPageBreak/>
        <w:t>servitūtu strīdos, faktiski jebkurā civillietu kategorijā, padarot efektīvāku personām pieejamo tiesiskās aizsardzības līdzekļu klāstu.</w:t>
      </w:r>
    </w:p>
    <w:p w14:paraId="2406DED4" w14:textId="77777777" w:rsidR="00945D3B" w:rsidRPr="00E9117A" w:rsidRDefault="00945D3B" w:rsidP="004756F2">
      <w:pPr>
        <w:jc w:val="both"/>
      </w:pPr>
    </w:p>
    <w:p w14:paraId="0E47D665" w14:textId="77777777" w:rsidR="004756F2" w:rsidRPr="00E9117A" w:rsidRDefault="004756F2" w:rsidP="004756F2">
      <w:pPr>
        <w:numPr>
          <w:ilvl w:val="0"/>
          <w:numId w:val="38"/>
        </w:numPr>
        <w:spacing w:after="200" w:line="276" w:lineRule="auto"/>
        <w:jc w:val="both"/>
      </w:pPr>
      <w:r w:rsidRPr="00E9117A">
        <w:rPr>
          <w:b/>
        </w:rPr>
        <w:t>Maksātnespējas reformas 2.fāze</w:t>
      </w:r>
      <w:r w:rsidRPr="00E9117A">
        <w:t xml:space="preserve"> - atbalsts otrai iespējai fiziskām personām un komersantu parādu restrukturizācijai</w:t>
      </w:r>
    </w:p>
    <w:p w14:paraId="74F8A1CD" w14:textId="5C0562C9" w:rsidR="004756F2" w:rsidRPr="00E9117A" w:rsidRDefault="004756F2" w:rsidP="00B933C2">
      <w:pPr>
        <w:spacing w:after="120"/>
        <w:ind w:left="709"/>
        <w:jc w:val="both"/>
      </w:pPr>
      <w:r w:rsidRPr="00E9117A">
        <w:t>2014.gadā iesāktā maksātnespējas procesa administratoru profesijas ir noslēguma stadijā – izstrādāti un pieņemti nepieciešamie normatīvie akti, kas jau ir īstenoti arī praksē. 2019.gada 14.februārī  Starptautiskais Valūtas fonds prezentēs tā secinājumus par maksātnespējas reformas īstenošanu Latvijā. Novērtējums kopumā ir pozitīvs, vienlaikus SVF izvirza virkni priekšlikumus regulējuma pilnveidošanai, lai novērstu konstatētās nepilnības (piemēram, maksātnespējas procesa administratoru kategoriju ieviešanu, lai nodrošinātu atbilstošāka kandidāta izvēli, ņemot vērā katra procesa īpatnības).</w:t>
      </w:r>
    </w:p>
    <w:p w14:paraId="55ABACDC" w14:textId="77777777" w:rsidR="00B933C2" w:rsidRPr="00E9117A" w:rsidRDefault="00B933C2" w:rsidP="00E9117A">
      <w:pPr>
        <w:spacing w:after="120"/>
        <w:ind w:left="709"/>
        <w:jc w:val="both"/>
      </w:pPr>
    </w:p>
    <w:p w14:paraId="01642FC3" w14:textId="77777777" w:rsidR="004756F2" w:rsidRPr="00E9117A" w:rsidRDefault="004756F2" w:rsidP="00E9117A">
      <w:pPr>
        <w:ind w:firstLine="709"/>
        <w:jc w:val="both"/>
      </w:pPr>
      <w:r w:rsidRPr="00E9117A">
        <w:t xml:space="preserve">Turpmāk galvenā uzmanība būs veltīta tam, lai pilnveidotu procesus, kas sniedz otro iespēju gan fiziskām personām, gan arī juridiskajām – risinājumi, kas ir vērsti uz pozitīvu </w:t>
      </w:r>
      <w:proofErr w:type="spellStart"/>
      <w:r w:rsidRPr="00E9117A">
        <w:t>komerctiesiskās</w:t>
      </w:r>
      <w:proofErr w:type="spellEnd"/>
      <w:r w:rsidRPr="00E9117A">
        <w:t xml:space="preserve"> vides attīstību. 2019.gadā ministrija strādās pie tiesiskās aizsardzības procesa regulējuma pilnveidošanas un meklēs risinājumus, kā iedrošināt uzņēmējus savlaicīgi risināt finanšu problēmas. Tāpat tiks pilnveidots fiziskās personas maksātnespējas procesa regulējums, sākotnēji risinot jautājumu par atvieglota fiziskās personas maksātnespējas procesa izveidi personām ar zemiem ienākumiem.</w:t>
      </w:r>
    </w:p>
    <w:p w14:paraId="7B88E9BC" w14:textId="77777777" w:rsidR="004756F2" w:rsidRPr="00E9117A" w:rsidRDefault="004756F2" w:rsidP="00E9117A">
      <w:pPr>
        <w:spacing w:after="120"/>
        <w:jc w:val="both"/>
        <w:rPr>
          <w:bCs/>
        </w:rPr>
      </w:pPr>
      <w:r w:rsidRPr="00E9117A">
        <w:rPr>
          <w:bCs/>
          <w:u w:val="single"/>
        </w:rPr>
        <w:t>Pasākumi iestāžu spēju stiprināšanai</w:t>
      </w:r>
      <w:r w:rsidRPr="00E9117A">
        <w:rPr>
          <w:bCs/>
        </w:rPr>
        <w:t>:</w:t>
      </w:r>
    </w:p>
    <w:p w14:paraId="4E7BBD58" w14:textId="77777777" w:rsidR="004756F2" w:rsidRPr="00E9117A" w:rsidRDefault="004756F2" w:rsidP="00E9117A">
      <w:pPr>
        <w:spacing w:after="120"/>
        <w:ind w:firstLine="357"/>
        <w:jc w:val="both"/>
      </w:pPr>
      <w:r w:rsidRPr="00E9117A">
        <w:rPr>
          <w:bCs/>
        </w:rPr>
        <w:t>Trešais rīcības virziens ir saistīts ar Uzņēmumu reģistra un citu ministrijas iestāžu pakalpojumu modernizāciju – par mērķi izvirzot iestāžu pakalpojumu ātrumu, drošību un pieejamību.</w:t>
      </w:r>
      <w:r w:rsidRPr="00E9117A">
        <w:t xml:space="preserve"> Uzņēmumu reģistra un citu Tieslietu ministrijas padotības iestāžu, kas sniedz pakalpojumus uzņēmējiem, modernizācija, nodrošinot inovācijās balstītus e-pakalpojumus un stingrākas iesniegtās informācijas pārbaudes dos būtisku ieguldījumu </w:t>
      </w:r>
      <w:proofErr w:type="spellStart"/>
      <w:r w:rsidRPr="00E9117A">
        <w:t>komerctiesiskās</w:t>
      </w:r>
      <w:proofErr w:type="spellEnd"/>
      <w:r w:rsidRPr="00E9117A">
        <w:t xml:space="preserve"> vides stabilitātei un pievilcībai, un proti:</w:t>
      </w:r>
    </w:p>
    <w:p w14:paraId="7C1BBB7F" w14:textId="77777777" w:rsidR="004756F2" w:rsidRPr="00E9117A" w:rsidRDefault="004756F2" w:rsidP="00E9117A">
      <w:pPr>
        <w:numPr>
          <w:ilvl w:val="0"/>
          <w:numId w:val="41"/>
        </w:numPr>
        <w:spacing w:after="120" w:line="276" w:lineRule="auto"/>
        <w:ind w:left="714" w:hanging="357"/>
        <w:jc w:val="both"/>
      </w:pPr>
      <w:r w:rsidRPr="00E9117A">
        <w:t>Ērta datu ievade klientiem tiešsaistē;</w:t>
      </w:r>
    </w:p>
    <w:p w14:paraId="4EF4F1DE" w14:textId="77777777" w:rsidR="004756F2" w:rsidRPr="00E9117A" w:rsidRDefault="004756F2" w:rsidP="00E9117A">
      <w:pPr>
        <w:numPr>
          <w:ilvl w:val="0"/>
          <w:numId w:val="41"/>
        </w:numPr>
        <w:spacing w:after="120" w:line="276" w:lineRule="auto"/>
        <w:ind w:left="714" w:hanging="357"/>
        <w:jc w:val="both"/>
      </w:pPr>
      <w:r w:rsidRPr="00E9117A">
        <w:t>Vairumā gadījumu automatizēta, tūlītēja informācijas pārbaude, rezultātā samazinot atlikšanas lēmumu skaitu;</w:t>
      </w:r>
    </w:p>
    <w:p w14:paraId="25EFBFDF" w14:textId="77777777" w:rsidR="004756F2" w:rsidRPr="00E9117A" w:rsidRDefault="004756F2" w:rsidP="00E9117A">
      <w:pPr>
        <w:numPr>
          <w:ilvl w:val="0"/>
          <w:numId w:val="41"/>
        </w:numPr>
        <w:spacing w:after="120" w:line="276" w:lineRule="auto"/>
        <w:ind w:left="714" w:hanging="357"/>
        <w:jc w:val="both"/>
      </w:pPr>
      <w:r w:rsidRPr="00E9117A">
        <w:t>Pakalpojumu procesu automatizācijas rezultātā radīta iespēja novirzīt resursus padziļinātākām informācijas pārbaudēm, īpaši par patiesajiem labuma guvējiem;</w:t>
      </w:r>
    </w:p>
    <w:p w14:paraId="6F4F5BE4" w14:textId="49DFD6FA" w:rsidR="00E9117A" w:rsidRDefault="004756F2" w:rsidP="00E9117A">
      <w:pPr>
        <w:numPr>
          <w:ilvl w:val="0"/>
          <w:numId w:val="41"/>
        </w:numPr>
        <w:spacing w:after="120" w:line="276" w:lineRule="auto"/>
        <w:ind w:left="714" w:hanging="357"/>
        <w:jc w:val="both"/>
      </w:pPr>
      <w:r w:rsidRPr="00E9117A">
        <w:t>Efektīvāka Uzņēmumu reģistra informācijas publiskā pieejamība, pilnveidojot tiešsaistē sniegtos pakalpojumus un virzoties uz bezmaksas informācijas izsniegšanu.</w:t>
      </w:r>
    </w:p>
    <w:p w14:paraId="2C2211ED" w14:textId="4745F17D" w:rsidR="00957234" w:rsidRPr="00E9117A" w:rsidRDefault="002B2B79" w:rsidP="002B2B79">
      <w:pPr>
        <w:jc w:val="center"/>
        <w:rPr>
          <w:b/>
          <w:sz w:val="26"/>
          <w:szCs w:val="26"/>
        </w:rPr>
      </w:pPr>
      <w:bookmarkStart w:id="4" w:name="_GoBack"/>
      <w:bookmarkEnd w:id="4"/>
      <w:r w:rsidRPr="00E9117A">
        <w:rPr>
          <w:b/>
          <w:sz w:val="26"/>
          <w:szCs w:val="26"/>
        </w:rPr>
        <w:t>II Efektīvs tiesu darbs.</w:t>
      </w:r>
    </w:p>
    <w:p w14:paraId="614E3654" w14:textId="77777777" w:rsidR="002B2B79" w:rsidRPr="00E9117A" w:rsidRDefault="002B2B79" w:rsidP="002B2B79">
      <w:pPr>
        <w:jc w:val="center"/>
        <w:rPr>
          <w:b/>
        </w:rPr>
      </w:pPr>
    </w:p>
    <w:bookmarkEnd w:id="3"/>
    <w:p w14:paraId="72F0EEC7" w14:textId="77777777" w:rsidR="00C83BF3" w:rsidRPr="00E9117A" w:rsidRDefault="00C83BF3" w:rsidP="00C83BF3">
      <w:pPr>
        <w:ind w:firstLine="709"/>
        <w:jc w:val="both"/>
        <w:rPr>
          <w:rFonts w:eastAsia="Calibri"/>
        </w:rPr>
      </w:pPr>
      <w:r w:rsidRPr="00E9117A">
        <w:rPr>
          <w:rFonts w:eastAsia="Calibri"/>
        </w:rPr>
        <w:t>Taisnīga tiesa ir jebkuras demokrātiskas tiesību sistēmas pamatvērtība. Satversmes 92. panta pirmais teikums nosaka: „Ikviens var aizstāvēt savas tiesības un likumiskās intereses taisnīgā tiesā.” Kā vairākkārtīgi uzsvērusi Satversmes tiesa, Satversmes 92. pants uzliek valstij pienākumu, saskaņā ar kuru tai ne vien jāizveido un jāuztur institucionālā infrastruktūra, kas nepieciešama taisnīgas tiesas realizēšanai, bet arī jāpieņem un jāievieš tiesību normas, kas garantē, ka pati procedūra ir taisnīga un objektīva</w:t>
      </w:r>
      <w:r w:rsidRPr="00E9117A">
        <w:rPr>
          <w:rFonts w:eastAsia="Calibri"/>
          <w:vertAlign w:val="superscript"/>
        </w:rPr>
        <w:footnoteReference w:id="1"/>
      </w:r>
      <w:r w:rsidRPr="00E9117A">
        <w:rPr>
          <w:rFonts w:eastAsia="Calibri"/>
        </w:rPr>
        <w:t xml:space="preserve">. Tādējādi jēdziens „taisnīga tiesa” ietver </w:t>
      </w:r>
      <w:r w:rsidRPr="00E9117A">
        <w:rPr>
          <w:rFonts w:eastAsia="Calibri"/>
        </w:rPr>
        <w:lastRenderedPageBreak/>
        <w:t>divus aspektus, proti, „taisnīga tiesa” kā neatkarīga tiesu varas institūcija, kas izskata lietu, un „taisnīga tiesa” kā pienācīgs, tiesiskai valstij atbilstošs process, kurā lieta tiek izskatīta.</w:t>
      </w:r>
    </w:p>
    <w:p w14:paraId="6448F6C0" w14:textId="77777777" w:rsidR="002B2B79" w:rsidRPr="00E9117A" w:rsidRDefault="002B2B79" w:rsidP="00C83BF3">
      <w:pPr>
        <w:ind w:firstLine="709"/>
        <w:jc w:val="both"/>
        <w:rPr>
          <w:rFonts w:eastAsia="Calibri"/>
        </w:rPr>
      </w:pPr>
    </w:p>
    <w:p w14:paraId="05286868" w14:textId="1CFDEF4F" w:rsidR="00C83BF3" w:rsidRPr="00E9117A" w:rsidRDefault="00C83BF3" w:rsidP="00E9117A">
      <w:pPr>
        <w:spacing w:after="120"/>
        <w:ind w:firstLine="709"/>
        <w:jc w:val="both"/>
        <w:rPr>
          <w:rFonts w:eastAsia="Calibri"/>
          <w:b/>
        </w:rPr>
      </w:pPr>
      <w:r w:rsidRPr="00E9117A">
        <w:rPr>
          <w:rFonts w:eastAsia="Calibri"/>
          <w:b/>
        </w:rPr>
        <w:t>4. Efektīvs process un taisnīgs spriedums</w:t>
      </w:r>
    </w:p>
    <w:p w14:paraId="7A3A2329" w14:textId="77777777" w:rsidR="00C83BF3" w:rsidRPr="00E9117A" w:rsidRDefault="00C83BF3" w:rsidP="00E9117A">
      <w:pPr>
        <w:spacing w:after="120"/>
        <w:ind w:firstLine="709"/>
        <w:jc w:val="both"/>
        <w:rPr>
          <w:rFonts w:eastAsia="Calibri"/>
        </w:rPr>
      </w:pPr>
      <w:r w:rsidRPr="00E9117A">
        <w:rPr>
          <w:rFonts w:eastAsia="Calibri"/>
        </w:rPr>
        <w:t>Tieslietu politikas un tiesu sistēmas efektivitātei ir nozīmīga loma valsts tautsaimniecības attīstībā. Efektīva un kvalitatīva tiesu sistēmas darbība ir būtiski aspekti, kas ietekmē komercdarbības vidi un līdz ar to arī Latvijas iedzīvotāju labklājības līmeni. Uzņēmējdarbības ietvaros nenoliedzami būtiska nozīme ir tam, cik ātri var panākt savu tiesību aizsardzību tiesā, tomēr vienlīdz svarīgi ir nodrošināt augstu nolēmumu kvalitāti un taisnīguma atjaunošanu.</w:t>
      </w:r>
    </w:p>
    <w:p w14:paraId="2363E3BE" w14:textId="77777777" w:rsidR="00C83BF3" w:rsidRPr="00E9117A" w:rsidRDefault="00C83BF3" w:rsidP="00E9117A">
      <w:pPr>
        <w:spacing w:after="120"/>
        <w:ind w:firstLine="709"/>
        <w:jc w:val="both"/>
        <w:rPr>
          <w:rFonts w:eastAsia="Calibri"/>
        </w:rPr>
      </w:pPr>
      <w:r w:rsidRPr="00E9117A">
        <w:rPr>
          <w:rFonts w:eastAsia="Calibri"/>
          <w:b/>
        </w:rPr>
        <w:t>Specializācija ir viens no tiesu darba organizatoriskajiem rīkiem, ar kura palīdzību var nodrošināt augstu nolēmumu kvalitāti augstas juridiskās sarežģītības lietās, kas no tiesneša prasa specifiskas  zināšanas un pieredzi.</w:t>
      </w:r>
      <w:r w:rsidRPr="00E9117A">
        <w:rPr>
          <w:rFonts w:eastAsia="Calibri"/>
        </w:rPr>
        <w:t xml:space="preserve"> Tiesnešu specializācija ne tikai konkrētās tiesību nozarēs, bet arī tiesību institūtos vai lietu kategorijās, rada iespēju nodrošināt šo tiesnešu vajadzībām  atbilstošas kvalificētas mācības, tādējādi nodrošinot tiesnešiem šo lietu izskatīšanai  nepieciešamās profesionālās prasmes.  Atkarībā no lietu apjoma kā risinājums var tikt izskatīta tiesnešu vai tiesas specializācija. Tiesas specializācija (tiesas kompetences koncentrēšana) ir piemērots risinājums, ja lietu kopskaits gadā ir salīdzinoši mazs, bet to izskatīšana ir saistīta ar specifiskiem  tiesību jautājumiem un prasa no tiesneša arī papildu nozaru pārzināšanu, piemēram, nodokļu vai grāmatvedības jomā. Pie varbūtības, ka šādu lietu tiesnesis varētu saņemt, iespējams, reizi piecos gados, nebūtu efektīvi apmācīt visus Latvijas tiesnešus. Līdz ar to šādos gadījumos kā risinājums izskatāma tiesas kompetences koncentrēšana vienā tiesā.</w:t>
      </w:r>
    </w:p>
    <w:p w14:paraId="4A24AFA3" w14:textId="77777777" w:rsidR="00C83BF3" w:rsidRPr="00E9117A" w:rsidRDefault="00C83BF3" w:rsidP="00E9117A">
      <w:pPr>
        <w:spacing w:after="120"/>
        <w:ind w:firstLine="709"/>
        <w:jc w:val="both"/>
        <w:rPr>
          <w:rFonts w:eastAsia="Calibri"/>
          <w:b/>
        </w:rPr>
      </w:pPr>
      <w:r w:rsidRPr="00E9117A">
        <w:rPr>
          <w:rFonts w:eastAsia="Calibri"/>
          <w:b/>
        </w:rPr>
        <w:t>Paralēli specializācijai, risināms jautājums par lietu izskatīšanas prioritāti.</w:t>
      </w:r>
      <w:r w:rsidRPr="00E9117A">
        <w:rPr>
          <w:rFonts w:eastAsia="Calibri"/>
        </w:rPr>
        <w:t xml:space="preserve"> Kriminālprocesa likums noteic, ka ikvienam ir tiesības uz kriminālprocesa pabeigšanu saprātīgā termiņā, tas ir, bez neattaisnotas novilcināšanas. Nenoliedzami, kriminālprocesa pabeigšana saprātīgā termiņā ir saistīta ar lietas apjomu, juridisko sarežģītību, procesuālo darbību daudzumu, procesā iesaistīto personu attieksmi pret pienākumu pildīšanu un citiem objektīviem apstākļiem. Vienlaikus likums noteic, ka atsevišķiem kriminālprocesiem saprātīga termiņa nodrošināšanā priekšrocība salīdzinājumā ar citiem, piemēram, kriminālprocesam, kurā apsūdzēta valsts amatpersona, kas ieņem atbildīgu stāvokli, saprātīga termiņa nodrošināšanā ir priekšrocība salīdzinājumā ar pārējiem kriminālprocesiem. Kriminālprocesam pret nepilngadīgu personu saprātīga termiņa nodrošināšanā ir priekšrocība salīdzinājumā ar līdzīgiem kriminālprocesiem pret pilngadīgu personu</w:t>
      </w:r>
      <w:r w:rsidRPr="00E9117A">
        <w:rPr>
          <w:rFonts w:eastAsia="Calibri"/>
          <w:vertAlign w:val="superscript"/>
        </w:rPr>
        <w:footnoteReference w:id="2"/>
      </w:r>
      <w:r w:rsidRPr="00E9117A">
        <w:rPr>
          <w:rFonts w:eastAsia="Calibri"/>
        </w:rPr>
        <w:t xml:space="preserve">. Priekšrocība jeb prioritāra lietu izskatīšanas kārtība ir viens no procesuālajiem instrumentiem kā sekmēt lietas ātrāku izskatīšanu, tomēr tas kā risinājums rūpīgi analizējams, izvērtējot </w:t>
      </w:r>
      <w:proofErr w:type="spellStart"/>
      <w:r w:rsidRPr="00E9117A">
        <w:rPr>
          <w:rFonts w:eastAsia="Calibri"/>
        </w:rPr>
        <w:t>prioritizēto</w:t>
      </w:r>
      <w:proofErr w:type="spellEnd"/>
      <w:r w:rsidRPr="00E9117A">
        <w:rPr>
          <w:rFonts w:eastAsia="Calibri"/>
        </w:rPr>
        <w:t xml:space="preserve"> lietu apjomu un to prioritātes iespējamās sekas attiecībā uz citu lietu izskatīšanas termiņiem. Atzīmējams, ka saprātīga termiņa neievērošana var būt pamats procesa izbeigšanai. </w:t>
      </w:r>
      <w:proofErr w:type="spellStart"/>
      <w:r w:rsidRPr="00E9117A">
        <w:rPr>
          <w:rFonts w:eastAsia="Calibri"/>
          <w:b/>
        </w:rPr>
        <w:t>Moneyval</w:t>
      </w:r>
      <w:proofErr w:type="spellEnd"/>
      <w:r w:rsidRPr="00E9117A">
        <w:rPr>
          <w:rFonts w:eastAsia="Calibri"/>
          <w:b/>
        </w:rPr>
        <w:t xml:space="preserve"> rekomendācijās Latvijai ir uzsvērts, ka valstij jānodrošina «naudas atmazgāšanas» lietu prioritāte tiesās.</w:t>
      </w:r>
    </w:p>
    <w:p w14:paraId="7C72E238" w14:textId="77777777" w:rsidR="00C83BF3" w:rsidRPr="00E9117A" w:rsidRDefault="00C83BF3" w:rsidP="00C83BF3">
      <w:pPr>
        <w:ind w:firstLine="709"/>
        <w:jc w:val="both"/>
        <w:rPr>
          <w:rFonts w:eastAsia="Calibri"/>
        </w:rPr>
      </w:pPr>
      <w:r w:rsidRPr="00E9117A">
        <w:rPr>
          <w:rFonts w:eastAsia="Calibri"/>
        </w:rPr>
        <w:t>Uzsverams, ka, ņemot vērā minēto, ir būtiski, lai būtu nodrošināta atbilstoša tiesu kapacitāte, ko, pirmkārt, veido noslodzei atbilstošs tiesnešu korpuss, un, otrkārt, profesionāls tiesas darbinieku resurss. Īpaši atzīmējama tiesneša palīga loma, tomēr joprojām ir grūti piesaistīt pastāvīgam darbam tiesā tiesneša palīga amatā augsti kvalificētus juristus, jo atlīdzība nav konkurētspējīga ar privāto sektoru. Lai minēto risinātu, būtu turpināma 2017.gadā iesāktā atlīdzības celšana, vienlaikus pārskatot amatam noteikto kompetenci un funkcijas, atslogojot tiesnesi no tādu darbu veikšanas, kas tieši nav saistīti ar tiesas spriešanu.</w:t>
      </w:r>
    </w:p>
    <w:p w14:paraId="5E5D6EA9" w14:textId="77777777" w:rsidR="00C83BF3" w:rsidRPr="00E9117A" w:rsidRDefault="00C83BF3" w:rsidP="00C83BF3">
      <w:pPr>
        <w:jc w:val="both"/>
        <w:rPr>
          <w:rFonts w:eastAsia="Calibri"/>
        </w:rPr>
      </w:pPr>
    </w:p>
    <w:p w14:paraId="416B2E06" w14:textId="77777777" w:rsidR="00C83BF3" w:rsidRPr="00E9117A" w:rsidRDefault="00C83BF3" w:rsidP="00E9117A">
      <w:pPr>
        <w:spacing w:after="120"/>
        <w:jc w:val="both"/>
        <w:rPr>
          <w:rFonts w:eastAsia="Calibri"/>
        </w:rPr>
      </w:pPr>
      <w:r w:rsidRPr="00E9117A">
        <w:rPr>
          <w:rFonts w:eastAsia="Calibri"/>
        </w:rPr>
        <w:lastRenderedPageBreak/>
        <w:t>Lai nodrošinātu turpmāku izaugsmi, īstenojami šādi pasākumi:</w:t>
      </w:r>
    </w:p>
    <w:p w14:paraId="47D173D8" w14:textId="77777777" w:rsidR="00C83BF3" w:rsidRPr="00E9117A" w:rsidRDefault="00C83BF3" w:rsidP="00E9117A">
      <w:pPr>
        <w:spacing w:after="120"/>
        <w:jc w:val="both"/>
        <w:rPr>
          <w:rFonts w:eastAsia="Calibri"/>
        </w:rPr>
      </w:pPr>
      <w:r w:rsidRPr="00E9117A">
        <w:rPr>
          <w:rFonts w:eastAsia="Calibri"/>
          <w:b/>
          <w:bCs/>
          <w:u w:val="thick"/>
        </w:rPr>
        <w:t>1. Stiprināt specializāciju tiesās:</w:t>
      </w:r>
    </w:p>
    <w:p w14:paraId="4956133D" w14:textId="77777777" w:rsidR="00C83BF3" w:rsidRPr="00E9117A" w:rsidRDefault="00C83BF3" w:rsidP="00E9117A">
      <w:pPr>
        <w:spacing w:after="120"/>
        <w:ind w:left="567"/>
        <w:jc w:val="both"/>
        <w:rPr>
          <w:rFonts w:eastAsia="Calibri"/>
        </w:rPr>
      </w:pPr>
      <w:r w:rsidRPr="00E9117A">
        <w:rPr>
          <w:rFonts w:eastAsia="Calibri"/>
        </w:rPr>
        <w:t>1.1  nodrošināt tiesnešu specializāciju specifiskās tiesību nozarēs un lietu kategorijās.</w:t>
      </w:r>
    </w:p>
    <w:p w14:paraId="062CE8F9" w14:textId="39AB4180" w:rsidR="00C83BF3" w:rsidRPr="00E9117A" w:rsidRDefault="00C83BF3" w:rsidP="00F72877">
      <w:pPr>
        <w:spacing w:after="120"/>
        <w:ind w:left="567"/>
        <w:jc w:val="both"/>
        <w:rPr>
          <w:rFonts w:eastAsia="Calibri"/>
        </w:rPr>
      </w:pPr>
      <w:r w:rsidRPr="00E9117A">
        <w:rPr>
          <w:rFonts w:eastAsia="Calibri"/>
        </w:rPr>
        <w:t xml:space="preserve">1.2. </w:t>
      </w:r>
      <w:proofErr w:type="spellStart"/>
      <w:r w:rsidRPr="00E9117A">
        <w:rPr>
          <w:rFonts w:eastAsia="Calibri"/>
        </w:rPr>
        <w:t>prioritizēt</w:t>
      </w:r>
      <w:proofErr w:type="spellEnd"/>
      <w:r w:rsidRPr="00E9117A">
        <w:rPr>
          <w:rFonts w:eastAsia="Calibri"/>
        </w:rPr>
        <w:t xml:space="preserve"> «naudas atmazgāšanas» lietu izskatīšanu.</w:t>
      </w:r>
    </w:p>
    <w:p w14:paraId="03F25BD2" w14:textId="77777777" w:rsidR="00C83BF3" w:rsidRPr="00E9117A" w:rsidRDefault="00C83BF3" w:rsidP="00E9117A">
      <w:pPr>
        <w:spacing w:after="120"/>
        <w:jc w:val="both"/>
        <w:rPr>
          <w:rFonts w:eastAsia="Calibri"/>
        </w:rPr>
      </w:pPr>
      <w:r w:rsidRPr="00E9117A">
        <w:rPr>
          <w:rFonts w:eastAsia="Calibri"/>
          <w:b/>
          <w:bCs/>
          <w:u w:val="single"/>
        </w:rPr>
        <w:t>2.</w:t>
      </w:r>
      <w:r w:rsidRPr="00E9117A">
        <w:rPr>
          <w:rFonts w:eastAsia="Calibri"/>
          <w:b/>
          <w:bCs/>
        </w:rPr>
        <w:t> </w:t>
      </w:r>
      <w:r w:rsidRPr="00E9117A">
        <w:rPr>
          <w:rFonts w:eastAsia="Calibri"/>
          <w:b/>
          <w:bCs/>
          <w:u w:val="thick"/>
        </w:rPr>
        <w:t>Stiprināt tiesu kapacitāti:</w:t>
      </w:r>
    </w:p>
    <w:p w14:paraId="03B94615" w14:textId="77777777" w:rsidR="00C83BF3" w:rsidRPr="00E9117A" w:rsidRDefault="00C83BF3" w:rsidP="00E9117A">
      <w:pPr>
        <w:spacing w:after="120"/>
        <w:ind w:left="567"/>
        <w:jc w:val="both"/>
        <w:rPr>
          <w:rFonts w:eastAsia="Calibri"/>
        </w:rPr>
      </w:pPr>
      <w:r w:rsidRPr="00E9117A">
        <w:rPr>
          <w:rFonts w:eastAsia="Calibri"/>
        </w:rPr>
        <w:t>2.1. nodrošināt kvalificētas mācības tiesnešiem, tiesu darbiniekiem, kā  arī citiem procesā iesaistītajiem subjektiem.</w:t>
      </w:r>
    </w:p>
    <w:p w14:paraId="75C24F58" w14:textId="77777777" w:rsidR="00C83BF3" w:rsidRPr="00E9117A" w:rsidRDefault="00C83BF3" w:rsidP="00E9117A">
      <w:pPr>
        <w:spacing w:after="120"/>
        <w:ind w:left="567"/>
        <w:jc w:val="both"/>
        <w:rPr>
          <w:rFonts w:eastAsia="Calibri"/>
        </w:rPr>
      </w:pPr>
      <w:r w:rsidRPr="00E9117A">
        <w:rPr>
          <w:rFonts w:eastAsia="Calibri"/>
        </w:rPr>
        <w:t>2.2. turpināt tiesu darbinieku atalgojuma reformu un attīstīt tiesnešu palīgu institūtu.</w:t>
      </w:r>
    </w:p>
    <w:p w14:paraId="3A6ADA41" w14:textId="77777777" w:rsidR="00C83BF3" w:rsidRPr="00E9117A" w:rsidRDefault="00C83BF3" w:rsidP="00C83BF3">
      <w:pPr>
        <w:ind w:firstLine="709"/>
        <w:jc w:val="both"/>
        <w:rPr>
          <w:rFonts w:eastAsia="Calibri"/>
        </w:rPr>
      </w:pPr>
    </w:p>
    <w:p w14:paraId="3043D00C" w14:textId="2666B542" w:rsidR="00C83BF3" w:rsidRPr="00E9117A" w:rsidRDefault="00C83BF3" w:rsidP="00E9117A">
      <w:pPr>
        <w:spacing w:after="120"/>
        <w:jc w:val="both"/>
        <w:rPr>
          <w:rFonts w:eastAsia="Calibri"/>
          <w:b/>
        </w:rPr>
      </w:pPr>
      <w:r w:rsidRPr="00E9117A">
        <w:rPr>
          <w:rFonts w:eastAsia="Calibri"/>
        </w:rPr>
        <w:tab/>
      </w:r>
      <w:r w:rsidR="002B2B79" w:rsidRPr="00E9117A">
        <w:rPr>
          <w:rFonts w:eastAsia="Calibri"/>
          <w:b/>
        </w:rPr>
        <w:t>5</w:t>
      </w:r>
      <w:r w:rsidRPr="00E9117A">
        <w:rPr>
          <w:rFonts w:eastAsia="Calibri"/>
          <w:b/>
        </w:rPr>
        <w:t xml:space="preserve">. </w:t>
      </w:r>
      <w:r w:rsidR="002B2B79" w:rsidRPr="00E9117A">
        <w:rPr>
          <w:rFonts w:eastAsia="Calibri"/>
          <w:b/>
        </w:rPr>
        <w:t>Tiesu un tiesnešu n</w:t>
      </w:r>
      <w:r w:rsidRPr="00E9117A">
        <w:rPr>
          <w:rFonts w:eastAsia="Calibri"/>
          <w:b/>
        </w:rPr>
        <w:t>eatkarības un atbildības līdzsvarošana</w:t>
      </w:r>
    </w:p>
    <w:p w14:paraId="34912D6F" w14:textId="77777777" w:rsidR="00C83BF3" w:rsidRPr="00E9117A" w:rsidRDefault="00C83BF3" w:rsidP="00E9117A">
      <w:pPr>
        <w:spacing w:after="120"/>
        <w:ind w:firstLine="720"/>
        <w:jc w:val="both"/>
        <w:rPr>
          <w:rFonts w:eastAsia="Calibri"/>
        </w:rPr>
      </w:pPr>
      <w:r w:rsidRPr="00E9117A">
        <w:rPr>
          <w:rFonts w:eastAsia="Calibri"/>
        </w:rPr>
        <w:t xml:space="preserve">Jebkuras demokrātiskas valsts tiesu varai, lai tā varētu nodrošināt tiesības uz taisnīgu tiesu, ir jābūt neatkarīgai. Tiesu varai jābūt aizsargātai no ārējas iejaukšanās vai spiediena, kas varētu apdraudēt tās neatkarību, izskatot tām uzticētos strīdus. Lai aizsargātu no ārējas ietekmes ir nepieciešamas tādas garantijas, kā piemēram, </w:t>
      </w:r>
      <w:proofErr w:type="spellStart"/>
      <w:r w:rsidRPr="00E9117A">
        <w:rPr>
          <w:rFonts w:eastAsia="Calibri"/>
        </w:rPr>
        <w:t>neatceļamība</w:t>
      </w:r>
      <w:proofErr w:type="spellEnd"/>
      <w:r w:rsidRPr="00E9117A">
        <w:rPr>
          <w:rFonts w:eastAsia="Calibri"/>
        </w:rPr>
        <w:t xml:space="preserve">. Tiesnesis – tas ir ne tikai jurists vai valsts amatpersona, bet arī tiesiskuma nesējs un īstenotājs. </w:t>
      </w:r>
      <w:r w:rsidRPr="00E9117A">
        <w:rPr>
          <w:rFonts w:eastAsia="Calibri"/>
          <w:b/>
        </w:rPr>
        <w:t>Tiesnešu neatkarība, kas ir taisnīguma, tiesneša objektivitātes un neitralitātes garants, nav privilēģija vai pašmērķis, bet gan atbildība</w:t>
      </w:r>
      <w:r w:rsidRPr="00E9117A">
        <w:rPr>
          <w:rFonts w:eastAsia="Calibri"/>
        </w:rPr>
        <w:t xml:space="preserve"> pret uzticēto amatu un varu.  Kā būtisks izaicinājums minama arī sabiedrības uzticēšanās līmeņa tiesu varai celšana. Tas ietver gan nepārtrauktu kvalifikācijas pilnveidi, gan augstu ētikas standartu ievērošanu. Tiesu varai un it īpaši tās pašpārvaldes organizācijām jārūpējas, lai sabiedrība būtu pārliecināta, ka ikviens tiesnesis savu amatu pilda godprātīgi. Ne mazākās šaubas nedrīkst palikt neizkliedētas. Tiesu varai, atsakoties no nepamatota profesionāla </w:t>
      </w:r>
      <w:proofErr w:type="spellStart"/>
      <w:r w:rsidRPr="00E9117A">
        <w:rPr>
          <w:rFonts w:eastAsia="Calibri"/>
        </w:rPr>
        <w:t>korporatīvisma</w:t>
      </w:r>
      <w:proofErr w:type="spellEnd"/>
      <w:r w:rsidRPr="00E9117A">
        <w:rPr>
          <w:rFonts w:eastAsia="Calibri"/>
        </w:rPr>
        <w:t>, ir jāapliecina spēja uzņemties atbildību un spēja prasīt atbildību no tiem tiesu varas pārstāvjiem, kas izturējušies nolaidīgi pret tiem uzticēto valsts varu un tiesneša amatu, graujot visas tiesu varas reputāciju kopumā un mazinot sabiedrības uzticēšanos tiesu varai.</w:t>
      </w:r>
    </w:p>
    <w:p w14:paraId="4088C355" w14:textId="77777777" w:rsidR="00C83BF3" w:rsidRPr="00E9117A" w:rsidRDefault="00C83BF3" w:rsidP="00E9117A">
      <w:pPr>
        <w:spacing w:after="120"/>
        <w:ind w:firstLine="720"/>
        <w:jc w:val="both"/>
        <w:rPr>
          <w:rFonts w:eastAsia="Calibri"/>
        </w:rPr>
      </w:pPr>
      <w:r w:rsidRPr="00E9117A">
        <w:rPr>
          <w:rFonts w:eastAsia="Calibri"/>
        </w:rPr>
        <w:t>Tiesu neatkarība ir līdzeklis demokrātijas un tiesiskuma nodrošināšanai, tā nevar būt absolūta un to līdzsvaro atbildība. Valsts varu savstarpējās līdztiesības un mijiedarbības princips, nepieļauj kādas no valsts varām kontroli pār otru vai iejaukšanos tās procesos, līdz ar to ir attīstāmi instrumenti, kas ļauj pašai tiesu varai reaģēt uz iespējamu tiesnešu neprofesionalitāti un pārkāpumiem. Tiesu varai jau ir vairāki rīki kā uzraudzīt no taisnīgas tiesas jēdziena  izrietošu principu ievērošanu tiesnešu darbā. Piemēram, ir ieviests lietu izskatīšanas termiņu plānošanas rīks, ir paredzētas tiesnešu disciplinārkolēģijas tiesības nosūtīt tiesnesi veikt profesionālo zināšanu ārpuskārtas novērtēšanu, u.c. Jāturpina stiprināt tiesas priekšsēdētāju loma un pilnvaras tiesas darba pārraudzībā, tajā skaitā, sekojot līdz tiesneša profesionālā darba sniegumam, kā arī uzraugot lietu izskatīšanas termiņu dinamiku tiesā.</w:t>
      </w:r>
    </w:p>
    <w:p w14:paraId="59BA5CB5" w14:textId="77777777" w:rsidR="00C83BF3" w:rsidRPr="00E9117A" w:rsidRDefault="00C83BF3" w:rsidP="00C83BF3">
      <w:pPr>
        <w:jc w:val="both"/>
        <w:rPr>
          <w:rFonts w:eastAsia="Calibri"/>
          <w:bCs/>
        </w:rPr>
      </w:pPr>
    </w:p>
    <w:p w14:paraId="5D837ADF" w14:textId="77777777" w:rsidR="00C83BF3" w:rsidRPr="00E9117A" w:rsidRDefault="00C83BF3" w:rsidP="00E9117A">
      <w:pPr>
        <w:spacing w:after="120"/>
        <w:jc w:val="both"/>
        <w:rPr>
          <w:rFonts w:eastAsia="Calibri"/>
        </w:rPr>
      </w:pPr>
      <w:r w:rsidRPr="00E9117A">
        <w:rPr>
          <w:rFonts w:eastAsia="Calibri"/>
          <w:bCs/>
        </w:rPr>
        <w:t>Lai sekmētu neatkarības un atbildības principu savstarpējo līdzsvaru, veicami šādi pasākumi:</w:t>
      </w:r>
    </w:p>
    <w:p w14:paraId="180DA52A" w14:textId="77777777" w:rsidR="00C83BF3" w:rsidRPr="00E9117A" w:rsidRDefault="00C83BF3" w:rsidP="00E9117A">
      <w:pPr>
        <w:spacing w:after="120"/>
        <w:jc w:val="both"/>
        <w:rPr>
          <w:rFonts w:eastAsia="Calibri"/>
        </w:rPr>
      </w:pPr>
      <w:r w:rsidRPr="00E9117A">
        <w:rPr>
          <w:rFonts w:eastAsia="Calibri"/>
          <w:b/>
          <w:bCs/>
          <w:u w:val="single"/>
        </w:rPr>
        <w:t>1. Paplašināt tiesas priekšsēdētāja kompetenci, izvērtējot tiesneša profesionālā darba sniegumu</w:t>
      </w:r>
      <w:r w:rsidRPr="00E9117A">
        <w:rPr>
          <w:rFonts w:eastAsia="Calibri"/>
        </w:rPr>
        <w:t>.</w:t>
      </w:r>
    </w:p>
    <w:p w14:paraId="5E86022A" w14:textId="77777777" w:rsidR="00C83BF3" w:rsidRPr="00E9117A" w:rsidRDefault="00C83BF3" w:rsidP="00E9117A">
      <w:pPr>
        <w:spacing w:after="120"/>
        <w:jc w:val="both"/>
        <w:rPr>
          <w:rFonts w:eastAsia="Calibri"/>
        </w:rPr>
      </w:pPr>
      <w:r w:rsidRPr="00E9117A">
        <w:rPr>
          <w:rFonts w:eastAsia="Calibri"/>
          <w:b/>
          <w:bCs/>
          <w:u w:val="single"/>
        </w:rPr>
        <w:t>2. Stiprināt lietas izskatīšanas termiņu uzraudzību:</w:t>
      </w:r>
    </w:p>
    <w:p w14:paraId="560DF127" w14:textId="77777777" w:rsidR="00C83BF3" w:rsidRPr="00E9117A" w:rsidRDefault="00C83BF3" w:rsidP="00E9117A">
      <w:pPr>
        <w:spacing w:after="120"/>
        <w:jc w:val="both"/>
        <w:rPr>
          <w:rFonts w:eastAsia="Calibri"/>
        </w:rPr>
      </w:pPr>
      <w:r w:rsidRPr="00E9117A">
        <w:rPr>
          <w:rFonts w:eastAsia="Calibri"/>
        </w:rPr>
        <w:t>2.1. noteikt, ka tiesu priekšsēdētāju iesniegtos lietu izskatīšanas vidējo termiņu plānus apstiprina Tieslietu padome.</w:t>
      </w:r>
    </w:p>
    <w:p w14:paraId="6FE95495" w14:textId="77777777" w:rsidR="00C83BF3" w:rsidRPr="00E9117A" w:rsidRDefault="00C83BF3" w:rsidP="00E9117A">
      <w:pPr>
        <w:spacing w:after="120"/>
        <w:jc w:val="both"/>
        <w:rPr>
          <w:rFonts w:eastAsia="Calibri"/>
        </w:rPr>
      </w:pPr>
      <w:r w:rsidRPr="00E9117A">
        <w:rPr>
          <w:rFonts w:eastAsia="Calibri"/>
        </w:rPr>
        <w:t>2.2. publiskot informāciju par neizskatītajām lietām, kuru termiņi pārsniedz vidējo attiecīgajai lietu kategorijai.</w:t>
      </w:r>
    </w:p>
    <w:p w14:paraId="655EDC27" w14:textId="77777777" w:rsidR="00C83BF3" w:rsidRPr="00E9117A" w:rsidRDefault="00C83BF3" w:rsidP="00C83BF3">
      <w:pPr>
        <w:jc w:val="both"/>
        <w:rPr>
          <w:rFonts w:eastAsia="Calibri"/>
        </w:rPr>
      </w:pPr>
      <w:r w:rsidRPr="00E9117A">
        <w:rPr>
          <w:rFonts w:eastAsia="Calibri"/>
          <w:b/>
          <w:bCs/>
          <w:u w:val="single"/>
        </w:rPr>
        <w:lastRenderedPageBreak/>
        <w:t xml:space="preserve">3. Pagarināt tiesnešu disciplināratbildības noilguma termiņu, </w:t>
      </w:r>
      <w:r w:rsidRPr="00E9117A">
        <w:rPr>
          <w:rFonts w:eastAsia="Calibri"/>
          <w:bCs/>
        </w:rPr>
        <w:t>nodrošinot iespējas tiesu varai veikt izvērtējumu par iespējamā pārkāpuma faktu un apstākļiem, kā arī nepieciešamības gadījumā piemērot atbilstošus atbildības mehānismus.</w:t>
      </w:r>
    </w:p>
    <w:p w14:paraId="7B7B00C6" w14:textId="77777777" w:rsidR="00C83BF3" w:rsidRPr="00E9117A" w:rsidRDefault="00C83BF3" w:rsidP="00C83BF3">
      <w:pPr>
        <w:jc w:val="both"/>
        <w:rPr>
          <w:rFonts w:eastAsia="Calibri"/>
        </w:rPr>
      </w:pPr>
    </w:p>
    <w:p w14:paraId="38D9AB63" w14:textId="6EE6674D" w:rsidR="00C83BF3" w:rsidRPr="00E9117A" w:rsidRDefault="00C83BF3" w:rsidP="00E9117A">
      <w:pPr>
        <w:spacing w:after="120"/>
        <w:jc w:val="both"/>
        <w:rPr>
          <w:rFonts w:eastAsia="Calibri"/>
          <w:b/>
        </w:rPr>
      </w:pPr>
      <w:r w:rsidRPr="00E9117A">
        <w:rPr>
          <w:rFonts w:eastAsia="Calibri"/>
        </w:rPr>
        <w:tab/>
      </w:r>
      <w:r w:rsidR="002B2B79" w:rsidRPr="00E9117A">
        <w:rPr>
          <w:rFonts w:eastAsia="Calibri"/>
          <w:b/>
        </w:rPr>
        <w:t>6</w:t>
      </w:r>
      <w:r w:rsidRPr="00E9117A">
        <w:rPr>
          <w:rFonts w:eastAsia="Calibri"/>
          <w:b/>
        </w:rPr>
        <w:t>. Mūsdienīgas tehnoloģijas un inovācijas tiesu darbā</w:t>
      </w:r>
    </w:p>
    <w:p w14:paraId="1190BE53" w14:textId="77777777" w:rsidR="00C83BF3" w:rsidRPr="00E9117A" w:rsidRDefault="00C83BF3" w:rsidP="00E9117A">
      <w:pPr>
        <w:spacing w:after="120"/>
        <w:ind w:firstLine="720"/>
        <w:jc w:val="both"/>
        <w:rPr>
          <w:rFonts w:eastAsia="Calibri"/>
        </w:rPr>
      </w:pPr>
      <w:r w:rsidRPr="00E9117A">
        <w:rPr>
          <w:rFonts w:eastAsia="Calibri"/>
        </w:rPr>
        <w:t>Mūsdienās tiesu sistēmai ir jāspēj mainīties līdzi sabiedrībai. Vienlaikus jāuzsver, ka jebkuras novitātes ieviešanai ir jākalpo cilvēkiem, jāsekmē darba kvalitāte un inovāciju ieviešana nevar būt pašmērķis.</w:t>
      </w:r>
    </w:p>
    <w:p w14:paraId="78E222F5" w14:textId="77777777" w:rsidR="00C83BF3" w:rsidRPr="00E9117A" w:rsidRDefault="00C83BF3" w:rsidP="00E9117A">
      <w:pPr>
        <w:spacing w:after="120"/>
        <w:ind w:firstLine="720"/>
        <w:jc w:val="both"/>
        <w:rPr>
          <w:rFonts w:eastAsia="Calibri"/>
        </w:rPr>
      </w:pPr>
      <w:r w:rsidRPr="00E9117A">
        <w:rPr>
          <w:rFonts w:eastAsia="Calibri"/>
        </w:rPr>
        <w:t>Jau šobrīd ir uzsākta  vairāku nozīmīgu projektus, kuri vērsti uz tiesu administrēšanas, tiesu un tieslietu sistēmas pilnveidošanu, īstenošana. Ļoti nozīmīga ir vienotās E-lietas platformas izveide, apvienojot tiesu un tiesībaizsardzības iestāžu resursus.</w:t>
      </w:r>
    </w:p>
    <w:p w14:paraId="166402AC" w14:textId="77777777" w:rsidR="00C83BF3" w:rsidRPr="00E9117A" w:rsidRDefault="00C83BF3" w:rsidP="00E9117A">
      <w:pPr>
        <w:spacing w:after="120"/>
        <w:ind w:firstLine="720"/>
        <w:jc w:val="both"/>
        <w:rPr>
          <w:rFonts w:eastAsia="Calibri"/>
        </w:rPr>
      </w:pPr>
      <w:r w:rsidRPr="00E9117A">
        <w:rPr>
          <w:rFonts w:eastAsia="Calibri"/>
        </w:rPr>
        <w:t xml:space="preserve">Pieaugot informācijas tehnoloģiju, viedierīču un mākslīgā intelekta lomai sabiedrības un komersantu ikdienā, tiesai jāspēj nodrošināt tās pakalpojumu pieejamība un attīstība elektroniskā vidē. Jau šobrīd sabiedrībai pieejamo tiesu tiešsaistes pakalpojumu skaits ir tik apjomīgs, ka to uztveramai atainošanai ir izveidota īpaša tiesu e-pakalpojumu vietne. Elektroniski var iesniegt gan pieteikumu tiesai, gan izmantot jau iepriekš sagatavota elektronisko tiesvedības dokumenta veidlapu, kuru aizpilda tiešsaistē un elektroniski parakstītu iesniedz tiesā. Vairs nav jādodas uz tiesu, lai noskaidrotu maksājamo nodevu apjomu, tas izdarāms, izmatojot e-pakalpojumu. Tāpat ari informācija par tiesu darbības teritorijām ir pieejama strukturētā un viegli saprotamā veidā. Jau ierosinātai lietai mūsdienās var seko līdzi attālināti un tiešsaistē piekļūt datiem par tiesvedības gaitu, pievienotajiem dokumentiem un tiesas sēžu </w:t>
      </w:r>
      <w:proofErr w:type="spellStart"/>
      <w:r w:rsidRPr="00E9117A">
        <w:rPr>
          <w:rFonts w:eastAsia="Calibri"/>
        </w:rPr>
        <w:t>audioprotokoliem</w:t>
      </w:r>
      <w:proofErr w:type="spellEnd"/>
      <w:r w:rsidRPr="00E9117A">
        <w:rPr>
          <w:rFonts w:eastAsia="Calibri"/>
        </w:rPr>
        <w:t xml:space="preserve">. Tieši tikpat vienkārši ir iespējams sekot līdzi tiesas sēžu kalendāram vai arī saņemt e-pastā ziņas par tiesvedības gaitu jebkurai lietai, kurā persona reģistrēta kā dalībnieks. Norisinoties tiesu modernizācijai, ikviena tiesa nu ir aprīkota ar audio un video aprīkojumu, kas ļauj tiesās ierakstīt tiesas sēžu </w:t>
      </w:r>
      <w:proofErr w:type="spellStart"/>
      <w:r w:rsidRPr="00E9117A">
        <w:rPr>
          <w:rFonts w:eastAsia="Calibri"/>
        </w:rPr>
        <w:t>audioprotokolus</w:t>
      </w:r>
      <w:proofErr w:type="spellEnd"/>
      <w:r w:rsidRPr="00E9117A">
        <w:rPr>
          <w:rFonts w:eastAsia="Calibri"/>
        </w:rPr>
        <w:t xml:space="preserve"> un noturēt videokonferences.</w:t>
      </w:r>
    </w:p>
    <w:p w14:paraId="15C74918" w14:textId="77777777" w:rsidR="00C83BF3" w:rsidRPr="00E9117A" w:rsidRDefault="00C83BF3" w:rsidP="00E9117A">
      <w:pPr>
        <w:spacing w:after="120"/>
        <w:ind w:firstLine="720"/>
        <w:jc w:val="both"/>
        <w:rPr>
          <w:rFonts w:eastAsia="Calibri"/>
        </w:rPr>
      </w:pPr>
      <w:r w:rsidRPr="00E9117A">
        <w:rPr>
          <w:rFonts w:eastAsia="Calibri"/>
        </w:rPr>
        <w:t>Tomēr jaunas un pagaidām neapgūtas iespējas paver tiesu datu sistēmiskas apstrādes risinājumu ieviešana, piemēram, ļaujot pirms vēršanās tiesā personai novērtēt potenciālās tiesāšanās izmaksas, ilgumu un pat iespējamo rezultātu, balstoties uz līdzšinējo tiesu praksi līdzīgās lietās, kā arī salīdzināt to ar iespējamām tiesas procesa alternatīvām. Tāpat nolūkā maksimāli racionāli un efektīvi izmantot tiesu cilvēkresursu kapacitāti izvērtējama iespēja vismaz daļēji automatizēt standartizētas tiesas procedūras, piemēram, saistību izpildīšanas brīdinājuma kārtībā procesa elektronizācija, nodrošinot gan procesa ērtu pieejamību, gan efektivizējot tiesas darbu.</w:t>
      </w:r>
    </w:p>
    <w:p w14:paraId="0CB39C31" w14:textId="77777777" w:rsidR="00C83BF3" w:rsidRPr="00E9117A" w:rsidRDefault="00C83BF3" w:rsidP="00E9117A">
      <w:pPr>
        <w:spacing w:after="120"/>
        <w:ind w:firstLine="720"/>
        <w:jc w:val="both"/>
        <w:rPr>
          <w:rFonts w:eastAsia="Calibri"/>
        </w:rPr>
      </w:pPr>
      <w:r w:rsidRPr="00E9117A">
        <w:rPr>
          <w:rFonts w:eastAsia="Calibri"/>
          <w:bCs/>
        </w:rPr>
        <w:t>Lai sekmētu tiesu pieejamību, izmantojot dažādus e-risinājumus, veicami šādi pasākumi:</w:t>
      </w:r>
    </w:p>
    <w:p w14:paraId="617BC895" w14:textId="77777777" w:rsidR="00C83BF3" w:rsidRPr="00E9117A" w:rsidRDefault="00C83BF3" w:rsidP="00E9117A">
      <w:pPr>
        <w:spacing w:after="120"/>
        <w:jc w:val="both"/>
        <w:rPr>
          <w:rFonts w:eastAsia="Calibri"/>
          <w:bCs/>
          <w:u w:val="single"/>
        </w:rPr>
      </w:pPr>
      <w:r w:rsidRPr="00E9117A">
        <w:rPr>
          <w:rFonts w:eastAsia="Calibri"/>
          <w:bCs/>
          <w:u w:val="single"/>
        </w:rPr>
        <w:t>1. Ieviest e-lietas platformu</w:t>
      </w:r>
    </w:p>
    <w:p w14:paraId="64CAF297" w14:textId="77777777" w:rsidR="00C83BF3" w:rsidRPr="00E9117A" w:rsidRDefault="00C83BF3" w:rsidP="00E9117A">
      <w:pPr>
        <w:spacing w:after="120"/>
        <w:jc w:val="both"/>
        <w:rPr>
          <w:rFonts w:eastAsia="Calibri"/>
          <w:bCs/>
          <w:u w:val="single"/>
        </w:rPr>
      </w:pPr>
      <w:r w:rsidRPr="00E9117A">
        <w:rPr>
          <w:rFonts w:eastAsia="Calibri"/>
          <w:bCs/>
          <w:u w:val="single"/>
        </w:rPr>
        <w:t>2. paplašināt tiesu e-pakalpojumus</w:t>
      </w:r>
    </w:p>
    <w:p w14:paraId="58C96B5D" w14:textId="77777777" w:rsidR="00C83BF3" w:rsidRPr="00E9117A" w:rsidRDefault="00C83BF3" w:rsidP="00E9117A">
      <w:pPr>
        <w:spacing w:after="120"/>
        <w:jc w:val="both"/>
        <w:rPr>
          <w:rFonts w:eastAsia="Calibri"/>
        </w:rPr>
      </w:pPr>
      <w:r w:rsidRPr="00E9117A">
        <w:rPr>
          <w:rFonts w:eastAsia="Calibri"/>
          <w:bCs/>
          <w:u w:val="single"/>
        </w:rPr>
        <w:t>3. automatizēt standarta tiesas procedūras</w:t>
      </w:r>
      <w:r w:rsidRPr="00E9117A">
        <w:rPr>
          <w:rFonts w:eastAsia="Calibri"/>
        </w:rPr>
        <w:t xml:space="preserve"> </w:t>
      </w:r>
    </w:p>
    <w:p w14:paraId="4228A6D3" w14:textId="77777777" w:rsidR="00C83BF3" w:rsidRPr="00E9117A" w:rsidRDefault="00C83BF3" w:rsidP="00C83BF3">
      <w:pPr>
        <w:jc w:val="both"/>
        <w:rPr>
          <w:rFonts w:eastAsia="Calibri"/>
        </w:rPr>
      </w:pPr>
    </w:p>
    <w:p w14:paraId="6DAE9432" w14:textId="77777777" w:rsidR="00085B83" w:rsidRPr="00E9117A" w:rsidRDefault="00085B83" w:rsidP="00085B83"/>
    <w:p w14:paraId="01F278CB" w14:textId="77777777" w:rsidR="00E530AC" w:rsidRPr="00E9117A" w:rsidRDefault="00E530AC" w:rsidP="008965D2">
      <w:pPr>
        <w:jc w:val="both"/>
      </w:pPr>
    </w:p>
    <w:p w14:paraId="4E10A996" w14:textId="40A3EC07" w:rsidR="008965D2" w:rsidRPr="00E9117A" w:rsidRDefault="008965D2" w:rsidP="008965D2">
      <w:pPr>
        <w:jc w:val="both"/>
      </w:pPr>
      <w:r w:rsidRPr="00E9117A">
        <w:t>Tieslietu ministrs</w:t>
      </w:r>
      <w:r w:rsidRPr="00E9117A">
        <w:tab/>
      </w:r>
      <w:r w:rsidRPr="00E9117A">
        <w:tab/>
      </w:r>
      <w:r w:rsidRPr="00E9117A">
        <w:tab/>
      </w:r>
      <w:r w:rsidRPr="00E9117A">
        <w:tab/>
      </w:r>
      <w:r w:rsidRPr="00E9117A">
        <w:tab/>
      </w:r>
      <w:r w:rsidRPr="00E9117A">
        <w:tab/>
      </w:r>
      <w:r w:rsidRPr="00E9117A">
        <w:tab/>
      </w:r>
      <w:r w:rsidRPr="00E9117A">
        <w:tab/>
      </w:r>
      <w:r w:rsidR="00FB3FA4" w:rsidRPr="00E9117A">
        <w:t>Jānis Bordāns</w:t>
      </w:r>
      <w:r w:rsidRPr="00E9117A">
        <w:t xml:space="preserve"> </w:t>
      </w:r>
    </w:p>
    <w:p w14:paraId="7046AEEA" w14:textId="598ACA59" w:rsidR="008965D2" w:rsidRDefault="008965D2" w:rsidP="008965D2">
      <w:pPr>
        <w:jc w:val="both"/>
      </w:pPr>
    </w:p>
    <w:p w14:paraId="3C8196AB" w14:textId="527DEBE5" w:rsidR="00E9117A" w:rsidRDefault="00E9117A" w:rsidP="008965D2">
      <w:pPr>
        <w:jc w:val="both"/>
      </w:pPr>
    </w:p>
    <w:p w14:paraId="43CF9EDC" w14:textId="77777777" w:rsidR="00E9117A" w:rsidRPr="00E9117A" w:rsidRDefault="00E9117A" w:rsidP="008965D2">
      <w:pPr>
        <w:jc w:val="both"/>
      </w:pPr>
    </w:p>
    <w:p w14:paraId="46D1CB42" w14:textId="38F0A2A6" w:rsidR="005E0465" w:rsidRPr="00E9117A" w:rsidRDefault="0018671F" w:rsidP="00496417">
      <w:pPr>
        <w:jc w:val="both"/>
        <w:rPr>
          <w:sz w:val="20"/>
          <w:szCs w:val="20"/>
        </w:rPr>
      </w:pPr>
      <w:r w:rsidRPr="00E9117A">
        <w:rPr>
          <w:sz w:val="20"/>
          <w:szCs w:val="20"/>
        </w:rPr>
        <w:t>Rācene-Krūmiņa</w:t>
      </w:r>
      <w:r w:rsidR="0074776A" w:rsidRPr="00E9117A">
        <w:rPr>
          <w:sz w:val="20"/>
          <w:szCs w:val="20"/>
        </w:rPr>
        <w:t xml:space="preserve"> </w:t>
      </w:r>
      <w:r w:rsidR="003773D6" w:rsidRPr="00E9117A">
        <w:rPr>
          <w:sz w:val="20"/>
          <w:szCs w:val="20"/>
        </w:rPr>
        <w:t>67036</w:t>
      </w:r>
      <w:r w:rsidR="001C5198" w:rsidRPr="00E9117A">
        <w:rPr>
          <w:sz w:val="20"/>
          <w:szCs w:val="20"/>
        </w:rPr>
        <w:t>91</w:t>
      </w:r>
      <w:r w:rsidR="00021415" w:rsidRPr="00E9117A">
        <w:rPr>
          <w:sz w:val="20"/>
          <w:szCs w:val="20"/>
        </w:rPr>
        <w:t>4</w:t>
      </w:r>
    </w:p>
    <w:p w14:paraId="796F723F" w14:textId="2E351C47" w:rsidR="001C5198" w:rsidRPr="00E9117A" w:rsidRDefault="0018671F" w:rsidP="00496417">
      <w:pPr>
        <w:jc w:val="both"/>
        <w:rPr>
          <w:sz w:val="20"/>
          <w:szCs w:val="20"/>
        </w:rPr>
      </w:pPr>
      <w:r w:rsidRPr="00E9117A">
        <w:rPr>
          <w:sz w:val="20"/>
          <w:szCs w:val="20"/>
        </w:rPr>
        <w:t>Agnese.Racene-Krumina@tm.gov.lv</w:t>
      </w:r>
    </w:p>
    <w:sectPr w:rsidR="001C5198" w:rsidRPr="00E9117A"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9920" w14:textId="77777777" w:rsidR="00EC3086" w:rsidRDefault="00EC3086" w:rsidP="00C5761C">
      <w:r>
        <w:separator/>
      </w:r>
    </w:p>
  </w:endnote>
  <w:endnote w:type="continuationSeparator" w:id="0">
    <w:p w14:paraId="67293862" w14:textId="77777777" w:rsidR="00EC3086" w:rsidRDefault="00EC3086"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2D3" w14:textId="77777777" w:rsidR="00EC3086" w:rsidRDefault="00EC3086" w:rsidP="00131415">
    <w:pPr>
      <w:pStyle w:val="Kjene"/>
      <w:rPr>
        <w:iCs/>
        <w:sz w:val="20"/>
        <w:szCs w:val="20"/>
      </w:rPr>
    </w:pPr>
  </w:p>
  <w:p w14:paraId="0D26228F" w14:textId="7C40AC57" w:rsidR="00EC3086" w:rsidRPr="0018671F" w:rsidRDefault="00EC3086" w:rsidP="00131415">
    <w:pPr>
      <w:pStyle w:val="Kjene"/>
      <w:rPr>
        <w:lang w:val="lv-LV"/>
      </w:rPr>
    </w:pPr>
    <w:r w:rsidRPr="00925941">
      <w:rPr>
        <w:iCs/>
        <w:sz w:val="20"/>
        <w:szCs w:val="20"/>
      </w:rPr>
      <w:t>TM</w:t>
    </w:r>
    <w:r w:rsidR="009540F0">
      <w:rPr>
        <w:iCs/>
        <w:sz w:val="20"/>
        <w:szCs w:val="20"/>
        <w:lang w:val="lv-LV"/>
      </w:rPr>
      <w:t>Z</w:t>
    </w:r>
    <w:r w:rsidRPr="00925941">
      <w:rPr>
        <w:iCs/>
        <w:sz w:val="20"/>
        <w:szCs w:val="20"/>
      </w:rPr>
      <w:t>in_</w:t>
    </w:r>
    <w:r>
      <w:rPr>
        <w:iCs/>
        <w:sz w:val="20"/>
        <w:szCs w:val="20"/>
        <w:lang w:val="lv-LV"/>
      </w:rPr>
      <w:t>1202</w:t>
    </w:r>
    <w:r w:rsidRPr="00925941">
      <w:rPr>
        <w:iCs/>
        <w:sz w:val="20"/>
        <w:szCs w:val="20"/>
        <w:lang w:val="lv-LV"/>
      </w:rPr>
      <w:t>19</w:t>
    </w:r>
    <w:r w:rsidRPr="00925941">
      <w:rPr>
        <w:iCs/>
        <w:sz w:val="20"/>
        <w:szCs w:val="20"/>
      </w:rPr>
      <w:t>_</w:t>
    </w:r>
    <w:r>
      <w:rPr>
        <w:iCs/>
        <w:sz w:val="20"/>
        <w:szCs w:val="20"/>
        <w:lang w:val="lv-LV"/>
      </w:rPr>
      <w:t>Tieslietas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4E2" w14:textId="77777777" w:rsidR="00EC3086" w:rsidRDefault="00EC3086" w:rsidP="00B86A01">
    <w:pPr>
      <w:pStyle w:val="Nosaukums"/>
      <w:jc w:val="both"/>
      <w:outlineLvl w:val="0"/>
      <w:rPr>
        <w:iCs/>
        <w:sz w:val="20"/>
        <w:szCs w:val="20"/>
      </w:rPr>
    </w:pPr>
  </w:p>
  <w:p w14:paraId="73F3030D" w14:textId="3714ECC3" w:rsidR="00EC3086" w:rsidRPr="0018671F" w:rsidRDefault="00EC3086" w:rsidP="00B86A01">
    <w:pPr>
      <w:pStyle w:val="Nosaukums"/>
      <w:jc w:val="both"/>
      <w:outlineLvl w:val="0"/>
      <w:rPr>
        <w:iCs/>
        <w:sz w:val="20"/>
        <w:szCs w:val="20"/>
        <w:lang w:val="lv-LV"/>
      </w:rPr>
    </w:pPr>
    <w:r w:rsidRPr="00925941">
      <w:rPr>
        <w:iCs/>
        <w:sz w:val="20"/>
        <w:szCs w:val="20"/>
      </w:rPr>
      <w:t>TM</w:t>
    </w:r>
    <w:r w:rsidR="009540F0">
      <w:rPr>
        <w:iCs/>
        <w:sz w:val="20"/>
        <w:szCs w:val="20"/>
        <w:lang w:val="lv-LV"/>
      </w:rPr>
      <w:t>Z</w:t>
    </w:r>
    <w:r w:rsidRPr="00925941">
      <w:rPr>
        <w:iCs/>
        <w:sz w:val="20"/>
        <w:szCs w:val="20"/>
      </w:rPr>
      <w:t>in_</w:t>
    </w:r>
    <w:r>
      <w:rPr>
        <w:iCs/>
        <w:sz w:val="20"/>
        <w:szCs w:val="20"/>
        <w:lang w:val="lv-LV"/>
      </w:rPr>
      <w:t>1202</w:t>
    </w:r>
    <w:r w:rsidRPr="00925941">
      <w:rPr>
        <w:iCs/>
        <w:sz w:val="20"/>
        <w:szCs w:val="20"/>
        <w:lang w:val="lv-LV"/>
      </w:rPr>
      <w:t>19</w:t>
    </w:r>
    <w:r w:rsidRPr="00925941">
      <w:rPr>
        <w:iCs/>
        <w:sz w:val="20"/>
        <w:szCs w:val="20"/>
      </w:rPr>
      <w:t>_</w:t>
    </w:r>
    <w:r>
      <w:rPr>
        <w:iCs/>
        <w:sz w:val="20"/>
        <w:szCs w:val="20"/>
        <w:lang w:val="lv-LV"/>
      </w:rPr>
      <w:t>Tieslietas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7205" w14:textId="77777777" w:rsidR="00EC3086" w:rsidRDefault="00EC3086" w:rsidP="00C5761C">
      <w:r>
        <w:separator/>
      </w:r>
    </w:p>
  </w:footnote>
  <w:footnote w:type="continuationSeparator" w:id="0">
    <w:p w14:paraId="48658BC3" w14:textId="77777777" w:rsidR="00EC3086" w:rsidRDefault="00EC3086" w:rsidP="00C5761C">
      <w:r>
        <w:continuationSeparator/>
      </w:r>
    </w:p>
  </w:footnote>
  <w:footnote w:id="1">
    <w:p w14:paraId="2C94D6E7" w14:textId="77777777" w:rsidR="00C83BF3" w:rsidRDefault="00C83BF3" w:rsidP="00C83BF3">
      <w:pPr>
        <w:pStyle w:val="Vresteksts"/>
      </w:pPr>
      <w:r>
        <w:rPr>
          <w:rStyle w:val="Vresatsauce"/>
        </w:rPr>
        <w:footnoteRef/>
      </w:r>
      <w:r>
        <w:t xml:space="preserve"> Sk. piemēram, Satversmes tiesas 2017.gada 23.maija spriedumu lietā Nr.2016-13-01</w:t>
      </w:r>
    </w:p>
  </w:footnote>
  <w:footnote w:id="2">
    <w:p w14:paraId="6505251F" w14:textId="77777777" w:rsidR="00C83BF3" w:rsidRDefault="00C83BF3" w:rsidP="00C83BF3">
      <w:pPr>
        <w:pStyle w:val="Vresteksts"/>
      </w:pPr>
      <w:r>
        <w:rPr>
          <w:rStyle w:val="Vresatsauce"/>
        </w:rPr>
        <w:footnoteRef/>
      </w:r>
      <w:r>
        <w:t xml:space="preserve"> </w:t>
      </w:r>
      <w:r>
        <w:t>Kriminālprocesa likuma 14.pants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F755" w14:textId="15C25FD7" w:rsidR="00EC3086" w:rsidRDefault="00EC3086">
    <w:pPr>
      <w:pStyle w:val="Galvene"/>
      <w:jc w:val="center"/>
    </w:pPr>
    <w:r>
      <w:fldChar w:fldCharType="begin"/>
    </w:r>
    <w:r>
      <w:instrText xml:space="preserve"> PAGE   \* MERGEFORMAT </w:instrText>
    </w:r>
    <w:r>
      <w:fldChar w:fldCharType="separate"/>
    </w:r>
    <w:r>
      <w:rPr>
        <w:noProof/>
      </w:rPr>
      <w:t>2</w:t>
    </w:r>
    <w:r>
      <w:fldChar w:fldCharType="end"/>
    </w:r>
  </w:p>
  <w:p w14:paraId="6F56534A" w14:textId="77777777" w:rsidR="00EC3086" w:rsidRDefault="00EC30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94C5FD3"/>
    <w:multiLevelType w:val="hybridMultilevel"/>
    <w:tmpl w:val="E564F3D4"/>
    <w:lvl w:ilvl="0" w:tplc="04260001">
      <w:start w:val="1"/>
      <w:numFmt w:val="bullet"/>
      <w:lvlText w:val=""/>
      <w:lvlJc w:val="left"/>
      <w:pPr>
        <w:tabs>
          <w:tab w:val="num" w:pos="720"/>
        </w:tabs>
        <w:ind w:left="720" w:hanging="360"/>
      </w:pPr>
      <w:rPr>
        <w:rFonts w:ascii="Symbol" w:hAnsi="Symbol" w:hint="default"/>
      </w:rPr>
    </w:lvl>
    <w:lvl w:ilvl="1" w:tplc="F912AA1A" w:tentative="1">
      <w:start w:val="1"/>
      <w:numFmt w:val="bullet"/>
      <w:lvlText w:val=""/>
      <w:lvlJc w:val="left"/>
      <w:pPr>
        <w:tabs>
          <w:tab w:val="num" w:pos="1440"/>
        </w:tabs>
        <w:ind w:left="1440" w:hanging="360"/>
      </w:pPr>
      <w:rPr>
        <w:rFonts w:ascii="Wingdings" w:hAnsi="Wingdings" w:hint="default"/>
      </w:rPr>
    </w:lvl>
    <w:lvl w:ilvl="2" w:tplc="19AAD3C8" w:tentative="1">
      <w:start w:val="1"/>
      <w:numFmt w:val="bullet"/>
      <w:lvlText w:val=""/>
      <w:lvlJc w:val="left"/>
      <w:pPr>
        <w:tabs>
          <w:tab w:val="num" w:pos="2160"/>
        </w:tabs>
        <w:ind w:left="2160" w:hanging="360"/>
      </w:pPr>
      <w:rPr>
        <w:rFonts w:ascii="Wingdings" w:hAnsi="Wingdings" w:hint="default"/>
      </w:rPr>
    </w:lvl>
    <w:lvl w:ilvl="3" w:tplc="484E48BC" w:tentative="1">
      <w:start w:val="1"/>
      <w:numFmt w:val="bullet"/>
      <w:lvlText w:val=""/>
      <w:lvlJc w:val="left"/>
      <w:pPr>
        <w:tabs>
          <w:tab w:val="num" w:pos="2880"/>
        </w:tabs>
        <w:ind w:left="2880" w:hanging="360"/>
      </w:pPr>
      <w:rPr>
        <w:rFonts w:ascii="Wingdings" w:hAnsi="Wingdings" w:hint="default"/>
      </w:rPr>
    </w:lvl>
    <w:lvl w:ilvl="4" w:tplc="EAE857A8" w:tentative="1">
      <w:start w:val="1"/>
      <w:numFmt w:val="bullet"/>
      <w:lvlText w:val=""/>
      <w:lvlJc w:val="left"/>
      <w:pPr>
        <w:tabs>
          <w:tab w:val="num" w:pos="3600"/>
        </w:tabs>
        <w:ind w:left="3600" w:hanging="360"/>
      </w:pPr>
      <w:rPr>
        <w:rFonts w:ascii="Wingdings" w:hAnsi="Wingdings" w:hint="default"/>
      </w:rPr>
    </w:lvl>
    <w:lvl w:ilvl="5" w:tplc="2B5A84FC" w:tentative="1">
      <w:start w:val="1"/>
      <w:numFmt w:val="bullet"/>
      <w:lvlText w:val=""/>
      <w:lvlJc w:val="left"/>
      <w:pPr>
        <w:tabs>
          <w:tab w:val="num" w:pos="4320"/>
        </w:tabs>
        <w:ind w:left="4320" w:hanging="360"/>
      </w:pPr>
      <w:rPr>
        <w:rFonts w:ascii="Wingdings" w:hAnsi="Wingdings" w:hint="default"/>
      </w:rPr>
    </w:lvl>
    <w:lvl w:ilvl="6" w:tplc="5914DEBC" w:tentative="1">
      <w:start w:val="1"/>
      <w:numFmt w:val="bullet"/>
      <w:lvlText w:val=""/>
      <w:lvlJc w:val="left"/>
      <w:pPr>
        <w:tabs>
          <w:tab w:val="num" w:pos="5040"/>
        </w:tabs>
        <w:ind w:left="5040" w:hanging="360"/>
      </w:pPr>
      <w:rPr>
        <w:rFonts w:ascii="Wingdings" w:hAnsi="Wingdings" w:hint="default"/>
      </w:rPr>
    </w:lvl>
    <w:lvl w:ilvl="7" w:tplc="6C625892" w:tentative="1">
      <w:start w:val="1"/>
      <w:numFmt w:val="bullet"/>
      <w:lvlText w:val=""/>
      <w:lvlJc w:val="left"/>
      <w:pPr>
        <w:tabs>
          <w:tab w:val="num" w:pos="5760"/>
        </w:tabs>
        <w:ind w:left="5760" w:hanging="360"/>
      </w:pPr>
      <w:rPr>
        <w:rFonts w:ascii="Wingdings" w:hAnsi="Wingdings" w:hint="default"/>
      </w:rPr>
    </w:lvl>
    <w:lvl w:ilvl="8" w:tplc="3C76F8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B63B01"/>
    <w:multiLevelType w:val="hybridMultilevel"/>
    <w:tmpl w:val="BBECDA16"/>
    <w:lvl w:ilvl="0" w:tplc="0DD4D4FC">
      <w:start w:val="1"/>
      <w:numFmt w:val="bullet"/>
      <w:lvlText w:val="•"/>
      <w:lvlJc w:val="left"/>
      <w:pPr>
        <w:tabs>
          <w:tab w:val="num" w:pos="720"/>
        </w:tabs>
        <w:ind w:left="720" w:hanging="360"/>
      </w:pPr>
      <w:rPr>
        <w:rFonts w:ascii="Arial" w:hAnsi="Arial" w:hint="default"/>
      </w:rPr>
    </w:lvl>
    <w:lvl w:ilvl="1" w:tplc="6E205D02" w:tentative="1">
      <w:start w:val="1"/>
      <w:numFmt w:val="bullet"/>
      <w:lvlText w:val="•"/>
      <w:lvlJc w:val="left"/>
      <w:pPr>
        <w:tabs>
          <w:tab w:val="num" w:pos="1440"/>
        </w:tabs>
        <w:ind w:left="1440" w:hanging="360"/>
      </w:pPr>
      <w:rPr>
        <w:rFonts w:ascii="Arial" w:hAnsi="Arial" w:hint="default"/>
      </w:rPr>
    </w:lvl>
    <w:lvl w:ilvl="2" w:tplc="AFEEB186" w:tentative="1">
      <w:start w:val="1"/>
      <w:numFmt w:val="bullet"/>
      <w:lvlText w:val="•"/>
      <w:lvlJc w:val="left"/>
      <w:pPr>
        <w:tabs>
          <w:tab w:val="num" w:pos="2160"/>
        </w:tabs>
        <w:ind w:left="2160" w:hanging="360"/>
      </w:pPr>
      <w:rPr>
        <w:rFonts w:ascii="Arial" w:hAnsi="Arial" w:hint="default"/>
      </w:rPr>
    </w:lvl>
    <w:lvl w:ilvl="3" w:tplc="DE0C01B4" w:tentative="1">
      <w:start w:val="1"/>
      <w:numFmt w:val="bullet"/>
      <w:lvlText w:val="•"/>
      <w:lvlJc w:val="left"/>
      <w:pPr>
        <w:tabs>
          <w:tab w:val="num" w:pos="2880"/>
        </w:tabs>
        <w:ind w:left="2880" w:hanging="360"/>
      </w:pPr>
      <w:rPr>
        <w:rFonts w:ascii="Arial" w:hAnsi="Arial" w:hint="default"/>
      </w:rPr>
    </w:lvl>
    <w:lvl w:ilvl="4" w:tplc="BCB28D72" w:tentative="1">
      <w:start w:val="1"/>
      <w:numFmt w:val="bullet"/>
      <w:lvlText w:val="•"/>
      <w:lvlJc w:val="left"/>
      <w:pPr>
        <w:tabs>
          <w:tab w:val="num" w:pos="3600"/>
        </w:tabs>
        <w:ind w:left="3600" w:hanging="360"/>
      </w:pPr>
      <w:rPr>
        <w:rFonts w:ascii="Arial" w:hAnsi="Arial" w:hint="default"/>
      </w:rPr>
    </w:lvl>
    <w:lvl w:ilvl="5" w:tplc="EB723ABC" w:tentative="1">
      <w:start w:val="1"/>
      <w:numFmt w:val="bullet"/>
      <w:lvlText w:val="•"/>
      <w:lvlJc w:val="left"/>
      <w:pPr>
        <w:tabs>
          <w:tab w:val="num" w:pos="4320"/>
        </w:tabs>
        <w:ind w:left="4320" w:hanging="360"/>
      </w:pPr>
      <w:rPr>
        <w:rFonts w:ascii="Arial" w:hAnsi="Arial" w:hint="default"/>
      </w:rPr>
    </w:lvl>
    <w:lvl w:ilvl="6" w:tplc="87FA1B96" w:tentative="1">
      <w:start w:val="1"/>
      <w:numFmt w:val="bullet"/>
      <w:lvlText w:val="•"/>
      <w:lvlJc w:val="left"/>
      <w:pPr>
        <w:tabs>
          <w:tab w:val="num" w:pos="5040"/>
        </w:tabs>
        <w:ind w:left="5040" w:hanging="360"/>
      </w:pPr>
      <w:rPr>
        <w:rFonts w:ascii="Arial" w:hAnsi="Arial" w:hint="default"/>
      </w:rPr>
    </w:lvl>
    <w:lvl w:ilvl="7" w:tplc="A7FC08EA" w:tentative="1">
      <w:start w:val="1"/>
      <w:numFmt w:val="bullet"/>
      <w:lvlText w:val="•"/>
      <w:lvlJc w:val="left"/>
      <w:pPr>
        <w:tabs>
          <w:tab w:val="num" w:pos="5760"/>
        </w:tabs>
        <w:ind w:left="5760" w:hanging="360"/>
      </w:pPr>
      <w:rPr>
        <w:rFonts w:ascii="Arial" w:hAnsi="Arial" w:hint="default"/>
      </w:rPr>
    </w:lvl>
    <w:lvl w:ilvl="8" w:tplc="3F5631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C1B9C"/>
    <w:multiLevelType w:val="hybridMultilevel"/>
    <w:tmpl w:val="CC96524E"/>
    <w:lvl w:ilvl="0" w:tplc="F5DC8694">
      <w:start w:val="1"/>
      <w:numFmt w:val="bullet"/>
      <w:lvlText w:val="•"/>
      <w:lvlJc w:val="left"/>
      <w:pPr>
        <w:tabs>
          <w:tab w:val="num" w:pos="720"/>
        </w:tabs>
        <w:ind w:left="720" w:hanging="360"/>
      </w:pPr>
      <w:rPr>
        <w:rFonts w:ascii="Arial" w:hAnsi="Arial" w:hint="default"/>
      </w:rPr>
    </w:lvl>
    <w:lvl w:ilvl="1" w:tplc="3DE4BB46" w:tentative="1">
      <w:start w:val="1"/>
      <w:numFmt w:val="bullet"/>
      <w:lvlText w:val="•"/>
      <w:lvlJc w:val="left"/>
      <w:pPr>
        <w:tabs>
          <w:tab w:val="num" w:pos="1440"/>
        </w:tabs>
        <w:ind w:left="1440" w:hanging="360"/>
      </w:pPr>
      <w:rPr>
        <w:rFonts w:ascii="Arial" w:hAnsi="Arial" w:hint="default"/>
      </w:rPr>
    </w:lvl>
    <w:lvl w:ilvl="2" w:tplc="03E6E430" w:tentative="1">
      <w:start w:val="1"/>
      <w:numFmt w:val="bullet"/>
      <w:lvlText w:val="•"/>
      <w:lvlJc w:val="left"/>
      <w:pPr>
        <w:tabs>
          <w:tab w:val="num" w:pos="2160"/>
        </w:tabs>
        <w:ind w:left="2160" w:hanging="360"/>
      </w:pPr>
      <w:rPr>
        <w:rFonts w:ascii="Arial" w:hAnsi="Arial" w:hint="default"/>
      </w:rPr>
    </w:lvl>
    <w:lvl w:ilvl="3" w:tplc="A118B252" w:tentative="1">
      <w:start w:val="1"/>
      <w:numFmt w:val="bullet"/>
      <w:lvlText w:val="•"/>
      <w:lvlJc w:val="left"/>
      <w:pPr>
        <w:tabs>
          <w:tab w:val="num" w:pos="2880"/>
        </w:tabs>
        <w:ind w:left="2880" w:hanging="360"/>
      </w:pPr>
      <w:rPr>
        <w:rFonts w:ascii="Arial" w:hAnsi="Arial" w:hint="default"/>
      </w:rPr>
    </w:lvl>
    <w:lvl w:ilvl="4" w:tplc="97E01BB2" w:tentative="1">
      <w:start w:val="1"/>
      <w:numFmt w:val="bullet"/>
      <w:lvlText w:val="•"/>
      <w:lvlJc w:val="left"/>
      <w:pPr>
        <w:tabs>
          <w:tab w:val="num" w:pos="3600"/>
        </w:tabs>
        <w:ind w:left="3600" w:hanging="360"/>
      </w:pPr>
      <w:rPr>
        <w:rFonts w:ascii="Arial" w:hAnsi="Arial" w:hint="default"/>
      </w:rPr>
    </w:lvl>
    <w:lvl w:ilvl="5" w:tplc="D4322ECA" w:tentative="1">
      <w:start w:val="1"/>
      <w:numFmt w:val="bullet"/>
      <w:lvlText w:val="•"/>
      <w:lvlJc w:val="left"/>
      <w:pPr>
        <w:tabs>
          <w:tab w:val="num" w:pos="4320"/>
        </w:tabs>
        <w:ind w:left="4320" w:hanging="360"/>
      </w:pPr>
      <w:rPr>
        <w:rFonts w:ascii="Arial" w:hAnsi="Arial" w:hint="default"/>
      </w:rPr>
    </w:lvl>
    <w:lvl w:ilvl="6" w:tplc="4D1EF448" w:tentative="1">
      <w:start w:val="1"/>
      <w:numFmt w:val="bullet"/>
      <w:lvlText w:val="•"/>
      <w:lvlJc w:val="left"/>
      <w:pPr>
        <w:tabs>
          <w:tab w:val="num" w:pos="5040"/>
        </w:tabs>
        <w:ind w:left="5040" w:hanging="360"/>
      </w:pPr>
      <w:rPr>
        <w:rFonts w:ascii="Arial" w:hAnsi="Arial" w:hint="default"/>
      </w:rPr>
    </w:lvl>
    <w:lvl w:ilvl="7" w:tplc="2F36BB7A" w:tentative="1">
      <w:start w:val="1"/>
      <w:numFmt w:val="bullet"/>
      <w:lvlText w:val="•"/>
      <w:lvlJc w:val="left"/>
      <w:pPr>
        <w:tabs>
          <w:tab w:val="num" w:pos="5760"/>
        </w:tabs>
        <w:ind w:left="5760" w:hanging="360"/>
      </w:pPr>
      <w:rPr>
        <w:rFonts w:ascii="Arial" w:hAnsi="Arial" w:hint="default"/>
      </w:rPr>
    </w:lvl>
    <w:lvl w:ilvl="8" w:tplc="D8503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8111FC"/>
    <w:multiLevelType w:val="hybridMultilevel"/>
    <w:tmpl w:val="4A620D96"/>
    <w:lvl w:ilvl="0" w:tplc="B20CE288">
      <w:start w:val="1"/>
      <w:numFmt w:val="bullet"/>
      <w:lvlText w:val="•"/>
      <w:lvlJc w:val="left"/>
      <w:pPr>
        <w:tabs>
          <w:tab w:val="num" w:pos="720"/>
        </w:tabs>
        <w:ind w:left="720" w:hanging="360"/>
      </w:pPr>
      <w:rPr>
        <w:rFonts w:ascii="Arial" w:hAnsi="Arial" w:hint="default"/>
      </w:rPr>
    </w:lvl>
    <w:lvl w:ilvl="1" w:tplc="F5DA2C14" w:tentative="1">
      <w:start w:val="1"/>
      <w:numFmt w:val="bullet"/>
      <w:lvlText w:val="•"/>
      <w:lvlJc w:val="left"/>
      <w:pPr>
        <w:tabs>
          <w:tab w:val="num" w:pos="1440"/>
        </w:tabs>
        <w:ind w:left="1440" w:hanging="360"/>
      </w:pPr>
      <w:rPr>
        <w:rFonts w:ascii="Arial" w:hAnsi="Arial" w:hint="default"/>
      </w:rPr>
    </w:lvl>
    <w:lvl w:ilvl="2" w:tplc="8388655C" w:tentative="1">
      <w:start w:val="1"/>
      <w:numFmt w:val="bullet"/>
      <w:lvlText w:val="•"/>
      <w:lvlJc w:val="left"/>
      <w:pPr>
        <w:tabs>
          <w:tab w:val="num" w:pos="2160"/>
        </w:tabs>
        <w:ind w:left="2160" w:hanging="360"/>
      </w:pPr>
      <w:rPr>
        <w:rFonts w:ascii="Arial" w:hAnsi="Arial" w:hint="default"/>
      </w:rPr>
    </w:lvl>
    <w:lvl w:ilvl="3" w:tplc="F0AA4608" w:tentative="1">
      <w:start w:val="1"/>
      <w:numFmt w:val="bullet"/>
      <w:lvlText w:val="•"/>
      <w:lvlJc w:val="left"/>
      <w:pPr>
        <w:tabs>
          <w:tab w:val="num" w:pos="2880"/>
        </w:tabs>
        <w:ind w:left="2880" w:hanging="360"/>
      </w:pPr>
      <w:rPr>
        <w:rFonts w:ascii="Arial" w:hAnsi="Arial" w:hint="default"/>
      </w:rPr>
    </w:lvl>
    <w:lvl w:ilvl="4" w:tplc="F5240EBC" w:tentative="1">
      <w:start w:val="1"/>
      <w:numFmt w:val="bullet"/>
      <w:lvlText w:val="•"/>
      <w:lvlJc w:val="left"/>
      <w:pPr>
        <w:tabs>
          <w:tab w:val="num" w:pos="3600"/>
        </w:tabs>
        <w:ind w:left="3600" w:hanging="360"/>
      </w:pPr>
      <w:rPr>
        <w:rFonts w:ascii="Arial" w:hAnsi="Arial" w:hint="default"/>
      </w:rPr>
    </w:lvl>
    <w:lvl w:ilvl="5" w:tplc="81C02630" w:tentative="1">
      <w:start w:val="1"/>
      <w:numFmt w:val="bullet"/>
      <w:lvlText w:val="•"/>
      <w:lvlJc w:val="left"/>
      <w:pPr>
        <w:tabs>
          <w:tab w:val="num" w:pos="4320"/>
        </w:tabs>
        <w:ind w:left="4320" w:hanging="360"/>
      </w:pPr>
      <w:rPr>
        <w:rFonts w:ascii="Arial" w:hAnsi="Arial" w:hint="default"/>
      </w:rPr>
    </w:lvl>
    <w:lvl w:ilvl="6" w:tplc="7742ABE6" w:tentative="1">
      <w:start w:val="1"/>
      <w:numFmt w:val="bullet"/>
      <w:lvlText w:val="•"/>
      <w:lvlJc w:val="left"/>
      <w:pPr>
        <w:tabs>
          <w:tab w:val="num" w:pos="5040"/>
        </w:tabs>
        <w:ind w:left="5040" w:hanging="360"/>
      </w:pPr>
      <w:rPr>
        <w:rFonts w:ascii="Arial" w:hAnsi="Arial" w:hint="default"/>
      </w:rPr>
    </w:lvl>
    <w:lvl w:ilvl="7" w:tplc="333CF028" w:tentative="1">
      <w:start w:val="1"/>
      <w:numFmt w:val="bullet"/>
      <w:lvlText w:val="•"/>
      <w:lvlJc w:val="left"/>
      <w:pPr>
        <w:tabs>
          <w:tab w:val="num" w:pos="5760"/>
        </w:tabs>
        <w:ind w:left="5760" w:hanging="360"/>
      </w:pPr>
      <w:rPr>
        <w:rFonts w:ascii="Arial" w:hAnsi="Arial" w:hint="default"/>
      </w:rPr>
    </w:lvl>
    <w:lvl w:ilvl="8" w:tplc="DF16C8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80F88"/>
    <w:multiLevelType w:val="hybridMultilevel"/>
    <w:tmpl w:val="005E830A"/>
    <w:lvl w:ilvl="0" w:tplc="800236F0">
      <w:start w:val="1"/>
      <w:numFmt w:val="bullet"/>
      <w:lvlText w:val="•"/>
      <w:lvlJc w:val="left"/>
      <w:pPr>
        <w:tabs>
          <w:tab w:val="num" w:pos="720"/>
        </w:tabs>
        <w:ind w:left="720" w:hanging="360"/>
      </w:pPr>
      <w:rPr>
        <w:rFonts w:ascii="Arial" w:hAnsi="Arial" w:hint="default"/>
      </w:rPr>
    </w:lvl>
    <w:lvl w:ilvl="1" w:tplc="F4AC208E" w:tentative="1">
      <w:start w:val="1"/>
      <w:numFmt w:val="bullet"/>
      <w:lvlText w:val="•"/>
      <w:lvlJc w:val="left"/>
      <w:pPr>
        <w:tabs>
          <w:tab w:val="num" w:pos="1440"/>
        </w:tabs>
        <w:ind w:left="1440" w:hanging="360"/>
      </w:pPr>
      <w:rPr>
        <w:rFonts w:ascii="Arial" w:hAnsi="Arial" w:hint="default"/>
      </w:rPr>
    </w:lvl>
    <w:lvl w:ilvl="2" w:tplc="4E8CC70C" w:tentative="1">
      <w:start w:val="1"/>
      <w:numFmt w:val="bullet"/>
      <w:lvlText w:val="•"/>
      <w:lvlJc w:val="left"/>
      <w:pPr>
        <w:tabs>
          <w:tab w:val="num" w:pos="2160"/>
        </w:tabs>
        <w:ind w:left="2160" w:hanging="360"/>
      </w:pPr>
      <w:rPr>
        <w:rFonts w:ascii="Arial" w:hAnsi="Arial" w:hint="default"/>
      </w:rPr>
    </w:lvl>
    <w:lvl w:ilvl="3" w:tplc="9DBCD260" w:tentative="1">
      <w:start w:val="1"/>
      <w:numFmt w:val="bullet"/>
      <w:lvlText w:val="•"/>
      <w:lvlJc w:val="left"/>
      <w:pPr>
        <w:tabs>
          <w:tab w:val="num" w:pos="2880"/>
        </w:tabs>
        <w:ind w:left="2880" w:hanging="360"/>
      </w:pPr>
      <w:rPr>
        <w:rFonts w:ascii="Arial" w:hAnsi="Arial" w:hint="default"/>
      </w:rPr>
    </w:lvl>
    <w:lvl w:ilvl="4" w:tplc="64F6B1D6" w:tentative="1">
      <w:start w:val="1"/>
      <w:numFmt w:val="bullet"/>
      <w:lvlText w:val="•"/>
      <w:lvlJc w:val="left"/>
      <w:pPr>
        <w:tabs>
          <w:tab w:val="num" w:pos="3600"/>
        </w:tabs>
        <w:ind w:left="3600" w:hanging="360"/>
      </w:pPr>
      <w:rPr>
        <w:rFonts w:ascii="Arial" w:hAnsi="Arial" w:hint="default"/>
      </w:rPr>
    </w:lvl>
    <w:lvl w:ilvl="5" w:tplc="0E0AF302" w:tentative="1">
      <w:start w:val="1"/>
      <w:numFmt w:val="bullet"/>
      <w:lvlText w:val="•"/>
      <w:lvlJc w:val="left"/>
      <w:pPr>
        <w:tabs>
          <w:tab w:val="num" w:pos="4320"/>
        </w:tabs>
        <w:ind w:left="4320" w:hanging="360"/>
      </w:pPr>
      <w:rPr>
        <w:rFonts w:ascii="Arial" w:hAnsi="Arial" w:hint="default"/>
      </w:rPr>
    </w:lvl>
    <w:lvl w:ilvl="6" w:tplc="58D2EEB4" w:tentative="1">
      <w:start w:val="1"/>
      <w:numFmt w:val="bullet"/>
      <w:lvlText w:val="•"/>
      <w:lvlJc w:val="left"/>
      <w:pPr>
        <w:tabs>
          <w:tab w:val="num" w:pos="5040"/>
        </w:tabs>
        <w:ind w:left="5040" w:hanging="360"/>
      </w:pPr>
      <w:rPr>
        <w:rFonts w:ascii="Arial" w:hAnsi="Arial" w:hint="default"/>
      </w:rPr>
    </w:lvl>
    <w:lvl w:ilvl="7" w:tplc="0C9C0476" w:tentative="1">
      <w:start w:val="1"/>
      <w:numFmt w:val="bullet"/>
      <w:lvlText w:val="•"/>
      <w:lvlJc w:val="left"/>
      <w:pPr>
        <w:tabs>
          <w:tab w:val="num" w:pos="5760"/>
        </w:tabs>
        <w:ind w:left="5760" w:hanging="360"/>
      </w:pPr>
      <w:rPr>
        <w:rFonts w:ascii="Arial" w:hAnsi="Arial" w:hint="default"/>
      </w:rPr>
    </w:lvl>
    <w:lvl w:ilvl="8" w:tplc="669AB0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60D67"/>
    <w:multiLevelType w:val="hybridMultilevel"/>
    <w:tmpl w:val="9138B880"/>
    <w:lvl w:ilvl="0" w:tplc="8264BC2E">
      <w:start w:val="1"/>
      <w:numFmt w:val="bullet"/>
      <w:lvlText w:val="•"/>
      <w:lvlJc w:val="left"/>
      <w:pPr>
        <w:tabs>
          <w:tab w:val="num" w:pos="720"/>
        </w:tabs>
        <w:ind w:left="720" w:hanging="360"/>
      </w:pPr>
      <w:rPr>
        <w:rFonts w:ascii="Arial" w:hAnsi="Arial" w:hint="default"/>
      </w:rPr>
    </w:lvl>
    <w:lvl w:ilvl="1" w:tplc="DA14E89A" w:tentative="1">
      <w:start w:val="1"/>
      <w:numFmt w:val="bullet"/>
      <w:lvlText w:val="•"/>
      <w:lvlJc w:val="left"/>
      <w:pPr>
        <w:tabs>
          <w:tab w:val="num" w:pos="1440"/>
        </w:tabs>
        <w:ind w:left="1440" w:hanging="360"/>
      </w:pPr>
      <w:rPr>
        <w:rFonts w:ascii="Arial" w:hAnsi="Arial" w:hint="default"/>
      </w:rPr>
    </w:lvl>
    <w:lvl w:ilvl="2" w:tplc="E8049550" w:tentative="1">
      <w:start w:val="1"/>
      <w:numFmt w:val="bullet"/>
      <w:lvlText w:val="•"/>
      <w:lvlJc w:val="left"/>
      <w:pPr>
        <w:tabs>
          <w:tab w:val="num" w:pos="2160"/>
        </w:tabs>
        <w:ind w:left="2160" w:hanging="360"/>
      </w:pPr>
      <w:rPr>
        <w:rFonts w:ascii="Arial" w:hAnsi="Arial" w:hint="default"/>
      </w:rPr>
    </w:lvl>
    <w:lvl w:ilvl="3" w:tplc="C1FEA06E" w:tentative="1">
      <w:start w:val="1"/>
      <w:numFmt w:val="bullet"/>
      <w:lvlText w:val="•"/>
      <w:lvlJc w:val="left"/>
      <w:pPr>
        <w:tabs>
          <w:tab w:val="num" w:pos="2880"/>
        </w:tabs>
        <w:ind w:left="2880" w:hanging="360"/>
      </w:pPr>
      <w:rPr>
        <w:rFonts w:ascii="Arial" w:hAnsi="Arial" w:hint="default"/>
      </w:rPr>
    </w:lvl>
    <w:lvl w:ilvl="4" w:tplc="078CFF90" w:tentative="1">
      <w:start w:val="1"/>
      <w:numFmt w:val="bullet"/>
      <w:lvlText w:val="•"/>
      <w:lvlJc w:val="left"/>
      <w:pPr>
        <w:tabs>
          <w:tab w:val="num" w:pos="3600"/>
        </w:tabs>
        <w:ind w:left="3600" w:hanging="360"/>
      </w:pPr>
      <w:rPr>
        <w:rFonts w:ascii="Arial" w:hAnsi="Arial" w:hint="default"/>
      </w:rPr>
    </w:lvl>
    <w:lvl w:ilvl="5" w:tplc="C7CA3336" w:tentative="1">
      <w:start w:val="1"/>
      <w:numFmt w:val="bullet"/>
      <w:lvlText w:val="•"/>
      <w:lvlJc w:val="left"/>
      <w:pPr>
        <w:tabs>
          <w:tab w:val="num" w:pos="4320"/>
        </w:tabs>
        <w:ind w:left="4320" w:hanging="360"/>
      </w:pPr>
      <w:rPr>
        <w:rFonts w:ascii="Arial" w:hAnsi="Arial" w:hint="default"/>
      </w:rPr>
    </w:lvl>
    <w:lvl w:ilvl="6" w:tplc="1630AF6E" w:tentative="1">
      <w:start w:val="1"/>
      <w:numFmt w:val="bullet"/>
      <w:lvlText w:val="•"/>
      <w:lvlJc w:val="left"/>
      <w:pPr>
        <w:tabs>
          <w:tab w:val="num" w:pos="5040"/>
        </w:tabs>
        <w:ind w:left="5040" w:hanging="360"/>
      </w:pPr>
      <w:rPr>
        <w:rFonts w:ascii="Arial" w:hAnsi="Arial" w:hint="default"/>
      </w:rPr>
    </w:lvl>
    <w:lvl w:ilvl="7" w:tplc="A3CA13C6" w:tentative="1">
      <w:start w:val="1"/>
      <w:numFmt w:val="bullet"/>
      <w:lvlText w:val="•"/>
      <w:lvlJc w:val="left"/>
      <w:pPr>
        <w:tabs>
          <w:tab w:val="num" w:pos="5760"/>
        </w:tabs>
        <w:ind w:left="5760" w:hanging="360"/>
      </w:pPr>
      <w:rPr>
        <w:rFonts w:ascii="Arial" w:hAnsi="Arial" w:hint="default"/>
      </w:rPr>
    </w:lvl>
    <w:lvl w:ilvl="8" w:tplc="F7843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7" w15:restartNumberingAfterBreak="0">
    <w:nsid w:val="3871093A"/>
    <w:multiLevelType w:val="hybridMultilevel"/>
    <w:tmpl w:val="3C364690"/>
    <w:lvl w:ilvl="0" w:tplc="69F0AB52">
      <w:start w:val="1"/>
      <w:numFmt w:val="bullet"/>
      <w:lvlText w:val="•"/>
      <w:lvlJc w:val="left"/>
      <w:pPr>
        <w:tabs>
          <w:tab w:val="num" w:pos="720"/>
        </w:tabs>
        <w:ind w:left="720" w:hanging="360"/>
      </w:pPr>
      <w:rPr>
        <w:rFonts w:ascii="Arial" w:hAnsi="Arial" w:hint="default"/>
      </w:rPr>
    </w:lvl>
    <w:lvl w:ilvl="1" w:tplc="13F020BC" w:tentative="1">
      <w:start w:val="1"/>
      <w:numFmt w:val="bullet"/>
      <w:lvlText w:val="•"/>
      <w:lvlJc w:val="left"/>
      <w:pPr>
        <w:tabs>
          <w:tab w:val="num" w:pos="1440"/>
        </w:tabs>
        <w:ind w:left="1440" w:hanging="360"/>
      </w:pPr>
      <w:rPr>
        <w:rFonts w:ascii="Arial" w:hAnsi="Arial" w:hint="default"/>
      </w:rPr>
    </w:lvl>
    <w:lvl w:ilvl="2" w:tplc="135CEDDC" w:tentative="1">
      <w:start w:val="1"/>
      <w:numFmt w:val="bullet"/>
      <w:lvlText w:val="•"/>
      <w:lvlJc w:val="left"/>
      <w:pPr>
        <w:tabs>
          <w:tab w:val="num" w:pos="2160"/>
        </w:tabs>
        <w:ind w:left="2160" w:hanging="360"/>
      </w:pPr>
      <w:rPr>
        <w:rFonts w:ascii="Arial" w:hAnsi="Arial" w:hint="default"/>
      </w:rPr>
    </w:lvl>
    <w:lvl w:ilvl="3" w:tplc="D206AB6C" w:tentative="1">
      <w:start w:val="1"/>
      <w:numFmt w:val="bullet"/>
      <w:lvlText w:val="•"/>
      <w:lvlJc w:val="left"/>
      <w:pPr>
        <w:tabs>
          <w:tab w:val="num" w:pos="2880"/>
        </w:tabs>
        <w:ind w:left="2880" w:hanging="360"/>
      </w:pPr>
      <w:rPr>
        <w:rFonts w:ascii="Arial" w:hAnsi="Arial" w:hint="default"/>
      </w:rPr>
    </w:lvl>
    <w:lvl w:ilvl="4" w:tplc="EFA8C71E" w:tentative="1">
      <w:start w:val="1"/>
      <w:numFmt w:val="bullet"/>
      <w:lvlText w:val="•"/>
      <w:lvlJc w:val="left"/>
      <w:pPr>
        <w:tabs>
          <w:tab w:val="num" w:pos="3600"/>
        </w:tabs>
        <w:ind w:left="3600" w:hanging="360"/>
      </w:pPr>
      <w:rPr>
        <w:rFonts w:ascii="Arial" w:hAnsi="Arial" w:hint="default"/>
      </w:rPr>
    </w:lvl>
    <w:lvl w:ilvl="5" w:tplc="849CDFD6" w:tentative="1">
      <w:start w:val="1"/>
      <w:numFmt w:val="bullet"/>
      <w:lvlText w:val="•"/>
      <w:lvlJc w:val="left"/>
      <w:pPr>
        <w:tabs>
          <w:tab w:val="num" w:pos="4320"/>
        </w:tabs>
        <w:ind w:left="4320" w:hanging="360"/>
      </w:pPr>
      <w:rPr>
        <w:rFonts w:ascii="Arial" w:hAnsi="Arial" w:hint="default"/>
      </w:rPr>
    </w:lvl>
    <w:lvl w:ilvl="6" w:tplc="C9C8B9A4" w:tentative="1">
      <w:start w:val="1"/>
      <w:numFmt w:val="bullet"/>
      <w:lvlText w:val="•"/>
      <w:lvlJc w:val="left"/>
      <w:pPr>
        <w:tabs>
          <w:tab w:val="num" w:pos="5040"/>
        </w:tabs>
        <w:ind w:left="5040" w:hanging="360"/>
      </w:pPr>
      <w:rPr>
        <w:rFonts w:ascii="Arial" w:hAnsi="Arial" w:hint="default"/>
      </w:rPr>
    </w:lvl>
    <w:lvl w:ilvl="7" w:tplc="68808108" w:tentative="1">
      <w:start w:val="1"/>
      <w:numFmt w:val="bullet"/>
      <w:lvlText w:val="•"/>
      <w:lvlJc w:val="left"/>
      <w:pPr>
        <w:tabs>
          <w:tab w:val="num" w:pos="5760"/>
        </w:tabs>
        <w:ind w:left="5760" w:hanging="360"/>
      </w:pPr>
      <w:rPr>
        <w:rFonts w:ascii="Arial" w:hAnsi="Arial" w:hint="default"/>
      </w:rPr>
    </w:lvl>
    <w:lvl w:ilvl="8" w:tplc="915619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BC210C"/>
    <w:multiLevelType w:val="hybridMultilevel"/>
    <w:tmpl w:val="F05ED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1"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3" w15:restartNumberingAfterBreak="0">
    <w:nsid w:val="40F83318"/>
    <w:multiLevelType w:val="hybridMultilevel"/>
    <w:tmpl w:val="AD7E2582"/>
    <w:lvl w:ilvl="0" w:tplc="59F81B48">
      <w:start w:val="1"/>
      <w:numFmt w:val="bullet"/>
      <w:lvlText w:val="•"/>
      <w:lvlJc w:val="left"/>
      <w:pPr>
        <w:tabs>
          <w:tab w:val="num" w:pos="720"/>
        </w:tabs>
        <w:ind w:left="720" w:hanging="360"/>
      </w:pPr>
      <w:rPr>
        <w:rFonts w:ascii="Arial" w:hAnsi="Arial" w:hint="default"/>
      </w:rPr>
    </w:lvl>
    <w:lvl w:ilvl="1" w:tplc="EE26B14C" w:tentative="1">
      <w:start w:val="1"/>
      <w:numFmt w:val="bullet"/>
      <w:lvlText w:val="•"/>
      <w:lvlJc w:val="left"/>
      <w:pPr>
        <w:tabs>
          <w:tab w:val="num" w:pos="1440"/>
        </w:tabs>
        <w:ind w:left="1440" w:hanging="360"/>
      </w:pPr>
      <w:rPr>
        <w:rFonts w:ascii="Arial" w:hAnsi="Arial" w:hint="default"/>
      </w:rPr>
    </w:lvl>
    <w:lvl w:ilvl="2" w:tplc="5BCE8060" w:tentative="1">
      <w:start w:val="1"/>
      <w:numFmt w:val="bullet"/>
      <w:lvlText w:val="•"/>
      <w:lvlJc w:val="left"/>
      <w:pPr>
        <w:tabs>
          <w:tab w:val="num" w:pos="2160"/>
        </w:tabs>
        <w:ind w:left="2160" w:hanging="360"/>
      </w:pPr>
      <w:rPr>
        <w:rFonts w:ascii="Arial" w:hAnsi="Arial" w:hint="default"/>
      </w:rPr>
    </w:lvl>
    <w:lvl w:ilvl="3" w:tplc="7DE662AC" w:tentative="1">
      <w:start w:val="1"/>
      <w:numFmt w:val="bullet"/>
      <w:lvlText w:val="•"/>
      <w:lvlJc w:val="left"/>
      <w:pPr>
        <w:tabs>
          <w:tab w:val="num" w:pos="2880"/>
        </w:tabs>
        <w:ind w:left="2880" w:hanging="360"/>
      </w:pPr>
      <w:rPr>
        <w:rFonts w:ascii="Arial" w:hAnsi="Arial" w:hint="default"/>
      </w:rPr>
    </w:lvl>
    <w:lvl w:ilvl="4" w:tplc="F61C5860" w:tentative="1">
      <w:start w:val="1"/>
      <w:numFmt w:val="bullet"/>
      <w:lvlText w:val="•"/>
      <w:lvlJc w:val="left"/>
      <w:pPr>
        <w:tabs>
          <w:tab w:val="num" w:pos="3600"/>
        </w:tabs>
        <w:ind w:left="3600" w:hanging="360"/>
      </w:pPr>
      <w:rPr>
        <w:rFonts w:ascii="Arial" w:hAnsi="Arial" w:hint="default"/>
      </w:rPr>
    </w:lvl>
    <w:lvl w:ilvl="5" w:tplc="E3F0F38A" w:tentative="1">
      <w:start w:val="1"/>
      <w:numFmt w:val="bullet"/>
      <w:lvlText w:val="•"/>
      <w:lvlJc w:val="left"/>
      <w:pPr>
        <w:tabs>
          <w:tab w:val="num" w:pos="4320"/>
        </w:tabs>
        <w:ind w:left="4320" w:hanging="360"/>
      </w:pPr>
      <w:rPr>
        <w:rFonts w:ascii="Arial" w:hAnsi="Arial" w:hint="default"/>
      </w:rPr>
    </w:lvl>
    <w:lvl w:ilvl="6" w:tplc="B0646ED4" w:tentative="1">
      <w:start w:val="1"/>
      <w:numFmt w:val="bullet"/>
      <w:lvlText w:val="•"/>
      <w:lvlJc w:val="left"/>
      <w:pPr>
        <w:tabs>
          <w:tab w:val="num" w:pos="5040"/>
        </w:tabs>
        <w:ind w:left="5040" w:hanging="360"/>
      </w:pPr>
      <w:rPr>
        <w:rFonts w:ascii="Arial" w:hAnsi="Arial" w:hint="default"/>
      </w:rPr>
    </w:lvl>
    <w:lvl w:ilvl="7" w:tplc="4028B40A" w:tentative="1">
      <w:start w:val="1"/>
      <w:numFmt w:val="bullet"/>
      <w:lvlText w:val="•"/>
      <w:lvlJc w:val="left"/>
      <w:pPr>
        <w:tabs>
          <w:tab w:val="num" w:pos="5760"/>
        </w:tabs>
        <w:ind w:left="5760" w:hanging="360"/>
      </w:pPr>
      <w:rPr>
        <w:rFonts w:ascii="Arial" w:hAnsi="Arial" w:hint="default"/>
      </w:rPr>
    </w:lvl>
    <w:lvl w:ilvl="8" w:tplc="866C72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8203FB"/>
    <w:multiLevelType w:val="hybridMultilevel"/>
    <w:tmpl w:val="A252C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331B55"/>
    <w:multiLevelType w:val="hybridMultilevel"/>
    <w:tmpl w:val="62862A9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5" w15:restartNumberingAfterBreak="0">
    <w:nsid w:val="68A70DE7"/>
    <w:multiLevelType w:val="hybridMultilevel"/>
    <w:tmpl w:val="3378D99C"/>
    <w:lvl w:ilvl="0" w:tplc="D47E6010">
      <w:start w:val="1"/>
      <w:numFmt w:val="bullet"/>
      <w:lvlText w:val="•"/>
      <w:lvlJc w:val="left"/>
      <w:pPr>
        <w:tabs>
          <w:tab w:val="num" w:pos="720"/>
        </w:tabs>
        <w:ind w:left="720" w:hanging="360"/>
      </w:pPr>
      <w:rPr>
        <w:rFonts w:ascii="Arial" w:hAnsi="Arial" w:hint="default"/>
      </w:rPr>
    </w:lvl>
    <w:lvl w:ilvl="1" w:tplc="B2969F50" w:tentative="1">
      <w:start w:val="1"/>
      <w:numFmt w:val="bullet"/>
      <w:lvlText w:val="•"/>
      <w:lvlJc w:val="left"/>
      <w:pPr>
        <w:tabs>
          <w:tab w:val="num" w:pos="1440"/>
        </w:tabs>
        <w:ind w:left="1440" w:hanging="360"/>
      </w:pPr>
      <w:rPr>
        <w:rFonts w:ascii="Arial" w:hAnsi="Arial" w:hint="default"/>
      </w:rPr>
    </w:lvl>
    <w:lvl w:ilvl="2" w:tplc="50703368" w:tentative="1">
      <w:start w:val="1"/>
      <w:numFmt w:val="bullet"/>
      <w:lvlText w:val="•"/>
      <w:lvlJc w:val="left"/>
      <w:pPr>
        <w:tabs>
          <w:tab w:val="num" w:pos="2160"/>
        </w:tabs>
        <w:ind w:left="2160" w:hanging="360"/>
      </w:pPr>
      <w:rPr>
        <w:rFonts w:ascii="Arial" w:hAnsi="Arial" w:hint="default"/>
      </w:rPr>
    </w:lvl>
    <w:lvl w:ilvl="3" w:tplc="68FE5188" w:tentative="1">
      <w:start w:val="1"/>
      <w:numFmt w:val="bullet"/>
      <w:lvlText w:val="•"/>
      <w:lvlJc w:val="left"/>
      <w:pPr>
        <w:tabs>
          <w:tab w:val="num" w:pos="2880"/>
        </w:tabs>
        <w:ind w:left="2880" w:hanging="360"/>
      </w:pPr>
      <w:rPr>
        <w:rFonts w:ascii="Arial" w:hAnsi="Arial" w:hint="default"/>
      </w:rPr>
    </w:lvl>
    <w:lvl w:ilvl="4" w:tplc="372ACE40" w:tentative="1">
      <w:start w:val="1"/>
      <w:numFmt w:val="bullet"/>
      <w:lvlText w:val="•"/>
      <w:lvlJc w:val="left"/>
      <w:pPr>
        <w:tabs>
          <w:tab w:val="num" w:pos="3600"/>
        </w:tabs>
        <w:ind w:left="3600" w:hanging="360"/>
      </w:pPr>
      <w:rPr>
        <w:rFonts w:ascii="Arial" w:hAnsi="Arial" w:hint="default"/>
      </w:rPr>
    </w:lvl>
    <w:lvl w:ilvl="5" w:tplc="06788612" w:tentative="1">
      <w:start w:val="1"/>
      <w:numFmt w:val="bullet"/>
      <w:lvlText w:val="•"/>
      <w:lvlJc w:val="left"/>
      <w:pPr>
        <w:tabs>
          <w:tab w:val="num" w:pos="4320"/>
        </w:tabs>
        <w:ind w:left="4320" w:hanging="360"/>
      </w:pPr>
      <w:rPr>
        <w:rFonts w:ascii="Arial" w:hAnsi="Arial" w:hint="default"/>
      </w:rPr>
    </w:lvl>
    <w:lvl w:ilvl="6" w:tplc="CA301F04" w:tentative="1">
      <w:start w:val="1"/>
      <w:numFmt w:val="bullet"/>
      <w:lvlText w:val="•"/>
      <w:lvlJc w:val="left"/>
      <w:pPr>
        <w:tabs>
          <w:tab w:val="num" w:pos="5040"/>
        </w:tabs>
        <w:ind w:left="5040" w:hanging="360"/>
      </w:pPr>
      <w:rPr>
        <w:rFonts w:ascii="Arial" w:hAnsi="Arial" w:hint="default"/>
      </w:rPr>
    </w:lvl>
    <w:lvl w:ilvl="7" w:tplc="622A5B34" w:tentative="1">
      <w:start w:val="1"/>
      <w:numFmt w:val="bullet"/>
      <w:lvlText w:val="•"/>
      <w:lvlJc w:val="left"/>
      <w:pPr>
        <w:tabs>
          <w:tab w:val="num" w:pos="5760"/>
        </w:tabs>
        <w:ind w:left="5760" w:hanging="360"/>
      </w:pPr>
      <w:rPr>
        <w:rFonts w:ascii="Arial" w:hAnsi="Arial" w:hint="default"/>
      </w:rPr>
    </w:lvl>
    <w:lvl w:ilvl="8" w:tplc="38FC89C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37"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8"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DB01182"/>
    <w:multiLevelType w:val="hybridMultilevel"/>
    <w:tmpl w:val="D2B2700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E953FF"/>
    <w:multiLevelType w:val="hybridMultilevel"/>
    <w:tmpl w:val="34224B9E"/>
    <w:lvl w:ilvl="0" w:tplc="42787F24">
      <w:start w:val="1"/>
      <w:numFmt w:val="bullet"/>
      <w:lvlText w:val="•"/>
      <w:lvlJc w:val="left"/>
      <w:pPr>
        <w:tabs>
          <w:tab w:val="num" w:pos="720"/>
        </w:tabs>
        <w:ind w:left="720" w:hanging="360"/>
      </w:pPr>
      <w:rPr>
        <w:rFonts w:ascii="Arial" w:hAnsi="Arial" w:hint="default"/>
      </w:rPr>
    </w:lvl>
    <w:lvl w:ilvl="1" w:tplc="F4DC3D90" w:tentative="1">
      <w:start w:val="1"/>
      <w:numFmt w:val="bullet"/>
      <w:lvlText w:val="•"/>
      <w:lvlJc w:val="left"/>
      <w:pPr>
        <w:tabs>
          <w:tab w:val="num" w:pos="1440"/>
        </w:tabs>
        <w:ind w:left="1440" w:hanging="360"/>
      </w:pPr>
      <w:rPr>
        <w:rFonts w:ascii="Arial" w:hAnsi="Arial" w:hint="default"/>
      </w:rPr>
    </w:lvl>
    <w:lvl w:ilvl="2" w:tplc="1620302A" w:tentative="1">
      <w:start w:val="1"/>
      <w:numFmt w:val="bullet"/>
      <w:lvlText w:val="•"/>
      <w:lvlJc w:val="left"/>
      <w:pPr>
        <w:tabs>
          <w:tab w:val="num" w:pos="2160"/>
        </w:tabs>
        <w:ind w:left="2160" w:hanging="360"/>
      </w:pPr>
      <w:rPr>
        <w:rFonts w:ascii="Arial" w:hAnsi="Arial" w:hint="default"/>
      </w:rPr>
    </w:lvl>
    <w:lvl w:ilvl="3" w:tplc="4B92B8E8" w:tentative="1">
      <w:start w:val="1"/>
      <w:numFmt w:val="bullet"/>
      <w:lvlText w:val="•"/>
      <w:lvlJc w:val="left"/>
      <w:pPr>
        <w:tabs>
          <w:tab w:val="num" w:pos="2880"/>
        </w:tabs>
        <w:ind w:left="2880" w:hanging="360"/>
      </w:pPr>
      <w:rPr>
        <w:rFonts w:ascii="Arial" w:hAnsi="Arial" w:hint="default"/>
      </w:rPr>
    </w:lvl>
    <w:lvl w:ilvl="4" w:tplc="37E255EA" w:tentative="1">
      <w:start w:val="1"/>
      <w:numFmt w:val="bullet"/>
      <w:lvlText w:val="•"/>
      <w:lvlJc w:val="left"/>
      <w:pPr>
        <w:tabs>
          <w:tab w:val="num" w:pos="3600"/>
        </w:tabs>
        <w:ind w:left="3600" w:hanging="360"/>
      </w:pPr>
      <w:rPr>
        <w:rFonts w:ascii="Arial" w:hAnsi="Arial" w:hint="default"/>
      </w:rPr>
    </w:lvl>
    <w:lvl w:ilvl="5" w:tplc="59489A26" w:tentative="1">
      <w:start w:val="1"/>
      <w:numFmt w:val="bullet"/>
      <w:lvlText w:val="•"/>
      <w:lvlJc w:val="left"/>
      <w:pPr>
        <w:tabs>
          <w:tab w:val="num" w:pos="4320"/>
        </w:tabs>
        <w:ind w:left="4320" w:hanging="360"/>
      </w:pPr>
      <w:rPr>
        <w:rFonts w:ascii="Arial" w:hAnsi="Arial" w:hint="default"/>
      </w:rPr>
    </w:lvl>
    <w:lvl w:ilvl="6" w:tplc="320440D4" w:tentative="1">
      <w:start w:val="1"/>
      <w:numFmt w:val="bullet"/>
      <w:lvlText w:val="•"/>
      <w:lvlJc w:val="left"/>
      <w:pPr>
        <w:tabs>
          <w:tab w:val="num" w:pos="5040"/>
        </w:tabs>
        <w:ind w:left="5040" w:hanging="360"/>
      </w:pPr>
      <w:rPr>
        <w:rFonts w:ascii="Arial" w:hAnsi="Arial" w:hint="default"/>
      </w:rPr>
    </w:lvl>
    <w:lvl w:ilvl="7" w:tplc="6046B1F6" w:tentative="1">
      <w:start w:val="1"/>
      <w:numFmt w:val="bullet"/>
      <w:lvlText w:val="•"/>
      <w:lvlJc w:val="left"/>
      <w:pPr>
        <w:tabs>
          <w:tab w:val="num" w:pos="5760"/>
        </w:tabs>
        <w:ind w:left="5760" w:hanging="360"/>
      </w:pPr>
      <w:rPr>
        <w:rFonts w:ascii="Arial" w:hAnsi="Arial" w:hint="default"/>
      </w:rPr>
    </w:lvl>
    <w:lvl w:ilvl="8" w:tplc="B46E909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0"/>
  </w:num>
  <w:num w:numId="3">
    <w:abstractNumId w:val="20"/>
  </w:num>
  <w:num w:numId="4">
    <w:abstractNumId w:val="16"/>
  </w:num>
  <w:num w:numId="5">
    <w:abstractNumId w:val="7"/>
  </w:num>
  <w:num w:numId="6">
    <w:abstractNumId w:val="33"/>
  </w:num>
  <w:num w:numId="7">
    <w:abstractNumId w:val="3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num>
  <w:num w:numId="11">
    <w:abstractNumId w:val="38"/>
  </w:num>
  <w:num w:numId="12">
    <w:abstractNumId w:val="34"/>
  </w:num>
  <w:num w:numId="13">
    <w:abstractNumId w:val="10"/>
  </w:num>
  <w:num w:numId="14">
    <w:abstractNumId w:val="25"/>
  </w:num>
  <w:num w:numId="15">
    <w:abstractNumId w:val="22"/>
  </w:num>
  <w:num w:numId="16">
    <w:abstractNumId w:val="2"/>
  </w:num>
  <w:num w:numId="17">
    <w:abstractNumId w:val="2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num>
  <w:num w:numId="22">
    <w:abstractNumId w:val="3"/>
  </w:num>
  <w:num w:numId="23">
    <w:abstractNumId w:val="11"/>
  </w:num>
  <w:num w:numId="24">
    <w:abstractNumId w:val="24"/>
  </w:num>
  <w:num w:numId="25">
    <w:abstractNumId w:val="31"/>
  </w:num>
  <w:num w:numId="26">
    <w:abstractNumId w:val="6"/>
  </w:num>
  <w:num w:numId="27">
    <w:abstractNumId w:val="0"/>
  </w:num>
  <w:num w:numId="28">
    <w:abstractNumId w:val="19"/>
  </w:num>
  <w:num w:numId="29">
    <w:abstractNumId w:val="5"/>
  </w:num>
  <w:num w:numId="30">
    <w:abstractNumId w:val="17"/>
  </w:num>
  <w:num w:numId="31">
    <w:abstractNumId w:val="35"/>
  </w:num>
  <w:num w:numId="32">
    <w:abstractNumId w:val="15"/>
  </w:num>
  <w:num w:numId="33">
    <w:abstractNumId w:val="8"/>
  </w:num>
  <w:num w:numId="34">
    <w:abstractNumId w:val="13"/>
  </w:num>
  <w:num w:numId="35">
    <w:abstractNumId w:val="40"/>
  </w:num>
  <w:num w:numId="36">
    <w:abstractNumId w:val="23"/>
  </w:num>
  <w:num w:numId="37">
    <w:abstractNumId w:val="14"/>
  </w:num>
  <w:num w:numId="38">
    <w:abstractNumId w:val="9"/>
  </w:num>
  <w:num w:numId="39">
    <w:abstractNumId w:val="27"/>
  </w:num>
  <w:num w:numId="40">
    <w:abstractNumId w:val="39"/>
  </w:num>
  <w:num w:numId="41">
    <w:abstractNumId w:val="1"/>
  </w:num>
  <w:num w:numId="42">
    <w:abstractNumId w:val="18"/>
  </w:num>
  <w:num w:numId="4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A5B"/>
    <w:rsid w:val="00007818"/>
    <w:rsid w:val="00010695"/>
    <w:rsid w:val="00010754"/>
    <w:rsid w:val="000131FF"/>
    <w:rsid w:val="0001381E"/>
    <w:rsid w:val="00015758"/>
    <w:rsid w:val="00015B5F"/>
    <w:rsid w:val="00015DF6"/>
    <w:rsid w:val="00017DED"/>
    <w:rsid w:val="00020926"/>
    <w:rsid w:val="00021415"/>
    <w:rsid w:val="00023877"/>
    <w:rsid w:val="00023F8C"/>
    <w:rsid w:val="00024EB2"/>
    <w:rsid w:val="0002649F"/>
    <w:rsid w:val="0002745D"/>
    <w:rsid w:val="00031902"/>
    <w:rsid w:val="00032518"/>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500DC"/>
    <w:rsid w:val="000509EC"/>
    <w:rsid w:val="00054B84"/>
    <w:rsid w:val="00055757"/>
    <w:rsid w:val="000569E7"/>
    <w:rsid w:val="00057DDC"/>
    <w:rsid w:val="000600A3"/>
    <w:rsid w:val="00061267"/>
    <w:rsid w:val="00062861"/>
    <w:rsid w:val="0006290B"/>
    <w:rsid w:val="0006361B"/>
    <w:rsid w:val="00065FC0"/>
    <w:rsid w:val="00066431"/>
    <w:rsid w:val="00066F49"/>
    <w:rsid w:val="0006782A"/>
    <w:rsid w:val="0007032D"/>
    <w:rsid w:val="00070AE3"/>
    <w:rsid w:val="00070C36"/>
    <w:rsid w:val="0007232A"/>
    <w:rsid w:val="000726B6"/>
    <w:rsid w:val="0007321B"/>
    <w:rsid w:val="000738E5"/>
    <w:rsid w:val="00074716"/>
    <w:rsid w:val="000753E3"/>
    <w:rsid w:val="00075D5B"/>
    <w:rsid w:val="00076CA5"/>
    <w:rsid w:val="0007736B"/>
    <w:rsid w:val="00077F51"/>
    <w:rsid w:val="00080A94"/>
    <w:rsid w:val="000857A8"/>
    <w:rsid w:val="0008583F"/>
    <w:rsid w:val="00085B83"/>
    <w:rsid w:val="000860BF"/>
    <w:rsid w:val="00086800"/>
    <w:rsid w:val="00086F78"/>
    <w:rsid w:val="000870E8"/>
    <w:rsid w:val="0008736B"/>
    <w:rsid w:val="00087450"/>
    <w:rsid w:val="00087709"/>
    <w:rsid w:val="00090634"/>
    <w:rsid w:val="000908F5"/>
    <w:rsid w:val="00090990"/>
    <w:rsid w:val="00090E9D"/>
    <w:rsid w:val="00092D19"/>
    <w:rsid w:val="00093B78"/>
    <w:rsid w:val="00094E08"/>
    <w:rsid w:val="00095A2E"/>
    <w:rsid w:val="00096118"/>
    <w:rsid w:val="00096EB4"/>
    <w:rsid w:val="000A005B"/>
    <w:rsid w:val="000A0E80"/>
    <w:rsid w:val="000A33E1"/>
    <w:rsid w:val="000A3D45"/>
    <w:rsid w:val="000A685A"/>
    <w:rsid w:val="000A6BD4"/>
    <w:rsid w:val="000A7B2C"/>
    <w:rsid w:val="000A7E3C"/>
    <w:rsid w:val="000B0B17"/>
    <w:rsid w:val="000B0F89"/>
    <w:rsid w:val="000B2F8E"/>
    <w:rsid w:val="000B32DA"/>
    <w:rsid w:val="000B3AED"/>
    <w:rsid w:val="000B4DCB"/>
    <w:rsid w:val="000B5E76"/>
    <w:rsid w:val="000B6220"/>
    <w:rsid w:val="000B65C5"/>
    <w:rsid w:val="000B7A4B"/>
    <w:rsid w:val="000C0DD9"/>
    <w:rsid w:val="000C1439"/>
    <w:rsid w:val="000C1BEC"/>
    <w:rsid w:val="000C2029"/>
    <w:rsid w:val="000D0A7C"/>
    <w:rsid w:val="000D109A"/>
    <w:rsid w:val="000D229C"/>
    <w:rsid w:val="000D22A9"/>
    <w:rsid w:val="000D2C40"/>
    <w:rsid w:val="000D34E6"/>
    <w:rsid w:val="000D4742"/>
    <w:rsid w:val="000D48A7"/>
    <w:rsid w:val="000D79EF"/>
    <w:rsid w:val="000E04B8"/>
    <w:rsid w:val="000E06A3"/>
    <w:rsid w:val="000E1C12"/>
    <w:rsid w:val="000E1D49"/>
    <w:rsid w:val="000E3223"/>
    <w:rsid w:val="000E33C0"/>
    <w:rsid w:val="000E34EC"/>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359"/>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84E"/>
    <w:rsid w:val="00115F9E"/>
    <w:rsid w:val="00116E75"/>
    <w:rsid w:val="001203FD"/>
    <w:rsid w:val="00122519"/>
    <w:rsid w:val="00122D77"/>
    <w:rsid w:val="001232F9"/>
    <w:rsid w:val="001233D3"/>
    <w:rsid w:val="0012409E"/>
    <w:rsid w:val="00124EE1"/>
    <w:rsid w:val="0012608C"/>
    <w:rsid w:val="001268A2"/>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5D5"/>
    <w:rsid w:val="0017734A"/>
    <w:rsid w:val="00181EF3"/>
    <w:rsid w:val="00182376"/>
    <w:rsid w:val="00183081"/>
    <w:rsid w:val="00183A67"/>
    <w:rsid w:val="00184517"/>
    <w:rsid w:val="00185CBB"/>
    <w:rsid w:val="0018671F"/>
    <w:rsid w:val="00186DCC"/>
    <w:rsid w:val="00186FD8"/>
    <w:rsid w:val="001906A5"/>
    <w:rsid w:val="00190AC1"/>
    <w:rsid w:val="00190F2F"/>
    <w:rsid w:val="00191603"/>
    <w:rsid w:val="00191A1B"/>
    <w:rsid w:val="00194358"/>
    <w:rsid w:val="001A06B1"/>
    <w:rsid w:val="001A1AB7"/>
    <w:rsid w:val="001A63E5"/>
    <w:rsid w:val="001A7084"/>
    <w:rsid w:val="001A7B71"/>
    <w:rsid w:val="001B045A"/>
    <w:rsid w:val="001B0884"/>
    <w:rsid w:val="001B17B8"/>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3306"/>
    <w:rsid w:val="001D3363"/>
    <w:rsid w:val="001D357E"/>
    <w:rsid w:val="001D75A6"/>
    <w:rsid w:val="001E1461"/>
    <w:rsid w:val="001E2422"/>
    <w:rsid w:val="001E253E"/>
    <w:rsid w:val="001E4E71"/>
    <w:rsid w:val="001E5C40"/>
    <w:rsid w:val="001E6302"/>
    <w:rsid w:val="001E6A3E"/>
    <w:rsid w:val="001E6AB7"/>
    <w:rsid w:val="001E7D82"/>
    <w:rsid w:val="001F0DB3"/>
    <w:rsid w:val="001F1F47"/>
    <w:rsid w:val="001F203E"/>
    <w:rsid w:val="001F2D6C"/>
    <w:rsid w:val="001F34C5"/>
    <w:rsid w:val="001F43F7"/>
    <w:rsid w:val="001F58EC"/>
    <w:rsid w:val="001F7840"/>
    <w:rsid w:val="00204CE9"/>
    <w:rsid w:val="00206DBE"/>
    <w:rsid w:val="00207092"/>
    <w:rsid w:val="00207FE8"/>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363B"/>
    <w:rsid w:val="002474AE"/>
    <w:rsid w:val="00247BB3"/>
    <w:rsid w:val="002505F3"/>
    <w:rsid w:val="00250BE0"/>
    <w:rsid w:val="002514F4"/>
    <w:rsid w:val="00251C96"/>
    <w:rsid w:val="002535B8"/>
    <w:rsid w:val="002539E1"/>
    <w:rsid w:val="00255E6C"/>
    <w:rsid w:val="0025625C"/>
    <w:rsid w:val="00257F13"/>
    <w:rsid w:val="00260380"/>
    <w:rsid w:val="0026162E"/>
    <w:rsid w:val="002648F2"/>
    <w:rsid w:val="002652A4"/>
    <w:rsid w:val="00265941"/>
    <w:rsid w:val="002662C6"/>
    <w:rsid w:val="00267FD9"/>
    <w:rsid w:val="0027077D"/>
    <w:rsid w:val="00270B6A"/>
    <w:rsid w:val="00270BED"/>
    <w:rsid w:val="00270E68"/>
    <w:rsid w:val="00276B45"/>
    <w:rsid w:val="0027781B"/>
    <w:rsid w:val="00277E3B"/>
    <w:rsid w:val="00280662"/>
    <w:rsid w:val="002818DD"/>
    <w:rsid w:val="00282034"/>
    <w:rsid w:val="00282968"/>
    <w:rsid w:val="00282B62"/>
    <w:rsid w:val="00285271"/>
    <w:rsid w:val="00286B66"/>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E59"/>
    <w:rsid w:val="002B2B79"/>
    <w:rsid w:val="002B551D"/>
    <w:rsid w:val="002B5FFA"/>
    <w:rsid w:val="002B61C7"/>
    <w:rsid w:val="002B6F59"/>
    <w:rsid w:val="002C0CEE"/>
    <w:rsid w:val="002C38D8"/>
    <w:rsid w:val="002C3EE8"/>
    <w:rsid w:val="002C404B"/>
    <w:rsid w:val="002C4680"/>
    <w:rsid w:val="002C4993"/>
    <w:rsid w:val="002C553E"/>
    <w:rsid w:val="002C5916"/>
    <w:rsid w:val="002C6A17"/>
    <w:rsid w:val="002C7434"/>
    <w:rsid w:val="002C7984"/>
    <w:rsid w:val="002D699A"/>
    <w:rsid w:val="002D6BF9"/>
    <w:rsid w:val="002D6C7A"/>
    <w:rsid w:val="002D7330"/>
    <w:rsid w:val="002D7F66"/>
    <w:rsid w:val="002E0116"/>
    <w:rsid w:val="002E075E"/>
    <w:rsid w:val="002E14C7"/>
    <w:rsid w:val="002E34D7"/>
    <w:rsid w:val="002E4A2E"/>
    <w:rsid w:val="002E4C5A"/>
    <w:rsid w:val="002E5C6B"/>
    <w:rsid w:val="002E60A7"/>
    <w:rsid w:val="002F1A1F"/>
    <w:rsid w:val="002F2AC7"/>
    <w:rsid w:val="002F5B13"/>
    <w:rsid w:val="002F5B2C"/>
    <w:rsid w:val="002F6573"/>
    <w:rsid w:val="002F7947"/>
    <w:rsid w:val="00300563"/>
    <w:rsid w:val="003007E3"/>
    <w:rsid w:val="00300D1D"/>
    <w:rsid w:val="00301C3C"/>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216DC"/>
    <w:rsid w:val="00321FD3"/>
    <w:rsid w:val="003249F2"/>
    <w:rsid w:val="00324C57"/>
    <w:rsid w:val="0032595D"/>
    <w:rsid w:val="00326336"/>
    <w:rsid w:val="003264F1"/>
    <w:rsid w:val="003269EA"/>
    <w:rsid w:val="003279E5"/>
    <w:rsid w:val="00331019"/>
    <w:rsid w:val="00331379"/>
    <w:rsid w:val="0033232B"/>
    <w:rsid w:val="00332624"/>
    <w:rsid w:val="00332A9A"/>
    <w:rsid w:val="00332CD4"/>
    <w:rsid w:val="00333913"/>
    <w:rsid w:val="00335187"/>
    <w:rsid w:val="00336345"/>
    <w:rsid w:val="00337053"/>
    <w:rsid w:val="00337DA4"/>
    <w:rsid w:val="00340528"/>
    <w:rsid w:val="003406D2"/>
    <w:rsid w:val="003412BE"/>
    <w:rsid w:val="00342405"/>
    <w:rsid w:val="00343E08"/>
    <w:rsid w:val="00343E16"/>
    <w:rsid w:val="00344388"/>
    <w:rsid w:val="00345CE8"/>
    <w:rsid w:val="00346E43"/>
    <w:rsid w:val="00350C0A"/>
    <w:rsid w:val="00350DA5"/>
    <w:rsid w:val="00352ED8"/>
    <w:rsid w:val="00354413"/>
    <w:rsid w:val="0035499F"/>
    <w:rsid w:val="00354DD4"/>
    <w:rsid w:val="0035628A"/>
    <w:rsid w:val="00357AE0"/>
    <w:rsid w:val="00357C94"/>
    <w:rsid w:val="003604AE"/>
    <w:rsid w:val="00360A21"/>
    <w:rsid w:val="00360FA8"/>
    <w:rsid w:val="00364855"/>
    <w:rsid w:val="00365656"/>
    <w:rsid w:val="0036639F"/>
    <w:rsid w:val="00370B23"/>
    <w:rsid w:val="0037195D"/>
    <w:rsid w:val="003726DA"/>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99C"/>
    <w:rsid w:val="00397BF6"/>
    <w:rsid w:val="003A1B1D"/>
    <w:rsid w:val="003A503B"/>
    <w:rsid w:val="003B23E5"/>
    <w:rsid w:val="003B4059"/>
    <w:rsid w:val="003B7FEA"/>
    <w:rsid w:val="003C1A39"/>
    <w:rsid w:val="003C30E4"/>
    <w:rsid w:val="003C3933"/>
    <w:rsid w:val="003C3D19"/>
    <w:rsid w:val="003C56BB"/>
    <w:rsid w:val="003C625F"/>
    <w:rsid w:val="003C731A"/>
    <w:rsid w:val="003D08F5"/>
    <w:rsid w:val="003D09AC"/>
    <w:rsid w:val="003D14F1"/>
    <w:rsid w:val="003D2596"/>
    <w:rsid w:val="003D4B5F"/>
    <w:rsid w:val="003D4F6C"/>
    <w:rsid w:val="003D4F9F"/>
    <w:rsid w:val="003D5E5D"/>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015"/>
    <w:rsid w:val="003F6C59"/>
    <w:rsid w:val="0040051A"/>
    <w:rsid w:val="00402354"/>
    <w:rsid w:val="0040279C"/>
    <w:rsid w:val="0040364A"/>
    <w:rsid w:val="00405329"/>
    <w:rsid w:val="00405ACE"/>
    <w:rsid w:val="004064BE"/>
    <w:rsid w:val="00406820"/>
    <w:rsid w:val="00406C0B"/>
    <w:rsid w:val="004129CB"/>
    <w:rsid w:val="00413890"/>
    <w:rsid w:val="004147EB"/>
    <w:rsid w:val="00417BE7"/>
    <w:rsid w:val="0042105E"/>
    <w:rsid w:val="0042150C"/>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40EF"/>
    <w:rsid w:val="00457449"/>
    <w:rsid w:val="00457848"/>
    <w:rsid w:val="00457876"/>
    <w:rsid w:val="00463B0C"/>
    <w:rsid w:val="00464731"/>
    <w:rsid w:val="0046568F"/>
    <w:rsid w:val="00466988"/>
    <w:rsid w:val="00467286"/>
    <w:rsid w:val="0046795E"/>
    <w:rsid w:val="00467EF8"/>
    <w:rsid w:val="004712F9"/>
    <w:rsid w:val="004731B0"/>
    <w:rsid w:val="00475012"/>
    <w:rsid w:val="0047506B"/>
    <w:rsid w:val="0047519F"/>
    <w:rsid w:val="004756F2"/>
    <w:rsid w:val="00476E86"/>
    <w:rsid w:val="004779E1"/>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DF0"/>
    <w:rsid w:val="004B1677"/>
    <w:rsid w:val="004B1C39"/>
    <w:rsid w:val="004B1ED2"/>
    <w:rsid w:val="004B2883"/>
    <w:rsid w:val="004B3EE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5032"/>
    <w:rsid w:val="004D589A"/>
    <w:rsid w:val="004D61B5"/>
    <w:rsid w:val="004D7625"/>
    <w:rsid w:val="004D7B83"/>
    <w:rsid w:val="004E0331"/>
    <w:rsid w:val="004E07D1"/>
    <w:rsid w:val="004E1F81"/>
    <w:rsid w:val="004E2C28"/>
    <w:rsid w:val="004E56F4"/>
    <w:rsid w:val="004E593F"/>
    <w:rsid w:val="004E5CD1"/>
    <w:rsid w:val="004E62D1"/>
    <w:rsid w:val="004E6680"/>
    <w:rsid w:val="004E6FEA"/>
    <w:rsid w:val="004E7D48"/>
    <w:rsid w:val="004F0229"/>
    <w:rsid w:val="004F10B8"/>
    <w:rsid w:val="004F2445"/>
    <w:rsid w:val="004F351A"/>
    <w:rsid w:val="004F392C"/>
    <w:rsid w:val="004F4FAE"/>
    <w:rsid w:val="004F6254"/>
    <w:rsid w:val="004F6C21"/>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F38"/>
    <w:rsid w:val="00522512"/>
    <w:rsid w:val="00523BB9"/>
    <w:rsid w:val="00524BDE"/>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5FFB"/>
    <w:rsid w:val="00547BC5"/>
    <w:rsid w:val="0055086A"/>
    <w:rsid w:val="00550D1D"/>
    <w:rsid w:val="00552E2E"/>
    <w:rsid w:val="0055461D"/>
    <w:rsid w:val="00554808"/>
    <w:rsid w:val="00556556"/>
    <w:rsid w:val="00556820"/>
    <w:rsid w:val="005577EB"/>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37E2"/>
    <w:rsid w:val="005B3F1B"/>
    <w:rsid w:val="005B48F7"/>
    <w:rsid w:val="005B4945"/>
    <w:rsid w:val="005B5E6B"/>
    <w:rsid w:val="005B6FC6"/>
    <w:rsid w:val="005B7861"/>
    <w:rsid w:val="005C1910"/>
    <w:rsid w:val="005C213B"/>
    <w:rsid w:val="005C21AC"/>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3A3C"/>
    <w:rsid w:val="005E5D27"/>
    <w:rsid w:val="005E5D82"/>
    <w:rsid w:val="005E6FA7"/>
    <w:rsid w:val="005F0E5F"/>
    <w:rsid w:val="005F3E95"/>
    <w:rsid w:val="005F428D"/>
    <w:rsid w:val="005F43D0"/>
    <w:rsid w:val="005F5580"/>
    <w:rsid w:val="005F65D8"/>
    <w:rsid w:val="005F6B6D"/>
    <w:rsid w:val="005F6F58"/>
    <w:rsid w:val="005F780A"/>
    <w:rsid w:val="005F7FF1"/>
    <w:rsid w:val="00600452"/>
    <w:rsid w:val="00601DF7"/>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25A3"/>
    <w:rsid w:val="00623159"/>
    <w:rsid w:val="00625177"/>
    <w:rsid w:val="00625769"/>
    <w:rsid w:val="00626728"/>
    <w:rsid w:val="006269B5"/>
    <w:rsid w:val="00627956"/>
    <w:rsid w:val="00627ABA"/>
    <w:rsid w:val="00627B50"/>
    <w:rsid w:val="00627B75"/>
    <w:rsid w:val="00632127"/>
    <w:rsid w:val="0063231B"/>
    <w:rsid w:val="0063316E"/>
    <w:rsid w:val="006338D7"/>
    <w:rsid w:val="00634B32"/>
    <w:rsid w:val="00634C98"/>
    <w:rsid w:val="00634D8C"/>
    <w:rsid w:val="00635C24"/>
    <w:rsid w:val="00636729"/>
    <w:rsid w:val="006416A1"/>
    <w:rsid w:val="0064325C"/>
    <w:rsid w:val="00644938"/>
    <w:rsid w:val="00645A01"/>
    <w:rsid w:val="00645E42"/>
    <w:rsid w:val="00646760"/>
    <w:rsid w:val="00646E29"/>
    <w:rsid w:val="006474C8"/>
    <w:rsid w:val="0064767C"/>
    <w:rsid w:val="006525F9"/>
    <w:rsid w:val="006529C9"/>
    <w:rsid w:val="006534CB"/>
    <w:rsid w:val="006558FB"/>
    <w:rsid w:val="00656857"/>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B8B"/>
    <w:rsid w:val="00687A7B"/>
    <w:rsid w:val="006904E3"/>
    <w:rsid w:val="00690D00"/>
    <w:rsid w:val="00690D80"/>
    <w:rsid w:val="00694398"/>
    <w:rsid w:val="006948FE"/>
    <w:rsid w:val="00697A2B"/>
    <w:rsid w:val="006A05ED"/>
    <w:rsid w:val="006A0AD7"/>
    <w:rsid w:val="006A1F3A"/>
    <w:rsid w:val="006A36FB"/>
    <w:rsid w:val="006A3CFB"/>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81E"/>
    <w:rsid w:val="00716BA4"/>
    <w:rsid w:val="00717A3B"/>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26C5"/>
    <w:rsid w:val="00752FD3"/>
    <w:rsid w:val="007566BC"/>
    <w:rsid w:val="00756F2D"/>
    <w:rsid w:val="00757661"/>
    <w:rsid w:val="00760674"/>
    <w:rsid w:val="007606E9"/>
    <w:rsid w:val="007608A5"/>
    <w:rsid w:val="00760A2B"/>
    <w:rsid w:val="0076127D"/>
    <w:rsid w:val="00761E0F"/>
    <w:rsid w:val="007627D6"/>
    <w:rsid w:val="00762820"/>
    <w:rsid w:val="007656E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112E"/>
    <w:rsid w:val="007B1D9A"/>
    <w:rsid w:val="007B2679"/>
    <w:rsid w:val="007B2B33"/>
    <w:rsid w:val="007B4386"/>
    <w:rsid w:val="007B5629"/>
    <w:rsid w:val="007B5D2C"/>
    <w:rsid w:val="007B6C2F"/>
    <w:rsid w:val="007C03BA"/>
    <w:rsid w:val="007C088F"/>
    <w:rsid w:val="007C2A78"/>
    <w:rsid w:val="007C4802"/>
    <w:rsid w:val="007C5907"/>
    <w:rsid w:val="007C72EA"/>
    <w:rsid w:val="007D04EA"/>
    <w:rsid w:val="007D0801"/>
    <w:rsid w:val="007D515A"/>
    <w:rsid w:val="007D532C"/>
    <w:rsid w:val="007D54C3"/>
    <w:rsid w:val="007D60C6"/>
    <w:rsid w:val="007D6AB9"/>
    <w:rsid w:val="007D778C"/>
    <w:rsid w:val="007E0078"/>
    <w:rsid w:val="007E11CE"/>
    <w:rsid w:val="007E1586"/>
    <w:rsid w:val="007E17A3"/>
    <w:rsid w:val="007E2F4F"/>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370AD"/>
    <w:rsid w:val="00841511"/>
    <w:rsid w:val="0084272A"/>
    <w:rsid w:val="008436BE"/>
    <w:rsid w:val="00845EE3"/>
    <w:rsid w:val="00846424"/>
    <w:rsid w:val="00847570"/>
    <w:rsid w:val="008479F4"/>
    <w:rsid w:val="00856B42"/>
    <w:rsid w:val="008570B1"/>
    <w:rsid w:val="00857A8B"/>
    <w:rsid w:val="00860D8C"/>
    <w:rsid w:val="00861026"/>
    <w:rsid w:val="00863B94"/>
    <w:rsid w:val="008641EF"/>
    <w:rsid w:val="00865EAD"/>
    <w:rsid w:val="008677A6"/>
    <w:rsid w:val="0087009E"/>
    <w:rsid w:val="00870144"/>
    <w:rsid w:val="00871B08"/>
    <w:rsid w:val="0087206C"/>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34F6"/>
    <w:rsid w:val="00884827"/>
    <w:rsid w:val="008848DC"/>
    <w:rsid w:val="008851C2"/>
    <w:rsid w:val="008858BF"/>
    <w:rsid w:val="00887F47"/>
    <w:rsid w:val="00891220"/>
    <w:rsid w:val="00892352"/>
    <w:rsid w:val="00892BF5"/>
    <w:rsid w:val="00892C3B"/>
    <w:rsid w:val="0089312E"/>
    <w:rsid w:val="00894012"/>
    <w:rsid w:val="008962F0"/>
    <w:rsid w:val="008965D2"/>
    <w:rsid w:val="00897214"/>
    <w:rsid w:val="008A12EB"/>
    <w:rsid w:val="008A3DD2"/>
    <w:rsid w:val="008A4194"/>
    <w:rsid w:val="008A5C0B"/>
    <w:rsid w:val="008A70B0"/>
    <w:rsid w:val="008B0058"/>
    <w:rsid w:val="008B00BB"/>
    <w:rsid w:val="008B036A"/>
    <w:rsid w:val="008B1F08"/>
    <w:rsid w:val="008B29D9"/>
    <w:rsid w:val="008B332E"/>
    <w:rsid w:val="008B385B"/>
    <w:rsid w:val="008B51CB"/>
    <w:rsid w:val="008B5BB8"/>
    <w:rsid w:val="008B5F21"/>
    <w:rsid w:val="008C0873"/>
    <w:rsid w:val="008C0F2A"/>
    <w:rsid w:val="008C1D0E"/>
    <w:rsid w:val="008C2B38"/>
    <w:rsid w:val="008C2DC3"/>
    <w:rsid w:val="008C6F92"/>
    <w:rsid w:val="008D16C7"/>
    <w:rsid w:val="008D1C56"/>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083B"/>
    <w:rsid w:val="008F1061"/>
    <w:rsid w:val="008F10B6"/>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5941"/>
    <w:rsid w:val="009270AB"/>
    <w:rsid w:val="00927799"/>
    <w:rsid w:val="00931815"/>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23BF"/>
    <w:rsid w:val="00944867"/>
    <w:rsid w:val="009449B2"/>
    <w:rsid w:val="00945B1C"/>
    <w:rsid w:val="00945D3B"/>
    <w:rsid w:val="009467D6"/>
    <w:rsid w:val="009471D6"/>
    <w:rsid w:val="00947E65"/>
    <w:rsid w:val="00947F93"/>
    <w:rsid w:val="00952422"/>
    <w:rsid w:val="009540F0"/>
    <w:rsid w:val="009548E3"/>
    <w:rsid w:val="00955950"/>
    <w:rsid w:val="00956538"/>
    <w:rsid w:val="00957234"/>
    <w:rsid w:val="009574AF"/>
    <w:rsid w:val="00961FC9"/>
    <w:rsid w:val="009629A9"/>
    <w:rsid w:val="009659B6"/>
    <w:rsid w:val="00965F0C"/>
    <w:rsid w:val="00967D3F"/>
    <w:rsid w:val="0097124B"/>
    <w:rsid w:val="00973DF4"/>
    <w:rsid w:val="00974DC6"/>
    <w:rsid w:val="00975F60"/>
    <w:rsid w:val="00977D90"/>
    <w:rsid w:val="00980B5D"/>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2CAA"/>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0059"/>
    <w:rsid w:val="009C1AA0"/>
    <w:rsid w:val="009C3110"/>
    <w:rsid w:val="009C3693"/>
    <w:rsid w:val="009C4034"/>
    <w:rsid w:val="009C4210"/>
    <w:rsid w:val="009C56BE"/>
    <w:rsid w:val="009C59F7"/>
    <w:rsid w:val="009C7045"/>
    <w:rsid w:val="009D18E0"/>
    <w:rsid w:val="009D1F4B"/>
    <w:rsid w:val="009D4658"/>
    <w:rsid w:val="009D4DFE"/>
    <w:rsid w:val="009D7220"/>
    <w:rsid w:val="009E1A8F"/>
    <w:rsid w:val="009E338E"/>
    <w:rsid w:val="009E41AA"/>
    <w:rsid w:val="009E47CC"/>
    <w:rsid w:val="009E49BF"/>
    <w:rsid w:val="009E541A"/>
    <w:rsid w:val="009F09FB"/>
    <w:rsid w:val="009F1679"/>
    <w:rsid w:val="009F20FB"/>
    <w:rsid w:val="009F257B"/>
    <w:rsid w:val="009F367A"/>
    <w:rsid w:val="009F4F28"/>
    <w:rsid w:val="009F789F"/>
    <w:rsid w:val="00A049FA"/>
    <w:rsid w:val="00A068E5"/>
    <w:rsid w:val="00A0727F"/>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4029"/>
    <w:rsid w:val="00A44089"/>
    <w:rsid w:val="00A46104"/>
    <w:rsid w:val="00A4611F"/>
    <w:rsid w:val="00A47A32"/>
    <w:rsid w:val="00A47E68"/>
    <w:rsid w:val="00A50698"/>
    <w:rsid w:val="00A510AB"/>
    <w:rsid w:val="00A512F9"/>
    <w:rsid w:val="00A51B83"/>
    <w:rsid w:val="00A532D4"/>
    <w:rsid w:val="00A53EB0"/>
    <w:rsid w:val="00A54B58"/>
    <w:rsid w:val="00A55772"/>
    <w:rsid w:val="00A55B2A"/>
    <w:rsid w:val="00A602F3"/>
    <w:rsid w:val="00A60B75"/>
    <w:rsid w:val="00A61AD0"/>
    <w:rsid w:val="00A621E3"/>
    <w:rsid w:val="00A64363"/>
    <w:rsid w:val="00A65079"/>
    <w:rsid w:val="00A665BE"/>
    <w:rsid w:val="00A7036B"/>
    <w:rsid w:val="00A721FD"/>
    <w:rsid w:val="00A72ABA"/>
    <w:rsid w:val="00A730B8"/>
    <w:rsid w:val="00A75C3E"/>
    <w:rsid w:val="00A77E69"/>
    <w:rsid w:val="00A77ECE"/>
    <w:rsid w:val="00A803BF"/>
    <w:rsid w:val="00A828FC"/>
    <w:rsid w:val="00A83F30"/>
    <w:rsid w:val="00A841C2"/>
    <w:rsid w:val="00A8568B"/>
    <w:rsid w:val="00A87DA7"/>
    <w:rsid w:val="00A9020E"/>
    <w:rsid w:val="00A9033A"/>
    <w:rsid w:val="00A9043B"/>
    <w:rsid w:val="00A90646"/>
    <w:rsid w:val="00A90785"/>
    <w:rsid w:val="00A93E91"/>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6667"/>
    <w:rsid w:val="00AD6BD3"/>
    <w:rsid w:val="00AD6C7A"/>
    <w:rsid w:val="00AE01C6"/>
    <w:rsid w:val="00AE57AC"/>
    <w:rsid w:val="00AE6C7F"/>
    <w:rsid w:val="00AE77E0"/>
    <w:rsid w:val="00AF1B61"/>
    <w:rsid w:val="00AF24B2"/>
    <w:rsid w:val="00AF3729"/>
    <w:rsid w:val="00AF3A86"/>
    <w:rsid w:val="00AF46C0"/>
    <w:rsid w:val="00AF52F0"/>
    <w:rsid w:val="00AF5B14"/>
    <w:rsid w:val="00AF60D4"/>
    <w:rsid w:val="00AF6934"/>
    <w:rsid w:val="00AF7AAE"/>
    <w:rsid w:val="00AF7B2A"/>
    <w:rsid w:val="00B00335"/>
    <w:rsid w:val="00B006A8"/>
    <w:rsid w:val="00B00981"/>
    <w:rsid w:val="00B02848"/>
    <w:rsid w:val="00B055B8"/>
    <w:rsid w:val="00B05EFB"/>
    <w:rsid w:val="00B067CE"/>
    <w:rsid w:val="00B07962"/>
    <w:rsid w:val="00B079F7"/>
    <w:rsid w:val="00B12965"/>
    <w:rsid w:val="00B12BDC"/>
    <w:rsid w:val="00B15A83"/>
    <w:rsid w:val="00B16E66"/>
    <w:rsid w:val="00B22C75"/>
    <w:rsid w:val="00B234F8"/>
    <w:rsid w:val="00B25533"/>
    <w:rsid w:val="00B26ED2"/>
    <w:rsid w:val="00B26F58"/>
    <w:rsid w:val="00B27253"/>
    <w:rsid w:val="00B272F6"/>
    <w:rsid w:val="00B27674"/>
    <w:rsid w:val="00B30B84"/>
    <w:rsid w:val="00B30C08"/>
    <w:rsid w:val="00B32F57"/>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61E"/>
    <w:rsid w:val="00B56DA7"/>
    <w:rsid w:val="00B57021"/>
    <w:rsid w:val="00B573F8"/>
    <w:rsid w:val="00B57476"/>
    <w:rsid w:val="00B57D2B"/>
    <w:rsid w:val="00B63504"/>
    <w:rsid w:val="00B64B05"/>
    <w:rsid w:val="00B6647B"/>
    <w:rsid w:val="00B672EC"/>
    <w:rsid w:val="00B70558"/>
    <w:rsid w:val="00B71605"/>
    <w:rsid w:val="00B72512"/>
    <w:rsid w:val="00B741E0"/>
    <w:rsid w:val="00B760AC"/>
    <w:rsid w:val="00B76C27"/>
    <w:rsid w:val="00B77D83"/>
    <w:rsid w:val="00B80BC4"/>
    <w:rsid w:val="00B81C1C"/>
    <w:rsid w:val="00B82263"/>
    <w:rsid w:val="00B823F4"/>
    <w:rsid w:val="00B82656"/>
    <w:rsid w:val="00B83E1E"/>
    <w:rsid w:val="00B850BF"/>
    <w:rsid w:val="00B85453"/>
    <w:rsid w:val="00B86A01"/>
    <w:rsid w:val="00B86F06"/>
    <w:rsid w:val="00B927F5"/>
    <w:rsid w:val="00B929AC"/>
    <w:rsid w:val="00B92E22"/>
    <w:rsid w:val="00B933C2"/>
    <w:rsid w:val="00B93F16"/>
    <w:rsid w:val="00B93F5B"/>
    <w:rsid w:val="00B944D8"/>
    <w:rsid w:val="00B94FFD"/>
    <w:rsid w:val="00B95516"/>
    <w:rsid w:val="00B96A25"/>
    <w:rsid w:val="00BA1681"/>
    <w:rsid w:val="00BA2270"/>
    <w:rsid w:val="00BA2873"/>
    <w:rsid w:val="00BA2B05"/>
    <w:rsid w:val="00BA5678"/>
    <w:rsid w:val="00BA6248"/>
    <w:rsid w:val="00BA63CB"/>
    <w:rsid w:val="00BA691A"/>
    <w:rsid w:val="00BA6A09"/>
    <w:rsid w:val="00BA6BFF"/>
    <w:rsid w:val="00BB188B"/>
    <w:rsid w:val="00BB222E"/>
    <w:rsid w:val="00BB327B"/>
    <w:rsid w:val="00BB3A29"/>
    <w:rsid w:val="00BB43D6"/>
    <w:rsid w:val="00BB4597"/>
    <w:rsid w:val="00BB508D"/>
    <w:rsid w:val="00BB5A7E"/>
    <w:rsid w:val="00BB67F8"/>
    <w:rsid w:val="00BB68B0"/>
    <w:rsid w:val="00BB6AD9"/>
    <w:rsid w:val="00BB72E2"/>
    <w:rsid w:val="00BC0240"/>
    <w:rsid w:val="00BC0979"/>
    <w:rsid w:val="00BC393B"/>
    <w:rsid w:val="00BC4AAC"/>
    <w:rsid w:val="00BC4AEE"/>
    <w:rsid w:val="00BC72FD"/>
    <w:rsid w:val="00BD0DF1"/>
    <w:rsid w:val="00BD1C1E"/>
    <w:rsid w:val="00BD1C35"/>
    <w:rsid w:val="00BD2218"/>
    <w:rsid w:val="00BD2D08"/>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D59"/>
    <w:rsid w:val="00BF1E04"/>
    <w:rsid w:val="00BF1EB6"/>
    <w:rsid w:val="00BF1FAC"/>
    <w:rsid w:val="00BF282F"/>
    <w:rsid w:val="00BF322F"/>
    <w:rsid w:val="00BF4643"/>
    <w:rsid w:val="00BF5AB3"/>
    <w:rsid w:val="00BF6A0B"/>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FE"/>
    <w:rsid w:val="00C171D6"/>
    <w:rsid w:val="00C17233"/>
    <w:rsid w:val="00C221BA"/>
    <w:rsid w:val="00C227CD"/>
    <w:rsid w:val="00C22BB4"/>
    <w:rsid w:val="00C2308C"/>
    <w:rsid w:val="00C24725"/>
    <w:rsid w:val="00C254BE"/>
    <w:rsid w:val="00C26845"/>
    <w:rsid w:val="00C26ED6"/>
    <w:rsid w:val="00C273E0"/>
    <w:rsid w:val="00C303D3"/>
    <w:rsid w:val="00C3209D"/>
    <w:rsid w:val="00C32D53"/>
    <w:rsid w:val="00C34E69"/>
    <w:rsid w:val="00C353F8"/>
    <w:rsid w:val="00C35CEE"/>
    <w:rsid w:val="00C37374"/>
    <w:rsid w:val="00C40379"/>
    <w:rsid w:val="00C414CB"/>
    <w:rsid w:val="00C43D05"/>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364C"/>
    <w:rsid w:val="00C736B4"/>
    <w:rsid w:val="00C73B37"/>
    <w:rsid w:val="00C770AC"/>
    <w:rsid w:val="00C77439"/>
    <w:rsid w:val="00C8021F"/>
    <w:rsid w:val="00C80C4E"/>
    <w:rsid w:val="00C8167E"/>
    <w:rsid w:val="00C816A0"/>
    <w:rsid w:val="00C8290A"/>
    <w:rsid w:val="00C83010"/>
    <w:rsid w:val="00C83BF3"/>
    <w:rsid w:val="00C84414"/>
    <w:rsid w:val="00C85E1F"/>
    <w:rsid w:val="00C86232"/>
    <w:rsid w:val="00C86772"/>
    <w:rsid w:val="00C86E7B"/>
    <w:rsid w:val="00C914D7"/>
    <w:rsid w:val="00C91B9C"/>
    <w:rsid w:val="00C91E4B"/>
    <w:rsid w:val="00C94897"/>
    <w:rsid w:val="00C95444"/>
    <w:rsid w:val="00C960F2"/>
    <w:rsid w:val="00C96517"/>
    <w:rsid w:val="00C9671C"/>
    <w:rsid w:val="00C96BCB"/>
    <w:rsid w:val="00C96E14"/>
    <w:rsid w:val="00C96F1B"/>
    <w:rsid w:val="00C96FD8"/>
    <w:rsid w:val="00C97D42"/>
    <w:rsid w:val="00CA0917"/>
    <w:rsid w:val="00CA592C"/>
    <w:rsid w:val="00CA604A"/>
    <w:rsid w:val="00CA6AEF"/>
    <w:rsid w:val="00CA7613"/>
    <w:rsid w:val="00CB1372"/>
    <w:rsid w:val="00CB1A2C"/>
    <w:rsid w:val="00CB3882"/>
    <w:rsid w:val="00CB627A"/>
    <w:rsid w:val="00CB75A9"/>
    <w:rsid w:val="00CB75C8"/>
    <w:rsid w:val="00CB7A8C"/>
    <w:rsid w:val="00CC091C"/>
    <w:rsid w:val="00CC1142"/>
    <w:rsid w:val="00CC1294"/>
    <w:rsid w:val="00CC256E"/>
    <w:rsid w:val="00CC3990"/>
    <w:rsid w:val="00CC45AC"/>
    <w:rsid w:val="00CC5DF9"/>
    <w:rsid w:val="00CD0689"/>
    <w:rsid w:val="00CD1C83"/>
    <w:rsid w:val="00CD2951"/>
    <w:rsid w:val="00CD4289"/>
    <w:rsid w:val="00CD4892"/>
    <w:rsid w:val="00CD4D86"/>
    <w:rsid w:val="00CD5043"/>
    <w:rsid w:val="00CD52D6"/>
    <w:rsid w:val="00CD60CF"/>
    <w:rsid w:val="00CD78C0"/>
    <w:rsid w:val="00CE3DAF"/>
    <w:rsid w:val="00CE3E5C"/>
    <w:rsid w:val="00CE58ED"/>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330B"/>
    <w:rsid w:val="00D233EC"/>
    <w:rsid w:val="00D25571"/>
    <w:rsid w:val="00D26581"/>
    <w:rsid w:val="00D27855"/>
    <w:rsid w:val="00D27A2C"/>
    <w:rsid w:val="00D3173B"/>
    <w:rsid w:val="00D32336"/>
    <w:rsid w:val="00D347F4"/>
    <w:rsid w:val="00D34DE3"/>
    <w:rsid w:val="00D352FA"/>
    <w:rsid w:val="00D35F0A"/>
    <w:rsid w:val="00D36CCC"/>
    <w:rsid w:val="00D36D21"/>
    <w:rsid w:val="00D37C6E"/>
    <w:rsid w:val="00D409E3"/>
    <w:rsid w:val="00D4111B"/>
    <w:rsid w:val="00D42336"/>
    <w:rsid w:val="00D44D51"/>
    <w:rsid w:val="00D44E35"/>
    <w:rsid w:val="00D450CB"/>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D7D"/>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6B7B"/>
    <w:rsid w:val="00DC70D3"/>
    <w:rsid w:val="00DC7E50"/>
    <w:rsid w:val="00DD0247"/>
    <w:rsid w:val="00DD2055"/>
    <w:rsid w:val="00DD5F1F"/>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106BC"/>
    <w:rsid w:val="00E119E1"/>
    <w:rsid w:val="00E12F75"/>
    <w:rsid w:val="00E12FBF"/>
    <w:rsid w:val="00E1322A"/>
    <w:rsid w:val="00E132CE"/>
    <w:rsid w:val="00E1368C"/>
    <w:rsid w:val="00E162A5"/>
    <w:rsid w:val="00E16BAA"/>
    <w:rsid w:val="00E20413"/>
    <w:rsid w:val="00E21DFD"/>
    <w:rsid w:val="00E23AEB"/>
    <w:rsid w:val="00E23E2C"/>
    <w:rsid w:val="00E25BE1"/>
    <w:rsid w:val="00E27519"/>
    <w:rsid w:val="00E313DA"/>
    <w:rsid w:val="00E31753"/>
    <w:rsid w:val="00E31A20"/>
    <w:rsid w:val="00E326DD"/>
    <w:rsid w:val="00E330CA"/>
    <w:rsid w:val="00E353BF"/>
    <w:rsid w:val="00E355A1"/>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7C6A"/>
    <w:rsid w:val="00E61B66"/>
    <w:rsid w:val="00E6234F"/>
    <w:rsid w:val="00E63E14"/>
    <w:rsid w:val="00E642D6"/>
    <w:rsid w:val="00E657AB"/>
    <w:rsid w:val="00E66DC0"/>
    <w:rsid w:val="00E7027D"/>
    <w:rsid w:val="00E70391"/>
    <w:rsid w:val="00E72AEB"/>
    <w:rsid w:val="00E7324B"/>
    <w:rsid w:val="00E75379"/>
    <w:rsid w:val="00E80765"/>
    <w:rsid w:val="00E81265"/>
    <w:rsid w:val="00E84B7E"/>
    <w:rsid w:val="00E851C4"/>
    <w:rsid w:val="00E8551D"/>
    <w:rsid w:val="00E87D90"/>
    <w:rsid w:val="00E9117A"/>
    <w:rsid w:val="00E92700"/>
    <w:rsid w:val="00E92A73"/>
    <w:rsid w:val="00E94F99"/>
    <w:rsid w:val="00E9538E"/>
    <w:rsid w:val="00E96610"/>
    <w:rsid w:val="00E96C25"/>
    <w:rsid w:val="00E97620"/>
    <w:rsid w:val="00EA026F"/>
    <w:rsid w:val="00EA139F"/>
    <w:rsid w:val="00EA14DB"/>
    <w:rsid w:val="00EA2265"/>
    <w:rsid w:val="00EA2AFC"/>
    <w:rsid w:val="00EA34AB"/>
    <w:rsid w:val="00EA5495"/>
    <w:rsid w:val="00EA6579"/>
    <w:rsid w:val="00EA7331"/>
    <w:rsid w:val="00EA77AF"/>
    <w:rsid w:val="00EA7A2A"/>
    <w:rsid w:val="00EB036E"/>
    <w:rsid w:val="00EB0650"/>
    <w:rsid w:val="00EB0702"/>
    <w:rsid w:val="00EB0D67"/>
    <w:rsid w:val="00EB3137"/>
    <w:rsid w:val="00EB3FFE"/>
    <w:rsid w:val="00EB455C"/>
    <w:rsid w:val="00EB5057"/>
    <w:rsid w:val="00EB5763"/>
    <w:rsid w:val="00EB6293"/>
    <w:rsid w:val="00EB6A07"/>
    <w:rsid w:val="00EB6CCD"/>
    <w:rsid w:val="00EC1DF6"/>
    <w:rsid w:val="00EC2053"/>
    <w:rsid w:val="00EC2CE0"/>
    <w:rsid w:val="00EC3086"/>
    <w:rsid w:val="00EC4E28"/>
    <w:rsid w:val="00EC51C6"/>
    <w:rsid w:val="00EC5392"/>
    <w:rsid w:val="00EC7B81"/>
    <w:rsid w:val="00ED0997"/>
    <w:rsid w:val="00ED2C9E"/>
    <w:rsid w:val="00ED43A9"/>
    <w:rsid w:val="00ED5769"/>
    <w:rsid w:val="00ED57AE"/>
    <w:rsid w:val="00ED5E00"/>
    <w:rsid w:val="00ED7ECB"/>
    <w:rsid w:val="00EE40B5"/>
    <w:rsid w:val="00EE4321"/>
    <w:rsid w:val="00EE4812"/>
    <w:rsid w:val="00EE4CF1"/>
    <w:rsid w:val="00EE5588"/>
    <w:rsid w:val="00EE637E"/>
    <w:rsid w:val="00EE6FF0"/>
    <w:rsid w:val="00EF043A"/>
    <w:rsid w:val="00EF3203"/>
    <w:rsid w:val="00EF32C1"/>
    <w:rsid w:val="00EF3526"/>
    <w:rsid w:val="00EF5956"/>
    <w:rsid w:val="00EF6034"/>
    <w:rsid w:val="00F003C7"/>
    <w:rsid w:val="00F0187B"/>
    <w:rsid w:val="00F03B66"/>
    <w:rsid w:val="00F03DEC"/>
    <w:rsid w:val="00F072DD"/>
    <w:rsid w:val="00F07AD3"/>
    <w:rsid w:val="00F12060"/>
    <w:rsid w:val="00F13495"/>
    <w:rsid w:val="00F13F4B"/>
    <w:rsid w:val="00F16942"/>
    <w:rsid w:val="00F16C90"/>
    <w:rsid w:val="00F16DC9"/>
    <w:rsid w:val="00F16E62"/>
    <w:rsid w:val="00F21D39"/>
    <w:rsid w:val="00F228ED"/>
    <w:rsid w:val="00F260BF"/>
    <w:rsid w:val="00F279FB"/>
    <w:rsid w:val="00F31C83"/>
    <w:rsid w:val="00F31CBA"/>
    <w:rsid w:val="00F32071"/>
    <w:rsid w:val="00F32BA1"/>
    <w:rsid w:val="00F33FE2"/>
    <w:rsid w:val="00F34ED9"/>
    <w:rsid w:val="00F3753F"/>
    <w:rsid w:val="00F379E2"/>
    <w:rsid w:val="00F37B47"/>
    <w:rsid w:val="00F40023"/>
    <w:rsid w:val="00F40164"/>
    <w:rsid w:val="00F432FD"/>
    <w:rsid w:val="00F43479"/>
    <w:rsid w:val="00F44161"/>
    <w:rsid w:val="00F446C6"/>
    <w:rsid w:val="00F4581A"/>
    <w:rsid w:val="00F47B9D"/>
    <w:rsid w:val="00F52513"/>
    <w:rsid w:val="00F533D5"/>
    <w:rsid w:val="00F539E6"/>
    <w:rsid w:val="00F54094"/>
    <w:rsid w:val="00F5475D"/>
    <w:rsid w:val="00F54BC7"/>
    <w:rsid w:val="00F56CE7"/>
    <w:rsid w:val="00F60867"/>
    <w:rsid w:val="00F61525"/>
    <w:rsid w:val="00F633F8"/>
    <w:rsid w:val="00F64DF6"/>
    <w:rsid w:val="00F65FC6"/>
    <w:rsid w:val="00F664BC"/>
    <w:rsid w:val="00F67258"/>
    <w:rsid w:val="00F67C6D"/>
    <w:rsid w:val="00F67DF5"/>
    <w:rsid w:val="00F721F2"/>
    <w:rsid w:val="00F72877"/>
    <w:rsid w:val="00F72CC4"/>
    <w:rsid w:val="00F734CB"/>
    <w:rsid w:val="00F738C4"/>
    <w:rsid w:val="00F748AE"/>
    <w:rsid w:val="00F75142"/>
    <w:rsid w:val="00F751FB"/>
    <w:rsid w:val="00F76478"/>
    <w:rsid w:val="00F76760"/>
    <w:rsid w:val="00F77F04"/>
    <w:rsid w:val="00F84C72"/>
    <w:rsid w:val="00F8561D"/>
    <w:rsid w:val="00F85909"/>
    <w:rsid w:val="00F85A2E"/>
    <w:rsid w:val="00F85AF2"/>
    <w:rsid w:val="00F8670C"/>
    <w:rsid w:val="00F90AB5"/>
    <w:rsid w:val="00F91AED"/>
    <w:rsid w:val="00F92625"/>
    <w:rsid w:val="00F92D03"/>
    <w:rsid w:val="00F93F3F"/>
    <w:rsid w:val="00F97271"/>
    <w:rsid w:val="00F97916"/>
    <w:rsid w:val="00FA0589"/>
    <w:rsid w:val="00FA0C5D"/>
    <w:rsid w:val="00FA2900"/>
    <w:rsid w:val="00FA2BE3"/>
    <w:rsid w:val="00FA2DEC"/>
    <w:rsid w:val="00FA4478"/>
    <w:rsid w:val="00FA48D0"/>
    <w:rsid w:val="00FA61C1"/>
    <w:rsid w:val="00FB02BB"/>
    <w:rsid w:val="00FB0CAC"/>
    <w:rsid w:val="00FB0DF1"/>
    <w:rsid w:val="00FB16F5"/>
    <w:rsid w:val="00FB2132"/>
    <w:rsid w:val="00FB28C5"/>
    <w:rsid w:val="00FB29DA"/>
    <w:rsid w:val="00FB376B"/>
    <w:rsid w:val="00FB3AF3"/>
    <w:rsid w:val="00FB3FA4"/>
    <w:rsid w:val="00FB4A2B"/>
    <w:rsid w:val="00FB50F8"/>
    <w:rsid w:val="00FB5CF8"/>
    <w:rsid w:val="00FB63C3"/>
    <w:rsid w:val="00FC03B7"/>
    <w:rsid w:val="00FC19EE"/>
    <w:rsid w:val="00FC3801"/>
    <w:rsid w:val="00FC39EF"/>
    <w:rsid w:val="00FC48AB"/>
    <w:rsid w:val="00FC6019"/>
    <w:rsid w:val="00FC6307"/>
    <w:rsid w:val="00FC7669"/>
    <w:rsid w:val="00FD3821"/>
    <w:rsid w:val="00FD472D"/>
    <w:rsid w:val="00FD5153"/>
    <w:rsid w:val="00FD5E1B"/>
    <w:rsid w:val="00FD6014"/>
    <w:rsid w:val="00FD7888"/>
    <w:rsid w:val="00FE01ED"/>
    <w:rsid w:val="00FE1BC0"/>
    <w:rsid w:val="00FE21B4"/>
    <w:rsid w:val="00FE306E"/>
    <w:rsid w:val="00FE311A"/>
    <w:rsid w:val="00FE31C6"/>
    <w:rsid w:val="00FE376F"/>
    <w:rsid w:val="00FE3FDE"/>
    <w:rsid w:val="00FE6047"/>
    <w:rsid w:val="00FE6090"/>
    <w:rsid w:val="00FE6A71"/>
    <w:rsid w:val="00FE6ED5"/>
    <w:rsid w:val="00FE71B3"/>
    <w:rsid w:val="00FE7EE6"/>
    <w:rsid w:val="00FF1177"/>
    <w:rsid w:val="00FF14B8"/>
    <w:rsid w:val="00FF2650"/>
    <w:rsid w:val="00FF30B9"/>
    <w:rsid w:val="00FF38A2"/>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ftref,E"/>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18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FC31-5365-4F7C-AEEE-A6EEC56F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14400</Words>
  <Characters>8209</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efektīvu tieslietu sistēmu tautsaimniecības izaugsmei"</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tieslietu ministra prioritāriem rīcības virzieniem efektīvas tieslietu sistēmas attīstībai, lai veicinātu tautsaimniecības izaugsmi"</dc:title>
  <dc:subject>Informatīvais ziņojums</dc:subject>
  <dc:creator>Agnese.Racene-Krumina@TM.GOV.LV</dc:creator>
  <dc:description>67036734, Agnese.Racene-Krumina@tm.gov.lv</dc:description>
  <cp:lastModifiedBy>Agnese Rācene-Krūmiņa</cp:lastModifiedBy>
  <cp:revision>4</cp:revision>
  <cp:lastPrinted>2018-07-05T11:25:00Z</cp:lastPrinted>
  <dcterms:created xsi:type="dcterms:W3CDTF">2019-02-12T08:25:00Z</dcterms:created>
  <dcterms:modified xsi:type="dcterms:W3CDTF">2019-02-12T08:26:00Z</dcterms:modified>
</cp:coreProperties>
</file>