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39A15" w14:textId="77777777" w:rsidR="008F179C" w:rsidRPr="009222DB" w:rsidRDefault="00625686" w:rsidP="009222DB">
      <w:pPr>
        <w:pStyle w:val="Heading1"/>
        <w:ind w:firstLine="0"/>
      </w:pPr>
      <w:r>
        <w:t>Informatīvais ziņojums “</w:t>
      </w:r>
      <w:r w:rsidR="009F762E" w:rsidRPr="009222DB">
        <w:t>Par turpmāk</w:t>
      </w:r>
      <w:r w:rsidR="00DA7C2D">
        <w:t>o rīcību</w:t>
      </w:r>
      <w:r w:rsidR="009F762E" w:rsidRPr="009222DB">
        <w:t xml:space="preserve"> administratīvi teritoriālās reformas pabeigšanai</w:t>
      </w:r>
      <w:r>
        <w:t>”</w:t>
      </w:r>
    </w:p>
    <w:p w14:paraId="37F39A16" w14:textId="77777777" w:rsidR="009222DB" w:rsidRPr="009222DB" w:rsidRDefault="009222DB" w:rsidP="009222DB"/>
    <w:p w14:paraId="37F39A17" w14:textId="77777777" w:rsidR="00D41309" w:rsidRPr="00833969" w:rsidRDefault="00D41309" w:rsidP="00833969">
      <w:pPr>
        <w:pStyle w:val="Heading2"/>
      </w:pPr>
      <w:r w:rsidRPr="00833969">
        <w:t>Ievads</w:t>
      </w:r>
    </w:p>
    <w:p w14:paraId="37F39A18" w14:textId="77777777" w:rsidR="00DF752A" w:rsidRDefault="00DF752A" w:rsidP="00DF752A">
      <w:r>
        <w:t>I</w:t>
      </w:r>
      <w:r w:rsidRPr="008359DC">
        <w:t xml:space="preserve">nformatīvais ziņojums ir sagatavots, </w:t>
      </w:r>
      <w:r>
        <w:t xml:space="preserve">pamatojoties uz </w:t>
      </w:r>
      <w:r w:rsidRPr="008359DC">
        <w:t>deklarācijā par Artura</w:t>
      </w:r>
      <w:r>
        <w:t xml:space="preserve"> Krišjāņa Kariņa vadītā Ministru kabineta iecerēto darbību noteikto valdības darba prioritāti –</w:t>
      </w:r>
      <w:r w:rsidR="00900EE6">
        <w:t xml:space="preserve"> </w:t>
      </w:r>
      <w:r>
        <w:t xml:space="preserve">administratīvi teritoriālās reformas īstenošanu. Deklarācijas 223. punktā norādīts, ka līdz 2021. gadam tiks īstenota vietējo pašvaldību reforma, apvienojot pašvaldības ilgtspējīgākās un ekonomiski spēcīgākās vienībās, kas spēj nodrošināt likumā minēto pašvaldību autonomo funkciju izpildi salīdzināmā kvalitātē un pieejamībā. </w:t>
      </w:r>
    </w:p>
    <w:p w14:paraId="37F39A19" w14:textId="77777777" w:rsidR="00D41309" w:rsidRDefault="009C7499" w:rsidP="00833969">
      <w:pPr>
        <w:pStyle w:val="Heading2"/>
      </w:pPr>
      <w:r>
        <w:t>2009</w:t>
      </w:r>
      <w:r w:rsidR="00D41309">
        <w:t>. gada administratīvi teritoriālā reforma un tās rezultāti</w:t>
      </w:r>
    </w:p>
    <w:p w14:paraId="37F39A1A" w14:textId="77777777" w:rsidR="00512C5E" w:rsidRDefault="009F762E">
      <w:r>
        <w:t xml:space="preserve">Administratīvi teritoriālā reforma </w:t>
      </w:r>
      <w:r w:rsidR="005F1F38">
        <w:t xml:space="preserve">(turpmāk – ATR) </w:t>
      </w:r>
      <w:r>
        <w:t xml:space="preserve">Latvijā faktiski </w:t>
      </w:r>
      <w:r w:rsidR="00D41309">
        <w:t>risinās</w:t>
      </w:r>
      <w:r>
        <w:t xml:space="preserve"> jau kopš 1992. gada</w:t>
      </w:r>
      <w:r w:rsidR="00D41309">
        <w:t xml:space="preserve">, kad </w:t>
      </w:r>
      <w:r w:rsidR="002F1E6A">
        <w:t>Augstākā Padome izveidoja pirmo</w:t>
      </w:r>
      <w:r w:rsidR="00D41309">
        <w:t xml:space="preserve"> teritoriālās</w:t>
      </w:r>
      <w:r w:rsidR="002F1E6A">
        <w:t xml:space="preserve"> reformas sagatavošanas komisiju</w:t>
      </w:r>
      <w:r w:rsidR="00D41309">
        <w:t xml:space="preserve">. </w:t>
      </w:r>
      <w:r w:rsidR="005F1F38">
        <w:t>ATR</w:t>
      </w:r>
      <w:r w:rsidR="00512C5E">
        <w:t xml:space="preserve"> likums tika pieņemts 1998. gadā</w:t>
      </w:r>
      <w:r w:rsidR="00512C5E">
        <w:rPr>
          <w:rStyle w:val="FootnoteReference"/>
        </w:rPr>
        <w:footnoteReference w:id="2"/>
      </w:r>
      <w:r w:rsidR="00512C5E">
        <w:t xml:space="preserve">, bet Administratīvo teritoriju un apdzīvoto vietu (turpmāk – ATAV) likums, ar kuru tika noteikts </w:t>
      </w:r>
      <w:r w:rsidR="009C7499">
        <w:t>jaunais vietējo pašvaldību administratīvi teritoriālais</w:t>
      </w:r>
      <w:r w:rsidR="00512C5E">
        <w:t xml:space="preserve"> </w:t>
      </w:r>
      <w:r w:rsidR="009C7499">
        <w:t xml:space="preserve">iedalījums – </w:t>
      </w:r>
      <w:r w:rsidR="00512C5E">
        <w:t>2008. gad</w:t>
      </w:r>
      <w:r w:rsidR="005F1F38">
        <w:t>ā</w:t>
      </w:r>
      <w:r w:rsidR="00512C5E">
        <w:t>.</w:t>
      </w:r>
      <w:r w:rsidR="00512C5E">
        <w:rPr>
          <w:rStyle w:val="FootnoteReference"/>
        </w:rPr>
        <w:footnoteReference w:id="3"/>
      </w:r>
    </w:p>
    <w:p w14:paraId="37F39A1B" w14:textId="77777777" w:rsidR="009F762E" w:rsidRDefault="005F1F38" w:rsidP="00A62E8B">
      <w:pPr>
        <w:spacing w:after="120"/>
      </w:pPr>
      <w:r>
        <w:t>ATR</w:t>
      </w:r>
      <w:r w:rsidR="009C7499">
        <w:t xml:space="preserve"> likums</w:t>
      </w:r>
      <w:r w:rsidR="002F1E6A">
        <w:t xml:space="preserve"> </w:t>
      </w:r>
      <w:r w:rsidR="009F762E">
        <w:t xml:space="preserve">pēdējā redakcijā noteica, ka “administratīvi teritoriālās </w:t>
      </w:r>
      <w:r w:rsidR="009F762E" w:rsidRPr="009F762E">
        <w:t>reformas mērķis ir izveidot ekonomiski attīstīties spējīgas administratīvās teritorijas ar vietējām pašvaldībām, kas nodrošinātu kvalitatīvu paka</w:t>
      </w:r>
      <w:r w:rsidR="009F762E">
        <w:t>lpojumu sniegšanu iedzīvotājiem”</w:t>
      </w:r>
      <w:r w:rsidR="00512C5E">
        <w:t>.</w:t>
      </w:r>
      <w:r>
        <w:rPr>
          <w:rStyle w:val="FootnoteReference"/>
        </w:rPr>
        <w:footnoteReference w:id="4"/>
      </w:r>
      <w:r w:rsidR="00512C5E">
        <w:t xml:space="preserve"> Šī m</w:t>
      </w:r>
      <w:r w:rsidR="00FB0D88">
        <w:t xml:space="preserve">ērķa sasniegšanai ATAV likumā 2008. gadā tika </w:t>
      </w:r>
      <w:r w:rsidR="009C7499">
        <w:t>noteikti šādi kritēriji administratīvo teritoriju izveidei</w:t>
      </w:r>
      <w:r w:rsidR="00FB0D88">
        <w:t>:</w:t>
      </w:r>
    </w:p>
    <w:p w14:paraId="37F39A1C" w14:textId="77777777" w:rsidR="00FB0D88" w:rsidRPr="005F1F38" w:rsidRDefault="005F1F38" w:rsidP="005F1F38">
      <w:pPr>
        <w:pStyle w:val="ListParagraph"/>
        <w:numPr>
          <w:ilvl w:val="0"/>
          <w:numId w:val="11"/>
        </w:numPr>
      </w:pPr>
      <w:r>
        <w:t>r</w:t>
      </w:r>
      <w:r w:rsidR="00FB0D88" w:rsidRPr="005F1F38">
        <w:t xml:space="preserve">epublikas pilsētām: </w:t>
      </w:r>
    </w:p>
    <w:p w14:paraId="37F39A1D" w14:textId="77777777" w:rsidR="00FB0D88" w:rsidRPr="005F1F38" w:rsidRDefault="00FB0D88" w:rsidP="005F1F38">
      <w:pPr>
        <w:pStyle w:val="ListParagraph"/>
        <w:numPr>
          <w:ilvl w:val="0"/>
          <w:numId w:val="12"/>
        </w:numPr>
      </w:pPr>
      <w:r w:rsidRPr="005F1F38">
        <w:t>pilsētai ir attīstīta komercdarbība, transporta un komunālā saimniecība, kā arī sociālā infrastruktūra;</w:t>
      </w:r>
    </w:p>
    <w:p w14:paraId="37F39A1E" w14:textId="77777777" w:rsidR="00FB0D88" w:rsidRPr="005F1F38" w:rsidRDefault="00FB0D88" w:rsidP="005F1F38">
      <w:pPr>
        <w:pStyle w:val="ListParagraph"/>
        <w:numPr>
          <w:ilvl w:val="0"/>
          <w:numId w:val="12"/>
        </w:numPr>
      </w:pPr>
      <w:r w:rsidRPr="005F1F38">
        <w:t>pilsētai ir nozīmīgs kultūras iestāžu komplekss;</w:t>
      </w:r>
    </w:p>
    <w:p w14:paraId="37F39A1F" w14:textId="77777777" w:rsidR="00FB0D88" w:rsidRPr="005F1F38" w:rsidRDefault="00FB0D88" w:rsidP="00A62E8B">
      <w:pPr>
        <w:pStyle w:val="ListParagraph"/>
        <w:numPr>
          <w:ilvl w:val="0"/>
          <w:numId w:val="12"/>
        </w:numPr>
        <w:spacing w:after="120"/>
        <w:ind w:left="1434" w:hanging="357"/>
        <w:contextualSpacing w:val="0"/>
      </w:pPr>
      <w:r w:rsidRPr="005F1F38">
        <w:t>pilsētā ir ne mazāk par 25 t</w:t>
      </w:r>
      <w:r w:rsidR="005F1F38">
        <w:t>ūkstošiem pastāvīgo iedzīvotāju;</w:t>
      </w:r>
    </w:p>
    <w:p w14:paraId="37F39A20" w14:textId="77777777" w:rsidR="00FB0D88" w:rsidRPr="005F1F38" w:rsidRDefault="005F1F38" w:rsidP="00A62E8B">
      <w:pPr>
        <w:pStyle w:val="ListParagraph"/>
        <w:numPr>
          <w:ilvl w:val="0"/>
          <w:numId w:val="11"/>
        </w:numPr>
        <w:spacing w:before="120"/>
        <w:ind w:left="714" w:hanging="357"/>
        <w:contextualSpacing w:val="0"/>
      </w:pPr>
      <w:r>
        <w:t>n</w:t>
      </w:r>
      <w:r w:rsidR="00FB0D88" w:rsidRPr="005F1F38">
        <w:t>ovadiem:</w:t>
      </w:r>
    </w:p>
    <w:p w14:paraId="37F39A21" w14:textId="77777777" w:rsidR="00FB0D88" w:rsidRPr="005F1F38" w:rsidRDefault="00FB0D88" w:rsidP="005F1F38">
      <w:pPr>
        <w:pStyle w:val="ListParagraph"/>
        <w:numPr>
          <w:ilvl w:val="0"/>
          <w:numId w:val="13"/>
        </w:numPr>
      </w:pPr>
      <w:r w:rsidRPr="005F1F38">
        <w:t>novada teritorija ir ģeogrāfiski vienota, un tajā ir lauku teritorijas un apdzīvotās vietas;</w:t>
      </w:r>
    </w:p>
    <w:p w14:paraId="37F39A22" w14:textId="77777777" w:rsidR="00FB0D88" w:rsidRPr="005F1F38" w:rsidRDefault="00FB0D88" w:rsidP="005F1F38">
      <w:pPr>
        <w:pStyle w:val="ListParagraph"/>
        <w:numPr>
          <w:ilvl w:val="0"/>
          <w:numId w:val="13"/>
        </w:numPr>
      </w:pPr>
      <w:r w:rsidRPr="005F1F38">
        <w:t>novada pašvaldība nodrošina likumā noteikto funkciju izpildi;</w:t>
      </w:r>
    </w:p>
    <w:p w14:paraId="37F39A23" w14:textId="77777777" w:rsidR="00FB0D88" w:rsidRPr="005F1F38" w:rsidRDefault="00FB0D88" w:rsidP="005F1F38">
      <w:pPr>
        <w:pStyle w:val="ListParagraph"/>
        <w:numPr>
          <w:ilvl w:val="0"/>
          <w:numId w:val="13"/>
        </w:numPr>
      </w:pPr>
      <w:r w:rsidRPr="005F1F38">
        <w:t>novada teritorijā ir ne mazāk par 4000 pastāvīgo iedzīvotāju;</w:t>
      </w:r>
    </w:p>
    <w:p w14:paraId="37F39A24" w14:textId="77777777" w:rsidR="00FB0D88" w:rsidRPr="005F1F38" w:rsidRDefault="00FB0D88" w:rsidP="005F1F38">
      <w:pPr>
        <w:pStyle w:val="ListParagraph"/>
        <w:numPr>
          <w:ilvl w:val="0"/>
          <w:numId w:val="13"/>
        </w:numPr>
      </w:pPr>
      <w:r w:rsidRPr="005F1F38">
        <w:t>novada teritorijā ir ciems, kurā ir vairāk par 2000 pastāvīgo iedzīvotāju, vai pilsēta;</w:t>
      </w:r>
    </w:p>
    <w:p w14:paraId="37F39A25" w14:textId="77777777" w:rsidR="00FB0D88" w:rsidRPr="005F1F38" w:rsidRDefault="00FB0D88" w:rsidP="005F1F38">
      <w:pPr>
        <w:pStyle w:val="ListParagraph"/>
        <w:numPr>
          <w:ilvl w:val="0"/>
          <w:numId w:val="13"/>
        </w:numPr>
      </w:pPr>
      <w:r w:rsidRPr="005F1F38">
        <w:t>attālums no ikvienas apdzīvotās vietas novadā līdz novada administratīvajam centram nepārsniedz 50 kilometrus, un ceļa infrastruktūra ir piemērota nokļūšanai līdz novada administratīvajam centram;</w:t>
      </w:r>
    </w:p>
    <w:p w14:paraId="37F39A26" w14:textId="77777777" w:rsidR="00512C5E" w:rsidRPr="005F1F38" w:rsidRDefault="00FB0D88" w:rsidP="00A62E8B">
      <w:pPr>
        <w:pStyle w:val="ListParagraph"/>
        <w:numPr>
          <w:ilvl w:val="0"/>
          <w:numId w:val="13"/>
        </w:numPr>
        <w:spacing w:after="120"/>
        <w:ind w:left="1434" w:hanging="357"/>
        <w:contextualSpacing w:val="0"/>
      </w:pPr>
      <w:r w:rsidRPr="005F1F38">
        <w:t>ir nodrošināta optimāla novada teritorijas izveidošana, ņemot vērā blakusesošo pašvaldību intereses un vēsturiskos sakarus.</w:t>
      </w:r>
      <w:r w:rsidR="00512C5E" w:rsidRPr="005F1F38">
        <w:rPr>
          <w:vertAlign w:val="superscript"/>
        </w:rPr>
        <w:footnoteReference w:id="5"/>
      </w:r>
    </w:p>
    <w:p w14:paraId="37F39A27" w14:textId="77777777" w:rsidR="00856150" w:rsidRDefault="00FB0D88" w:rsidP="00856150">
      <w:r>
        <w:t xml:space="preserve">Pieņemot ATAV likumu, Saeima </w:t>
      </w:r>
      <w:r w:rsidR="002F1E6A">
        <w:t xml:space="preserve">jau </w:t>
      </w:r>
      <w:r>
        <w:t>2008. gadā 50 novadu teritorijām pieļāva atkāpi no likumā noteiktajiem kritērijiem. Tika izveidoti 20 novadi, kuros bi</w:t>
      </w:r>
      <w:r w:rsidR="00833969">
        <w:t xml:space="preserve">ja mazāk nekā 4000 iedzīvotāju un </w:t>
      </w:r>
      <w:r>
        <w:t>28 novadi ar likuma kritērijiem neatbil</w:t>
      </w:r>
      <w:r w:rsidR="00DF752A">
        <w:t xml:space="preserve">stošu novada attīstības centru </w:t>
      </w:r>
      <w:r>
        <w:t xml:space="preserve">ar </w:t>
      </w:r>
      <w:r>
        <w:lastRenderedPageBreak/>
        <w:t>iedzīv</w:t>
      </w:r>
      <w:r w:rsidR="000F12E9">
        <w:t>otāju skaitu mazāku nekā 2000</w:t>
      </w:r>
      <w:r w:rsidR="002F1E6A">
        <w:t>.</w:t>
      </w:r>
      <w:r>
        <w:t xml:space="preserve"> 13 novadi neatbilda vienlaikus abiem šiem kritērijiem</w:t>
      </w:r>
      <w:r w:rsidR="000F12E9">
        <w:t>. Tika izveidoti arī divi</w:t>
      </w:r>
      <w:r>
        <w:t xml:space="preserve"> novadi, kuru teritorija nav ģeogrāfiski vienota.</w:t>
      </w:r>
      <w:r w:rsidR="00E02A2A">
        <w:rPr>
          <w:rStyle w:val="FootnoteReference"/>
        </w:rPr>
        <w:footnoteReference w:id="6"/>
      </w:r>
      <w:r>
        <w:t xml:space="preserve"> </w:t>
      </w:r>
    </w:p>
    <w:p w14:paraId="37F39A28" w14:textId="77777777" w:rsidR="00856150" w:rsidRDefault="000F12E9" w:rsidP="00856150">
      <w:r>
        <w:t>2018. gadā kritērijam par iedzīvotāju skaitu neatbilst jau 39 no 110 novadiem</w:t>
      </w:r>
      <w:r w:rsidR="00856150">
        <w:t>,</w:t>
      </w:r>
      <w:r>
        <w:t xml:space="preserve"> divas republikas pilsētas</w:t>
      </w:r>
      <w:r w:rsidR="00856150">
        <w:rPr>
          <w:rStyle w:val="FootnoteReference"/>
        </w:rPr>
        <w:footnoteReference w:id="7"/>
      </w:r>
      <w:r w:rsidR="00856150">
        <w:t>, un kritērijiem atbilstoša attīstības centra nav 52 novados.</w:t>
      </w:r>
    </w:p>
    <w:p w14:paraId="37F39A29" w14:textId="77777777" w:rsidR="00512C5E" w:rsidRDefault="00833969" w:rsidP="00B33924">
      <w:r>
        <w:t xml:space="preserve">ATR rezultātā </w:t>
      </w:r>
      <w:r w:rsidR="002F1E6A">
        <w:t>būtiski pieauga</w:t>
      </w:r>
      <w:r>
        <w:t xml:space="preserve"> vietējo pašvaldību atbildība. </w:t>
      </w:r>
      <w:r w:rsidR="002F1E6A">
        <w:t>Jau reformas sākumposmā k</w:t>
      </w:r>
      <w:r w:rsidR="00512C5E">
        <w:t>opš 1990. gadu vidus vietējām pašvaldībām pakāpeniski tika nodotas kādreizējo otrā līmeņa pašvaldību – rajonu – funkcijas. Pēc 2008. gadā pieņemtā Rajonu pašvaldību reorganizācijas likuma</w:t>
      </w:r>
      <w:r w:rsidR="00E02A2A">
        <w:rPr>
          <w:rStyle w:val="FootnoteReference"/>
        </w:rPr>
        <w:footnoteReference w:id="8"/>
      </w:r>
      <w:r w:rsidR="00512C5E">
        <w:t xml:space="preserve"> rajonu padomes izvēlējās </w:t>
      </w:r>
      <w:r w:rsidR="002F1E6A">
        <w:t xml:space="preserve">rajonu atlikušās funkcijas nodot </w:t>
      </w:r>
      <w:r w:rsidR="00512C5E">
        <w:t>vietējām pašvaldībām</w:t>
      </w:r>
      <w:r w:rsidR="00B33924">
        <w:t xml:space="preserve"> (izņemot sabiedriskā transporta organizēšanas funkciju)</w:t>
      </w:r>
      <w:r w:rsidR="00E02A2A">
        <w:t xml:space="preserve">, </w:t>
      </w:r>
      <w:r w:rsidR="009C7499">
        <w:t>un vietējās pašvaldība</w:t>
      </w:r>
      <w:r w:rsidR="002F1E6A">
        <w:t xml:space="preserve">s </w:t>
      </w:r>
      <w:r w:rsidR="009C7499">
        <w:t>pārņēma</w:t>
      </w:r>
      <w:r w:rsidR="002F1E6A">
        <w:t xml:space="preserve"> arī</w:t>
      </w:r>
      <w:r w:rsidR="00512C5E">
        <w:t xml:space="preserve"> rajonu pašvaldību </w:t>
      </w:r>
      <w:r w:rsidR="009C7499">
        <w:t>institūcijas, mantu, finanšu līdzekļus</w:t>
      </w:r>
      <w:r w:rsidR="00512C5E" w:rsidRPr="004E3FD1">
        <w:t>, tiesības un</w:t>
      </w:r>
      <w:r w:rsidR="00B33924">
        <w:t xml:space="preserve"> saistības. </w:t>
      </w:r>
      <w:r w:rsidR="00512C5E">
        <w:t xml:space="preserve">Līdz ar to ATR gaitā funkcionāli </w:t>
      </w:r>
      <w:r w:rsidR="002F1E6A">
        <w:t xml:space="preserve">tikušas </w:t>
      </w:r>
      <w:r w:rsidR="00512C5E">
        <w:t xml:space="preserve">stiprinātas tieši vietējās pašvaldības, </w:t>
      </w:r>
      <w:r w:rsidR="00B33924">
        <w:t>tām</w:t>
      </w:r>
      <w:r w:rsidR="00512C5E">
        <w:t xml:space="preserve"> pārņemot </w:t>
      </w:r>
      <w:r w:rsidR="009222DB">
        <w:t xml:space="preserve">iepriekš </w:t>
      </w:r>
      <w:r w:rsidR="00512C5E">
        <w:t>26 rajonu mērogā īstenotās</w:t>
      </w:r>
      <w:r w:rsidR="009C7499">
        <w:t xml:space="preserve"> pašvaldību</w:t>
      </w:r>
      <w:r w:rsidR="00512C5E">
        <w:t xml:space="preserve"> funkcijas.</w:t>
      </w:r>
      <w:r w:rsidR="00E02A2A">
        <w:t xml:space="preserve"> </w:t>
      </w:r>
    </w:p>
    <w:p w14:paraId="37F39A2A" w14:textId="77777777" w:rsidR="00FE48D1" w:rsidRDefault="009C7499" w:rsidP="00A62E8B">
      <w:pPr>
        <w:spacing w:after="120"/>
      </w:pPr>
      <w:r>
        <w:t>Vērtējot administratīvi teritoriālo</w:t>
      </w:r>
      <w:r w:rsidR="00E02A2A">
        <w:t xml:space="preserve"> reformu, </w:t>
      </w:r>
      <w:r w:rsidR="00B33924">
        <w:t>Ministru kabinetā</w:t>
      </w:r>
      <w:r w:rsidR="00447935">
        <w:t xml:space="preserve"> (turpmāk – MK)</w:t>
      </w:r>
      <w:r>
        <w:t xml:space="preserve"> 2013. gadā </w:t>
      </w:r>
      <w:r w:rsidR="00B33924">
        <w:t>izskatītajā informatīvajā ziņojumā</w:t>
      </w:r>
      <w:r w:rsidR="00B732AA">
        <w:t xml:space="preserve"> </w:t>
      </w:r>
      <w:r w:rsidR="00B33924" w:rsidRPr="00B33924">
        <w:rPr>
          <w:i/>
        </w:rPr>
        <w:t xml:space="preserve">Administratīvi teritoriālās reformas </w:t>
      </w:r>
      <w:proofErr w:type="spellStart"/>
      <w:r w:rsidR="00B33924" w:rsidRPr="00B33924">
        <w:rPr>
          <w:i/>
        </w:rPr>
        <w:t>izvērtējums</w:t>
      </w:r>
      <w:proofErr w:type="spellEnd"/>
      <w:r w:rsidR="00B33924">
        <w:t xml:space="preserve"> </w:t>
      </w:r>
      <w:r w:rsidR="00FE48D1">
        <w:t xml:space="preserve">secināts, ka atsevišķi jautājumi, kas būtu bijuši jāatrisina reformas procesā, nav izpildīti: </w:t>
      </w:r>
    </w:p>
    <w:p w14:paraId="37F39A2B" w14:textId="77777777" w:rsidR="00FE48D1" w:rsidRDefault="00FE48D1" w:rsidP="00833969">
      <w:pPr>
        <w:pStyle w:val="ListParagraph"/>
        <w:numPr>
          <w:ilvl w:val="0"/>
          <w:numId w:val="15"/>
        </w:numPr>
      </w:pPr>
      <w:r>
        <w:t xml:space="preserve">izveidots liels skaits novadu, kuri neatbilst likumā noteiktajiem novadu veidošanas kritērijiem; </w:t>
      </w:r>
    </w:p>
    <w:p w14:paraId="37F39A2C" w14:textId="77777777" w:rsidR="00FE48D1" w:rsidRDefault="00FE48D1" w:rsidP="00833969">
      <w:pPr>
        <w:pStyle w:val="ListParagraph"/>
        <w:numPr>
          <w:ilvl w:val="0"/>
          <w:numId w:val="15"/>
        </w:numPr>
      </w:pPr>
      <w:r>
        <w:t xml:space="preserve">daudzos novados nav spēcīgu attīstības centru, kas būtiski apgrūtina līdzsvarotu reģionālās attīstības politikas realizāciju; </w:t>
      </w:r>
    </w:p>
    <w:p w14:paraId="37F39A2D" w14:textId="77777777" w:rsidR="00FE48D1" w:rsidRDefault="00FE48D1" w:rsidP="00833969">
      <w:pPr>
        <w:pStyle w:val="ListParagraph"/>
        <w:numPr>
          <w:ilvl w:val="0"/>
          <w:numId w:val="15"/>
        </w:numPr>
      </w:pPr>
      <w:r>
        <w:t xml:space="preserve">izveidota iedzīvotāju skaita ziņā ļoti neviendabīga novadu pašvaldību sistēma, kas apgrūtina tālāko publiskās pārvaldes pilnveides procesu; </w:t>
      </w:r>
    </w:p>
    <w:p w14:paraId="37F39A2E" w14:textId="77777777" w:rsidR="00FE48D1" w:rsidRDefault="00FE48D1" w:rsidP="00833969">
      <w:pPr>
        <w:pStyle w:val="ListParagraph"/>
        <w:numPr>
          <w:ilvl w:val="0"/>
          <w:numId w:val="15"/>
        </w:numPr>
      </w:pPr>
      <w:r>
        <w:t xml:space="preserve">pašvaldību sistēma iedzīvotāju skaita neviendabīguma dēļ kopumā nespēj pārņemt nākotnē decentralizējamās valsts pārvaldes funkcijas, līdz ar to atsevišķu valsts pārvaldes funkciju nodošana pašvaldībām būs sarežģīts process; </w:t>
      </w:r>
    </w:p>
    <w:p w14:paraId="37F39A2F" w14:textId="77777777" w:rsidR="004E3FD1" w:rsidRDefault="00FE48D1" w:rsidP="00A62E8B">
      <w:pPr>
        <w:pStyle w:val="ListParagraph"/>
        <w:numPr>
          <w:ilvl w:val="0"/>
          <w:numId w:val="15"/>
        </w:numPr>
        <w:spacing w:after="120"/>
        <w:ind w:left="714" w:hanging="357"/>
        <w:contextualSpacing w:val="0"/>
      </w:pPr>
      <w:r>
        <w:t>izveidots samērā liels mazo novadu pašvaldību skaits, kurām ir nepietiekoša nodokļu ieņēmumu bāze un kuras nespēj patstāvīgi, bez deleģēšanas vai kopīgu pašvaldību iestāžu veidošanas, realizēt savas autonomās funkcijas, koncentrēt finanšu līdzekļus, veik</w:t>
      </w:r>
      <w:r w:rsidR="00833969">
        <w:t>t racionālu, efektīvu pārvaldi.</w:t>
      </w:r>
      <w:r w:rsidR="00A16190">
        <w:rPr>
          <w:rStyle w:val="FootnoteReference"/>
          <w:sz w:val="23"/>
          <w:szCs w:val="23"/>
        </w:rPr>
        <w:footnoteReference w:id="9"/>
      </w:r>
    </w:p>
    <w:p w14:paraId="37F39A30" w14:textId="77777777" w:rsidR="00303374" w:rsidRDefault="002253CE">
      <w:r>
        <w:t>Pašreizējā</w:t>
      </w:r>
      <w:r w:rsidR="0044750F">
        <w:t xml:space="preserve"> administratīvi teritoriālā iedalījuma trūkumus</w:t>
      </w:r>
      <w:r w:rsidR="00640EFC">
        <w:t xml:space="preserve"> un </w:t>
      </w:r>
      <w:r w:rsidR="00C00275">
        <w:t>tā</w:t>
      </w:r>
      <w:r w:rsidR="00640EFC">
        <w:t xml:space="preserve"> ietekmi uz iedzīvotāju nodrošinājumu ar kvalitatīviem un efektīvi organizētiem pakalpojumiem izgaismo arī, piemēram, </w:t>
      </w:r>
      <w:r w:rsidR="0044750F">
        <w:t xml:space="preserve">2015. </w:t>
      </w:r>
      <w:r w:rsidR="00303374">
        <w:t>g</w:t>
      </w:r>
      <w:r w:rsidR="00DF752A">
        <w:t>adā</w:t>
      </w:r>
      <w:r w:rsidR="0044750F">
        <w:t xml:space="preserve"> </w:t>
      </w:r>
      <w:r w:rsidR="00447935">
        <w:t>Vides aizsardzības un reģionālās attīstības ministrijas (turpmāk – VARAM)</w:t>
      </w:r>
      <w:r w:rsidR="00A54343">
        <w:t xml:space="preserve"> pasūtījumā </w:t>
      </w:r>
      <w:r w:rsidR="0044750F">
        <w:t>veiktais pētījums par publiskajiem individuālajiem pakalpojumiem</w:t>
      </w:r>
      <w:r w:rsidR="00A54343">
        <w:t xml:space="preserve">, </w:t>
      </w:r>
      <w:r w:rsidR="0044750F">
        <w:t>Valsts kontroles 2017.</w:t>
      </w:r>
      <w:r w:rsidR="00303374">
        <w:t xml:space="preserve"> g</w:t>
      </w:r>
      <w:r w:rsidR="00DF752A">
        <w:t>ada</w:t>
      </w:r>
      <w:r w:rsidR="0044750F">
        <w:t xml:space="preserve"> revīzijas ziņojums </w:t>
      </w:r>
      <w:r w:rsidR="00640EFC" w:rsidRPr="009222DB">
        <w:rPr>
          <w:i/>
        </w:rPr>
        <w:t>Vai novadu pašvaldības nodrošina pakalpojumus iedzīvotājiem par samērīgām izmaksām?</w:t>
      </w:r>
      <w:r w:rsidR="008D717C">
        <w:t xml:space="preserve"> un</w:t>
      </w:r>
      <w:r w:rsidR="00303374">
        <w:t xml:space="preserve"> </w:t>
      </w:r>
      <w:r w:rsidR="008D717C">
        <w:t xml:space="preserve">MK </w:t>
      </w:r>
      <w:r w:rsidR="00303374">
        <w:t xml:space="preserve">2017. </w:t>
      </w:r>
      <w:r w:rsidR="008D717C">
        <w:t xml:space="preserve">gadā izskatītais </w:t>
      </w:r>
      <w:r w:rsidR="00303374">
        <w:t xml:space="preserve">informatīvais ziņojums </w:t>
      </w:r>
      <w:r w:rsidR="00303374" w:rsidRPr="00303374">
        <w:rPr>
          <w:i/>
        </w:rPr>
        <w:t>Par valsts administratīvi teritoriālo iedalījumu un valsts pārvaldes institūciju sadarbības teritoriju izveidi</w:t>
      </w:r>
      <w:r w:rsidR="00303374">
        <w:t>.</w:t>
      </w:r>
    </w:p>
    <w:p w14:paraId="37F39A31" w14:textId="77777777" w:rsidR="002253CE" w:rsidRPr="00303374" w:rsidRDefault="002253CE" w:rsidP="00303374">
      <w:pPr>
        <w:rPr>
          <w:rFonts w:eastAsiaTheme="minorEastAsia" w:cs="Times New Roman"/>
          <w:sz w:val="22"/>
          <w:lang w:bidi="lo-LA"/>
        </w:rPr>
      </w:pPr>
      <w:r>
        <w:t>Esošais novadu dalījums vairumā gadījumu teritoriālā izvietojuma un saimnieciskajā ziņā ir neloģisks un nav saistīts ar faktiskajiem ekonomiskās attīstības un pakalpojumu centriem. Starp pašvaldībām dominē konkurence, nevis sadarbība. Tas kavē racionālu, uz attīstību orientētu lēmumu pieņemšanu saistībā ar publisko pakalpojumu organizāciju.</w:t>
      </w:r>
      <w:r>
        <w:rPr>
          <w:rStyle w:val="FootnoteReference"/>
        </w:rPr>
        <w:footnoteReference w:id="10"/>
      </w:r>
      <w:r>
        <w:t xml:space="preserve"> </w:t>
      </w:r>
      <w:r w:rsidR="00303374">
        <w:t xml:space="preserve">Valsts kontroles revīzijā secināts, ka mazai pašvaldībai atsevišķas iestādes veidošana izmaksā vismaz trīs reizes vairāk, nekā </w:t>
      </w:r>
      <w:r w:rsidR="009222DB">
        <w:t xml:space="preserve">vairākiem novadiem </w:t>
      </w:r>
      <w:r w:rsidR="00303374">
        <w:t>veidojot</w:t>
      </w:r>
      <w:r w:rsidR="009222DB">
        <w:t xml:space="preserve"> </w:t>
      </w:r>
      <w:r w:rsidR="00303374">
        <w:t>kopīgu iestādi.</w:t>
      </w:r>
      <w:r w:rsidR="00303374">
        <w:rPr>
          <w:rStyle w:val="FootnoteReference"/>
        </w:rPr>
        <w:footnoteReference w:id="11"/>
      </w:r>
    </w:p>
    <w:p w14:paraId="37F39A32" w14:textId="77777777" w:rsidR="00303374" w:rsidRPr="00303374" w:rsidRDefault="009222DB" w:rsidP="009222DB">
      <w:r>
        <w:t>Daudzas</w:t>
      </w:r>
      <w:r w:rsidR="00303374" w:rsidRPr="00303374">
        <w:t xml:space="preserve"> pašvaldības racionālu apsvērumu dēļ patstāvīgi nepilda t</w:t>
      </w:r>
      <w:r>
        <w:t xml:space="preserve">ām likumos noteiktās funkcijas un to </w:t>
      </w:r>
      <w:r w:rsidR="00303374" w:rsidRPr="00303374">
        <w:t>izpildē cenšas sadarboties ar citām pašvaldībām. Tādejādi ATR rezultātā netika izveidota pašvaldību sistēma, kur katra pašvaldība pa</w:t>
      </w:r>
      <w:r>
        <w:t>t</w:t>
      </w:r>
      <w:r w:rsidR="00303374" w:rsidRPr="00303374">
        <w:t xml:space="preserve">stāvīgi spēj izpildīt </w:t>
      </w:r>
      <w:r>
        <w:t>tai likumos noteiktās funkcijas.</w:t>
      </w:r>
      <w:r w:rsidR="00303374" w:rsidRPr="00303374">
        <w:t xml:space="preserve"> </w:t>
      </w:r>
      <w:r>
        <w:t>Š</w:t>
      </w:r>
      <w:r w:rsidR="00303374" w:rsidRPr="00303374">
        <w:t>ādos gadījumos attiecīgās pašvaldības iedzī</w:t>
      </w:r>
      <w:r>
        <w:t xml:space="preserve">votājiem pašvaldības pakalpojumi jārod </w:t>
      </w:r>
      <w:r w:rsidR="008D717C">
        <w:t xml:space="preserve">citas pašvaldības teritorijā. </w:t>
      </w:r>
      <w:r w:rsidR="00303374" w:rsidRPr="00303374">
        <w:t>Praksē arī ir vairāki gadījumi, kad novadu administratīvie centri tiek noteikti citas pašvaldības administratīvajā teritorijā.</w:t>
      </w:r>
      <w:r w:rsidR="00303374" w:rsidRPr="009222DB">
        <w:rPr>
          <w:vertAlign w:val="superscript"/>
        </w:rPr>
        <w:footnoteReference w:id="12"/>
      </w:r>
    </w:p>
    <w:p w14:paraId="37F39A33" w14:textId="77777777" w:rsidR="00A16190" w:rsidRDefault="009222DB">
      <w:r>
        <w:t xml:space="preserve">Līdz </w:t>
      </w:r>
      <w:r w:rsidR="00A16190">
        <w:t>ar to ATR pabeigšana ir nepieciešama, la</w:t>
      </w:r>
      <w:r w:rsidR="00A16190" w:rsidRPr="00C00275">
        <w:t>i</w:t>
      </w:r>
      <w:r w:rsidR="00A16190">
        <w:t xml:space="preserve"> </w:t>
      </w:r>
      <w:r w:rsidR="00C00275">
        <w:t xml:space="preserve">visas pašvaldības spētu pilnvērtīgi un patstāvīgi </w:t>
      </w:r>
      <w:r>
        <w:t>veikt savas autonomās funkcijas,</w:t>
      </w:r>
      <w:r w:rsidR="00C00275">
        <w:t xml:space="preserve"> iedzīvotājiem tiktu nodrošināti kvalitatīvi un izma</w:t>
      </w:r>
      <w:r w:rsidR="00AB062B">
        <w:t>ksu ziņā efektīvāki pakalpojumi</w:t>
      </w:r>
      <w:r>
        <w:t>, lai</w:t>
      </w:r>
      <w:r w:rsidR="0064608A">
        <w:t xml:space="preserve"> veicinātu reģionālās un nacionālās nozīmes attīstības centru administratīvu sasaisti ar apkārtējām funkcionālajām teritorijām</w:t>
      </w:r>
      <w:r>
        <w:t xml:space="preserve"> un lai </w:t>
      </w:r>
      <w:r w:rsidR="007B6EF4">
        <w:t>būtu iespēja turpināt valsts pārvaldes decentralizēšanu, nododot pašvaldībām atsevišķas valsts pārvaldes funkcijas un palielinot pašvaldību atbildību par savas teritorijas pārvaldīšanu</w:t>
      </w:r>
      <w:r>
        <w:t>.</w:t>
      </w:r>
    </w:p>
    <w:p w14:paraId="37F39A34" w14:textId="77777777" w:rsidR="00E02A2A" w:rsidRDefault="00E02A2A" w:rsidP="00833969">
      <w:pPr>
        <w:pStyle w:val="Heading2"/>
      </w:pPr>
      <w:r>
        <w:t xml:space="preserve">Darbības </w:t>
      </w:r>
      <w:r w:rsidR="00833969">
        <w:t xml:space="preserve">un laika grafiks </w:t>
      </w:r>
      <w:r>
        <w:t>administratīvi teritoriālās reformas pabeigšanai</w:t>
      </w:r>
    </w:p>
    <w:p w14:paraId="37F39A35" w14:textId="77777777" w:rsidR="00E02A2A" w:rsidRPr="007B6EF4" w:rsidRDefault="00E02A2A" w:rsidP="00E02A2A">
      <w:pPr>
        <w:rPr>
          <w:rStyle w:val="IntenseEmphasis"/>
          <w:b w:val="0"/>
          <w:u w:val="single"/>
        </w:rPr>
      </w:pPr>
      <w:r w:rsidRPr="007B6EF4">
        <w:rPr>
          <w:rStyle w:val="IntenseEmphasis"/>
          <w:b w:val="0"/>
          <w:u w:val="single"/>
        </w:rPr>
        <w:t>Attīstības komiteja administratīvi teritoriālās reformas jautājumā</w:t>
      </w:r>
    </w:p>
    <w:p w14:paraId="37F39A36" w14:textId="77777777" w:rsidR="00E02A2A" w:rsidRDefault="00E02A2A" w:rsidP="00715DE5">
      <w:r>
        <w:t xml:space="preserve">Koalīciju veidojošo partiju diskusijai par reformas sagatavošanas jautājumiem un efektīvākai tās norisei </w:t>
      </w:r>
      <w:r w:rsidR="00B732AA">
        <w:t>vides aizsardzības un reģionālās attīstības</w:t>
      </w:r>
      <w:r>
        <w:t xml:space="preserve"> ministra Jura Pūces vadībā ir izveidota Attīstība</w:t>
      </w:r>
      <w:r w:rsidR="0098514E">
        <w:t xml:space="preserve">s komiteja. Komitejas locekļi būs </w:t>
      </w:r>
      <w:r w:rsidR="004A0369">
        <w:t>viens līdz divi</w:t>
      </w:r>
      <w:r>
        <w:t xml:space="preserve"> pārstāvji no katras koalīciju veidojošās Saeimas frakci</w:t>
      </w:r>
      <w:r w:rsidR="0098514E">
        <w:t>jas. Komitejas darbību nodrošinās</w:t>
      </w:r>
      <w:r w:rsidR="00DF752A">
        <w:t xml:space="preserve"> VARAM.</w:t>
      </w:r>
    </w:p>
    <w:p w14:paraId="37F39A37" w14:textId="77777777" w:rsidR="00833969" w:rsidRPr="00E02A2A" w:rsidRDefault="00833969" w:rsidP="00E02A2A"/>
    <w:p w14:paraId="37F39A38" w14:textId="77777777" w:rsidR="0064608A" w:rsidRPr="007B6EF4" w:rsidRDefault="00A16190" w:rsidP="00D611A0">
      <w:pPr>
        <w:spacing w:before="120" w:after="120"/>
        <w:rPr>
          <w:rStyle w:val="IntenseEmphasis"/>
          <w:b w:val="0"/>
          <w:u w:val="single"/>
        </w:rPr>
      </w:pPr>
      <w:r w:rsidRPr="007B6EF4">
        <w:rPr>
          <w:rStyle w:val="IntenseEmphasis"/>
          <w:b w:val="0"/>
          <w:u w:val="single"/>
        </w:rPr>
        <w:t xml:space="preserve">Laika grafiks </w:t>
      </w:r>
      <w:r w:rsidR="0064608A" w:rsidRPr="007B6EF4">
        <w:rPr>
          <w:rStyle w:val="IntenseEmphasis"/>
          <w:b w:val="0"/>
          <w:u w:val="single"/>
        </w:rPr>
        <w:t>administratīvi teritoriālās reformas</w:t>
      </w:r>
      <w:r w:rsidRPr="007B6EF4">
        <w:rPr>
          <w:rStyle w:val="IntenseEmphasis"/>
          <w:b w:val="0"/>
          <w:u w:val="single"/>
        </w:rPr>
        <w:t xml:space="preserve"> pabeigšanai</w:t>
      </w:r>
    </w:p>
    <w:p w14:paraId="37F39A39" w14:textId="77777777" w:rsidR="009166B9" w:rsidRPr="00A16190" w:rsidRDefault="00C60225" w:rsidP="00D611A0">
      <w:pPr>
        <w:pStyle w:val="ListParagraph"/>
        <w:numPr>
          <w:ilvl w:val="0"/>
          <w:numId w:val="17"/>
        </w:numPr>
        <w:spacing w:before="120" w:after="120"/>
        <w:contextualSpacing w:val="0"/>
      </w:pPr>
      <w:r w:rsidRPr="00A16190">
        <w:t>Konceptuāla vienošanās par ATR pabeigšanas pamatprincipiem – 2019.</w:t>
      </w:r>
      <w:r w:rsidR="00D90AAE">
        <w:t xml:space="preserve"> </w:t>
      </w:r>
      <w:r w:rsidRPr="00A16190">
        <w:t>gada februāris.</w:t>
      </w:r>
    </w:p>
    <w:p w14:paraId="37F39A3A" w14:textId="77777777" w:rsidR="009166B9" w:rsidRPr="00A16190" w:rsidRDefault="00D90AAE" w:rsidP="00D611A0">
      <w:pPr>
        <w:pStyle w:val="ListParagraph"/>
        <w:numPr>
          <w:ilvl w:val="0"/>
          <w:numId w:val="17"/>
        </w:numPr>
        <w:spacing w:before="120" w:after="120"/>
        <w:contextualSpacing w:val="0"/>
      </w:pPr>
      <w:r>
        <w:t>Likumprojekts “</w:t>
      </w:r>
      <w:r w:rsidR="00C60225" w:rsidRPr="00A16190">
        <w:t>Administratīvi teritoriā</w:t>
      </w:r>
      <w:r>
        <w:t xml:space="preserve">lās reformas pabeigšanas likums” </w:t>
      </w:r>
      <w:r w:rsidR="00504844">
        <w:t>iesniedzams</w:t>
      </w:r>
      <w:r w:rsidR="00B33924">
        <w:t xml:space="preserve"> MK līdz </w:t>
      </w:r>
      <w:r w:rsidR="00D611A0">
        <w:t>2019. gada 28</w:t>
      </w:r>
      <w:r w:rsidR="00DF752A">
        <w:t>. februārim</w:t>
      </w:r>
      <w:r>
        <w:t xml:space="preserve"> un</w:t>
      </w:r>
      <w:r w:rsidR="00B732AA">
        <w:t xml:space="preserve"> virzāms kā MK lieta. </w:t>
      </w:r>
      <w:r>
        <w:t>Likumprojekts paredzēs</w:t>
      </w:r>
      <w:r w:rsidR="00B732AA">
        <w:t xml:space="preserve"> </w:t>
      </w:r>
      <w:r w:rsidR="00C60225" w:rsidRPr="00A16190">
        <w:t>ATR uzsākšanu un procedūru.</w:t>
      </w:r>
    </w:p>
    <w:p w14:paraId="37F39A3B" w14:textId="77777777" w:rsidR="009166B9" w:rsidRPr="00A16190" w:rsidRDefault="00D90AAE" w:rsidP="00D611A0">
      <w:pPr>
        <w:pStyle w:val="ListParagraph"/>
        <w:numPr>
          <w:ilvl w:val="0"/>
          <w:numId w:val="17"/>
        </w:numPr>
        <w:spacing w:before="120" w:after="120"/>
        <w:contextualSpacing w:val="0"/>
      </w:pPr>
      <w:r>
        <w:t>Likumprojekts “G</w:t>
      </w:r>
      <w:r w:rsidR="00C60225" w:rsidRPr="00A16190">
        <w:t>rozījumi Administratīvo teritorij</w:t>
      </w:r>
      <w:r w:rsidR="00B732AA">
        <w:t>u un apdzīvoto vietu likumā</w:t>
      </w:r>
      <w:r>
        <w:t>”</w:t>
      </w:r>
      <w:r w:rsidR="00B732AA">
        <w:t xml:space="preserve"> – </w:t>
      </w:r>
      <w:r w:rsidR="00504844">
        <w:t>iesniedzams</w:t>
      </w:r>
      <w:r>
        <w:t xml:space="preserve"> MK līdz </w:t>
      </w:r>
      <w:r w:rsidR="00D611A0">
        <w:t>2019. gada 28</w:t>
      </w:r>
      <w:r w:rsidR="00DF752A">
        <w:t xml:space="preserve">. </w:t>
      </w:r>
      <w:r w:rsidR="00D611A0">
        <w:t>f</w:t>
      </w:r>
      <w:r w:rsidR="00DF752A">
        <w:t>ebruārim</w:t>
      </w:r>
      <w:r w:rsidR="00504844">
        <w:t xml:space="preserve"> un </w:t>
      </w:r>
      <w:r>
        <w:t>virzāms</w:t>
      </w:r>
      <w:r w:rsidR="00C60225" w:rsidRPr="00A16190">
        <w:t xml:space="preserve"> kā MK lieta</w:t>
      </w:r>
      <w:r>
        <w:t xml:space="preserve"> </w:t>
      </w:r>
      <w:r w:rsidRPr="00A16190">
        <w:t>vienlaikus a</w:t>
      </w:r>
      <w:r>
        <w:t xml:space="preserve">r 1. punktā minēto likumprojektu. Šis likumprojekts </w:t>
      </w:r>
      <w:r w:rsidR="00B732AA">
        <w:t>novērsīs</w:t>
      </w:r>
      <w:r w:rsidR="00C60225" w:rsidRPr="00A16190">
        <w:t xml:space="preserve"> pretrunas</w:t>
      </w:r>
      <w:r>
        <w:t xml:space="preserve"> ar likumprojektu “Administratīvi teritoriālās reformas pabeigšanas likums”.</w:t>
      </w:r>
    </w:p>
    <w:p w14:paraId="37F39A3C" w14:textId="77777777" w:rsidR="009166B9" w:rsidRPr="00A16190" w:rsidRDefault="00715DE5" w:rsidP="00D611A0">
      <w:pPr>
        <w:pStyle w:val="ListParagraph"/>
        <w:numPr>
          <w:ilvl w:val="0"/>
          <w:numId w:val="17"/>
        </w:numPr>
        <w:spacing w:before="120" w:after="120"/>
        <w:contextualSpacing w:val="0"/>
      </w:pPr>
      <w:r>
        <w:t xml:space="preserve">Abu iepriekšminēto likumprojektu </w:t>
      </w:r>
      <w:r w:rsidR="00B33924">
        <w:t>virzība MK</w:t>
      </w:r>
      <w:r>
        <w:t xml:space="preserve"> un</w:t>
      </w:r>
      <w:r w:rsidR="00C60225" w:rsidRPr="00A16190">
        <w:t xml:space="preserve"> pieņemšana Saeimā </w:t>
      </w:r>
      <w:r w:rsidR="00B33924">
        <w:t xml:space="preserve">būtu </w:t>
      </w:r>
      <w:r w:rsidR="00C60225" w:rsidRPr="00A16190">
        <w:t xml:space="preserve">jānodrošina līdz </w:t>
      </w:r>
      <w:r w:rsidR="00DF752A">
        <w:t>2019. gada 1. jūnijam.</w:t>
      </w:r>
    </w:p>
    <w:p w14:paraId="37F39A3D" w14:textId="77777777" w:rsidR="009166B9" w:rsidRDefault="00D90AAE" w:rsidP="00D611A0">
      <w:pPr>
        <w:pStyle w:val="ListParagraph"/>
        <w:numPr>
          <w:ilvl w:val="0"/>
          <w:numId w:val="17"/>
        </w:numPr>
        <w:spacing w:before="120" w:after="120"/>
        <w:contextualSpacing w:val="0"/>
      </w:pPr>
      <w:r>
        <w:t xml:space="preserve">Konsultācijas par administratīvi teritoriālo reformu atbilstoši Eiropas vietējo pašvaldību hartai </w:t>
      </w:r>
      <w:r w:rsidR="00C60225" w:rsidRPr="00A16190">
        <w:t xml:space="preserve">– no </w:t>
      </w:r>
      <w:r w:rsidR="00D611A0">
        <w:t>2019. gada</w:t>
      </w:r>
      <w:r w:rsidR="00715DE5">
        <w:t xml:space="preserve"> </w:t>
      </w:r>
      <w:r w:rsidR="00C60225" w:rsidRPr="00A16190">
        <w:t>jūnija līdz septembrim.</w:t>
      </w:r>
    </w:p>
    <w:p w14:paraId="37F39A3E" w14:textId="77777777" w:rsidR="00625686" w:rsidRPr="00A16190" w:rsidRDefault="00625686" w:rsidP="00D611A0">
      <w:pPr>
        <w:pStyle w:val="ListParagraph"/>
        <w:numPr>
          <w:ilvl w:val="0"/>
          <w:numId w:val="17"/>
        </w:numPr>
        <w:spacing w:before="120" w:after="120"/>
        <w:contextualSpacing w:val="0"/>
      </w:pPr>
      <w:r>
        <w:t xml:space="preserve">Ārējo ekspertu piesaiste pašvaldību administratīvi teritoriālā modeļa </w:t>
      </w:r>
      <w:r w:rsidR="00504844">
        <w:t xml:space="preserve">noteikšanā </w:t>
      </w:r>
      <w:r>
        <w:t xml:space="preserve">– 2019. gada aprīlis – septembris. </w:t>
      </w:r>
    </w:p>
    <w:p w14:paraId="37F39A3F" w14:textId="77777777" w:rsidR="009166B9" w:rsidRPr="00A16190" w:rsidRDefault="00C60225" w:rsidP="00D611A0">
      <w:pPr>
        <w:pStyle w:val="ListParagraph"/>
        <w:numPr>
          <w:ilvl w:val="0"/>
          <w:numId w:val="17"/>
        </w:numPr>
        <w:spacing w:before="120" w:after="120"/>
        <w:contextualSpacing w:val="0"/>
      </w:pPr>
      <w:r w:rsidRPr="00A16190">
        <w:t xml:space="preserve">Jauna administratīvo teritoriju un </w:t>
      </w:r>
      <w:r w:rsidR="00715DE5">
        <w:t>apdzīvoto vietu likuma izstrāde un</w:t>
      </w:r>
      <w:r w:rsidR="00504844">
        <w:t xml:space="preserve"> iesniegšana MK –</w:t>
      </w:r>
      <w:r w:rsidR="00715DE5">
        <w:t xml:space="preserve"> līdz </w:t>
      </w:r>
      <w:r w:rsidR="00DF752A">
        <w:t>2019. gada 1. novembrim</w:t>
      </w:r>
      <w:r w:rsidRPr="00A16190">
        <w:t xml:space="preserve">. Saeimā </w:t>
      </w:r>
      <w:r w:rsidR="00715DE5">
        <w:t xml:space="preserve">likums </w:t>
      </w:r>
      <w:r w:rsidR="00B33924">
        <w:t xml:space="preserve">būtu </w:t>
      </w:r>
      <w:r w:rsidRPr="00A16190">
        <w:t xml:space="preserve">jāpieņem līdz </w:t>
      </w:r>
      <w:r w:rsidR="00DF752A">
        <w:t>2020. gada 1. jūnijam</w:t>
      </w:r>
      <w:r w:rsidRPr="00A16190">
        <w:t>.</w:t>
      </w:r>
    </w:p>
    <w:p w14:paraId="37F39A40" w14:textId="77777777" w:rsidR="009166B9" w:rsidRPr="00A16190" w:rsidRDefault="00C60225" w:rsidP="00D611A0">
      <w:pPr>
        <w:pStyle w:val="ListParagraph"/>
        <w:numPr>
          <w:ilvl w:val="0"/>
          <w:numId w:val="17"/>
        </w:numPr>
        <w:spacing w:before="120" w:after="120"/>
        <w:contextualSpacing w:val="0"/>
      </w:pPr>
      <w:r w:rsidRPr="00A16190">
        <w:t>Vēlēšanu komisiju izveide un vēlēšanu izsludināšana jaunajās teritorijās</w:t>
      </w:r>
      <w:r w:rsidR="00504844">
        <w:t xml:space="preserve"> –</w:t>
      </w:r>
      <w:r w:rsidRPr="00A16190">
        <w:t xml:space="preserve"> </w:t>
      </w:r>
      <w:r w:rsidR="00DF752A">
        <w:t>2021. gada 1. janvāris – 1. marts.</w:t>
      </w:r>
    </w:p>
    <w:p w14:paraId="37F39A41" w14:textId="77777777" w:rsidR="009166B9" w:rsidRPr="00A16190" w:rsidRDefault="00C60225" w:rsidP="00D611A0">
      <w:pPr>
        <w:pStyle w:val="ListParagraph"/>
        <w:numPr>
          <w:ilvl w:val="0"/>
          <w:numId w:val="17"/>
        </w:numPr>
        <w:spacing w:before="120" w:after="120"/>
        <w:contextualSpacing w:val="0"/>
      </w:pPr>
      <w:r w:rsidRPr="00A16190">
        <w:t xml:space="preserve">Saistītie likumprojekti, kas regulē pašvaldību darbību, izstrādājami paralēli </w:t>
      </w:r>
      <w:r w:rsidR="00715DE5">
        <w:t xml:space="preserve">iepriekšminētajiem, </w:t>
      </w:r>
      <w:r w:rsidRPr="00A16190">
        <w:t>un tie</w:t>
      </w:r>
      <w:r w:rsidR="00715DE5">
        <w:t>m</w:t>
      </w:r>
      <w:r w:rsidRPr="00A16190">
        <w:t xml:space="preserve"> </w:t>
      </w:r>
      <w:r w:rsidR="00715DE5">
        <w:t>jā</w:t>
      </w:r>
      <w:r w:rsidR="00D90AAE">
        <w:t xml:space="preserve">stājas spēkā </w:t>
      </w:r>
      <w:r w:rsidR="00DF752A">
        <w:t>2021. gada 1. jūlijā</w:t>
      </w:r>
      <w:r w:rsidR="00D90AAE">
        <w:t xml:space="preserve"> –</w:t>
      </w:r>
      <w:r w:rsidR="00DF752A">
        <w:t xml:space="preserve"> kad vienlaikus</w:t>
      </w:r>
      <w:r w:rsidR="00D90AAE">
        <w:t xml:space="preserve"> darbu jaunajās administratīvajās teritorijās uzsāks </w:t>
      </w:r>
      <w:r w:rsidR="00DF752A">
        <w:t xml:space="preserve">arī </w:t>
      </w:r>
      <w:r w:rsidR="00D90AAE">
        <w:t>jaunievēlētās pašvaldību domes.</w:t>
      </w:r>
    </w:p>
    <w:p w14:paraId="37F39A42" w14:textId="77777777" w:rsidR="00625686" w:rsidRDefault="004E5299">
      <w:r>
        <w:t xml:space="preserve">Par ATR progresu VARAM Ministru kabinetam ziņos līdz 2019. gada 1. </w:t>
      </w:r>
      <w:r w:rsidR="001759DF">
        <w:t>aprīlim</w:t>
      </w:r>
      <w:r>
        <w:t>.</w:t>
      </w:r>
    </w:p>
    <w:p w14:paraId="37F39A43" w14:textId="77777777" w:rsidR="004E5299" w:rsidRDefault="004E5299" w:rsidP="004E5299">
      <w:pPr>
        <w:pStyle w:val="Heading2"/>
      </w:pPr>
      <w:r>
        <w:t>ATR pabeigšanai nepieciešamais finansējums</w:t>
      </w:r>
    </w:p>
    <w:p w14:paraId="37F39A44" w14:textId="4E20F583" w:rsidR="00AC627A" w:rsidRPr="001759DF" w:rsidRDefault="00AC627A" w:rsidP="00AC627A">
      <w:r>
        <w:t>ATR sagatavošanai nepieciešamais finansējums – aptuveni EUR 500 000 – 2019. gada valsts budžetā nepieciešams ārējo ekspertu piesaistei pašvaldību administratīvi teritoriālā modeļa izveidei un līdzdarbībai konsultācijās ar sabiedrību, t.sk. arī informatīvās kampaņas izstrādei un īstenošanai. 2020. gadā saskaņā ar provizoriskajiem aprēķiniem reformas īstenošanai nepieciešami EUR 300 000, tāpat valsts budžeta līdzekļi reformas efektīvai</w:t>
      </w:r>
      <w:r w:rsidRPr="001759DF">
        <w:t xml:space="preserve"> norisei</w:t>
      </w:r>
      <w:r>
        <w:t xml:space="preserve"> būs nepieciešami</w:t>
      </w:r>
      <w:r w:rsidRPr="001759DF">
        <w:t xml:space="preserve"> 2021.</w:t>
      </w:r>
      <w:r>
        <w:t xml:space="preserve"> </w:t>
      </w:r>
      <w:r w:rsidRPr="001759DF">
        <w:t>gadā.</w:t>
      </w:r>
      <w:r>
        <w:t xml:space="preserve"> Precizēti aprēķini tiks iesniegti 2019.gada valsts budžeta sagatavošanas procesā.</w:t>
      </w:r>
    </w:p>
    <w:p w14:paraId="37F39A47" w14:textId="77777777" w:rsidR="007F682E" w:rsidRDefault="007F682E" w:rsidP="001759DF">
      <w:bookmarkStart w:id="0" w:name="_GoBack"/>
      <w:bookmarkEnd w:id="0"/>
    </w:p>
    <w:p w14:paraId="37F39A48" w14:textId="77777777" w:rsidR="004E5299" w:rsidRDefault="004E5299" w:rsidP="007B6EF4">
      <w:pPr>
        <w:tabs>
          <w:tab w:val="center" w:pos="9072"/>
        </w:tabs>
      </w:pPr>
    </w:p>
    <w:p w14:paraId="37F39A49" w14:textId="77777777" w:rsidR="004E5299" w:rsidRDefault="004E5299" w:rsidP="007B6EF4">
      <w:pPr>
        <w:tabs>
          <w:tab w:val="center" w:pos="9072"/>
        </w:tabs>
      </w:pPr>
    </w:p>
    <w:p w14:paraId="37F39A4A" w14:textId="77777777" w:rsidR="004E5299" w:rsidRDefault="004E5299" w:rsidP="007B6EF4">
      <w:pPr>
        <w:tabs>
          <w:tab w:val="center" w:pos="9072"/>
        </w:tabs>
      </w:pPr>
    </w:p>
    <w:p w14:paraId="37F39A4B" w14:textId="77777777" w:rsidR="004E5299" w:rsidRDefault="004E5299" w:rsidP="007B6EF4">
      <w:pPr>
        <w:tabs>
          <w:tab w:val="center" w:pos="9072"/>
        </w:tabs>
      </w:pPr>
    </w:p>
    <w:p w14:paraId="37F39A4C" w14:textId="77777777" w:rsidR="004E5299" w:rsidRDefault="004E5299" w:rsidP="007B6EF4">
      <w:pPr>
        <w:tabs>
          <w:tab w:val="center" w:pos="9072"/>
        </w:tabs>
      </w:pPr>
    </w:p>
    <w:p w14:paraId="37F39A4D" w14:textId="77777777" w:rsidR="004E5299" w:rsidRDefault="004E5299" w:rsidP="007B6EF4">
      <w:pPr>
        <w:tabs>
          <w:tab w:val="center" w:pos="9072"/>
        </w:tabs>
      </w:pPr>
    </w:p>
    <w:p w14:paraId="37F39A4E" w14:textId="77777777" w:rsidR="004E5299" w:rsidRDefault="004E5299" w:rsidP="007B6EF4">
      <w:pPr>
        <w:tabs>
          <w:tab w:val="center" w:pos="9072"/>
        </w:tabs>
      </w:pPr>
    </w:p>
    <w:p w14:paraId="37F39A4F" w14:textId="77777777" w:rsidR="007B6EF4" w:rsidRPr="007B6EF4" w:rsidRDefault="00A62E8B" w:rsidP="00DA7C2D">
      <w:pPr>
        <w:tabs>
          <w:tab w:val="left" w:pos="7938"/>
          <w:tab w:val="center" w:pos="9072"/>
        </w:tabs>
        <w:ind w:firstLine="0"/>
        <w:rPr>
          <w:szCs w:val="28"/>
        </w:rPr>
      </w:pPr>
      <w:r>
        <w:rPr>
          <w:szCs w:val="28"/>
        </w:rPr>
        <w:t xml:space="preserve">Ministru prezidents </w:t>
      </w:r>
      <w:r>
        <w:rPr>
          <w:szCs w:val="28"/>
        </w:rPr>
        <w:tab/>
      </w:r>
      <w:proofErr w:type="spellStart"/>
      <w:r>
        <w:rPr>
          <w:szCs w:val="28"/>
        </w:rPr>
        <w:t>A.K.Kariņš</w:t>
      </w:r>
      <w:proofErr w:type="spellEnd"/>
    </w:p>
    <w:p w14:paraId="37F39A50" w14:textId="77777777" w:rsidR="007B6EF4" w:rsidRPr="007B6EF4" w:rsidRDefault="007B6EF4" w:rsidP="007B6EF4">
      <w:pPr>
        <w:tabs>
          <w:tab w:val="center" w:pos="9072"/>
        </w:tabs>
        <w:rPr>
          <w:szCs w:val="28"/>
        </w:rPr>
      </w:pPr>
    </w:p>
    <w:p w14:paraId="37F39A51" w14:textId="77777777" w:rsidR="007B6EF4" w:rsidRDefault="007B6EF4" w:rsidP="007B6EF4">
      <w:pPr>
        <w:tabs>
          <w:tab w:val="center" w:pos="9072"/>
        </w:tabs>
        <w:rPr>
          <w:szCs w:val="28"/>
        </w:rPr>
      </w:pPr>
    </w:p>
    <w:p w14:paraId="37F39A52" w14:textId="77777777" w:rsidR="007B6EF4" w:rsidRPr="007B6EF4" w:rsidRDefault="007B6EF4" w:rsidP="007B6EF4">
      <w:pPr>
        <w:tabs>
          <w:tab w:val="center" w:pos="9072"/>
        </w:tabs>
        <w:rPr>
          <w:szCs w:val="28"/>
        </w:rPr>
      </w:pPr>
    </w:p>
    <w:p w14:paraId="37F39A53" w14:textId="77777777" w:rsidR="007B6EF4" w:rsidRDefault="007B6EF4" w:rsidP="007B6EF4">
      <w:pPr>
        <w:tabs>
          <w:tab w:val="center" w:pos="9072"/>
        </w:tabs>
        <w:rPr>
          <w:szCs w:val="28"/>
        </w:rPr>
      </w:pPr>
    </w:p>
    <w:p w14:paraId="37F39A54" w14:textId="77777777" w:rsidR="00341A9C" w:rsidRPr="007B6EF4" w:rsidRDefault="00341A9C" w:rsidP="007B6EF4">
      <w:pPr>
        <w:tabs>
          <w:tab w:val="center" w:pos="9072"/>
        </w:tabs>
        <w:rPr>
          <w:szCs w:val="28"/>
        </w:rPr>
      </w:pPr>
    </w:p>
    <w:p w14:paraId="37F39A55" w14:textId="77777777" w:rsidR="007B6EF4" w:rsidRPr="007B6EF4" w:rsidRDefault="007B6EF4" w:rsidP="004E5299">
      <w:pPr>
        <w:tabs>
          <w:tab w:val="center" w:pos="9072"/>
        </w:tabs>
        <w:ind w:firstLine="0"/>
        <w:rPr>
          <w:szCs w:val="28"/>
        </w:rPr>
      </w:pPr>
      <w:r w:rsidRPr="007B6EF4">
        <w:rPr>
          <w:szCs w:val="28"/>
        </w:rPr>
        <w:t xml:space="preserve">Vides aizsardzības un reģionālās attīstības ministrs </w:t>
      </w:r>
      <w:r w:rsidRPr="007B6EF4">
        <w:rPr>
          <w:szCs w:val="28"/>
        </w:rPr>
        <w:tab/>
      </w:r>
      <w:proofErr w:type="spellStart"/>
      <w:r w:rsidRPr="007B6EF4">
        <w:rPr>
          <w:szCs w:val="28"/>
        </w:rPr>
        <w:t>J.Pūce</w:t>
      </w:r>
      <w:proofErr w:type="spellEnd"/>
    </w:p>
    <w:p w14:paraId="37F39A56" w14:textId="77777777" w:rsidR="007B6EF4" w:rsidRPr="007B6EF4" w:rsidRDefault="007B6EF4" w:rsidP="007B6EF4">
      <w:pPr>
        <w:tabs>
          <w:tab w:val="center" w:pos="9072"/>
        </w:tabs>
        <w:rPr>
          <w:szCs w:val="28"/>
        </w:rPr>
      </w:pPr>
    </w:p>
    <w:p w14:paraId="37F39A57" w14:textId="77777777" w:rsidR="007B6EF4" w:rsidRDefault="007B6EF4" w:rsidP="007B6EF4">
      <w:pPr>
        <w:tabs>
          <w:tab w:val="center" w:pos="9072"/>
        </w:tabs>
        <w:rPr>
          <w:szCs w:val="28"/>
        </w:rPr>
      </w:pPr>
    </w:p>
    <w:p w14:paraId="37F39A58" w14:textId="77777777" w:rsidR="007B6EF4" w:rsidRPr="007B6EF4" w:rsidRDefault="007B6EF4" w:rsidP="007B6EF4">
      <w:pPr>
        <w:tabs>
          <w:tab w:val="center" w:pos="9072"/>
        </w:tabs>
        <w:rPr>
          <w:szCs w:val="28"/>
        </w:rPr>
      </w:pPr>
    </w:p>
    <w:p w14:paraId="37F39A59" w14:textId="77777777" w:rsidR="007B6EF4" w:rsidRPr="007B6EF4" w:rsidRDefault="007B6EF4" w:rsidP="007B6EF4">
      <w:pPr>
        <w:tabs>
          <w:tab w:val="center" w:pos="9072"/>
        </w:tabs>
        <w:rPr>
          <w:szCs w:val="28"/>
        </w:rPr>
      </w:pPr>
    </w:p>
    <w:p w14:paraId="37F39A5A" w14:textId="77777777" w:rsidR="007B6EF4" w:rsidRPr="007B6EF4" w:rsidRDefault="007B6EF4" w:rsidP="007B6EF4">
      <w:pPr>
        <w:tabs>
          <w:tab w:val="center" w:pos="9072"/>
        </w:tabs>
        <w:rPr>
          <w:szCs w:val="28"/>
        </w:rPr>
      </w:pPr>
    </w:p>
    <w:p w14:paraId="37F39A5B" w14:textId="77777777" w:rsidR="007B6EF4" w:rsidRPr="007B6EF4" w:rsidRDefault="007B6EF4" w:rsidP="004E5299">
      <w:pPr>
        <w:tabs>
          <w:tab w:val="center" w:pos="9072"/>
        </w:tabs>
        <w:ind w:firstLine="0"/>
        <w:rPr>
          <w:szCs w:val="28"/>
        </w:rPr>
      </w:pPr>
      <w:r w:rsidRPr="007B6EF4">
        <w:rPr>
          <w:szCs w:val="28"/>
        </w:rPr>
        <w:t>Valsts kancelejas direktors</w:t>
      </w:r>
      <w:r w:rsidRPr="007B6EF4">
        <w:rPr>
          <w:szCs w:val="28"/>
        </w:rPr>
        <w:tab/>
      </w:r>
      <w:proofErr w:type="spellStart"/>
      <w:r w:rsidRPr="007B6EF4">
        <w:rPr>
          <w:szCs w:val="28"/>
        </w:rPr>
        <w:t>J.Citskovskis</w:t>
      </w:r>
      <w:proofErr w:type="spellEnd"/>
    </w:p>
    <w:p w14:paraId="37F39A5C" w14:textId="77777777" w:rsidR="007B6EF4" w:rsidRPr="007B6EF4" w:rsidRDefault="007B6EF4" w:rsidP="007B6EF4">
      <w:pPr>
        <w:tabs>
          <w:tab w:val="center" w:pos="9072"/>
        </w:tabs>
        <w:rPr>
          <w:szCs w:val="28"/>
        </w:rPr>
      </w:pPr>
    </w:p>
    <w:p w14:paraId="37F39A5D" w14:textId="77777777" w:rsidR="007B6EF4" w:rsidRPr="007B6EF4" w:rsidRDefault="007B6EF4" w:rsidP="007B6EF4">
      <w:pPr>
        <w:tabs>
          <w:tab w:val="center" w:pos="9072"/>
        </w:tabs>
        <w:rPr>
          <w:szCs w:val="28"/>
        </w:rPr>
      </w:pPr>
    </w:p>
    <w:p w14:paraId="37F39A5E" w14:textId="77777777" w:rsidR="007B6EF4" w:rsidRPr="007B6EF4" w:rsidRDefault="007B6EF4" w:rsidP="007B6EF4">
      <w:pPr>
        <w:tabs>
          <w:tab w:val="center" w:pos="9072"/>
        </w:tabs>
        <w:rPr>
          <w:szCs w:val="28"/>
        </w:rPr>
      </w:pPr>
    </w:p>
    <w:p w14:paraId="37F39A5F" w14:textId="77777777" w:rsidR="007B6EF4" w:rsidRDefault="007B6EF4" w:rsidP="007B6EF4">
      <w:pPr>
        <w:tabs>
          <w:tab w:val="center" w:pos="9072"/>
        </w:tabs>
        <w:rPr>
          <w:szCs w:val="28"/>
        </w:rPr>
      </w:pPr>
    </w:p>
    <w:p w14:paraId="37F39A60" w14:textId="77777777" w:rsidR="007B6EF4" w:rsidRPr="007B6EF4" w:rsidRDefault="007B6EF4" w:rsidP="007B6EF4">
      <w:pPr>
        <w:tabs>
          <w:tab w:val="center" w:pos="9072"/>
        </w:tabs>
        <w:rPr>
          <w:szCs w:val="28"/>
        </w:rPr>
      </w:pPr>
    </w:p>
    <w:p w14:paraId="37F39A61" w14:textId="77777777" w:rsidR="007B6EF4" w:rsidRPr="007B6EF4" w:rsidRDefault="007B6EF4" w:rsidP="007B6EF4">
      <w:pPr>
        <w:tabs>
          <w:tab w:val="center" w:pos="9072"/>
        </w:tabs>
        <w:rPr>
          <w:szCs w:val="28"/>
        </w:rPr>
      </w:pPr>
    </w:p>
    <w:p w14:paraId="37F39A62" w14:textId="77777777" w:rsidR="007B6EF4" w:rsidRPr="007B6EF4" w:rsidRDefault="007B6EF4" w:rsidP="004E5299">
      <w:pPr>
        <w:tabs>
          <w:tab w:val="center" w:pos="9072"/>
        </w:tabs>
        <w:ind w:firstLine="0"/>
        <w:rPr>
          <w:szCs w:val="28"/>
        </w:rPr>
      </w:pPr>
      <w:r w:rsidRPr="007B6EF4">
        <w:rPr>
          <w:szCs w:val="28"/>
        </w:rPr>
        <w:t>Vīza: valsts sekretārs</w:t>
      </w:r>
      <w:r w:rsidRPr="007B6EF4">
        <w:rPr>
          <w:szCs w:val="28"/>
        </w:rPr>
        <w:tab/>
        <w:t xml:space="preserve">   </w:t>
      </w:r>
      <w:proofErr w:type="spellStart"/>
      <w:r w:rsidRPr="007B6EF4">
        <w:rPr>
          <w:szCs w:val="28"/>
        </w:rPr>
        <w:t>R.Muciņš</w:t>
      </w:r>
      <w:proofErr w:type="spellEnd"/>
    </w:p>
    <w:p w14:paraId="37F39A63" w14:textId="77777777" w:rsidR="007B6EF4" w:rsidRPr="007B6EF4" w:rsidRDefault="007B6EF4" w:rsidP="007B6EF4">
      <w:pPr>
        <w:rPr>
          <w:sz w:val="22"/>
        </w:rPr>
      </w:pPr>
    </w:p>
    <w:sectPr w:rsidR="007B6EF4" w:rsidRPr="007B6EF4" w:rsidSect="00625686">
      <w:headerReference w:type="default" r:id="rId8"/>
      <w:footerReference w:type="default" r:id="rId9"/>
      <w:headerReference w:type="first" r:id="rId10"/>
      <w:footerReference w:type="first" r:id="rId11"/>
      <w:pgSz w:w="11906" w:h="16838"/>
      <w:pgMar w:top="1134" w:right="1134"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91A8D" w14:textId="77777777" w:rsidR="00AC627A" w:rsidRDefault="00AC627A" w:rsidP="000F12E9">
      <w:r>
        <w:separator/>
      </w:r>
    </w:p>
  </w:endnote>
  <w:endnote w:type="continuationSeparator" w:id="0">
    <w:p w14:paraId="0F21997C" w14:textId="77777777" w:rsidR="00AC627A" w:rsidRDefault="00AC627A" w:rsidP="000F12E9">
      <w:r>
        <w:continuationSeparator/>
      </w:r>
    </w:p>
  </w:endnote>
  <w:endnote w:type="continuationNotice" w:id="1">
    <w:p w14:paraId="65795E01" w14:textId="77777777" w:rsidR="00ED36B3" w:rsidRDefault="00ED3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9A6A" w14:textId="77777777" w:rsidR="00AC627A" w:rsidRPr="00B53D97" w:rsidRDefault="00AC627A" w:rsidP="00887AFF">
    <w:pPr>
      <w:pStyle w:val="Footer"/>
      <w:ind w:firstLine="0"/>
      <w:rPr>
        <w:sz w:val="20"/>
      </w:rPr>
    </w:pPr>
    <w:r w:rsidRPr="00B53D97">
      <w:rPr>
        <w:sz w:val="20"/>
      </w:rPr>
      <w:t>VARAMzin_ATR_310119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9A6C" w14:textId="77777777" w:rsidR="00AC627A" w:rsidRPr="00B53D97" w:rsidRDefault="00AC627A" w:rsidP="00887AFF">
    <w:pPr>
      <w:pStyle w:val="Footer"/>
      <w:ind w:firstLine="0"/>
      <w:rPr>
        <w:sz w:val="20"/>
      </w:rPr>
    </w:pPr>
    <w:r w:rsidRPr="00B53D97">
      <w:rPr>
        <w:sz w:val="20"/>
      </w:rPr>
      <w:t>VARAMzin_ATR_310119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47573" w14:textId="77777777" w:rsidR="00AC627A" w:rsidRDefault="00AC627A" w:rsidP="000F12E9">
      <w:r>
        <w:separator/>
      </w:r>
    </w:p>
  </w:footnote>
  <w:footnote w:type="continuationSeparator" w:id="0">
    <w:p w14:paraId="7E8AFD03" w14:textId="77777777" w:rsidR="00AC627A" w:rsidRDefault="00AC627A" w:rsidP="000F12E9">
      <w:r>
        <w:continuationSeparator/>
      </w:r>
    </w:p>
  </w:footnote>
  <w:footnote w:type="continuationNotice" w:id="1">
    <w:p w14:paraId="142682AF" w14:textId="77777777" w:rsidR="00ED36B3" w:rsidRDefault="00ED36B3"/>
  </w:footnote>
  <w:footnote w:id="2">
    <w:p w14:paraId="37F39A6D" w14:textId="77777777" w:rsidR="00AC627A" w:rsidRPr="001937DA" w:rsidRDefault="00AC627A" w:rsidP="001937DA">
      <w:pPr>
        <w:pStyle w:val="FootnoteText"/>
        <w:tabs>
          <w:tab w:val="left" w:pos="284"/>
        </w:tabs>
        <w:rPr>
          <w:sz w:val="16"/>
          <w:szCs w:val="16"/>
        </w:rPr>
      </w:pPr>
      <w:r w:rsidRPr="001937DA">
        <w:rPr>
          <w:rStyle w:val="FootnoteReference"/>
          <w:sz w:val="16"/>
          <w:szCs w:val="16"/>
        </w:rPr>
        <w:footnoteRef/>
      </w:r>
      <w:r w:rsidRPr="001937DA">
        <w:rPr>
          <w:sz w:val="16"/>
          <w:szCs w:val="16"/>
        </w:rPr>
        <w:t xml:space="preserve">Administratīvi teritoriālās reformas likums. Zaudējis spēku 31.12.2008. Pieejams: </w:t>
      </w:r>
      <w:hyperlink r:id="rId1" w:history="1">
        <w:r w:rsidRPr="001937DA">
          <w:rPr>
            <w:rStyle w:val="Hyperlink"/>
            <w:sz w:val="16"/>
            <w:szCs w:val="16"/>
          </w:rPr>
          <w:t>https://likumi.lv/doc.php?id=51528</w:t>
        </w:r>
      </w:hyperlink>
      <w:r w:rsidRPr="001937DA">
        <w:rPr>
          <w:sz w:val="16"/>
          <w:szCs w:val="16"/>
        </w:rPr>
        <w:t xml:space="preserve"> </w:t>
      </w:r>
    </w:p>
  </w:footnote>
  <w:footnote w:id="3">
    <w:p w14:paraId="37F39A6E" w14:textId="77777777" w:rsidR="00AC627A" w:rsidRPr="001937DA" w:rsidRDefault="00AC627A">
      <w:pPr>
        <w:pStyle w:val="FootnoteText"/>
        <w:rPr>
          <w:sz w:val="16"/>
          <w:szCs w:val="16"/>
        </w:rPr>
      </w:pPr>
      <w:r w:rsidRPr="001937DA">
        <w:rPr>
          <w:rStyle w:val="FootnoteReference"/>
          <w:sz w:val="16"/>
          <w:szCs w:val="16"/>
        </w:rPr>
        <w:footnoteRef/>
      </w:r>
      <w:r w:rsidRPr="001937DA">
        <w:rPr>
          <w:sz w:val="16"/>
          <w:szCs w:val="16"/>
        </w:rPr>
        <w:t xml:space="preserve">Administratīvo teritoriju un apdzīvoto vietu likums. Pieejams: </w:t>
      </w:r>
      <w:hyperlink r:id="rId2" w:history="1">
        <w:r w:rsidRPr="001937DA">
          <w:rPr>
            <w:rStyle w:val="Hyperlink"/>
            <w:sz w:val="16"/>
            <w:szCs w:val="16"/>
          </w:rPr>
          <w:t>https://likumi.lv/ta/id/185993-administrativo-teritoriju-un-apdzivoto-vietu-likums</w:t>
        </w:r>
      </w:hyperlink>
      <w:r w:rsidRPr="001937DA">
        <w:rPr>
          <w:sz w:val="16"/>
          <w:szCs w:val="16"/>
        </w:rPr>
        <w:t xml:space="preserve"> </w:t>
      </w:r>
    </w:p>
  </w:footnote>
  <w:footnote w:id="4">
    <w:p w14:paraId="37F39A6F" w14:textId="77777777" w:rsidR="00AC627A" w:rsidRPr="001937DA" w:rsidRDefault="00AC627A">
      <w:pPr>
        <w:pStyle w:val="FootnoteText"/>
        <w:rPr>
          <w:sz w:val="16"/>
          <w:szCs w:val="16"/>
        </w:rPr>
      </w:pPr>
      <w:r w:rsidRPr="001937DA">
        <w:rPr>
          <w:rStyle w:val="FootnoteReference"/>
          <w:sz w:val="16"/>
          <w:szCs w:val="16"/>
        </w:rPr>
        <w:footnoteRef/>
      </w:r>
      <w:r w:rsidRPr="001937DA">
        <w:rPr>
          <w:sz w:val="16"/>
          <w:szCs w:val="16"/>
        </w:rPr>
        <w:t xml:space="preserve"> Administratīvi teritoriālās reformas likums, 2. pants.</w:t>
      </w:r>
    </w:p>
  </w:footnote>
  <w:footnote w:id="5">
    <w:p w14:paraId="37F39A70" w14:textId="77777777" w:rsidR="00AC627A" w:rsidRPr="001937DA" w:rsidRDefault="00AC627A">
      <w:pPr>
        <w:pStyle w:val="FootnoteText"/>
        <w:rPr>
          <w:sz w:val="16"/>
          <w:szCs w:val="16"/>
        </w:rPr>
      </w:pPr>
      <w:r w:rsidRPr="001937DA">
        <w:rPr>
          <w:rStyle w:val="FootnoteReference"/>
          <w:sz w:val="16"/>
          <w:szCs w:val="16"/>
        </w:rPr>
        <w:footnoteRef/>
      </w:r>
      <w:r w:rsidRPr="001937DA">
        <w:rPr>
          <w:sz w:val="16"/>
          <w:szCs w:val="16"/>
        </w:rPr>
        <w:t xml:space="preserve"> Administratīvo teritoriju un apdzīvoto vietu likums, 6. un 7. pants.</w:t>
      </w:r>
    </w:p>
  </w:footnote>
  <w:footnote w:id="6">
    <w:p w14:paraId="37F39A71" w14:textId="77777777" w:rsidR="00AC627A" w:rsidRPr="001937DA" w:rsidRDefault="00AC627A" w:rsidP="001937DA">
      <w:pPr>
        <w:pStyle w:val="FootnoteText"/>
        <w:jc w:val="left"/>
        <w:rPr>
          <w:sz w:val="16"/>
          <w:szCs w:val="16"/>
        </w:rPr>
      </w:pPr>
      <w:r w:rsidRPr="001937DA">
        <w:rPr>
          <w:rStyle w:val="FootnoteReference"/>
          <w:sz w:val="16"/>
          <w:szCs w:val="16"/>
        </w:rPr>
        <w:footnoteRef/>
      </w:r>
      <w:r w:rsidRPr="001937DA">
        <w:rPr>
          <w:sz w:val="16"/>
          <w:szCs w:val="16"/>
        </w:rPr>
        <w:t xml:space="preserve"> </w:t>
      </w:r>
      <w:r>
        <w:rPr>
          <w:sz w:val="16"/>
          <w:szCs w:val="16"/>
        </w:rPr>
        <w:t>Informatīvais</w:t>
      </w:r>
      <w:r w:rsidRPr="001937DA">
        <w:rPr>
          <w:sz w:val="16"/>
          <w:szCs w:val="16"/>
        </w:rPr>
        <w:t xml:space="preserve"> ziņojums </w:t>
      </w:r>
      <w:r w:rsidRPr="001937DA">
        <w:rPr>
          <w:i/>
          <w:sz w:val="16"/>
          <w:szCs w:val="16"/>
        </w:rPr>
        <w:t xml:space="preserve">Administratīvi teritoriālās reformas </w:t>
      </w:r>
      <w:proofErr w:type="spellStart"/>
      <w:r w:rsidRPr="001937DA">
        <w:rPr>
          <w:i/>
          <w:sz w:val="16"/>
          <w:szCs w:val="16"/>
        </w:rPr>
        <w:t>izvērtējums</w:t>
      </w:r>
      <w:proofErr w:type="spellEnd"/>
      <w:r w:rsidRPr="001937DA">
        <w:rPr>
          <w:sz w:val="16"/>
          <w:szCs w:val="16"/>
        </w:rPr>
        <w:t xml:space="preserve">. Pieejams: </w:t>
      </w:r>
      <w:hyperlink r:id="rId3" w:history="1">
        <w:r w:rsidRPr="001937DA">
          <w:rPr>
            <w:rStyle w:val="Hyperlink"/>
            <w:sz w:val="16"/>
            <w:szCs w:val="16"/>
          </w:rPr>
          <w:t>http://tap.mk.gov.lv/doc/2005/VARAMINFO_250313_ATR.486.PDF</w:t>
        </w:r>
      </w:hyperlink>
      <w:r w:rsidRPr="001937DA">
        <w:rPr>
          <w:sz w:val="16"/>
          <w:szCs w:val="16"/>
        </w:rPr>
        <w:t xml:space="preserve"> </w:t>
      </w:r>
    </w:p>
  </w:footnote>
  <w:footnote w:id="7">
    <w:p w14:paraId="37F39A72" w14:textId="77777777" w:rsidR="00AC627A" w:rsidRPr="001937DA" w:rsidRDefault="00AC627A" w:rsidP="00856150">
      <w:pPr>
        <w:pStyle w:val="FootnoteText"/>
        <w:rPr>
          <w:sz w:val="16"/>
          <w:szCs w:val="16"/>
        </w:rPr>
      </w:pPr>
      <w:r w:rsidRPr="001937DA">
        <w:rPr>
          <w:rStyle w:val="FootnoteReference"/>
          <w:sz w:val="16"/>
          <w:szCs w:val="16"/>
        </w:rPr>
        <w:footnoteRef/>
      </w:r>
      <w:r w:rsidRPr="001937DA">
        <w:rPr>
          <w:sz w:val="16"/>
          <w:szCs w:val="16"/>
        </w:rPr>
        <w:t xml:space="preserve"> Dati – Centrālā statistikas pārvalde, 2018 (</w:t>
      </w:r>
      <w:r w:rsidRPr="001937DA">
        <w:rPr>
          <w:i/>
          <w:sz w:val="16"/>
          <w:szCs w:val="16"/>
        </w:rPr>
        <w:t>ISG040. Platība, iedzīvotāju blīvums un iedzīvotāju skaits (gada sākumā un gada vidējais) statistiskajos reģionos, republikas pilsētās un novados</w:t>
      </w:r>
      <w:r w:rsidRPr="001937DA">
        <w:rPr>
          <w:sz w:val="16"/>
          <w:szCs w:val="16"/>
        </w:rPr>
        <w:t xml:space="preserve">). </w:t>
      </w:r>
    </w:p>
  </w:footnote>
  <w:footnote w:id="8">
    <w:p w14:paraId="37F39A73" w14:textId="77777777" w:rsidR="00AC627A" w:rsidRPr="001937DA" w:rsidRDefault="00AC627A">
      <w:pPr>
        <w:pStyle w:val="FootnoteText"/>
        <w:rPr>
          <w:sz w:val="16"/>
          <w:szCs w:val="16"/>
        </w:rPr>
      </w:pPr>
      <w:r w:rsidRPr="001937DA">
        <w:rPr>
          <w:rStyle w:val="FootnoteReference"/>
          <w:sz w:val="16"/>
          <w:szCs w:val="16"/>
        </w:rPr>
        <w:footnoteRef/>
      </w:r>
      <w:r w:rsidRPr="001937DA">
        <w:rPr>
          <w:sz w:val="16"/>
          <w:szCs w:val="16"/>
        </w:rPr>
        <w:t xml:space="preserve"> </w:t>
      </w:r>
      <w:r>
        <w:rPr>
          <w:sz w:val="16"/>
          <w:szCs w:val="16"/>
        </w:rPr>
        <w:t xml:space="preserve">Rajonu pašvaldību reorganizācijas likums. Pieejams: </w:t>
      </w:r>
      <w:hyperlink r:id="rId4" w:history="1">
        <w:r w:rsidRPr="0062692F">
          <w:rPr>
            <w:rStyle w:val="Hyperlink"/>
            <w:sz w:val="16"/>
            <w:szCs w:val="16"/>
          </w:rPr>
          <w:t>https://likumi.lv/doc.php?id=177909</w:t>
        </w:r>
      </w:hyperlink>
      <w:r>
        <w:rPr>
          <w:sz w:val="16"/>
          <w:szCs w:val="16"/>
        </w:rPr>
        <w:t xml:space="preserve"> </w:t>
      </w:r>
    </w:p>
  </w:footnote>
  <w:footnote w:id="9">
    <w:p w14:paraId="37F39A74" w14:textId="77777777" w:rsidR="00AC627A" w:rsidRPr="001937DA" w:rsidRDefault="00AC627A">
      <w:pPr>
        <w:pStyle w:val="FootnoteText"/>
        <w:rPr>
          <w:sz w:val="16"/>
          <w:szCs w:val="16"/>
        </w:rPr>
      </w:pPr>
      <w:r w:rsidRPr="001937DA">
        <w:rPr>
          <w:rStyle w:val="FootnoteReference"/>
          <w:sz w:val="16"/>
          <w:szCs w:val="16"/>
        </w:rPr>
        <w:footnoteRef/>
      </w:r>
      <w:r w:rsidRPr="001937DA">
        <w:rPr>
          <w:sz w:val="16"/>
          <w:szCs w:val="16"/>
        </w:rPr>
        <w:t xml:space="preserve"> 2013. g. informatīvais ziņojums </w:t>
      </w:r>
      <w:r w:rsidRPr="001937DA">
        <w:rPr>
          <w:i/>
          <w:sz w:val="16"/>
          <w:szCs w:val="16"/>
        </w:rPr>
        <w:t xml:space="preserve">Administratīvi teritoriālās reformas </w:t>
      </w:r>
      <w:proofErr w:type="spellStart"/>
      <w:r w:rsidRPr="001937DA">
        <w:rPr>
          <w:i/>
          <w:sz w:val="16"/>
          <w:szCs w:val="16"/>
        </w:rPr>
        <w:t>izvērtējums</w:t>
      </w:r>
      <w:proofErr w:type="spellEnd"/>
      <w:r w:rsidRPr="001937DA">
        <w:rPr>
          <w:sz w:val="16"/>
          <w:szCs w:val="16"/>
        </w:rPr>
        <w:t>.</w:t>
      </w:r>
    </w:p>
  </w:footnote>
  <w:footnote w:id="10">
    <w:p w14:paraId="37F39A75" w14:textId="77777777" w:rsidR="00AC627A" w:rsidRPr="001937DA" w:rsidRDefault="00AC627A" w:rsidP="002253CE">
      <w:pPr>
        <w:pStyle w:val="FootnoteText"/>
        <w:rPr>
          <w:sz w:val="16"/>
          <w:szCs w:val="16"/>
        </w:rPr>
      </w:pPr>
      <w:r w:rsidRPr="001937DA">
        <w:rPr>
          <w:rStyle w:val="FootnoteReference"/>
          <w:sz w:val="16"/>
          <w:szCs w:val="16"/>
        </w:rPr>
        <w:footnoteRef/>
      </w:r>
      <w:r w:rsidRPr="001937DA">
        <w:rPr>
          <w:sz w:val="16"/>
          <w:szCs w:val="16"/>
        </w:rPr>
        <w:t xml:space="preserve"> SIA „Grupa93” un SIA „Karšu izdevniecība Jāņa sēta”. </w:t>
      </w:r>
      <w:r>
        <w:rPr>
          <w:sz w:val="16"/>
          <w:szCs w:val="16"/>
        </w:rPr>
        <w:t xml:space="preserve">2015. </w:t>
      </w:r>
      <w:r w:rsidRPr="001937DA">
        <w:rPr>
          <w:i/>
          <w:sz w:val="16"/>
          <w:szCs w:val="16"/>
        </w:rPr>
        <w:t xml:space="preserve">Publisko individuālo pakalpojumu teritoriālā izvietojuma analīze atbilstoši </w:t>
      </w:r>
      <w:proofErr w:type="spellStart"/>
      <w:r w:rsidRPr="001937DA">
        <w:rPr>
          <w:i/>
          <w:sz w:val="16"/>
          <w:szCs w:val="16"/>
        </w:rPr>
        <w:t>apdzīvojumam</w:t>
      </w:r>
      <w:proofErr w:type="spellEnd"/>
      <w:r>
        <w:rPr>
          <w:i/>
          <w:sz w:val="16"/>
          <w:szCs w:val="16"/>
        </w:rPr>
        <w:t>.</w:t>
      </w:r>
      <w:r>
        <w:rPr>
          <w:sz w:val="16"/>
          <w:szCs w:val="16"/>
        </w:rPr>
        <w:t xml:space="preserve"> Pieejams: </w:t>
      </w:r>
      <w:hyperlink r:id="rId5" w:history="1">
        <w:r w:rsidRPr="0062692F">
          <w:rPr>
            <w:rStyle w:val="Hyperlink"/>
            <w:sz w:val="16"/>
            <w:szCs w:val="16"/>
          </w:rPr>
          <w:t>http://www.varam.gov.lv/lat/aktual/preses_relizes/?doc=19982</w:t>
        </w:r>
      </w:hyperlink>
      <w:r>
        <w:rPr>
          <w:sz w:val="16"/>
          <w:szCs w:val="16"/>
        </w:rPr>
        <w:t xml:space="preserve"> </w:t>
      </w:r>
    </w:p>
  </w:footnote>
  <w:footnote w:id="11">
    <w:p w14:paraId="37F39A76" w14:textId="77777777" w:rsidR="00AC627A" w:rsidRPr="001937DA" w:rsidRDefault="00AC627A" w:rsidP="00303374">
      <w:pPr>
        <w:pStyle w:val="FootnoteText"/>
        <w:rPr>
          <w:sz w:val="16"/>
          <w:szCs w:val="16"/>
        </w:rPr>
      </w:pPr>
      <w:r w:rsidRPr="001937DA">
        <w:rPr>
          <w:rStyle w:val="FootnoteReference"/>
          <w:sz w:val="16"/>
          <w:szCs w:val="16"/>
        </w:rPr>
        <w:footnoteRef/>
      </w:r>
      <w:r w:rsidRPr="001937DA">
        <w:rPr>
          <w:sz w:val="16"/>
          <w:szCs w:val="16"/>
        </w:rPr>
        <w:t xml:space="preserve"> Valsts kontrole</w:t>
      </w:r>
      <w:r>
        <w:rPr>
          <w:sz w:val="16"/>
          <w:szCs w:val="16"/>
        </w:rPr>
        <w:t xml:space="preserve">. 2017. </w:t>
      </w:r>
      <w:r w:rsidRPr="001937DA">
        <w:rPr>
          <w:i/>
          <w:sz w:val="16"/>
          <w:szCs w:val="16"/>
        </w:rPr>
        <w:t>Vai novadu pašvaldības nodrošina pakalpojumus iedzīvotājiem par samērīgām izmaksām?</w:t>
      </w:r>
      <w:r>
        <w:rPr>
          <w:sz w:val="16"/>
          <w:szCs w:val="16"/>
        </w:rPr>
        <w:t xml:space="preserve"> Pieejams: </w:t>
      </w:r>
      <w:hyperlink r:id="rId6" w:history="1">
        <w:r w:rsidRPr="0062692F">
          <w:rPr>
            <w:rStyle w:val="Hyperlink"/>
            <w:sz w:val="16"/>
            <w:szCs w:val="16"/>
          </w:rPr>
          <w:t>http://www.lrvk.gov.lv/uploads//reviziju-zinojumi/2015/2.4.1.48_2015/Zinojums_VARAM_14_03.pdf</w:t>
        </w:r>
      </w:hyperlink>
      <w:r>
        <w:rPr>
          <w:sz w:val="16"/>
          <w:szCs w:val="16"/>
        </w:rPr>
        <w:t xml:space="preserve"> </w:t>
      </w:r>
    </w:p>
  </w:footnote>
  <w:footnote w:id="12">
    <w:p w14:paraId="37F39A77" w14:textId="77777777" w:rsidR="00AC627A" w:rsidRPr="009222DB" w:rsidRDefault="00AC627A">
      <w:pPr>
        <w:pStyle w:val="FootnoteText"/>
        <w:rPr>
          <w:sz w:val="16"/>
        </w:rPr>
      </w:pPr>
      <w:r w:rsidRPr="009222DB">
        <w:rPr>
          <w:rStyle w:val="FootnoteReference"/>
          <w:sz w:val="16"/>
        </w:rPr>
        <w:footnoteRef/>
      </w:r>
      <w:r w:rsidRPr="009222DB">
        <w:rPr>
          <w:sz w:val="16"/>
        </w:rPr>
        <w:t xml:space="preserve"> </w:t>
      </w:r>
      <w:r>
        <w:rPr>
          <w:sz w:val="16"/>
        </w:rPr>
        <w:t>Informatīvais</w:t>
      </w:r>
      <w:r w:rsidRPr="009222DB">
        <w:rPr>
          <w:sz w:val="16"/>
        </w:rPr>
        <w:t xml:space="preserve"> ziņojums </w:t>
      </w:r>
      <w:r w:rsidRPr="009222DB">
        <w:rPr>
          <w:i/>
          <w:sz w:val="16"/>
        </w:rPr>
        <w:t>Par valsts administratīvi teritoriālo iedalījumu un valsts pārvaldes institūciju sadarbības teritoriju izveidi</w:t>
      </w:r>
      <w:r w:rsidRPr="009222DB">
        <w:rPr>
          <w:sz w:val="16"/>
        </w:rPr>
        <w:t xml:space="preserve">. Pieejams: </w:t>
      </w:r>
      <w:hyperlink r:id="rId7" w:history="1">
        <w:r w:rsidRPr="009222DB">
          <w:rPr>
            <w:rStyle w:val="Hyperlink"/>
            <w:sz w:val="16"/>
          </w:rPr>
          <w:t>http://tap.mk.gov.lv/mk/tap/?pid=40421841</w:t>
        </w:r>
      </w:hyperlink>
      <w:r w:rsidRPr="009222DB">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2491"/>
      <w:docPartObj>
        <w:docPartGallery w:val="Page Numbers (Top of Page)"/>
        <w:docPartUnique/>
      </w:docPartObj>
    </w:sdtPr>
    <w:sdtEndPr>
      <w:rPr>
        <w:noProof/>
      </w:rPr>
    </w:sdtEndPr>
    <w:sdtContent>
      <w:p w14:paraId="37F39A68" w14:textId="77777777" w:rsidR="00AC627A" w:rsidRDefault="00AC627A">
        <w:pPr>
          <w:pStyle w:val="Header"/>
          <w:jc w:val="center"/>
        </w:pPr>
        <w:r>
          <w:fldChar w:fldCharType="begin"/>
        </w:r>
        <w:r>
          <w:instrText xml:space="preserve"> PAGE   \* MERGEFORMAT </w:instrText>
        </w:r>
        <w:r>
          <w:fldChar w:fldCharType="separate"/>
        </w:r>
        <w:r w:rsidR="005F64F9">
          <w:rPr>
            <w:noProof/>
          </w:rPr>
          <w:t>4</w:t>
        </w:r>
        <w:r>
          <w:rPr>
            <w:noProof/>
          </w:rPr>
          <w:fldChar w:fldCharType="end"/>
        </w:r>
      </w:p>
    </w:sdtContent>
  </w:sdt>
  <w:p w14:paraId="37F39A69" w14:textId="77777777" w:rsidR="00AC627A" w:rsidRDefault="00AC6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9A6B" w14:textId="77777777" w:rsidR="00AC627A" w:rsidRPr="00625686" w:rsidRDefault="00AC627A" w:rsidP="00625686">
    <w:pPr>
      <w:pStyle w:val="Header"/>
      <w:jc w:val="right"/>
      <w:rPr>
        <w:b/>
      </w:rPr>
    </w:pPr>
    <w:r w:rsidRPr="00625686">
      <w:rPr>
        <w:b/>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831"/>
    <w:multiLevelType w:val="hybridMultilevel"/>
    <w:tmpl w:val="0E0AD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754CDA"/>
    <w:multiLevelType w:val="hybridMultilevel"/>
    <w:tmpl w:val="DECCDE34"/>
    <w:lvl w:ilvl="0" w:tplc="A2E0F15C">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0EE16D3F"/>
    <w:multiLevelType w:val="hybridMultilevel"/>
    <w:tmpl w:val="CB24CAE4"/>
    <w:lvl w:ilvl="0" w:tplc="10586AC4">
      <w:start w:val="1"/>
      <w:numFmt w:val="bullet"/>
      <w:lvlText w:val="•"/>
      <w:lvlJc w:val="left"/>
      <w:pPr>
        <w:tabs>
          <w:tab w:val="num" w:pos="720"/>
        </w:tabs>
        <w:ind w:left="720" w:hanging="360"/>
      </w:pPr>
      <w:rPr>
        <w:rFonts w:ascii="Arial" w:hAnsi="Arial" w:hint="default"/>
      </w:rPr>
    </w:lvl>
    <w:lvl w:ilvl="1" w:tplc="5D7CC984" w:tentative="1">
      <w:start w:val="1"/>
      <w:numFmt w:val="bullet"/>
      <w:lvlText w:val="•"/>
      <w:lvlJc w:val="left"/>
      <w:pPr>
        <w:tabs>
          <w:tab w:val="num" w:pos="1440"/>
        </w:tabs>
        <w:ind w:left="1440" w:hanging="360"/>
      </w:pPr>
      <w:rPr>
        <w:rFonts w:ascii="Arial" w:hAnsi="Arial" w:hint="default"/>
      </w:rPr>
    </w:lvl>
    <w:lvl w:ilvl="2" w:tplc="49BC3406" w:tentative="1">
      <w:start w:val="1"/>
      <w:numFmt w:val="bullet"/>
      <w:lvlText w:val="•"/>
      <w:lvlJc w:val="left"/>
      <w:pPr>
        <w:tabs>
          <w:tab w:val="num" w:pos="2160"/>
        </w:tabs>
        <w:ind w:left="2160" w:hanging="360"/>
      </w:pPr>
      <w:rPr>
        <w:rFonts w:ascii="Arial" w:hAnsi="Arial" w:hint="default"/>
      </w:rPr>
    </w:lvl>
    <w:lvl w:ilvl="3" w:tplc="34CAA230" w:tentative="1">
      <w:start w:val="1"/>
      <w:numFmt w:val="bullet"/>
      <w:lvlText w:val="•"/>
      <w:lvlJc w:val="left"/>
      <w:pPr>
        <w:tabs>
          <w:tab w:val="num" w:pos="2880"/>
        </w:tabs>
        <w:ind w:left="2880" w:hanging="360"/>
      </w:pPr>
      <w:rPr>
        <w:rFonts w:ascii="Arial" w:hAnsi="Arial" w:hint="default"/>
      </w:rPr>
    </w:lvl>
    <w:lvl w:ilvl="4" w:tplc="A702A35E" w:tentative="1">
      <w:start w:val="1"/>
      <w:numFmt w:val="bullet"/>
      <w:lvlText w:val="•"/>
      <w:lvlJc w:val="left"/>
      <w:pPr>
        <w:tabs>
          <w:tab w:val="num" w:pos="3600"/>
        </w:tabs>
        <w:ind w:left="3600" w:hanging="360"/>
      </w:pPr>
      <w:rPr>
        <w:rFonts w:ascii="Arial" w:hAnsi="Arial" w:hint="default"/>
      </w:rPr>
    </w:lvl>
    <w:lvl w:ilvl="5" w:tplc="D8E69F5E" w:tentative="1">
      <w:start w:val="1"/>
      <w:numFmt w:val="bullet"/>
      <w:lvlText w:val="•"/>
      <w:lvlJc w:val="left"/>
      <w:pPr>
        <w:tabs>
          <w:tab w:val="num" w:pos="4320"/>
        </w:tabs>
        <w:ind w:left="4320" w:hanging="360"/>
      </w:pPr>
      <w:rPr>
        <w:rFonts w:ascii="Arial" w:hAnsi="Arial" w:hint="default"/>
      </w:rPr>
    </w:lvl>
    <w:lvl w:ilvl="6" w:tplc="554E14A0" w:tentative="1">
      <w:start w:val="1"/>
      <w:numFmt w:val="bullet"/>
      <w:lvlText w:val="•"/>
      <w:lvlJc w:val="left"/>
      <w:pPr>
        <w:tabs>
          <w:tab w:val="num" w:pos="5040"/>
        </w:tabs>
        <w:ind w:left="5040" w:hanging="360"/>
      </w:pPr>
      <w:rPr>
        <w:rFonts w:ascii="Arial" w:hAnsi="Arial" w:hint="default"/>
      </w:rPr>
    </w:lvl>
    <w:lvl w:ilvl="7" w:tplc="A448E692" w:tentative="1">
      <w:start w:val="1"/>
      <w:numFmt w:val="bullet"/>
      <w:lvlText w:val="•"/>
      <w:lvlJc w:val="left"/>
      <w:pPr>
        <w:tabs>
          <w:tab w:val="num" w:pos="5760"/>
        </w:tabs>
        <w:ind w:left="5760" w:hanging="360"/>
      </w:pPr>
      <w:rPr>
        <w:rFonts w:ascii="Arial" w:hAnsi="Arial" w:hint="default"/>
      </w:rPr>
    </w:lvl>
    <w:lvl w:ilvl="8" w:tplc="24CACB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01483"/>
    <w:multiLevelType w:val="hybridMultilevel"/>
    <w:tmpl w:val="DECCDE34"/>
    <w:lvl w:ilvl="0" w:tplc="A2E0F15C">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15:restartNumberingAfterBreak="0">
    <w:nsid w:val="107B7D02"/>
    <w:multiLevelType w:val="hybridMultilevel"/>
    <w:tmpl w:val="1EACFA68"/>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5" w15:restartNumberingAfterBreak="0">
    <w:nsid w:val="14F94F24"/>
    <w:multiLevelType w:val="hybridMultilevel"/>
    <w:tmpl w:val="CBC624EA"/>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6" w15:restartNumberingAfterBreak="0">
    <w:nsid w:val="2E69305D"/>
    <w:multiLevelType w:val="hybridMultilevel"/>
    <w:tmpl w:val="9F54F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9D79F8"/>
    <w:multiLevelType w:val="hybridMultilevel"/>
    <w:tmpl w:val="158CF588"/>
    <w:lvl w:ilvl="0" w:tplc="1D7EB5AE">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402785A"/>
    <w:multiLevelType w:val="hybridMultilevel"/>
    <w:tmpl w:val="DD6640D2"/>
    <w:lvl w:ilvl="0" w:tplc="A2E0F15C">
      <w:start w:val="1"/>
      <w:numFmt w:val="decimal"/>
      <w:lvlText w:val="%1)"/>
      <w:lvlJc w:val="left"/>
      <w:pPr>
        <w:ind w:left="9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DE52ED"/>
    <w:multiLevelType w:val="hybridMultilevel"/>
    <w:tmpl w:val="24ECFECE"/>
    <w:lvl w:ilvl="0" w:tplc="E19EF14C">
      <w:start w:val="1"/>
      <w:numFmt w:val="upperRoman"/>
      <w:pStyle w:val="Heading2"/>
      <w:lvlText w:val="%1."/>
      <w:lvlJc w:val="righ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224929"/>
    <w:multiLevelType w:val="hybridMultilevel"/>
    <w:tmpl w:val="EFB44EFA"/>
    <w:lvl w:ilvl="0" w:tplc="1D7EB5AE">
      <w:start w:val="1"/>
      <w:numFmt w:val="decimal"/>
      <w:lvlText w:val="%1."/>
      <w:lvlJc w:val="left"/>
      <w:pPr>
        <w:tabs>
          <w:tab w:val="num" w:pos="720"/>
        </w:tabs>
        <w:ind w:left="720" w:hanging="360"/>
      </w:pPr>
    </w:lvl>
    <w:lvl w:ilvl="1" w:tplc="6CDEFF42" w:tentative="1">
      <w:start w:val="1"/>
      <w:numFmt w:val="decimal"/>
      <w:lvlText w:val="%2."/>
      <w:lvlJc w:val="left"/>
      <w:pPr>
        <w:tabs>
          <w:tab w:val="num" w:pos="1440"/>
        </w:tabs>
        <w:ind w:left="1440" w:hanging="360"/>
      </w:pPr>
    </w:lvl>
    <w:lvl w:ilvl="2" w:tplc="340C146A" w:tentative="1">
      <w:start w:val="1"/>
      <w:numFmt w:val="decimal"/>
      <w:lvlText w:val="%3."/>
      <w:lvlJc w:val="left"/>
      <w:pPr>
        <w:tabs>
          <w:tab w:val="num" w:pos="2160"/>
        </w:tabs>
        <w:ind w:left="2160" w:hanging="360"/>
      </w:pPr>
    </w:lvl>
    <w:lvl w:ilvl="3" w:tplc="9F8E916C" w:tentative="1">
      <w:start w:val="1"/>
      <w:numFmt w:val="decimal"/>
      <w:lvlText w:val="%4."/>
      <w:lvlJc w:val="left"/>
      <w:pPr>
        <w:tabs>
          <w:tab w:val="num" w:pos="2880"/>
        </w:tabs>
        <w:ind w:left="2880" w:hanging="360"/>
      </w:pPr>
    </w:lvl>
    <w:lvl w:ilvl="4" w:tplc="41BA07EA" w:tentative="1">
      <w:start w:val="1"/>
      <w:numFmt w:val="decimal"/>
      <w:lvlText w:val="%5."/>
      <w:lvlJc w:val="left"/>
      <w:pPr>
        <w:tabs>
          <w:tab w:val="num" w:pos="3600"/>
        </w:tabs>
        <w:ind w:left="3600" w:hanging="360"/>
      </w:pPr>
    </w:lvl>
    <w:lvl w:ilvl="5" w:tplc="F34C4302" w:tentative="1">
      <w:start w:val="1"/>
      <w:numFmt w:val="decimal"/>
      <w:lvlText w:val="%6."/>
      <w:lvlJc w:val="left"/>
      <w:pPr>
        <w:tabs>
          <w:tab w:val="num" w:pos="4320"/>
        </w:tabs>
        <w:ind w:left="4320" w:hanging="360"/>
      </w:pPr>
    </w:lvl>
    <w:lvl w:ilvl="6" w:tplc="1340CF12" w:tentative="1">
      <w:start w:val="1"/>
      <w:numFmt w:val="decimal"/>
      <w:lvlText w:val="%7."/>
      <w:lvlJc w:val="left"/>
      <w:pPr>
        <w:tabs>
          <w:tab w:val="num" w:pos="5040"/>
        </w:tabs>
        <w:ind w:left="5040" w:hanging="360"/>
      </w:pPr>
    </w:lvl>
    <w:lvl w:ilvl="7" w:tplc="643A70F2" w:tentative="1">
      <w:start w:val="1"/>
      <w:numFmt w:val="decimal"/>
      <w:lvlText w:val="%8."/>
      <w:lvlJc w:val="left"/>
      <w:pPr>
        <w:tabs>
          <w:tab w:val="num" w:pos="5760"/>
        </w:tabs>
        <w:ind w:left="5760" w:hanging="360"/>
      </w:pPr>
    </w:lvl>
    <w:lvl w:ilvl="8" w:tplc="716840EA" w:tentative="1">
      <w:start w:val="1"/>
      <w:numFmt w:val="decimal"/>
      <w:lvlText w:val="%9."/>
      <w:lvlJc w:val="left"/>
      <w:pPr>
        <w:tabs>
          <w:tab w:val="num" w:pos="6480"/>
        </w:tabs>
        <w:ind w:left="6480" w:hanging="360"/>
      </w:pPr>
    </w:lvl>
  </w:abstractNum>
  <w:abstractNum w:abstractNumId="11" w15:restartNumberingAfterBreak="0">
    <w:nsid w:val="5C7B2060"/>
    <w:multiLevelType w:val="hybridMultilevel"/>
    <w:tmpl w:val="A6B85058"/>
    <w:lvl w:ilvl="0" w:tplc="A2E0F15C">
      <w:start w:val="1"/>
      <w:numFmt w:val="decimal"/>
      <w:lvlText w:val="%1)"/>
      <w:lvlJc w:val="left"/>
      <w:pPr>
        <w:ind w:left="144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2" w15:restartNumberingAfterBreak="0">
    <w:nsid w:val="6CC16DE2"/>
    <w:multiLevelType w:val="hybridMultilevel"/>
    <w:tmpl w:val="7E725C56"/>
    <w:lvl w:ilvl="0" w:tplc="A3B87890">
      <w:start w:val="1"/>
      <w:numFmt w:val="bullet"/>
      <w:lvlText w:val="•"/>
      <w:lvlJc w:val="left"/>
      <w:pPr>
        <w:tabs>
          <w:tab w:val="num" w:pos="720"/>
        </w:tabs>
        <w:ind w:left="720" w:hanging="360"/>
      </w:pPr>
      <w:rPr>
        <w:rFonts w:ascii="Arial" w:hAnsi="Arial" w:hint="default"/>
      </w:rPr>
    </w:lvl>
    <w:lvl w:ilvl="1" w:tplc="CA56BF1C" w:tentative="1">
      <w:start w:val="1"/>
      <w:numFmt w:val="bullet"/>
      <w:lvlText w:val="•"/>
      <w:lvlJc w:val="left"/>
      <w:pPr>
        <w:tabs>
          <w:tab w:val="num" w:pos="1440"/>
        </w:tabs>
        <w:ind w:left="1440" w:hanging="360"/>
      </w:pPr>
      <w:rPr>
        <w:rFonts w:ascii="Arial" w:hAnsi="Arial" w:hint="default"/>
      </w:rPr>
    </w:lvl>
    <w:lvl w:ilvl="2" w:tplc="06A0AA80" w:tentative="1">
      <w:start w:val="1"/>
      <w:numFmt w:val="bullet"/>
      <w:lvlText w:val="•"/>
      <w:lvlJc w:val="left"/>
      <w:pPr>
        <w:tabs>
          <w:tab w:val="num" w:pos="2160"/>
        </w:tabs>
        <w:ind w:left="2160" w:hanging="360"/>
      </w:pPr>
      <w:rPr>
        <w:rFonts w:ascii="Arial" w:hAnsi="Arial" w:hint="default"/>
      </w:rPr>
    </w:lvl>
    <w:lvl w:ilvl="3" w:tplc="7DB85922" w:tentative="1">
      <w:start w:val="1"/>
      <w:numFmt w:val="bullet"/>
      <w:lvlText w:val="•"/>
      <w:lvlJc w:val="left"/>
      <w:pPr>
        <w:tabs>
          <w:tab w:val="num" w:pos="2880"/>
        </w:tabs>
        <w:ind w:left="2880" w:hanging="360"/>
      </w:pPr>
      <w:rPr>
        <w:rFonts w:ascii="Arial" w:hAnsi="Arial" w:hint="default"/>
      </w:rPr>
    </w:lvl>
    <w:lvl w:ilvl="4" w:tplc="D332AD72" w:tentative="1">
      <w:start w:val="1"/>
      <w:numFmt w:val="bullet"/>
      <w:lvlText w:val="•"/>
      <w:lvlJc w:val="left"/>
      <w:pPr>
        <w:tabs>
          <w:tab w:val="num" w:pos="3600"/>
        </w:tabs>
        <w:ind w:left="3600" w:hanging="360"/>
      </w:pPr>
      <w:rPr>
        <w:rFonts w:ascii="Arial" w:hAnsi="Arial" w:hint="default"/>
      </w:rPr>
    </w:lvl>
    <w:lvl w:ilvl="5" w:tplc="9444891A" w:tentative="1">
      <w:start w:val="1"/>
      <w:numFmt w:val="bullet"/>
      <w:lvlText w:val="•"/>
      <w:lvlJc w:val="left"/>
      <w:pPr>
        <w:tabs>
          <w:tab w:val="num" w:pos="4320"/>
        </w:tabs>
        <w:ind w:left="4320" w:hanging="360"/>
      </w:pPr>
      <w:rPr>
        <w:rFonts w:ascii="Arial" w:hAnsi="Arial" w:hint="default"/>
      </w:rPr>
    </w:lvl>
    <w:lvl w:ilvl="6" w:tplc="221AC23C" w:tentative="1">
      <w:start w:val="1"/>
      <w:numFmt w:val="bullet"/>
      <w:lvlText w:val="•"/>
      <w:lvlJc w:val="left"/>
      <w:pPr>
        <w:tabs>
          <w:tab w:val="num" w:pos="5040"/>
        </w:tabs>
        <w:ind w:left="5040" w:hanging="360"/>
      </w:pPr>
      <w:rPr>
        <w:rFonts w:ascii="Arial" w:hAnsi="Arial" w:hint="default"/>
      </w:rPr>
    </w:lvl>
    <w:lvl w:ilvl="7" w:tplc="EC1C81BC" w:tentative="1">
      <w:start w:val="1"/>
      <w:numFmt w:val="bullet"/>
      <w:lvlText w:val="•"/>
      <w:lvlJc w:val="left"/>
      <w:pPr>
        <w:tabs>
          <w:tab w:val="num" w:pos="5760"/>
        </w:tabs>
        <w:ind w:left="5760" w:hanging="360"/>
      </w:pPr>
      <w:rPr>
        <w:rFonts w:ascii="Arial" w:hAnsi="Arial" w:hint="default"/>
      </w:rPr>
    </w:lvl>
    <w:lvl w:ilvl="8" w:tplc="852EBF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EC59A2"/>
    <w:multiLevelType w:val="hybridMultilevel"/>
    <w:tmpl w:val="28A80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E55A39"/>
    <w:multiLevelType w:val="hybridMultilevel"/>
    <w:tmpl w:val="249C023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BF12BF7"/>
    <w:multiLevelType w:val="hybridMultilevel"/>
    <w:tmpl w:val="A6B85058"/>
    <w:lvl w:ilvl="0" w:tplc="A2E0F15C">
      <w:start w:val="1"/>
      <w:numFmt w:val="decimal"/>
      <w:lvlText w:val="%1)"/>
      <w:lvlJc w:val="left"/>
      <w:pPr>
        <w:ind w:left="144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6" w15:restartNumberingAfterBreak="0">
    <w:nsid w:val="7D03261C"/>
    <w:multiLevelType w:val="hybridMultilevel"/>
    <w:tmpl w:val="988242AE"/>
    <w:lvl w:ilvl="0" w:tplc="04260003">
      <w:start w:val="1"/>
      <w:numFmt w:val="bullet"/>
      <w:lvlText w:val="o"/>
      <w:lvlJc w:val="left"/>
      <w:pPr>
        <w:ind w:left="1020" w:hanging="360"/>
      </w:pPr>
      <w:rPr>
        <w:rFonts w:ascii="Courier New" w:hAnsi="Courier New" w:cs="Courier New"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7" w15:restartNumberingAfterBreak="0">
    <w:nsid w:val="7DC011F1"/>
    <w:multiLevelType w:val="hybridMultilevel"/>
    <w:tmpl w:val="15A23B4E"/>
    <w:lvl w:ilvl="0" w:tplc="0426000F">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num w:numId="1">
    <w:abstractNumId w:val="10"/>
  </w:num>
  <w:num w:numId="2">
    <w:abstractNumId w:val="2"/>
  </w:num>
  <w:num w:numId="3">
    <w:abstractNumId w:val="6"/>
  </w:num>
  <w:num w:numId="4">
    <w:abstractNumId w:val="9"/>
  </w:num>
  <w:num w:numId="5">
    <w:abstractNumId w:val="5"/>
  </w:num>
  <w:num w:numId="6">
    <w:abstractNumId w:val="16"/>
  </w:num>
  <w:num w:numId="7">
    <w:abstractNumId w:val="17"/>
  </w:num>
  <w:num w:numId="8">
    <w:abstractNumId w:val="1"/>
  </w:num>
  <w:num w:numId="9">
    <w:abstractNumId w:val="4"/>
  </w:num>
  <w:num w:numId="10">
    <w:abstractNumId w:val="3"/>
  </w:num>
  <w:num w:numId="11">
    <w:abstractNumId w:val="13"/>
  </w:num>
  <w:num w:numId="12">
    <w:abstractNumId w:val="15"/>
  </w:num>
  <w:num w:numId="13">
    <w:abstractNumId w:val="11"/>
  </w:num>
  <w:num w:numId="14">
    <w:abstractNumId w:val="8"/>
  </w:num>
  <w:num w:numId="15">
    <w:abstractNumId w:val="0"/>
  </w:num>
  <w:num w:numId="16">
    <w:abstractNumId w:val="1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E"/>
    <w:rsid w:val="000158D2"/>
    <w:rsid w:val="00092C4B"/>
    <w:rsid w:val="000A15E3"/>
    <w:rsid w:val="000F12E9"/>
    <w:rsid w:val="00150B85"/>
    <w:rsid w:val="001759DF"/>
    <w:rsid w:val="001937DA"/>
    <w:rsid w:val="0019506C"/>
    <w:rsid w:val="001F25D1"/>
    <w:rsid w:val="002253CE"/>
    <w:rsid w:val="002F1E6A"/>
    <w:rsid w:val="00303374"/>
    <w:rsid w:val="00341A9C"/>
    <w:rsid w:val="003F7688"/>
    <w:rsid w:val="0044750F"/>
    <w:rsid w:val="00447935"/>
    <w:rsid w:val="004814F6"/>
    <w:rsid w:val="004A0369"/>
    <w:rsid w:val="004E3FD1"/>
    <w:rsid w:val="004E5299"/>
    <w:rsid w:val="00504844"/>
    <w:rsid w:val="00512C5E"/>
    <w:rsid w:val="00514702"/>
    <w:rsid w:val="00595B38"/>
    <w:rsid w:val="005F1F38"/>
    <w:rsid w:val="005F64F9"/>
    <w:rsid w:val="0062450D"/>
    <w:rsid w:val="00625686"/>
    <w:rsid w:val="00640EFC"/>
    <w:rsid w:val="0064608A"/>
    <w:rsid w:val="006F7FFD"/>
    <w:rsid w:val="007107B0"/>
    <w:rsid w:val="00715DE5"/>
    <w:rsid w:val="00777B97"/>
    <w:rsid w:val="00797D94"/>
    <w:rsid w:val="007B6EF4"/>
    <w:rsid w:val="007F682E"/>
    <w:rsid w:val="00833969"/>
    <w:rsid w:val="008359DC"/>
    <w:rsid w:val="00854467"/>
    <w:rsid w:val="00856150"/>
    <w:rsid w:val="00887AFF"/>
    <w:rsid w:val="00892F59"/>
    <w:rsid w:val="008D6C6E"/>
    <w:rsid w:val="008D717C"/>
    <w:rsid w:val="008E3B11"/>
    <w:rsid w:val="008F179C"/>
    <w:rsid w:val="00900EE6"/>
    <w:rsid w:val="009166B9"/>
    <w:rsid w:val="009222DB"/>
    <w:rsid w:val="00932932"/>
    <w:rsid w:val="0098514E"/>
    <w:rsid w:val="009C7499"/>
    <w:rsid w:val="009F762E"/>
    <w:rsid w:val="00A16190"/>
    <w:rsid w:val="00A54343"/>
    <w:rsid w:val="00A62E8B"/>
    <w:rsid w:val="00AB062B"/>
    <w:rsid w:val="00AC627A"/>
    <w:rsid w:val="00AF2ABD"/>
    <w:rsid w:val="00B33924"/>
    <w:rsid w:val="00B53D97"/>
    <w:rsid w:val="00B732AA"/>
    <w:rsid w:val="00BF47B3"/>
    <w:rsid w:val="00BF552A"/>
    <w:rsid w:val="00C00275"/>
    <w:rsid w:val="00C3760B"/>
    <w:rsid w:val="00C412BD"/>
    <w:rsid w:val="00C60225"/>
    <w:rsid w:val="00C90123"/>
    <w:rsid w:val="00CF6533"/>
    <w:rsid w:val="00D41309"/>
    <w:rsid w:val="00D611A0"/>
    <w:rsid w:val="00D90AAE"/>
    <w:rsid w:val="00DA7C2D"/>
    <w:rsid w:val="00DF752A"/>
    <w:rsid w:val="00E02A2A"/>
    <w:rsid w:val="00E250A3"/>
    <w:rsid w:val="00ED36B3"/>
    <w:rsid w:val="00F30004"/>
    <w:rsid w:val="00F31CE9"/>
    <w:rsid w:val="00FB0D88"/>
    <w:rsid w:val="00FE48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9A15"/>
  <w15:docId w15:val="{0A1E063D-55CE-4AD7-9CA2-B2109FB4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69"/>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3396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33969"/>
    <w:pPr>
      <w:keepNext/>
      <w:keepLines/>
      <w:numPr>
        <w:numId w:val="4"/>
      </w:numPr>
      <w:spacing w:before="240" w:after="240"/>
      <w:ind w:left="283" w:hanging="215"/>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B0D88"/>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0F12E9"/>
    <w:rPr>
      <w:sz w:val="16"/>
      <w:szCs w:val="16"/>
    </w:rPr>
  </w:style>
  <w:style w:type="paragraph" w:styleId="CommentText">
    <w:name w:val="annotation text"/>
    <w:basedOn w:val="Normal"/>
    <w:link w:val="CommentTextChar"/>
    <w:uiPriority w:val="99"/>
    <w:semiHidden/>
    <w:unhideWhenUsed/>
    <w:rsid w:val="000F12E9"/>
    <w:rPr>
      <w:sz w:val="20"/>
      <w:szCs w:val="20"/>
    </w:rPr>
  </w:style>
  <w:style w:type="character" w:customStyle="1" w:styleId="CommentTextChar">
    <w:name w:val="Comment Text Char"/>
    <w:basedOn w:val="DefaultParagraphFont"/>
    <w:link w:val="CommentText"/>
    <w:uiPriority w:val="99"/>
    <w:semiHidden/>
    <w:rsid w:val="000F12E9"/>
    <w:rPr>
      <w:sz w:val="20"/>
      <w:szCs w:val="20"/>
    </w:rPr>
  </w:style>
  <w:style w:type="paragraph" w:styleId="CommentSubject">
    <w:name w:val="annotation subject"/>
    <w:basedOn w:val="CommentText"/>
    <w:next w:val="CommentText"/>
    <w:link w:val="CommentSubjectChar"/>
    <w:uiPriority w:val="99"/>
    <w:semiHidden/>
    <w:unhideWhenUsed/>
    <w:rsid w:val="000F12E9"/>
    <w:rPr>
      <w:b/>
      <w:bCs/>
    </w:rPr>
  </w:style>
  <w:style w:type="character" w:customStyle="1" w:styleId="CommentSubjectChar">
    <w:name w:val="Comment Subject Char"/>
    <w:basedOn w:val="CommentTextChar"/>
    <w:link w:val="CommentSubject"/>
    <w:uiPriority w:val="99"/>
    <w:semiHidden/>
    <w:rsid w:val="000F12E9"/>
    <w:rPr>
      <w:b/>
      <w:bCs/>
      <w:sz w:val="20"/>
      <w:szCs w:val="20"/>
    </w:rPr>
  </w:style>
  <w:style w:type="paragraph" w:styleId="BalloonText">
    <w:name w:val="Balloon Text"/>
    <w:basedOn w:val="Normal"/>
    <w:link w:val="BalloonTextChar"/>
    <w:uiPriority w:val="99"/>
    <w:semiHidden/>
    <w:unhideWhenUsed/>
    <w:rsid w:val="000F12E9"/>
    <w:rPr>
      <w:rFonts w:ascii="Tahoma" w:hAnsi="Tahoma" w:cs="Tahoma"/>
      <w:sz w:val="16"/>
      <w:szCs w:val="16"/>
    </w:rPr>
  </w:style>
  <w:style w:type="character" w:customStyle="1" w:styleId="BalloonTextChar">
    <w:name w:val="Balloon Text Char"/>
    <w:basedOn w:val="DefaultParagraphFont"/>
    <w:link w:val="BalloonText"/>
    <w:uiPriority w:val="99"/>
    <w:semiHidden/>
    <w:rsid w:val="000F12E9"/>
    <w:rPr>
      <w:rFonts w:ascii="Tahoma" w:hAnsi="Tahoma" w:cs="Tahoma"/>
      <w:sz w:val="16"/>
      <w:szCs w:val="16"/>
    </w:rPr>
  </w:style>
  <w:style w:type="paragraph" w:styleId="FootnoteText">
    <w:name w:val="footnote text"/>
    <w:basedOn w:val="Normal"/>
    <w:link w:val="FootnoteTextChar"/>
    <w:uiPriority w:val="99"/>
    <w:semiHidden/>
    <w:unhideWhenUsed/>
    <w:rsid w:val="000F12E9"/>
    <w:rPr>
      <w:sz w:val="20"/>
      <w:szCs w:val="20"/>
    </w:rPr>
  </w:style>
  <w:style w:type="character" w:customStyle="1" w:styleId="FootnoteTextChar">
    <w:name w:val="Footnote Text Char"/>
    <w:basedOn w:val="DefaultParagraphFont"/>
    <w:link w:val="FootnoteText"/>
    <w:uiPriority w:val="99"/>
    <w:semiHidden/>
    <w:rsid w:val="000F12E9"/>
    <w:rPr>
      <w:sz w:val="20"/>
      <w:szCs w:val="20"/>
    </w:rPr>
  </w:style>
  <w:style w:type="character" w:styleId="FootnoteReference">
    <w:name w:val="footnote reference"/>
    <w:basedOn w:val="DefaultParagraphFont"/>
    <w:uiPriority w:val="99"/>
    <w:semiHidden/>
    <w:unhideWhenUsed/>
    <w:rsid w:val="000F12E9"/>
    <w:rPr>
      <w:vertAlign w:val="superscript"/>
    </w:rPr>
  </w:style>
  <w:style w:type="paragraph" w:customStyle="1" w:styleId="Default">
    <w:name w:val="Default"/>
    <w:rsid w:val="00FE4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608A"/>
    <w:pPr>
      <w:ind w:left="720"/>
      <w:contextualSpacing/>
    </w:pPr>
  </w:style>
  <w:style w:type="character" w:customStyle="1" w:styleId="Heading1Char">
    <w:name w:val="Heading 1 Char"/>
    <w:basedOn w:val="DefaultParagraphFont"/>
    <w:link w:val="Heading1"/>
    <w:uiPriority w:val="9"/>
    <w:rsid w:val="0083396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3969"/>
    <w:rPr>
      <w:rFonts w:ascii="Times New Roman" w:eastAsiaTheme="majorEastAsia" w:hAnsi="Times New Roman" w:cstheme="majorBidi"/>
      <w:b/>
      <w:bCs/>
      <w:sz w:val="24"/>
      <w:szCs w:val="26"/>
    </w:rPr>
  </w:style>
  <w:style w:type="character" w:styleId="Strong">
    <w:name w:val="Strong"/>
    <w:basedOn w:val="DefaultParagraphFont"/>
    <w:uiPriority w:val="22"/>
    <w:qFormat/>
    <w:rsid w:val="00833969"/>
    <w:rPr>
      <w:b/>
      <w:bCs/>
    </w:rPr>
  </w:style>
  <w:style w:type="character" w:styleId="IntenseEmphasis">
    <w:name w:val="Intense Emphasis"/>
    <w:basedOn w:val="DefaultParagraphFont"/>
    <w:uiPriority w:val="21"/>
    <w:qFormat/>
    <w:rsid w:val="00833969"/>
    <w:rPr>
      <w:rFonts w:ascii="Times New Roman" w:hAnsi="Times New Roman"/>
      <w:b/>
      <w:bCs/>
      <w:i/>
      <w:iCs/>
      <w:color w:val="auto"/>
      <w:sz w:val="24"/>
    </w:rPr>
  </w:style>
  <w:style w:type="paragraph" w:styleId="Header">
    <w:name w:val="header"/>
    <w:basedOn w:val="Normal"/>
    <w:link w:val="HeaderChar"/>
    <w:uiPriority w:val="99"/>
    <w:unhideWhenUsed/>
    <w:rsid w:val="00E250A3"/>
    <w:pPr>
      <w:tabs>
        <w:tab w:val="center" w:pos="4153"/>
        <w:tab w:val="right" w:pos="8306"/>
      </w:tabs>
    </w:pPr>
  </w:style>
  <w:style w:type="character" w:customStyle="1" w:styleId="HeaderChar">
    <w:name w:val="Header Char"/>
    <w:basedOn w:val="DefaultParagraphFont"/>
    <w:link w:val="Header"/>
    <w:uiPriority w:val="99"/>
    <w:rsid w:val="00E250A3"/>
    <w:rPr>
      <w:rFonts w:ascii="Times New Roman" w:hAnsi="Times New Roman"/>
      <w:sz w:val="24"/>
    </w:rPr>
  </w:style>
  <w:style w:type="paragraph" w:styleId="Footer">
    <w:name w:val="footer"/>
    <w:basedOn w:val="Normal"/>
    <w:link w:val="FooterChar"/>
    <w:uiPriority w:val="99"/>
    <w:unhideWhenUsed/>
    <w:rsid w:val="00E250A3"/>
    <w:pPr>
      <w:tabs>
        <w:tab w:val="center" w:pos="4153"/>
        <w:tab w:val="right" w:pos="8306"/>
      </w:tabs>
    </w:pPr>
  </w:style>
  <w:style w:type="character" w:customStyle="1" w:styleId="FooterChar">
    <w:name w:val="Footer Char"/>
    <w:basedOn w:val="DefaultParagraphFont"/>
    <w:link w:val="Footer"/>
    <w:uiPriority w:val="99"/>
    <w:rsid w:val="00E250A3"/>
    <w:rPr>
      <w:rFonts w:ascii="Times New Roman" w:hAnsi="Times New Roman"/>
      <w:sz w:val="24"/>
    </w:rPr>
  </w:style>
  <w:style w:type="character" w:styleId="Hyperlink">
    <w:name w:val="Hyperlink"/>
    <w:basedOn w:val="DefaultParagraphFont"/>
    <w:uiPriority w:val="99"/>
    <w:unhideWhenUsed/>
    <w:rsid w:val="001937DA"/>
    <w:rPr>
      <w:color w:val="0000FF" w:themeColor="hyperlink"/>
      <w:u w:val="single"/>
    </w:rPr>
  </w:style>
  <w:style w:type="character" w:customStyle="1" w:styleId="FontStyle60">
    <w:name w:val="Font Style60"/>
    <w:basedOn w:val="DefaultParagraphFont"/>
    <w:uiPriority w:val="99"/>
    <w:rsid w:val="0030337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0716">
      <w:bodyDiv w:val="1"/>
      <w:marLeft w:val="0"/>
      <w:marRight w:val="0"/>
      <w:marTop w:val="0"/>
      <w:marBottom w:val="0"/>
      <w:divBdr>
        <w:top w:val="none" w:sz="0" w:space="0" w:color="auto"/>
        <w:left w:val="none" w:sz="0" w:space="0" w:color="auto"/>
        <w:bottom w:val="none" w:sz="0" w:space="0" w:color="auto"/>
        <w:right w:val="none" w:sz="0" w:space="0" w:color="auto"/>
      </w:divBdr>
    </w:div>
    <w:div w:id="385296054">
      <w:bodyDiv w:val="1"/>
      <w:marLeft w:val="0"/>
      <w:marRight w:val="0"/>
      <w:marTop w:val="0"/>
      <w:marBottom w:val="0"/>
      <w:divBdr>
        <w:top w:val="none" w:sz="0" w:space="0" w:color="auto"/>
        <w:left w:val="none" w:sz="0" w:space="0" w:color="auto"/>
        <w:bottom w:val="none" w:sz="0" w:space="0" w:color="auto"/>
        <w:right w:val="none" w:sz="0" w:space="0" w:color="auto"/>
      </w:divBdr>
    </w:div>
    <w:div w:id="627591796">
      <w:bodyDiv w:val="1"/>
      <w:marLeft w:val="0"/>
      <w:marRight w:val="0"/>
      <w:marTop w:val="0"/>
      <w:marBottom w:val="0"/>
      <w:divBdr>
        <w:top w:val="none" w:sz="0" w:space="0" w:color="auto"/>
        <w:left w:val="none" w:sz="0" w:space="0" w:color="auto"/>
        <w:bottom w:val="none" w:sz="0" w:space="0" w:color="auto"/>
        <w:right w:val="none" w:sz="0" w:space="0" w:color="auto"/>
      </w:divBdr>
      <w:divsChild>
        <w:div w:id="695497735">
          <w:marLeft w:val="0"/>
          <w:marRight w:val="0"/>
          <w:marTop w:val="240"/>
          <w:marBottom w:val="240"/>
          <w:divBdr>
            <w:top w:val="none" w:sz="0" w:space="0" w:color="auto"/>
            <w:left w:val="none" w:sz="0" w:space="0" w:color="auto"/>
            <w:bottom w:val="none" w:sz="0" w:space="0" w:color="auto"/>
            <w:right w:val="none" w:sz="0" w:space="0" w:color="auto"/>
          </w:divBdr>
        </w:div>
        <w:div w:id="1688213967">
          <w:marLeft w:val="0"/>
          <w:marRight w:val="0"/>
          <w:marTop w:val="240"/>
          <w:marBottom w:val="240"/>
          <w:divBdr>
            <w:top w:val="none" w:sz="0" w:space="0" w:color="auto"/>
            <w:left w:val="none" w:sz="0" w:space="0" w:color="auto"/>
            <w:bottom w:val="none" w:sz="0" w:space="0" w:color="auto"/>
            <w:right w:val="none" w:sz="0" w:space="0" w:color="auto"/>
          </w:divBdr>
        </w:div>
      </w:divsChild>
    </w:div>
    <w:div w:id="933627857">
      <w:bodyDiv w:val="1"/>
      <w:marLeft w:val="0"/>
      <w:marRight w:val="0"/>
      <w:marTop w:val="0"/>
      <w:marBottom w:val="0"/>
      <w:divBdr>
        <w:top w:val="none" w:sz="0" w:space="0" w:color="auto"/>
        <w:left w:val="none" w:sz="0" w:space="0" w:color="auto"/>
        <w:bottom w:val="none" w:sz="0" w:space="0" w:color="auto"/>
        <w:right w:val="none" w:sz="0" w:space="0" w:color="auto"/>
      </w:divBdr>
    </w:div>
    <w:div w:id="998119077">
      <w:bodyDiv w:val="1"/>
      <w:marLeft w:val="0"/>
      <w:marRight w:val="0"/>
      <w:marTop w:val="0"/>
      <w:marBottom w:val="0"/>
      <w:divBdr>
        <w:top w:val="none" w:sz="0" w:space="0" w:color="auto"/>
        <w:left w:val="none" w:sz="0" w:space="0" w:color="auto"/>
        <w:bottom w:val="none" w:sz="0" w:space="0" w:color="auto"/>
        <w:right w:val="none" w:sz="0" w:space="0" w:color="auto"/>
      </w:divBdr>
      <w:divsChild>
        <w:div w:id="300501218">
          <w:marLeft w:val="0"/>
          <w:marRight w:val="0"/>
          <w:marTop w:val="240"/>
          <w:marBottom w:val="240"/>
          <w:divBdr>
            <w:top w:val="none" w:sz="0" w:space="0" w:color="auto"/>
            <w:left w:val="none" w:sz="0" w:space="0" w:color="auto"/>
            <w:bottom w:val="none" w:sz="0" w:space="0" w:color="auto"/>
            <w:right w:val="none" w:sz="0" w:space="0" w:color="auto"/>
          </w:divBdr>
        </w:div>
        <w:div w:id="1704135358">
          <w:marLeft w:val="0"/>
          <w:marRight w:val="0"/>
          <w:marTop w:val="240"/>
          <w:marBottom w:val="240"/>
          <w:divBdr>
            <w:top w:val="none" w:sz="0" w:space="0" w:color="auto"/>
            <w:left w:val="none" w:sz="0" w:space="0" w:color="auto"/>
            <w:bottom w:val="none" w:sz="0" w:space="0" w:color="auto"/>
            <w:right w:val="none" w:sz="0" w:space="0" w:color="auto"/>
          </w:divBdr>
        </w:div>
        <w:div w:id="1567690499">
          <w:marLeft w:val="0"/>
          <w:marRight w:val="0"/>
          <w:marTop w:val="240"/>
          <w:marBottom w:val="240"/>
          <w:divBdr>
            <w:top w:val="none" w:sz="0" w:space="0" w:color="auto"/>
            <w:left w:val="none" w:sz="0" w:space="0" w:color="auto"/>
            <w:bottom w:val="none" w:sz="0" w:space="0" w:color="auto"/>
            <w:right w:val="none" w:sz="0" w:space="0" w:color="auto"/>
          </w:divBdr>
        </w:div>
        <w:div w:id="641884471">
          <w:marLeft w:val="0"/>
          <w:marRight w:val="0"/>
          <w:marTop w:val="62"/>
          <w:marBottom w:val="240"/>
          <w:divBdr>
            <w:top w:val="none" w:sz="0" w:space="0" w:color="auto"/>
            <w:left w:val="none" w:sz="0" w:space="0" w:color="auto"/>
            <w:bottom w:val="none" w:sz="0" w:space="0" w:color="auto"/>
            <w:right w:val="none" w:sz="0" w:space="0" w:color="auto"/>
          </w:divBdr>
        </w:div>
        <w:div w:id="1148089874">
          <w:marLeft w:val="0"/>
          <w:marRight w:val="0"/>
          <w:marTop w:val="240"/>
          <w:marBottom w:val="240"/>
          <w:divBdr>
            <w:top w:val="none" w:sz="0" w:space="0" w:color="auto"/>
            <w:left w:val="none" w:sz="0" w:space="0" w:color="auto"/>
            <w:bottom w:val="none" w:sz="0" w:space="0" w:color="auto"/>
            <w:right w:val="none" w:sz="0" w:space="0" w:color="auto"/>
          </w:divBdr>
        </w:div>
        <w:div w:id="1899705733">
          <w:marLeft w:val="0"/>
          <w:marRight w:val="0"/>
          <w:marTop w:val="240"/>
          <w:marBottom w:val="240"/>
          <w:divBdr>
            <w:top w:val="none" w:sz="0" w:space="0" w:color="auto"/>
            <w:left w:val="none" w:sz="0" w:space="0" w:color="auto"/>
            <w:bottom w:val="none" w:sz="0" w:space="0" w:color="auto"/>
            <w:right w:val="none" w:sz="0" w:space="0" w:color="auto"/>
          </w:divBdr>
        </w:div>
        <w:div w:id="1844395519">
          <w:marLeft w:val="0"/>
          <w:marRight w:val="0"/>
          <w:marTop w:val="240"/>
          <w:marBottom w:val="240"/>
          <w:divBdr>
            <w:top w:val="none" w:sz="0" w:space="0" w:color="auto"/>
            <w:left w:val="none" w:sz="0" w:space="0" w:color="auto"/>
            <w:bottom w:val="none" w:sz="0" w:space="0" w:color="auto"/>
            <w:right w:val="none" w:sz="0" w:space="0" w:color="auto"/>
          </w:divBdr>
        </w:div>
        <w:div w:id="1725061629">
          <w:marLeft w:val="0"/>
          <w:marRight w:val="0"/>
          <w:marTop w:val="62"/>
          <w:marBottom w:val="240"/>
          <w:divBdr>
            <w:top w:val="none" w:sz="0" w:space="0" w:color="auto"/>
            <w:left w:val="none" w:sz="0" w:space="0" w:color="auto"/>
            <w:bottom w:val="none" w:sz="0" w:space="0" w:color="auto"/>
            <w:right w:val="none" w:sz="0" w:space="0" w:color="auto"/>
          </w:divBdr>
        </w:div>
        <w:div w:id="1492913281">
          <w:marLeft w:val="0"/>
          <w:marRight w:val="0"/>
          <w:marTop w:val="62"/>
          <w:marBottom w:val="0"/>
          <w:divBdr>
            <w:top w:val="none" w:sz="0" w:space="0" w:color="auto"/>
            <w:left w:val="none" w:sz="0" w:space="0" w:color="auto"/>
            <w:bottom w:val="none" w:sz="0" w:space="0" w:color="auto"/>
            <w:right w:val="none" w:sz="0" w:space="0" w:color="auto"/>
          </w:divBdr>
        </w:div>
      </w:divsChild>
    </w:div>
    <w:div w:id="1022321413">
      <w:bodyDiv w:val="1"/>
      <w:marLeft w:val="0"/>
      <w:marRight w:val="0"/>
      <w:marTop w:val="0"/>
      <w:marBottom w:val="0"/>
      <w:divBdr>
        <w:top w:val="none" w:sz="0" w:space="0" w:color="auto"/>
        <w:left w:val="none" w:sz="0" w:space="0" w:color="auto"/>
        <w:bottom w:val="none" w:sz="0" w:space="0" w:color="auto"/>
        <w:right w:val="none" w:sz="0" w:space="0" w:color="auto"/>
      </w:divBdr>
    </w:div>
    <w:div w:id="1057051855">
      <w:bodyDiv w:val="1"/>
      <w:marLeft w:val="0"/>
      <w:marRight w:val="0"/>
      <w:marTop w:val="0"/>
      <w:marBottom w:val="0"/>
      <w:divBdr>
        <w:top w:val="none" w:sz="0" w:space="0" w:color="auto"/>
        <w:left w:val="none" w:sz="0" w:space="0" w:color="auto"/>
        <w:bottom w:val="none" w:sz="0" w:space="0" w:color="auto"/>
        <w:right w:val="none" w:sz="0" w:space="0" w:color="auto"/>
      </w:divBdr>
    </w:div>
    <w:div w:id="1399672289">
      <w:bodyDiv w:val="1"/>
      <w:marLeft w:val="0"/>
      <w:marRight w:val="0"/>
      <w:marTop w:val="0"/>
      <w:marBottom w:val="0"/>
      <w:divBdr>
        <w:top w:val="none" w:sz="0" w:space="0" w:color="auto"/>
        <w:left w:val="none" w:sz="0" w:space="0" w:color="auto"/>
        <w:bottom w:val="none" w:sz="0" w:space="0" w:color="auto"/>
        <w:right w:val="none" w:sz="0" w:space="0" w:color="auto"/>
      </w:divBdr>
    </w:div>
    <w:div w:id="1542279475">
      <w:bodyDiv w:val="1"/>
      <w:marLeft w:val="0"/>
      <w:marRight w:val="0"/>
      <w:marTop w:val="0"/>
      <w:marBottom w:val="0"/>
      <w:divBdr>
        <w:top w:val="none" w:sz="0" w:space="0" w:color="auto"/>
        <w:left w:val="none" w:sz="0" w:space="0" w:color="auto"/>
        <w:bottom w:val="none" w:sz="0" w:space="0" w:color="auto"/>
        <w:right w:val="none" w:sz="0" w:space="0" w:color="auto"/>
      </w:divBdr>
    </w:div>
    <w:div w:id="1772817258">
      <w:bodyDiv w:val="1"/>
      <w:marLeft w:val="0"/>
      <w:marRight w:val="0"/>
      <w:marTop w:val="0"/>
      <w:marBottom w:val="0"/>
      <w:divBdr>
        <w:top w:val="none" w:sz="0" w:space="0" w:color="auto"/>
        <w:left w:val="none" w:sz="0" w:space="0" w:color="auto"/>
        <w:bottom w:val="none" w:sz="0" w:space="0" w:color="auto"/>
        <w:right w:val="none" w:sz="0" w:space="0" w:color="auto"/>
      </w:divBdr>
    </w:div>
    <w:div w:id="1773941158">
      <w:bodyDiv w:val="1"/>
      <w:marLeft w:val="0"/>
      <w:marRight w:val="0"/>
      <w:marTop w:val="0"/>
      <w:marBottom w:val="0"/>
      <w:divBdr>
        <w:top w:val="none" w:sz="0" w:space="0" w:color="auto"/>
        <w:left w:val="none" w:sz="0" w:space="0" w:color="auto"/>
        <w:bottom w:val="none" w:sz="0" w:space="0" w:color="auto"/>
        <w:right w:val="none" w:sz="0" w:space="0" w:color="auto"/>
      </w:divBdr>
      <w:divsChild>
        <w:div w:id="524174403">
          <w:marLeft w:val="0"/>
          <w:marRight w:val="0"/>
          <w:marTop w:val="240"/>
          <w:marBottom w:val="240"/>
          <w:divBdr>
            <w:top w:val="none" w:sz="0" w:space="0" w:color="auto"/>
            <w:left w:val="none" w:sz="0" w:space="0" w:color="auto"/>
            <w:bottom w:val="none" w:sz="0" w:space="0" w:color="auto"/>
            <w:right w:val="none" w:sz="0" w:space="0" w:color="auto"/>
          </w:divBdr>
        </w:div>
        <w:div w:id="1899243830">
          <w:marLeft w:val="0"/>
          <w:marRight w:val="0"/>
          <w:marTop w:val="240"/>
          <w:marBottom w:val="240"/>
          <w:divBdr>
            <w:top w:val="none" w:sz="0" w:space="0" w:color="auto"/>
            <w:left w:val="none" w:sz="0" w:space="0" w:color="auto"/>
            <w:bottom w:val="none" w:sz="0" w:space="0" w:color="auto"/>
            <w:right w:val="none" w:sz="0" w:space="0" w:color="auto"/>
          </w:divBdr>
        </w:div>
        <w:div w:id="856386263">
          <w:marLeft w:val="0"/>
          <w:marRight w:val="0"/>
          <w:marTop w:val="240"/>
          <w:marBottom w:val="240"/>
          <w:divBdr>
            <w:top w:val="none" w:sz="0" w:space="0" w:color="auto"/>
            <w:left w:val="none" w:sz="0" w:space="0" w:color="auto"/>
            <w:bottom w:val="none" w:sz="0" w:space="0" w:color="auto"/>
            <w:right w:val="none" w:sz="0" w:space="0" w:color="auto"/>
          </w:divBdr>
        </w:div>
        <w:div w:id="78261948">
          <w:marLeft w:val="0"/>
          <w:marRight w:val="0"/>
          <w:marTop w:val="240"/>
          <w:marBottom w:val="240"/>
          <w:divBdr>
            <w:top w:val="none" w:sz="0" w:space="0" w:color="auto"/>
            <w:left w:val="none" w:sz="0" w:space="0" w:color="auto"/>
            <w:bottom w:val="none" w:sz="0" w:space="0" w:color="auto"/>
            <w:right w:val="none" w:sz="0" w:space="0" w:color="auto"/>
          </w:divBdr>
        </w:div>
      </w:divsChild>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05/VARAMINFO_250313_ATR.486.PDF" TargetMode="External"/><Relationship Id="rId7" Type="http://schemas.openxmlformats.org/officeDocument/2006/relationships/hyperlink" Target="http://tap.mk.gov.lv/mk/tap/?pid=40421841" TargetMode="External"/><Relationship Id="rId2" Type="http://schemas.openxmlformats.org/officeDocument/2006/relationships/hyperlink" Target="https://likumi.lv/ta/id/185993-administrativo-teritoriju-un-apdzivoto-vietu-likums" TargetMode="External"/><Relationship Id="rId1" Type="http://schemas.openxmlformats.org/officeDocument/2006/relationships/hyperlink" Target="https://likumi.lv/doc.php?id=51528" TargetMode="External"/><Relationship Id="rId6" Type="http://schemas.openxmlformats.org/officeDocument/2006/relationships/hyperlink" Target="http://www.lrvk.gov.lv/uploads//reviziju-zinojumi/2015/2.4.1.48_2015/Zinojums_VARAM_14_03.pdf" TargetMode="External"/><Relationship Id="rId5" Type="http://schemas.openxmlformats.org/officeDocument/2006/relationships/hyperlink" Target="http://www.varam.gov.lv/lat/aktual/preses_relizes/?doc=19982" TargetMode="External"/><Relationship Id="rId4" Type="http://schemas.openxmlformats.org/officeDocument/2006/relationships/hyperlink" Target="https://likumi.lv/doc.php?id=177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2164-35BD-4977-BD1D-84D4C226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6260</Words>
  <Characters>3569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Orlovska</dc:creator>
  <cp:lastModifiedBy>Aivars Draudiņš</cp:lastModifiedBy>
  <cp:revision>17</cp:revision>
  <cp:lastPrinted>2019-01-31T08:45:00Z</cp:lastPrinted>
  <dcterms:created xsi:type="dcterms:W3CDTF">2019-01-31T08:32:00Z</dcterms:created>
  <dcterms:modified xsi:type="dcterms:W3CDTF">2019-01-31T09:39:00Z</dcterms:modified>
</cp:coreProperties>
</file>