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81" w:rsidRPr="00195058" w:rsidRDefault="00287B81" w:rsidP="00287B81">
      <w:pPr>
        <w:jc w:val="center"/>
        <w:rPr>
          <w:b/>
          <w:sz w:val="28"/>
          <w:szCs w:val="28"/>
          <w:lang w:val="lv-LV"/>
        </w:rPr>
      </w:pPr>
      <w:bookmarkStart w:id="0" w:name="OLE_LINK7"/>
      <w:bookmarkStart w:id="1" w:name="OLE_LINK8"/>
      <w:r w:rsidRPr="00195058">
        <w:rPr>
          <w:b/>
          <w:sz w:val="28"/>
          <w:szCs w:val="28"/>
          <w:lang w:val="lv-LV"/>
        </w:rPr>
        <w:t>Ministru kabineta noteikumu projekta</w:t>
      </w:r>
    </w:p>
    <w:p w:rsidR="00287B81" w:rsidRDefault="00287B81" w:rsidP="00287B81">
      <w:pPr>
        <w:jc w:val="center"/>
        <w:rPr>
          <w:b/>
          <w:sz w:val="28"/>
          <w:szCs w:val="28"/>
          <w:lang w:val="lv-LV"/>
        </w:rPr>
      </w:pPr>
      <w:r w:rsidRPr="00195058">
        <w:rPr>
          <w:b/>
          <w:sz w:val="28"/>
          <w:szCs w:val="28"/>
          <w:lang w:val="lv-LV"/>
        </w:rPr>
        <w:t>“</w:t>
      </w:r>
      <w:r>
        <w:rPr>
          <w:b/>
          <w:sz w:val="28"/>
          <w:szCs w:val="28"/>
          <w:lang w:val="lv-LV"/>
        </w:rPr>
        <w:t>P</w:t>
      </w:r>
      <w:r w:rsidRPr="00195058">
        <w:rPr>
          <w:b/>
          <w:sz w:val="28"/>
          <w:szCs w:val="28"/>
          <w:lang w:val="lv-LV"/>
        </w:rPr>
        <w:t>rasības govs un kazas svaigpiena apritei nelielā apjomā”</w:t>
      </w:r>
      <w:r w:rsidRPr="00195058">
        <w:rPr>
          <w:b/>
          <w:bCs/>
          <w:sz w:val="28"/>
          <w:szCs w:val="28"/>
          <w:lang w:val="lv-LV"/>
        </w:rPr>
        <w:t xml:space="preserve"> sākotnējās ietekmes novērtējuma ziņojums (</w:t>
      </w:r>
      <w:r w:rsidRPr="00195058">
        <w:rPr>
          <w:b/>
          <w:sz w:val="28"/>
          <w:szCs w:val="28"/>
          <w:lang w:val="lv-LV"/>
        </w:rPr>
        <w:t>anotācija)</w:t>
      </w:r>
    </w:p>
    <w:p w:rsidR="00287B81" w:rsidRPr="00195058" w:rsidRDefault="00287B81" w:rsidP="00287B81">
      <w:pPr>
        <w:jc w:val="center"/>
        <w:rPr>
          <w:b/>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287B81" w:rsidRPr="00074CFD" w:rsidTr="0097230D">
        <w:tc>
          <w:tcPr>
            <w:tcW w:w="0" w:type="auto"/>
            <w:gridSpan w:val="3"/>
            <w:vAlign w:val="center"/>
          </w:tcPr>
          <w:bookmarkEnd w:id="0"/>
          <w:bookmarkEnd w:id="1"/>
          <w:p w:rsidR="00287B81" w:rsidRDefault="00287B81" w:rsidP="0097230D">
            <w:pPr>
              <w:jc w:val="center"/>
              <w:rPr>
                <w:b/>
                <w:bCs/>
                <w:lang w:val="lv-LV" w:eastAsia="lv-LV"/>
              </w:rPr>
            </w:pPr>
            <w:r w:rsidRPr="00074CFD">
              <w:rPr>
                <w:b/>
                <w:bCs/>
                <w:lang w:val="lv-LV" w:eastAsia="lv-LV"/>
              </w:rPr>
              <w:t xml:space="preserve">I. Tiesību akta projekta izstrādes </w:t>
            </w:r>
          </w:p>
          <w:p w:rsidR="00287B81" w:rsidRPr="00074CFD" w:rsidRDefault="00287B81" w:rsidP="0097230D">
            <w:pPr>
              <w:jc w:val="center"/>
              <w:rPr>
                <w:b/>
                <w:bCs/>
                <w:lang w:val="lv-LV" w:eastAsia="lv-LV"/>
              </w:rPr>
            </w:pPr>
            <w:r w:rsidRPr="00074CFD">
              <w:rPr>
                <w:b/>
                <w:bCs/>
                <w:lang w:val="lv-LV" w:eastAsia="lv-LV"/>
              </w:rPr>
              <w:t>nepieciešamība</w:t>
            </w:r>
          </w:p>
        </w:tc>
      </w:tr>
      <w:tr w:rsidR="00287B81" w:rsidRPr="00E936A3" w:rsidTr="0097230D">
        <w:trPr>
          <w:trHeight w:val="503"/>
        </w:trPr>
        <w:tc>
          <w:tcPr>
            <w:tcW w:w="250" w:type="pct"/>
          </w:tcPr>
          <w:p w:rsidR="00287B81" w:rsidRPr="00074CFD" w:rsidRDefault="00287B81" w:rsidP="0097230D">
            <w:pPr>
              <w:jc w:val="center"/>
              <w:rPr>
                <w:lang w:val="lv-LV" w:eastAsia="lv-LV"/>
              </w:rPr>
            </w:pPr>
            <w:r w:rsidRPr="00074CFD">
              <w:rPr>
                <w:lang w:val="lv-LV" w:eastAsia="lv-LV"/>
              </w:rPr>
              <w:t>1.</w:t>
            </w:r>
          </w:p>
        </w:tc>
        <w:tc>
          <w:tcPr>
            <w:tcW w:w="1397" w:type="pct"/>
          </w:tcPr>
          <w:p w:rsidR="00287B81" w:rsidRPr="00074CFD" w:rsidRDefault="00287B81" w:rsidP="0097230D">
            <w:pPr>
              <w:jc w:val="both"/>
              <w:rPr>
                <w:lang w:val="lv-LV" w:eastAsia="lv-LV"/>
              </w:rPr>
            </w:pPr>
            <w:r w:rsidRPr="00074CFD">
              <w:rPr>
                <w:lang w:val="lv-LV" w:eastAsia="lv-LV"/>
              </w:rPr>
              <w:t>Pamatojums</w:t>
            </w:r>
          </w:p>
        </w:tc>
        <w:tc>
          <w:tcPr>
            <w:tcW w:w="3353" w:type="pct"/>
          </w:tcPr>
          <w:p w:rsidR="00287B81" w:rsidRPr="00074CFD" w:rsidRDefault="00287B81" w:rsidP="0097230D">
            <w:pPr>
              <w:pStyle w:val="izdotisask"/>
              <w:widowControl w:val="0"/>
              <w:jc w:val="both"/>
              <w:outlineLvl w:val="0"/>
              <w:rPr>
                <w:sz w:val="24"/>
              </w:rPr>
            </w:pPr>
            <w:r w:rsidRPr="00B378DD">
              <w:rPr>
                <w:sz w:val="24"/>
              </w:rPr>
              <w:t>Pārtikas aprites uzraudzības likuma 4. panta otrā daļa, 8. panta desmitā un divpadsmitā daļa,</w:t>
            </w:r>
            <w:r w:rsidRPr="00EE5755">
              <w:rPr>
                <w:sz w:val="22"/>
              </w:rPr>
              <w:t xml:space="preserve"> </w:t>
            </w:r>
            <w:r w:rsidRPr="00EE5755">
              <w:rPr>
                <w:bCs/>
                <w:sz w:val="24"/>
              </w:rPr>
              <w:t>13.</w:t>
            </w:r>
            <w:r>
              <w:rPr>
                <w:bCs/>
                <w:sz w:val="24"/>
              </w:rPr>
              <w:t xml:space="preserve"> </w:t>
            </w:r>
            <w:r w:rsidRPr="00EE5755">
              <w:rPr>
                <w:bCs/>
                <w:sz w:val="24"/>
              </w:rPr>
              <w:t>panta trešās daļas 3.</w:t>
            </w:r>
            <w:r>
              <w:rPr>
                <w:bCs/>
                <w:sz w:val="24"/>
              </w:rPr>
              <w:t xml:space="preserve"> </w:t>
            </w:r>
            <w:r w:rsidRPr="00EE5755">
              <w:rPr>
                <w:bCs/>
                <w:sz w:val="24"/>
              </w:rPr>
              <w:t>punkt</w:t>
            </w:r>
            <w:r>
              <w:rPr>
                <w:bCs/>
                <w:sz w:val="24"/>
              </w:rPr>
              <w:t>s</w:t>
            </w:r>
            <w:r w:rsidRPr="00EE5755">
              <w:rPr>
                <w:bCs/>
                <w:sz w:val="24"/>
              </w:rPr>
              <w:t xml:space="preserve"> </w:t>
            </w:r>
            <w:r w:rsidRPr="00B378DD">
              <w:rPr>
                <w:sz w:val="24"/>
              </w:rPr>
              <w:t>un 21.</w:t>
            </w:r>
            <w:r w:rsidRPr="00B378DD">
              <w:rPr>
                <w:sz w:val="24"/>
                <w:vertAlign w:val="superscript"/>
              </w:rPr>
              <w:t>1</w:t>
            </w:r>
            <w:r>
              <w:rPr>
                <w:sz w:val="24"/>
              </w:rPr>
              <w:t xml:space="preserve"> panta devītā daļa</w:t>
            </w:r>
          </w:p>
        </w:tc>
      </w:tr>
      <w:tr w:rsidR="00287B81" w:rsidRPr="00E936A3" w:rsidTr="0097230D">
        <w:tc>
          <w:tcPr>
            <w:tcW w:w="250" w:type="pct"/>
          </w:tcPr>
          <w:p w:rsidR="00287B81" w:rsidRPr="00074CFD" w:rsidRDefault="00287B81" w:rsidP="0097230D">
            <w:pPr>
              <w:jc w:val="center"/>
              <w:rPr>
                <w:lang w:val="lv-LV" w:eastAsia="lv-LV"/>
              </w:rPr>
            </w:pPr>
            <w:r w:rsidRPr="00074CFD">
              <w:rPr>
                <w:lang w:val="lv-LV" w:eastAsia="lv-LV"/>
              </w:rPr>
              <w:t>2.</w:t>
            </w:r>
          </w:p>
        </w:tc>
        <w:tc>
          <w:tcPr>
            <w:tcW w:w="1397" w:type="pct"/>
          </w:tcPr>
          <w:p w:rsidR="00287B81" w:rsidRDefault="00287B81" w:rsidP="0097230D">
            <w:pPr>
              <w:jc w:val="both"/>
              <w:rPr>
                <w:lang w:val="lv-LV" w:eastAsia="lv-LV"/>
              </w:rPr>
            </w:pPr>
            <w:r w:rsidRPr="00074CFD">
              <w:rPr>
                <w:lang w:val="lv-LV" w:eastAsia="lv-LV"/>
              </w:rPr>
              <w:t xml:space="preserve">Pašreizējā situācija </w:t>
            </w:r>
            <w:r w:rsidRPr="00074CFD">
              <w:rPr>
                <w:lang w:val="lv-LV"/>
              </w:rPr>
              <w:t>un problēmas, kuru risināšanai tiesību akta projekts izstrādāts, tiesiskā regulējuma mērķis un būtība</w:t>
            </w: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Pr="00B30F7A" w:rsidRDefault="00287B81" w:rsidP="0097230D">
            <w:pPr>
              <w:rPr>
                <w:lang w:val="lv-LV" w:eastAsia="lv-LV"/>
              </w:rPr>
            </w:pPr>
          </w:p>
          <w:p w:rsidR="00287B81"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p w:rsidR="00287B81" w:rsidRPr="00820EA5" w:rsidRDefault="00287B81" w:rsidP="0097230D">
            <w:pPr>
              <w:rPr>
                <w:lang w:val="lv-LV" w:eastAsia="lv-LV"/>
              </w:rPr>
            </w:pPr>
          </w:p>
        </w:tc>
        <w:tc>
          <w:tcPr>
            <w:tcW w:w="3353" w:type="pct"/>
          </w:tcPr>
          <w:p w:rsidR="00287B81" w:rsidRPr="00074CFD" w:rsidRDefault="00287B81" w:rsidP="0097230D">
            <w:pPr>
              <w:jc w:val="both"/>
              <w:rPr>
                <w:lang w:val="lv-LV"/>
              </w:rPr>
            </w:pPr>
            <w:r w:rsidRPr="00074CFD">
              <w:rPr>
                <w:lang w:val="lv-LV"/>
              </w:rPr>
              <w:lastRenderedPageBreak/>
              <w:t xml:space="preserve">Patlaban spēkā ir </w:t>
            </w:r>
            <w:r w:rsidRPr="00074CFD">
              <w:rPr>
                <w:szCs w:val="28"/>
                <w:lang w:val="lv-LV"/>
              </w:rPr>
              <w:t>Ministru kabineta 2010.</w:t>
            </w:r>
            <w:r>
              <w:rPr>
                <w:szCs w:val="28"/>
                <w:lang w:val="lv-LV"/>
              </w:rPr>
              <w:t> </w:t>
            </w:r>
            <w:r w:rsidRPr="00074CFD">
              <w:rPr>
                <w:szCs w:val="28"/>
                <w:lang w:val="lv-LV"/>
              </w:rPr>
              <w:t>gada 13.</w:t>
            </w:r>
            <w:r>
              <w:rPr>
                <w:szCs w:val="28"/>
                <w:lang w:val="lv-LV"/>
              </w:rPr>
              <w:t> </w:t>
            </w:r>
            <w:r w:rsidRPr="00074CFD">
              <w:rPr>
                <w:szCs w:val="28"/>
                <w:lang w:val="lv-LV"/>
              </w:rPr>
              <w:t xml:space="preserve">aprīļa noteikumi Nr. 345 “Higiēnas un obligātās nekaitīguma prasības govs svaigpiena apritei nelielā apjomā” </w:t>
            </w:r>
            <w:r w:rsidRPr="00074CFD">
              <w:rPr>
                <w:lang w:val="lv-LV"/>
              </w:rPr>
              <w:t>(turpmāk</w:t>
            </w:r>
            <w:r>
              <w:rPr>
                <w:lang w:val="lv-LV"/>
              </w:rPr>
              <w:t> – </w:t>
            </w:r>
            <w:r w:rsidRPr="00074CFD">
              <w:rPr>
                <w:lang w:val="lv-LV"/>
              </w:rPr>
              <w:t>noteikumi Nr.345), kuros nepieciešams izdarīt grozījumus.</w:t>
            </w:r>
          </w:p>
          <w:p w:rsidR="00287B81" w:rsidRPr="00074CFD" w:rsidRDefault="00287B81" w:rsidP="0097230D">
            <w:pPr>
              <w:jc w:val="both"/>
              <w:rPr>
                <w:lang w:val="lv-LV"/>
              </w:rPr>
            </w:pPr>
            <w:r w:rsidRPr="00074CFD">
              <w:rPr>
                <w:lang w:val="lv-LV"/>
              </w:rPr>
              <w:t xml:space="preserve">Tā kā nepieciešamo grozījumu apjoms </w:t>
            </w:r>
            <w:r>
              <w:rPr>
                <w:lang w:val="lv-LV"/>
              </w:rPr>
              <w:t>pārsniegtu pusi no noteikumu Nr.345 normām</w:t>
            </w:r>
            <w:r w:rsidRPr="00074CFD">
              <w:rPr>
                <w:lang w:val="lv-LV"/>
              </w:rPr>
              <w:t xml:space="preserve">, ir sagatavots jauns noteikumu projekts </w:t>
            </w:r>
            <w:r w:rsidRPr="00074CFD">
              <w:rPr>
                <w:szCs w:val="28"/>
                <w:lang w:val="lv-LV"/>
              </w:rPr>
              <w:t>“</w:t>
            </w:r>
            <w:r>
              <w:rPr>
                <w:szCs w:val="28"/>
                <w:lang w:val="lv-LV"/>
              </w:rPr>
              <w:t>P</w:t>
            </w:r>
            <w:r w:rsidRPr="00074CFD">
              <w:rPr>
                <w:szCs w:val="28"/>
                <w:lang w:val="lv-LV"/>
              </w:rPr>
              <w:t>rasības govs un kazas svaigpiena apritei nelielā apjomā”</w:t>
            </w:r>
            <w:r>
              <w:rPr>
                <w:lang w:val="lv-LV"/>
              </w:rPr>
              <w:t xml:space="preserve"> </w:t>
            </w:r>
            <w:r w:rsidRPr="00074CFD">
              <w:rPr>
                <w:lang w:val="lv-LV"/>
              </w:rPr>
              <w:t xml:space="preserve">(turpmāk – noteikumu projekts). </w:t>
            </w:r>
          </w:p>
          <w:p w:rsidR="00287B81" w:rsidRPr="00074CFD" w:rsidRDefault="00287B81" w:rsidP="0097230D">
            <w:pPr>
              <w:jc w:val="both"/>
              <w:rPr>
                <w:lang w:val="lv-LV"/>
              </w:rPr>
            </w:pPr>
            <w:r w:rsidRPr="00074CFD">
              <w:rPr>
                <w:lang w:val="lv-LV"/>
              </w:rPr>
              <w:t>Noteikumi Nr.345 nosaka higiēnas un obligātās nekaitīguma prasības, kas jāievēro svaigpiena ražotājam, k</w:t>
            </w:r>
            <w:r>
              <w:rPr>
                <w:lang w:val="lv-LV"/>
              </w:rPr>
              <w:t>urš</w:t>
            </w:r>
            <w:r w:rsidRPr="00074CFD">
              <w:rPr>
                <w:lang w:val="lv-LV"/>
              </w:rPr>
              <w:t xml:space="preserve"> tieši piegādā govs svaigpienu galapatērētājam</w:t>
            </w:r>
            <w:r>
              <w:rPr>
                <w:lang w:val="lv-LV"/>
              </w:rPr>
              <w:t>,</w:t>
            </w:r>
            <w:r w:rsidRPr="00074CFD">
              <w:rPr>
                <w:lang w:val="lv-LV"/>
              </w:rPr>
              <w:t xml:space="preserve"> vai personai, </w:t>
            </w:r>
            <w:proofErr w:type="gramStart"/>
            <w:r w:rsidRPr="00074CFD">
              <w:rPr>
                <w:lang w:val="lv-LV"/>
              </w:rPr>
              <w:t>k</w:t>
            </w:r>
            <w:r>
              <w:rPr>
                <w:lang w:val="lv-LV"/>
              </w:rPr>
              <w:t>ura</w:t>
            </w:r>
            <w:r w:rsidRPr="00074CFD">
              <w:rPr>
                <w:lang w:val="lv-LV"/>
              </w:rPr>
              <w:t xml:space="preserve"> nodarbojas ar mazumtirdzniecību un tieši</w:t>
            </w:r>
            <w:proofErr w:type="gramEnd"/>
            <w:r w:rsidRPr="00074CFD">
              <w:rPr>
                <w:lang w:val="lv-LV"/>
              </w:rPr>
              <w:t xml:space="preserve"> realizē govs svaigpienu galapatērētājam</w:t>
            </w:r>
            <w:r>
              <w:rPr>
                <w:lang w:val="lv-LV"/>
              </w:rPr>
              <w:t xml:space="preserve"> nelielā apjomā</w:t>
            </w:r>
            <w:r w:rsidRPr="00074CFD">
              <w:rPr>
                <w:lang w:val="lv-LV"/>
              </w:rPr>
              <w:t xml:space="preserve">. </w:t>
            </w:r>
            <w:r>
              <w:rPr>
                <w:lang w:val="lv-LV"/>
              </w:rPr>
              <w:t>L</w:t>
            </w:r>
            <w:r w:rsidRPr="00074CFD">
              <w:rPr>
                <w:lang w:val="lv-LV"/>
              </w:rPr>
              <w:t>ai paplašinātu uzņēmējdarbības iespējas ražotājiem</w:t>
            </w:r>
            <w:r>
              <w:rPr>
                <w:lang w:val="lv-LV"/>
              </w:rPr>
              <w:t>,</w:t>
            </w:r>
            <w:r w:rsidRPr="00074CFD">
              <w:rPr>
                <w:lang w:val="lv-LV"/>
              </w:rPr>
              <w:t xml:space="preserve"> k</w:t>
            </w:r>
            <w:r>
              <w:rPr>
                <w:lang w:val="lv-LV"/>
              </w:rPr>
              <w:t>as</w:t>
            </w:r>
            <w:r w:rsidRPr="00074CFD">
              <w:rPr>
                <w:lang w:val="lv-LV"/>
              </w:rPr>
              <w:t xml:space="preserve"> savā saimniecībā iegūst kazas svaigpienu</w:t>
            </w:r>
            <w:r>
              <w:rPr>
                <w:lang w:val="lv-LV"/>
              </w:rPr>
              <w:t xml:space="preserve">, </w:t>
            </w:r>
            <w:r w:rsidRPr="00074CFD">
              <w:rPr>
                <w:lang w:val="lv-LV"/>
              </w:rPr>
              <w:t>nepieciešams noteikt</w:t>
            </w:r>
            <w:r>
              <w:rPr>
                <w:lang w:val="lv-LV"/>
              </w:rPr>
              <w:t>, ka</w:t>
            </w:r>
            <w:r w:rsidRPr="00074CFD">
              <w:rPr>
                <w:lang w:val="lv-LV"/>
              </w:rPr>
              <w:t xml:space="preserve"> higiēnas un obligātās nekaitīguma prasības </w:t>
            </w:r>
            <w:r>
              <w:rPr>
                <w:lang w:val="lv-LV"/>
              </w:rPr>
              <w:t xml:space="preserve">jāattiecina </w:t>
            </w:r>
            <w:r w:rsidRPr="00074CFD">
              <w:rPr>
                <w:lang w:val="lv-LV"/>
              </w:rPr>
              <w:t>arī</w:t>
            </w:r>
            <w:r>
              <w:rPr>
                <w:lang w:val="lv-LV"/>
              </w:rPr>
              <w:t xml:space="preserve"> uz</w:t>
            </w:r>
            <w:r w:rsidRPr="00074CFD">
              <w:rPr>
                <w:lang w:val="lv-LV"/>
              </w:rPr>
              <w:t xml:space="preserve"> kazas svaigpiena ražotājam</w:t>
            </w:r>
            <w:r>
              <w:rPr>
                <w:lang w:val="lv-LV"/>
              </w:rPr>
              <w:t>, kas realizē pienu nelielā apjomā</w:t>
            </w:r>
            <w:r w:rsidRPr="00074CFD">
              <w:rPr>
                <w:lang w:val="lv-LV"/>
              </w:rPr>
              <w:t xml:space="preserve">. </w:t>
            </w:r>
          </w:p>
          <w:p w:rsidR="00287B81" w:rsidRPr="00CF72E7" w:rsidRDefault="00287B81" w:rsidP="0097230D">
            <w:pPr>
              <w:jc w:val="both"/>
              <w:rPr>
                <w:lang w:val="lv-LV"/>
              </w:rPr>
            </w:pPr>
            <w:r w:rsidRPr="00074CFD">
              <w:rPr>
                <w:lang w:val="lv-LV"/>
              </w:rPr>
              <w:t xml:space="preserve">Lai varētu kontrolēt realizētā svaigpiena apjomu, </w:t>
            </w:r>
            <w:r>
              <w:rPr>
                <w:lang w:val="lv-LV"/>
              </w:rPr>
              <w:t>ir</w:t>
            </w:r>
            <w:r w:rsidRPr="00074CFD">
              <w:rPr>
                <w:lang w:val="lv-LV"/>
              </w:rPr>
              <w:t xml:space="preserve"> </w:t>
            </w:r>
            <w:r>
              <w:rPr>
                <w:lang w:val="lv-LV"/>
              </w:rPr>
              <w:t xml:space="preserve">jāprecizē </w:t>
            </w:r>
            <w:r w:rsidRPr="00074CFD">
              <w:rPr>
                <w:lang w:val="lv-LV"/>
              </w:rPr>
              <w:t>tā uzskait</w:t>
            </w:r>
            <w:r>
              <w:rPr>
                <w:lang w:val="lv-LV"/>
              </w:rPr>
              <w:t>e</w:t>
            </w:r>
            <w:r w:rsidRPr="00074CFD">
              <w:rPr>
                <w:lang w:val="lv-LV"/>
              </w:rPr>
              <w:t>, dokumentējam</w:t>
            </w:r>
            <w:r>
              <w:rPr>
                <w:lang w:val="lv-LV"/>
              </w:rPr>
              <w:t>ās</w:t>
            </w:r>
            <w:r w:rsidRPr="00074CFD">
              <w:rPr>
                <w:lang w:val="lv-LV"/>
              </w:rPr>
              <w:t xml:space="preserve"> informācijas satur</w:t>
            </w:r>
            <w:r>
              <w:rPr>
                <w:lang w:val="lv-LV"/>
              </w:rPr>
              <w:t>s</w:t>
            </w:r>
            <w:r w:rsidRPr="00074CFD">
              <w:rPr>
                <w:lang w:val="lv-LV"/>
              </w:rPr>
              <w:t xml:space="preserve"> un informācijas </w:t>
            </w:r>
            <w:r w:rsidRPr="00CF72E7">
              <w:rPr>
                <w:lang w:val="lv-LV"/>
              </w:rPr>
              <w:t xml:space="preserve">glabāšanas kārtība. </w:t>
            </w:r>
          </w:p>
          <w:p w:rsidR="00287B81" w:rsidRPr="00CF72E7" w:rsidRDefault="00287B81" w:rsidP="0097230D">
            <w:pPr>
              <w:pStyle w:val="Bezatstarpm"/>
              <w:jc w:val="both"/>
              <w:rPr>
                <w:szCs w:val="24"/>
              </w:rPr>
            </w:pPr>
            <w:r w:rsidRPr="00CF72E7">
              <w:t xml:space="preserve">Noteikumu projektā ir ņemts vērā Eiropas Komisijas iebildums </w:t>
            </w:r>
            <w:r>
              <w:t>par</w:t>
            </w:r>
            <w:r w:rsidRPr="00CF72E7">
              <w:t xml:space="preserve"> nesamērīgi lielo svaigpiena apjomu, tāpēc </w:t>
            </w:r>
            <w:r>
              <w:t>tas</w:t>
            </w:r>
            <w:r w:rsidRPr="00CF72E7">
              <w:t xml:space="preserve"> ir būtiski samazināti un noteikumu projektā noteikts, ka </w:t>
            </w:r>
            <w:r w:rsidRPr="00CF72E7">
              <w:rPr>
                <w:szCs w:val="24"/>
              </w:rPr>
              <w:t xml:space="preserve">par nelielu svaigpiena apjomu uzskatāms tāds svaigpiena apjoms, ko ražotājs iegūst no sev piederošām govīm un kazām un realizē tieši galapatērētājam vai mazumtirdzniecības uzņēmumam ne vairāk kā 1000 kg govs svaigpiena un 600 kg kazas svaigpiena nedēļā. </w:t>
            </w:r>
          </w:p>
          <w:p w:rsidR="00287B81" w:rsidRPr="00CF72E7" w:rsidRDefault="00287B81" w:rsidP="0097230D">
            <w:pPr>
              <w:jc w:val="both"/>
              <w:rPr>
                <w:lang w:val="lv-LV"/>
              </w:rPr>
            </w:pPr>
            <w:r w:rsidRPr="00CF72E7">
              <w:rPr>
                <w:lang w:val="lv-LV"/>
              </w:rPr>
              <w:t>Lai īstenotu Eiropas Parlamenta un Padomes 2004. gada 29. aprīļa Regulā (EK) Nr. 853/2004, ar ko nosaka īpašus higiēnas noteikumus attiecībā uz dzīvnieku izcelsmes pārtiku</w:t>
            </w:r>
            <w:r>
              <w:rPr>
                <w:lang w:val="lv-LV"/>
              </w:rPr>
              <w:t>,</w:t>
            </w:r>
            <w:r w:rsidRPr="00CF72E7">
              <w:rPr>
                <w:lang w:val="lv-LV"/>
              </w:rPr>
              <w:t xml:space="preserve"> noteiktos mērķus un ņemtu vērā Eiropas Komisijas iebildumu par nepieciešamību noteikt realizācijas attāluma ierobežojumus, noteikumu projektā ir </w:t>
            </w:r>
            <w:r>
              <w:rPr>
                <w:lang w:val="lv-LV"/>
              </w:rPr>
              <w:t>ietver</w:t>
            </w:r>
            <w:r w:rsidRPr="00CF72E7">
              <w:rPr>
                <w:lang w:val="lv-LV"/>
              </w:rPr>
              <w:t xml:space="preserve">tas prasības svaigpiena izplatīšanas attālumam. </w:t>
            </w:r>
          </w:p>
          <w:p w:rsidR="00287B81" w:rsidRPr="00CF72E7" w:rsidRDefault="00287B81" w:rsidP="0097230D">
            <w:pPr>
              <w:jc w:val="both"/>
              <w:rPr>
                <w:lang w:val="lv-LV"/>
              </w:rPr>
            </w:pPr>
            <w:r>
              <w:rPr>
                <w:lang w:val="lv-LV"/>
              </w:rPr>
              <w:t>Tā kā</w:t>
            </w:r>
            <w:r w:rsidRPr="00CF72E7">
              <w:rPr>
                <w:lang w:val="lv-LV"/>
              </w:rPr>
              <w:t xml:space="preserve"> svaigpiena ražotājiem būs jāpiemērojas minētajiem ierobežojumiem, noteikumu projektā ir </w:t>
            </w:r>
            <w:r>
              <w:rPr>
                <w:lang w:val="lv-LV"/>
              </w:rPr>
              <w:t>paredzē</w:t>
            </w:r>
            <w:r w:rsidRPr="00CF72E7">
              <w:rPr>
                <w:lang w:val="lv-LV"/>
              </w:rPr>
              <w:t>ts pārejas periods.</w:t>
            </w:r>
          </w:p>
          <w:p w:rsidR="00287B81" w:rsidRPr="00074CFD" w:rsidRDefault="00287B81" w:rsidP="0097230D">
            <w:pPr>
              <w:jc w:val="both"/>
              <w:rPr>
                <w:lang w:val="lv-LV"/>
              </w:rPr>
            </w:pPr>
            <w:r w:rsidRPr="00074CFD">
              <w:rPr>
                <w:lang w:val="lv-LV"/>
              </w:rPr>
              <w:t xml:space="preserve">Lai varētu piegādāt svaigpienu galapatērētājam vai </w:t>
            </w:r>
            <w:r w:rsidRPr="00A12563">
              <w:rPr>
                <w:lang w:val="lv-LV"/>
              </w:rPr>
              <w:t>mazumtirdzniecības uzņēmumam, kas tieši apgādā galapatērētāju</w:t>
            </w:r>
            <w:r>
              <w:rPr>
                <w:lang w:val="lv-LV"/>
              </w:rPr>
              <w:t xml:space="preserve"> Latvijas teritorijā (vietējais tirgus), atbilstoši </w:t>
            </w:r>
            <w:r>
              <w:rPr>
                <w:lang w:val="lv-LV"/>
              </w:rPr>
              <w:lastRenderedPageBreak/>
              <w:t xml:space="preserve">noteikumiem Nr.345, lai svaigpienu varētu realizēt, </w:t>
            </w:r>
            <w:r w:rsidRPr="00074CFD">
              <w:rPr>
                <w:lang w:val="lv-LV"/>
              </w:rPr>
              <w:t>ir nepieciešama svaigpiena realizācijas atļauja. Noteikumu projekt</w:t>
            </w:r>
            <w:r>
              <w:rPr>
                <w:lang w:val="lv-LV"/>
              </w:rPr>
              <w:t>ā</w:t>
            </w:r>
            <w:r w:rsidRPr="00074CFD">
              <w:rPr>
                <w:lang w:val="lv-LV"/>
              </w:rPr>
              <w:t xml:space="preserve"> </w:t>
            </w:r>
            <w:r>
              <w:rPr>
                <w:lang w:val="lv-LV"/>
              </w:rPr>
              <w:t xml:space="preserve">precizēta </w:t>
            </w:r>
            <w:r w:rsidRPr="00074CFD">
              <w:rPr>
                <w:lang w:val="lv-LV"/>
              </w:rPr>
              <w:t>kārtīb</w:t>
            </w:r>
            <w:r>
              <w:rPr>
                <w:lang w:val="lv-LV"/>
              </w:rPr>
              <w:t>a</w:t>
            </w:r>
            <w:r w:rsidRPr="00074CFD">
              <w:rPr>
                <w:lang w:val="lv-LV"/>
              </w:rPr>
              <w:t xml:space="preserve">, kādā izsniedz, aptur un atjauno svaigpiena realizācijas atļauju. </w:t>
            </w:r>
            <w:r>
              <w:rPr>
                <w:lang w:val="lv-LV"/>
              </w:rPr>
              <w:t xml:space="preserve">Ievērojot </w:t>
            </w:r>
            <w:r w:rsidRPr="00074CFD">
              <w:rPr>
                <w:szCs w:val="28"/>
                <w:lang w:val="lv-LV"/>
              </w:rPr>
              <w:t>Ministru kabineta</w:t>
            </w:r>
            <w:r>
              <w:rPr>
                <w:lang w:val="lv-LV"/>
              </w:rPr>
              <w:t xml:space="preserve"> 2016. gada 5. janvāra</w:t>
            </w:r>
            <w:r w:rsidRPr="00E37583">
              <w:rPr>
                <w:lang w:val="lv-LV"/>
              </w:rPr>
              <w:t xml:space="preserve"> sēdes prot</w:t>
            </w:r>
            <w:r>
              <w:rPr>
                <w:lang w:val="lv-LV"/>
              </w:rPr>
              <w:t>okola</w:t>
            </w:r>
            <w:r w:rsidRPr="00E37583">
              <w:rPr>
                <w:lang w:val="lv-LV"/>
              </w:rPr>
              <w:t xml:space="preserve"> Nr.1 28.</w:t>
            </w:r>
            <w:r w:rsidRPr="00E37583">
              <w:rPr>
                <w:lang w:val="lv-LV" w:eastAsia="lv-LV"/>
              </w:rPr>
              <w:t xml:space="preserve">§ </w:t>
            </w:r>
            <w:r w:rsidRPr="00A71992">
              <w:rPr>
                <w:lang w:val="lv-LV" w:eastAsia="lv-LV"/>
              </w:rPr>
              <w:t>13.</w:t>
            </w:r>
            <w:r>
              <w:rPr>
                <w:lang w:val="lv-LV" w:eastAsia="lv-LV"/>
              </w:rPr>
              <w:t xml:space="preserve"> </w:t>
            </w:r>
            <w:r w:rsidRPr="00A71992">
              <w:rPr>
                <w:lang w:val="lv-LV" w:eastAsia="lv-LV"/>
              </w:rPr>
              <w:t>punkt</w:t>
            </w:r>
            <w:r w:rsidRPr="00D23516">
              <w:rPr>
                <w:lang w:val="lv-LV" w:eastAsia="lv-LV"/>
              </w:rPr>
              <w:t>u</w:t>
            </w:r>
            <w:r>
              <w:rPr>
                <w:lang w:val="lv-LV" w:eastAsia="lv-LV"/>
              </w:rPr>
              <w:t>, noteikumu projektā</w:t>
            </w:r>
            <w:r w:rsidRPr="00A71992">
              <w:rPr>
                <w:lang w:val="lv-LV"/>
              </w:rPr>
              <w:t xml:space="preserve"> jāparedz iespēja </w:t>
            </w:r>
            <w:r w:rsidRPr="00A71992">
              <w:rPr>
                <w:color w:val="2A2A2A"/>
                <w:lang w:val="lv-LV" w:eastAsia="lv-LV"/>
              </w:rPr>
              <w:t>saziņas nodrošināšanai</w:t>
            </w:r>
            <w:proofErr w:type="gramStart"/>
            <w:r w:rsidRPr="00A71992">
              <w:rPr>
                <w:color w:val="2A2A2A"/>
                <w:lang w:val="lv-LV" w:eastAsia="lv-LV"/>
              </w:rPr>
              <w:t xml:space="preserve"> starp iestādi un privātpersonu izmanto</w:t>
            </w:r>
            <w:r>
              <w:rPr>
                <w:color w:val="2A2A2A"/>
                <w:lang w:val="lv-LV" w:eastAsia="lv-LV"/>
              </w:rPr>
              <w:t>jot</w:t>
            </w:r>
            <w:r w:rsidRPr="00A71992">
              <w:rPr>
                <w:color w:val="2A2A2A"/>
                <w:lang w:val="lv-LV" w:eastAsia="lv-LV"/>
              </w:rPr>
              <w:t xml:space="preserve"> oficiālo elektronisko adresi</w:t>
            </w:r>
            <w:proofErr w:type="gramEnd"/>
            <w:r w:rsidRPr="00A71992">
              <w:rPr>
                <w:lang w:val="lv-LV" w:eastAsia="lv-LV"/>
              </w:rPr>
              <w:t>.</w:t>
            </w:r>
          </w:p>
          <w:p w:rsidR="00287B81" w:rsidRPr="0099604A" w:rsidRDefault="00287B81" w:rsidP="0097230D">
            <w:pPr>
              <w:jc w:val="both"/>
              <w:rPr>
                <w:b/>
                <w:color w:val="000000"/>
                <w:lang w:val="lv-LV"/>
              </w:rPr>
            </w:pPr>
            <w:r w:rsidRPr="00074CFD">
              <w:rPr>
                <w:lang w:val="lv-LV"/>
              </w:rPr>
              <w:t>Ražotājs, iesniedzot Pārtikas un v</w:t>
            </w:r>
            <w:r>
              <w:rPr>
                <w:lang w:val="lv-LV"/>
              </w:rPr>
              <w:t>eterinārajam dienestam (turpmāk – </w:t>
            </w:r>
            <w:r w:rsidRPr="00074CFD">
              <w:rPr>
                <w:lang w:val="lv-LV"/>
              </w:rPr>
              <w:t xml:space="preserve">PVD) </w:t>
            </w:r>
            <w:r>
              <w:rPr>
                <w:lang w:val="lv-LV"/>
              </w:rPr>
              <w:t>iesniegumu</w:t>
            </w:r>
            <w:r w:rsidRPr="00074CFD">
              <w:rPr>
                <w:lang w:val="lv-LV"/>
              </w:rPr>
              <w:t xml:space="preserve"> svaigpiena realizācijas atļaujas saņemšanai, iesniedz</w:t>
            </w:r>
            <w:r>
              <w:rPr>
                <w:lang w:val="lv-LV"/>
              </w:rPr>
              <w:t xml:space="preserve"> arī pārskatu par laboratoriskās testēšanas rezultātiem, </w:t>
            </w:r>
            <w:r w:rsidRPr="00250337">
              <w:rPr>
                <w:szCs w:val="28"/>
                <w:lang w:val="lv-LV"/>
              </w:rPr>
              <w:t xml:space="preserve">kas </w:t>
            </w:r>
            <w:r>
              <w:rPr>
                <w:szCs w:val="28"/>
                <w:lang w:val="lv-LV"/>
              </w:rPr>
              <w:t>iegūti</w:t>
            </w:r>
            <w:r w:rsidRPr="00250337">
              <w:rPr>
                <w:szCs w:val="28"/>
                <w:lang w:val="lv-LV"/>
              </w:rPr>
              <w:t xml:space="preserve"> divu nedēļu laikā pirms iesnieguma iesniegšanas un apliecina</w:t>
            </w:r>
            <w:r w:rsidRPr="00250337">
              <w:rPr>
                <w:sz w:val="22"/>
                <w:lang w:val="lv-LV"/>
              </w:rPr>
              <w:t xml:space="preserve"> </w:t>
            </w:r>
            <w:r>
              <w:rPr>
                <w:lang w:val="lv-LV"/>
              </w:rPr>
              <w:t>svaigpiena</w:t>
            </w:r>
            <w:r>
              <w:rPr>
                <w:lang w:val="lv-LV" w:eastAsia="lv-LV"/>
              </w:rPr>
              <w:t xml:space="preserve"> atbilstību mikrobioloģiskās un kvalitātes kritērijiem. Analīžu rezultāti, kuros norādīts </w:t>
            </w:r>
            <w:r w:rsidRPr="001D0C61">
              <w:rPr>
                <w:color w:val="000000"/>
                <w:lang w:val="lv-LV"/>
              </w:rPr>
              <w:t>baktēriju</w:t>
            </w:r>
            <w:r>
              <w:rPr>
                <w:color w:val="000000"/>
                <w:lang w:val="lv-LV"/>
              </w:rPr>
              <w:t xml:space="preserve"> un</w:t>
            </w:r>
            <w:r w:rsidRPr="001D0C61">
              <w:rPr>
                <w:color w:val="000000"/>
                <w:lang w:val="lv-LV"/>
              </w:rPr>
              <w:t xml:space="preserve"> somatisko šūnu skaits</w:t>
            </w:r>
            <w:r>
              <w:rPr>
                <w:color w:val="000000"/>
                <w:lang w:val="lv-LV"/>
              </w:rPr>
              <w:t>,</w:t>
            </w:r>
            <w:r w:rsidRPr="001D0C61">
              <w:rPr>
                <w:color w:val="000000"/>
                <w:lang w:val="lv-LV"/>
              </w:rPr>
              <w:t xml:space="preserve"> </w:t>
            </w:r>
            <w:proofErr w:type="spellStart"/>
            <w:r w:rsidRPr="001D0C61">
              <w:rPr>
                <w:color w:val="000000"/>
                <w:lang w:val="lv-LV"/>
              </w:rPr>
              <w:t>inhibitorvielu</w:t>
            </w:r>
            <w:proofErr w:type="spellEnd"/>
            <w:r w:rsidRPr="001D0C61">
              <w:rPr>
                <w:color w:val="000000"/>
                <w:lang w:val="lv-LV"/>
              </w:rPr>
              <w:t xml:space="preserve"> klātbūtne pienā un </w:t>
            </w:r>
            <w:r>
              <w:rPr>
                <w:color w:val="000000"/>
                <w:lang w:val="lv-LV"/>
              </w:rPr>
              <w:t>tā</w:t>
            </w:r>
            <w:r w:rsidRPr="001D0C61">
              <w:rPr>
                <w:color w:val="000000"/>
                <w:lang w:val="lv-LV"/>
              </w:rPr>
              <w:t xml:space="preserve"> sasalšanas punkts</w:t>
            </w:r>
            <w:r>
              <w:rPr>
                <w:color w:val="000000"/>
                <w:lang w:val="lv-LV"/>
              </w:rPr>
              <w:t>,</w:t>
            </w:r>
            <w:r w:rsidRPr="001D0C61">
              <w:rPr>
                <w:color w:val="000000"/>
                <w:lang w:val="lv-LV"/>
              </w:rPr>
              <w:t xml:space="preserve"> liecina</w:t>
            </w:r>
            <w:r>
              <w:rPr>
                <w:color w:val="000000"/>
                <w:lang w:val="lv-LV"/>
              </w:rPr>
              <w:t xml:space="preserve"> par svaigpiena</w:t>
            </w:r>
            <w:r w:rsidRPr="001D0C61">
              <w:rPr>
                <w:color w:val="000000"/>
                <w:lang w:val="lv-LV"/>
              </w:rPr>
              <w:t xml:space="preserve"> kvalitāti.</w:t>
            </w:r>
            <w:r>
              <w:rPr>
                <w:color w:val="000000"/>
                <w:lang w:val="lv-LV"/>
              </w:rPr>
              <w:t xml:space="preserve"> </w:t>
            </w:r>
            <w:r>
              <w:rPr>
                <w:lang w:val="lv-LV" w:eastAsia="lv-LV"/>
              </w:rPr>
              <w:t>Ražotājam jānodrošina piena l</w:t>
            </w:r>
            <w:r w:rsidRPr="00074CFD">
              <w:rPr>
                <w:lang w:val="lv-LV"/>
              </w:rPr>
              <w:t>aboratorisk</w:t>
            </w:r>
            <w:r>
              <w:rPr>
                <w:lang w:val="lv-LV"/>
              </w:rPr>
              <w:t>ā</w:t>
            </w:r>
            <w:r w:rsidRPr="00074CFD">
              <w:rPr>
                <w:lang w:val="lv-LV"/>
              </w:rPr>
              <w:t xml:space="preserve"> testēšan</w:t>
            </w:r>
            <w:r>
              <w:rPr>
                <w:lang w:val="lv-LV"/>
              </w:rPr>
              <w:t>a</w:t>
            </w:r>
            <w:r w:rsidRPr="00074CFD">
              <w:rPr>
                <w:lang w:val="lv-LV"/>
              </w:rPr>
              <w:t xml:space="preserve"> </w:t>
            </w:r>
            <w:r>
              <w:rPr>
                <w:lang w:val="lv-LV"/>
              </w:rPr>
              <w:t>arī</w:t>
            </w:r>
            <w:r w:rsidRPr="00074CFD">
              <w:rPr>
                <w:lang w:val="lv-LV"/>
              </w:rPr>
              <w:t xml:space="preserve"> uz patogēno </w:t>
            </w:r>
            <w:proofErr w:type="spellStart"/>
            <w:r w:rsidRPr="00074CFD">
              <w:rPr>
                <w:lang w:val="lv-LV"/>
              </w:rPr>
              <w:t>mikrofloru</w:t>
            </w:r>
            <w:proofErr w:type="spellEnd"/>
            <w:r>
              <w:rPr>
                <w:lang w:val="lv-LV"/>
              </w:rPr>
              <w:t xml:space="preserve">. </w:t>
            </w:r>
            <w:r w:rsidRPr="00074CFD">
              <w:rPr>
                <w:lang w:val="lv-LV"/>
              </w:rPr>
              <w:t xml:space="preserve">Patogēnās </w:t>
            </w:r>
            <w:proofErr w:type="spellStart"/>
            <w:r w:rsidRPr="00074CFD">
              <w:rPr>
                <w:lang w:val="lv-LV"/>
              </w:rPr>
              <w:t>mikrofloras</w:t>
            </w:r>
            <w:proofErr w:type="spellEnd"/>
            <w:r>
              <w:rPr>
                <w:lang w:val="lv-LV"/>
              </w:rPr>
              <w:t xml:space="preserve"> (</w:t>
            </w:r>
            <w:proofErr w:type="spellStart"/>
            <w:r w:rsidRPr="00CF602E">
              <w:rPr>
                <w:i/>
                <w:iCs/>
                <w:lang w:val="lv-LV"/>
              </w:rPr>
              <w:t>Staphylococcus</w:t>
            </w:r>
            <w:proofErr w:type="spellEnd"/>
            <w:r w:rsidRPr="00CF602E">
              <w:rPr>
                <w:i/>
                <w:iCs/>
                <w:lang w:val="lv-LV"/>
              </w:rPr>
              <w:t xml:space="preserve"> </w:t>
            </w:r>
            <w:proofErr w:type="spellStart"/>
            <w:r w:rsidRPr="00CF602E">
              <w:rPr>
                <w:i/>
                <w:iCs/>
                <w:lang w:val="lv-LV"/>
              </w:rPr>
              <w:t>aureus</w:t>
            </w:r>
            <w:proofErr w:type="spellEnd"/>
            <w:r>
              <w:rPr>
                <w:i/>
                <w:iCs/>
                <w:lang w:val="lv-LV"/>
              </w:rPr>
              <w:t>,</w:t>
            </w:r>
            <w:r>
              <w:rPr>
                <w:lang w:val="lv-LV"/>
              </w:rPr>
              <w:t xml:space="preserve"> </w:t>
            </w:r>
            <w:r w:rsidRPr="00CF602E">
              <w:rPr>
                <w:i/>
                <w:iCs/>
                <w:lang w:val="lv-LV"/>
              </w:rPr>
              <w:t xml:space="preserve">Salmonella </w:t>
            </w:r>
            <w:proofErr w:type="spellStart"/>
            <w:r w:rsidRPr="00CF602E">
              <w:rPr>
                <w:i/>
                <w:iCs/>
                <w:lang w:val="lv-LV"/>
              </w:rPr>
              <w:t>spp</w:t>
            </w:r>
            <w:proofErr w:type="spellEnd"/>
            <w:r w:rsidRPr="00CF602E">
              <w:rPr>
                <w:i/>
                <w:iCs/>
                <w:lang w:val="lv-LV"/>
              </w:rPr>
              <w:t>.</w:t>
            </w:r>
            <w:r>
              <w:rPr>
                <w:lang w:val="lv-LV"/>
              </w:rPr>
              <w:t>)</w:t>
            </w:r>
            <w:r w:rsidRPr="00074CFD">
              <w:rPr>
                <w:lang w:val="lv-LV"/>
              </w:rPr>
              <w:t xml:space="preserve"> klātbūtne svaigpienā būtiski ietekmē </w:t>
            </w:r>
            <w:r>
              <w:rPr>
                <w:lang w:val="lv-LV"/>
              </w:rPr>
              <w:t>tā</w:t>
            </w:r>
            <w:r w:rsidRPr="00074CFD">
              <w:rPr>
                <w:lang w:val="lv-LV"/>
              </w:rPr>
              <w:t xml:space="preserve"> nekaitīgumu, tāpēc šo kritēriju atbilstība ir nozīmīgs svaigpiena nekaitīguma </w:t>
            </w:r>
            <w:r>
              <w:rPr>
                <w:lang w:val="lv-LV"/>
              </w:rPr>
              <w:t>kritērijs</w:t>
            </w:r>
            <w:r w:rsidRPr="00074CFD">
              <w:rPr>
                <w:lang w:val="lv-LV"/>
              </w:rPr>
              <w:t xml:space="preserve">. </w:t>
            </w:r>
            <w:r>
              <w:rPr>
                <w:lang w:val="lv-LV"/>
              </w:rPr>
              <w:t xml:space="preserve"> </w:t>
            </w:r>
          </w:p>
          <w:p w:rsidR="00287B81" w:rsidRDefault="00287B81" w:rsidP="0097230D">
            <w:pPr>
              <w:jc w:val="both"/>
              <w:rPr>
                <w:lang w:val="lv-LV"/>
              </w:rPr>
            </w:pPr>
            <w:r>
              <w:rPr>
                <w:bCs/>
                <w:lang w:val="lv-LV" w:eastAsia="lv-LV"/>
              </w:rPr>
              <w:t>PVD</w:t>
            </w:r>
            <w:r w:rsidRPr="00074CFD">
              <w:rPr>
                <w:bCs/>
                <w:lang w:val="lv-LV" w:eastAsia="lv-LV"/>
              </w:rPr>
              <w:t xml:space="preserve"> pēc </w:t>
            </w:r>
            <w:r w:rsidRPr="009015E8">
              <w:rPr>
                <w:bCs/>
                <w:lang w:val="lv-LV" w:eastAsia="lv-LV"/>
              </w:rPr>
              <w:t xml:space="preserve">iesnieguma un </w:t>
            </w:r>
            <w:r w:rsidRPr="009015E8">
              <w:rPr>
                <w:szCs w:val="28"/>
                <w:lang w:val="lv-LV"/>
              </w:rPr>
              <w:t xml:space="preserve">laboratoriskās testēšanas rezultātu </w:t>
            </w:r>
            <w:r w:rsidRPr="009015E8">
              <w:rPr>
                <w:bCs/>
                <w:lang w:val="lv-LV" w:eastAsia="lv-LV"/>
              </w:rPr>
              <w:t>saņemšanas izvērtē to</w:t>
            </w:r>
            <w:r w:rsidRPr="009015E8">
              <w:rPr>
                <w:szCs w:val="28"/>
                <w:lang w:val="lv-LV"/>
              </w:rPr>
              <w:t xml:space="preserve"> atbilstību normatīv</w:t>
            </w:r>
            <w:r>
              <w:rPr>
                <w:szCs w:val="28"/>
                <w:lang w:val="lv-LV"/>
              </w:rPr>
              <w:t>o</w:t>
            </w:r>
            <w:r w:rsidRPr="009015E8">
              <w:rPr>
                <w:szCs w:val="28"/>
                <w:lang w:val="lv-LV"/>
              </w:rPr>
              <w:t xml:space="preserve"> akt</w:t>
            </w:r>
            <w:r>
              <w:rPr>
                <w:szCs w:val="28"/>
                <w:lang w:val="lv-LV"/>
              </w:rPr>
              <w:t>u prasībām</w:t>
            </w:r>
            <w:r w:rsidRPr="009015E8">
              <w:rPr>
                <w:bCs/>
                <w:lang w:val="lv-LV" w:eastAsia="lv-LV"/>
              </w:rPr>
              <w:t>.</w:t>
            </w:r>
            <w:r w:rsidRPr="009015E8">
              <w:rPr>
                <w:lang w:val="lv-LV"/>
              </w:rPr>
              <w:t xml:space="preserve"> </w:t>
            </w:r>
            <w:r w:rsidRPr="00074CFD">
              <w:rPr>
                <w:lang w:val="lv-LV"/>
              </w:rPr>
              <w:t>Noteikumos Nr.345 ir noteiktas prasības, ka PVD</w:t>
            </w:r>
            <w:r>
              <w:rPr>
                <w:lang w:val="lv-LV"/>
              </w:rPr>
              <w:t>,</w:t>
            </w:r>
            <w:r w:rsidRPr="00074CFD">
              <w:rPr>
                <w:lang w:val="lv-LV"/>
              </w:rPr>
              <w:t xml:space="preserve"> veicot pārbaudi novietnē, ņem paraugus, lai pārliecinātos par svaigpiena atbilstību mikrobioloģiska</w:t>
            </w:r>
            <w:r>
              <w:rPr>
                <w:lang w:val="lv-LV"/>
              </w:rPr>
              <w:t>jiem un kvalitātes kritērijiem, bet s</w:t>
            </w:r>
            <w:r w:rsidRPr="00074CFD">
              <w:rPr>
                <w:lang w:val="lv-LV"/>
              </w:rPr>
              <w:t xml:space="preserve">vaigpiena ražotājs </w:t>
            </w:r>
            <w:r>
              <w:rPr>
                <w:lang w:val="lv-LV"/>
              </w:rPr>
              <w:t xml:space="preserve">pirms </w:t>
            </w:r>
            <w:r w:rsidRPr="00074CFD">
              <w:rPr>
                <w:lang w:val="lv-LV"/>
              </w:rPr>
              <w:t>iesniegum</w:t>
            </w:r>
            <w:r>
              <w:rPr>
                <w:lang w:val="lv-LV"/>
              </w:rPr>
              <w:t>a iesniegšanas</w:t>
            </w:r>
            <w:r w:rsidRPr="00074CFD">
              <w:rPr>
                <w:lang w:val="lv-LV"/>
              </w:rPr>
              <w:t xml:space="preserve"> jau </w:t>
            </w:r>
            <w:r>
              <w:rPr>
                <w:lang w:val="lv-LV"/>
              </w:rPr>
              <w:t xml:space="preserve">ir </w:t>
            </w:r>
            <w:r w:rsidRPr="00074CFD">
              <w:rPr>
                <w:lang w:val="lv-LV"/>
              </w:rPr>
              <w:t xml:space="preserve">veicis </w:t>
            </w:r>
            <w:r>
              <w:rPr>
                <w:lang w:val="lv-LV"/>
              </w:rPr>
              <w:t>piena laboratoriskos izmeklējumus.</w:t>
            </w:r>
            <w:r w:rsidRPr="00074CFD">
              <w:rPr>
                <w:lang w:val="lv-LV"/>
              </w:rPr>
              <w:t xml:space="preserve"> </w:t>
            </w:r>
            <w:r>
              <w:rPr>
                <w:lang w:val="lv-LV"/>
              </w:rPr>
              <w:t>L</w:t>
            </w:r>
            <w:r w:rsidRPr="00074CFD">
              <w:rPr>
                <w:lang w:val="lv-LV"/>
              </w:rPr>
              <w:t>ai samazinātu administratīvo slogu</w:t>
            </w:r>
            <w:r>
              <w:rPr>
                <w:lang w:val="lv-LV"/>
              </w:rPr>
              <w:t>, tiek atcelta prasība atkārtotai piena laboratorisko izmeklējumu veikšanai. T</w:t>
            </w:r>
            <w:r w:rsidRPr="009015E8">
              <w:rPr>
                <w:lang w:val="lv-LV"/>
              </w:rPr>
              <w:t xml:space="preserve">ā kā </w:t>
            </w:r>
            <w:r>
              <w:rPr>
                <w:lang w:val="lv-LV"/>
              </w:rPr>
              <w:t xml:space="preserve">saskaņā ar spēka esošajiem noteikumiem </w:t>
            </w:r>
            <w:r w:rsidRPr="009015E8">
              <w:rPr>
                <w:lang w:val="lv-LV"/>
              </w:rPr>
              <w:t xml:space="preserve">PVD dzīvnieku novietni pārbauda ne retāk kā reizi gadā, </w:t>
            </w:r>
            <w:r w:rsidRPr="009015E8">
              <w:rPr>
                <w:rFonts w:eastAsiaTheme="minorHAnsi"/>
                <w:lang w:val="lv-LV"/>
              </w:rPr>
              <w:t>tiek</w:t>
            </w:r>
            <w:r w:rsidRPr="009015E8">
              <w:rPr>
                <w:lang w:val="lv-LV"/>
              </w:rPr>
              <w:t xml:space="preserve"> atcelta</w:t>
            </w:r>
            <w:r>
              <w:rPr>
                <w:lang w:val="lv-LV"/>
              </w:rPr>
              <w:t xml:space="preserve"> arī</w:t>
            </w:r>
            <w:r w:rsidRPr="009015E8">
              <w:rPr>
                <w:lang w:val="lv-LV"/>
              </w:rPr>
              <w:t xml:space="preserve"> prasība veikt novietnes pārbaudi</w:t>
            </w:r>
            <w:r>
              <w:rPr>
                <w:lang w:val="lv-LV"/>
              </w:rPr>
              <w:t xml:space="preserve"> brīdī,</w:t>
            </w:r>
            <w:r w:rsidRPr="009015E8">
              <w:rPr>
                <w:lang w:val="lv-LV"/>
              </w:rPr>
              <w:t xml:space="preserve"> kad ražotājs iesniedz iesniegumu</w:t>
            </w:r>
            <w:r>
              <w:rPr>
                <w:lang w:val="lv-LV"/>
              </w:rPr>
              <w:t xml:space="preserve"> svaigpiena realizācijas atļaujas saņemšanai</w:t>
            </w:r>
            <w:r w:rsidRPr="009015E8">
              <w:rPr>
                <w:lang w:val="lv-LV"/>
              </w:rPr>
              <w:t xml:space="preserve">. </w:t>
            </w:r>
          </w:p>
          <w:p w:rsidR="00287B81" w:rsidRPr="00074CFD" w:rsidRDefault="00287B81" w:rsidP="0097230D">
            <w:pPr>
              <w:jc w:val="both"/>
              <w:rPr>
                <w:lang w:val="lv-LV"/>
              </w:rPr>
            </w:pPr>
            <w:r>
              <w:rPr>
                <w:lang w:val="lv-LV"/>
              </w:rPr>
              <w:t>Noteikumu projekts paredz</w:t>
            </w:r>
            <w:r w:rsidRPr="00020B5B">
              <w:rPr>
                <w:lang w:val="lv-LV"/>
              </w:rPr>
              <w:t>, ka svaigpiena ražotājs, k</w:t>
            </w:r>
            <w:r>
              <w:rPr>
                <w:lang w:val="lv-LV"/>
              </w:rPr>
              <w:t>am</w:t>
            </w:r>
            <w:r w:rsidRPr="00020B5B">
              <w:rPr>
                <w:lang w:val="lv-LV"/>
              </w:rPr>
              <w:t xml:space="preserve"> Lauksaimniecības datu centra (turpmāk – datu centrs) svaigpiena kvalitātes datubāzē ir ievietoti dati par saražotā svaigpiena kvalitāti, var izmantot esošos svaigpiena paraugu testēšanas rezultātus, kuros ir aprēķināts baktēriju kopskaita un somatisko šūnu skaita vidējais ģeometriskais rādītājs</w:t>
            </w:r>
            <w:r>
              <w:rPr>
                <w:lang w:val="lv-LV"/>
              </w:rPr>
              <w:t>, pievienojot tos iesniegumam</w:t>
            </w:r>
            <w:r w:rsidRPr="00020B5B">
              <w:rPr>
                <w:lang w:val="lv-LV"/>
              </w:rPr>
              <w:t>.</w:t>
            </w:r>
            <w:r w:rsidRPr="00074CFD">
              <w:rPr>
                <w:lang w:val="lv-LV"/>
              </w:rPr>
              <w:t xml:space="preserve"> </w:t>
            </w:r>
          </w:p>
          <w:p w:rsidR="00287B81" w:rsidRPr="00020B5B" w:rsidRDefault="00287B81" w:rsidP="0097230D">
            <w:pPr>
              <w:jc w:val="both"/>
              <w:rPr>
                <w:lang w:val="lv-LV"/>
              </w:rPr>
            </w:pPr>
            <w:r>
              <w:rPr>
                <w:lang w:val="lv-LV"/>
              </w:rPr>
              <w:t>Noteikumu projekts paredz, ka g</w:t>
            </w:r>
            <w:r w:rsidRPr="009015E8">
              <w:rPr>
                <w:lang w:val="lv-LV"/>
              </w:rPr>
              <w:t xml:space="preserve">adījumos, </w:t>
            </w:r>
            <w:r>
              <w:rPr>
                <w:lang w:val="lv-LV"/>
              </w:rPr>
              <w:t>kad</w:t>
            </w:r>
            <w:r w:rsidRPr="009015E8">
              <w:rPr>
                <w:lang w:val="lv-LV"/>
              </w:rPr>
              <w:t xml:space="preserve"> svaigpiena ražotājs neievēros noteikumos noteiktās prasības, PVD apturēs svaigpiena realizācijas atļauju. Lai atjaunotu svaigpiena realizācijas atļauju, ražotāj</w:t>
            </w:r>
            <w:r>
              <w:rPr>
                <w:lang w:val="lv-LV"/>
              </w:rPr>
              <w:t>am</w:t>
            </w:r>
            <w:r w:rsidRPr="009015E8">
              <w:rPr>
                <w:lang w:val="lv-LV"/>
              </w:rPr>
              <w:t xml:space="preserve"> PVD </w:t>
            </w:r>
            <w:r>
              <w:rPr>
                <w:lang w:val="lv-LV"/>
              </w:rPr>
              <w:t>būs jā</w:t>
            </w:r>
            <w:r w:rsidRPr="009015E8">
              <w:rPr>
                <w:lang w:val="lv-LV"/>
              </w:rPr>
              <w:t>iesniedz iesniegum</w:t>
            </w:r>
            <w:r>
              <w:rPr>
                <w:lang w:val="lv-LV"/>
              </w:rPr>
              <w:t>s</w:t>
            </w:r>
            <w:r w:rsidRPr="009015E8">
              <w:rPr>
                <w:lang w:val="lv-LV"/>
              </w:rPr>
              <w:t xml:space="preserve"> ar lūgumu veikt novietnes pārbaudi, ņemt laboratoriskās testēšanas analīzes un atjaunot atļauju</w:t>
            </w:r>
            <w:r>
              <w:rPr>
                <w:lang w:val="lv-LV"/>
              </w:rPr>
              <w:t xml:space="preserve"> pēc tam, </w:t>
            </w:r>
            <w:r w:rsidRPr="009015E8">
              <w:rPr>
                <w:lang w:val="lv-LV"/>
              </w:rPr>
              <w:t xml:space="preserve">kad </w:t>
            </w:r>
            <w:r>
              <w:rPr>
                <w:lang w:val="lv-LV"/>
              </w:rPr>
              <w:t xml:space="preserve">būs </w:t>
            </w:r>
            <w:r w:rsidRPr="009015E8">
              <w:rPr>
                <w:lang w:val="lv-LV"/>
              </w:rPr>
              <w:t>novērs</w:t>
            </w:r>
            <w:r>
              <w:rPr>
                <w:lang w:val="lv-LV"/>
              </w:rPr>
              <w:t>tas</w:t>
            </w:r>
            <w:r w:rsidRPr="009015E8">
              <w:rPr>
                <w:lang w:val="lv-LV"/>
              </w:rPr>
              <w:t xml:space="preserve"> neatbilstības, kuru </w:t>
            </w:r>
            <w:r>
              <w:rPr>
                <w:lang w:val="lv-LV"/>
              </w:rPr>
              <w:t>dēļ</w:t>
            </w:r>
            <w:r w:rsidRPr="009015E8">
              <w:rPr>
                <w:lang w:val="lv-LV"/>
              </w:rPr>
              <w:t xml:space="preserve"> tika apturēta svaigpiena realizācijas atļauja</w:t>
            </w:r>
            <w:r>
              <w:rPr>
                <w:lang w:val="lv-LV"/>
              </w:rPr>
              <w:t>.</w:t>
            </w:r>
            <w:r w:rsidRPr="009015E8">
              <w:rPr>
                <w:lang w:val="lv-LV"/>
              </w:rPr>
              <w:t xml:space="preserve"> PVD desmit darbdienu laikā pārbaud</w:t>
            </w:r>
            <w:r>
              <w:rPr>
                <w:lang w:val="lv-LV"/>
              </w:rPr>
              <w:t>īs,</w:t>
            </w:r>
            <w:r w:rsidRPr="009015E8">
              <w:rPr>
                <w:lang w:val="lv-LV"/>
              </w:rPr>
              <w:t xml:space="preserve"> vai novietne atbilst šajos noteikumos noteiktajām prasībām</w:t>
            </w:r>
            <w:r>
              <w:rPr>
                <w:lang w:val="lv-LV"/>
              </w:rPr>
              <w:t>,</w:t>
            </w:r>
            <w:r w:rsidRPr="009015E8">
              <w:rPr>
                <w:lang w:val="lv-LV"/>
              </w:rPr>
              <w:t xml:space="preserve"> un </w:t>
            </w:r>
            <w:r>
              <w:rPr>
                <w:lang w:val="lv-LV"/>
              </w:rPr>
              <w:t>no</w:t>
            </w:r>
            <w:r w:rsidRPr="009015E8">
              <w:rPr>
                <w:rFonts w:eastAsiaTheme="minorHAnsi"/>
                <w:lang w:val="lv-LV"/>
              </w:rPr>
              <w:t>ņem</w:t>
            </w:r>
            <w:r>
              <w:rPr>
                <w:rFonts w:eastAsiaTheme="minorHAnsi"/>
                <w:lang w:val="lv-LV"/>
              </w:rPr>
              <w:t>s</w:t>
            </w:r>
            <w:r w:rsidRPr="009015E8">
              <w:rPr>
                <w:rFonts w:eastAsiaTheme="minorHAnsi"/>
                <w:lang w:val="lv-LV"/>
              </w:rPr>
              <w:t xml:space="preserve"> piena paraugu, lai pārliecinātos par svaigpiena </w:t>
            </w:r>
            <w:r w:rsidRPr="009015E8">
              <w:rPr>
                <w:rFonts w:eastAsiaTheme="minorHAnsi"/>
                <w:lang w:val="lv-LV"/>
              </w:rPr>
              <w:lastRenderedPageBreak/>
              <w:t xml:space="preserve">atbilstību šo noteikumu projekta 1. pielikumā minētajiem kritērijiem. Visas izmaksas, kas saistītas ar </w:t>
            </w:r>
            <w:r w:rsidRPr="009015E8">
              <w:rPr>
                <w:lang w:val="lv-LV"/>
              </w:rPr>
              <w:t>piena realizācijas atļauju atjaunošanu, se</w:t>
            </w:r>
            <w:r>
              <w:rPr>
                <w:lang w:val="lv-LV"/>
              </w:rPr>
              <w:t>gs</w:t>
            </w:r>
            <w:r w:rsidRPr="009015E8">
              <w:rPr>
                <w:lang w:val="lv-LV"/>
              </w:rPr>
              <w:t xml:space="preserve"> svaigpiena ražotājs.</w:t>
            </w:r>
            <w:r w:rsidRPr="009015E8">
              <w:rPr>
                <w:sz w:val="28"/>
                <w:szCs w:val="28"/>
                <w:lang w:val="lv-LV"/>
              </w:rPr>
              <w:t xml:space="preserve"> </w:t>
            </w:r>
          </w:p>
          <w:p w:rsidR="00287B81" w:rsidRDefault="00287B81" w:rsidP="0097230D">
            <w:pPr>
              <w:jc w:val="both"/>
              <w:rPr>
                <w:lang w:val="lv-LV"/>
              </w:rPr>
            </w:pPr>
            <w:r w:rsidRPr="00074CFD">
              <w:rPr>
                <w:lang w:val="lv-LV"/>
              </w:rPr>
              <w:t xml:space="preserve">Noteikumu projektā precizēts, </w:t>
            </w:r>
            <w:r>
              <w:rPr>
                <w:lang w:val="lv-LV"/>
              </w:rPr>
              <w:t xml:space="preserve">ka </w:t>
            </w:r>
            <w:r w:rsidRPr="00074CFD">
              <w:rPr>
                <w:lang w:val="lv-LV"/>
              </w:rPr>
              <w:t>dzīvnieku novietne</w:t>
            </w:r>
            <w:r>
              <w:rPr>
                <w:lang w:val="lv-LV"/>
              </w:rPr>
              <w:t>i</w:t>
            </w:r>
            <w:r w:rsidRPr="00074CFD">
              <w:rPr>
                <w:lang w:val="lv-LV"/>
              </w:rPr>
              <w:t>, kurā iegūst svaigpienu</w:t>
            </w:r>
            <w:r>
              <w:rPr>
                <w:lang w:val="lv-LV"/>
              </w:rPr>
              <w:t>,</w:t>
            </w:r>
            <w:r w:rsidRPr="00074CFD">
              <w:rPr>
                <w:lang w:val="lv-LV"/>
              </w:rPr>
              <w:t xml:space="preserve"> </w:t>
            </w:r>
            <w:r>
              <w:rPr>
                <w:lang w:val="lv-LV"/>
              </w:rPr>
              <w:t>jā</w:t>
            </w:r>
            <w:r w:rsidRPr="00074CFD">
              <w:rPr>
                <w:lang w:val="lv-LV"/>
              </w:rPr>
              <w:t>atbilst</w:t>
            </w:r>
            <w:r w:rsidRPr="001104F2">
              <w:rPr>
                <w:shd w:val="clear" w:color="auto" w:fill="FFFFFF" w:themeFill="background1"/>
                <w:lang w:val="lv-LV"/>
              </w:rPr>
              <w:t xml:space="preserve"> </w:t>
            </w:r>
            <w:r>
              <w:rPr>
                <w:lang w:val="lv-LV"/>
              </w:rPr>
              <w:t>normatīvajiem aktiem</w:t>
            </w:r>
            <w:r w:rsidRPr="006E6155">
              <w:rPr>
                <w:lang w:val="lv-LV"/>
              </w:rPr>
              <w:t xml:space="preserve"> </w:t>
            </w:r>
            <w:r>
              <w:rPr>
                <w:lang w:val="lv-LV"/>
              </w:rPr>
              <w:t xml:space="preserve">par </w:t>
            </w:r>
            <w:r w:rsidRPr="006E6155">
              <w:rPr>
                <w:lang w:val="lv-LV"/>
              </w:rPr>
              <w:t>dzīvnieku veselības, labturības, dzīvnieku barības aprites</w:t>
            </w:r>
            <w:r>
              <w:rPr>
                <w:lang w:val="lv-LV"/>
              </w:rPr>
              <w:t>,</w:t>
            </w:r>
            <w:r w:rsidRPr="006E6155">
              <w:rPr>
                <w:lang w:val="lv-LV"/>
              </w:rPr>
              <w:t xml:space="preserve"> pārtikas, veterināro zāļu</w:t>
            </w:r>
            <w:r>
              <w:rPr>
                <w:lang w:val="lv-LV"/>
              </w:rPr>
              <w:t xml:space="preserve"> un</w:t>
            </w:r>
            <w:r w:rsidRPr="006E6155">
              <w:rPr>
                <w:lang w:val="lv-LV"/>
              </w:rPr>
              <w:t xml:space="preserve"> dzīvnieku izcelsmes blakusproduktu aprit</w:t>
            </w:r>
            <w:r>
              <w:rPr>
                <w:lang w:val="lv-LV"/>
              </w:rPr>
              <w:t>i.</w:t>
            </w:r>
            <w:r w:rsidRPr="006E6155">
              <w:rPr>
                <w:lang w:val="lv-LV"/>
              </w:rPr>
              <w:t xml:space="preserve"> </w:t>
            </w:r>
            <w:r>
              <w:rPr>
                <w:lang w:val="lv-LV"/>
              </w:rPr>
              <w:t xml:space="preserve"> </w:t>
            </w:r>
            <w:r>
              <w:rPr>
                <w:bCs/>
                <w:lang w:val="lv-LV" w:eastAsia="lv-LV"/>
              </w:rPr>
              <w:t>Ievērojot</w:t>
            </w:r>
            <w:r w:rsidRPr="00405168">
              <w:rPr>
                <w:bCs/>
                <w:lang w:val="lv-LV" w:eastAsia="lv-LV"/>
              </w:rPr>
              <w:t xml:space="preserve"> līdzšinējo pieredzi, ka svaigpiena ražotājs atdzesē svaigpienu ar neatbilstošām metodēm, kas nenodrošina svaigpiena tūlītēju atdzesēšanu un līdz ar to arī higiēnas un nekaitīguma prasību izpildi, </w:t>
            </w:r>
            <w:r>
              <w:rPr>
                <w:bCs/>
                <w:lang w:val="lv-LV" w:eastAsia="lv-LV"/>
              </w:rPr>
              <w:t>noteikumu projektā ir iekļauta prasība</w:t>
            </w:r>
            <w:r w:rsidRPr="00405168">
              <w:rPr>
                <w:bCs/>
                <w:lang w:val="lv-LV" w:eastAsia="lv-LV"/>
              </w:rPr>
              <w:t xml:space="preserve">, ka </w:t>
            </w:r>
            <w:r>
              <w:rPr>
                <w:bCs/>
                <w:lang w:val="lv-LV" w:eastAsia="lv-LV"/>
              </w:rPr>
              <w:t xml:space="preserve">svaigpiens </w:t>
            </w:r>
            <w:r w:rsidRPr="00405168">
              <w:rPr>
                <w:bCs/>
                <w:lang w:val="lv-LV" w:eastAsia="lv-LV"/>
              </w:rPr>
              <w:t>atdzesē</w:t>
            </w:r>
            <w:r>
              <w:rPr>
                <w:bCs/>
                <w:lang w:val="lv-LV" w:eastAsia="lv-LV"/>
              </w:rPr>
              <w:t>jams</w:t>
            </w:r>
            <w:r w:rsidRPr="00405168">
              <w:rPr>
                <w:bCs/>
                <w:lang w:val="lv-LV" w:eastAsia="lv-LV"/>
              </w:rPr>
              <w:t xml:space="preserve"> aukstuma iekārtās, lai </w:t>
            </w:r>
            <w:r>
              <w:rPr>
                <w:bCs/>
                <w:lang w:val="lv-LV" w:eastAsia="lv-LV"/>
              </w:rPr>
              <w:t>ievērotu</w:t>
            </w:r>
            <w:r w:rsidRPr="007240DA">
              <w:rPr>
                <w:bCs/>
                <w:lang w:val="lv-LV" w:eastAsia="lv-LV"/>
              </w:rPr>
              <w:t xml:space="preserve"> nepieciešamās higiēnas un nekaitīguma </w:t>
            </w:r>
            <w:r>
              <w:rPr>
                <w:bCs/>
                <w:lang w:val="lv-LV" w:eastAsia="lv-LV"/>
              </w:rPr>
              <w:t xml:space="preserve">prasības un svaigpiens tiktu </w:t>
            </w:r>
            <w:r>
              <w:rPr>
                <w:lang w:val="lv-LV"/>
              </w:rPr>
              <w:t>atdzesēts pārtikai piemērotā vietā un veidā. N</w:t>
            </w:r>
            <w:r w:rsidRPr="00E57F22">
              <w:rPr>
                <w:lang w:val="lv-LV"/>
              </w:rPr>
              <w:t>oteikumu projektā noteiktais sešu mēnešu</w:t>
            </w:r>
            <w:r>
              <w:rPr>
                <w:lang w:val="lv-LV"/>
              </w:rPr>
              <w:t xml:space="preserve"> pārejas</w:t>
            </w:r>
            <w:r w:rsidRPr="00E57F22">
              <w:rPr>
                <w:lang w:val="lv-LV"/>
              </w:rPr>
              <w:t xml:space="preserve"> periods</w:t>
            </w:r>
            <w:r>
              <w:rPr>
                <w:lang w:val="lv-LV"/>
              </w:rPr>
              <w:t xml:space="preserve"> ļaus svaigpiena ražotājiem laikus nodrošināt šīs prasības izpildi.</w:t>
            </w:r>
          </w:p>
          <w:p w:rsidR="00287B81" w:rsidRPr="006202B6" w:rsidRDefault="00287B81" w:rsidP="0097230D">
            <w:pPr>
              <w:jc w:val="both"/>
              <w:rPr>
                <w:lang w:val="lv-LV"/>
              </w:rPr>
            </w:pPr>
            <w:r>
              <w:rPr>
                <w:lang w:val="lv-LV"/>
              </w:rPr>
              <w:t>Tāpat noteikumu projektā ir iekļauta norma par to, lai</w:t>
            </w:r>
            <w:r w:rsidRPr="00074CFD">
              <w:rPr>
                <w:lang w:val="lv-LV"/>
              </w:rPr>
              <w:t xml:space="preserve"> personas, kas veic jebkādas darbības ar svaigpienu, lieto</w:t>
            </w:r>
            <w:r>
              <w:rPr>
                <w:lang w:val="lv-LV"/>
              </w:rPr>
              <w:t>tu</w:t>
            </w:r>
            <w:r w:rsidRPr="00074CFD">
              <w:rPr>
                <w:lang w:val="lv-LV"/>
              </w:rPr>
              <w:t xml:space="preserve"> piemērotu un tīru apģērbu un ievēro</w:t>
            </w:r>
            <w:r>
              <w:rPr>
                <w:lang w:val="lv-LV"/>
              </w:rPr>
              <w:t>tu</w:t>
            </w:r>
            <w:r w:rsidRPr="00074CFD">
              <w:rPr>
                <w:lang w:val="lv-LV"/>
              </w:rPr>
              <w:t xml:space="preserve"> personīgo higiēnu.</w:t>
            </w:r>
          </w:p>
          <w:p w:rsidR="00287B81" w:rsidRDefault="00287B81" w:rsidP="0097230D">
            <w:pPr>
              <w:jc w:val="both"/>
              <w:rPr>
                <w:lang w:val="lv-LV"/>
              </w:rPr>
            </w:pPr>
            <w:bookmarkStart w:id="2" w:name="p-552131"/>
            <w:bookmarkStart w:id="3" w:name="p6"/>
            <w:bookmarkEnd w:id="2"/>
            <w:bookmarkEnd w:id="3"/>
            <w:r>
              <w:rPr>
                <w:lang w:val="lv-LV"/>
              </w:rPr>
              <w:t>N</w:t>
            </w:r>
            <w:r w:rsidRPr="00074CFD">
              <w:rPr>
                <w:lang w:val="lv-LV"/>
              </w:rPr>
              <w:t xml:space="preserve">oteikumos </w:t>
            </w:r>
            <w:r>
              <w:rPr>
                <w:lang w:val="lv-LV"/>
              </w:rPr>
              <w:t xml:space="preserve">Nr.345 </w:t>
            </w:r>
            <w:r w:rsidRPr="00074CFD">
              <w:rPr>
                <w:lang w:val="lv-LV"/>
              </w:rPr>
              <w:t xml:space="preserve">ir noteikta prasība, ka svaigpiena paraugu marķē, bet nav </w:t>
            </w:r>
            <w:r>
              <w:rPr>
                <w:lang w:val="lv-LV"/>
              </w:rPr>
              <w:t>precizēts</w:t>
            </w:r>
            <w:r w:rsidRPr="00074CFD">
              <w:rPr>
                <w:lang w:val="lv-LV"/>
              </w:rPr>
              <w:t>, k</w:t>
            </w:r>
            <w:r>
              <w:rPr>
                <w:lang w:val="lv-LV"/>
              </w:rPr>
              <w:t>ādai informācijai</w:t>
            </w:r>
            <w:r w:rsidRPr="00074CFD">
              <w:rPr>
                <w:lang w:val="lv-LV"/>
              </w:rPr>
              <w:t xml:space="preserve"> jābūt </w:t>
            </w:r>
            <w:r>
              <w:rPr>
                <w:lang w:val="lv-LV"/>
              </w:rPr>
              <w:t xml:space="preserve">norādītam </w:t>
            </w:r>
            <w:r w:rsidRPr="00074CFD">
              <w:rPr>
                <w:lang w:val="lv-LV"/>
              </w:rPr>
              <w:t>marķējumā</w:t>
            </w:r>
            <w:r>
              <w:rPr>
                <w:lang w:val="lv-LV"/>
              </w:rPr>
              <w:t>, tāpēc</w:t>
            </w:r>
            <w:r w:rsidRPr="00074CFD">
              <w:rPr>
                <w:lang w:val="lv-LV"/>
              </w:rPr>
              <w:t xml:space="preserve"> noteikumu projektā </w:t>
            </w:r>
            <w:r>
              <w:rPr>
                <w:lang w:val="lv-LV"/>
              </w:rPr>
              <w:t>paredzēts</w:t>
            </w:r>
            <w:r w:rsidRPr="00074CFD">
              <w:rPr>
                <w:lang w:val="lv-LV"/>
              </w:rPr>
              <w:t>, ka svaigpiena parauga marķējum</w:t>
            </w:r>
            <w:r>
              <w:rPr>
                <w:lang w:val="lv-LV"/>
              </w:rPr>
              <w:t>ā</w:t>
            </w:r>
            <w:r w:rsidRPr="00074CFD">
              <w:rPr>
                <w:lang w:val="lv-LV"/>
              </w:rPr>
              <w:t xml:space="preserve"> jābūt norādītam novietnes numuram. </w:t>
            </w:r>
          </w:p>
          <w:p w:rsidR="00287B81" w:rsidRDefault="00287B81" w:rsidP="0097230D">
            <w:pPr>
              <w:pStyle w:val="Bezatstarpm"/>
              <w:jc w:val="both"/>
              <w:rPr>
                <w:szCs w:val="24"/>
              </w:rPr>
            </w:pPr>
            <w:r>
              <w:rPr>
                <w:szCs w:val="24"/>
              </w:rPr>
              <w:t>Noteikumu projekta 1. pielikumā noteikti arī mikrobioloģiskie un kvalitātes kritēriji kazas svaigpienam, savukārt 2. p</w:t>
            </w:r>
            <w:r w:rsidRPr="00635E22">
              <w:rPr>
                <w:szCs w:val="24"/>
              </w:rPr>
              <w:t>ielikum</w:t>
            </w:r>
            <w:r>
              <w:rPr>
                <w:szCs w:val="24"/>
              </w:rPr>
              <w:t>ā</w:t>
            </w:r>
            <w:r w:rsidRPr="00635E22">
              <w:rPr>
                <w:szCs w:val="24"/>
              </w:rPr>
              <w:t xml:space="preserve"> </w:t>
            </w:r>
            <w:r>
              <w:rPr>
                <w:szCs w:val="24"/>
              </w:rPr>
              <w:t xml:space="preserve">noteiktajā svaigpiena </w:t>
            </w:r>
            <w:r w:rsidRPr="00635E22">
              <w:rPr>
                <w:rFonts w:eastAsiaTheme="minorHAnsi"/>
                <w:szCs w:val="24"/>
              </w:rPr>
              <w:t>pavaddokumentā</w:t>
            </w:r>
            <w:r>
              <w:rPr>
                <w:rFonts w:eastAsiaTheme="minorHAnsi"/>
                <w:szCs w:val="24"/>
              </w:rPr>
              <w:t xml:space="preserve"> paredzēta iespēja norādīt</w:t>
            </w:r>
            <w:r w:rsidRPr="00635E22">
              <w:rPr>
                <w:rFonts w:eastAsiaTheme="minorHAnsi"/>
                <w:szCs w:val="24"/>
              </w:rPr>
              <w:t xml:space="preserve"> </w:t>
            </w:r>
            <w:r w:rsidRPr="00635E22">
              <w:rPr>
                <w:szCs w:val="24"/>
              </w:rPr>
              <w:t xml:space="preserve">dzīvnieku </w:t>
            </w:r>
            <w:r>
              <w:rPr>
                <w:szCs w:val="24"/>
              </w:rPr>
              <w:t>sugas nosaukumu.</w:t>
            </w:r>
          </w:p>
          <w:p w:rsidR="00287B81" w:rsidRPr="00CF72E7" w:rsidRDefault="00287B81" w:rsidP="0097230D">
            <w:pPr>
              <w:jc w:val="both"/>
              <w:rPr>
                <w:lang w:val="lv-LV"/>
              </w:rPr>
            </w:pPr>
            <w:r w:rsidRPr="00CF72E7">
              <w:rPr>
                <w:lang w:val="lv-LV"/>
              </w:rPr>
              <w:t xml:space="preserve">Lai izpildītu </w:t>
            </w:r>
            <w:r w:rsidRPr="00CF72E7">
              <w:rPr>
                <w:color w:val="2A2A2A"/>
                <w:lang w:val="lv-LV" w:eastAsia="lv-LV"/>
              </w:rPr>
              <w:t xml:space="preserve">Ministru kabineta 2018. gada 6. marta sēdes protokola Nr. 14 40. § „Likumprojekts „Personas datu apstrādes likums”” 3. punktā noteikto, </w:t>
            </w:r>
            <w:r w:rsidRPr="00CF72E7">
              <w:rPr>
                <w:lang w:val="lv-LV"/>
              </w:rPr>
              <w:t>noteikumu projektā iestrādātas tiesību normas, kas nosaka nosacījumus fizisko personu datu apstrādei.</w:t>
            </w:r>
          </w:p>
        </w:tc>
      </w:tr>
      <w:tr w:rsidR="00287B81" w:rsidRPr="00074CFD" w:rsidTr="0097230D">
        <w:tc>
          <w:tcPr>
            <w:tcW w:w="250" w:type="pct"/>
          </w:tcPr>
          <w:p w:rsidR="00287B81" w:rsidRPr="00074CFD" w:rsidRDefault="00287B81" w:rsidP="0097230D">
            <w:pPr>
              <w:jc w:val="center"/>
              <w:rPr>
                <w:lang w:val="lv-LV" w:eastAsia="lv-LV"/>
              </w:rPr>
            </w:pPr>
            <w:r w:rsidRPr="00074CFD">
              <w:rPr>
                <w:lang w:val="lv-LV" w:eastAsia="lv-LV"/>
              </w:rPr>
              <w:lastRenderedPageBreak/>
              <w:t>3.</w:t>
            </w:r>
          </w:p>
        </w:tc>
        <w:tc>
          <w:tcPr>
            <w:tcW w:w="1397" w:type="pct"/>
          </w:tcPr>
          <w:p w:rsidR="00287B81" w:rsidRPr="00074CFD" w:rsidRDefault="00287B81" w:rsidP="0097230D">
            <w:pPr>
              <w:jc w:val="both"/>
              <w:rPr>
                <w:lang w:val="lv-LV" w:eastAsia="lv-LV"/>
              </w:rPr>
            </w:pPr>
            <w:r w:rsidRPr="00074CFD">
              <w:rPr>
                <w:lang w:val="lv-LV" w:eastAsia="lv-LV"/>
              </w:rPr>
              <w:t>Projekta izstrādē iesaistītās institūcijas</w:t>
            </w:r>
          </w:p>
        </w:tc>
        <w:tc>
          <w:tcPr>
            <w:tcW w:w="3353" w:type="pct"/>
          </w:tcPr>
          <w:p w:rsidR="00287B81" w:rsidRPr="00074CFD" w:rsidRDefault="00287B81" w:rsidP="0097230D">
            <w:pPr>
              <w:jc w:val="both"/>
              <w:rPr>
                <w:highlight w:val="yellow"/>
                <w:lang w:val="lv-LV" w:eastAsia="lv-LV"/>
              </w:rPr>
            </w:pPr>
            <w:r w:rsidRPr="00074CFD">
              <w:rPr>
                <w:lang w:val="lv-LV"/>
              </w:rPr>
              <w:t>Pārtikas un veterinārais dienests</w:t>
            </w:r>
          </w:p>
        </w:tc>
      </w:tr>
      <w:tr w:rsidR="00287B81" w:rsidRPr="00E936A3" w:rsidTr="0097230D">
        <w:tc>
          <w:tcPr>
            <w:tcW w:w="250" w:type="pct"/>
          </w:tcPr>
          <w:p w:rsidR="00287B81" w:rsidRPr="00074CFD" w:rsidRDefault="00287B81" w:rsidP="0097230D">
            <w:pPr>
              <w:jc w:val="center"/>
              <w:rPr>
                <w:lang w:val="lv-LV" w:eastAsia="lv-LV"/>
              </w:rPr>
            </w:pPr>
            <w:r w:rsidRPr="00074CFD">
              <w:rPr>
                <w:lang w:val="lv-LV" w:eastAsia="lv-LV"/>
              </w:rPr>
              <w:t>4.</w:t>
            </w:r>
          </w:p>
        </w:tc>
        <w:tc>
          <w:tcPr>
            <w:tcW w:w="1397" w:type="pct"/>
          </w:tcPr>
          <w:p w:rsidR="00287B81" w:rsidRPr="00074CFD" w:rsidRDefault="00287B81" w:rsidP="0097230D">
            <w:pPr>
              <w:jc w:val="both"/>
              <w:rPr>
                <w:lang w:val="lv-LV" w:eastAsia="lv-LV"/>
              </w:rPr>
            </w:pPr>
            <w:r w:rsidRPr="00074CFD">
              <w:rPr>
                <w:lang w:val="lv-LV" w:eastAsia="lv-LV"/>
              </w:rPr>
              <w:t>Cita informācija</w:t>
            </w:r>
          </w:p>
        </w:tc>
        <w:tc>
          <w:tcPr>
            <w:tcW w:w="3353" w:type="pct"/>
          </w:tcPr>
          <w:p w:rsidR="00287B81" w:rsidRDefault="00287B81" w:rsidP="0097230D">
            <w:pPr>
              <w:jc w:val="both"/>
              <w:rPr>
                <w:kern w:val="36"/>
                <w:lang w:val="lv-LV"/>
              </w:rPr>
            </w:pPr>
            <w:r w:rsidRPr="00074CFD">
              <w:rPr>
                <w:kern w:val="36"/>
                <w:lang w:val="lv-LV"/>
              </w:rPr>
              <w:t>Stājoties spēkā noteikumu projektam, spēku zaudēs noteikumi Nr.345.</w:t>
            </w:r>
          </w:p>
          <w:p w:rsidR="00287B81" w:rsidRPr="00074CFD" w:rsidRDefault="00287B81" w:rsidP="0097230D">
            <w:pPr>
              <w:jc w:val="both"/>
              <w:rPr>
                <w:lang w:val="lv-LV"/>
              </w:rPr>
            </w:pPr>
            <w:r>
              <w:rPr>
                <w:lang w:val="lv-LV"/>
              </w:rPr>
              <w:t>Ievērojot</w:t>
            </w:r>
            <w:r w:rsidRPr="008D5EF5">
              <w:rPr>
                <w:lang w:val="lv-LV"/>
              </w:rPr>
              <w:t xml:space="preserve"> Veselības ministrijas ierosinājum</w:t>
            </w:r>
            <w:r>
              <w:rPr>
                <w:lang w:val="lv-LV"/>
              </w:rPr>
              <w:t>u</w:t>
            </w:r>
            <w:r w:rsidRPr="008D5EF5">
              <w:rPr>
                <w:lang w:val="lv-LV"/>
              </w:rPr>
              <w:t>, vēršam uzmanību</w:t>
            </w:r>
            <w:r>
              <w:rPr>
                <w:lang w:val="lv-LV"/>
              </w:rPr>
              <w:t xml:space="preserve"> uz to</w:t>
            </w:r>
            <w:r w:rsidRPr="008D5EF5">
              <w:rPr>
                <w:lang w:val="lv-LV"/>
              </w:rPr>
              <w:t>, ka</w:t>
            </w:r>
            <w:r w:rsidRPr="00A12F62">
              <w:rPr>
                <w:lang w:val="lv-LV"/>
              </w:rPr>
              <w:t xml:space="preserve"> </w:t>
            </w:r>
            <w:r>
              <w:rPr>
                <w:lang w:val="lv-LV"/>
              </w:rPr>
              <w:t>u</w:t>
            </w:r>
            <w:r w:rsidRPr="00A12F62">
              <w:rPr>
                <w:lang w:val="lv-LV"/>
              </w:rPr>
              <w:t>z piena ražotāju, kas var būt gan juridiska, gan fiziska persona, attiecas prasības par to, ka personas</w:t>
            </w:r>
            <w:r w:rsidRPr="00A77C96">
              <w:rPr>
                <w:lang w:val="lv-LV"/>
              </w:rPr>
              <w:t>, kas veic darbības ar pienu</w:t>
            </w:r>
            <w:r>
              <w:rPr>
                <w:lang w:val="lv-LV"/>
              </w:rPr>
              <w:t>,</w:t>
            </w:r>
            <w:r w:rsidRPr="00A77C96">
              <w:rPr>
                <w:lang w:val="lv-LV"/>
              </w:rPr>
              <w:t xml:space="preserve"> nav inficētas ar infekcijas slimīb</w:t>
            </w:r>
            <w:r>
              <w:rPr>
                <w:lang w:val="lv-LV"/>
              </w:rPr>
              <w:t>ā</w:t>
            </w:r>
            <w:r w:rsidRPr="00A77C96">
              <w:rPr>
                <w:lang w:val="lv-LV"/>
              </w:rPr>
              <w:t xml:space="preserve">m, kuras var pārnest ar pārtiku, </w:t>
            </w:r>
            <w:r>
              <w:rPr>
                <w:lang w:val="lv-LV"/>
              </w:rPr>
              <w:t>saskaņā ar</w:t>
            </w:r>
            <w:r w:rsidRPr="00A12F62">
              <w:rPr>
                <w:lang w:val="lv-LV"/>
              </w:rPr>
              <w:t xml:space="preserve"> Ministru kabineta 2010.</w:t>
            </w:r>
            <w:r>
              <w:rPr>
                <w:lang w:val="lv-LV"/>
              </w:rPr>
              <w:t xml:space="preserve"> </w:t>
            </w:r>
            <w:r w:rsidRPr="00A12F62">
              <w:rPr>
                <w:lang w:val="lv-LV"/>
              </w:rPr>
              <w:t>gada 20.</w:t>
            </w:r>
            <w:r>
              <w:rPr>
                <w:lang w:val="lv-LV"/>
              </w:rPr>
              <w:t xml:space="preserve"> </w:t>
            </w:r>
            <w:r w:rsidRPr="00A12F62">
              <w:rPr>
                <w:lang w:val="lv-LV"/>
              </w:rPr>
              <w:t>jūlija noteikum</w:t>
            </w:r>
            <w:r>
              <w:rPr>
                <w:lang w:val="lv-LV"/>
              </w:rPr>
              <w:t>iem</w:t>
            </w:r>
            <w:r w:rsidRPr="00A12F62">
              <w:rPr>
                <w:lang w:val="lv-LV"/>
              </w:rPr>
              <w:t xml:space="preserve"> Nr.642 “Noteikumi par profesionālo darbību ierobežojošo infekcijas slimību sarakstu” un prasīb</w:t>
            </w:r>
            <w:r>
              <w:rPr>
                <w:lang w:val="lv-LV"/>
              </w:rPr>
              <w:t>ām</w:t>
            </w:r>
            <w:r w:rsidRPr="00A12F62">
              <w:rPr>
                <w:lang w:val="lv-LV"/>
              </w:rPr>
              <w:t xml:space="preserve"> par </w:t>
            </w:r>
            <w:r w:rsidRPr="00A77C96">
              <w:rPr>
                <w:lang w:val="lv-LV"/>
              </w:rPr>
              <w:t>obligāto pirmreizējo veselības pārbaudi un obligātās periodiskās veselības pārbaudēm</w:t>
            </w:r>
            <w:r w:rsidRPr="00A12F62">
              <w:rPr>
                <w:lang w:val="lv-LV"/>
              </w:rPr>
              <w:t>, kas noteiktas Ministru kabineta 2001. gada 27. novembra noteikum</w:t>
            </w:r>
            <w:r>
              <w:rPr>
                <w:lang w:val="lv-LV"/>
              </w:rPr>
              <w:t>os Nr.494 “</w:t>
            </w:r>
            <w:r w:rsidRPr="00A12F62">
              <w:rPr>
                <w:lang w:val="lv-LV"/>
              </w:rPr>
              <w:t>Noteikumi par darbiem, kas saistīti ar iespējamu risku citu cilvēku veselībai un kuros nodarbinātās personas tiek pakļautas obligātajām veselības pārbaudēm</w:t>
            </w:r>
            <w:r>
              <w:rPr>
                <w:lang w:val="lv-LV"/>
              </w:rPr>
              <w:t>”</w:t>
            </w:r>
            <w:r w:rsidRPr="00A12F62">
              <w:rPr>
                <w:lang w:val="lv-LV"/>
              </w:rPr>
              <w:t>.</w:t>
            </w:r>
          </w:p>
        </w:tc>
      </w:tr>
    </w:tbl>
    <w:p w:rsidR="00287B81" w:rsidRPr="00074CFD" w:rsidRDefault="00287B81" w:rsidP="00287B81">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287B81" w:rsidRPr="00E936A3" w:rsidTr="0097230D">
        <w:tc>
          <w:tcPr>
            <w:tcW w:w="5000" w:type="pct"/>
            <w:gridSpan w:val="3"/>
            <w:tcBorders>
              <w:top w:val="outset" w:sz="6" w:space="0" w:color="auto"/>
              <w:left w:val="outset" w:sz="6" w:space="0" w:color="auto"/>
              <w:bottom w:val="outset" w:sz="6" w:space="0" w:color="auto"/>
              <w:right w:val="outset" w:sz="6" w:space="0" w:color="auto"/>
            </w:tcBorders>
          </w:tcPr>
          <w:p w:rsidR="00287B81" w:rsidRPr="00074CFD" w:rsidRDefault="00287B81" w:rsidP="0097230D">
            <w:pPr>
              <w:jc w:val="center"/>
              <w:rPr>
                <w:b/>
                <w:lang w:val="lv-LV"/>
              </w:rPr>
            </w:pPr>
            <w:r w:rsidRPr="00074CFD">
              <w:rPr>
                <w:b/>
                <w:lang w:val="lv-LV"/>
              </w:rPr>
              <w:t>II. Tiesību akta projekta ietekme uz sabiedrību,</w:t>
            </w:r>
            <w:r w:rsidRPr="00074CFD">
              <w:rPr>
                <w:b/>
                <w:bCs/>
                <w:lang w:val="lv-LV"/>
              </w:rPr>
              <w:t xml:space="preserve"> tautsaimniecības attīstību un administratīvo slogu</w:t>
            </w:r>
          </w:p>
        </w:tc>
      </w:tr>
      <w:tr w:rsidR="00287B81" w:rsidRPr="00E936A3" w:rsidTr="0097230D">
        <w:tc>
          <w:tcPr>
            <w:tcW w:w="292" w:type="pct"/>
            <w:tcBorders>
              <w:top w:val="outset" w:sz="6" w:space="0" w:color="auto"/>
              <w:left w:val="outset" w:sz="6" w:space="0" w:color="auto"/>
              <w:right w:val="outset" w:sz="6" w:space="0" w:color="auto"/>
            </w:tcBorders>
          </w:tcPr>
          <w:p w:rsidR="00287B81" w:rsidRPr="00074CFD" w:rsidRDefault="00287B81" w:rsidP="0097230D">
            <w:pPr>
              <w:jc w:val="center"/>
              <w:rPr>
                <w:lang w:val="lv-LV"/>
              </w:rPr>
            </w:pPr>
            <w:r w:rsidRPr="00074CFD">
              <w:rPr>
                <w:lang w:val="lv-LV"/>
              </w:rPr>
              <w:t>1.</w:t>
            </w:r>
          </w:p>
        </w:tc>
        <w:tc>
          <w:tcPr>
            <w:tcW w:w="1372" w:type="pct"/>
            <w:tcBorders>
              <w:top w:val="outset" w:sz="6" w:space="0" w:color="auto"/>
              <w:left w:val="outset" w:sz="6" w:space="0" w:color="auto"/>
              <w:right w:val="outset" w:sz="6" w:space="0" w:color="auto"/>
            </w:tcBorders>
          </w:tcPr>
          <w:p w:rsidR="00287B81" w:rsidRPr="00074CFD" w:rsidRDefault="00287B81" w:rsidP="0097230D">
            <w:pPr>
              <w:jc w:val="both"/>
              <w:rPr>
                <w:lang w:val="lv-LV"/>
              </w:rPr>
            </w:pPr>
            <w:r w:rsidRPr="00074CFD">
              <w:rPr>
                <w:lang w:val="lv-LV"/>
              </w:rPr>
              <w:t>Sabiedrības mērķgrupas, kuras tiesiskais regulējums ietekmē vai varētu ietekmēt</w:t>
            </w:r>
          </w:p>
        </w:tc>
        <w:tc>
          <w:tcPr>
            <w:tcW w:w="3336" w:type="pct"/>
            <w:tcBorders>
              <w:top w:val="outset" w:sz="6" w:space="0" w:color="auto"/>
              <w:left w:val="outset" w:sz="6" w:space="0" w:color="auto"/>
              <w:right w:val="outset" w:sz="6" w:space="0" w:color="auto"/>
            </w:tcBorders>
          </w:tcPr>
          <w:p w:rsidR="00287B81" w:rsidRPr="00074CFD" w:rsidRDefault="00287B81" w:rsidP="0097230D">
            <w:pPr>
              <w:jc w:val="both"/>
              <w:rPr>
                <w:lang w:val="lv-LV"/>
              </w:rPr>
            </w:pPr>
            <w:r>
              <w:rPr>
                <w:lang w:val="lv-LV"/>
              </w:rPr>
              <w:t>Pārtikas apritē iesaistītie s</w:t>
            </w:r>
            <w:r w:rsidRPr="00074CFD">
              <w:rPr>
                <w:lang w:val="lv-LV"/>
              </w:rPr>
              <w:t>vaigpiena ražotāji (gan fiziskas, gan juridiskas personas)</w:t>
            </w:r>
            <w:r>
              <w:rPr>
                <w:lang w:val="lv-LV"/>
              </w:rPr>
              <w:t>, kas iegūst svaigpienu nelielā apjomā un realizē tieši galapatērētājam vai mazumtirdzniecības uzņēmumam, kurš to realizē tieši galapatērētājam.</w:t>
            </w:r>
          </w:p>
          <w:p w:rsidR="00287B81" w:rsidRPr="00671D2D" w:rsidRDefault="00287B81" w:rsidP="0097230D">
            <w:pPr>
              <w:jc w:val="both"/>
              <w:rPr>
                <w:lang w:val="lv-LV"/>
              </w:rPr>
            </w:pPr>
            <w:r w:rsidRPr="00074CFD">
              <w:rPr>
                <w:lang w:val="lv-LV"/>
              </w:rPr>
              <w:t>2017. gada</w:t>
            </w:r>
            <w:r>
              <w:rPr>
                <w:lang w:val="lv-LV"/>
              </w:rPr>
              <w:t xml:space="preserve"> jūnijā,</w:t>
            </w:r>
            <w:r w:rsidRPr="00074CFD">
              <w:rPr>
                <w:lang w:val="lv-LV"/>
              </w:rPr>
              <w:t xml:space="preserve"> pēc</w:t>
            </w:r>
            <w:r>
              <w:rPr>
                <w:lang w:val="lv-LV"/>
              </w:rPr>
              <w:t xml:space="preserve"> </w:t>
            </w:r>
            <w:r>
              <w:rPr>
                <w:color w:val="000000"/>
                <w:lang w:val="lv-LV"/>
              </w:rPr>
              <w:t xml:space="preserve">datu centra datiem, Latvijā bija </w:t>
            </w:r>
            <w:r w:rsidRPr="00074CFD">
              <w:rPr>
                <w:lang w:val="lv-LV"/>
              </w:rPr>
              <w:t>reģistrēt</w:t>
            </w:r>
            <w:r>
              <w:rPr>
                <w:lang w:val="lv-LV"/>
              </w:rPr>
              <w:t>i</w:t>
            </w:r>
            <w:r w:rsidRPr="00074CFD">
              <w:rPr>
                <w:lang w:val="lv-LV"/>
              </w:rPr>
              <w:t xml:space="preserve"> </w:t>
            </w:r>
            <w:r w:rsidRPr="00176778">
              <w:rPr>
                <w:color w:val="000000"/>
                <w:lang w:val="lv-LV"/>
              </w:rPr>
              <w:t>71</w:t>
            </w:r>
            <w:r>
              <w:rPr>
                <w:color w:val="000000"/>
                <w:lang w:val="lv-LV"/>
              </w:rPr>
              <w:t>25</w:t>
            </w:r>
            <w:r w:rsidRPr="00074CFD">
              <w:rPr>
                <w:lang w:val="lv-LV"/>
              </w:rPr>
              <w:t xml:space="preserve"> piena ražotāj</w:t>
            </w:r>
            <w:r>
              <w:rPr>
                <w:lang w:val="lv-LV"/>
              </w:rPr>
              <w:t>i</w:t>
            </w:r>
            <w:r w:rsidRPr="00074CFD">
              <w:rPr>
                <w:lang w:val="lv-LV"/>
              </w:rPr>
              <w:t xml:space="preserve"> un pārstrādātāj</w:t>
            </w:r>
            <w:r>
              <w:rPr>
                <w:lang w:val="lv-LV"/>
              </w:rPr>
              <w:t>i</w:t>
            </w:r>
            <w:r w:rsidRPr="00074CFD">
              <w:rPr>
                <w:lang w:val="lv-LV"/>
              </w:rPr>
              <w:t xml:space="preserve"> un 7</w:t>
            </w:r>
            <w:r>
              <w:rPr>
                <w:lang w:val="lv-LV"/>
              </w:rPr>
              <w:t>0</w:t>
            </w:r>
            <w:r w:rsidRPr="00074CFD">
              <w:rPr>
                <w:lang w:val="lv-LV"/>
              </w:rPr>
              <w:t xml:space="preserve"> piena pircēj</w:t>
            </w:r>
            <w:r>
              <w:rPr>
                <w:lang w:val="lv-LV"/>
              </w:rPr>
              <w:t xml:space="preserve">u. Pēc PVD datiem, 2017. gada jūnijā ir reģistrētas </w:t>
            </w:r>
            <w:r w:rsidRPr="0028019A">
              <w:rPr>
                <w:rStyle w:val="Izteiksmgs"/>
                <w:lang w:val="lv-LV"/>
              </w:rPr>
              <w:t xml:space="preserve">546 </w:t>
            </w:r>
            <w:r>
              <w:rPr>
                <w:lang w:val="lv-LV"/>
              </w:rPr>
              <w:t>s</w:t>
            </w:r>
            <w:r w:rsidRPr="002D158F">
              <w:rPr>
                <w:lang w:val="lv-LV"/>
              </w:rPr>
              <w:t>vaigpiena realizācijas atļaujas piegādēm neliel</w:t>
            </w:r>
            <w:r>
              <w:rPr>
                <w:lang w:val="lv-LV"/>
              </w:rPr>
              <w:t>ā</w:t>
            </w:r>
            <w:r w:rsidRPr="002D158F">
              <w:rPr>
                <w:lang w:val="lv-LV"/>
              </w:rPr>
              <w:t xml:space="preserve"> daudzum</w:t>
            </w:r>
            <w:r>
              <w:rPr>
                <w:lang w:val="lv-LV"/>
              </w:rPr>
              <w:t>ā.</w:t>
            </w:r>
          </w:p>
        </w:tc>
      </w:tr>
      <w:tr w:rsidR="00287B81" w:rsidRPr="00E936A3" w:rsidTr="0097230D">
        <w:trPr>
          <w:trHeight w:val="1263"/>
        </w:trPr>
        <w:tc>
          <w:tcPr>
            <w:tcW w:w="292" w:type="pct"/>
            <w:tcBorders>
              <w:top w:val="outset" w:sz="6" w:space="0" w:color="auto"/>
              <w:left w:val="outset" w:sz="6" w:space="0" w:color="auto"/>
              <w:right w:val="outset" w:sz="6" w:space="0" w:color="auto"/>
            </w:tcBorders>
          </w:tcPr>
          <w:p w:rsidR="00287B81" w:rsidRPr="00074CFD" w:rsidRDefault="00287B81" w:rsidP="0097230D">
            <w:pPr>
              <w:jc w:val="center"/>
              <w:rPr>
                <w:lang w:val="lv-LV"/>
              </w:rPr>
            </w:pPr>
            <w:r w:rsidRPr="00074CFD">
              <w:rPr>
                <w:lang w:val="lv-LV"/>
              </w:rPr>
              <w:t>2.</w:t>
            </w:r>
          </w:p>
        </w:tc>
        <w:tc>
          <w:tcPr>
            <w:tcW w:w="1372" w:type="pct"/>
            <w:tcBorders>
              <w:top w:val="outset" w:sz="6" w:space="0" w:color="auto"/>
              <w:left w:val="outset" w:sz="6" w:space="0" w:color="auto"/>
              <w:right w:val="outset" w:sz="6" w:space="0" w:color="auto"/>
            </w:tcBorders>
          </w:tcPr>
          <w:p w:rsidR="00287B81" w:rsidRPr="00074CFD" w:rsidRDefault="00287B81" w:rsidP="0097230D">
            <w:pPr>
              <w:widowControl w:val="0"/>
              <w:jc w:val="both"/>
              <w:rPr>
                <w:lang w:val="lv-LV"/>
              </w:rPr>
            </w:pPr>
            <w:r w:rsidRPr="00074CFD">
              <w:rPr>
                <w:lang w:val="lv-LV"/>
              </w:rPr>
              <w:t>Tiesiskā regulējuma ietekme uz tautsaimniecību un administratīvo slogu</w:t>
            </w:r>
          </w:p>
        </w:tc>
        <w:tc>
          <w:tcPr>
            <w:tcW w:w="3336" w:type="pct"/>
            <w:tcBorders>
              <w:top w:val="outset" w:sz="6" w:space="0" w:color="auto"/>
              <w:left w:val="outset" w:sz="6" w:space="0" w:color="auto"/>
              <w:right w:val="outset" w:sz="6" w:space="0" w:color="auto"/>
            </w:tcBorders>
          </w:tcPr>
          <w:p w:rsidR="00287B81" w:rsidRDefault="00287B81" w:rsidP="0097230D">
            <w:pPr>
              <w:jc w:val="both"/>
              <w:rPr>
                <w:lang w:val="lv-LV"/>
              </w:rPr>
            </w:pPr>
            <w:r>
              <w:rPr>
                <w:lang w:val="lv-LV"/>
              </w:rPr>
              <w:t>Stājoties spēkā noteikumiem, svaigpiena ražotājiem, kas vēlēsies piegādāt svaigpienu</w:t>
            </w:r>
            <w:r w:rsidRPr="00074CFD">
              <w:rPr>
                <w:lang w:val="lv-LV"/>
              </w:rPr>
              <w:t xml:space="preserve"> </w:t>
            </w:r>
            <w:r>
              <w:rPr>
                <w:lang w:val="lv-LV"/>
              </w:rPr>
              <w:t xml:space="preserve">mazumtirdzniecībai, 2.pielikumā būs jānorāda dzīvnieku sugas nosaukums. </w:t>
            </w:r>
            <w:r w:rsidRPr="00074CFD">
              <w:rPr>
                <w:lang w:val="lv-LV"/>
              </w:rPr>
              <w:t xml:space="preserve">Noteikumu projekts paredz iespēju </w:t>
            </w:r>
            <w:r>
              <w:rPr>
                <w:lang w:val="lv-LV"/>
              </w:rPr>
              <w:t xml:space="preserve">svaigpiena </w:t>
            </w:r>
            <w:r w:rsidRPr="00074CFD">
              <w:rPr>
                <w:lang w:val="lv-LV"/>
              </w:rPr>
              <w:t xml:space="preserve">ražotājiem </w:t>
            </w:r>
            <w:r>
              <w:rPr>
                <w:lang w:val="lv-LV"/>
              </w:rPr>
              <w:t>paplašināt</w:t>
            </w:r>
            <w:r w:rsidRPr="00074CFD">
              <w:rPr>
                <w:lang w:val="lv-LV"/>
              </w:rPr>
              <w:t xml:space="preserve"> uzņēmējdarbību,</w:t>
            </w:r>
            <w:r>
              <w:rPr>
                <w:lang w:val="lv-LV"/>
              </w:rPr>
              <w:t xml:space="preserve"> t.i., realizēt</w:t>
            </w:r>
            <w:r w:rsidRPr="00074CFD">
              <w:rPr>
                <w:lang w:val="lv-LV"/>
              </w:rPr>
              <w:t xml:space="preserve"> ne tikai gov</w:t>
            </w:r>
            <w:r>
              <w:rPr>
                <w:lang w:val="lv-LV"/>
              </w:rPr>
              <w:t>ju</w:t>
            </w:r>
            <w:r w:rsidRPr="00074CFD">
              <w:rPr>
                <w:lang w:val="lv-LV"/>
              </w:rPr>
              <w:t>, bet arī kaz</w:t>
            </w:r>
            <w:r>
              <w:rPr>
                <w:lang w:val="lv-LV"/>
              </w:rPr>
              <w:t>u</w:t>
            </w:r>
            <w:r w:rsidRPr="00074CFD">
              <w:rPr>
                <w:lang w:val="lv-LV"/>
              </w:rPr>
              <w:t xml:space="preserve"> svaigpienu.</w:t>
            </w:r>
            <w:r>
              <w:rPr>
                <w:lang w:val="lv-LV"/>
              </w:rPr>
              <w:t xml:space="preserve"> Ir samazināts administratīvais slogs svaigpiena realizācijas atļaujas saņemšanā, ražotāju atbrīvojot no PVD fiziskas novietnes pārbaudes un svaigpiena paraugu ņemšanas. </w:t>
            </w:r>
          </w:p>
          <w:p w:rsidR="00287B81" w:rsidRPr="00CF72E7" w:rsidRDefault="00287B81" w:rsidP="0097230D">
            <w:pPr>
              <w:jc w:val="both"/>
              <w:rPr>
                <w:lang w:val="lv-LV"/>
              </w:rPr>
            </w:pPr>
            <w:r w:rsidRPr="00CF72E7">
              <w:rPr>
                <w:lang w:val="lv-LV"/>
              </w:rPr>
              <w:t>Tā kā noteikumu projektā ir ņemti vērā Eiropas Komisijas iebildumi par Latvijā nesamērīgi liel</w:t>
            </w:r>
            <w:r>
              <w:rPr>
                <w:lang w:val="lv-LV"/>
              </w:rPr>
              <w:t>u</w:t>
            </w:r>
            <w:r w:rsidRPr="00CF72E7">
              <w:rPr>
                <w:lang w:val="lv-LV"/>
              </w:rPr>
              <w:t xml:space="preserve"> atļaut</w:t>
            </w:r>
            <w:r>
              <w:rPr>
                <w:lang w:val="lv-LV"/>
              </w:rPr>
              <w:t>o</w:t>
            </w:r>
            <w:r w:rsidRPr="00CF72E7">
              <w:rPr>
                <w:lang w:val="lv-LV"/>
              </w:rPr>
              <w:t xml:space="preserve"> neliel</w:t>
            </w:r>
            <w:r>
              <w:rPr>
                <w:lang w:val="lv-LV"/>
              </w:rPr>
              <w:t>u</w:t>
            </w:r>
            <w:r w:rsidRPr="00CF72E7">
              <w:rPr>
                <w:lang w:val="lv-LV"/>
              </w:rPr>
              <w:t xml:space="preserve"> svaigpiena daudzum</w:t>
            </w:r>
            <w:r>
              <w:rPr>
                <w:lang w:val="lv-LV"/>
              </w:rPr>
              <w:t>u</w:t>
            </w:r>
            <w:r w:rsidRPr="00CF72E7">
              <w:rPr>
                <w:lang w:val="lv-LV"/>
              </w:rPr>
              <w:t xml:space="preserve"> un svaigpiena realizācijas teritoriju, noteikumu projektā ir ie</w:t>
            </w:r>
            <w:r>
              <w:rPr>
                <w:lang w:val="lv-LV"/>
              </w:rPr>
              <w:t>tver</w:t>
            </w:r>
            <w:r w:rsidRPr="00CF72E7">
              <w:rPr>
                <w:lang w:val="lv-LV"/>
              </w:rPr>
              <w:t>tas normas, kas svaigpiena ražotājiem ierobežos realizācijas attālumu un realizācijai paredzētā svaigpiena apjomu.</w:t>
            </w:r>
          </w:p>
        </w:tc>
      </w:tr>
      <w:tr w:rsidR="00287B81" w:rsidRPr="00E936A3" w:rsidTr="0097230D">
        <w:tc>
          <w:tcPr>
            <w:tcW w:w="292" w:type="pct"/>
            <w:tcBorders>
              <w:top w:val="outset" w:sz="6" w:space="0" w:color="auto"/>
              <w:left w:val="outset" w:sz="6" w:space="0" w:color="auto"/>
              <w:right w:val="outset" w:sz="6" w:space="0" w:color="auto"/>
            </w:tcBorders>
          </w:tcPr>
          <w:p w:rsidR="00287B81" w:rsidRPr="00074CFD" w:rsidRDefault="00287B81" w:rsidP="0097230D">
            <w:pPr>
              <w:pStyle w:val="Paraststmeklis"/>
              <w:spacing w:before="0" w:beforeAutospacing="0" w:after="0" w:afterAutospacing="0"/>
              <w:rPr>
                <w:lang w:val="lv-LV"/>
              </w:rPr>
            </w:pPr>
            <w:r w:rsidRPr="00074CFD">
              <w:rPr>
                <w:lang w:val="lv-LV"/>
              </w:rPr>
              <w:t>3.</w:t>
            </w:r>
          </w:p>
        </w:tc>
        <w:tc>
          <w:tcPr>
            <w:tcW w:w="1372" w:type="pct"/>
            <w:tcBorders>
              <w:top w:val="outset" w:sz="6" w:space="0" w:color="auto"/>
              <w:left w:val="outset" w:sz="6" w:space="0" w:color="auto"/>
              <w:right w:val="outset" w:sz="6" w:space="0" w:color="auto"/>
            </w:tcBorders>
          </w:tcPr>
          <w:p w:rsidR="00287B81" w:rsidRPr="00074CFD" w:rsidRDefault="00287B81" w:rsidP="0097230D">
            <w:pPr>
              <w:pStyle w:val="Paraststmeklis"/>
              <w:spacing w:before="0" w:beforeAutospacing="0" w:after="0" w:afterAutospacing="0"/>
              <w:jc w:val="both"/>
              <w:rPr>
                <w:lang w:val="lv-LV"/>
              </w:rPr>
            </w:pPr>
            <w:r w:rsidRPr="00074CFD">
              <w:rPr>
                <w:lang w:val="lv-LV"/>
              </w:rPr>
              <w:t>Administratīvo izmaksu monetārs novērtējums</w:t>
            </w:r>
          </w:p>
        </w:tc>
        <w:tc>
          <w:tcPr>
            <w:tcW w:w="3336" w:type="pct"/>
            <w:tcBorders>
              <w:top w:val="outset" w:sz="6" w:space="0" w:color="auto"/>
              <w:left w:val="outset" w:sz="6" w:space="0" w:color="auto"/>
              <w:right w:val="outset" w:sz="6" w:space="0" w:color="auto"/>
            </w:tcBorders>
          </w:tcPr>
          <w:p w:rsidR="00287B81" w:rsidRPr="00074CFD" w:rsidRDefault="00287B81" w:rsidP="0097230D">
            <w:pPr>
              <w:jc w:val="both"/>
              <w:rPr>
                <w:lang w:val="lv-LV"/>
              </w:rPr>
            </w:pPr>
            <w:r>
              <w:rPr>
                <w:lang w:val="lv-LV"/>
              </w:rPr>
              <w:t xml:space="preserve">Administratīvo izmaksu novērtējums mērķgrupai, ko veido juridiskas personas, nepārsniedz 2000 </w:t>
            </w:r>
            <w:proofErr w:type="spellStart"/>
            <w:r>
              <w:rPr>
                <w:i/>
                <w:iCs/>
                <w:lang w:val="lv-LV"/>
              </w:rPr>
              <w:t>euro</w:t>
            </w:r>
            <w:proofErr w:type="spellEnd"/>
            <w:r>
              <w:rPr>
                <w:lang w:val="lv-LV"/>
              </w:rPr>
              <w:t xml:space="preserve"> gadā, bet fiziskām personām nepārsniedz 200 </w:t>
            </w:r>
            <w:proofErr w:type="spellStart"/>
            <w:r>
              <w:rPr>
                <w:i/>
                <w:iCs/>
                <w:lang w:val="lv-LV"/>
              </w:rPr>
              <w:t>euro</w:t>
            </w:r>
            <w:proofErr w:type="spellEnd"/>
            <w:r>
              <w:rPr>
                <w:lang w:val="lv-LV"/>
              </w:rPr>
              <w:t>.</w:t>
            </w:r>
          </w:p>
        </w:tc>
      </w:tr>
      <w:tr w:rsidR="00287B81" w:rsidRPr="00074CFD" w:rsidTr="0097230D">
        <w:tc>
          <w:tcPr>
            <w:tcW w:w="292" w:type="pct"/>
            <w:tcBorders>
              <w:top w:val="outset" w:sz="6" w:space="0" w:color="auto"/>
              <w:left w:val="outset" w:sz="6" w:space="0" w:color="auto"/>
              <w:right w:val="outset" w:sz="6" w:space="0" w:color="auto"/>
            </w:tcBorders>
          </w:tcPr>
          <w:p w:rsidR="00287B81" w:rsidRPr="00074CFD" w:rsidRDefault="00287B81" w:rsidP="0097230D">
            <w:pPr>
              <w:pStyle w:val="Paraststmeklis"/>
              <w:spacing w:before="0" w:beforeAutospacing="0" w:after="0" w:afterAutospacing="0"/>
              <w:rPr>
                <w:lang w:val="lv-LV"/>
              </w:rPr>
            </w:pPr>
            <w:r w:rsidRPr="00074CFD">
              <w:rPr>
                <w:lang w:val="lv-LV"/>
              </w:rPr>
              <w:t>4.</w:t>
            </w:r>
          </w:p>
        </w:tc>
        <w:tc>
          <w:tcPr>
            <w:tcW w:w="1372" w:type="pct"/>
            <w:tcBorders>
              <w:top w:val="outset" w:sz="6" w:space="0" w:color="auto"/>
              <w:left w:val="outset" w:sz="6" w:space="0" w:color="auto"/>
              <w:right w:val="outset" w:sz="6" w:space="0" w:color="auto"/>
            </w:tcBorders>
          </w:tcPr>
          <w:p w:rsidR="00287B81" w:rsidRPr="00074CFD" w:rsidRDefault="00287B81" w:rsidP="0097230D">
            <w:pPr>
              <w:jc w:val="both"/>
              <w:rPr>
                <w:lang w:val="lv-LV"/>
              </w:rPr>
            </w:pPr>
            <w:r w:rsidRPr="00074CFD">
              <w:rPr>
                <w:lang w:val="lv-LV"/>
              </w:rPr>
              <w:t>Cita informācija</w:t>
            </w:r>
          </w:p>
        </w:tc>
        <w:tc>
          <w:tcPr>
            <w:tcW w:w="3336" w:type="pct"/>
            <w:tcBorders>
              <w:top w:val="outset" w:sz="6" w:space="0" w:color="auto"/>
              <w:left w:val="outset" w:sz="6" w:space="0" w:color="auto"/>
              <w:right w:val="outset" w:sz="6" w:space="0" w:color="auto"/>
            </w:tcBorders>
            <w:shd w:val="clear" w:color="auto" w:fill="auto"/>
          </w:tcPr>
          <w:p w:rsidR="00287B81" w:rsidRPr="00074CFD" w:rsidRDefault="00287B81" w:rsidP="0097230D">
            <w:pPr>
              <w:widowControl w:val="0"/>
              <w:jc w:val="both"/>
              <w:rPr>
                <w:lang w:val="lv-LV"/>
              </w:rPr>
            </w:pPr>
            <w:r w:rsidRPr="00074CFD">
              <w:rPr>
                <w:lang w:val="lv-LV"/>
              </w:rPr>
              <w:t>Nav</w:t>
            </w:r>
            <w:r>
              <w:rPr>
                <w:lang w:val="lv-LV"/>
              </w:rPr>
              <w:t>.</w:t>
            </w:r>
          </w:p>
        </w:tc>
      </w:tr>
    </w:tbl>
    <w:p w:rsidR="00287B81" w:rsidRDefault="00287B81" w:rsidP="00287B81">
      <w:pPr>
        <w:jc w:val="both"/>
        <w:rPr>
          <w:i/>
          <w:sz w:val="28"/>
          <w:szCs w:val="28"/>
          <w:lang w:val="lv-LV" w:eastAsia="lv-LV"/>
        </w:rPr>
      </w:pPr>
    </w:p>
    <w:tbl>
      <w:tblPr>
        <w:tblStyle w:val="Reatabula"/>
        <w:tblW w:w="0" w:type="auto"/>
        <w:tblLook w:val="04A0" w:firstRow="1" w:lastRow="0" w:firstColumn="1" w:lastColumn="0" w:noHBand="0" w:noVBand="1"/>
      </w:tblPr>
      <w:tblGrid>
        <w:gridCol w:w="9061"/>
      </w:tblGrid>
      <w:tr w:rsidR="00287B81" w:rsidRPr="00E936A3" w:rsidTr="0097230D">
        <w:tc>
          <w:tcPr>
            <w:tcW w:w="9061" w:type="dxa"/>
          </w:tcPr>
          <w:p w:rsidR="00287B81" w:rsidRPr="00C751B2" w:rsidRDefault="00287B81" w:rsidP="0097230D">
            <w:pPr>
              <w:jc w:val="center"/>
              <w:rPr>
                <w:i/>
                <w:lang w:val="lv-LV" w:eastAsia="lv-LV"/>
              </w:rPr>
            </w:pPr>
            <w:r w:rsidRPr="00C751B2">
              <w:rPr>
                <w:b/>
                <w:bCs/>
                <w:lang w:val="lv-LV"/>
              </w:rPr>
              <w:t>III. Tiesību akta projekta ietekme uz valsts budžetu un pašvaldību budžetiem</w:t>
            </w:r>
          </w:p>
          <w:p w:rsidR="00287B81" w:rsidRPr="00C751B2" w:rsidRDefault="00287B81" w:rsidP="0097230D">
            <w:pPr>
              <w:jc w:val="both"/>
              <w:rPr>
                <w:b/>
                <w:bCs/>
                <w:lang w:val="lv-LV"/>
              </w:rPr>
            </w:pPr>
          </w:p>
        </w:tc>
      </w:tr>
      <w:tr w:rsidR="00287B81" w:rsidRPr="00C751B2" w:rsidTr="0097230D">
        <w:tc>
          <w:tcPr>
            <w:tcW w:w="9061" w:type="dxa"/>
          </w:tcPr>
          <w:p w:rsidR="00287B81" w:rsidRPr="00C751B2" w:rsidRDefault="00287B81" w:rsidP="0097230D">
            <w:pPr>
              <w:pStyle w:val="Default"/>
              <w:jc w:val="center"/>
              <w:rPr>
                <w:rFonts w:ascii="Times New Roman" w:hAnsi="Times New Roman" w:cs="Times New Roman"/>
                <w:b/>
                <w:bCs/>
              </w:rPr>
            </w:pPr>
            <w:r w:rsidRPr="00C751B2">
              <w:rPr>
                <w:rFonts w:ascii="Times New Roman" w:hAnsi="Times New Roman" w:cs="Times New Roman"/>
              </w:rPr>
              <w:t>Projekts šo jomu neskar.</w:t>
            </w:r>
          </w:p>
        </w:tc>
      </w:tr>
    </w:tbl>
    <w:p w:rsidR="00287B81" w:rsidRPr="00C751B2" w:rsidRDefault="00287B81" w:rsidP="00287B81">
      <w:pPr>
        <w:jc w:val="both"/>
        <w:rPr>
          <w:lang w:val="lv-LV" w:eastAsia="lv-LV"/>
        </w:rPr>
      </w:pPr>
    </w:p>
    <w:tbl>
      <w:tblPr>
        <w:tblStyle w:val="Reatabula"/>
        <w:tblW w:w="0" w:type="auto"/>
        <w:tblLook w:val="04A0" w:firstRow="1" w:lastRow="0" w:firstColumn="1" w:lastColumn="0" w:noHBand="0" w:noVBand="1"/>
      </w:tblPr>
      <w:tblGrid>
        <w:gridCol w:w="9061"/>
      </w:tblGrid>
      <w:tr w:rsidR="00287B81" w:rsidRPr="00E936A3" w:rsidTr="0097230D">
        <w:tc>
          <w:tcPr>
            <w:tcW w:w="9061" w:type="dxa"/>
          </w:tcPr>
          <w:p w:rsidR="00287B81" w:rsidRPr="00C751B2" w:rsidRDefault="00287B81" w:rsidP="0097230D">
            <w:pPr>
              <w:autoSpaceDE w:val="0"/>
              <w:autoSpaceDN w:val="0"/>
              <w:adjustRightInd w:val="0"/>
              <w:jc w:val="center"/>
              <w:rPr>
                <w:b/>
                <w:bCs/>
                <w:lang w:val="lv-LV"/>
              </w:rPr>
            </w:pPr>
            <w:r w:rsidRPr="00C751B2">
              <w:rPr>
                <w:rFonts w:eastAsiaTheme="minorHAnsi"/>
                <w:b/>
                <w:bCs/>
                <w:color w:val="000000"/>
                <w:lang w:val="lv-LV"/>
              </w:rPr>
              <w:t>IV. Tiesību akta projekta ietekme uz spēkā esošo tiesību normu sistēmu</w:t>
            </w:r>
          </w:p>
        </w:tc>
      </w:tr>
      <w:tr w:rsidR="00287B81" w:rsidRPr="00C751B2" w:rsidTr="0097230D">
        <w:tc>
          <w:tcPr>
            <w:tcW w:w="9061" w:type="dxa"/>
          </w:tcPr>
          <w:p w:rsidR="00287B81" w:rsidRPr="00C751B2" w:rsidRDefault="00287B81" w:rsidP="0097230D">
            <w:pPr>
              <w:pStyle w:val="Default"/>
              <w:jc w:val="center"/>
              <w:rPr>
                <w:rFonts w:ascii="Times New Roman" w:hAnsi="Times New Roman" w:cs="Times New Roman"/>
              </w:rPr>
            </w:pPr>
            <w:r w:rsidRPr="00C751B2">
              <w:rPr>
                <w:rFonts w:ascii="Times New Roman" w:hAnsi="Times New Roman" w:cs="Times New Roman"/>
              </w:rPr>
              <w:t>Projekts šo jomu neskar.</w:t>
            </w:r>
          </w:p>
        </w:tc>
      </w:tr>
    </w:tbl>
    <w:p w:rsidR="00287B81" w:rsidRPr="0099622C" w:rsidRDefault="00287B81" w:rsidP="00287B81">
      <w:pPr>
        <w:jc w:val="both"/>
        <w:rPr>
          <w:sz w:val="28"/>
          <w:szCs w:val="28"/>
          <w:lang w:val="lv-LV" w:eastAsia="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65"/>
        <w:gridCol w:w="5390"/>
      </w:tblGrid>
      <w:tr w:rsidR="00287B81" w:rsidRPr="00074CFD" w:rsidTr="0097230D">
        <w:tc>
          <w:tcPr>
            <w:tcW w:w="5000" w:type="pct"/>
            <w:gridSpan w:val="2"/>
            <w:tcBorders>
              <w:top w:val="outset" w:sz="6" w:space="0" w:color="auto"/>
              <w:left w:val="outset" w:sz="6" w:space="0" w:color="auto"/>
              <w:bottom w:val="outset" w:sz="6" w:space="0" w:color="auto"/>
              <w:right w:val="outset" w:sz="6" w:space="0" w:color="auto"/>
            </w:tcBorders>
            <w:vAlign w:val="center"/>
          </w:tcPr>
          <w:p w:rsidR="00287B81" w:rsidRDefault="00287B81" w:rsidP="0097230D">
            <w:pPr>
              <w:pStyle w:val="Paraststmeklis"/>
              <w:spacing w:before="0" w:beforeAutospacing="0" w:after="0" w:afterAutospacing="0"/>
              <w:jc w:val="center"/>
              <w:rPr>
                <w:b/>
                <w:lang w:val="lv-LV"/>
              </w:rPr>
            </w:pPr>
            <w:r w:rsidRPr="00074CFD">
              <w:rPr>
                <w:b/>
                <w:lang w:val="lv-LV"/>
              </w:rPr>
              <w:t xml:space="preserve">V. </w:t>
            </w:r>
            <w:r w:rsidRPr="00074CFD">
              <w:rPr>
                <w:b/>
                <w:bCs/>
                <w:lang w:val="lv-LV"/>
              </w:rPr>
              <w:t>Tiesību akta projekta atbilstība</w:t>
            </w:r>
            <w:r w:rsidRPr="00074CFD">
              <w:rPr>
                <w:b/>
                <w:lang w:val="lv-LV"/>
              </w:rPr>
              <w:t xml:space="preserve"> Latvijas Republikas </w:t>
            </w:r>
          </w:p>
          <w:p w:rsidR="00287B81" w:rsidRPr="00074CFD" w:rsidRDefault="00287B81" w:rsidP="0097230D">
            <w:pPr>
              <w:pStyle w:val="Paraststmeklis"/>
              <w:spacing w:before="0" w:beforeAutospacing="0" w:after="0" w:afterAutospacing="0"/>
              <w:jc w:val="center"/>
              <w:rPr>
                <w:b/>
                <w:lang w:val="lv-LV"/>
              </w:rPr>
            </w:pPr>
            <w:r w:rsidRPr="00074CFD">
              <w:rPr>
                <w:b/>
                <w:lang w:val="lv-LV"/>
              </w:rPr>
              <w:t>starptautiskajām saistībām</w:t>
            </w:r>
          </w:p>
        </w:tc>
      </w:tr>
      <w:tr w:rsidR="00287B81" w:rsidRPr="00E936A3" w:rsidTr="0097230D">
        <w:tc>
          <w:tcPr>
            <w:tcW w:w="2024" w:type="pct"/>
            <w:tcBorders>
              <w:top w:val="outset" w:sz="6" w:space="0" w:color="auto"/>
              <w:left w:val="outset" w:sz="6" w:space="0" w:color="auto"/>
              <w:bottom w:val="outset" w:sz="6" w:space="0" w:color="auto"/>
              <w:right w:val="outset" w:sz="6" w:space="0" w:color="auto"/>
            </w:tcBorders>
          </w:tcPr>
          <w:p w:rsidR="00287B81" w:rsidRPr="00074CFD" w:rsidRDefault="00287B81" w:rsidP="0097230D">
            <w:pPr>
              <w:pStyle w:val="Paraststmeklis"/>
              <w:spacing w:before="0" w:beforeAutospacing="0" w:after="0" w:afterAutospacing="0"/>
              <w:jc w:val="both"/>
              <w:rPr>
                <w:lang w:val="lv-LV"/>
              </w:rPr>
            </w:pPr>
            <w:r w:rsidRPr="00074CFD">
              <w:rPr>
                <w:lang w:val="lv-LV"/>
              </w:rPr>
              <w:t>1. Saistības pret Eiropas Savienību</w:t>
            </w:r>
          </w:p>
        </w:tc>
        <w:tc>
          <w:tcPr>
            <w:tcW w:w="2976" w:type="pct"/>
            <w:tcBorders>
              <w:top w:val="outset" w:sz="6" w:space="0" w:color="auto"/>
              <w:left w:val="outset" w:sz="6" w:space="0" w:color="auto"/>
              <w:bottom w:val="outset" w:sz="6" w:space="0" w:color="auto"/>
              <w:right w:val="outset" w:sz="6" w:space="0" w:color="auto"/>
            </w:tcBorders>
          </w:tcPr>
          <w:p w:rsidR="00287B81" w:rsidRPr="0020249A" w:rsidRDefault="00287B81" w:rsidP="0097230D">
            <w:pPr>
              <w:jc w:val="both"/>
              <w:rPr>
                <w:lang w:val="lv-LV"/>
              </w:rPr>
            </w:pPr>
            <w:r w:rsidRPr="0020249A">
              <w:rPr>
                <w:lang w:val="lv-LV"/>
              </w:rPr>
              <w:t>Noteikumu projekts atbilst Latvijas saistībām pret Eiropas Savienību, k</w:t>
            </w:r>
            <w:r>
              <w:rPr>
                <w:lang w:val="lv-LV"/>
              </w:rPr>
              <w:t>ur</w:t>
            </w:r>
            <w:r w:rsidRPr="0020249A">
              <w:rPr>
                <w:lang w:val="lv-LV"/>
              </w:rPr>
              <w:t>as noteiktas Eiropas Parlamenta un Padomes 2004.</w:t>
            </w:r>
            <w:r>
              <w:rPr>
                <w:lang w:val="lv-LV"/>
              </w:rPr>
              <w:t> </w:t>
            </w:r>
            <w:r w:rsidRPr="0020249A">
              <w:rPr>
                <w:lang w:val="lv-LV"/>
              </w:rPr>
              <w:t>gada 29.</w:t>
            </w:r>
            <w:r>
              <w:rPr>
                <w:lang w:val="lv-LV"/>
              </w:rPr>
              <w:t> </w:t>
            </w:r>
            <w:r w:rsidRPr="0020249A">
              <w:rPr>
                <w:lang w:val="lv-LV"/>
              </w:rPr>
              <w:t>aprīļa Regul</w:t>
            </w:r>
            <w:r>
              <w:rPr>
                <w:lang w:val="lv-LV"/>
              </w:rPr>
              <w:t>ā</w:t>
            </w:r>
            <w:r w:rsidRPr="0020249A">
              <w:rPr>
                <w:lang w:val="lv-LV"/>
              </w:rPr>
              <w:t xml:space="preserve"> (EK) Nr.</w:t>
            </w:r>
            <w:r>
              <w:rPr>
                <w:lang w:val="lv-LV"/>
              </w:rPr>
              <w:t> </w:t>
            </w:r>
            <w:r w:rsidRPr="0020249A">
              <w:rPr>
                <w:lang w:val="lv-LV"/>
              </w:rPr>
              <w:t xml:space="preserve">853/2004, ar ko nosaka īpašus higiēnas </w:t>
            </w:r>
            <w:r w:rsidRPr="0020249A">
              <w:rPr>
                <w:lang w:val="lv-LV"/>
              </w:rPr>
              <w:lastRenderedPageBreak/>
              <w:t xml:space="preserve">noteikumus attiecībā uz dzīvnieku izcelsmes pārtiku (turpmāk – Parlamenta un Padomes Regula </w:t>
            </w:r>
            <w:r>
              <w:rPr>
                <w:lang w:val="lv-LV"/>
              </w:rPr>
              <w:t>Nr. </w:t>
            </w:r>
            <w:r w:rsidRPr="0020249A">
              <w:rPr>
                <w:lang w:val="lv-LV"/>
              </w:rPr>
              <w:t>853/2004)</w:t>
            </w:r>
            <w:r>
              <w:rPr>
                <w:lang w:val="lv-LV"/>
              </w:rPr>
              <w:t>.</w:t>
            </w:r>
          </w:p>
        </w:tc>
      </w:tr>
      <w:tr w:rsidR="00287B81" w:rsidRPr="005B4FDA" w:rsidTr="0097230D">
        <w:tc>
          <w:tcPr>
            <w:tcW w:w="2024" w:type="pct"/>
            <w:tcBorders>
              <w:top w:val="outset" w:sz="6" w:space="0" w:color="auto"/>
              <w:left w:val="outset" w:sz="6" w:space="0" w:color="auto"/>
              <w:bottom w:val="outset" w:sz="6" w:space="0" w:color="auto"/>
              <w:right w:val="outset" w:sz="6" w:space="0" w:color="auto"/>
            </w:tcBorders>
          </w:tcPr>
          <w:p w:rsidR="00287B81" w:rsidRPr="00074CFD" w:rsidRDefault="00287B81" w:rsidP="0097230D">
            <w:pPr>
              <w:pStyle w:val="Paraststmeklis"/>
              <w:spacing w:before="0" w:beforeAutospacing="0" w:after="0" w:afterAutospacing="0"/>
              <w:jc w:val="both"/>
              <w:rPr>
                <w:lang w:val="lv-LV"/>
              </w:rPr>
            </w:pPr>
            <w:r w:rsidRPr="00074CFD">
              <w:rPr>
                <w:lang w:val="lv-LV"/>
              </w:rPr>
              <w:lastRenderedPageBreak/>
              <w:t>2. Citas starptautiskās saistības</w:t>
            </w:r>
          </w:p>
        </w:tc>
        <w:tc>
          <w:tcPr>
            <w:tcW w:w="2976" w:type="pct"/>
            <w:tcBorders>
              <w:top w:val="outset" w:sz="6" w:space="0" w:color="auto"/>
              <w:left w:val="outset" w:sz="6" w:space="0" w:color="auto"/>
              <w:bottom w:val="outset" w:sz="6" w:space="0" w:color="auto"/>
              <w:right w:val="outset" w:sz="6" w:space="0" w:color="auto"/>
            </w:tcBorders>
          </w:tcPr>
          <w:p w:rsidR="00287B81" w:rsidRPr="00074CFD" w:rsidRDefault="00287B81" w:rsidP="0097230D">
            <w:pPr>
              <w:jc w:val="both"/>
              <w:rPr>
                <w:lang w:val="lv-LV"/>
              </w:rPr>
            </w:pPr>
            <w:r w:rsidRPr="00074CFD">
              <w:rPr>
                <w:lang w:val="lv-LV"/>
              </w:rPr>
              <w:t>Projekts šo jomu neskar.</w:t>
            </w:r>
          </w:p>
        </w:tc>
      </w:tr>
      <w:tr w:rsidR="00287B81" w:rsidRPr="005B4FDA" w:rsidTr="0097230D">
        <w:tc>
          <w:tcPr>
            <w:tcW w:w="2024" w:type="pct"/>
            <w:tcBorders>
              <w:top w:val="outset" w:sz="6" w:space="0" w:color="auto"/>
              <w:left w:val="outset" w:sz="6" w:space="0" w:color="auto"/>
              <w:bottom w:val="outset" w:sz="6" w:space="0" w:color="auto"/>
              <w:right w:val="outset" w:sz="6" w:space="0" w:color="auto"/>
            </w:tcBorders>
          </w:tcPr>
          <w:p w:rsidR="00287B81" w:rsidRPr="00074CFD" w:rsidRDefault="00287B81" w:rsidP="0097230D">
            <w:pPr>
              <w:pStyle w:val="Paraststmeklis"/>
              <w:spacing w:before="0" w:beforeAutospacing="0" w:after="0" w:afterAutospacing="0"/>
              <w:jc w:val="both"/>
              <w:rPr>
                <w:lang w:val="lv-LV"/>
              </w:rPr>
            </w:pPr>
            <w:r w:rsidRPr="00074CFD">
              <w:rPr>
                <w:lang w:val="lv-LV"/>
              </w:rPr>
              <w:t>3. Cita informācija</w:t>
            </w:r>
          </w:p>
        </w:tc>
        <w:tc>
          <w:tcPr>
            <w:tcW w:w="2976" w:type="pct"/>
            <w:tcBorders>
              <w:top w:val="outset" w:sz="6" w:space="0" w:color="auto"/>
              <w:left w:val="outset" w:sz="6" w:space="0" w:color="auto"/>
              <w:bottom w:val="outset" w:sz="6" w:space="0" w:color="auto"/>
              <w:right w:val="outset" w:sz="6" w:space="0" w:color="auto"/>
            </w:tcBorders>
          </w:tcPr>
          <w:p w:rsidR="00287B81" w:rsidRPr="00074CFD" w:rsidRDefault="00287B81" w:rsidP="0097230D">
            <w:pPr>
              <w:jc w:val="both"/>
              <w:rPr>
                <w:lang w:val="lv-LV"/>
              </w:rPr>
            </w:pPr>
            <w:r w:rsidRPr="00074CFD">
              <w:rPr>
                <w:lang w:val="lv-LV"/>
              </w:rPr>
              <w:t>Nav</w:t>
            </w:r>
            <w:r>
              <w:rPr>
                <w:lang w:val="lv-LV"/>
              </w:rPr>
              <w:t>.</w:t>
            </w:r>
          </w:p>
        </w:tc>
      </w:tr>
    </w:tbl>
    <w:p w:rsidR="00287B81" w:rsidRPr="004C70F0" w:rsidRDefault="00287B81" w:rsidP="00287B81">
      <w:pPr>
        <w:pStyle w:val="Paraststmeklis"/>
        <w:spacing w:before="0" w:beforeAutospacing="0" w:after="0" w:afterAutospacing="0"/>
        <w:rPr>
          <w:sz w:val="28"/>
          <w:szCs w:val="28"/>
          <w:lang w:val="lv-LV"/>
        </w:rPr>
      </w:pPr>
    </w:p>
    <w:tbl>
      <w:tblPr>
        <w:tblW w:w="5036"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5"/>
        <w:gridCol w:w="2088"/>
        <w:gridCol w:w="2198"/>
        <w:gridCol w:w="2209"/>
      </w:tblGrid>
      <w:tr w:rsidR="00287B81" w:rsidRPr="00E936A3" w:rsidTr="0097230D">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center"/>
              <w:rPr>
                <w:b/>
                <w:bCs/>
                <w:lang w:val="lv-LV"/>
              </w:rPr>
            </w:pPr>
            <w:r w:rsidRPr="00074CFD">
              <w:rPr>
                <w:b/>
                <w:bCs/>
                <w:lang w:val="lv-LV"/>
              </w:rPr>
              <w:t>1.tabula</w:t>
            </w:r>
            <w:r w:rsidRPr="00074CFD">
              <w:rPr>
                <w:b/>
                <w:bCs/>
                <w:lang w:val="lv-LV"/>
              </w:rPr>
              <w:br/>
              <w:t>Tiesību akta projekta atbilstība ES tiesību aktiem</w:t>
            </w:r>
          </w:p>
        </w:tc>
      </w:tr>
      <w:tr w:rsidR="00287B81" w:rsidRPr="005B4FDA" w:rsidTr="0097230D">
        <w:tc>
          <w:tcPr>
            <w:tcW w:w="1439"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center"/>
              <w:rPr>
                <w:lang w:val="lv-LV"/>
              </w:rPr>
            </w:pPr>
            <w:r w:rsidRPr="00074CFD">
              <w:rPr>
                <w:lang w:val="lv-LV"/>
              </w:rPr>
              <w:t>Attiecīgā ES tiesību akta datums, numurs un nosaukums</w:t>
            </w:r>
          </w:p>
        </w:tc>
        <w:tc>
          <w:tcPr>
            <w:tcW w:w="3561" w:type="pct"/>
            <w:gridSpan w:val="3"/>
            <w:tcBorders>
              <w:top w:val="outset" w:sz="6" w:space="0" w:color="000000"/>
              <w:left w:val="outset" w:sz="6" w:space="0" w:color="000000"/>
              <w:bottom w:val="outset" w:sz="6" w:space="0" w:color="000000"/>
              <w:right w:val="outset" w:sz="6" w:space="0" w:color="000000"/>
            </w:tcBorders>
          </w:tcPr>
          <w:p w:rsidR="00287B81" w:rsidRDefault="00287B81" w:rsidP="0097230D">
            <w:pPr>
              <w:tabs>
                <w:tab w:val="left" w:pos="331"/>
              </w:tabs>
              <w:jc w:val="both"/>
              <w:rPr>
                <w:lang w:val="lv-LV"/>
              </w:rPr>
            </w:pPr>
            <w:r>
              <w:rPr>
                <w:lang w:val="lv-LV"/>
              </w:rPr>
              <w:t xml:space="preserve">1)Eiropas Parlamenta un Padomes 2004. gada 29. aprīļa Regula (EK) Nr.852/2004 par pārtikas produktu higiēnu (turpmāk – </w:t>
            </w:r>
            <w:r w:rsidRPr="0020249A">
              <w:rPr>
                <w:lang w:val="lv-LV"/>
              </w:rPr>
              <w:t>Parlamenta un Padomes Regula</w:t>
            </w:r>
            <w:r>
              <w:rPr>
                <w:lang w:val="lv-LV"/>
              </w:rPr>
              <w:t xml:space="preserve"> Nr. 852/2004);</w:t>
            </w:r>
          </w:p>
          <w:p w:rsidR="00287B81" w:rsidRPr="000C3101" w:rsidRDefault="00287B81" w:rsidP="0097230D">
            <w:pPr>
              <w:tabs>
                <w:tab w:val="left" w:pos="331"/>
              </w:tabs>
              <w:jc w:val="both"/>
              <w:rPr>
                <w:lang w:val="lv-LV"/>
              </w:rPr>
            </w:pPr>
            <w:r>
              <w:rPr>
                <w:lang w:val="lv-LV"/>
              </w:rPr>
              <w:t>2)</w:t>
            </w:r>
            <w:r w:rsidRPr="0020249A">
              <w:rPr>
                <w:lang w:val="lv-LV"/>
              </w:rPr>
              <w:t xml:space="preserve"> Parlamenta un Padomes Regula </w:t>
            </w:r>
            <w:r>
              <w:rPr>
                <w:lang w:val="lv-LV"/>
              </w:rPr>
              <w:t>Nr. </w:t>
            </w:r>
            <w:r w:rsidRPr="0020249A">
              <w:rPr>
                <w:lang w:val="lv-LV"/>
              </w:rPr>
              <w:t>853/2004</w:t>
            </w:r>
            <w:r>
              <w:rPr>
                <w:lang w:val="lv-LV"/>
              </w:rPr>
              <w:t>.</w:t>
            </w:r>
          </w:p>
        </w:tc>
      </w:tr>
      <w:tr w:rsidR="00287B81" w:rsidRPr="005B4FDA" w:rsidTr="0097230D">
        <w:tc>
          <w:tcPr>
            <w:tcW w:w="1439"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center"/>
              <w:rPr>
                <w:lang w:val="lv-LV"/>
              </w:rPr>
            </w:pPr>
            <w:r w:rsidRPr="00074CFD">
              <w:rPr>
                <w:lang w:val="lv-LV"/>
              </w:rPr>
              <w:t>A</w:t>
            </w:r>
          </w:p>
        </w:tc>
        <w:tc>
          <w:tcPr>
            <w:tcW w:w="1145"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center"/>
              <w:rPr>
                <w:lang w:val="lv-LV"/>
              </w:rPr>
            </w:pPr>
            <w:r w:rsidRPr="00074CFD">
              <w:rPr>
                <w:lang w:val="lv-LV"/>
              </w:rPr>
              <w:t>B</w:t>
            </w:r>
          </w:p>
        </w:tc>
        <w:tc>
          <w:tcPr>
            <w:tcW w:w="1205"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center"/>
              <w:rPr>
                <w:lang w:val="lv-LV"/>
              </w:rPr>
            </w:pPr>
            <w:r w:rsidRPr="00074CFD">
              <w:rPr>
                <w:lang w:val="lv-LV"/>
              </w:rPr>
              <w:t>C</w:t>
            </w:r>
          </w:p>
        </w:tc>
        <w:tc>
          <w:tcPr>
            <w:tcW w:w="1211"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center"/>
              <w:rPr>
                <w:lang w:val="lv-LV"/>
              </w:rPr>
            </w:pPr>
            <w:r w:rsidRPr="00074CFD">
              <w:rPr>
                <w:lang w:val="lv-LV"/>
              </w:rPr>
              <w:t>D</w:t>
            </w:r>
          </w:p>
        </w:tc>
      </w:tr>
      <w:tr w:rsidR="00287B81" w:rsidRPr="00E936A3" w:rsidTr="0097230D">
        <w:tc>
          <w:tcPr>
            <w:tcW w:w="1439"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spacing w:before="100" w:beforeAutospacing="1" w:after="100" w:afterAutospacing="1"/>
              <w:rPr>
                <w:lang w:val="lv-LV"/>
              </w:rPr>
            </w:pPr>
            <w:r w:rsidRPr="00074CFD">
              <w:rPr>
                <w:lang w:val="lv-LV"/>
              </w:rPr>
              <w:t>Attiecīgā ES tiesību akta panta numurs (uzskaitot katru tiesību akta vienību – pantu, daļu, punktu, apakšpunktu)</w:t>
            </w:r>
          </w:p>
        </w:tc>
        <w:tc>
          <w:tcPr>
            <w:tcW w:w="1145"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spacing w:before="100" w:beforeAutospacing="1" w:after="100" w:afterAutospacing="1"/>
              <w:rPr>
                <w:lang w:val="lv-LV"/>
              </w:rPr>
            </w:pPr>
            <w:r w:rsidRPr="00074CFD">
              <w:rPr>
                <w:lang w:val="lv-LV"/>
              </w:rPr>
              <w:t>Projekta vienība, kas pārņem vai ievieš katru šīs tabulas A ailē minēto ES tiesību akta vienību</w:t>
            </w:r>
          </w:p>
        </w:tc>
        <w:tc>
          <w:tcPr>
            <w:tcW w:w="1205"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spacing w:before="100" w:beforeAutospacing="1" w:after="100" w:afterAutospacing="1"/>
              <w:rPr>
                <w:lang w:val="lv-LV"/>
              </w:rPr>
            </w:pPr>
            <w:r w:rsidRPr="00074CFD">
              <w:rPr>
                <w:lang w:val="lv-LV"/>
              </w:rPr>
              <w:t>Informācija par to, vai šīs tabulas A ailē minētās ES tiesību akta vienības tiek pārņemtas vai ieviestas pilnībā vai daļēji.</w:t>
            </w:r>
          </w:p>
        </w:tc>
        <w:tc>
          <w:tcPr>
            <w:tcW w:w="1211"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jc w:val="both"/>
              <w:rPr>
                <w:lang w:val="lv-LV"/>
              </w:rPr>
            </w:pPr>
            <w:r w:rsidRPr="00074CFD">
              <w:rPr>
                <w:lang w:val="lv-LV"/>
              </w:rPr>
              <w:t>Informācija par to, vai šīs tabulas B ailē minētās projekta vienības paredz stingrākas prasības nekā šīs tabulas A ailē minētās ES tiesību akta vienības.</w:t>
            </w:r>
          </w:p>
        </w:tc>
      </w:tr>
      <w:tr w:rsidR="00287B81" w:rsidRPr="005B4FDA" w:rsidTr="0097230D">
        <w:tc>
          <w:tcPr>
            <w:tcW w:w="1439"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autoSpaceDE w:val="0"/>
              <w:autoSpaceDN w:val="0"/>
              <w:adjustRightInd w:val="0"/>
              <w:jc w:val="both"/>
              <w:rPr>
                <w:bCs/>
                <w:lang w:val="lv-LV"/>
              </w:rPr>
            </w:pPr>
            <w:r w:rsidRPr="0020249A">
              <w:rPr>
                <w:lang w:val="lv-LV"/>
              </w:rPr>
              <w:t>Parlamenta un Padomes Regula</w:t>
            </w:r>
            <w:r>
              <w:rPr>
                <w:lang w:val="lv-LV"/>
              </w:rPr>
              <w:t xml:space="preserve"> Nr. 852/2004 </w:t>
            </w:r>
            <w:r w:rsidRPr="004C70F0">
              <w:rPr>
                <w:lang w:val="lv-LV"/>
              </w:rPr>
              <w:t>par pārtikas produktu higiēnu II pielikums</w:t>
            </w:r>
          </w:p>
        </w:tc>
        <w:tc>
          <w:tcPr>
            <w:tcW w:w="1145" w:type="pct"/>
            <w:tcBorders>
              <w:top w:val="outset" w:sz="6" w:space="0" w:color="000000"/>
              <w:left w:val="outset" w:sz="6" w:space="0" w:color="000000"/>
              <w:bottom w:val="outset" w:sz="6" w:space="0" w:color="000000"/>
              <w:right w:val="outset" w:sz="6" w:space="0" w:color="000000"/>
            </w:tcBorders>
          </w:tcPr>
          <w:p w:rsidR="00287B81" w:rsidRPr="0020249A" w:rsidRDefault="00287B81" w:rsidP="0097230D">
            <w:pPr>
              <w:spacing w:before="100" w:beforeAutospacing="1" w:after="100" w:afterAutospacing="1"/>
              <w:rPr>
                <w:lang w:val="lv-LV"/>
              </w:rPr>
            </w:pPr>
            <w:r w:rsidRPr="004C70F0">
              <w:rPr>
                <w:lang w:val="lv-LV"/>
              </w:rPr>
              <w:t>Noteikumu projekta 40. punkts</w:t>
            </w:r>
          </w:p>
        </w:tc>
        <w:tc>
          <w:tcPr>
            <w:tcW w:w="1205" w:type="pct"/>
            <w:tcBorders>
              <w:top w:val="outset" w:sz="6" w:space="0" w:color="000000"/>
              <w:left w:val="outset" w:sz="6" w:space="0" w:color="000000"/>
              <w:bottom w:val="outset" w:sz="6" w:space="0" w:color="000000"/>
              <w:right w:val="outset" w:sz="6" w:space="0" w:color="000000"/>
            </w:tcBorders>
          </w:tcPr>
          <w:p w:rsidR="00287B81" w:rsidRPr="00967A74" w:rsidRDefault="00287B81" w:rsidP="0097230D">
            <w:pPr>
              <w:rPr>
                <w:lang w:val="lv-LV"/>
              </w:rPr>
            </w:pPr>
            <w:r w:rsidRPr="004C70F0">
              <w:rPr>
                <w:lang w:val="lv-LV"/>
              </w:rPr>
              <w:t>Regulas punkts tiek ieviests pilnībā</w:t>
            </w:r>
            <w:r>
              <w:rPr>
                <w:lang w:val="lv-LV"/>
              </w:rPr>
              <w:t>.</w:t>
            </w:r>
          </w:p>
        </w:tc>
        <w:tc>
          <w:tcPr>
            <w:tcW w:w="1211" w:type="pct"/>
            <w:tcBorders>
              <w:top w:val="outset" w:sz="6" w:space="0" w:color="000000"/>
              <w:left w:val="outset" w:sz="6" w:space="0" w:color="000000"/>
              <w:bottom w:val="outset" w:sz="6" w:space="0" w:color="000000"/>
              <w:right w:val="outset" w:sz="6" w:space="0" w:color="000000"/>
            </w:tcBorders>
            <w:vAlign w:val="center"/>
          </w:tcPr>
          <w:p w:rsidR="00287B81" w:rsidRDefault="00287B81" w:rsidP="0097230D">
            <w:pPr>
              <w:pStyle w:val="CM1"/>
            </w:pPr>
            <w:r w:rsidRPr="0020249A">
              <w:t>Nav paredzētas stingrākas saistības</w:t>
            </w:r>
            <w:r>
              <w:t>.</w:t>
            </w:r>
          </w:p>
          <w:p w:rsidR="00287B81" w:rsidRPr="0020249A" w:rsidRDefault="00287B81" w:rsidP="0097230D">
            <w:pPr>
              <w:pStyle w:val="CM1"/>
              <w:rPr>
                <w:color w:val="000000"/>
              </w:rPr>
            </w:pPr>
          </w:p>
        </w:tc>
      </w:tr>
      <w:tr w:rsidR="00287B81" w:rsidRPr="00E936A3" w:rsidTr="0097230D">
        <w:trPr>
          <w:trHeight w:val="3099"/>
        </w:trPr>
        <w:tc>
          <w:tcPr>
            <w:tcW w:w="1439" w:type="pct"/>
            <w:tcBorders>
              <w:top w:val="outset" w:sz="6" w:space="0" w:color="000000"/>
              <w:left w:val="outset" w:sz="6" w:space="0" w:color="000000"/>
              <w:bottom w:val="outset" w:sz="6" w:space="0" w:color="000000"/>
              <w:right w:val="outset" w:sz="6" w:space="0" w:color="000000"/>
            </w:tcBorders>
          </w:tcPr>
          <w:p w:rsidR="00287B81" w:rsidRDefault="00287B81" w:rsidP="0097230D">
            <w:pPr>
              <w:autoSpaceDE w:val="0"/>
              <w:autoSpaceDN w:val="0"/>
              <w:adjustRightInd w:val="0"/>
              <w:jc w:val="both"/>
            </w:pPr>
            <w:r w:rsidRPr="0020249A">
              <w:rPr>
                <w:lang w:val="lv-LV"/>
              </w:rPr>
              <w:t>Parlamenta un Padomes Regula</w:t>
            </w:r>
            <w:r>
              <w:rPr>
                <w:lang w:val="lv-LV"/>
              </w:rPr>
              <w:t>s</w:t>
            </w:r>
            <w:r w:rsidRPr="0020249A">
              <w:rPr>
                <w:lang w:val="lv-LV"/>
              </w:rPr>
              <w:t xml:space="preserve"> </w:t>
            </w:r>
            <w:r>
              <w:rPr>
                <w:lang w:val="lv-LV"/>
              </w:rPr>
              <w:t>Nr. </w:t>
            </w:r>
            <w:r w:rsidRPr="0020249A">
              <w:rPr>
                <w:lang w:val="lv-LV"/>
              </w:rPr>
              <w:t>853/2004</w:t>
            </w:r>
            <w:r>
              <w:rPr>
                <w:lang w:val="lv-LV"/>
              </w:rPr>
              <w:t xml:space="preserve"> </w:t>
            </w:r>
            <w:proofErr w:type="gramStart"/>
            <w:r>
              <w:t>1.panta</w:t>
            </w:r>
            <w:proofErr w:type="gramEnd"/>
            <w:r>
              <w:t xml:space="preserve"> 4.punkts</w:t>
            </w:r>
          </w:p>
          <w:p w:rsidR="00287B81" w:rsidRPr="00820E28" w:rsidRDefault="00287B81" w:rsidP="0097230D">
            <w:pPr>
              <w:pStyle w:val="naisc"/>
              <w:spacing w:before="0"/>
              <w:jc w:val="both"/>
              <w:rPr>
                <w:sz w:val="24"/>
                <w:szCs w:val="24"/>
              </w:rPr>
            </w:pPr>
          </w:p>
        </w:tc>
        <w:tc>
          <w:tcPr>
            <w:tcW w:w="1145" w:type="pct"/>
            <w:tcBorders>
              <w:top w:val="outset" w:sz="6" w:space="0" w:color="000000"/>
              <w:left w:val="outset" w:sz="6" w:space="0" w:color="000000"/>
              <w:bottom w:val="outset" w:sz="6" w:space="0" w:color="000000"/>
              <w:right w:val="outset" w:sz="6" w:space="0" w:color="000000"/>
            </w:tcBorders>
          </w:tcPr>
          <w:p w:rsidR="00287B81" w:rsidRPr="00030BFE" w:rsidRDefault="00287B81" w:rsidP="0097230D">
            <w:pPr>
              <w:spacing w:before="100" w:beforeAutospacing="1" w:after="100" w:afterAutospacing="1"/>
              <w:jc w:val="both"/>
              <w:rPr>
                <w:lang w:val="lv-LV"/>
              </w:rPr>
            </w:pPr>
            <w:r w:rsidRPr="00030BFE">
              <w:rPr>
                <w:lang w:val="lv-LV"/>
              </w:rPr>
              <w:t>Noteikumu projekta 1. punkts</w:t>
            </w:r>
          </w:p>
        </w:tc>
        <w:tc>
          <w:tcPr>
            <w:tcW w:w="1205" w:type="pct"/>
            <w:tcBorders>
              <w:top w:val="outset" w:sz="6" w:space="0" w:color="000000"/>
              <w:left w:val="outset" w:sz="6" w:space="0" w:color="000000"/>
              <w:bottom w:val="outset" w:sz="6" w:space="0" w:color="000000"/>
              <w:right w:val="outset" w:sz="6" w:space="0" w:color="000000"/>
            </w:tcBorders>
          </w:tcPr>
          <w:p w:rsidR="00287B81" w:rsidRPr="00030BFE" w:rsidRDefault="00287B81" w:rsidP="0097230D">
            <w:pPr>
              <w:spacing w:after="100" w:afterAutospacing="1"/>
              <w:jc w:val="both"/>
              <w:rPr>
                <w:lang w:val="lv-LV"/>
              </w:rPr>
            </w:pPr>
            <w:r w:rsidRPr="00030BFE">
              <w:rPr>
                <w:lang w:val="lv-LV"/>
              </w:rPr>
              <w:t>Regulas punkts tiek ieviests pilnībā.</w:t>
            </w:r>
          </w:p>
          <w:p w:rsidR="00287B81" w:rsidRPr="00030BFE" w:rsidRDefault="00287B81" w:rsidP="0097230D">
            <w:pPr>
              <w:pStyle w:val="basetext"/>
              <w:spacing w:before="0"/>
              <w:rPr>
                <w:lang w:val="lv-LV"/>
              </w:rPr>
            </w:pPr>
            <w:r w:rsidRPr="00030BFE">
              <w:rPr>
                <w:lang w:val="lv-LV"/>
              </w:rPr>
              <w:t>Noteikumu prasību izpildi nodrošina Pārtikas un veterinārais dienests.</w:t>
            </w:r>
          </w:p>
        </w:tc>
        <w:tc>
          <w:tcPr>
            <w:tcW w:w="1211" w:type="pct"/>
            <w:tcBorders>
              <w:top w:val="outset" w:sz="6" w:space="0" w:color="000000"/>
              <w:left w:val="outset" w:sz="6" w:space="0" w:color="000000"/>
              <w:bottom w:val="outset" w:sz="6" w:space="0" w:color="000000"/>
              <w:right w:val="outset" w:sz="6" w:space="0" w:color="000000"/>
            </w:tcBorders>
          </w:tcPr>
          <w:p w:rsidR="00287B81" w:rsidRDefault="00287B81" w:rsidP="00287B81">
            <w:pPr>
              <w:pStyle w:val="Default"/>
              <w:jc w:val="both"/>
              <w:rPr>
                <w:lang w:eastAsia="en-US"/>
              </w:rPr>
            </w:pPr>
            <w:r w:rsidRPr="0020249A">
              <w:t xml:space="preserve">Nav paredzētas stingrākas saistības. Ar minētās regulas punktu tiek noteikts dalībvalsts uzdevums izstrādāt normatīvo aktu, kas nosaka prasības </w:t>
            </w:r>
            <w:r>
              <w:t xml:space="preserve">pamatproduktiem, </w:t>
            </w:r>
            <w:r w:rsidRPr="0020249A">
              <w:t xml:space="preserve">uz kuriem </w:t>
            </w:r>
            <w:r>
              <w:t>r</w:t>
            </w:r>
            <w:r w:rsidRPr="0020249A">
              <w:t>egula neattiecas.</w:t>
            </w:r>
          </w:p>
          <w:p w:rsidR="00287B81" w:rsidRPr="00C15022" w:rsidRDefault="00287B81" w:rsidP="0097230D">
            <w:pPr>
              <w:pStyle w:val="Default"/>
              <w:rPr>
                <w:lang w:eastAsia="en-US"/>
              </w:rPr>
            </w:pPr>
          </w:p>
        </w:tc>
      </w:tr>
      <w:tr w:rsidR="00287B81" w:rsidRPr="0041592F" w:rsidTr="0097230D">
        <w:tc>
          <w:tcPr>
            <w:tcW w:w="1439"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rPr>
                <w:lang w:val="lv-LV"/>
              </w:rPr>
            </w:pPr>
            <w:r w:rsidRPr="00074CFD">
              <w:rPr>
                <w:lang w:val="lv-LV"/>
              </w:rPr>
              <w:t>Kā ir izmantota ES tiesību aktā paredzētā rīcības brīvība dalībvalstij pārņemt vai ieviest noteiktas ES tiesību akta normas.</w:t>
            </w:r>
          </w:p>
          <w:p w:rsidR="00287B81" w:rsidRPr="00074CFD" w:rsidRDefault="00287B81" w:rsidP="0097230D">
            <w:pPr>
              <w:rPr>
                <w:lang w:val="lv-LV"/>
              </w:rPr>
            </w:pPr>
            <w:r w:rsidRPr="00074CFD">
              <w:rPr>
                <w:lang w:val="lv-LV"/>
              </w:rPr>
              <w:t>Kādēļ?</w:t>
            </w:r>
          </w:p>
        </w:tc>
        <w:tc>
          <w:tcPr>
            <w:tcW w:w="3561" w:type="pct"/>
            <w:gridSpan w:val="3"/>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jc w:val="both"/>
              <w:rPr>
                <w:lang w:val="lv-LV"/>
              </w:rPr>
            </w:pPr>
            <w:r w:rsidRPr="00074CFD">
              <w:rPr>
                <w:lang w:val="lv-LV"/>
              </w:rPr>
              <w:t>Projekts šo jomu neskar.</w:t>
            </w:r>
          </w:p>
        </w:tc>
      </w:tr>
      <w:tr w:rsidR="00287B81" w:rsidRPr="00E936A3" w:rsidTr="0097230D">
        <w:tc>
          <w:tcPr>
            <w:tcW w:w="1439" w:type="pct"/>
            <w:tcBorders>
              <w:top w:val="outset" w:sz="6" w:space="0" w:color="000000"/>
              <w:left w:val="outset" w:sz="6" w:space="0" w:color="000000"/>
              <w:bottom w:val="outset" w:sz="6" w:space="0" w:color="000000"/>
              <w:right w:val="outset" w:sz="6" w:space="0" w:color="000000"/>
            </w:tcBorders>
            <w:vAlign w:val="center"/>
          </w:tcPr>
          <w:p w:rsidR="00287B81" w:rsidRPr="00074CFD" w:rsidRDefault="00287B81" w:rsidP="0097230D">
            <w:pPr>
              <w:spacing w:before="100" w:beforeAutospacing="1" w:after="100" w:afterAutospacing="1"/>
              <w:rPr>
                <w:lang w:val="lv-LV"/>
              </w:rPr>
            </w:pPr>
            <w:r w:rsidRPr="00074CFD">
              <w:rPr>
                <w:lang w:val="lv-LV"/>
              </w:rPr>
              <w:t xml:space="preserve">Saistības sniegt paziņojumu ES </w:t>
            </w:r>
            <w:r w:rsidRPr="00074CFD">
              <w:rPr>
                <w:lang w:val="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561" w:type="pct"/>
            <w:gridSpan w:val="3"/>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spacing w:before="100" w:beforeAutospacing="1" w:after="100" w:afterAutospacing="1"/>
              <w:jc w:val="both"/>
              <w:rPr>
                <w:lang w:val="lv-LV"/>
              </w:rPr>
            </w:pPr>
            <w:r w:rsidRPr="00074CFD">
              <w:rPr>
                <w:lang w:val="lv-LV"/>
              </w:rPr>
              <w:lastRenderedPageBreak/>
              <w:t>Noteikumu projekts ir tehniskie noteikumi, un tas ir jānosūta saskaņošanai Eiropas Komisijai.</w:t>
            </w:r>
          </w:p>
        </w:tc>
      </w:tr>
      <w:tr w:rsidR="00287B81" w:rsidRPr="00074CFD" w:rsidTr="0097230D">
        <w:tc>
          <w:tcPr>
            <w:tcW w:w="1439"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spacing w:before="100" w:beforeAutospacing="1" w:after="100" w:afterAutospacing="1"/>
              <w:rPr>
                <w:lang w:val="lv-LV"/>
              </w:rPr>
            </w:pPr>
            <w:r w:rsidRPr="00074CFD">
              <w:rPr>
                <w:lang w:val="lv-LV"/>
              </w:rPr>
              <w:t>Cita informācija</w:t>
            </w:r>
          </w:p>
        </w:tc>
        <w:tc>
          <w:tcPr>
            <w:tcW w:w="3561" w:type="pct"/>
            <w:gridSpan w:val="3"/>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spacing w:before="100" w:beforeAutospacing="1" w:after="100" w:afterAutospacing="1"/>
              <w:rPr>
                <w:lang w:val="lv-LV"/>
              </w:rPr>
            </w:pPr>
            <w:r w:rsidRPr="00074CFD">
              <w:rPr>
                <w:lang w:val="lv-LV"/>
              </w:rPr>
              <w:t>Nav</w:t>
            </w:r>
            <w:r>
              <w:rPr>
                <w:lang w:val="lv-LV"/>
              </w:rPr>
              <w:t>.</w:t>
            </w:r>
          </w:p>
        </w:tc>
      </w:tr>
    </w:tbl>
    <w:p w:rsidR="00287B81" w:rsidRDefault="00287B81" w:rsidP="00287B81">
      <w:pPr>
        <w:jc w:val="both"/>
        <w:rPr>
          <w:i/>
          <w:sz w:val="28"/>
          <w:szCs w:val="28"/>
          <w:lang w:val="lv-LV"/>
        </w:rPr>
      </w:pPr>
    </w:p>
    <w:tbl>
      <w:tblPr>
        <w:tblStyle w:val="Reatabula"/>
        <w:tblW w:w="0" w:type="auto"/>
        <w:tblLook w:val="04A0" w:firstRow="1" w:lastRow="0" w:firstColumn="1" w:lastColumn="0" w:noHBand="0" w:noVBand="1"/>
      </w:tblPr>
      <w:tblGrid>
        <w:gridCol w:w="9061"/>
      </w:tblGrid>
      <w:tr w:rsidR="00287B81" w:rsidTr="0097230D">
        <w:tc>
          <w:tcPr>
            <w:tcW w:w="9061" w:type="dxa"/>
          </w:tcPr>
          <w:p w:rsidR="00287B81" w:rsidRPr="00C751B2" w:rsidRDefault="00287B81" w:rsidP="0097230D">
            <w:pPr>
              <w:jc w:val="center"/>
              <w:rPr>
                <w:i/>
                <w:lang w:val="lv-LV"/>
              </w:rPr>
            </w:pPr>
            <w:r w:rsidRPr="00C751B2">
              <w:rPr>
                <w:b/>
                <w:bCs/>
                <w:lang w:val="lv-LV"/>
              </w:rPr>
              <w:t>2.tabula</w:t>
            </w:r>
            <w:r w:rsidRPr="00C751B2">
              <w:rPr>
                <w:b/>
                <w:bCs/>
                <w:lang w:val="lv-LV"/>
              </w:rPr>
              <w:br/>
              <w:t>Ar tiesību akta projektu izpildītās vai uzņemtās saistības, kas izriet no starptautiskajiem tiesību aktiem vai starptautiskas institūcijas vai organizācijas dokumentiem. Pasākumi šo saistību izpildei</w:t>
            </w:r>
          </w:p>
        </w:tc>
      </w:tr>
      <w:tr w:rsidR="00287B81" w:rsidTr="0097230D">
        <w:tc>
          <w:tcPr>
            <w:tcW w:w="9061" w:type="dxa"/>
          </w:tcPr>
          <w:p w:rsidR="00287B81" w:rsidRPr="00A670CA" w:rsidRDefault="00287B81" w:rsidP="0097230D">
            <w:pPr>
              <w:pStyle w:val="Default"/>
              <w:jc w:val="center"/>
              <w:rPr>
                <w:rFonts w:ascii="Times New Roman" w:hAnsi="Times New Roman" w:cs="Times New Roman"/>
                <w:szCs w:val="28"/>
              </w:rPr>
            </w:pPr>
            <w:r w:rsidRPr="00B438FF">
              <w:rPr>
                <w:rFonts w:ascii="Times New Roman" w:hAnsi="Times New Roman" w:cs="Times New Roman"/>
                <w:szCs w:val="28"/>
              </w:rPr>
              <w:t>Projekts šo jomu neskar.</w:t>
            </w:r>
          </w:p>
        </w:tc>
      </w:tr>
    </w:tbl>
    <w:p w:rsidR="00287B81" w:rsidRDefault="00287B81" w:rsidP="00287B81">
      <w:pPr>
        <w:jc w:val="both"/>
        <w:rPr>
          <w:i/>
          <w:sz w:val="28"/>
          <w:szCs w:val="28"/>
          <w:lang w:val="lv-LV"/>
        </w:rPr>
      </w:pPr>
    </w:p>
    <w:p w:rsidR="00287B81" w:rsidRPr="00074CFD" w:rsidRDefault="00287B81" w:rsidP="00287B81">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818"/>
        <w:gridCol w:w="5652"/>
      </w:tblGrid>
      <w:tr w:rsidR="00287B81" w:rsidRPr="00E936A3" w:rsidTr="0097230D">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287B81" w:rsidRDefault="00287B81" w:rsidP="0097230D">
            <w:pPr>
              <w:jc w:val="center"/>
              <w:rPr>
                <w:b/>
                <w:bCs/>
                <w:lang w:val="lv-LV"/>
              </w:rPr>
            </w:pPr>
            <w:r w:rsidRPr="00074CFD">
              <w:rPr>
                <w:b/>
                <w:bCs/>
                <w:lang w:val="lv-LV" w:eastAsia="lv-LV"/>
              </w:rPr>
              <w:t xml:space="preserve">VI. Sabiedrības līdzdalība </w:t>
            </w:r>
            <w:r w:rsidRPr="00074CFD">
              <w:rPr>
                <w:b/>
                <w:bCs/>
                <w:lang w:val="lv-LV"/>
              </w:rPr>
              <w:t xml:space="preserve">un komunikācijas </w:t>
            </w:r>
          </w:p>
          <w:p w:rsidR="00287B81" w:rsidRPr="00074CFD" w:rsidRDefault="00287B81" w:rsidP="0097230D">
            <w:pPr>
              <w:jc w:val="center"/>
              <w:rPr>
                <w:b/>
                <w:bCs/>
                <w:lang w:val="lv-LV" w:eastAsia="lv-LV"/>
              </w:rPr>
            </w:pPr>
            <w:r w:rsidRPr="00074CFD">
              <w:rPr>
                <w:b/>
                <w:bCs/>
                <w:lang w:val="lv-LV"/>
              </w:rPr>
              <w:t>aktivitātes</w:t>
            </w:r>
          </w:p>
        </w:tc>
      </w:tr>
      <w:tr w:rsidR="00287B81" w:rsidRPr="00E936A3" w:rsidTr="0097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287B81" w:rsidRPr="00074CFD" w:rsidRDefault="00287B81" w:rsidP="0097230D">
            <w:pPr>
              <w:pStyle w:val="naiskr"/>
              <w:spacing w:before="0" w:beforeAutospacing="0" w:after="0" w:afterAutospacing="0"/>
            </w:pPr>
            <w:r w:rsidRPr="00074CFD">
              <w:t>1.</w:t>
            </w:r>
          </w:p>
        </w:tc>
        <w:tc>
          <w:tcPr>
            <w:tcW w:w="1561" w:type="pct"/>
          </w:tcPr>
          <w:p w:rsidR="00287B81" w:rsidRPr="00074CFD" w:rsidRDefault="00287B81" w:rsidP="0097230D">
            <w:pPr>
              <w:pStyle w:val="naiskr"/>
              <w:spacing w:before="0" w:beforeAutospacing="0" w:after="0" w:afterAutospacing="0"/>
              <w:jc w:val="both"/>
            </w:pPr>
            <w:r w:rsidRPr="00074CFD">
              <w:t>Plānotās sabiedrības līdzdalības un komunikācijas aktivitātes saistībā ar projektu</w:t>
            </w:r>
          </w:p>
        </w:tc>
        <w:tc>
          <w:tcPr>
            <w:tcW w:w="3131" w:type="pct"/>
          </w:tcPr>
          <w:p w:rsidR="00287B81" w:rsidRPr="00074CFD" w:rsidRDefault="00287B81" w:rsidP="0097230D">
            <w:pPr>
              <w:jc w:val="both"/>
              <w:rPr>
                <w:lang w:val="lv-LV"/>
              </w:rPr>
            </w:pPr>
            <w:r w:rsidRPr="00074CFD">
              <w:rPr>
                <w:lang w:val="lv-LV"/>
              </w:rPr>
              <w:t xml:space="preserve">Noteikumu projekts </w:t>
            </w:r>
            <w:r>
              <w:rPr>
                <w:lang w:val="lv-LV"/>
              </w:rPr>
              <w:t xml:space="preserve">tika </w:t>
            </w:r>
            <w:r w:rsidRPr="00074CFD">
              <w:rPr>
                <w:lang w:val="lv-LV"/>
              </w:rPr>
              <w:t>ievietots Zemkopības m</w:t>
            </w:r>
            <w:r>
              <w:rPr>
                <w:lang w:val="lv-LV"/>
              </w:rPr>
              <w:t>inistrijas tīmekļvietnē no 2017. gada 20. aprīļa līdz 28. aprīlim.</w:t>
            </w:r>
          </w:p>
        </w:tc>
      </w:tr>
      <w:tr w:rsidR="00287B81" w:rsidRPr="00E936A3" w:rsidTr="0097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287B81" w:rsidRPr="00074CFD" w:rsidRDefault="00287B81" w:rsidP="0097230D">
            <w:pPr>
              <w:pStyle w:val="naiskr"/>
              <w:spacing w:before="0" w:beforeAutospacing="0" w:after="0" w:afterAutospacing="0"/>
            </w:pPr>
            <w:r w:rsidRPr="00074CFD">
              <w:t>2.</w:t>
            </w:r>
          </w:p>
        </w:tc>
        <w:tc>
          <w:tcPr>
            <w:tcW w:w="1561" w:type="pct"/>
          </w:tcPr>
          <w:p w:rsidR="00287B81" w:rsidRPr="00074CFD" w:rsidRDefault="00287B81" w:rsidP="0097230D">
            <w:pPr>
              <w:pStyle w:val="naiskr"/>
              <w:spacing w:before="0" w:beforeAutospacing="0" w:after="0" w:afterAutospacing="0"/>
              <w:jc w:val="both"/>
            </w:pPr>
            <w:r w:rsidRPr="00074CFD">
              <w:t>Sabiedrības līdzdalība projekta izstrādē</w:t>
            </w:r>
          </w:p>
        </w:tc>
        <w:tc>
          <w:tcPr>
            <w:tcW w:w="3131" w:type="pct"/>
          </w:tcPr>
          <w:p w:rsidR="00287B81" w:rsidRPr="00C751B2" w:rsidRDefault="00287B81" w:rsidP="0097230D">
            <w:pPr>
              <w:jc w:val="both"/>
              <w:rPr>
                <w:lang w:val="lv-LV"/>
              </w:rPr>
            </w:pPr>
            <w:r w:rsidRPr="00C751B2">
              <w:rPr>
                <w:lang w:val="lv-LV"/>
              </w:rPr>
              <w:t xml:space="preserve">Noteikumu projekts elektroniski tika nosūtīts saskaņošanai ar nevalstiskajām organizācijām “Lauksaimnieku organizāciju sadarbības padome”, “Latvijas Lauksaimniecības kooperatīvu asociācija”, “Latvijas Piensaimnieku centrālā savienība”, “Zemnieku saeima”, “Pārtikas amatnieki”, “Latvijas Zemnieku federācija”, “Latvijas kazu audzētāju apvienība” un </w:t>
            </w:r>
            <w:r w:rsidRPr="00C751B2">
              <w:rPr>
                <w:color w:val="000000"/>
                <w:lang w:val="lv-LV"/>
              </w:rPr>
              <w:t xml:space="preserve"> </w:t>
            </w:r>
            <w:r w:rsidRPr="00C751B2">
              <w:rPr>
                <w:lang w:val="lv-LV"/>
              </w:rPr>
              <w:t>“Latvijas Lauku konsultāciju un izglītības centrs”.</w:t>
            </w:r>
          </w:p>
        </w:tc>
      </w:tr>
      <w:tr w:rsidR="00287B81" w:rsidRPr="0083411B" w:rsidTr="0097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287B81" w:rsidRPr="00074CFD" w:rsidRDefault="00287B81" w:rsidP="0097230D">
            <w:pPr>
              <w:pStyle w:val="naiskr"/>
              <w:spacing w:before="0" w:beforeAutospacing="0" w:after="0" w:afterAutospacing="0"/>
            </w:pPr>
            <w:r w:rsidRPr="00074CFD">
              <w:t>3.</w:t>
            </w:r>
          </w:p>
        </w:tc>
        <w:tc>
          <w:tcPr>
            <w:tcW w:w="1561" w:type="pct"/>
          </w:tcPr>
          <w:p w:rsidR="00287B81" w:rsidRPr="00074CFD" w:rsidRDefault="00287B81" w:rsidP="0097230D">
            <w:pPr>
              <w:pStyle w:val="naiskr"/>
              <w:spacing w:before="0" w:beforeAutospacing="0" w:after="0" w:afterAutospacing="0"/>
              <w:jc w:val="both"/>
            </w:pPr>
            <w:r w:rsidRPr="00074CFD">
              <w:t>Sabiedrības līdzdalības rezultāti</w:t>
            </w:r>
          </w:p>
        </w:tc>
        <w:tc>
          <w:tcPr>
            <w:tcW w:w="3131" w:type="pct"/>
          </w:tcPr>
          <w:p w:rsidR="00287B81" w:rsidRPr="00C751B2" w:rsidRDefault="00287B81" w:rsidP="0097230D">
            <w:pPr>
              <w:jc w:val="both"/>
              <w:rPr>
                <w:lang w:val="lv-LV"/>
              </w:rPr>
            </w:pPr>
            <w:r w:rsidRPr="00C751B2">
              <w:rPr>
                <w:lang w:val="lv-LV"/>
              </w:rPr>
              <w:t>“Lauksaimnieku organizāciju sadarbības padome” un “Latvijas kazu audzētāju apvienība” noteikumu projekta tālāku virzību atbalsta bez iebildumiem un priekšlikumiem. Pārējās nevalstiskās organizācijas atzinumu par noteikumu projektu nesniedza.</w:t>
            </w:r>
          </w:p>
        </w:tc>
      </w:tr>
      <w:tr w:rsidR="00287B81" w:rsidRPr="00074CFD" w:rsidTr="0097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Borders>
              <w:bottom w:val="single" w:sz="4" w:space="0" w:color="auto"/>
            </w:tcBorders>
          </w:tcPr>
          <w:p w:rsidR="00287B81" w:rsidRPr="00074CFD" w:rsidRDefault="00287B81" w:rsidP="0097230D">
            <w:pPr>
              <w:pStyle w:val="naiskr"/>
              <w:spacing w:before="0" w:beforeAutospacing="0" w:after="0" w:afterAutospacing="0"/>
            </w:pPr>
            <w:r w:rsidRPr="00074CFD">
              <w:t>4.</w:t>
            </w:r>
          </w:p>
        </w:tc>
        <w:tc>
          <w:tcPr>
            <w:tcW w:w="1561" w:type="pct"/>
            <w:tcBorders>
              <w:bottom w:val="single" w:sz="4" w:space="0" w:color="auto"/>
            </w:tcBorders>
          </w:tcPr>
          <w:p w:rsidR="00287B81" w:rsidRPr="00074CFD" w:rsidRDefault="00287B81" w:rsidP="0097230D">
            <w:pPr>
              <w:pStyle w:val="naiskr"/>
              <w:spacing w:before="0" w:beforeAutospacing="0" w:after="0" w:afterAutospacing="0"/>
              <w:jc w:val="both"/>
            </w:pPr>
            <w:r w:rsidRPr="00074CFD">
              <w:t>Cita informācija</w:t>
            </w:r>
          </w:p>
        </w:tc>
        <w:tc>
          <w:tcPr>
            <w:tcW w:w="3131" w:type="pct"/>
            <w:tcBorders>
              <w:bottom w:val="single" w:sz="4" w:space="0" w:color="auto"/>
            </w:tcBorders>
          </w:tcPr>
          <w:p w:rsidR="00287B81" w:rsidRPr="00074CFD" w:rsidRDefault="00287B81" w:rsidP="0097230D">
            <w:pPr>
              <w:spacing w:before="100" w:beforeAutospacing="1" w:after="100" w:afterAutospacing="1"/>
              <w:rPr>
                <w:lang w:val="lv-LV"/>
              </w:rPr>
            </w:pPr>
            <w:r w:rsidRPr="00074CFD">
              <w:rPr>
                <w:lang w:val="lv-LV"/>
              </w:rPr>
              <w:t>Projekts šo jomu neskar.</w:t>
            </w:r>
          </w:p>
        </w:tc>
      </w:tr>
      <w:tr w:rsidR="00287B81" w:rsidRPr="00074CFD" w:rsidTr="0097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Borders>
              <w:top w:val="single" w:sz="4" w:space="0" w:color="auto"/>
              <w:left w:val="nil"/>
              <w:bottom w:val="single" w:sz="4" w:space="0" w:color="auto"/>
              <w:right w:val="nil"/>
            </w:tcBorders>
          </w:tcPr>
          <w:p w:rsidR="00287B81" w:rsidRPr="00074CFD" w:rsidRDefault="00287B81" w:rsidP="0097230D">
            <w:pPr>
              <w:pStyle w:val="naiskr"/>
              <w:spacing w:before="0" w:beforeAutospacing="0" w:after="0" w:afterAutospacing="0"/>
            </w:pPr>
          </w:p>
        </w:tc>
        <w:tc>
          <w:tcPr>
            <w:tcW w:w="1561" w:type="pct"/>
            <w:tcBorders>
              <w:top w:val="single" w:sz="4" w:space="0" w:color="auto"/>
              <w:left w:val="nil"/>
              <w:bottom w:val="single" w:sz="4" w:space="0" w:color="auto"/>
              <w:right w:val="nil"/>
            </w:tcBorders>
          </w:tcPr>
          <w:p w:rsidR="00287B81" w:rsidRPr="00074CFD" w:rsidRDefault="00287B81" w:rsidP="0097230D">
            <w:pPr>
              <w:pStyle w:val="naiskr"/>
              <w:spacing w:before="0" w:beforeAutospacing="0" w:after="0" w:afterAutospacing="0"/>
              <w:jc w:val="both"/>
            </w:pPr>
          </w:p>
        </w:tc>
        <w:tc>
          <w:tcPr>
            <w:tcW w:w="3131" w:type="pct"/>
            <w:tcBorders>
              <w:top w:val="single" w:sz="4" w:space="0" w:color="auto"/>
              <w:left w:val="nil"/>
              <w:bottom w:val="single" w:sz="4" w:space="0" w:color="auto"/>
              <w:right w:val="nil"/>
            </w:tcBorders>
          </w:tcPr>
          <w:p w:rsidR="00287B81" w:rsidRPr="00074CFD" w:rsidRDefault="00287B81" w:rsidP="0097230D">
            <w:pPr>
              <w:spacing w:before="100" w:beforeAutospacing="1" w:after="100" w:afterAutospacing="1"/>
              <w:rPr>
                <w:lang w:val="lv-LV"/>
              </w:rPr>
            </w:pPr>
          </w:p>
        </w:tc>
      </w:tr>
      <w:tr w:rsidR="00287B81" w:rsidRPr="00074CFD" w:rsidTr="0097230D">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287B81" w:rsidRDefault="00287B81" w:rsidP="0097230D">
            <w:pPr>
              <w:jc w:val="center"/>
              <w:rPr>
                <w:b/>
                <w:bCs/>
                <w:lang w:val="lv-LV" w:eastAsia="lv-LV"/>
              </w:rPr>
            </w:pPr>
            <w:r w:rsidRPr="00074CFD">
              <w:rPr>
                <w:b/>
                <w:bCs/>
                <w:lang w:val="lv-LV" w:eastAsia="lv-LV"/>
              </w:rPr>
              <w:t xml:space="preserve">VII. Tiesību akta projekta izpildes nodrošināšana </w:t>
            </w:r>
          </w:p>
          <w:p w:rsidR="00287B81" w:rsidRPr="00074CFD" w:rsidRDefault="00287B81" w:rsidP="0097230D">
            <w:pPr>
              <w:jc w:val="center"/>
              <w:rPr>
                <w:b/>
                <w:bCs/>
                <w:lang w:val="lv-LV" w:eastAsia="lv-LV"/>
              </w:rPr>
            </w:pPr>
            <w:r w:rsidRPr="00074CFD">
              <w:rPr>
                <w:b/>
                <w:bCs/>
                <w:lang w:val="lv-LV" w:eastAsia="lv-LV"/>
              </w:rPr>
              <w:t>un tās ietekme uz institūcijām</w:t>
            </w:r>
          </w:p>
        </w:tc>
      </w:tr>
      <w:tr w:rsidR="00287B81" w:rsidRPr="00074CFD" w:rsidTr="0097230D">
        <w:tc>
          <w:tcPr>
            <w:tcW w:w="308"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rPr>
                <w:lang w:val="lv-LV" w:eastAsia="lv-LV"/>
              </w:rPr>
            </w:pPr>
            <w:r w:rsidRPr="00074CFD">
              <w:rPr>
                <w:lang w:val="lv-LV" w:eastAsia="lv-LV"/>
              </w:rPr>
              <w:t>1.</w:t>
            </w:r>
          </w:p>
        </w:tc>
        <w:tc>
          <w:tcPr>
            <w:tcW w:w="1561"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jc w:val="both"/>
              <w:rPr>
                <w:lang w:val="lv-LV" w:eastAsia="lv-LV"/>
              </w:rPr>
            </w:pPr>
            <w:r w:rsidRPr="00074CFD">
              <w:rPr>
                <w:lang w:val="lv-LV" w:eastAsia="lv-LV"/>
              </w:rPr>
              <w:t>Projekta izpildē iesaistītās institūcijas</w:t>
            </w:r>
          </w:p>
        </w:tc>
        <w:tc>
          <w:tcPr>
            <w:tcW w:w="3131"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pStyle w:val="Kjene"/>
              <w:tabs>
                <w:tab w:val="clear" w:pos="4153"/>
                <w:tab w:val="clear" w:pos="8306"/>
              </w:tabs>
              <w:snapToGrid/>
              <w:jc w:val="both"/>
              <w:rPr>
                <w:rFonts w:ascii="Times New Roman" w:hAnsi="Times New Roman"/>
                <w:sz w:val="24"/>
                <w:szCs w:val="24"/>
              </w:rPr>
            </w:pPr>
            <w:r w:rsidRPr="00074CFD">
              <w:rPr>
                <w:rFonts w:ascii="Times New Roman" w:hAnsi="Times New Roman"/>
                <w:sz w:val="24"/>
                <w:szCs w:val="24"/>
              </w:rPr>
              <w:t>Pārtikas un veterinārais dienests</w:t>
            </w:r>
          </w:p>
        </w:tc>
      </w:tr>
      <w:tr w:rsidR="00287B81" w:rsidRPr="00074CFD" w:rsidTr="0097230D">
        <w:tc>
          <w:tcPr>
            <w:tcW w:w="308"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rPr>
                <w:lang w:val="lv-LV" w:eastAsia="lv-LV"/>
              </w:rPr>
            </w:pPr>
            <w:r w:rsidRPr="00074CFD">
              <w:rPr>
                <w:lang w:val="lv-LV" w:eastAsia="lv-LV"/>
              </w:rPr>
              <w:t>2.</w:t>
            </w:r>
          </w:p>
        </w:tc>
        <w:tc>
          <w:tcPr>
            <w:tcW w:w="1561"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jc w:val="both"/>
              <w:rPr>
                <w:lang w:val="lv-LV"/>
              </w:rPr>
            </w:pPr>
            <w:r w:rsidRPr="00074CFD">
              <w:rPr>
                <w:lang w:val="lv-LV"/>
              </w:rPr>
              <w:t xml:space="preserve">Projekta izpildes ietekme uz pārvaldes funkcijām un institucionālo struktūru. </w:t>
            </w:r>
          </w:p>
          <w:p w:rsidR="00287B81" w:rsidRPr="00074CFD" w:rsidRDefault="00287B81" w:rsidP="0097230D">
            <w:pPr>
              <w:ind w:firstLine="300"/>
              <w:jc w:val="both"/>
              <w:rPr>
                <w:lang w:val="lv-LV"/>
              </w:rPr>
            </w:pPr>
            <w:r w:rsidRPr="00074CFD">
              <w:rPr>
                <w:lang w:val="lv-LV"/>
              </w:rPr>
              <w:t xml:space="preserve">Jaunu institūciju izveide, esošu institūciju likvidācija </w:t>
            </w:r>
            <w:r w:rsidRPr="00074CFD">
              <w:rPr>
                <w:lang w:val="lv-LV"/>
              </w:rPr>
              <w:lastRenderedPageBreak/>
              <w:t>vai reorganizācija, to ietekme uz institūcijas cilvēkresursiem</w:t>
            </w:r>
          </w:p>
        </w:tc>
        <w:tc>
          <w:tcPr>
            <w:tcW w:w="3131"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pStyle w:val="naiskr"/>
              <w:spacing w:before="0" w:beforeAutospacing="0" w:after="0" w:afterAutospacing="0"/>
              <w:jc w:val="both"/>
            </w:pPr>
            <w:r w:rsidRPr="00074CFD">
              <w:lastRenderedPageBreak/>
              <w:t>Projekts šo jomu neskar.</w:t>
            </w:r>
          </w:p>
        </w:tc>
      </w:tr>
      <w:tr w:rsidR="00287B81" w:rsidRPr="00E936A3" w:rsidTr="0097230D">
        <w:tc>
          <w:tcPr>
            <w:tcW w:w="308"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rPr>
                <w:lang w:val="lv-LV" w:eastAsia="lv-LV"/>
              </w:rPr>
            </w:pPr>
            <w:r w:rsidRPr="00074CFD">
              <w:rPr>
                <w:lang w:val="lv-LV" w:eastAsia="lv-LV"/>
              </w:rPr>
              <w:t>3.</w:t>
            </w:r>
          </w:p>
        </w:tc>
        <w:tc>
          <w:tcPr>
            <w:tcW w:w="1561" w:type="pct"/>
            <w:tcBorders>
              <w:top w:val="outset" w:sz="6" w:space="0" w:color="000000"/>
              <w:left w:val="outset" w:sz="6" w:space="0" w:color="000000"/>
              <w:bottom w:val="outset" w:sz="6" w:space="0" w:color="000000"/>
              <w:right w:val="outset" w:sz="6" w:space="0" w:color="000000"/>
            </w:tcBorders>
          </w:tcPr>
          <w:p w:rsidR="00287B81" w:rsidRPr="00074CFD" w:rsidRDefault="00287B81" w:rsidP="0097230D">
            <w:pPr>
              <w:jc w:val="both"/>
              <w:rPr>
                <w:lang w:val="lv-LV" w:eastAsia="lv-LV"/>
              </w:rPr>
            </w:pPr>
            <w:r w:rsidRPr="00074CFD">
              <w:rPr>
                <w:lang w:val="lv-LV" w:eastAsia="lv-LV"/>
              </w:rPr>
              <w:t>Cita informācija</w:t>
            </w:r>
          </w:p>
        </w:tc>
        <w:tc>
          <w:tcPr>
            <w:tcW w:w="3131" w:type="pct"/>
            <w:tcBorders>
              <w:top w:val="outset" w:sz="6" w:space="0" w:color="000000"/>
              <w:left w:val="outset" w:sz="6" w:space="0" w:color="000000"/>
              <w:bottom w:val="outset" w:sz="6" w:space="0" w:color="000000"/>
              <w:right w:val="outset" w:sz="6" w:space="0" w:color="000000"/>
            </w:tcBorders>
          </w:tcPr>
          <w:p w:rsidR="00287B81" w:rsidRPr="00150066" w:rsidRDefault="00287B81" w:rsidP="0097230D">
            <w:pPr>
              <w:pStyle w:val="Kjene"/>
              <w:tabs>
                <w:tab w:val="clear" w:pos="4153"/>
                <w:tab w:val="clear" w:pos="8306"/>
              </w:tabs>
              <w:snapToGrid/>
              <w:jc w:val="both"/>
              <w:rPr>
                <w:rFonts w:ascii="Times New Roman" w:hAnsi="Times New Roman"/>
                <w:sz w:val="24"/>
                <w:szCs w:val="24"/>
              </w:rPr>
            </w:pPr>
            <w:r w:rsidRPr="00150066">
              <w:rPr>
                <w:rFonts w:ascii="Times New Roman" w:hAnsi="Times New Roman"/>
                <w:sz w:val="24"/>
              </w:rPr>
              <w:t xml:space="preserve">PVD noteikumu projekta īstenošanu nodrošinās </w:t>
            </w:r>
            <w:r>
              <w:rPr>
                <w:rFonts w:ascii="Times New Roman" w:hAnsi="Times New Roman"/>
                <w:sz w:val="24"/>
              </w:rPr>
              <w:t xml:space="preserve">par </w:t>
            </w:r>
            <w:r w:rsidRPr="00150066">
              <w:rPr>
                <w:rFonts w:ascii="Times New Roman" w:hAnsi="Times New Roman"/>
                <w:sz w:val="24"/>
              </w:rPr>
              <w:t>Zemkopības ministrijas budžet</w:t>
            </w:r>
            <w:r>
              <w:rPr>
                <w:rFonts w:ascii="Times New Roman" w:hAnsi="Times New Roman"/>
                <w:sz w:val="24"/>
              </w:rPr>
              <w:t xml:space="preserve">a </w:t>
            </w:r>
            <w:r w:rsidRPr="00150066">
              <w:rPr>
                <w:rFonts w:ascii="Times New Roman" w:hAnsi="Times New Roman"/>
                <w:sz w:val="24"/>
              </w:rPr>
              <w:t>līdzekļ</w:t>
            </w:r>
            <w:r>
              <w:rPr>
                <w:rFonts w:ascii="Times New Roman" w:hAnsi="Times New Roman"/>
                <w:sz w:val="24"/>
              </w:rPr>
              <w:t>iem</w:t>
            </w:r>
            <w:r w:rsidRPr="00150066">
              <w:rPr>
                <w:rFonts w:ascii="Times New Roman" w:hAnsi="Times New Roman"/>
                <w:sz w:val="24"/>
              </w:rPr>
              <w:t>.</w:t>
            </w:r>
          </w:p>
        </w:tc>
      </w:tr>
    </w:tbl>
    <w:p w:rsidR="00287B81" w:rsidRDefault="00287B81" w:rsidP="00287B81">
      <w:pPr>
        <w:pStyle w:val="naisf"/>
        <w:spacing w:before="0" w:beforeAutospacing="0" w:after="0" w:afterAutospacing="0"/>
        <w:rPr>
          <w:lang w:val="lv-LV"/>
        </w:rPr>
      </w:pPr>
    </w:p>
    <w:p w:rsidR="00287B81" w:rsidRPr="00074CFD" w:rsidRDefault="00287B81" w:rsidP="00287B81">
      <w:pPr>
        <w:pStyle w:val="naisf"/>
        <w:spacing w:before="0" w:beforeAutospacing="0" w:after="0" w:afterAutospacing="0"/>
        <w:rPr>
          <w:lang w:val="lv-LV"/>
        </w:rPr>
      </w:pPr>
    </w:p>
    <w:p w:rsidR="00287B81" w:rsidRPr="00074CFD" w:rsidRDefault="00287B81" w:rsidP="00287B81">
      <w:pPr>
        <w:pStyle w:val="naisf"/>
        <w:spacing w:before="0" w:beforeAutospacing="0" w:after="0" w:afterAutospacing="0"/>
        <w:rPr>
          <w:lang w:val="lv-LV"/>
        </w:rPr>
      </w:pPr>
    </w:p>
    <w:p w:rsidR="00287B81" w:rsidRPr="004C70F0" w:rsidRDefault="00E936A3" w:rsidP="00287B81">
      <w:pPr>
        <w:pStyle w:val="Virsraksts1"/>
        <w:keepNext w:val="0"/>
        <w:widowControl w:val="0"/>
        <w:jc w:val="left"/>
        <w:rPr>
          <w:b w:val="0"/>
          <w:szCs w:val="28"/>
        </w:rPr>
      </w:pPr>
      <w:r>
        <w:rPr>
          <w:b w:val="0"/>
          <w:szCs w:val="28"/>
        </w:rPr>
        <w:tab/>
      </w:r>
      <w:r w:rsidR="00287B81">
        <w:rPr>
          <w:b w:val="0"/>
          <w:szCs w:val="28"/>
        </w:rPr>
        <w:t>Zemkopības ministrs</w:t>
      </w:r>
      <w:r w:rsidR="00287B81">
        <w:rPr>
          <w:b w:val="0"/>
          <w:szCs w:val="28"/>
        </w:rPr>
        <w:tab/>
      </w:r>
      <w:r w:rsidR="00287B81">
        <w:rPr>
          <w:b w:val="0"/>
          <w:szCs w:val="28"/>
        </w:rPr>
        <w:tab/>
      </w:r>
      <w:r w:rsidR="00287B81">
        <w:rPr>
          <w:b w:val="0"/>
          <w:szCs w:val="28"/>
        </w:rPr>
        <w:tab/>
      </w:r>
      <w:r w:rsidR="00287B81" w:rsidRPr="004C70F0">
        <w:rPr>
          <w:b w:val="0"/>
          <w:szCs w:val="28"/>
        </w:rPr>
        <w:tab/>
      </w:r>
      <w:r w:rsidR="00287B81" w:rsidRPr="004C70F0">
        <w:rPr>
          <w:b w:val="0"/>
          <w:szCs w:val="28"/>
        </w:rPr>
        <w:tab/>
      </w:r>
      <w:r w:rsidR="00287B81" w:rsidRPr="004C70F0">
        <w:rPr>
          <w:b w:val="0"/>
          <w:szCs w:val="28"/>
        </w:rPr>
        <w:tab/>
        <w:t>Jānis Dūklavs</w:t>
      </w:r>
    </w:p>
    <w:p w:rsidR="00287B81" w:rsidRPr="00195058" w:rsidRDefault="00287B81" w:rsidP="00287B81">
      <w:pPr>
        <w:ind w:firstLine="720"/>
        <w:rPr>
          <w:szCs w:val="28"/>
        </w:rPr>
      </w:pPr>
    </w:p>
    <w:p w:rsidR="00287B81" w:rsidRPr="004C70F0" w:rsidRDefault="00287B81" w:rsidP="00287B81">
      <w:pPr>
        <w:ind w:firstLine="720"/>
        <w:rPr>
          <w:b/>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287B81" w:rsidRDefault="00287B81"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bookmarkStart w:id="4" w:name="_GoBack"/>
      <w:bookmarkEnd w:id="4"/>
    </w:p>
    <w:p w:rsidR="00AD7039" w:rsidRDefault="00AD7039" w:rsidP="00287B81">
      <w:pPr>
        <w:jc w:val="both"/>
        <w:rPr>
          <w:sz w:val="28"/>
          <w:szCs w:val="28"/>
        </w:rPr>
      </w:pPr>
    </w:p>
    <w:p w:rsidR="00AD7039" w:rsidRDefault="00AD7039" w:rsidP="00287B81">
      <w:pPr>
        <w:jc w:val="both"/>
        <w:rPr>
          <w:sz w:val="28"/>
          <w:szCs w:val="28"/>
        </w:rPr>
      </w:pPr>
    </w:p>
    <w:p w:rsidR="00AD7039" w:rsidRDefault="00AD7039" w:rsidP="00287B81">
      <w:pPr>
        <w:jc w:val="both"/>
        <w:rPr>
          <w:sz w:val="28"/>
          <w:szCs w:val="28"/>
        </w:rPr>
      </w:pPr>
    </w:p>
    <w:p w:rsidR="00AD7039" w:rsidRPr="004C70F0" w:rsidRDefault="00AD7039" w:rsidP="00287B81">
      <w:pPr>
        <w:jc w:val="both"/>
        <w:rPr>
          <w:sz w:val="28"/>
          <w:szCs w:val="28"/>
        </w:rPr>
      </w:pPr>
    </w:p>
    <w:p w:rsidR="00287B81" w:rsidRDefault="00287B81" w:rsidP="00287B81">
      <w:pPr>
        <w:jc w:val="both"/>
        <w:rPr>
          <w:lang w:val="lv-LV"/>
        </w:rPr>
      </w:pPr>
    </w:p>
    <w:p w:rsidR="00287B81" w:rsidRPr="009C5525" w:rsidRDefault="00287B81" w:rsidP="00287B81">
      <w:pPr>
        <w:jc w:val="both"/>
        <w:rPr>
          <w:lang w:val="lv-LV"/>
        </w:rPr>
      </w:pPr>
      <w:r>
        <w:rPr>
          <w:lang w:val="lv-LV"/>
        </w:rPr>
        <w:t>Veinberga</w:t>
      </w:r>
      <w:r w:rsidRPr="009C5525">
        <w:rPr>
          <w:lang w:val="lv-LV"/>
        </w:rPr>
        <w:t xml:space="preserve"> 67027</w:t>
      </w:r>
      <w:r>
        <w:rPr>
          <w:lang w:val="lv-LV"/>
        </w:rPr>
        <w:t>392</w:t>
      </w:r>
    </w:p>
    <w:p w:rsidR="00287B81" w:rsidRPr="009C5525" w:rsidRDefault="00287B81" w:rsidP="00287B81">
      <w:pPr>
        <w:jc w:val="both"/>
        <w:rPr>
          <w:lang w:val="lv-LV"/>
        </w:rPr>
      </w:pPr>
      <w:r>
        <w:rPr>
          <w:lang w:val="lv-LV"/>
        </w:rPr>
        <w:t>Iveta.Veinberga</w:t>
      </w:r>
      <w:r w:rsidRPr="009C5525">
        <w:rPr>
          <w:lang w:val="lv-LV"/>
        </w:rPr>
        <w:t>@zm.gov.lv</w:t>
      </w:r>
    </w:p>
    <w:p w:rsidR="00287B81" w:rsidRDefault="00287B81" w:rsidP="00287B81"/>
    <w:p w:rsidR="006B4D56" w:rsidRDefault="006B4D56"/>
    <w:sectPr w:rsidR="006B4D56" w:rsidSect="00E936A3">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C1" w:rsidRDefault="001F10C1" w:rsidP="00287B81">
      <w:r>
        <w:separator/>
      </w:r>
    </w:p>
  </w:endnote>
  <w:endnote w:type="continuationSeparator" w:id="0">
    <w:p w:rsidR="001F10C1" w:rsidRDefault="001F10C1" w:rsidP="002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12" w:rsidRPr="00E936A3" w:rsidRDefault="00E936A3" w:rsidP="00E936A3">
    <w:pPr>
      <w:pStyle w:val="Kjene"/>
    </w:pPr>
    <w:r w:rsidRPr="00E936A3">
      <w:rPr>
        <w:rFonts w:ascii="Times New Roman" w:hAnsi="Times New Roman"/>
        <w:sz w:val="20"/>
        <w:szCs w:val="24"/>
      </w:rPr>
      <w:t>ZManot_140119_svnelapj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4" w:rsidRPr="00E936A3" w:rsidRDefault="00E936A3" w:rsidP="00E936A3">
    <w:pPr>
      <w:pStyle w:val="Kjene"/>
    </w:pPr>
    <w:r w:rsidRPr="00E936A3">
      <w:rPr>
        <w:rFonts w:ascii="Times New Roman" w:eastAsia="Arial Unicode MS" w:hAnsi="Times New Roman"/>
        <w:sz w:val="20"/>
        <w:szCs w:val="24"/>
      </w:rPr>
      <w:t>ZManot_140119_svnelapj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C1" w:rsidRDefault="001F10C1" w:rsidP="00287B81">
      <w:r>
        <w:separator/>
      </w:r>
    </w:p>
  </w:footnote>
  <w:footnote w:type="continuationSeparator" w:id="0">
    <w:p w:rsidR="001F10C1" w:rsidRDefault="001F10C1" w:rsidP="0028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12" w:rsidRDefault="00193D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2112" w:rsidRDefault="00E936A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44364"/>
      <w:docPartObj>
        <w:docPartGallery w:val="Page Numbers (Top of Page)"/>
        <w:docPartUnique/>
      </w:docPartObj>
    </w:sdtPr>
    <w:sdtEndPr/>
    <w:sdtContent>
      <w:p w:rsidR="00287B81" w:rsidRDefault="00287B81">
        <w:pPr>
          <w:pStyle w:val="Galvene"/>
          <w:jc w:val="center"/>
        </w:pPr>
        <w:r>
          <w:fldChar w:fldCharType="begin"/>
        </w:r>
        <w:r>
          <w:instrText>PAGE   \* MERGEFORMAT</w:instrText>
        </w:r>
        <w:r>
          <w:fldChar w:fldCharType="separate"/>
        </w:r>
        <w:r w:rsidR="00E936A3" w:rsidRPr="00E936A3">
          <w:rPr>
            <w:noProof/>
            <w:lang w:val="lv-LV"/>
          </w:rPr>
          <w:t>7</w:t>
        </w:r>
        <w:r>
          <w:fldChar w:fldCharType="end"/>
        </w:r>
      </w:p>
    </w:sdtContent>
  </w:sdt>
  <w:p w:rsidR="006E2112" w:rsidRDefault="00E936A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81"/>
    <w:rsid w:val="00193D88"/>
    <w:rsid w:val="001F10C1"/>
    <w:rsid w:val="00287B81"/>
    <w:rsid w:val="006B4D56"/>
    <w:rsid w:val="00AD7039"/>
    <w:rsid w:val="00BC3C36"/>
    <w:rsid w:val="00E93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B046D-7658-48D1-9872-C1004D76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7B81"/>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7B81"/>
    <w:pPr>
      <w:keepNext/>
      <w:jc w:val="center"/>
      <w:outlineLvl w:val="0"/>
    </w:pPr>
    <w:rPr>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87B81"/>
    <w:rPr>
      <w:rFonts w:ascii="Times New Roman" w:eastAsia="Times New Roman" w:hAnsi="Times New Roman" w:cs="Times New Roman"/>
      <w:b/>
      <w:bCs/>
      <w:sz w:val="28"/>
      <w:szCs w:val="24"/>
    </w:rPr>
  </w:style>
  <w:style w:type="paragraph" w:customStyle="1" w:styleId="naisf">
    <w:name w:val="naisf"/>
    <w:basedOn w:val="Parasts"/>
    <w:rsid w:val="00287B81"/>
    <w:pPr>
      <w:spacing w:before="100" w:beforeAutospacing="1" w:after="100" w:afterAutospacing="1"/>
      <w:jc w:val="both"/>
    </w:pPr>
    <w:rPr>
      <w:rFonts w:eastAsia="Arial Unicode MS"/>
    </w:rPr>
  </w:style>
  <w:style w:type="paragraph" w:styleId="Paraststmeklis">
    <w:name w:val="Normal (Web)"/>
    <w:basedOn w:val="Parasts"/>
    <w:rsid w:val="00287B81"/>
    <w:pPr>
      <w:spacing w:before="100" w:beforeAutospacing="1" w:after="100" w:afterAutospacing="1"/>
    </w:pPr>
    <w:rPr>
      <w:rFonts w:eastAsia="Arial Unicode MS"/>
    </w:rPr>
  </w:style>
  <w:style w:type="paragraph" w:styleId="Kjene">
    <w:name w:val="footer"/>
    <w:basedOn w:val="Parasts"/>
    <w:link w:val="KjeneRakstz"/>
    <w:uiPriority w:val="99"/>
    <w:rsid w:val="00287B81"/>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uiPriority w:val="99"/>
    <w:rsid w:val="00287B81"/>
    <w:rPr>
      <w:rFonts w:ascii="RimTimes" w:eastAsia="Times New Roman" w:hAnsi="RimTimes" w:cs="Times New Roman"/>
      <w:sz w:val="28"/>
      <w:szCs w:val="20"/>
    </w:rPr>
  </w:style>
  <w:style w:type="paragraph" w:styleId="Galvene">
    <w:name w:val="header"/>
    <w:basedOn w:val="Parasts"/>
    <w:link w:val="GalveneRakstz"/>
    <w:uiPriority w:val="99"/>
    <w:rsid w:val="00287B81"/>
    <w:pPr>
      <w:tabs>
        <w:tab w:val="center" w:pos="4153"/>
        <w:tab w:val="right" w:pos="8306"/>
      </w:tabs>
    </w:pPr>
  </w:style>
  <w:style w:type="character" w:customStyle="1" w:styleId="GalveneRakstz">
    <w:name w:val="Galvene Rakstz."/>
    <w:basedOn w:val="Noklusjumarindkopasfonts"/>
    <w:link w:val="Galvene"/>
    <w:uiPriority w:val="99"/>
    <w:rsid w:val="00287B81"/>
    <w:rPr>
      <w:rFonts w:ascii="Times New Roman" w:eastAsia="Times New Roman" w:hAnsi="Times New Roman" w:cs="Times New Roman"/>
      <w:sz w:val="24"/>
      <w:szCs w:val="24"/>
      <w:lang w:val="en-GB"/>
    </w:rPr>
  </w:style>
  <w:style w:type="character" w:styleId="Lappusesnumurs">
    <w:name w:val="page number"/>
    <w:rsid w:val="00287B81"/>
  </w:style>
  <w:style w:type="paragraph" w:customStyle="1" w:styleId="naiskr">
    <w:name w:val="naiskr"/>
    <w:basedOn w:val="Parasts"/>
    <w:rsid w:val="00287B81"/>
    <w:pPr>
      <w:spacing w:before="100" w:beforeAutospacing="1" w:after="100" w:afterAutospacing="1"/>
    </w:pPr>
    <w:rPr>
      <w:lang w:val="lv-LV" w:eastAsia="lv-LV"/>
    </w:rPr>
  </w:style>
  <w:style w:type="paragraph" w:customStyle="1" w:styleId="basetext">
    <w:name w:val="base text"/>
    <w:rsid w:val="00287B81"/>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customStyle="1" w:styleId="Default">
    <w:name w:val="Default"/>
    <w:rsid w:val="00287B81"/>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customStyle="1" w:styleId="izdotisask">
    <w:name w:val="izdoti_sask."/>
    <w:basedOn w:val="Parasts"/>
    <w:rsid w:val="00287B81"/>
    <w:pPr>
      <w:jc w:val="right"/>
    </w:pPr>
    <w:rPr>
      <w:sz w:val="28"/>
      <w:lang w:val="lv-LV"/>
    </w:rPr>
  </w:style>
  <w:style w:type="character" w:styleId="Izteiksmgs">
    <w:name w:val="Strong"/>
    <w:uiPriority w:val="22"/>
    <w:qFormat/>
    <w:rsid w:val="00287B81"/>
    <w:rPr>
      <w:rFonts w:cs="Times New Roman"/>
      <w:b/>
      <w:bCs/>
    </w:rPr>
  </w:style>
  <w:style w:type="paragraph" w:styleId="Bezatstarpm">
    <w:name w:val="No Spacing"/>
    <w:uiPriority w:val="1"/>
    <w:qFormat/>
    <w:rsid w:val="00287B81"/>
    <w:pPr>
      <w:spacing w:after="0" w:line="240" w:lineRule="auto"/>
    </w:pPr>
    <w:rPr>
      <w:rFonts w:ascii="Times New Roman" w:eastAsia="Calibri" w:hAnsi="Times New Roman" w:cs="Times New Roman"/>
      <w:sz w:val="24"/>
    </w:rPr>
  </w:style>
  <w:style w:type="paragraph" w:customStyle="1" w:styleId="CM1">
    <w:name w:val="CM1"/>
    <w:basedOn w:val="Default"/>
    <w:next w:val="Default"/>
    <w:uiPriority w:val="99"/>
    <w:rsid w:val="00287B81"/>
    <w:rPr>
      <w:rFonts w:ascii="Times New Roman" w:eastAsiaTheme="minorHAnsi" w:hAnsi="Times New Roman" w:cs="Times New Roman"/>
      <w:color w:val="auto"/>
      <w:lang w:eastAsia="en-US"/>
    </w:rPr>
  </w:style>
  <w:style w:type="paragraph" w:customStyle="1" w:styleId="naisc">
    <w:name w:val="naisc"/>
    <w:basedOn w:val="Parasts"/>
    <w:rsid w:val="00287B81"/>
    <w:pPr>
      <w:spacing w:before="450" w:after="300"/>
      <w:jc w:val="center"/>
    </w:pPr>
    <w:rPr>
      <w:sz w:val="26"/>
      <w:szCs w:val="26"/>
      <w:lang w:val="lv-LV" w:eastAsia="lv-LV"/>
    </w:rPr>
  </w:style>
  <w:style w:type="table" w:styleId="Reatabula">
    <w:name w:val="Table Grid"/>
    <w:basedOn w:val="Parastatabula"/>
    <w:uiPriority w:val="39"/>
    <w:rsid w:val="0028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9371</Words>
  <Characters>5342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Iveta Veinberga</dc:creator>
  <cp:keywords/>
  <dc:description>Veinberga 67027392_x000d_
Iveta.Veinberga@zm.gov.lv</dc:description>
  <cp:lastModifiedBy>Kristiāna Sebre</cp:lastModifiedBy>
  <cp:revision>4</cp:revision>
  <dcterms:created xsi:type="dcterms:W3CDTF">2018-11-30T08:10:00Z</dcterms:created>
  <dcterms:modified xsi:type="dcterms:W3CDTF">2019-01-14T13:48:00Z</dcterms:modified>
</cp:coreProperties>
</file>