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82" w:rsidRPr="0079316C" w:rsidRDefault="006B47D2" w:rsidP="00702282">
      <w:pPr>
        <w:pStyle w:val="Bezatstarpm"/>
        <w:jc w:val="center"/>
        <w:rPr>
          <w:rFonts w:ascii="Times New Roman" w:hAnsi="Times New Roman" w:cs="Times New Roman"/>
          <w:b/>
          <w:bCs/>
          <w:sz w:val="28"/>
        </w:rPr>
      </w:pPr>
      <w:r>
        <w:rPr>
          <w:rFonts w:ascii="Times New Roman" w:hAnsi="Times New Roman" w:cs="Times New Roman"/>
          <w:b/>
          <w:sz w:val="28"/>
        </w:rPr>
        <w:t xml:space="preserve">  </w:t>
      </w:r>
      <w:r w:rsidRPr="0079316C">
        <w:rPr>
          <w:rFonts w:ascii="Times New Roman" w:hAnsi="Times New Roman" w:cs="Times New Roman"/>
          <w:b/>
          <w:sz w:val="28"/>
        </w:rPr>
        <w:t>Ministru kabineta rīkojuma projekta „Par finanšu līdzekļu piešķiršanu no valsts budžeta programmas „Līdzekļi neparedzētiem gadījumiem””</w:t>
      </w:r>
    </w:p>
    <w:p w:rsidR="00702282" w:rsidRPr="0079316C" w:rsidRDefault="006B47D2" w:rsidP="00702282">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rsidR="00702282" w:rsidRDefault="00702282" w:rsidP="00702282">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8F22DE" w:rsidTr="00973724">
        <w:trPr>
          <w:jc w:val="center"/>
        </w:trPr>
        <w:tc>
          <w:tcPr>
            <w:tcW w:w="10060" w:type="dxa"/>
          </w:tcPr>
          <w:p w:rsidR="00702282" w:rsidRPr="00967728" w:rsidRDefault="006B47D2" w:rsidP="00973724">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8F22DE" w:rsidTr="00973724">
        <w:trPr>
          <w:jc w:val="center"/>
        </w:trPr>
        <w:tc>
          <w:tcPr>
            <w:tcW w:w="10060" w:type="dxa"/>
          </w:tcPr>
          <w:p w:rsidR="00702282" w:rsidRDefault="006B47D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79316C" w:rsidRDefault="00702282" w:rsidP="00702282">
      <w:pPr>
        <w:pStyle w:val="Bezatstarpm"/>
        <w:rPr>
          <w:rFonts w:ascii="Times New Roman" w:hAnsi="Times New Roman" w:cs="Times New Roman"/>
          <w:sz w:val="24"/>
          <w:szCs w:val="24"/>
          <w:lang w:eastAsia="lv-LV"/>
        </w:rPr>
      </w:pPr>
    </w:p>
    <w:tbl>
      <w:tblPr>
        <w:tblStyle w:val="Reatabula"/>
        <w:tblW w:w="10201" w:type="dxa"/>
        <w:jc w:val="center"/>
        <w:tblLook w:val="04A0" w:firstRow="1" w:lastRow="0" w:firstColumn="1" w:lastColumn="0" w:noHBand="0" w:noVBand="1"/>
      </w:tblPr>
      <w:tblGrid>
        <w:gridCol w:w="719"/>
        <w:gridCol w:w="1970"/>
        <w:gridCol w:w="7512"/>
      </w:tblGrid>
      <w:tr w:rsidR="008F22DE" w:rsidTr="00973724">
        <w:trPr>
          <w:jc w:val="center"/>
        </w:trPr>
        <w:tc>
          <w:tcPr>
            <w:tcW w:w="10201" w:type="dxa"/>
            <w:gridSpan w:val="3"/>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8F22DE" w:rsidTr="000E61C5">
        <w:trPr>
          <w:jc w:val="center"/>
        </w:trPr>
        <w:tc>
          <w:tcPr>
            <w:tcW w:w="7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512" w:type="dxa"/>
          </w:tcPr>
          <w:p w:rsidR="00702282" w:rsidRPr="009E47B9" w:rsidRDefault="006B47D2" w:rsidP="00973724">
            <w:pPr>
              <w:pStyle w:val="Bezatstarpm"/>
              <w:jc w:val="both"/>
              <w:rPr>
                <w:rFonts w:ascii="Times New Roman" w:hAnsi="Times New Roman" w:cs="Times New Roman"/>
                <w:sz w:val="24"/>
              </w:rPr>
            </w:pPr>
            <w:r w:rsidRPr="009E47B9">
              <w:rPr>
                <w:rFonts w:ascii="Times New Roman" w:hAnsi="Times New Roman" w:cs="Times New Roman"/>
                <w:sz w:val="24"/>
              </w:rPr>
              <w:t>Veterinārmedicīnas likuma 3</w:t>
            </w:r>
            <w:r>
              <w:rPr>
                <w:rFonts w:ascii="Times New Roman" w:hAnsi="Times New Roman" w:cs="Times New Roman"/>
                <w:sz w:val="24"/>
              </w:rPr>
              <w:t>5</w:t>
            </w:r>
            <w:r w:rsidRPr="009E47B9">
              <w:rPr>
                <w:rFonts w:ascii="Times New Roman" w:hAnsi="Times New Roman" w:cs="Times New Roman"/>
                <w:sz w:val="24"/>
              </w:rPr>
              <w:t xml:space="preserve">. panta pirmās daļas </w:t>
            </w:r>
            <w:r w:rsidR="00EC26D0">
              <w:rPr>
                <w:rFonts w:ascii="Times New Roman" w:hAnsi="Times New Roman" w:cs="Times New Roman"/>
                <w:sz w:val="24"/>
              </w:rPr>
              <w:t>2</w:t>
            </w:r>
            <w:r w:rsidRPr="009E47B9">
              <w:rPr>
                <w:rFonts w:ascii="Times New Roman" w:hAnsi="Times New Roman" w:cs="Times New Roman"/>
                <w:sz w:val="24"/>
              </w:rPr>
              <w:t>.</w:t>
            </w:r>
            <w:r w:rsidR="003E3959">
              <w:rPr>
                <w:rFonts w:ascii="Times New Roman" w:hAnsi="Times New Roman" w:cs="Times New Roman"/>
                <w:sz w:val="24"/>
              </w:rPr>
              <w:t xml:space="preserve"> un 3.</w:t>
            </w:r>
            <w:r w:rsidR="003E3959" w:rsidRPr="009E47B9">
              <w:rPr>
                <w:rFonts w:ascii="Times New Roman" w:hAnsi="Times New Roman" w:cs="Times New Roman"/>
                <w:sz w:val="24"/>
              </w:rPr>
              <w:t>punkts</w:t>
            </w:r>
            <w:r w:rsidR="00EC26D0">
              <w:rPr>
                <w:rFonts w:ascii="Times New Roman" w:hAnsi="Times New Roman" w:cs="Times New Roman"/>
                <w:sz w:val="24"/>
              </w:rPr>
              <w:t xml:space="preserve"> un 38. panta pirmās daļas 1. un 3.punkts</w:t>
            </w:r>
            <w:r w:rsidRPr="009E47B9">
              <w:rPr>
                <w:rFonts w:ascii="Times New Roman" w:hAnsi="Times New Roman" w:cs="Times New Roman"/>
                <w:sz w:val="24"/>
              </w:rPr>
              <w:t>.</w:t>
            </w:r>
          </w:p>
          <w:p w:rsidR="00702282" w:rsidRPr="009E47B9" w:rsidRDefault="006B47D2" w:rsidP="00973724">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.punkts un Ministru kabineta 2005. gada 15.</w:t>
            </w:r>
            <w:r>
              <w:rPr>
                <w:rFonts w:ascii="Times New Roman" w:hAnsi="Times New Roman" w:cs="Times New Roman"/>
                <w:sz w:val="24"/>
              </w:rPr>
              <w:t> </w:t>
            </w:r>
            <w:r w:rsidRPr="009E47B9">
              <w:rPr>
                <w:rFonts w:ascii="Times New Roman" w:hAnsi="Times New Roman" w:cs="Times New Roman"/>
                <w:sz w:val="24"/>
              </w:rPr>
              <w:t>marta noteikumi Nr.177 „Kārtība, kādā piešķir un dzīvnieku īpašnieks saņem kompensāciju par zaudējumiem, kas radušies valsts uzraudzībā esošās dzīvnieku infekcijas slimības vai epizootijas uzliesmojuma laikā” (turpmāk – noteikumi Nr.177).</w:t>
            </w:r>
          </w:p>
        </w:tc>
      </w:tr>
      <w:tr w:rsidR="008F22DE" w:rsidTr="000E61C5">
        <w:trPr>
          <w:jc w:val="center"/>
        </w:trPr>
        <w:tc>
          <w:tcPr>
            <w:tcW w:w="7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rsidR="00702282" w:rsidRPr="0079316C"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512" w:type="dxa"/>
          </w:tcPr>
          <w:p w:rsidR="00702282" w:rsidRDefault="006B47D2" w:rsidP="00973724">
            <w:pPr>
              <w:pStyle w:val="Bezatstarpm"/>
              <w:jc w:val="both"/>
              <w:rPr>
                <w:rFonts w:ascii="Times New Roman" w:hAnsi="Times New Roman" w:cs="Times New Roman"/>
                <w:bCs/>
                <w:sz w:val="24"/>
              </w:rPr>
            </w:pPr>
            <w:r w:rsidRPr="009E47B9">
              <w:rPr>
                <w:rFonts w:ascii="Times New Roman" w:hAnsi="Times New Roman" w:cs="Times New Roman"/>
                <w:sz w:val="24"/>
              </w:rPr>
              <w:t xml:space="preserve">Veterinārmedicīnas likuma </w:t>
            </w:r>
            <w:r w:rsidRPr="009E47B9">
              <w:rPr>
                <w:rFonts w:ascii="Times New Roman" w:hAnsi="Times New Roman" w:cs="Times New Roman"/>
                <w:bCs/>
                <w:sz w:val="24"/>
              </w:rPr>
              <w:t>3</w:t>
            </w:r>
            <w:r>
              <w:rPr>
                <w:rFonts w:ascii="Times New Roman" w:hAnsi="Times New Roman" w:cs="Times New Roman"/>
                <w:bCs/>
                <w:sz w:val="24"/>
              </w:rPr>
              <w:t>5</w:t>
            </w:r>
            <w:r w:rsidRPr="009E47B9">
              <w:rPr>
                <w:rFonts w:ascii="Times New Roman" w:hAnsi="Times New Roman" w:cs="Times New Roman"/>
                <w:bCs/>
                <w:sz w:val="24"/>
              </w:rPr>
              <w:t>. panta pirmās daļas</w:t>
            </w:r>
            <w:r>
              <w:rPr>
                <w:rFonts w:ascii="Times New Roman" w:hAnsi="Times New Roman" w:cs="Times New Roman"/>
                <w:bCs/>
                <w:sz w:val="24"/>
              </w:rPr>
              <w:t xml:space="preserve"> ievaddaļā ir noteikts, ka epizootijas uzliesmojuma gadījumā dzīvnieku īpašniekam, </w:t>
            </w:r>
            <w:r w:rsidRPr="009E47B9">
              <w:rPr>
                <w:rFonts w:ascii="Times New Roman" w:hAnsi="Times New Roman" w:cs="Times New Roman"/>
                <w:sz w:val="24"/>
              </w:rPr>
              <w:t>ja tas ir izpildījis dzīvnieku veselības jomu reglamentējošos normatīvajos aktos noteiktās prasības,</w:t>
            </w:r>
            <w:r>
              <w:rPr>
                <w:rFonts w:ascii="Times New Roman" w:hAnsi="Times New Roman" w:cs="Times New Roman"/>
                <w:sz w:val="24"/>
              </w:rPr>
              <w:t xml:space="preserve"> </w:t>
            </w:r>
            <w:r>
              <w:rPr>
                <w:rFonts w:ascii="Times New Roman" w:hAnsi="Times New Roman" w:cs="Times New Roman"/>
                <w:bCs/>
                <w:sz w:val="24"/>
              </w:rPr>
              <w:t>ir tiesības saņemt zaudējumu kompensāciju par</w:t>
            </w:r>
            <w:r w:rsidR="0038498B">
              <w:rPr>
                <w:rFonts w:ascii="Times New Roman" w:hAnsi="Times New Roman" w:cs="Times New Roman"/>
                <w:bCs/>
                <w:sz w:val="24"/>
              </w:rPr>
              <w:t xml:space="preserve"> iznīcinātajiem kautķermeņiem un dzīvnieku izcelsmes produktiem (2.punkts) un par</w:t>
            </w:r>
            <w:r>
              <w:rPr>
                <w:rFonts w:ascii="Times New Roman" w:hAnsi="Times New Roman" w:cs="Times New Roman"/>
                <w:bCs/>
                <w:sz w:val="24"/>
              </w:rPr>
              <w:t xml:space="preserve"> </w:t>
            </w:r>
            <w:r w:rsidR="003E3959">
              <w:rPr>
                <w:rFonts w:ascii="Times New Roman" w:hAnsi="Times New Roman" w:cs="Times New Roman"/>
                <w:bCs/>
                <w:sz w:val="24"/>
              </w:rPr>
              <w:t xml:space="preserve">iznīcināto dzīvnieku barību </w:t>
            </w:r>
            <w:proofErr w:type="gramStart"/>
            <w:r w:rsidR="003E3959">
              <w:rPr>
                <w:rFonts w:ascii="Times New Roman" w:hAnsi="Times New Roman" w:cs="Times New Roman"/>
                <w:bCs/>
                <w:sz w:val="24"/>
              </w:rPr>
              <w:t>(</w:t>
            </w:r>
            <w:proofErr w:type="gramEnd"/>
            <w:r w:rsidR="003E3959">
              <w:rPr>
                <w:rFonts w:ascii="Times New Roman" w:hAnsi="Times New Roman" w:cs="Times New Roman"/>
                <w:bCs/>
                <w:sz w:val="24"/>
              </w:rPr>
              <w:t>3.punkts)</w:t>
            </w:r>
            <w:r>
              <w:rPr>
                <w:rFonts w:ascii="Times New Roman" w:hAnsi="Times New Roman" w:cs="Times New Roman"/>
                <w:bCs/>
                <w:sz w:val="24"/>
              </w:rPr>
              <w:t xml:space="preserve">. </w:t>
            </w:r>
          </w:p>
          <w:p w:rsidR="00702282" w:rsidRDefault="006B47D2" w:rsidP="00973724">
            <w:pPr>
              <w:pStyle w:val="Bezatstarpm"/>
              <w:jc w:val="both"/>
              <w:rPr>
                <w:rFonts w:ascii="Times New Roman" w:hAnsi="Times New Roman" w:cs="Times New Roman"/>
                <w:sz w:val="24"/>
              </w:rPr>
            </w:pPr>
            <w:r w:rsidRPr="009E47B9">
              <w:rPr>
                <w:rFonts w:ascii="Times New Roman" w:hAnsi="Times New Roman" w:cs="Times New Roman"/>
                <w:sz w:val="24"/>
              </w:rPr>
              <w:t xml:space="preserve">Noteikumi Nr.177 nosaka kārtību, kādā piešķir un dzīvnieku īpašnieks saņem kompensāciju par zaudējumiem, kas radušies valsts uzraudzībā esošo dzīvnieku infekcijas slimību vai epizootijas uzliesmojuma laikā. </w:t>
            </w:r>
          </w:p>
          <w:p w:rsidR="00607318" w:rsidRDefault="006B47D2" w:rsidP="004A16F6">
            <w:pPr>
              <w:pStyle w:val="Bezatstarpm"/>
              <w:jc w:val="both"/>
              <w:rPr>
                <w:rFonts w:ascii="Times New Roman" w:hAnsi="Times New Roman" w:cs="Times New Roman"/>
                <w:sz w:val="24"/>
              </w:rPr>
            </w:pPr>
            <w:r>
              <w:rPr>
                <w:rFonts w:ascii="Times New Roman" w:hAnsi="Times New Roman" w:cs="Times New Roman"/>
                <w:sz w:val="24"/>
              </w:rPr>
              <w:t xml:space="preserve">Dzīvnieku </w:t>
            </w:r>
            <w:r w:rsidR="00EC26D0">
              <w:rPr>
                <w:rFonts w:ascii="Times New Roman" w:hAnsi="Times New Roman" w:cs="Times New Roman"/>
                <w:sz w:val="24"/>
              </w:rPr>
              <w:t>īpašniekam</w:t>
            </w:r>
            <w:r>
              <w:rPr>
                <w:rFonts w:ascii="Times New Roman" w:hAnsi="Times New Roman" w:cs="Times New Roman"/>
                <w:sz w:val="24"/>
              </w:rPr>
              <w:t xml:space="preserve"> SIA “Druvas </w:t>
            </w:r>
            <w:proofErr w:type="spellStart"/>
            <w:r>
              <w:rPr>
                <w:rFonts w:ascii="Times New Roman" w:hAnsi="Times New Roman" w:cs="Times New Roman"/>
                <w:sz w:val="24"/>
              </w:rPr>
              <w:t>Unguri</w:t>
            </w:r>
            <w:proofErr w:type="spellEnd"/>
            <w:r>
              <w:rPr>
                <w:rFonts w:ascii="Times New Roman" w:hAnsi="Times New Roman" w:cs="Times New Roman"/>
                <w:sz w:val="24"/>
              </w:rPr>
              <w:t>” radās zaudējumi, savā ganāmpulkā apkarojot Āfrikas cūku mēri</w:t>
            </w:r>
            <w:r w:rsidR="003E3959">
              <w:rPr>
                <w:rFonts w:ascii="Times New Roman" w:hAnsi="Times New Roman" w:cs="Times New Roman"/>
                <w:sz w:val="24"/>
              </w:rPr>
              <w:t xml:space="preserve"> (turpmāk – ĀCM)</w:t>
            </w:r>
            <w:r>
              <w:rPr>
                <w:rFonts w:ascii="Times New Roman" w:hAnsi="Times New Roman" w:cs="Times New Roman"/>
                <w:sz w:val="24"/>
              </w:rPr>
              <w:t xml:space="preserve">. </w:t>
            </w:r>
            <w:r w:rsidR="00EC26D0">
              <w:rPr>
                <w:rFonts w:ascii="Times New Roman" w:hAnsi="Times New Roman" w:cs="Times New Roman"/>
                <w:sz w:val="24"/>
              </w:rPr>
              <w:t xml:space="preserve">2018. gada 2. augustā </w:t>
            </w:r>
            <w:r w:rsidR="00003733">
              <w:rPr>
                <w:rFonts w:ascii="Times New Roman" w:hAnsi="Times New Roman" w:cs="Times New Roman"/>
                <w:sz w:val="24"/>
              </w:rPr>
              <w:t xml:space="preserve">SIA “Druvas </w:t>
            </w:r>
            <w:proofErr w:type="spellStart"/>
            <w:r w:rsidR="00003733">
              <w:rPr>
                <w:rFonts w:ascii="Times New Roman" w:hAnsi="Times New Roman" w:cs="Times New Roman"/>
                <w:sz w:val="24"/>
              </w:rPr>
              <w:t>Unguri</w:t>
            </w:r>
            <w:proofErr w:type="spellEnd"/>
            <w:r w:rsidR="00003733">
              <w:rPr>
                <w:rFonts w:ascii="Times New Roman" w:hAnsi="Times New Roman" w:cs="Times New Roman"/>
                <w:sz w:val="24"/>
              </w:rPr>
              <w:t xml:space="preserve">” </w:t>
            </w:r>
            <w:r w:rsidR="00E71D30">
              <w:rPr>
                <w:rFonts w:ascii="Times New Roman" w:hAnsi="Times New Roman" w:cs="Times New Roman"/>
                <w:sz w:val="24"/>
              </w:rPr>
              <w:t xml:space="preserve">saimniecībā </w:t>
            </w:r>
            <w:r w:rsidR="00EC26D0">
              <w:rPr>
                <w:rFonts w:ascii="Times New Roman" w:hAnsi="Times New Roman" w:cs="Times New Roman"/>
                <w:sz w:val="24"/>
              </w:rPr>
              <w:t xml:space="preserve">tika konstatēts </w:t>
            </w:r>
            <w:r w:rsidR="00003733">
              <w:rPr>
                <w:rFonts w:ascii="Times New Roman" w:hAnsi="Times New Roman" w:cs="Times New Roman"/>
                <w:sz w:val="24"/>
              </w:rPr>
              <w:t>ĀCM uzliesmojum</w:t>
            </w:r>
            <w:r w:rsidR="00EC26D0">
              <w:rPr>
                <w:rFonts w:ascii="Times New Roman" w:hAnsi="Times New Roman" w:cs="Times New Roman"/>
                <w:sz w:val="24"/>
              </w:rPr>
              <w:t>s</w:t>
            </w:r>
            <w:r w:rsidR="00B57768">
              <w:rPr>
                <w:rFonts w:ascii="Times New Roman" w:hAnsi="Times New Roman" w:cs="Times New Roman"/>
                <w:sz w:val="24"/>
              </w:rPr>
              <w:t>,</w:t>
            </w:r>
            <w:r w:rsidR="00EC26D0">
              <w:rPr>
                <w:rFonts w:ascii="Times New Roman" w:hAnsi="Times New Roman" w:cs="Times New Roman"/>
                <w:sz w:val="24"/>
              </w:rPr>
              <w:t xml:space="preserve"> tā</w:t>
            </w:r>
            <w:r w:rsidR="00003733">
              <w:rPr>
                <w:rFonts w:ascii="Times New Roman" w:hAnsi="Times New Roman" w:cs="Times New Roman"/>
                <w:sz w:val="24"/>
              </w:rPr>
              <w:t xml:space="preserve">dēļ piespiedu kārtā </w:t>
            </w:r>
            <w:r w:rsidR="00B57768">
              <w:rPr>
                <w:rFonts w:ascii="Times New Roman" w:hAnsi="Times New Roman" w:cs="Times New Roman"/>
                <w:sz w:val="24"/>
              </w:rPr>
              <w:t xml:space="preserve">tika </w:t>
            </w:r>
            <w:r w:rsidR="00003733">
              <w:rPr>
                <w:rFonts w:ascii="Times New Roman" w:hAnsi="Times New Roman" w:cs="Times New Roman"/>
                <w:sz w:val="24"/>
              </w:rPr>
              <w:t>nogalināti un iznīcināti 16 438 dzīvnieki</w:t>
            </w:r>
            <w:r w:rsidR="00EC26D0">
              <w:rPr>
                <w:rFonts w:ascii="Times New Roman" w:hAnsi="Times New Roman" w:cs="Times New Roman"/>
                <w:sz w:val="24"/>
              </w:rPr>
              <w:t xml:space="preserve">, atsaukti dzīvnieku izcelsmes </w:t>
            </w:r>
            <w:r w:rsidR="00555060">
              <w:rPr>
                <w:rFonts w:ascii="Times New Roman" w:hAnsi="Times New Roman" w:cs="Times New Roman"/>
                <w:sz w:val="24"/>
              </w:rPr>
              <w:t xml:space="preserve">pārtikas </w:t>
            </w:r>
            <w:r w:rsidR="00EC26D0">
              <w:rPr>
                <w:rFonts w:ascii="Times New Roman" w:hAnsi="Times New Roman" w:cs="Times New Roman"/>
                <w:sz w:val="24"/>
              </w:rPr>
              <w:t>produkti</w:t>
            </w:r>
            <w:r w:rsidR="00555060">
              <w:rPr>
                <w:rFonts w:ascii="Times New Roman" w:hAnsi="Times New Roman" w:cs="Times New Roman"/>
                <w:sz w:val="24"/>
              </w:rPr>
              <w:t xml:space="preserve"> un dzīvnieku liemeņi</w:t>
            </w:r>
            <w:r w:rsidR="00EC26D0">
              <w:rPr>
                <w:rFonts w:ascii="Times New Roman" w:hAnsi="Times New Roman" w:cs="Times New Roman"/>
                <w:sz w:val="24"/>
              </w:rPr>
              <w:t>, kā arī iznīcināta novietnē uz vietas esošā dzīvnieku barība un barības sagatavošanai iegādātās barības sastāvdaļas</w:t>
            </w:r>
            <w:r w:rsidR="00003733">
              <w:rPr>
                <w:rFonts w:ascii="Times New Roman" w:hAnsi="Times New Roman" w:cs="Times New Roman"/>
                <w:sz w:val="24"/>
              </w:rPr>
              <w:t xml:space="preserve">. </w:t>
            </w:r>
          </w:p>
          <w:p w:rsidR="00EC26D0" w:rsidRDefault="004A16F6" w:rsidP="004A16F6">
            <w:pPr>
              <w:pStyle w:val="Bezatstarpm"/>
              <w:jc w:val="both"/>
              <w:rPr>
                <w:rFonts w:ascii="Times New Roman" w:hAnsi="Times New Roman" w:cs="Times New Roman"/>
                <w:sz w:val="24"/>
              </w:rPr>
            </w:pPr>
            <w:r>
              <w:rPr>
                <w:rFonts w:ascii="Times New Roman" w:hAnsi="Times New Roman" w:cs="Times New Roman"/>
                <w:sz w:val="24"/>
              </w:rPr>
              <w:t xml:space="preserve">2018. gada </w:t>
            </w:r>
            <w:r w:rsidR="00607318">
              <w:rPr>
                <w:rFonts w:ascii="Times New Roman" w:hAnsi="Times New Roman" w:cs="Times New Roman"/>
                <w:sz w:val="24"/>
              </w:rPr>
              <w:t>1</w:t>
            </w:r>
            <w:r>
              <w:rPr>
                <w:rFonts w:ascii="Times New Roman" w:hAnsi="Times New Roman" w:cs="Times New Roman"/>
                <w:sz w:val="24"/>
              </w:rPr>
              <w:t xml:space="preserve">. oktobrī </w:t>
            </w:r>
            <w:r w:rsidR="00787D37">
              <w:rPr>
                <w:rFonts w:ascii="Times New Roman" w:hAnsi="Times New Roman" w:cs="Times New Roman"/>
                <w:sz w:val="24"/>
              </w:rPr>
              <w:t xml:space="preserve">Lauku atbalsta dienests (turpmāk – LAD) </w:t>
            </w:r>
            <w:r>
              <w:rPr>
                <w:rFonts w:ascii="Times New Roman" w:hAnsi="Times New Roman" w:cs="Times New Roman"/>
                <w:sz w:val="24"/>
              </w:rPr>
              <w:t xml:space="preserve">saņēma SIA “Druvas </w:t>
            </w:r>
            <w:proofErr w:type="spellStart"/>
            <w:r>
              <w:rPr>
                <w:rFonts w:ascii="Times New Roman" w:hAnsi="Times New Roman" w:cs="Times New Roman"/>
                <w:sz w:val="24"/>
              </w:rPr>
              <w:t>Unguri</w:t>
            </w:r>
            <w:proofErr w:type="spellEnd"/>
            <w:r>
              <w:rPr>
                <w:rFonts w:ascii="Times New Roman" w:hAnsi="Times New Roman" w:cs="Times New Roman"/>
                <w:sz w:val="24"/>
              </w:rPr>
              <w:t xml:space="preserve">” iesniegumu par zaudējumu kompensāciju par atsauktajiem un iznīcinātajiem dzīvnieku </w:t>
            </w:r>
            <w:r w:rsidR="00555060">
              <w:rPr>
                <w:rFonts w:ascii="Times New Roman" w:hAnsi="Times New Roman" w:cs="Times New Roman"/>
                <w:sz w:val="24"/>
              </w:rPr>
              <w:t>liemeņiem</w:t>
            </w:r>
            <w:r w:rsidR="00607318">
              <w:rPr>
                <w:rFonts w:ascii="Times New Roman" w:hAnsi="Times New Roman" w:cs="Times New Roman"/>
                <w:sz w:val="24"/>
              </w:rPr>
              <w:t xml:space="preserve"> un dzīvnieku izcelsmes pārtikas produktiem un precizēto</w:t>
            </w:r>
            <w:r>
              <w:rPr>
                <w:rFonts w:ascii="Times New Roman" w:hAnsi="Times New Roman" w:cs="Times New Roman"/>
                <w:sz w:val="24"/>
              </w:rPr>
              <w:t xml:space="preserve"> </w:t>
            </w:r>
            <w:r w:rsidR="00607318">
              <w:rPr>
                <w:rFonts w:ascii="Times New Roman" w:hAnsi="Times New Roman" w:cs="Times New Roman"/>
                <w:sz w:val="24"/>
              </w:rPr>
              <w:t>iesniegumu – 2018. gada 5. novembrī</w:t>
            </w:r>
            <w:r w:rsidR="00B57768">
              <w:rPr>
                <w:rFonts w:ascii="Times New Roman" w:hAnsi="Times New Roman" w:cs="Times New Roman"/>
                <w:sz w:val="24"/>
              </w:rPr>
              <w:t>, bet</w:t>
            </w:r>
            <w:r w:rsidR="00607318">
              <w:rPr>
                <w:rFonts w:ascii="Times New Roman" w:hAnsi="Times New Roman" w:cs="Times New Roman"/>
                <w:sz w:val="24"/>
              </w:rPr>
              <w:t xml:space="preserve"> iesniegumu</w:t>
            </w:r>
            <w:r>
              <w:rPr>
                <w:rFonts w:ascii="Times New Roman" w:hAnsi="Times New Roman" w:cs="Times New Roman"/>
                <w:sz w:val="24"/>
              </w:rPr>
              <w:t xml:space="preserve"> </w:t>
            </w:r>
            <w:r w:rsidR="00607318">
              <w:rPr>
                <w:rFonts w:ascii="Times New Roman" w:hAnsi="Times New Roman" w:cs="Times New Roman"/>
                <w:sz w:val="24"/>
              </w:rPr>
              <w:t xml:space="preserve">par iznīcināto dzīvnieku barību </w:t>
            </w:r>
            <w:r w:rsidR="00B57768">
              <w:rPr>
                <w:rFonts w:ascii="Times New Roman" w:hAnsi="Times New Roman" w:cs="Times New Roman"/>
                <w:sz w:val="24"/>
              </w:rPr>
              <w:t xml:space="preserve">– </w:t>
            </w:r>
            <w:r w:rsidR="00607318">
              <w:rPr>
                <w:rFonts w:ascii="Times New Roman" w:hAnsi="Times New Roman" w:cs="Times New Roman"/>
                <w:sz w:val="24"/>
              </w:rPr>
              <w:t>2018. gada 9. oktobrī un precizēto iesniegumu</w:t>
            </w:r>
            <w:r w:rsidR="00B57768">
              <w:rPr>
                <w:rFonts w:ascii="Times New Roman" w:hAnsi="Times New Roman" w:cs="Times New Roman"/>
                <w:sz w:val="24"/>
              </w:rPr>
              <w:t xml:space="preserve"> –</w:t>
            </w:r>
            <w:r w:rsidR="00607318">
              <w:rPr>
                <w:rFonts w:ascii="Times New Roman" w:hAnsi="Times New Roman" w:cs="Times New Roman"/>
                <w:sz w:val="24"/>
              </w:rPr>
              <w:t xml:space="preserve"> 2018. gada 2. novembrī. </w:t>
            </w:r>
          </w:p>
          <w:p w:rsidR="0038498B" w:rsidRDefault="0038498B" w:rsidP="0038498B">
            <w:pPr>
              <w:pStyle w:val="Bezatstarpm"/>
              <w:jc w:val="both"/>
              <w:rPr>
                <w:rFonts w:ascii="Times New Roman" w:hAnsi="Times New Roman" w:cs="Times New Roman"/>
                <w:bCs/>
                <w:sz w:val="24"/>
              </w:rPr>
            </w:pPr>
            <w:r>
              <w:rPr>
                <w:rFonts w:ascii="Times New Roman" w:hAnsi="Times New Roman" w:cs="Times New Roman"/>
                <w:bCs/>
                <w:sz w:val="24"/>
              </w:rPr>
              <w:t>Veterinārmedicīnas likuma 38. panta pirmās daļas 1. punkt</w:t>
            </w:r>
            <w:r w:rsidR="00B57768">
              <w:rPr>
                <w:rFonts w:ascii="Times New Roman" w:hAnsi="Times New Roman" w:cs="Times New Roman"/>
                <w:bCs/>
                <w:sz w:val="24"/>
              </w:rPr>
              <w:t>ā</w:t>
            </w:r>
            <w:r>
              <w:rPr>
                <w:rFonts w:ascii="Times New Roman" w:hAnsi="Times New Roman" w:cs="Times New Roman"/>
                <w:bCs/>
                <w:sz w:val="24"/>
              </w:rPr>
              <w:t xml:space="preserve"> no</w:t>
            </w:r>
            <w:r w:rsidR="00B57768">
              <w:rPr>
                <w:rFonts w:ascii="Times New Roman" w:hAnsi="Times New Roman" w:cs="Times New Roman"/>
                <w:bCs/>
                <w:sz w:val="24"/>
              </w:rPr>
              <w:t>teikts</w:t>
            </w:r>
            <w:r>
              <w:rPr>
                <w:rFonts w:ascii="Times New Roman" w:hAnsi="Times New Roman" w:cs="Times New Roman"/>
                <w:bCs/>
                <w:sz w:val="24"/>
              </w:rPr>
              <w:t xml:space="preserve">, ka dzīvnieku īpašniekam ir tiesības saņemt zaudējumu kompensāciju par govju enzootiskās leikozes apkarošanas laikā radītajiem zaudējumiem. Viktorijas </w:t>
            </w:r>
            <w:proofErr w:type="spellStart"/>
            <w:r>
              <w:rPr>
                <w:rFonts w:ascii="Times New Roman" w:hAnsi="Times New Roman" w:cs="Times New Roman"/>
                <w:bCs/>
                <w:sz w:val="24"/>
              </w:rPr>
              <w:t>Daugavvanagas</w:t>
            </w:r>
            <w:proofErr w:type="spellEnd"/>
            <w:r>
              <w:rPr>
                <w:rFonts w:ascii="Times New Roman" w:hAnsi="Times New Roman" w:cs="Times New Roman"/>
                <w:bCs/>
                <w:sz w:val="24"/>
              </w:rPr>
              <w:t xml:space="preserve"> ganāmpulkā tika konstatēta govju enzootiskā leikoze</w:t>
            </w:r>
            <w:r w:rsidR="00B57768">
              <w:rPr>
                <w:rFonts w:ascii="Times New Roman" w:hAnsi="Times New Roman" w:cs="Times New Roman"/>
                <w:bCs/>
                <w:sz w:val="24"/>
              </w:rPr>
              <w:t>, tāpēc</w:t>
            </w:r>
            <w:r>
              <w:rPr>
                <w:rFonts w:ascii="Times New Roman" w:hAnsi="Times New Roman" w:cs="Times New Roman"/>
                <w:bCs/>
                <w:sz w:val="24"/>
              </w:rPr>
              <w:t xml:space="preserve"> visi ganāmpulka dzīvnieki piespiedu kārtā </w:t>
            </w:r>
            <w:r w:rsidR="00B57768">
              <w:rPr>
                <w:rFonts w:ascii="Times New Roman" w:hAnsi="Times New Roman" w:cs="Times New Roman"/>
                <w:bCs/>
                <w:sz w:val="24"/>
              </w:rPr>
              <w:t xml:space="preserve">tika </w:t>
            </w:r>
            <w:r>
              <w:rPr>
                <w:rFonts w:ascii="Times New Roman" w:hAnsi="Times New Roman" w:cs="Times New Roman"/>
                <w:bCs/>
                <w:sz w:val="24"/>
              </w:rPr>
              <w:t>nokauti. 2018. gada 12. novembrī SIA “Kārlis viens” tika nokauti trīs V.</w:t>
            </w:r>
            <w:r w:rsidR="00B57768">
              <w:rPr>
                <w:rFonts w:ascii="Times New Roman" w:hAnsi="Times New Roman" w:cs="Times New Roman"/>
                <w:bCs/>
                <w:sz w:val="24"/>
              </w:rPr>
              <w:t> </w:t>
            </w:r>
            <w:proofErr w:type="spellStart"/>
            <w:r>
              <w:rPr>
                <w:rFonts w:ascii="Times New Roman" w:hAnsi="Times New Roman" w:cs="Times New Roman"/>
                <w:bCs/>
                <w:sz w:val="24"/>
              </w:rPr>
              <w:t>Daugavvanagai</w:t>
            </w:r>
            <w:proofErr w:type="spellEnd"/>
            <w:r>
              <w:rPr>
                <w:rFonts w:ascii="Times New Roman" w:hAnsi="Times New Roman" w:cs="Times New Roman"/>
                <w:bCs/>
                <w:sz w:val="24"/>
              </w:rPr>
              <w:t xml:space="preserve"> piederošie liellopi.</w:t>
            </w:r>
          </w:p>
          <w:p w:rsidR="00901EDA" w:rsidRDefault="00901EDA" w:rsidP="004A16F6">
            <w:pPr>
              <w:pStyle w:val="Bezatstarpm"/>
              <w:jc w:val="both"/>
              <w:rPr>
                <w:rFonts w:ascii="Times New Roman" w:hAnsi="Times New Roman" w:cs="Times New Roman"/>
                <w:bCs/>
                <w:sz w:val="24"/>
              </w:rPr>
            </w:pPr>
            <w:r>
              <w:rPr>
                <w:rFonts w:ascii="Times New Roman" w:hAnsi="Times New Roman" w:cs="Times New Roman"/>
                <w:sz w:val="24"/>
              </w:rPr>
              <w:t xml:space="preserve">Veterinārmedicīnas likuma 38. panta pirmās </w:t>
            </w:r>
            <w:r w:rsidRPr="009E47B9">
              <w:rPr>
                <w:rFonts w:ascii="Times New Roman" w:hAnsi="Times New Roman" w:cs="Times New Roman"/>
                <w:bCs/>
                <w:sz w:val="24"/>
              </w:rPr>
              <w:t>daļas</w:t>
            </w:r>
            <w:r>
              <w:rPr>
                <w:rFonts w:ascii="Times New Roman" w:hAnsi="Times New Roman" w:cs="Times New Roman"/>
                <w:bCs/>
                <w:sz w:val="24"/>
              </w:rPr>
              <w:t xml:space="preserve"> 3.punkt</w:t>
            </w:r>
            <w:r w:rsidR="00B57768">
              <w:rPr>
                <w:rFonts w:ascii="Times New Roman" w:hAnsi="Times New Roman" w:cs="Times New Roman"/>
                <w:bCs/>
                <w:sz w:val="24"/>
              </w:rPr>
              <w:t>ā</w:t>
            </w:r>
            <w:r>
              <w:rPr>
                <w:rFonts w:ascii="Times New Roman" w:hAnsi="Times New Roman" w:cs="Times New Roman"/>
                <w:bCs/>
                <w:sz w:val="24"/>
              </w:rPr>
              <w:t xml:space="preserve"> no</w:t>
            </w:r>
            <w:r w:rsidR="00B57768">
              <w:rPr>
                <w:rFonts w:ascii="Times New Roman" w:hAnsi="Times New Roman" w:cs="Times New Roman"/>
                <w:bCs/>
                <w:sz w:val="24"/>
              </w:rPr>
              <w:t>teikts</w:t>
            </w:r>
            <w:r>
              <w:rPr>
                <w:rFonts w:ascii="Times New Roman" w:hAnsi="Times New Roman" w:cs="Times New Roman"/>
                <w:bCs/>
                <w:sz w:val="24"/>
              </w:rPr>
              <w:t xml:space="preserve">, ka dzīvnieku īpašniekam ir tiesības saņemt zaudējumu kompensāciju par putnu salmonelozes apkarošanas laikā iznīcinātajiem putniem, inkubējamām un pārtikas olām, kā arī par iznīcināto dzīvnieku barību. Dzīvnieku īpašniekiem </w:t>
            </w:r>
            <w:r>
              <w:rPr>
                <w:rFonts w:ascii="Times New Roman" w:hAnsi="Times New Roman" w:cs="Times New Roman"/>
                <w:bCs/>
                <w:sz w:val="24"/>
              </w:rPr>
              <w:lastRenderedPageBreak/>
              <w:t>Andai Didrihsonei, V</w:t>
            </w:r>
            <w:r w:rsidR="002C52E2">
              <w:rPr>
                <w:rFonts w:ascii="Times New Roman" w:hAnsi="Times New Roman" w:cs="Times New Roman"/>
                <w:bCs/>
                <w:sz w:val="24"/>
              </w:rPr>
              <w:t>a</w:t>
            </w:r>
            <w:r>
              <w:rPr>
                <w:rFonts w:ascii="Times New Roman" w:hAnsi="Times New Roman" w:cs="Times New Roman"/>
                <w:bCs/>
                <w:sz w:val="24"/>
              </w:rPr>
              <w:t xml:space="preserve">lerijam </w:t>
            </w:r>
            <w:proofErr w:type="spellStart"/>
            <w:r>
              <w:rPr>
                <w:rFonts w:ascii="Times New Roman" w:hAnsi="Times New Roman" w:cs="Times New Roman"/>
                <w:bCs/>
                <w:sz w:val="24"/>
              </w:rPr>
              <w:t>Boreiko</w:t>
            </w:r>
            <w:proofErr w:type="spellEnd"/>
            <w:r>
              <w:rPr>
                <w:rFonts w:ascii="Times New Roman" w:hAnsi="Times New Roman" w:cs="Times New Roman"/>
                <w:bCs/>
                <w:sz w:val="24"/>
              </w:rPr>
              <w:t xml:space="preserve"> un IK “</w:t>
            </w:r>
            <w:proofErr w:type="spellStart"/>
            <w:r>
              <w:rPr>
                <w:rFonts w:ascii="Times New Roman" w:hAnsi="Times New Roman" w:cs="Times New Roman"/>
                <w:bCs/>
                <w:sz w:val="24"/>
              </w:rPr>
              <w:t>Papīrpuse</w:t>
            </w:r>
            <w:proofErr w:type="spellEnd"/>
            <w:r>
              <w:rPr>
                <w:rFonts w:ascii="Times New Roman" w:hAnsi="Times New Roman" w:cs="Times New Roman"/>
                <w:bCs/>
                <w:sz w:val="24"/>
              </w:rPr>
              <w:t xml:space="preserve">” radās zaudējumi, savā ganāmpulkā apkarojot putnu salmonelozi. </w:t>
            </w:r>
          </w:p>
          <w:p w:rsidR="00702282" w:rsidRDefault="006B47D2" w:rsidP="00973724">
            <w:pPr>
              <w:jc w:val="both"/>
            </w:pPr>
            <w:r>
              <w:t>Lai izpildītu Veterinārmedicīnas likumā un noteikumos Nr.177 noteikto, jāizdod Ministru kabineta rīkojums, kas nosaka kompensācijas izmaksu dzīvnieku īpašniekiem, lai segtu zaudējumus, kas dzīvnieku īpašniekiem radušies Ā</w:t>
            </w:r>
            <w:r w:rsidR="00973724">
              <w:t>CM</w:t>
            </w:r>
            <w:r w:rsidR="00F014D3">
              <w:t>, putnu salmonelozes un govju enzootiskās leikozes</w:t>
            </w:r>
            <w:r w:rsidR="00973724">
              <w:t xml:space="preserve"> </w:t>
            </w:r>
            <w:r>
              <w:t>uzliesmojuma apkarošanas laikā.</w:t>
            </w:r>
          </w:p>
          <w:p w:rsidR="00702282" w:rsidRDefault="006B47D2" w:rsidP="00973724">
            <w:pPr>
              <w:jc w:val="both"/>
            </w:pPr>
            <w:r>
              <w:t>Saskaņā ar noteikumiem Nr.421 valsts iestāde iesniedz pieprasījumu, t.i., tiesību akta projektu, Ministru kabinetā. Ministru kabineta rīkojuma projekts</w:t>
            </w:r>
            <w:r w:rsidRPr="00F36F95">
              <w:t xml:space="preserve"> „Par finanšu līdzekļu piešķiršanu no valsts budžeta programmas „Līdz</w:t>
            </w:r>
            <w:r>
              <w:t>ekļi neparedzētiem gadījumiem”” (turpmāk – rīkojuma projekts) ir sagatavots saskaņā ar noteikumu Nr.421 prasībām.</w:t>
            </w:r>
          </w:p>
          <w:p w:rsidR="00702282" w:rsidRPr="00067690" w:rsidRDefault="006B47D2" w:rsidP="00973724">
            <w:pPr>
              <w:jc w:val="both"/>
              <w:rPr>
                <w:bCs/>
              </w:rPr>
            </w:pPr>
            <w:r>
              <w:t>Kompensācijas lauksaimniecības dzīvnieku īpašniekiem izmaksās LAD pēc naudas līdzekļu saņemšanas no</w:t>
            </w:r>
            <w:r w:rsidRPr="00BD4134">
              <w:rPr>
                <w:bCs/>
                <w:sz w:val="28"/>
                <w:szCs w:val="28"/>
              </w:rPr>
              <w:t xml:space="preserve"> </w:t>
            </w:r>
            <w:r w:rsidRPr="00AB451D">
              <w:rPr>
                <w:bCs/>
              </w:rPr>
              <w:t>valsts budžeta programmas 02.00.00 „Līdzekļi neparedzētiem gadījumiem”</w:t>
            </w:r>
            <w:r>
              <w:rPr>
                <w:bCs/>
              </w:rPr>
              <w:t>.</w:t>
            </w:r>
          </w:p>
          <w:p w:rsidR="00702282" w:rsidRDefault="006B47D2" w:rsidP="00973724">
            <w:pPr>
              <w:pStyle w:val="Bezatstarpm"/>
              <w:jc w:val="both"/>
              <w:rPr>
                <w:rFonts w:ascii="Times New Roman" w:hAnsi="Times New Roman" w:cs="Times New Roman"/>
                <w:sz w:val="24"/>
              </w:rPr>
            </w:pPr>
            <w:r w:rsidRPr="009E47B9">
              <w:rPr>
                <w:rFonts w:ascii="Times New Roman" w:hAnsi="Times New Roman" w:cs="Times New Roman"/>
                <w:sz w:val="24"/>
              </w:rPr>
              <w:t xml:space="preserve">Rīkojuma projekts paredz Zemkopības ministrijai (turpmāk – ZM) nodrošināt, lai valsts budžetā daļēji tiktu atgūti līdzekļi par dzīvnieku īpašniekiem izmaksātajām kompensācijām </w:t>
            </w:r>
            <w:r w:rsidR="00973724">
              <w:rPr>
                <w:rFonts w:ascii="Times New Roman" w:hAnsi="Times New Roman" w:cs="Times New Roman"/>
                <w:sz w:val="24"/>
              </w:rPr>
              <w:t xml:space="preserve">par piespiedu kārtā nogalinātajiem dzīvniekiem </w:t>
            </w:r>
            <w:r>
              <w:rPr>
                <w:rFonts w:ascii="Times New Roman" w:hAnsi="Times New Roman" w:cs="Times New Roman"/>
                <w:sz w:val="24"/>
              </w:rPr>
              <w:t>saskaņā</w:t>
            </w:r>
            <w:r w:rsidRPr="009E47B9">
              <w:rPr>
                <w:rFonts w:ascii="Times New Roman" w:hAnsi="Times New Roman" w:cs="Times New Roman"/>
                <w:sz w:val="24"/>
              </w:rPr>
              <w:t xml:space="preserve"> ar </w:t>
            </w:r>
            <w:r w:rsidRPr="009E47B9">
              <w:rPr>
                <w:rStyle w:val="Izteiksmgs"/>
                <w:rFonts w:ascii="Times New Roman" w:hAnsi="Times New Roman" w:cs="Times New Roman"/>
                <w:b w:val="0"/>
                <w:sz w:val="24"/>
              </w:rPr>
              <w:t>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Nr.1107/2009 un atceļ Padomes Lēmumus 66/399/EEK, 76/894/EEK un 2009/470/EK</w:t>
            </w:r>
            <w:r w:rsidRPr="009E47B9">
              <w:rPr>
                <w:rFonts w:ascii="Times New Roman" w:hAnsi="Times New Roman" w:cs="Times New Roman"/>
                <w:sz w:val="24"/>
              </w:rPr>
              <w:t xml:space="preserve">. </w:t>
            </w:r>
            <w:r w:rsidR="00F373B6">
              <w:rPr>
                <w:rFonts w:ascii="Times New Roman" w:hAnsi="Times New Roman" w:cs="Times New Roman"/>
                <w:sz w:val="24"/>
              </w:rPr>
              <w:t xml:space="preserve">Eiropas Komisijas </w:t>
            </w:r>
            <w:r w:rsidR="00787D37">
              <w:rPr>
                <w:rFonts w:ascii="Times New Roman" w:hAnsi="Times New Roman" w:cs="Times New Roman"/>
                <w:sz w:val="24"/>
              </w:rPr>
              <w:t xml:space="preserve">(turpmāk – EK) </w:t>
            </w:r>
            <w:r w:rsidR="00F373B6">
              <w:rPr>
                <w:rFonts w:ascii="Times New Roman" w:hAnsi="Times New Roman" w:cs="Times New Roman"/>
                <w:sz w:val="24"/>
              </w:rPr>
              <w:t xml:space="preserve">noteiktais limits par dējējvistu ir 4,40 </w:t>
            </w:r>
            <w:proofErr w:type="spellStart"/>
            <w:r w:rsidR="00F373B6" w:rsidRPr="00607318">
              <w:rPr>
                <w:rFonts w:ascii="Times New Roman" w:hAnsi="Times New Roman" w:cs="Times New Roman"/>
                <w:i/>
                <w:sz w:val="24"/>
              </w:rPr>
              <w:t>euro</w:t>
            </w:r>
            <w:proofErr w:type="spellEnd"/>
            <w:r w:rsidR="00B57768">
              <w:rPr>
                <w:rFonts w:ascii="Times New Roman" w:hAnsi="Times New Roman" w:cs="Times New Roman"/>
                <w:sz w:val="24"/>
              </w:rPr>
              <w:t xml:space="preserve">, </w:t>
            </w:r>
            <w:r w:rsidR="00F373B6">
              <w:rPr>
                <w:rFonts w:ascii="Times New Roman" w:hAnsi="Times New Roman" w:cs="Times New Roman"/>
                <w:sz w:val="24"/>
              </w:rPr>
              <w:t xml:space="preserve">un 75% no tā ir 3,30 </w:t>
            </w:r>
            <w:proofErr w:type="spellStart"/>
            <w:r w:rsidR="00F373B6" w:rsidRPr="009872D2">
              <w:rPr>
                <w:rFonts w:ascii="Times New Roman" w:hAnsi="Times New Roman" w:cs="Times New Roman"/>
                <w:i/>
                <w:sz w:val="24"/>
              </w:rPr>
              <w:t>euro</w:t>
            </w:r>
            <w:proofErr w:type="spellEnd"/>
            <w:r w:rsidR="00F373B6">
              <w:rPr>
                <w:rFonts w:ascii="Times New Roman" w:hAnsi="Times New Roman" w:cs="Times New Roman"/>
                <w:sz w:val="24"/>
              </w:rPr>
              <w:t>. Par vaislas vistu E</w:t>
            </w:r>
            <w:r w:rsidR="00787D37">
              <w:rPr>
                <w:rFonts w:ascii="Times New Roman" w:hAnsi="Times New Roman" w:cs="Times New Roman"/>
                <w:sz w:val="24"/>
              </w:rPr>
              <w:t>K</w:t>
            </w:r>
            <w:r w:rsidR="00F373B6">
              <w:rPr>
                <w:rFonts w:ascii="Times New Roman" w:hAnsi="Times New Roman" w:cs="Times New Roman"/>
                <w:sz w:val="24"/>
              </w:rPr>
              <w:t xml:space="preserve"> noteiktais limits ir 8,00 </w:t>
            </w:r>
            <w:proofErr w:type="spellStart"/>
            <w:r w:rsidR="00F373B6" w:rsidRPr="00607318">
              <w:rPr>
                <w:rFonts w:ascii="Times New Roman" w:hAnsi="Times New Roman" w:cs="Times New Roman"/>
                <w:i/>
                <w:sz w:val="24"/>
              </w:rPr>
              <w:t>euro</w:t>
            </w:r>
            <w:proofErr w:type="spellEnd"/>
            <w:r w:rsidR="00B57768">
              <w:rPr>
                <w:rFonts w:ascii="Times New Roman" w:hAnsi="Times New Roman" w:cs="Times New Roman"/>
                <w:sz w:val="24"/>
              </w:rPr>
              <w:t xml:space="preserve">, </w:t>
            </w:r>
            <w:r w:rsidR="00F373B6">
              <w:rPr>
                <w:rFonts w:ascii="Times New Roman" w:hAnsi="Times New Roman" w:cs="Times New Roman"/>
                <w:sz w:val="24"/>
              </w:rPr>
              <w:t xml:space="preserve">un 75% no tā ir 6,00 </w:t>
            </w:r>
            <w:proofErr w:type="spellStart"/>
            <w:r w:rsidR="00F373B6" w:rsidRPr="009872D2">
              <w:rPr>
                <w:rFonts w:ascii="Times New Roman" w:hAnsi="Times New Roman" w:cs="Times New Roman"/>
                <w:i/>
                <w:sz w:val="24"/>
              </w:rPr>
              <w:t>euro</w:t>
            </w:r>
            <w:proofErr w:type="spellEnd"/>
            <w:r w:rsidR="00F373B6">
              <w:rPr>
                <w:rFonts w:ascii="Times New Roman" w:hAnsi="Times New Roman" w:cs="Times New Roman"/>
                <w:sz w:val="24"/>
              </w:rPr>
              <w:t>. Par iznīcināto vistas pārtikas olu E</w:t>
            </w:r>
            <w:r w:rsidR="00787D37">
              <w:rPr>
                <w:rFonts w:ascii="Times New Roman" w:hAnsi="Times New Roman" w:cs="Times New Roman"/>
                <w:sz w:val="24"/>
              </w:rPr>
              <w:t>K</w:t>
            </w:r>
            <w:r w:rsidR="00F373B6">
              <w:rPr>
                <w:rFonts w:ascii="Times New Roman" w:hAnsi="Times New Roman" w:cs="Times New Roman"/>
                <w:sz w:val="24"/>
              </w:rPr>
              <w:t xml:space="preserve"> limits ir 0,08 </w:t>
            </w:r>
            <w:proofErr w:type="spellStart"/>
            <w:r w:rsidR="00F373B6" w:rsidRPr="009872D2">
              <w:rPr>
                <w:rFonts w:ascii="Times New Roman" w:hAnsi="Times New Roman" w:cs="Times New Roman"/>
                <w:i/>
                <w:sz w:val="24"/>
              </w:rPr>
              <w:t>euro</w:t>
            </w:r>
            <w:proofErr w:type="spellEnd"/>
            <w:r w:rsidR="00B57768">
              <w:rPr>
                <w:rFonts w:ascii="Times New Roman" w:hAnsi="Times New Roman" w:cs="Times New Roman"/>
                <w:sz w:val="24"/>
              </w:rPr>
              <w:t xml:space="preserve">, </w:t>
            </w:r>
            <w:r w:rsidR="00F373B6">
              <w:rPr>
                <w:rFonts w:ascii="Times New Roman" w:hAnsi="Times New Roman" w:cs="Times New Roman"/>
                <w:sz w:val="24"/>
              </w:rPr>
              <w:t xml:space="preserve">un 75% no tā ir 0,06 </w:t>
            </w:r>
            <w:proofErr w:type="spellStart"/>
            <w:r w:rsidR="00F373B6" w:rsidRPr="009872D2">
              <w:rPr>
                <w:rFonts w:ascii="Times New Roman" w:hAnsi="Times New Roman" w:cs="Times New Roman"/>
                <w:i/>
                <w:sz w:val="24"/>
              </w:rPr>
              <w:t>euro</w:t>
            </w:r>
            <w:proofErr w:type="spellEnd"/>
            <w:r w:rsidR="00F373B6">
              <w:rPr>
                <w:rFonts w:ascii="Times New Roman" w:hAnsi="Times New Roman" w:cs="Times New Roman"/>
                <w:sz w:val="24"/>
              </w:rPr>
              <w:t>.</w:t>
            </w:r>
          </w:p>
          <w:p w:rsidR="006B47D2" w:rsidRDefault="006B47D2" w:rsidP="00973724">
            <w:pPr>
              <w:pStyle w:val="Bezatstarpm"/>
              <w:jc w:val="both"/>
              <w:rPr>
                <w:rFonts w:ascii="Times New Roman" w:hAnsi="Times New Roman" w:cs="Times New Roman"/>
                <w:sz w:val="24"/>
              </w:rPr>
            </w:pPr>
          </w:p>
          <w:tbl>
            <w:tblPr>
              <w:tblStyle w:val="Reatabula"/>
              <w:tblW w:w="0" w:type="auto"/>
              <w:tblLook w:val="04A0" w:firstRow="1" w:lastRow="0" w:firstColumn="1" w:lastColumn="0" w:noHBand="0" w:noVBand="1"/>
            </w:tblPr>
            <w:tblGrid>
              <w:gridCol w:w="1421"/>
              <w:gridCol w:w="816"/>
              <w:gridCol w:w="1296"/>
              <w:gridCol w:w="1356"/>
              <w:gridCol w:w="1101"/>
              <w:gridCol w:w="1296"/>
            </w:tblGrid>
            <w:tr w:rsidR="008F22DE" w:rsidTr="00BA72DA">
              <w:tc>
                <w:tcPr>
                  <w:tcW w:w="1421"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Dzīvnieku suga/</w:t>
                  </w:r>
                  <w:proofErr w:type="spellStart"/>
                  <w:r w:rsidRPr="00CC31DB">
                    <w:rPr>
                      <w:rFonts w:ascii="Times New Roman" w:hAnsi="Times New Roman" w:cs="Times New Roman"/>
                      <w:sz w:val="24"/>
                      <w:szCs w:val="24"/>
                    </w:rPr>
                    <w:t>kat</w:t>
                  </w:r>
                  <w:proofErr w:type="spellEnd"/>
                  <w:r w:rsidRPr="00CC31DB">
                    <w:rPr>
                      <w:rFonts w:ascii="Times New Roman" w:hAnsi="Times New Roman" w:cs="Times New Roman"/>
                      <w:sz w:val="24"/>
                      <w:szCs w:val="24"/>
                    </w:rPr>
                    <w:t>.</w:t>
                  </w:r>
                </w:p>
              </w:tc>
              <w:tc>
                <w:tcPr>
                  <w:tcW w:w="816"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Skaits</w:t>
                  </w:r>
                </w:p>
              </w:tc>
              <w:tc>
                <w:tcPr>
                  <w:tcW w:w="1296"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Noteikumu Nr.177 2.pielik.</w:t>
                  </w:r>
                </w:p>
              </w:tc>
              <w:tc>
                <w:tcPr>
                  <w:tcW w:w="1356"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Kopā </w:t>
                  </w:r>
                  <w:proofErr w:type="spellStart"/>
                  <w:r w:rsidRPr="00CC31DB">
                    <w:rPr>
                      <w:rFonts w:ascii="Times New Roman" w:hAnsi="Times New Roman" w:cs="Times New Roman"/>
                      <w:sz w:val="24"/>
                      <w:szCs w:val="24"/>
                    </w:rPr>
                    <w:t>komp</w:t>
                  </w:r>
                  <w:proofErr w:type="spellEnd"/>
                  <w:r w:rsidRPr="00CC31DB">
                    <w:rPr>
                      <w:rFonts w:ascii="Times New Roman" w:hAnsi="Times New Roman" w:cs="Times New Roman"/>
                      <w:sz w:val="24"/>
                      <w:szCs w:val="24"/>
                    </w:rPr>
                    <w:t>.</w:t>
                  </w:r>
                </w:p>
              </w:tc>
              <w:tc>
                <w:tcPr>
                  <w:tcW w:w="1101"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Summa ar ES limitu</w:t>
                  </w:r>
                </w:p>
              </w:tc>
              <w:tc>
                <w:tcPr>
                  <w:tcW w:w="1296" w:type="dxa"/>
                </w:tcPr>
                <w:p w:rsidR="00702282" w:rsidRPr="00CC31DB" w:rsidRDefault="006B47D2" w:rsidP="00973724">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 xml:space="preserve">ES </w:t>
                  </w:r>
                  <w:proofErr w:type="spellStart"/>
                  <w:r w:rsidRPr="00CC31DB">
                    <w:rPr>
                      <w:rFonts w:ascii="Times New Roman" w:hAnsi="Times New Roman" w:cs="Times New Roman"/>
                      <w:sz w:val="24"/>
                      <w:szCs w:val="24"/>
                    </w:rPr>
                    <w:t>līdzfin</w:t>
                  </w:r>
                  <w:proofErr w:type="spellEnd"/>
                  <w:r w:rsidRPr="00CC31DB">
                    <w:rPr>
                      <w:rFonts w:ascii="Times New Roman" w:hAnsi="Times New Roman" w:cs="Times New Roman"/>
                      <w:sz w:val="24"/>
                      <w:szCs w:val="24"/>
                    </w:rPr>
                    <w:t>. 75%</w:t>
                  </w:r>
                </w:p>
              </w:tc>
            </w:tr>
            <w:tr w:rsidR="00BA72DA" w:rsidTr="00BA72DA">
              <w:tc>
                <w:tcPr>
                  <w:tcW w:w="1421" w:type="dxa"/>
                </w:tcPr>
                <w:p w:rsidR="00BA72DA" w:rsidRPr="00CC31DB" w:rsidRDefault="00BA72DA" w:rsidP="00BA72DA">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3</w:t>
                  </w:r>
                  <w:r w:rsidRPr="00CC31DB">
                    <w:rPr>
                      <w:rFonts w:ascii="Times New Roman" w:hAnsi="Times New Roman" w:cs="Times New Roman"/>
                      <w:sz w:val="24"/>
                      <w:szCs w:val="24"/>
                    </w:rPr>
                    <w:t xml:space="preserve">3 </w:t>
                  </w:r>
                  <w:proofErr w:type="spellStart"/>
                  <w:r w:rsidRPr="00CC31DB">
                    <w:rPr>
                      <w:rFonts w:ascii="Times New Roman" w:hAnsi="Times New Roman" w:cs="Times New Roman"/>
                      <w:sz w:val="24"/>
                      <w:szCs w:val="24"/>
                    </w:rPr>
                    <w:t>ned</w:t>
                  </w:r>
                  <w:proofErr w:type="spellEnd"/>
                  <w:r w:rsidRPr="00CC31DB">
                    <w:rPr>
                      <w:rFonts w:ascii="Times New Roman" w:hAnsi="Times New Roman" w:cs="Times New Roman"/>
                      <w:sz w:val="24"/>
                      <w:szCs w:val="24"/>
                    </w:rPr>
                    <w:t>. vec.</w:t>
                  </w:r>
                </w:p>
              </w:tc>
              <w:tc>
                <w:tcPr>
                  <w:tcW w:w="816" w:type="dxa"/>
                </w:tcPr>
                <w:p w:rsidR="00BA72DA" w:rsidRPr="0017606D"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168</w:t>
                  </w:r>
                </w:p>
              </w:tc>
              <w:tc>
                <w:tcPr>
                  <w:tcW w:w="1296" w:type="dxa"/>
                </w:tcPr>
                <w:p w:rsidR="00BA72DA" w:rsidRPr="0017606D"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3,56</w:t>
                  </w:r>
                </w:p>
              </w:tc>
              <w:tc>
                <w:tcPr>
                  <w:tcW w:w="1356" w:type="dxa"/>
                </w:tcPr>
                <w:p w:rsidR="00BA72DA" w:rsidRPr="00275135"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598,06</w:t>
                  </w:r>
                </w:p>
              </w:tc>
              <w:tc>
                <w:tcPr>
                  <w:tcW w:w="1101" w:type="dxa"/>
                </w:tcPr>
                <w:p w:rsidR="00BA72DA" w:rsidRPr="00275135" w:rsidRDefault="00BA72DA" w:rsidP="00BA72DA">
                  <w:pPr>
                    <w:pStyle w:val="Bezatstarpm"/>
                    <w:jc w:val="both"/>
                    <w:rPr>
                      <w:rFonts w:ascii="Times New Roman" w:hAnsi="Times New Roman" w:cs="Times New Roman"/>
                      <w:sz w:val="24"/>
                      <w:szCs w:val="24"/>
                    </w:rPr>
                  </w:pPr>
                </w:p>
              </w:tc>
              <w:tc>
                <w:tcPr>
                  <w:tcW w:w="1296" w:type="dxa"/>
                </w:tcPr>
                <w:p w:rsidR="00BA72DA" w:rsidRPr="00275135" w:rsidRDefault="000A7742" w:rsidP="00BA72DA">
                  <w:pPr>
                    <w:pStyle w:val="Bezatstarpm"/>
                    <w:jc w:val="both"/>
                    <w:rPr>
                      <w:rFonts w:ascii="Times New Roman" w:hAnsi="Times New Roman" w:cs="Times New Roman"/>
                      <w:sz w:val="24"/>
                      <w:szCs w:val="24"/>
                    </w:rPr>
                  </w:pPr>
                  <w:r>
                    <w:rPr>
                      <w:rFonts w:ascii="Times New Roman" w:hAnsi="Times New Roman" w:cs="Times New Roman"/>
                      <w:sz w:val="24"/>
                      <w:szCs w:val="24"/>
                    </w:rPr>
                    <w:t>448,55</w:t>
                  </w:r>
                </w:p>
              </w:tc>
            </w:tr>
            <w:tr w:rsidR="00BA72DA" w:rsidTr="00BA72DA">
              <w:tc>
                <w:tcPr>
                  <w:tcW w:w="1421" w:type="dxa"/>
                </w:tcPr>
                <w:p w:rsidR="00BA72DA" w:rsidRPr="00CC31DB" w:rsidRDefault="00BA72DA" w:rsidP="00BA72DA">
                  <w:pPr>
                    <w:pStyle w:val="Bezatstarpm"/>
                    <w:jc w:val="both"/>
                    <w:rPr>
                      <w:rFonts w:ascii="Times New Roman" w:hAnsi="Times New Roman" w:cs="Times New Roman"/>
                      <w:sz w:val="24"/>
                      <w:szCs w:val="24"/>
                    </w:rPr>
                  </w:pPr>
                  <w:r w:rsidRPr="00CC31DB">
                    <w:rPr>
                      <w:rFonts w:ascii="Times New Roman" w:hAnsi="Times New Roman" w:cs="Times New Roman"/>
                      <w:sz w:val="24"/>
                      <w:szCs w:val="24"/>
                    </w:rPr>
                    <w:t>dējējvistas &lt; </w:t>
                  </w:r>
                  <w:r>
                    <w:rPr>
                      <w:rFonts w:ascii="Times New Roman" w:hAnsi="Times New Roman" w:cs="Times New Roman"/>
                      <w:sz w:val="24"/>
                      <w:szCs w:val="24"/>
                    </w:rPr>
                    <w:t>48</w:t>
                  </w:r>
                  <w:r w:rsidRPr="00CC31DB">
                    <w:rPr>
                      <w:rFonts w:ascii="Times New Roman" w:hAnsi="Times New Roman" w:cs="Times New Roman"/>
                      <w:sz w:val="24"/>
                      <w:szCs w:val="24"/>
                    </w:rPr>
                    <w:t xml:space="preserve"> </w:t>
                  </w:r>
                  <w:proofErr w:type="spellStart"/>
                  <w:r w:rsidRPr="00CC31DB">
                    <w:rPr>
                      <w:rFonts w:ascii="Times New Roman" w:hAnsi="Times New Roman" w:cs="Times New Roman"/>
                      <w:sz w:val="24"/>
                      <w:szCs w:val="24"/>
                    </w:rPr>
                    <w:t>ned</w:t>
                  </w:r>
                  <w:proofErr w:type="spellEnd"/>
                  <w:r w:rsidRPr="00CC31DB">
                    <w:rPr>
                      <w:rFonts w:ascii="Times New Roman" w:hAnsi="Times New Roman" w:cs="Times New Roman"/>
                      <w:sz w:val="24"/>
                      <w:szCs w:val="24"/>
                    </w:rPr>
                    <w:t>. vec.</w:t>
                  </w:r>
                </w:p>
              </w:tc>
              <w:tc>
                <w:tcPr>
                  <w:tcW w:w="816" w:type="dxa"/>
                </w:tcPr>
                <w:p w:rsidR="00BA72DA" w:rsidRPr="0017606D"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127</w:t>
                  </w:r>
                </w:p>
              </w:tc>
              <w:tc>
                <w:tcPr>
                  <w:tcW w:w="1296" w:type="dxa"/>
                </w:tcPr>
                <w:p w:rsidR="00BA72DA" w:rsidRPr="0017606D"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2,67</w:t>
                  </w:r>
                </w:p>
              </w:tc>
              <w:tc>
                <w:tcPr>
                  <w:tcW w:w="1356" w:type="dxa"/>
                </w:tcPr>
                <w:p w:rsidR="00BA72DA" w:rsidRPr="00275135"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339,09</w:t>
                  </w:r>
                </w:p>
              </w:tc>
              <w:tc>
                <w:tcPr>
                  <w:tcW w:w="1101" w:type="dxa"/>
                </w:tcPr>
                <w:p w:rsidR="00BA72DA" w:rsidRPr="0017606D" w:rsidRDefault="00BA72DA" w:rsidP="00BA72DA">
                  <w:pPr>
                    <w:pStyle w:val="Bezatstarpm"/>
                    <w:jc w:val="both"/>
                    <w:rPr>
                      <w:rFonts w:ascii="Times New Roman" w:hAnsi="Times New Roman" w:cs="Times New Roman"/>
                      <w:sz w:val="24"/>
                      <w:szCs w:val="24"/>
                    </w:rPr>
                  </w:pPr>
                </w:p>
              </w:tc>
              <w:tc>
                <w:tcPr>
                  <w:tcW w:w="1296" w:type="dxa"/>
                </w:tcPr>
                <w:p w:rsidR="00BA72DA" w:rsidRPr="001A0E77"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254,32</w:t>
                  </w:r>
                </w:p>
              </w:tc>
            </w:tr>
            <w:tr w:rsidR="00BA72DA" w:rsidTr="00BA72DA">
              <w:tc>
                <w:tcPr>
                  <w:tcW w:w="1421" w:type="dxa"/>
                </w:tcPr>
                <w:p w:rsidR="00BA72DA" w:rsidRPr="00CC31DB"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d</w:t>
                  </w:r>
                  <w:r w:rsidRPr="0047690E">
                    <w:rPr>
                      <w:rFonts w:ascii="Times New Roman" w:hAnsi="Times New Roman" w:cs="Times New Roman"/>
                      <w:sz w:val="24"/>
                      <w:szCs w:val="24"/>
                    </w:rPr>
                    <w:t>ējējvistas &lt; </w:t>
                  </w:r>
                  <w:r>
                    <w:rPr>
                      <w:rFonts w:ascii="Times New Roman" w:hAnsi="Times New Roman" w:cs="Times New Roman"/>
                      <w:sz w:val="24"/>
                      <w:szCs w:val="24"/>
                    </w:rPr>
                    <w:t>78</w:t>
                  </w:r>
                  <w:r w:rsidRPr="0047690E">
                    <w:rPr>
                      <w:rFonts w:ascii="Times New Roman" w:hAnsi="Times New Roman" w:cs="Times New Roman"/>
                      <w:sz w:val="24"/>
                      <w:szCs w:val="24"/>
                    </w:rPr>
                    <w:t xml:space="preserve"> </w:t>
                  </w:r>
                  <w:proofErr w:type="spellStart"/>
                  <w:r w:rsidRPr="0047690E">
                    <w:rPr>
                      <w:rFonts w:ascii="Times New Roman" w:hAnsi="Times New Roman" w:cs="Times New Roman"/>
                      <w:sz w:val="24"/>
                      <w:szCs w:val="24"/>
                    </w:rPr>
                    <w:t>ned</w:t>
                  </w:r>
                  <w:proofErr w:type="spellEnd"/>
                  <w:r w:rsidRPr="0047690E">
                    <w:rPr>
                      <w:rFonts w:ascii="Times New Roman" w:hAnsi="Times New Roman" w:cs="Times New Roman"/>
                      <w:sz w:val="24"/>
                      <w:szCs w:val="24"/>
                    </w:rPr>
                    <w:t>. vec.</w:t>
                  </w:r>
                </w:p>
              </w:tc>
              <w:tc>
                <w:tcPr>
                  <w:tcW w:w="816" w:type="dxa"/>
                </w:tcPr>
                <w:p w:rsidR="00BA72DA"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80</w:t>
                  </w:r>
                </w:p>
              </w:tc>
              <w:tc>
                <w:tcPr>
                  <w:tcW w:w="1296" w:type="dxa"/>
                </w:tcPr>
                <w:p w:rsidR="00BA72DA"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0.90</w:t>
                  </w:r>
                </w:p>
              </w:tc>
              <w:tc>
                <w:tcPr>
                  <w:tcW w:w="1356" w:type="dxa"/>
                </w:tcPr>
                <w:p w:rsidR="00BA72DA"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72,00</w:t>
                  </w:r>
                </w:p>
              </w:tc>
              <w:tc>
                <w:tcPr>
                  <w:tcW w:w="1101" w:type="dxa"/>
                </w:tcPr>
                <w:p w:rsidR="00BA72DA" w:rsidRPr="0017606D" w:rsidRDefault="00BA72DA" w:rsidP="00BA72DA">
                  <w:pPr>
                    <w:pStyle w:val="Bezatstarpm"/>
                    <w:jc w:val="both"/>
                    <w:rPr>
                      <w:rFonts w:ascii="Times New Roman" w:hAnsi="Times New Roman" w:cs="Times New Roman"/>
                      <w:sz w:val="24"/>
                      <w:szCs w:val="24"/>
                    </w:rPr>
                  </w:pPr>
                </w:p>
              </w:tc>
              <w:tc>
                <w:tcPr>
                  <w:tcW w:w="1296" w:type="dxa"/>
                </w:tcPr>
                <w:p w:rsidR="00BA72DA"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54,00</w:t>
                  </w:r>
                </w:p>
              </w:tc>
            </w:tr>
            <w:tr w:rsidR="00BA72DA" w:rsidTr="00BA72DA">
              <w:tc>
                <w:tcPr>
                  <w:tcW w:w="1421"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Jaunputns līdz dēšanas sākšanai</w:t>
                  </w:r>
                </w:p>
              </w:tc>
              <w:tc>
                <w:tcPr>
                  <w:tcW w:w="816"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31</w:t>
                  </w:r>
                </w:p>
              </w:tc>
              <w:tc>
                <w:tcPr>
                  <w:tcW w:w="1296"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2,99</w:t>
                  </w:r>
                </w:p>
              </w:tc>
              <w:tc>
                <w:tcPr>
                  <w:tcW w:w="1356"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92,69</w:t>
                  </w:r>
                </w:p>
              </w:tc>
              <w:tc>
                <w:tcPr>
                  <w:tcW w:w="1101" w:type="dxa"/>
                </w:tcPr>
                <w:p w:rsidR="00BA72DA" w:rsidRPr="006D1E2C" w:rsidRDefault="00BA72DA" w:rsidP="00BA72DA">
                  <w:pPr>
                    <w:pStyle w:val="Bezatstarpm"/>
                    <w:jc w:val="both"/>
                    <w:rPr>
                      <w:rFonts w:ascii="Times New Roman" w:hAnsi="Times New Roman" w:cs="Times New Roman"/>
                      <w:sz w:val="24"/>
                      <w:szCs w:val="24"/>
                    </w:rPr>
                  </w:pPr>
                </w:p>
              </w:tc>
              <w:tc>
                <w:tcPr>
                  <w:tcW w:w="1296"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69,52</w:t>
                  </w:r>
                </w:p>
              </w:tc>
            </w:tr>
            <w:tr w:rsidR="00BA72DA" w:rsidTr="00BA72DA">
              <w:tc>
                <w:tcPr>
                  <w:tcW w:w="1421"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Vaislas vista (58</w:t>
                  </w:r>
                  <w:r w:rsidR="00B57768">
                    <w:rPr>
                      <w:rFonts w:ascii="Times New Roman" w:hAnsi="Times New Roman" w:cs="Times New Roman"/>
                      <w:sz w:val="24"/>
                      <w:szCs w:val="24"/>
                    </w:rPr>
                    <w:t>–</w:t>
                  </w:r>
                  <w:r>
                    <w:rPr>
                      <w:rFonts w:ascii="Times New Roman" w:hAnsi="Times New Roman" w:cs="Times New Roman"/>
                      <w:sz w:val="24"/>
                      <w:szCs w:val="24"/>
                    </w:rPr>
                    <w:t xml:space="preserve">64 </w:t>
                  </w:r>
                  <w:proofErr w:type="spellStart"/>
                  <w:r>
                    <w:rPr>
                      <w:rFonts w:ascii="Times New Roman" w:hAnsi="Times New Roman" w:cs="Times New Roman"/>
                      <w:sz w:val="24"/>
                      <w:szCs w:val="24"/>
                    </w:rPr>
                    <w:t>ned</w:t>
                  </w:r>
                  <w:proofErr w:type="spellEnd"/>
                  <w:r>
                    <w:rPr>
                      <w:rFonts w:ascii="Times New Roman" w:hAnsi="Times New Roman" w:cs="Times New Roman"/>
                      <w:sz w:val="24"/>
                      <w:szCs w:val="24"/>
                    </w:rPr>
                    <w:t>.)</w:t>
                  </w:r>
                </w:p>
              </w:tc>
              <w:tc>
                <w:tcPr>
                  <w:tcW w:w="816" w:type="dxa"/>
                </w:tcPr>
                <w:p w:rsidR="00BA72DA" w:rsidRPr="006D1E2C"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46</w:t>
                  </w:r>
                </w:p>
              </w:tc>
              <w:tc>
                <w:tcPr>
                  <w:tcW w:w="1296" w:type="dxa"/>
                </w:tcPr>
                <w:p w:rsidR="00BA72DA" w:rsidRPr="006D1E2C" w:rsidRDefault="00F373B6" w:rsidP="00BA72DA">
                  <w:pPr>
                    <w:pStyle w:val="Bezatstarpm"/>
                    <w:jc w:val="both"/>
                    <w:rPr>
                      <w:rFonts w:ascii="Times New Roman" w:hAnsi="Times New Roman" w:cs="Times New Roman"/>
                      <w:sz w:val="24"/>
                      <w:szCs w:val="24"/>
                    </w:rPr>
                  </w:pPr>
                  <w:r>
                    <w:rPr>
                      <w:rFonts w:ascii="Times New Roman" w:hAnsi="Times New Roman" w:cs="Times New Roman"/>
                      <w:sz w:val="24"/>
                      <w:szCs w:val="24"/>
                    </w:rPr>
                    <w:t>6,97</w:t>
                  </w:r>
                </w:p>
              </w:tc>
              <w:tc>
                <w:tcPr>
                  <w:tcW w:w="1356" w:type="dxa"/>
                </w:tcPr>
                <w:p w:rsidR="00BA72DA" w:rsidRPr="006D1E2C" w:rsidRDefault="00F373B6" w:rsidP="00BA72DA">
                  <w:pPr>
                    <w:pStyle w:val="Bezatstarpm"/>
                    <w:jc w:val="both"/>
                    <w:rPr>
                      <w:rFonts w:ascii="Times New Roman" w:hAnsi="Times New Roman" w:cs="Times New Roman"/>
                      <w:sz w:val="24"/>
                      <w:szCs w:val="24"/>
                    </w:rPr>
                  </w:pPr>
                  <w:r>
                    <w:rPr>
                      <w:rFonts w:ascii="Times New Roman" w:hAnsi="Times New Roman" w:cs="Times New Roman"/>
                      <w:sz w:val="24"/>
                      <w:szCs w:val="24"/>
                    </w:rPr>
                    <w:t>320,62</w:t>
                  </w:r>
                </w:p>
              </w:tc>
              <w:tc>
                <w:tcPr>
                  <w:tcW w:w="1101" w:type="dxa"/>
                </w:tcPr>
                <w:p w:rsidR="00BA72DA" w:rsidRPr="006D1E2C" w:rsidRDefault="00BA72DA" w:rsidP="00BA72DA">
                  <w:pPr>
                    <w:pStyle w:val="Bezatstarpm"/>
                    <w:jc w:val="both"/>
                    <w:rPr>
                      <w:rFonts w:ascii="Times New Roman" w:hAnsi="Times New Roman" w:cs="Times New Roman"/>
                      <w:sz w:val="24"/>
                      <w:szCs w:val="24"/>
                    </w:rPr>
                  </w:pPr>
                </w:p>
              </w:tc>
              <w:tc>
                <w:tcPr>
                  <w:tcW w:w="1296" w:type="dxa"/>
                </w:tcPr>
                <w:p w:rsidR="00BA72DA" w:rsidRPr="006D1E2C" w:rsidRDefault="000A7742" w:rsidP="00BA72DA">
                  <w:pPr>
                    <w:pStyle w:val="Bezatstarpm"/>
                    <w:jc w:val="both"/>
                    <w:rPr>
                      <w:rFonts w:ascii="Times New Roman" w:hAnsi="Times New Roman" w:cs="Times New Roman"/>
                      <w:sz w:val="24"/>
                      <w:szCs w:val="24"/>
                    </w:rPr>
                  </w:pPr>
                  <w:r>
                    <w:rPr>
                      <w:rFonts w:ascii="Times New Roman" w:hAnsi="Times New Roman" w:cs="Times New Roman"/>
                      <w:sz w:val="24"/>
                      <w:szCs w:val="24"/>
                    </w:rPr>
                    <w:t>240,47</w:t>
                  </w:r>
                </w:p>
              </w:tc>
            </w:tr>
            <w:tr w:rsidR="005F78DE" w:rsidTr="00BA72DA">
              <w:tc>
                <w:tcPr>
                  <w:tcW w:w="1421" w:type="dxa"/>
                </w:tcPr>
                <w:p w:rsidR="005F78DE" w:rsidRDefault="001874F0" w:rsidP="00BA72DA">
                  <w:pPr>
                    <w:pStyle w:val="Bezatstarpm"/>
                    <w:jc w:val="both"/>
                    <w:rPr>
                      <w:rFonts w:ascii="Times New Roman" w:hAnsi="Times New Roman" w:cs="Times New Roman"/>
                      <w:sz w:val="24"/>
                      <w:szCs w:val="24"/>
                    </w:rPr>
                  </w:pPr>
                  <w:r>
                    <w:rPr>
                      <w:rFonts w:ascii="Times New Roman" w:hAnsi="Times New Roman" w:cs="Times New Roman"/>
                      <w:sz w:val="24"/>
                      <w:szCs w:val="24"/>
                    </w:rPr>
                    <w:lastRenderedPageBreak/>
                    <w:t>Pārtikas olas (vistu)</w:t>
                  </w:r>
                </w:p>
              </w:tc>
              <w:tc>
                <w:tcPr>
                  <w:tcW w:w="816" w:type="dxa"/>
                </w:tcPr>
                <w:p w:rsidR="005F78DE" w:rsidRDefault="001874F0" w:rsidP="00BA72DA">
                  <w:pPr>
                    <w:pStyle w:val="Bezatstarpm"/>
                    <w:jc w:val="both"/>
                    <w:rPr>
                      <w:rFonts w:ascii="Times New Roman" w:hAnsi="Times New Roman" w:cs="Times New Roman"/>
                      <w:sz w:val="24"/>
                      <w:szCs w:val="24"/>
                    </w:rPr>
                  </w:pPr>
                  <w:r>
                    <w:rPr>
                      <w:rFonts w:ascii="Times New Roman" w:hAnsi="Times New Roman" w:cs="Times New Roman"/>
                      <w:sz w:val="24"/>
                      <w:szCs w:val="24"/>
                    </w:rPr>
                    <w:t>148</w:t>
                  </w:r>
                </w:p>
              </w:tc>
              <w:tc>
                <w:tcPr>
                  <w:tcW w:w="1296" w:type="dxa"/>
                </w:tcPr>
                <w:p w:rsidR="005F78DE" w:rsidRDefault="001874F0" w:rsidP="00BA72DA">
                  <w:pPr>
                    <w:pStyle w:val="Bezatstarpm"/>
                    <w:jc w:val="both"/>
                    <w:rPr>
                      <w:rFonts w:ascii="Times New Roman" w:hAnsi="Times New Roman" w:cs="Times New Roman"/>
                      <w:sz w:val="24"/>
                      <w:szCs w:val="24"/>
                    </w:rPr>
                  </w:pPr>
                  <w:r>
                    <w:rPr>
                      <w:rFonts w:ascii="Times New Roman" w:hAnsi="Times New Roman" w:cs="Times New Roman"/>
                      <w:sz w:val="24"/>
                      <w:szCs w:val="24"/>
                    </w:rPr>
                    <w:t>0,06</w:t>
                  </w:r>
                </w:p>
              </w:tc>
              <w:tc>
                <w:tcPr>
                  <w:tcW w:w="1356" w:type="dxa"/>
                </w:tcPr>
                <w:p w:rsidR="005F78DE" w:rsidRDefault="001874F0" w:rsidP="00BA72DA">
                  <w:pPr>
                    <w:pStyle w:val="Bezatstarpm"/>
                    <w:jc w:val="both"/>
                    <w:rPr>
                      <w:rFonts w:ascii="Times New Roman" w:hAnsi="Times New Roman" w:cs="Times New Roman"/>
                      <w:sz w:val="24"/>
                      <w:szCs w:val="24"/>
                    </w:rPr>
                  </w:pPr>
                  <w:r>
                    <w:rPr>
                      <w:rFonts w:ascii="Times New Roman" w:hAnsi="Times New Roman" w:cs="Times New Roman"/>
                      <w:sz w:val="24"/>
                      <w:szCs w:val="24"/>
                    </w:rPr>
                    <w:t>8,88</w:t>
                  </w:r>
                </w:p>
              </w:tc>
              <w:tc>
                <w:tcPr>
                  <w:tcW w:w="1101" w:type="dxa"/>
                </w:tcPr>
                <w:p w:rsidR="005F78DE" w:rsidRDefault="005F78DE" w:rsidP="00BA72DA">
                  <w:pPr>
                    <w:pStyle w:val="Bezatstarpm"/>
                    <w:jc w:val="both"/>
                    <w:rPr>
                      <w:rFonts w:ascii="Times New Roman" w:hAnsi="Times New Roman" w:cs="Times New Roman"/>
                      <w:sz w:val="24"/>
                      <w:szCs w:val="24"/>
                    </w:rPr>
                  </w:pPr>
                </w:p>
              </w:tc>
              <w:tc>
                <w:tcPr>
                  <w:tcW w:w="1296" w:type="dxa"/>
                </w:tcPr>
                <w:p w:rsidR="005F78DE" w:rsidRDefault="000A7742" w:rsidP="00BA72DA">
                  <w:pPr>
                    <w:pStyle w:val="Bezatstarpm"/>
                    <w:jc w:val="both"/>
                    <w:rPr>
                      <w:rFonts w:ascii="Times New Roman" w:hAnsi="Times New Roman" w:cs="Times New Roman"/>
                      <w:sz w:val="24"/>
                      <w:szCs w:val="24"/>
                    </w:rPr>
                  </w:pPr>
                  <w:r>
                    <w:rPr>
                      <w:rFonts w:ascii="Times New Roman" w:hAnsi="Times New Roman" w:cs="Times New Roman"/>
                      <w:sz w:val="24"/>
                      <w:szCs w:val="24"/>
                    </w:rPr>
                    <w:t>6,66</w:t>
                  </w:r>
                </w:p>
              </w:tc>
            </w:tr>
            <w:tr w:rsidR="00BA72DA" w:rsidTr="00BA72DA">
              <w:tc>
                <w:tcPr>
                  <w:tcW w:w="1421" w:type="dxa"/>
                </w:tcPr>
                <w:p w:rsidR="00BA72DA" w:rsidRDefault="00BA72DA" w:rsidP="00BA72DA">
                  <w:pPr>
                    <w:pStyle w:val="Bezatstarpm"/>
                    <w:jc w:val="both"/>
                    <w:rPr>
                      <w:rFonts w:ascii="Times New Roman" w:hAnsi="Times New Roman" w:cs="Times New Roman"/>
                      <w:sz w:val="24"/>
                      <w:szCs w:val="24"/>
                    </w:rPr>
                  </w:pPr>
                  <w:r w:rsidRPr="00EF09CD">
                    <w:rPr>
                      <w:rFonts w:ascii="Times New Roman" w:hAnsi="Times New Roman" w:cs="Times New Roman"/>
                      <w:b/>
                      <w:sz w:val="24"/>
                      <w:szCs w:val="24"/>
                    </w:rPr>
                    <w:t>Kopā</w:t>
                  </w:r>
                  <w:r w:rsidRPr="0017606D">
                    <w:rPr>
                      <w:rFonts w:ascii="Times New Roman" w:hAnsi="Times New Roman" w:cs="Times New Roman"/>
                      <w:sz w:val="24"/>
                      <w:szCs w:val="24"/>
                    </w:rPr>
                    <w:t>:</w:t>
                  </w:r>
                </w:p>
              </w:tc>
              <w:tc>
                <w:tcPr>
                  <w:tcW w:w="816" w:type="dxa"/>
                </w:tcPr>
                <w:p w:rsidR="00BA72DA" w:rsidRPr="006D1E2C" w:rsidRDefault="00BA72DA" w:rsidP="00BA72DA">
                  <w:pPr>
                    <w:pStyle w:val="Bezatstarpm"/>
                    <w:jc w:val="both"/>
                    <w:rPr>
                      <w:rFonts w:ascii="Times New Roman" w:hAnsi="Times New Roman" w:cs="Times New Roman"/>
                      <w:sz w:val="24"/>
                      <w:szCs w:val="24"/>
                    </w:rPr>
                  </w:pPr>
                </w:p>
              </w:tc>
              <w:tc>
                <w:tcPr>
                  <w:tcW w:w="1296" w:type="dxa"/>
                </w:tcPr>
                <w:p w:rsidR="00BA72DA" w:rsidRDefault="00BA72DA" w:rsidP="00BA72DA">
                  <w:pPr>
                    <w:pStyle w:val="Bezatstarpm"/>
                    <w:jc w:val="both"/>
                    <w:rPr>
                      <w:rFonts w:ascii="Times New Roman" w:hAnsi="Times New Roman" w:cs="Times New Roman"/>
                      <w:sz w:val="24"/>
                      <w:szCs w:val="24"/>
                    </w:rPr>
                  </w:pPr>
                  <w:r>
                    <w:rPr>
                      <w:rFonts w:ascii="Times New Roman" w:hAnsi="Times New Roman" w:cs="Times New Roman"/>
                      <w:sz w:val="24"/>
                      <w:szCs w:val="24"/>
                    </w:rPr>
                    <w:t>–</w:t>
                  </w:r>
                </w:p>
              </w:tc>
              <w:tc>
                <w:tcPr>
                  <w:tcW w:w="1356" w:type="dxa"/>
                </w:tcPr>
                <w:p w:rsidR="00BA72DA" w:rsidRPr="00EF09CD" w:rsidRDefault="001874F0" w:rsidP="00BA72DA">
                  <w:pPr>
                    <w:pStyle w:val="Bezatstarpm"/>
                    <w:jc w:val="both"/>
                    <w:rPr>
                      <w:rFonts w:ascii="Times New Roman" w:hAnsi="Times New Roman" w:cs="Times New Roman"/>
                      <w:b/>
                      <w:sz w:val="24"/>
                      <w:szCs w:val="24"/>
                    </w:rPr>
                  </w:pPr>
                  <w:r>
                    <w:rPr>
                      <w:rFonts w:ascii="Times New Roman" w:hAnsi="Times New Roman" w:cs="Times New Roman"/>
                      <w:b/>
                      <w:sz w:val="24"/>
                      <w:szCs w:val="24"/>
                    </w:rPr>
                    <w:t>1431,34</w:t>
                  </w:r>
                </w:p>
              </w:tc>
              <w:tc>
                <w:tcPr>
                  <w:tcW w:w="1101" w:type="dxa"/>
                </w:tcPr>
                <w:p w:rsidR="00BA72DA" w:rsidRDefault="00BA72DA" w:rsidP="00BA72DA">
                  <w:pPr>
                    <w:pStyle w:val="Bezatstarpm"/>
                    <w:jc w:val="both"/>
                    <w:rPr>
                      <w:rFonts w:ascii="Times New Roman" w:hAnsi="Times New Roman" w:cs="Times New Roman"/>
                      <w:sz w:val="24"/>
                      <w:szCs w:val="24"/>
                    </w:rPr>
                  </w:pPr>
                </w:p>
              </w:tc>
              <w:tc>
                <w:tcPr>
                  <w:tcW w:w="1296" w:type="dxa"/>
                </w:tcPr>
                <w:p w:rsidR="00BA72DA" w:rsidRPr="005A12BF" w:rsidRDefault="000A7742" w:rsidP="00BA72DA">
                  <w:pPr>
                    <w:pStyle w:val="Bezatstarpm"/>
                    <w:jc w:val="both"/>
                    <w:rPr>
                      <w:rFonts w:ascii="Times New Roman" w:hAnsi="Times New Roman" w:cs="Times New Roman"/>
                      <w:b/>
                      <w:sz w:val="24"/>
                      <w:szCs w:val="24"/>
                    </w:rPr>
                  </w:pPr>
                  <w:r>
                    <w:rPr>
                      <w:rFonts w:ascii="Times New Roman" w:hAnsi="Times New Roman" w:cs="Times New Roman"/>
                      <w:b/>
                      <w:sz w:val="24"/>
                      <w:szCs w:val="24"/>
                    </w:rPr>
                    <w:t>1073,52</w:t>
                  </w:r>
                </w:p>
              </w:tc>
            </w:tr>
          </w:tbl>
          <w:p w:rsidR="00702282" w:rsidRPr="009E47B9" w:rsidRDefault="006B47D2" w:rsidP="00973724">
            <w:pPr>
              <w:pStyle w:val="Bezatstarpm"/>
              <w:jc w:val="both"/>
              <w:rPr>
                <w:rFonts w:ascii="Times New Roman" w:hAnsi="Times New Roman" w:cs="Times New Roman"/>
              </w:rPr>
            </w:pPr>
            <w:r w:rsidRPr="00CC31DB">
              <w:rPr>
                <w:rFonts w:ascii="Times New Roman" w:hAnsi="Times New Roman" w:cs="Times New Roman"/>
                <w:sz w:val="24"/>
                <w:szCs w:val="24"/>
              </w:rPr>
              <w:t>Rīkojuma projekta pieņemšana problēmu atrisinās pilnībā.</w:t>
            </w:r>
          </w:p>
        </w:tc>
      </w:tr>
      <w:tr w:rsidR="008F22DE" w:rsidTr="000E61C5">
        <w:trPr>
          <w:jc w:val="center"/>
        </w:trPr>
        <w:tc>
          <w:tcPr>
            <w:tcW w:w="7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3.</w:t>
            </w:r>
          </w:p>
        </w:tc>
        <w:tc>
          <w:tcPr>
            <w:tcW w:w="1970" w:type="dxa"/>
          </w:tcPr>
          <w:p w:rsidR="00702282" w:rsidRPr="0079316C"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512"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LAD</w:t>
            </w:r>
          </w:p>
        </w:tc>
      </w:tr>
      <w:tr w:rsidR="008F22DE" w:rsidTr="000E61C5">
        <w:trPr>
          <w:jc w:val="center"/>
        </w:trPr>
        <w:tc>
          <w:tcPr>
            <w:tcW w:w="7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512"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10207" w:type="dxa"/>
        <w:jc w:val="center"/>
        <w:tblLook w:val="04A0" w:firstRow="1" w:lastRow="0" w:firstColumn="1" w:lastColumn="0" w:noHBand="0" w:noVBand="1"/>
      </w:tblPr>
      <w:tblGrid>
        <w:gridCol w:w="993"/>
        <w:gridCol w:w="3119"/>
        <w:gridCol w:w="6095"/>
      </w:tblGrid>
      <w:tr w:rsidR="008F22DE" w:rsidTr="00973724">
        <w:trPr>
          <w:jc w:val="center"/>
        </w:trPr>
        <w:tc>
          <w:tcPr>
            <w:tcW w:w="10207" w:type="dxa"/>
            <w:gridSpan w:val="3"/>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8F22DE" w:rsidTr="00973724">
        <w:trPr>
          <w:jc w:val="center"/>
        </w:trPr>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702282" w:rsidRPr="0079316C"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w:t>
            </w:r>
            <w:proofErr w:type="gramStart"/>
            <w:r w:rsidRPr="0079316C">
              <w:rPr>
                <w:rFonts w:ascii="Times New Roman" w:hAnsi="Times New Roman" w:cs="Times New Roman"/>
                <w:sz w:val="24"/>
                <w:szCs w:val="24"/>
                <w:lang w:eastAsia="lv-LV"/>
              </w:rPr>
              <w:t xml:space="preserve"> vai varētu ietekmēt</w:t>
            </w:r>
            <w:proofErr w:type="gramEnd"/>
          </w:p>
        </w:tc>
        <w:tc>
          <w:tcPr>
            <w:tcW w:w="6095" w:type="dxa"/>
          </w:tcPr>
          <w:p w:rsidR="00702282" w:rsidRDefault="006B47D2" w:rsidP="008642D2">
            <w:pPr>
              <w:jc w:val="both"/>
            </w:pPr>
            <w:r>
              <w:t>Sabiedrības mērķgrupa ir lauksaimniecības dzīvnieku īpašnie</w:t>
            </w:r>
            <w:r w:rsidR="008642D2">
              <w:t>ki</w:t>
            </w:r>
            <w:r>
              <w:t xml:space="preserve"> SIA “Druvas </w:t>
            </w:r>
            <w:proofErr w:type="spellStart"/>
            <w:r>
              <w:t>Unguri</w:t>
            </w:r>
            <w:proofErr w:type="spellEnd"/>
            <w:r>
              <w:t>”</w:t>
            </w:r>
            <w:r w:rsidR="008642D2">
              <w:t xml:space="preserve">, </w:t>
            </w:r>
            <w:r w:rsidR="008642D2">
              <w:rPr>
                <w:bCs/>
              </w:rPr>
              <w:t xml:space="preserve">Anda Didrihsone, </w:t>
            </w:r>
            <w:proofErr w:type="spellStart"/>
            <w:r w:rsidR="008642D2">
              <w:rPr>
                <w:bCs/>
              </w:rPr>
              <w:t>Velerijs</w:t>
            </w:r>
            <w:proofErr w:type="spellEnd"/>
            <w:r w:rsidR="008642D2">
              <w:rPr>
                <w:bCs/>
              </w:rPr>
              <w:t xml:space="preserve"> </w:t>
            </w:r>
            <w:proofErr w:type="spellStart"/>
            <w:r w:rsidR="008642D2">
              <w:rPr>
                <w:bCs/>
              </w:rPr>
              <w:t>Boreiko</w:t>
            </w:r>
            <w:proofErr w:type="spellEnd"/>
            <w:r w:rsidR="008642D2">
              <w:rPr>
                <w:bCs/>
              </w:rPr>
              <w:t>, IK “</w:t>
            </w:r>
            <w:proofErr w:type="spellStart"/>
            <w:r w:rsidR="008642D2">
              <w:rPr>
                <w:bCs/>
              </w:rPr>
              <w:t>Papīrpuse</w:t>
            </w:r>
            <w:proofErr w:type="spellEnd"/>
            <w:r w:rsidR="008642D2">
              <w:rPr>
                <w:bCs/>
              </w:rPr>
              <w:t xml:space="preserve">” un Viktorija </w:t>
            </w:r>
            <w:proofErr w:type="spellStart"/>
            <w:r w:rsidR="008642D2">
              <w:rPr>
                <w:bCs/>
              </w:rPr>
              <w:t>Daugavvanaga</w:t>
            </w:r>
            <w:proofErr w:type="spellEnd"/>
            <w:r>
              <w:t>.</w:t>
            </w:r>
          </w:p>
        </w:tc>
      </w:tr>
      <w:tr w:rsidR="008F22DE" w:rsidTr="00973724">
        <w:trPr>
          <w:jc w:val="center"/>
        </w:trPr>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702282" w:rsidRPr="0079316C"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rsidR="00702282" w:rsidRDefault="006B47D2" w:rsidP="008642D2">
            <w:pPr>
              <w:jc w:val="both"/>
            </w:pPr>
            <w:r>
              <w:t>Rīkojuma projekts paredz izmaksāt lauksaimniecības dzīvnieku īpašniekiem</w:t>
            </w:r>
            <w:r w:rsidR="00B56CBA">
              <w:t xml:space="preserve"> </w:t>
            </w:r>
            <w:r w:rsidR="008642D2" w:rsidRPr="008642D2">
              <w:rPr>
                <w:b/>
              </w:rPr>
              <w:t>69 678,41</w:t>
            </w:r>
            <w:r>
              <w:t xml:space="preserve"> </w:t>
            </w:r>
            <w:proofErr w:type="spellStart"/>
            <w:r w:rsidRPr="00B56CBA">
              <w:rPr>
                <w:b/>
                <w:i/>
              </w:rPr>
              <w:t>euro</w:t>
            </w:r>
            <w:proofErr w:type="spellEnd"/>
            <w:r>
              <w:t>.</w:t>
            </w:r>
          </w:p>
        </w:tc>
      </w:tr>
      <w:tr w:rsidR="008F22DE" w:rsidTr="00973724">
        <w:trPr>
          <w:jc w:val="center"/>
        </w:trPr>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rsidR="00702282" w:rsidRPr="0039467E" w:rsidRDefault="006B47D2" w:rsidP="00973724">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8F22DE" w:rsidTr="00973724">
        <w:trPr>
          <w:jc w:val="center"/>
        </w:trPr>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rsidR="00702282" w:rsidRPr="0039467E" w:rsidRDefault="006B47D2" w:rsidP="00973724">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8F22DE" w:rsidTr="00973724">
        <w:trPr>
          <w:jc w:val="center"/>
        </w:trPr>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10212" w:type="dxa"/>
        <w:jc w:val="center"/>
        <w:tblLayout w:type="fixed"/>
        <w:tblLook w:val="04A0" w:firstRow="1" w:lastRow="0" w:firstColumn="1" w:lastColumn="0" w:noHBand="0" w:noVBand="1"/>
      </w:tblPr>
      <w:tblGrid>
        <w:gridCol w:w="1849"/>
        <w:gridCol w:w="992"/>
        <w:gridCol w:w="1270"/>
        <w:gridCol w:w="993"/>
        <w:gridCol w:w="1275"/>
        <w:gridCol w:w="1134"/>
        <w:gridCol w:w="1276"/>
        <w:gridCol w:w="1423"/>
      </w:tblGrid>
      <w:tr w:rsidR="008F22DE" w:rsidTr="007F5DA9">
        <w:trPr>
          <w:jc w:val="center"/>
        </w:trPr>
        <w:tc>
          <w:tcPr>
            <w:tcW w:w="10212" w:type="dxa"/>
            <w:gridSpan w:val="8"/>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8F22DE" w:rsidTr="007F5DA9">
        <w:trPr>
          <w:jc w:val="center"/>
        </w:trPr>
        <w:tc>
          <w:tcPr>
            <w:tcW w:w="1849" w:type="dxa"/>
            <w:vMerge w:val="restart"/>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rsidR="00702282" w:rsidRDefault="006B47D2" w:rsidP="004D523E">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201</w:t>
            </w:r>
            <w:r w:rsidR="004D523E">
              <w:rPr>
                <w:rFonts w:ascii="Times New Roman" w:hAnsi="Times New Roman" w:cs="Times New Roman"/>
                <w:sz w:val="24"/>
                <w:szCs w:val="24"/>
                <w:lang w:eastAsia="lv-LV"/>
              </w:rPr>
              <w:t>9</w:t>
            </w:r>
            <w:r>
              <w:rPr>
                <w:rFonts w:ascii="Times New Roman" w:hAnsi="Times New Roman" w:cs="Times New Roman"/>
                <w:sz w:val="24"/>
                <w:szCs w:val="24"/>
                <w:lang w:eastAsia="lv-LV"/>
              </w:rPr>
              <w:t xml:space="preserve">. </w:t>
            </w:r>
            <w:r w:rsidRPr="0079316C">
              <w:rPr>
                <w:rFonts w:ascii="Times New Roman" w:hAnsi="Times New Roman" w:cs="Times New Roman"/>
                <w:sz w:val="24"/>
                <w:szCs w:val="24"/>
                <w:lang w:eastAsia="lv-LV"/>
              </w:rPr>
              <w:t>gads</w:t>
            </w:r>
          </w:p>
        </w:tc>
        <w:tc>
          <w:tcPr>
            <w:tcW w:w="6101" w:type="dxa"/>
            <w:gridSpan w:val="5"/>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Turpmākie trīs gadi (</w:t>
            </w:r>
            <w:proofErr w:type="spellStart"/>
            <w:r w:rsidRPr="0079316C">
              <w:rPr>
                <w:rFonts w:ascii="Times New Roman" w:hAnsi="Times New Roman" w:cs="Times New Roman"/>
                <w:i/>
                <w:iCs/>
                <w:sz w:val="24"/>
                <w:szCs w:val="24"/>
                <w:lang w:eastAsia="lv-LV"/>
              </w:rPr>
              <w:t>euro</w:t>
            </w:r>
            <w:proofErr w:type="spellEnd"/>
            <w:r w:rsidRPr="0079316C">
              <w:rPr>
                <w:rFonts w:ascii="Times New Roman" w:hAnsi="Times New Roman" w:cs="Times New Roman"/>
                <w:sz w:val="24"/>
                <w:szCs w:val="24"/>
                <w:lang w:eastAsia="lv-LV"/>
              </w:rPr>
              <w:t>)</w:t>
            </w:r>
          </w:p>
        </w:tc>
      </w:tr>
      <w:tr w:rsidR="008F22DE" w:rsidTr="007F5DA9">
        <w:trPr>
          <w:jc w:val="center"/>
        </w:trPr>
        <w:tc>
          <w:tcPr>
            <w:tcW w:w="1849" w:type="dxa"/>
            <w:vMerge/>
          </w:tcPr>
          <w:p w:rsidR="00702282" w:rsidRDefault="00702282" w:rsidP="00973724">
            <w:pPr>
              <w:pStyle w:val="Bezatstarpm"/>
              <w:rPr>
                <w:rFonts w:ascii="Times New Roman" w:hAnsi="Times New Roman" w:cs="Times New Roman"/>
                <w:sz w:val="24"/>
                <w:szCs w:val="24"/>
                <w:lang w:eastAsia="lv-LV"/>
              </w:rPr>
            </w:pPr>
          </w:p>
        </w:tc>
        <w:tc>
          <w:tcPr>
            <w:tcW w:w="2262" w:type="dxa"/>
            <w:gridSpan w:val="2"/>
            <w:vMerge/>
          </w:tcPr>
          <w:p w:rsidR="00702282" w:rsidRDefault="00702282" w:rsidP="00973724">
            <w:pPr>
              <w:pStyle w:val="Bezatstarpm"/>
              <w:rPr>
                <w:rFonts w:ascii="Times New Roman" w:hAnsi="Times New Roman" w:cs="Times New Roman"/>
                <w:sz w:val="24"/>
                <w:szCs w:val="24"/>
                <w:lang w:eastAsia="lv-LV"/>
              </w:rPr>
            </w:pPr>
          </w:p>
        </w:tc>
        <w:tc>
          <w:tcPr>
            <w:tcW w:w="2268" w:type="dxa"/>
            <w:gridSpan w:val="2"/>
          </w:tcPr>
          <w:p w:rsidR="00702282" w:rsidRDefault="006B47D2" w:rsidP="004D523E">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w:t>
            </w:r>
            <w:r w:rsidR="004D523E">
              <w:rPr>
                <w:rFonts w:ascii="Times New Roman" w:hAnsi="Times New Roman" w:cs="Times New Roman"/>
                <w:sz w:val="24"/>
                <w:szCs w:val="24"/>
                <w:lang w:eastAsia="lv-LV"/>
              </w:rPr>
              <w:t>20</w:t>
            </w:r>
            <w:r>
              <w:rPr>
                <w:rFonts w:ascii="Times New Roman" w:hAnsi="Times New Roman" w:cs="Times New Roman"/>
                <w:sz w:val="24"/>
                <w:szCs w:val="24"/>
                <w:lang w:eastAsia="lv-LV"/>
              </w:rPr>
              <w:t>.</w:t>
            </w:r>
            <w:r w:rsidR="004D523E">
              <w:rPr>
                <w:rFonts w:ascii="Times New Roman" w:hAnsi="Times New Roman" w:cs="Times New Roman"/>
                <w:sz w:val="24"/>
                <w:szCs w:val="24"/>
                <w:lang w:eastAsia="lv-LV"/>
              </w:rPr>
              <w:t> </w:t>
            </w:r>
            <w:r>
              <w:rPr>
                <w:rFonts w:ascii="Times New Roman" w:hAnsi="Times New Roman" w:cs="Times New Roman"/>
                <w:sz w:val="24"/>
                <w:szCs w:val="24"/>
                <w:lang w:eastAsia="lv-LV"/>
              </w:rPr>
              <w:t>gads</w:t>
            </w:r>
          </w:p>
        </w:tc>
        <w:tc>
          <w:tcPr>
            <w:tcW w:w="2410" w:type="dxa"/>
            <w:gridSpan w:val="2"/>
          </w:tcPr>
          <w:p w:rsidR="00702282" w:rsidRDefault="006B47D2" w:rsidP="004D523E">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w:t>
            </w:r>
            <w:r w:rsidR="004D523E">
              <w:rPr>
                <w:rFonts w:ascii="Times New Roman" w:hAnsi="Times New Roman" w:cs="Times New Roman"/>
                <w:sz w:val="24"/>
                <w:szCs w:val="24"/>
                <w:lang w:eastAsia="lv-LV"/>
              </w:rPr>
              <w:t>1</w:t>
            </w:r>
            <w:r>
              <w:rPr>
                <w:rFonts w:ascii="Times New Roman" w:hAnsi="Times New Roman" w:cs="Times New Roman"/>
                <w:sz w:val="24"/>
                <w:szCs w:val="24"/>
                <w:lang w:eastAsia="lv-LV"/>
              </w:rPr>
              <w:t>.</w:t>
            </w:r>
            <w:r w:rsidR="004D523E">
              <w:rPr>
                <w:rFonts w:ascii="Times New Roman" w:hAnsi="Times New Roman" w:cs="Times New Roman"/>
                <w:sz w:val="24"/>
                <w:szCs w:val="24"/>
                <w:lang w:eastAsia="lv-LV"/>
              </w:rPr>
              <w:t> </w:t>
            </w:r>
            <w:r>
              <w:rPr>
                <w:rFonts w:ascii="Times New Roman" w:hAnsi="Times New Roman" w:cs="Times New Roman"/>
                <w:sz w:val="24"/>
                <w:szCs w:val="24"/>
                <w:lang w:eastAsia="lv-LV"/>
              </w:rPr>
              <w:t>gads</w:t>
            </w:r>
          </w:p>
        </w:tc>
        <w:tc>
          <w:tcPr>
            <w:tcW w:w="1423" w:type="dxa"/>
          </w:tcPr>
          <w:p w:rsidR="00702282" w:rsidRDefault="006B47D2" w:rsidP="004D523E">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202</w:t>
            </w:r>
            <w:r w:rsidR="004D523E">
              <w:rPr>
                <w:rFonts w:ascii="Times New Roman" w:hAnsi="Times New Roman" w:cs="Times New Roman"/>
                <w:sz w:val="24"/>
                <w:szCs w:val="24"/>
                <w:lang w:eastAsia="lv-LV"/>
              </w:rPr>
              <w:t>2</w:t>
            </w:r>
            <w:r>
              <w:rPr>
                <w:rFonts w:ascii="Times New Roman" w:hAnsi="Times New Roman" w:cs="Times New Roman"/>
                <w:sz w:val="24"/>
                <w:szCs w:val="24"/>
                <w:lang w:eastAsia="lv-LV"/>
              </w:rPr>
              <w:t>.</w:t>
            </w:r>
            <w:r w:rsidR="004D523E">
              <w:rPr>
                <w:rFonts w:ascii="Times New Roman" w:hAnsi="Times New Roman" w:cs="Times New Roman"/>
                <w:sz w:val="24"/>
                <w:szCs w:val="24"/>
                <w:lang w:eastAsia="lv-LV"/>
              </w:rPr>
              <w:t> </w:t>
            </w:r>
            <w:r>
              <w:rPr>
                <w:rFonts w:ascii="Times New Roman" w:hAnsi="Times New Roman" w:cs="Times New Roman"/>
                <w:sz w:val="24"/>
                <w:szCs w:val="24"/>
                <w:lang w:eastAsia="lv-LV"/>
              </w:rPr>
              <w:t>gads</w:t>
            </w:r>
          </w:p>
        </w:tc>
      </w:tr>
      <w:tr w:rsidR="008F22DE" w:rsidTr="007F5DA9">
        <w:trPr>
          <w:jc w:val="center"/>
        </w:trPr>
        <w:tc>
          <w:tcPr>
            <w:tcW w:w="1849" w:type="dxa"/>
            <w:vMerge/>
          </w:tcPr>
          <w:p w:rsidR="00702282" w:rsidRDefault="00702282" w:rsidP="00973724">
            <w:pPr>
              <w:pStyle w:val="Bezatstarpm"/>
              <w:rPr>
                <w:rFonts w:ascii="Times New Roman" w:hAnsi="Times New Roman" w:cs="Times New Roman"/>
                <w:sz w:val="24"/>
                <w:szCs w:val="24"/>
                <w:lang w:eastAsia="lv-LV"/>
              </w:rPr>
            </w:pPr>
          </w:p>
        </w:tc>
        <w:tc>
          <w:tcPr>
            <w:tcW w:w="992"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valsts budžetu kārtējam gadam</w:t>
            </w:r>
          </w:p>
        </w:tc>
        <w:tc>
          <w:tcPr>
            <w:tcW w:w="1270"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izmaiņas kārtējā gadā, salīdzinot ar valsts budžetu kārtējam gadam</w:t>
            </w:r>
          </w:p>
        </w:tc>
        <w:tc>
          <w:tcPr>
            <w:tcW w:w="993"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5" w:type="dxa"/>
          </w:tcPr>
          <w:p w:rsidR="00702282"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2019.</w:t>
            </w:r>
            <w:r w:rsidRPr="0079316C">
              <w:rPr>
                <w:rFonts w:ascii="Times New Roman" w:hAnsi="Times New Roman" w:cs="Times New Roman"/>
                <w:sz w:val="24"/>
                <w:szCs w:val="24"/>
                <w:lang w:eastAsia="lv-LV"/>
              </w:rPr>
              <w:t xml:space="preserve"> gadam</w:t>
            </w:r>
          </w:p>
        </w:tc>
        <w:tc>
          <w:tcPr>
            <w:tcW w:w="1134"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saskaņā ar vidēja termiņa budžeta ietvaru</w:t>
            </w:r>
          </w:p>
        </w:tc>
        <w:tc>
          <w:tcPr>
            <w:tcW w:w="1276"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2020.</w:t>
            </w:r>
            <w:r w:rsidRPr="0079316C">
              <w:rPr>
                <w:rFonts w:ascii="Times New Roman" w:hAnsi="Times New Roman" w:cs="Times New Roman"/>
                <w:sz w:val="24"/>
                <w:szCs w:val="24"/>
                <w:lang w:eastAsia="lv-LV"/>
              </w:rPr>
              <w:t xml:space="preserve"> gadam</w:t>
            </w:r>
          </w:p>
        </w:tc>
        <w:tc>
          <w:tcPr>
            <w:tcW w:w="1423"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izmaiņas, salīdzinot ar vidēja termiņa budžeta ietvaru </w:t>
            </w:r>
            <w:r>
              <w:rPr>
                <w:rFonts w:ascii="Times New Roman" w:hAnsi="Times New Roman" w:cs="Times New Roman"/>
                <w:sz w:val="24"/>
                <w:szCs w:val="24"/>
                <w:lang w:eastAsia="lv-LV"/>
              </w:rPr>
              <w:t>2021.</w:t>
            </w:r>
            <w:r w:rsidRPr="0079316C">
              <w:rPr>
                <w:rFonts w:ascii="Times New Roman" w:hAnsi="Times New Roman" w:cs="Times New Roman"/>
                <w:sz w:val="24"/>
                <w:szCs w:val="24"/>
                <w:lang w:eastAsia="lv-LV"/>
              </w:rPr>
              <w:t xml:space="preserve"> gadam</w:t>
            </w:r>
          </w:p>
        </w:tc>
      </w:tr>
      <w:tr w:rsidR="008F22DE" w:rsidTr="007F5DA9">
        <w:trPr>
          <w:jc w:val="center"/>
        </w:trPr>
        <w:tc>
          <w:tcPr>
            <w:tcW w:w="1849"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1134"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423" w:type="dxa"/>
            <w:vAlign w:val="center"/>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8F22DE" w:rsidTr="007F5DA9">
        <w:trPr>
          <w:jc w:val="center"/>
        </w:trPr>
        <w:tc>
          <w:tcPr>
            <w:tcW w:w="1849"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702282" w:rsidRPr="000813D4" w:rsidRDefault="004D523E" w:rsidP="000A7742">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1</w:t>
            </w:r>
            <w:r w:rsidR="000A7742" w:rsidRPr="000813D4">
              <w:rPr>
                <w:rFonts w:ascii="Times New Roman" w:hAnsi="Times New Roman" w:cs="Times New Roman"/>
                <w:sz w:val="24"/>
                <w:szCs w:val="24"/>
                <w:lang w:eastAsia="lv-LV"/>
              </w:rPr>
              <w:t>073</w:t>
            </w:r>
          </w:p>
        </w:tc>
        <w:tc>
          <w:tcPr>
            <w:tcW w:w="1275"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702282" w:rsidRDefault="006B47D2" w:rsidP="00973724">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Pr="000813D4" w:rsidRDefault="004D523E" w:rsidP="000A7742">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1</w:t>
            </w:r>
            <w:r w:rsidR="000A7742" w:rsidRPr="000813D4">
              <w:rPr>
                <w:rFonts w:ascii="Times New Roman" w:hAnsi="Times New Roman" w:cs="Times New Roman"/>
                <w:sz w:val="24"/>
                <w:szCs w:val="24"/>
                <w:lang w:eastAsia="lv-LV"/>
              </w:rPr>
              <w:t>073</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1.2. valsts speciālais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4D523E"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69 679</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2.1. valsts pamatbudžets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4D523E"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69 679</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4D523E">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D523E" w:rsidRPr="000813D4">
              <w:rPr>
                <w:rFonts w:ascii="Times New Roman" w:hAnsi="Times New Roman" w:cs="Times New Roman"/>
                <w:sz w:val="24"/>
              </w:rPr>
              <w:t>69 679</w:t>
            </w:r>
          </w:p>
        </w:tc>
        <w:tc>
          <w:tcPr>
            <w:tcW w:w="993" w:type="dxa"/>
          </w:tcPr>
          <w:p w:rsidR="00B56CBA" w:rsidRPr="000813D4" w:rsidRDefault="004D523E" w:rsidP="000A7742">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1</w:t>
            </w:r>
            <w:r w:rsidR="000A7742" w:rsidRPr="000813D4">
              <w:rPr>
                <w:rFonts w:ascii="Times New Roman" w:hAnsi="Times New Roman" w:cs="Times New Roman"/>
                <w:sz w:val="24"/>
                <w:szCs w:val="24"/>
                <w:lang w:eastAsia="lv-LV"/>
              </w:rPr>
              <w:t>073</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4D523E">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D523E" w:rsidRPr="000813D4">
              <w:rPr>
                <w:rFonts w:ascii="Times New Roman" w:hAnsi="Times New Roman" w:cs="Times New Roman"/>
                <w:sz w:val="24"/>
              </w:rPr>
              <w:t>69 679</w:t>
            </w:r>
          </w:p>
        </w:tc>
        <w:tc>
          <w:tcPr>
            <w:tcW w:w="993" w:type="dxa"/>
          </w:tcPr>
          <w:p w:rsidR="00B56CBA" w:rsidRPr="000813D4" w:rsidRDefault="004D523E" w:rsidP="000A7742">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1</w:t>
            </w:r>
            <w:r w:rsidR="000A7742" w:rsidRPr="000813D4">
              <w:rPr>
                <w:rFonts w:ascii="Times New Roman" w:hAnsi="Times New Roman" w:cs="Times New Roman"/>
                <w:sz w:val="24"/>
                <w:szCs w:val="24"/>
                <w:lang w:eastAsia="lv-LV"/>
              </w:rPr>
              <w:t>073</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B56CBA" w:rsidRPr="000813D4" w:rsidRDefault="006B47D2" w:rsidP="004D523E">
            <w:pPr>
              <w:pStyle w:val="Bezatstarpm"/>
              <w:rPr>
                <w:rFonts w:ascii="Times New Roman" w:hAnsi="Times New Roman" w:cs="Times New Roman"/>
                <w:sz w:val="24"/>
                <w:szCs w:val="24"/>
                <w:lang w:eastAsia="lv-LV"/>
              </w:rPr>
            </w:pPr>
            <w:r w:rsidRPr="000813D4">
              <w:rPr>
                <w:rFonts w:ascii="Times New Roman" w:hAnsi="Times New Roman" w:cs="Times New Roman"/>
                <w:sz w:val="24"/>
              </w:rPr>
              <w:t>+</w:t>
            </w:r>
            <w:r w:rsidR="004D523E" w:rsidRPr="000813D4">
              <w:rPr>
                <w:rFonts w:ascii="Times New Roman" w:hAnsi="Times New Roman" w:cs="Times New Roman"/>
                <w:sz w:val="24"/>
              </w:rPr>
              <w:t>69 679</w:t>
            </w:r>
          </w:p>
        </w:tc>
        <w:tc>
          <w:tcPr>
            <w:tcW w:w="993" w:type="dxa"/>
          </w:tcPr>
          <w:p w:rsidR="00B56CBA" w:rsidRPr="000813D4" w:rsidRDefault="006B47D2" w:rsidP="00B56CBA">
            <w:pPr>
              <w:pStyle w:val="Bezatstarpm"/>
              <w:rPr>
                <w:rFonts w:ascii="Times New Roman" w:hAnsi="Times New Roman" w:cs="Times New Roman"/>
                <w:sz w:val="24"/>
                <w:szCs w:val="24"/>
                <w:lang w:eastAsia="lv-LV"/>
              </w:rPr>
            </w:pPr>
            <w:r w:rsidRPr="000813D4">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val="restart"/>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rsidR="00B56CBA" w:rsidRDefault="00B56CBA" w:rsidP="00B56CBA">
            <w:pPr>
              <w:pStyle w:val="Bezatstarpm"/>
              <w:rPr>
                <w:rFonts w:ascii="Times New Roman" w:hAnsi="Times New Roman" w:cs="Times New Roman"/>
                <w:sz w:val="24"/>
                <w:szCs w:val="24"/>
                <w:lang w:eastAsia="lv-LV"/>
              </w:rPr>
            </w:pPr>
          </w:p>
        </w:tc>
        <w:tc>
          <w:tcPr>
            <w:tcW w:w="1270"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rsidR="00B56CBA" w:rsidRDefault="00B56CBA" w:rsidP="00B56CBA">
            <w:pPr>
              <w:pStyle w:val="Bezatstarpm"/>
              <w:rPr>
                <w:rFonts w:ascii="Times New Roman" w:hAnsi="Times New Roman" w:cs="Times New Roman"/>
                <w:sz w:val="24"/>
                <w:szCs w:val="24"/>
                <w:lang w:eastAsia="lv-LV"/>
              </w:rPr>
            </w:pPr>
          </w:p>
        </w:tc>
        <w:tc>
          <w:tcPr>
            <w:tcW w:w="1275"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134" w:type="dxa"/>
            <w:vMerge/>
          </w:tcPr>
          <w:p w:rsidR="00B56CBA" w:rsidRDefault="00B56CBA" w:rsidP="00B56CBA">
            <w:pPr>
              <w:pStyle w:val="Bezatstarpm"/>
              <w:rPr>
                <w:rFonts w:ascii="Times New Roman" w:hAnsi="Times New Roman" w:cs="Times New Roman"/>
                <w:sz w:val="24"/>
                <w:szCs w:val="24"/>
                <w:lang w:eastAsia="lv-LV"/>
              </w:rPr>
            </w:pPr>
          </w:p>
        </w:tc>
        <w:tc>
          <w:tcPr>
            <w:tcW w:w="1276"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423" w:type="dxa"/>
          </w:tcPr>
          <w:p w:rsidR="00B56CBA" w:rsidRDefault="006B47D2" w:rsidP="00B56CBA">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6. Detalizēts ieņēmumu un izdevumu aprēķins (ja nepieciešams, detalizētu ieņēmumu un izdevumu aprēķinu var pievienot </w:t>
            </w:r>
            <w:r w:rsidRPr="0079316C">
              <w:rPr>
                <w:rFonts w:ascii="Times New Roman" w:hAnsi="Times New Roman" w:cs="Times New Roman"/>
                <w:sz w:val="24"/>
                <w:szCs w:val="24"/>
                <w:lang w:eastAsia="lv-LV"/>
              </w:rPr>
              <w:lastRenderedPageBreak/>
              <w:t>anotācijas pielikumā)</w:t>
            </w:r>
          </w:p>
        </w:tc>
        <w:tc>
          <w:tcPr>
            <w:tcW w:w="8363" w:type="dxa"/>
            <w:gridSpan w:val="7"/>
            <w:vMerge w:val="restart"/>
          </w:tcPr>
          <w:p w:rsidR="00B56CBA" w:rsidRPr="00787C3C" w:rsidRDefault="006B47D2" w:rsidP="00B56CBA">
            <w:pPr>
              <w:jc w:val="both"/>
            </w:pPr>
            <w:r w:rsidRPr="00787C3C">
              <w:lastRenderedPageBreak/>
              <w:t>Ar rīkojuma projektu tiek paredzēta kompensācijas izmaksa</w:t>
            </w:r>
            <w:r w:rsidR="0014013A">
              <w:t xml:space="preserve"> </w:t>
            </w:r>
            <w:r w:rsidR="007F5DA9" w:rsidRPr="00623E77">
              <w:rPr>
                <w:b/>
              </w:rPr>
              <w:t xml:space="preserve">SIA “Druvas </w:t>
            </w:r>
            <w:proofErr w:type="spellStart"/>
            <w:r w:rsidR="007F5DA9" w:rsidRPr="00623E77">
              <w:rPr>
                <w:b/>
              </w:rPr>
              <w:t>Unguri</w:t>
            </w:r>
            <w:proofErr w:type="spellEnd"/>
            <w:r w:rsidR="007F5DA9" w:rsidRPr="00623E77">
              <w:rPr>
                <w:b/>
              </w:rPr>
              <w:t>”</w:t>
            </w:r>
            <w:r w:rsidR="007F5DA9">
              <w:t xml:space="preserve"> 67 810,15 </w:t>
            </w:r>
            <w:proofErr w:type="spellStart"/>
            <w:r w:rsidR="007F5DA9" w:rsidRPr="007F5DA9">
              <w:rPr>
                <w:i/>
              </w:rPr>
              <w:t>euro</w:t>
            </w:r>
            <w:proofErr w:type="spellEnd"/>
            <w:r w:rsidR="007F5DA9">
              <w:t xml:space="preserve"> apmērā, t.sk. 12 050,89 </w:t>
            </w:r>
            <w:proofErr w:type="spellStart"/>
            <w:r w:rsidR="007F5DA9" w:rsidRPr="007F5DA9">
              <w:rPr>
                <w:i/>
              </w:rPr>
              <w:t>euro</w:t>
            </w:r>
            <w:proofErr w:type="spellEnd"/>
            <w:r w:rsidR="007F5DA9">
              <w:t xml:space="preserve"> par atsauktajiem uz iznīcinātajiem kautķermeņiem un dzīvnieku izcelsmes pārtikas produktiem un 55 759,26 </w:t>
            </w:r>
            <w:proofErr w:type="spellStart"/>
            <w:r w:rsidR="007F5DA9" w:rsidRPr="007F5DA9">
              <w:rPr>
                <w:i/>
              </w:rPr>
              <w:t>euro</w:t>
            </w:r>
            <w:proofErr w:type="spellEnd"/>
            <w:r w:rsidR="007F5DA9">
              <w:t xml:space="preserve"> par iznīcināto dzīvnieku barību un barības sastāvdaļām.</w:t>
            </w:r>
          </w:p>
          <w:p w:rsidR="00B56CBA" w:rsidRDefault="006B47D2" w:rsidP="00B56CBA">
            <w:pPr>
              <w:jc w:val="both"/>
            </w:pPr>
            <w:r w:rsidRPr="00787C3C">
              <w:t>Atbilstoši PVD inspektora</w:t>
            </w:r>
            <w:r>
              <w:t xml:space="preserve"> </w:t>
            </w:r>
            <w:r w:rsidRPr="00787C3C">
              <w:t>aktā Nr.</w:t>
            </w:r>
            <w:r w:rsidR="007F5DA9">
              <w:t>64-18/10</w:t>
            </w:r>
            <w:r>
              <w:t xml:space="preserve"> (dzīvnieku īpašnie</w:t>
            </w:r>
            <w:r w:rsidR="007F5DA9">
              <w:t>ks</w:t>
            </w:r>
            <w:r>
              <w:t xml:space="preserve"> iepazinies</w:t>
            </w:r>
            <w:r w:rsidRPr="00787C3C">
              <w:t xml:space="preserve"> </w:t>
            </w:r>
            <w:r>
              <w:t xml:space="preserve">2018. gada </w:t>
            </w:r>
            <w:r w:rsidR="007F5DA9">
              <w:t>10</w:t>
            </w:r>
            <w:r>
              <w:t>. </w:t>
            </w:r>
            <w:r w:rsidR="007F5DA9">
              <w:t>oktobrī</w:t>
            </w:r>
            <w:r>
              <w:t>)</w:t>
            </w:r>
            <w:r w:rsidRPr="00787C3C">
              <w:t xml:space="preserve"> norādītajai informācijai </w:t>
            </w:r>
            <w:r w:rsidR="00074FF4">
              <w:t xml:space="preserve">SIA “Druvas </w:t>
            </w:r>
            <w:proofErr w:type="spellStart"/>
            <w:r w:rsidR="00074FF4">
              <w:t>Unguri</w:t>
            </w:r>
            <w:proofErr w:type="spellEnd"/>
            <w:r w:rsidR="00074FF4">
              <w:t>” atsauktas</w:t>
            </w:r>
            <w:proofErr w:type="gramStart"/>
            <w:r w:rsidR="00074FF4">
              <w:t xml:space="preserve"> un</w:t>
            </w:r>
            <w:proofErr w:type="gramEnd"/>
            <w:r w:rsidR="00074FF4">
              <w:t xml:space="preserve"> iznīcinātas 2,7499 tonnas dzīvnieku kautķermeņu un dzīvnieku izcelsmes pārtikas produktu. SIA “Druvas </w:t>
            </w:r>
            <w:proofErr w:type="spellStart"/>
            <w:r w:rsidR="00074FF4">
              <w:t>Unguri</w:t>
            </w:r>
            <w:proofErr w:type="spellEnd"/>
            <w:r w:rsidR="00074FF4">
              <w:t xml:space="preserve">” LAD iesniedza pavadzīmes, ar ko tika atsaukti dzīvnieku liemeņi un dzīvnieku izcelsmes pārtikas produkti, kā arī skaidrojumu, kādēļ no Mairitas </w:t>
            </w:r>
            <w:proofErr w:type="spellStart"/>
            <w:r w:rsidR="00074FF4">
              <w:t>Zīriņas</w:t>
            </w:r>
            <w:proofErr w:type="spellEnd"/>
            <w:r w:rsidR="00074FF4">
              <w:t xml:space="preserve"> par atsauktajiem produktiem pavadzīmē ir norādīta viena </w:t>
            </w:r>
            <w:r w:rsidR="00074FF4">
              <w:lastRenderedPageBreak/>
              <w:t xml:space="preserve">iepirkuma cena. Līdzīgs skaidrojums tika mutiski sniegts arī par produktiem, kas tika atsaukti no Gata </w:t>
            </w:r>
            <w:proofErr w:type="spellStart"/>
            <w:r w:rsidR="00074FF4">
              <w:t>Tisena</w:t>
            </w:r>
            <w:proofErr w:type="spellEnd"/>
            <w:r w:rsidR="00074FF4">
              <w:t xml:space="preserve">. Kompensācijas apmērs aprēķināts atbilstoši pavadzīmēs norādītajai cenai bez PVN. </w:t>
            </w:r>
            <w:r w:rsidRPr="00787C3C">
              <w:t xml:space="preserve">Tā kā </w:t>
            </w:r>
            <w:r w:rsidR="00074FF4">
              <w:t xml:space="preserve">PVD </w:t>
            </w:r>
            <w:r w:rsidRPr="00787C3C">
              <w:t>aktā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074FF4">
              <w:t>kam</w:t>
            </w:r>
            <w:r w:rsidRPr="00787C3C">
              <w:t xml:space="preserve"> pienākas kompensācija </w:t>
            </w:r>
            <w:r w:rsidR="00074FF4" w:rsidRPr="00074FF4">
              <w:rPr>
                <w:b/>
              </w:rPr>
              <w:t>12 050,89</w:t>
            </w:r>
            <w:r w:rsidR="00074FF4">
              <w:t xml:space="preserve"> </w:t>
            </w:r>
            <w:proofErr w:type="spellStart"/>
            <w:r w:rsidR="00074FF4" w:rsidRPr="00074FF4">
              <w:rPr>
                <w:b/>
                <w:i/>
              </w:rPr>
              <w:t>euro</w:t>
            </w:r>
            <w:proofErr w:type="spellEnd"/>
            <w:r w:rsidR="00074FF4">
              <w:t xml:space="preserve"> </w:t>
            </w:r>
            <w:r w:rsidRPr="00787C3C">
              <w:t>apmērā.</w:t>
            </w:r>
          </w:p>
          <w:p w:rsidR="00B56CBA" w:rsidRDefault="00C96527" w:rsidP="00B56CBA">
            <w:pPr>
              <w:jc w:val="both"/>
            </w:pPr>
            <w:r w:rsidRPr="00787C3C">
              <w:t>Atbilstoši PVD inspektora</w:t>
            </w:r>
            <w:r>
              <w:t xml:space="preserve"> </w:t>
            </w:r>
            <w:r w:rsidRPr="00787C3C">
              <w:t>aktā Nr.</w:t>
            </w:r>
            <w:r>
              <w:t>64-18/8 (dzīvnieku īpašnieks iepazinies</w:t>
            </w:r>
            <w:r w:rsidRPr="00787C3C">
              <w:t xml:space="preserve"> </w:t>
            </w:r>
            <w:r>
              <w:t>2018. gada 8. oktobrī)</w:t>
            </w:r>
            <w:r w:rsidRPr="00787C3C">
              <w:t xml:space="preserve"> norādītajai informācijai </w:t>
            </w:r>
            <w:r>
              <w:t xml:space="preserve">SIA “Druvas </w:t>
            </w:r>
            <w:proofErr w:type="spellStart"/>
            <w:r>
              <w:t>Unguri</w:t>
            </w:r>
            <w:proofErr w:type="spellEnd"/>
            <w:r>
              <w:t xml:space="preserve">” iznīcinātas 161,776 tonnas dzīvnieku barības un barības sastāvdaļu. Dzīvnieku īpašnieks LAD iesniedza pavadzīmes par iepirktajām barības sastāvdaļām un barības piedevām, kā arī uz vietas novietnē gatavoto barību receptes. Dzīvnieku īpašnieks iesniegumā detalizēti ir norādījis iznīcinātās barības un barības sastāvdaļu veidus un daudzumu. Kompensācijas apmēra aprēķinos izmantotas pavadzīmēs norādītās barības un barības sastāvdaļu cenas. Uz vietas saimniecībā tika izaudzēts rapsis un no </w:t>
            </w:r>
            <w:proofErr w:type="gramStart"/>
            <w:r>
              <w:t>tā pagatavota rapša eļļa</w:t>
            </w:r>
            <w:proofErr w:type="gramEnd"/>
            <w:r>
              <w:t xml:space="preserve"> un rapša spraukumi. Dzīvnieku īpašnieks LAD iesniedza atsevišķu iesniegumu par rapša un tā produktu pašizmaksu. </w:t>
            </w:r>
            <w:r w:rsidR="006B47D2" w:rsidRPr="00834CE7">
              <w:t>Tā kā aktā par piespiedu kārtā nokautiem vai iznīcinātiem dzīvniekiem, iznīcinātiem kautķermeņiem, dzīvnieku</w:t>
            </w:r>
            <w:r w:rsidR="006B47D2"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6B47D2">
              <w:t>kam</w:t>
            </w:r>
            <w:r w:rsidR="006B47D2" w:rsidRPr="00787C3C">
              <w:t xml:space="preserve"> pienākas kompensācija</w:t>
            </w:r>
            <w:r w:rsidR="00D777BC">
              <w:t xml:space="preserve"> </w:t>
            </w:r>
            <w:r w:rsidR="00D777BC" w:rsidRPr="00D777BC">
              <w:rPr>
                <w:b/>
              </w:rPr>
              <w:t xml:space="preserve">55 759,26 </w:t>
            </w:r>
            <w:proofErr w:type="spellStart"/>
            <w:r w:rsidR="006B47D2" w:rsidRPr="00A278D5">
              <w:rPr>
                <w:b/>
                <w:i/>
              </w:rPr>
              <w:t>euro</w:t>
            </w:r>
            <w:proofErr w:type="spellEnd"/>
            <w:r w:rsidR="006B47D2" w:rsidRPr="00787C3C">
              <w:t xml:space="preserve"> apmērā.</w:t>
            </w:r>
            <w:r w:rsidR="006B47D2">
              <w:t xml:space="preserve"> </w:t>
            </w:r>
          </w:p>
          <w:p w:rsidR="00623E77" w:rsidRDefault="00623E77" w:rsidP="00623E77">
            <w:pPr>
              <w:jc w:val="both"/>
            </w:pPr>
            <w:r w:rsidRPr="00787C3C">
              <w:t>Ar rīkojuma projektu tiek paredzēta kompensācijas izmaksa</w:t>
            </w:r>
            <w:r>
              <w:t xml:space="preserve"> </w:t>
            </w:r>
            <w:r w:rsidRPr="00623E77">
              <w:rPr>
                <w:b/>
              </w:rPr>
              <w:t>Andai Didrihsonei</w:t>
            </w:r>
            <w:r>
              <w:t xml:space="preserve"> 236,74 </w:t>
            </w:r>
            <w:proofErr w:type="spellStart"/>
            <w:r w:rsidRPr="00623E77">
              <w:rPr>
                <w:i/>
              </w:rPr>
              <w:t>euro</w:t>
            </w:r>
            <w:proofErr w:type="spellEnd"/>
            <w:r>
              <w:t xml:space="preserve"> apmērā. </w:t>
            </w:r>
            <w:r w:rsidRPr="00787C3C">
              <w:t>Atbilstoši PVD inspektora</w:t>
            </w:r>
            <w:r>
              <w:t xml:space="preserve"> </w:t>
            </w:r>
            <w:r w:rsidRPr="00787C3C">
              <w:t>aktā Nr.</w:t>
            </w:r>
            <w:r>
              <w:t>2 (dzīvnieku īpašniece iepazinusies</w:t>
            </w:r>
            <w:r w:rsidRPr="00787C3C">
              <w:t xml:space="preserve"> </w:t>
            </w:r>
            <w:r>
              <w:t>2018. gada 30. oktobrī)</w:t>
            </w:r>
            <w:r w:rsidRPr="00787C3C">
              <w:t xml:space="preserve"> norādītajai informācijai</w:t>
            </w:r>
            <w:r>
              <w:t xml:space="preserve"> Andai Didrihsonei piespiedu kārtā nogalinātas un iznīcinātas 44 dējējvistas līdz 44 nedēļu vecumam</w:t>
            </w:r>
            <w:proofErr w:type="gramStart"/>
            <w:r>
              <w:t xml:space="preserve"> un</w:t>
            </w:r>
            <w:proofErr w:type="gramEnd"/>
            <w:r>
              <w:t xml:space="preserve"> 30 dējējvistas līdz 48 nedēļu vecumam. Noteikumu Nr.177 2.pielikumā ir norādīts kompensācijas apmērs katrai dzīvnieku sugai un kategorijai. </w:t>
            </w:r>
            <w:r w:rsidRPr="00834CE7">
              <w:t>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kam</w:t>
            </w:r>
            <w:r w:rsidRPr="00787C3C">
              <w:t xml:space="preserve"> pienākas kompensācija</w:t>
            </w:r>
            <w:r>
              <w:t xml:space="preserve"> </w:t>
            </w:r>
            <w:r w:rsidRPr="00623E77">
              <w:rPr>
                <w:b/>
              </w:rPr>
              <w:t>236,74</w:t>
            </w:r>
            <w:r w:rsidRPr="00D777BC">
              <w:rPr>
                <w:b/>
              </w:rPr>
              <w:t xml:space="preserve"> </w:t>
            </w:r>
            <w:proofErr w:type="spellStart"/>
            <w:r w:rsidRPr="00A278D5">
              <w:rPr>
                <w:b/>
                <w:i/>
              </w:rPr>
              <w:t>euro</w:t>
            </w:r>
            <w:proofErr w:type="spellEnd"/>
            <w:r w:rsidRPr="00787C3C">
              <w:t xml:space="preserve"> apmērā.</w:t>
            </w:r>
            <w:r>
              <w:t xml:space="preserve"> </w:t>
            </w:r>
          </w:p>
          <w:p w:rsidR="00DB3BA0" w:rsidRDefault="00623E77" w:rsidP="00B56CBA">
            <w:pPr>
              <w:jc w:val="both"/>
            </w:pPr>
            <w:r w:rsidRPr="00787C3C">
              <w:t>Ar rīkojuma projektu tiek paredzēta kompensācijas izmaksa</w:t>
            </w:r>
            <w:r>
              <w:t xml:space="preserve"> </w:t>
            </w:r>
            <w:r>
              <w:rPr>
                <w:b/>
              </w:rPr>
              <w:t>IK “</w:t>
            </w:r>
            <w:proofErr w:type="spellStart"/>
            <w:r>
              <w:rPr>
                <w:b/>
              </w:rPr>
              <w:t>Papīrpuse</w:t>
            </w:r>
            <w:proofErr w:type="spellEnd"/>
            <w:r>
              <w:rPr>
                <w:b/>
              </w:rPr>
              <w:t>”</w:t>
            </w:r>
            <w:r>
              <w:t xml:space="preserve"> 1167,23 </w:t>
            </w:r>
            <w:proofErr w:type="spellStart"/>
            <w:r w:rsidRPr="00623E77">
              <w:rPr>
                <w:i/>
              </w:rPr>
              <w:t>euro</w:t>
            </w:r>
            <w:proofErr w:type="spellEnd"/>
            <w:r>
              <w:t xml:space="preserve"> apmērā. </w:t>
            </w:r>
            <w:r w:rsidRPr="00787C3C">
              <w:t>Atbilstoši PVD inspektora</w:t>
            </w:r>
            <w:r>
              <w:t xml:space="preserve"> </w:t>
            </w:r>
            <w:r w:rsidRPr="00787C3C">
              <w:t>aktā Nr.</w:t>
            </w:r>
            <w:r>
              <w:t>3 (dzīvnieku īpašnieks iepazinies</w:t>
            </w:r>
            <w:r w:rsidRPr="00787C3C">
              <w:t xml:space="preserve"> </w:t>
            </w:r>
            <w:r>
              <w:t>2018. gada 3. </w:t>
            </w:r>
            <w:r w:rsidR="00DB3BA0">
              <w:t>decembrī</w:t>
            </w:r>
            <w:r>
              <w:t>)</w:t>
            </w:r>
            <w:r w:rsidRPr="00787C3C">
              <w:t xml:space="preserve"> norādītajai informācijai</w:t>
            </w:r>
            <w:r w:rsidR="00DB3BA0">
              <w:t xml:space="preserve"> IK “</w:t>
            </w:r>
            <w:proofErr w:type="spellStart"/>
            <w:r w:rsidR="00DB3BA0">
              <w:t>Papīrpuse</w:t>
            </w:r>
            <w:proofErr w:type="spellEnd"/>
            <w:r w:rsidR="00DB3BA0">
              <w:t xml:space="preserve">” piespiedu kārtā nogalināta un iznīcināta 81 dējējvista līdz 44 nedēļu vecumam, 62 dējējvistas līdz 48 nedēļu vecumam, 86 dējējvistas līdz 78 nedēļu vecumam, 31 jaunputns līdz dēšanas sākšanai </w:t>
            </w:r>
            <w:proofErr w:type="gramStart"/>
            <w:r w:rsidR="00DB3BA0">
              <w:t>(</w:t>
            </w:r>
            <w:proofErr w:type="gramEnd"/>
            <w:r w:rsidR="00DB3BA0">
              <w:t>vista), 46 vaislas vistas 58</w:t>
            </w:r>
            <w:r w:rsidR="00B57768">
              <w:t>–</w:t>
            </w:r>
            <w:r w:rsidR="00DB3BA0">
              <w:t>64 nedēļ</w:t>
            </w:r>
            <w:r w:rsidR="00B57768">
              <w:t>u</w:t>
            </w:r>
            <w:r w:rsidR="00DB3BA0">
              <w:t xml:space="preserve"> vec</w:t>
            </w:r>
            <w:r w:rsidR="00B57768">
              <w:t>umā</w:t>
            </w:r>
            <w:r w:rsidR="00DB3BA0">
              <w:t xml:space="preserve">, 9 pieaugušas pīles, 3 pieaugušas zosis, 3 pieauguši tītari, 16 jaunputni (pīles) un 148 vistu pārtikas olas. Noteikumu Nr.177 2.pielikumā ir norādīts kompensācijas apmērs katrai dzīvnieku sugai un kategorijai, kā arī par pārtikas olām. </w:t>
            </w:r>
            <w:r w:rsidR="00DB3BA0" w:rsidRPr="00834CE7">
              <w:t>Tā kā aktā par piespiedu kārtā nokautiem vai iznīcinātiem dzīvniekiem, iznīcinātiem kautķermeņiem, dzīvnieku</w:t>
            </w:r>
            <w:r w:rsidR="00DB3BA0"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DB3BA0">
              <w:t>kam</w:t>
            </w:r>
            <w:r w:rsidR="00DB3BA0" w:rsidRPr="00787C3C">
              <w:t xml:space="preserve"> pienākas kompensācija</w:t>
            </w:r>
            <w:r w:rsidR="00DB3BA0">
              <w:t xml:space="preserve"> </w:t>
            </w:r>
            <w:r w:rsidR="00DB3BA0" w:rsidRPr="00DB3BA0">
              <w:rPr>
                <w:b/>
              </w:rPr>
              <w:t>1167,23</w:t>
            </w:r>
            <w:r w:rsidR="00DB3BA0">
              <w:t xml:space="preserve"> </w:t>
            </w:r>
            <w:proofErr w:type="spellStart"/>
            <w:r w:rsidR="00DB3BA0" w:rsidRPr="00A278D5">
              <w:rPr>
                <w:b/>
                <w:i/>
              </w:rPr>
              <w:t>euro</w:t>
            </w:r>
            <w:proofErr w:type="spellEnd"/>
            <w:r w:rsidR="00DB3BA0" w:rsidRPr="00787C3C">
              <w:t xml:space="preserve"> apmērā.</w:t>
            </w:r>
            <w:r w:rsidR="00DB3BA0">
              <w:t xml:space="preserve"> </w:t>
            </w:r>
          </w:p>
          <w:p w:rsidR="00DB3BA0" w:rsidRDefault="00DB3BA0" w:rsidP="00DB3BA0">
            <w:pPr>
              <w:jc w:val="both"/>
            </w:pPr>
            <w:r w:rsidRPr="00787C3C">
              <w:t>Ar rīkojuma projektu tiek paredzēta kompensācijas izmaksa</w:t>
            </w:r>
            <w:r>
              <w:t xml:space="preserve"> </w:t>
            </w:r>
            <w:r w:rsidRPr="00DB3BA0">
              <w:rPr>
                <w:b/>
              </w:rPr>
              <w:t xml:space="preserve">Valerijam </w:t>
            </w:r>
            <w:proofErr w:type="spellStart"/>
            <w:r w:rsidRPr="00DB3BA0">
              <w:rPr>
                <w:b/>
              </w:rPr>
              <w:t>Boreiko</w:t>
            </w:r>
            <w:proofErr w:type="spellEnd"/>
            <w:r>
              <w:t xml:space="preserve"> 246,53 </w:t>
            </w:r>
            <w:proofErr w:type="spellStart"/>
            <w:r w:rsidRPr="00623E77">
              <w:rPr>
                <w:i/>
              </w:rPr>
              <w:t>euro</w:t>
            </w:r>
            <w:proofErr w:type="spellEnd"/>
            <w:r>
              <w:t xml:space="preserve"> apmērā. </w:t>
            </w:r>
            <w:r w:rsidRPr="00787C3C">
              <w:t>Atbilstoši PVD inspektora</w:t>
            </w:r>
            <w:r>
              <w:t xml:space="preserve"> </w:t>
            </w:r>
            <w:r w:rsidRPr="00787C3C">
              <w:t>aktā Nr.</w:t>
            </w:r>
            <w:r>
              <w:t>6 (dzīvnieku īpašnieks iepazinies</w:t>
            </w:r>
            <w:r w:rsidRPr="00787C3C">
              <w:t xml:space="preserve"> </w:t>
            </w:r>
            <w:r>
              <w:t>2018. gada 8. novembrī)</w:t>
            </w:r>
            <w:r w:rsidRPr="00787C3C">
              <w:t xml:space="preserve"> norādītajai informācijai</w:t>
            </w:r>
            <w:r>
              <w:t xml:space="preserve"> Valerijam </w:t>
            </w:r>
            <w:proofErr w:type="spellStart"/>
            <w:r>
              <w:t>Boreiko</w:t>
            </w:r>
            <w:proofErr w:type="spellEnd"/>
            <w:r>
              <w:t xml:space="preserve"> </w:t>
            </w:r>
            <w:r>
              <w:lastRenderedPageBreak/>
              <w:t>piespiedu kārtā nogalinātas un iznīcinātas 35 dējējvistas līdz 48 nedēļu vecumam</w:t>
            </w:r>
            <w:proofErr w:type="gramStart"/>
            <w:r>
              <w:t xml:space="preserve"> un</w:t>
            </w:r>
            <w:proofErr w:type="gramEnd"/>
            <w:r>
              <w:t xml:space="preserve"> 43 dējējvistas līdz 33 nedēļu vecumam. Noteikumu Nr.177 2.pielikumā ir norādīts kompensācijas apmērs katrai dzīvnieku sugai un kategorijai. </w:t>
            </w:r>
            <w:r w:rsidRPr="00834CE7">
              <w:t>Tā kā aktā par piespiedu kārtā nokautiem vai iznīcinātiem dzīvniekiem, iznīcinātiem kautķermeņiem, dzīvnieku</w:t>
            </w:r>
            <w:r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t>kam</w:t>
            </w:r>
            <w:r w:rsidRPr="00787C3C">
              <w:t xml:space="preserve"> pienākas kompensācija</w:t>
            </w:r>
            <w:r>
              <w:t xml:space="preserve"> </w:t>
            </w:r>
            <w:r w:rsidRPr="00DB3BA0">
              <w:rPr>
                <w:b/>
              </w:rPr>
              <w:t>246,53</w:t>
            </w:r>
            <w:r>
              <w:t> </w:t>
            </w:r>
            <w:proofErr w:type="spellStart"/>
            <w:r w:rsidRPr="00A278D5">
              <w:rPr>
                <w:b/>
                <w:i/>
              </w:rPr>
              <w:t>euro</w:t>
            </w:r>
            <w:proofErr w:type="spellEnd"/>
            <w:r w:rsidRPr="00787C3C">
              <w:t xml:space="preserve"> apmērā.</w:t>
            </w:r>
            <w:r>
              <w:t xml:space="preserve"> </w:t>
            </w:r>
          </w:p>
          <w:p w:rsidR="00623E77" w:rsidRPr="00F533E6" w:rsidRDefault="00B6073C" w:rsidP="001429B3">
            <w:pPr>
              <w:jc w:val="both"/>
            </w:pPr>
            <w:r w:rsidRPr="00787C3C">
              <w:t>Ar rīkojuma projektu tiek paredzēta kompensācijas izmaksa</w:t>
            </w:r>
            <w:r>
              <w:t xml:space="preserve"> </w:t>
            </w:r>
            <w:r>
              <w:rPr>
                <w:b/>
              </w:rPr>
              <w:t xml:space="preserve">Viktorijai </w:t>
            </w:r>
            <w:proofErr w:type="spellStart"/>
            <w:r>
              <w:rPr>
                <w:b/>
              </w:rPr>
              <w:t>Daugavvanagai</w:t>
            </w:r>
            <w:proofErr w:type="spellEnd"/>
            <w:r>
              <w:rPr>
                <w:b/>
              </w:rPr>
              <w:t xml:space="preserve"> </w:t>
            </w:r>
            <w:r>
              <w:t>217,76 </w:t>
            </w:r>
            <w:proofErr w:type="spellStart"/>
            <w:r w:rsidRPr="00623E77">
              <w:rPr>
                <w:i/>
              </w:rPr>
              <w:t>euro</w:t>
            </w:r>
            <w:proofErr w:type="spellEnd"/>
            <w:r>
              <w:t xml:space="preserve"> apmērā. </w:t>
            </w:r>
            <w:r w:rsidRPr="00787C3C">
              <w:t>Atbilstoši PVD inspektora</w:t>
            </w:r>
            <w:r>
              <w:t xml:space="preserve"> </w:t>
            </w:r>
            <w:r w:rsidRPr="00787C3C">
              <w:t>aktā Nr.</w:t>
            </w:r>
            <w:r>
              <w:t>4 (dzīvnieku īpašniece iepazinusies</w:t>
            </w:r>
            <w:r w:rsidRPr="00787C3C">
              <w:t xml:space="preserve"> </w:t>
            </w:r>
            <w:r>
              <w:t>2018. gada 26. novembrī)</w:t>
            </w:r>
            <w:r w:rsidRPr="00787C3C">
              <w:t xml:space="preserve"> norādītajai informācijai</w:t>
            </w:r>
            <w:r>
              <w:t xml:space="preserve"> Viktorijai </w:t>
            </w:r>
            <w:proofErr w:type="spellStart"/>
            <w:r>
              <w:t>Dagavvanagai</w:t>
            </w:r>
            <w:proofErr w:type="spellEnd"/>
            <w:r>
              <w:t xml:space="preserve"> piespiedu kārtā nokautas trīs govis un divi jaunlopi. PVD dzīvnieku īpašniecei atļāva jaunlopus nokaut novietnē uz vietas. Trīs govis tika aizvestas uz SIA “Kārlis viens” kautuvi. Veterinārmedicīnas likuma 38. panta pirmās daļas 1.punkts nosaka, ka dzīvnieku īpašniekam ir tiesības saņemt zaudējumu kompensāciju </w:t>
            </w:r>
            <w:r>
              <w:rPr>
                <w:bCs/>
              </w:rPr>
              <w:t xml:space="preserve">par govju enzootiskās leikozes apkarošanas laikā radītajiem zaudējumiem līdz 50% no kautproduktu vidējās vērtības. LAD kompensācijas apmēra aprēķinā izmantoja informāciju par vidējo liellopa gaļas cenu atbilstošajai liemeņa kategorijai un no Lauksaimniecības datu centra saņemto informāciju par </w:t>
            </w:r>
            <w:r w:rsidR="00792175">
              <w:rPr>
                <w:bCs/>
              </w:rPr>
              <w:t xml:space="preserve">attiecīgā </w:t>
            </w:r>
            <w:r w:rsidR="001429B3">
              <w:rPr>
                <w:bCs/>
              </w:rPr>
              <w:t xml:space="preserve">dzīvnieka </w:t>
            </w:r>
            <w:r w:rsidR="00792175">
              <w:rPr>
                <w:bCs/>
              </w:rPr>
              <w:t xml:space="preserve">liemeņa svaru un klasifikāciju (kategoriju). Dzīvnieku īpašniece no SIA “Kārlis viens” kautuves par nokautajām govīm saņēma atlīdzību. Kompensācijas aprēķinā tika ņemta vērā par katru govi saņemtā atlīdzība. </w:t>
            </w:r>
            <w:r w:rsidR="001429B3" w:rsidRPr="00834CE7">
              <w:t>Tā kā aktā par piespiedu kārtā nokautiem vai iznīcinātiem dzīvniekiem, iznīcinātiem kautķermeņiem, dzīvnieku</w:t>
            </w:r>
            <w:r w:rsidR="001429B3" w:rsidRPr="00787C3C">
              <w:t xml:space="preserve"> izcelsmes produktiem, spermu, olšūnām, embrijiem, gametām, inkubējamām olām un dzīvnieku barību, iznīcināto inventāru vai zaudējumiem, kas radušies dezinficēšanas laikā, PVD inspektors atzīmējis norādi par kompensācijas nesamazināšanu, dzīvnieku īpašnie</w:t>
            </w:r>
            <w:r w:rsidR="001429B3">
              <w:t>cei</w:t>
            </w:r>
            <w:r w:rsidR="001429B3" w:rsidRPr="00787C3C">
              <w:t xml:space="preserve"> pienākas kompensācija</w:t>
            </w:r>
            <w:r w:rsidR="001429B3">
              <w:t xml:space="preserve"> </w:t>
            </w:r>
            <w:r w:rsidR="001429B3" w:rsidRPr="00DB3BA0">
              <w:rPr>
                <w:b/>
              </w:rPr>
              <w:t>2</w:t>
            </w:r>
            <w:r w:rsidR="001429B3">
              <w:rPr>
                <w:b/>
              </w:rPr>
              <w:t>17,76</w:t>
            </w:r>
            <w:r w:rsidR="001429B3">
              <w:t> </w:t>
            </w:r>
            <w:proofErr w:type="spellStart"/>
            <w:r w:rsidR="001429B3" w:rsidRPr="00A278D5">
              <w:rPr>
                <w:b/>
                <w:i/>
              </w:rPr>
              <w:t>euro</w:t>
            </w:r>
            <w:proofErr w:type="spellEnd"/>
            <w:r w:rsidR="001429B3" w:rsidRPr="00787C3C">
              <w:t xml:space="preserve"> apmērā.</w:t>
            </w: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6.1. detalizēts ieņēmumu aprēķins</w:t>
            </w:r>
          </w:p>
        </w:tc>
        <w:tc>
          <w:tcPr>
            <w:tcW w:w="8363" w:type="dxa"/>
            <w:gridSpan w:val="7"/>
            <w:vMerge/>
          </w:tcPr>
          <w:p w:rsidR="00B56CBA" w:rsidRDefault="00B56CBA" w:rsidP="00B56CBA">
            <w:pPr>
              <w:pStyle w:val="Bezatstarpm"/>
              <w:rPr>
                <w:rFonts w:ascii="Times New Roman" w:hAnsi="Times New Roman" w:cs="Times New Roman"/>
                <w:sz w:val="24"/>
                <w:szCs w:val="24"/>
                <w:lang w:eastAsia="lv-LV"/>
              </w:rPr>
            </w:pP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363" w:type="dxa"/>
            <w:gridSpan w:val="7"/>
            <w:vMerge/>
          </w:tcPr>
          <w:p w:rsidR="00B56CBA" w:rsidRDefault="00B56CBA" w:rsidP="00B56CBA">
            <w:pPr>
              <w:pStyle w:val="Bezatstarpm"/>
              <w:rPr>
                <w:rFonts w:ascii="Times New Roman" w:hAnsi="Times New Roman" w:cs="Times New Roman"/>
                <w:sz w:val="24"/>
                <w:szCs w:val="24"/>
                <w:lang w:eastAsia="lv-LV"/>
              </w:rPr>
            </w:pP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363" w:type="dxa"/>
            <w:gridSpan w:val="7"/>
          </w:tcPr>
          <w:p w:rsidR="00B56CBA" w:rsidRDefault="006B47D2" w:rsidP="00B56CBA">
            <w:pPr>
              <w:pStyle w:val="Bezatstarpm"/>
              <w:rPr>
                <w:rFonts w:ascii="Times New Roman" w:hAnsi="Times New Roman" w:cs="Times New Roman"/>
                <w:sz w:val="24"/>
              </w:rPr>
            </w:pPr>
            <w:r w:rsidRPr="0039467E">
              <w:rPr>
                <w:rFonts w:ascii="Times New Roman" w:hAnsi="Times New Roman" w:cs="Times New Roman"/>
                <w:sz w:val="24"/>
              </w:rPr>
              <w:t>Projekts šo jomu neskar.</w:t>
            </w:r>
          </w:p>
          <w:p w:rsidR="00B56CBA" w:rsidRPr="0039467E" w:rsidRDefault="00B56CBA" w:rsidP="00B56CBA">
            <w:pPr>
              <w:pStyle w:val="Bezatstarpm"/>
              <w:rPr>
                <w:rFonts w:ascii="Times New Roman" w:hAnsi="Times New Roman" w:cs="Times New Roman"/>
                <w:sz w:val="24"/>
                <w:szCs w:val="24"/>
                <w:lang w:eastAsia="lv-LV"/>
              </w:rPr>
            </w:pPr>
          </w:p>
        </w:tc>
      </w:tr>
      <w:tr w:rsidR="008F22DE" w:rsidTr="007F5DA9">
        <w:trPr>
          <w:jc w:val="center"/>
        </w:trPr>
        <w:tc>
          <w:tcPr>
            <w:tcW w:w="1849" w:type="dxa"/>
          </w:tcPr>
          <w:p w:rsidR="00B56CBA" w:rsidRPr="0079316C" w:rsidRDefault="006B47D2" w:rsidP="00B56CBA">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363" w:type="dxa"/>
            <w:gridSpan w:val="7"/>
          </w:tcPr>
          <w:p w:rsidR="00B56CBA" w:rsidRDefault="006B47D2" w:rsidP="00B56CBA">
            <w:pPr>
              <w:jc w:val="both"/>
            </w:pPr>
            <w:r>
              <w:t>Lēmums par kompensācijas apmēru pieņemts individuāli. Noteikumu Nr.177 6. punktā noteikti kritēriji, pēc kuriem var samazināt izmaksājamo kompensāciju. Turklāt PVD inspektors vērtē to, kā dzīvnieku īpašnieks ir pildījis normatīvajos aktos noteiktās prasības, vai laikus ir ziņots par dzīvnieku saslimšanu un vai laikus veikti pasākumi slimības ierobežošanai. Tā kā iepriekšminētajiem dzīvnieku īpašniekiem nav konstatēti normatīvo aktu pārkāpumi, turklāt kaušanas brīdī dzīvnieki bija ar pietiekamu dzīvsvaru un tiem nebija konstatētas slimību izraisītas pārmaiņas, tika pieņemts lēmums par kompensāciju nesamazināšanu.</w:t>
            </w:r>
          </w:p>
          <w:p w:rsidR="00B56CBA" w:rsidRDefault="006B47D2" w:rsidP="00B56CBA">
            <w:pPr>
              <w:jc w:val="both"/>
            </w:pPr>
            <w:r>
              <w:t>Katru gadu no Eiropas Savienības budžeta līdzekļiem valstij tiek pārskaitīti</w:t>
            </w:r>
            <w:proofErr w:type="gramStart"/>
            <w:r>
              <w:t xml:space="preserve"> līdz 75 % (ņemot vērā Eiropas Komisijas noteiktos limitus par kompensējamo vienību) no iztērētajiem līdzekļiem kompensāciju izmaksai dzīvnieku īpašniekiem par tām dzīvnieku infekcijas slimībām, par kurām ar Eiropas Komisiju ir saskaņotas uzraudzības un apkarošanas programmas</w:t>
            </w:r>
            <w:proofErr w:type="gramEnd"/>
            <w:r>
              <w:t xml:space="preserve">. </w:t>
            </w:r>
          </w:p>
          <w:p w:rsidR="00B56CBA" w:rsidRPr="00442743" w:rsidRDefault="006B47D2" w:rsidP="00B56CBA">
            <w:pPr>
              <w:jc w:val="both"/>
              <w:rPr>
                <w:bCs/>
                <w:color w:val="000000"/>
              </w:rPr>
            </w:pPr>
            <w:r w:rsidRPr="00802643">
              <w:rPr>
                <w:bCs/>
                <w:color w:val="000000"/>
              </w:rPr>
              <w:t>Izdevumus sedz no valsts budžeta programmas 02.00.00 “Līdzekļi neparedzētiem gadījumiem</w:t>
            </w:r>
            <w:r>
              <w:rPr>
                <w:bCs/>
                <w:color w:val="000000"/>
              </w:rPr>
              <w:t>”</w:t>
            </w:r>
            <w:r w:rsidRPr="00802643">
              <w:rPr>
                <w:bCs/>
                <w:color w:val="000000"/>
              </w:rPr>
              <w:t>.</w:t>
            </w:r>
          </w:p>
        </w:tc>
      </w:tr>
    </w:tbl>
    <w:p w:rsidR="00702282" w:rsidRPr="0079316C" w:rsidRDefault="006B47D2" w:rsidP="00702282">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8F22DE" w:rsidTr="00973724">
        <w:trPr>
          <w:jc w:val="center"/>
        </w:trPr>
        <w:tc>
          <w:tcPr>
            <w:tcW w:w="9918" w:type="dxa"/>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8F22DE" w:rsidTr="00973724">
        <w:trPr>
          <w:jc w:val="center"/>
        </w:trPr>
        <w:tc>
          <w:tcPr>
            <w:tcW w:w="9918" w:type="dxa"/>
          </w:tcPr>
          <w:p w:rsidR="00702282" w:rsidRDefault="006B47D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8F22DE" w:rsidTr="00973724">
        <w:trPr>
          <w:jc w:val="center"/>
        </w:trPr>
        <w:tc>
          <w:tcPr>
            <w:tcW w:w="9923" w:type="dxa"/>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8F22DE" w:rsidTr="00973724">
        <w:trPr>
          <w:jc w:val="center"/>
        </w:trPr>
        <w:tc>
          <w:tcPr>
            <w:tcW w:w="9923" w:type="dxa"/>
          </w:tcPr>
          <w:p w:rsidR="00702282" w:rsidRDefault="006B47D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79316C" w:rsidRDefault="00702282" w:rsidP="00702282">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8F22DE" w:rsidTr="00973724">
        <w:trPr>
          <w:jc w:val="center"/>
        </w:trPr>
        <w:tc>
          <w:tcPr>
            <w:tcW w:w="9918" w:type="dxa"/>
          </w:tcPr>
          <w:p w:rsidR="00702282" w:rsidRDefault="006B47D2" w:rsidP="00973724">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lastRenderedPageBreak/>
              <w:t>VI. Sabiedrības līdzdalība un komunikācijas aktivitātes</w:t>
            </w:r>
          </w:p>
        </w:tc>
      </w:tr>
      <w:tr w:rsidR="008F22DE" w:rsidTr="00973724">
        <w:trPr>
          <w:jc w:val="center"/>
        </w:trPr>
        <w:tc>
          <w:tcPr>
            <w:tcW w:w="9918" w:type="dxa"/>
          </w:tcPr>
          <w:p w:rsidR="00702282" w:rsidRDefault="006B47D2" w:rsidP="00973724">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rsidR="00702282" w:rsidRPr="002C15A5" w:rsidRDefault="006B47D2" w:rsidP="00702282">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8F22DE" w:rsidTr="00973724">
        <w:trPr>
          <w:jc w:val="center"/>
        </w:trPr>
        <w:tc>
          <w:tcPr>
            <w:tcW w:w="9923" w:type="dxa"/>
            <w:gridSpan w:val="3"/>
          </w:tcPr>
          <w:p w:rsidR="00702282" w:rsidRDefault="006B47D2" w:rsidP="00973724">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8F22DE" w:rsidTr="00973724">
        <w:trPr>
          <w:jc w:val="center"/>
        </w:trPr>
        <w:tc>
          <w:tcPr>
            <w:tcW w:w="70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tc>
        <w:tc>
          <w:tcPr>
            <w:tcW w:w="6095" w:type="dxa"/>
          </w:tcPr>
          <w:p w:rsidR="00702282" w:rsidRDefault="006B47D2" w:rsidP="00973724">
            <w:pPr>
              <w:jc w:val="both"/>
            </w:pPr>
            <w:r w:rsidRPr="00D65792">
              <w:t>Finanšu ministrija, Z</w:t>
            </w:r>
            <w:r>
              <w:t>M</w:t>
            </w:r>
            <w:r w:rsidRPr="00D65792">
              <w:t xml:space="preserve"> un </w:t>
            </w:r>
            <w:r>
              <w:t>LAD</w:t>
            </w:r>
          </w:p>
          <w:p w:rsidR="00702282" w:rsidRPr="00D65792" w:rsidRDefault="00702282" w:rsidP="00973724">
            <w:pPr>
              <w:jc w:val="both"/>
            </w:pPr>
          </w:p>
        </w:tc>
      </w:tr>
      <w:tr w:rsidR="008F22DE" w:rsidTr="00973724">
        <w:trPr>
          <w:jc w:val="center"/>
        </w:trPr>
        <w:tc>
          <w:tcPr>
            <w:tcW w:w="70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rsidR="00702282" w:rsidRDefault="006B47D2" w:rsidP="00973724">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Jaunu institūciju izveide, esošu institūciju likvidācija vai reorganizācija, to ietekme uz institūcijas cilvēkresursiem</w:t>
            </w:r>
          </w:p>
        </w:tc>
        <w:tc>
          <w:tcPr>
            <w:tcW w:w="6095" w:type="dxa"/>
          </w:tcPr>
          <w:p w:rsidR="00702282" w:rsidRPr="00D65792" w:rsidRDefault="006B47D2" w:rsidP="00973724">
            <w:r w:rsidRPr="00D65792">
              <w:t>Projekts šo jomu neskar.</w:t>
            </w:r>
          </w:p>
        </w:tc>
      </w:tr>
      <w:tr w:rsidR="008F22DE" w:rsidTr="00973724">
        <w:trPr>
          <w:jc w:val="center"/>
        </w:trPr>
        <w:tc>
          <w:tcPr>
            <w:tcW w:w="709" w:type="dxa"/>
          </w:tcPr>
          <w:p w:rsidR="00702282" w:rsidRPr="0079316C"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rsidR="00702282" w:rsidRDefault="006B47D2" w:rsidP="00973724">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rsidR="00702282" w:rsidRDefault="00702282" w:rsidP="00702282">
      <w:pPr>
        <w:pStyle w:val="Bezatstarpm"/>
        <w:rPr>
          <w:rFonts w:ascii="Times New Roman" w:hAnsi="Times New Roman" w:cs="Times New Roman"/>
          <w:sz w:val="28"/>
          <w:szCs w:val="24"/>
          <w:lang w:eastAsia="lv-LV"/>
        </w:rPr>
      </w:pPr>
    </w:p>
    <w:p w:rsidR="00702282" w:rsidRDefault="00702282" w:rsidP="00702282">
      <w:pPr>
        <w:pStyle w:val="Bezatstarpm"/>
        <w:rPr>
          <w:rFonts w:ascii="Times New Roman" w:hAnsi="Times New Roman" w:cs="Times New Roman"/>
          <w:sz w:val="28"/>
          <w:szCs w:val="24"/>
          <w:lang w:eastAsia="lv-LV"/>
        </w:rPr>
      </w:pPr>
    </w:p>
    <w:p w:rsidR="00702282" w:rsidRPr="00035F74" w:rsidRDefault="00702282" w:rsidP="00702282">
      <w:pPr>
        <w:pStyle w:val="Bezatstarpm"/>
        <w:rPr>
          <w:rFonts w:ascii="Times New Roman" w:hAnsi="Times New Roman" w:cs="Times New Roman"/>
          <w:sz w:val="28"/>
          <w:szCs w:val="24"/>
          <w:lang w:eastAsia="lv-LV"/>
        </w:rPr>
      </w:pPr>
    </w:p>
    <w:p w:rsidR="00702282" w:rsidRPr="00035F74" w:rsidRDefault="006B47D2" w:rsidP="007A1DA6">
      <w:pPr>
        <w:jc w:val="both"/>
        <w:rPr>
          <w:sz w:val="28"/>
          <w:szCs w:val="28"/>
        </w:rPr>
      </w:pPr>
      <w:r>
        <w:rPr>
          <w:color w:val="000000"/>
          <w:sz w:val="28"/>
          <w:szCs w:val="28"/>
        </w:rPr>
        <w:t xml:space="preserve">Zemkopības ministrs </w:t>
      </w:r>
      <w:r>
        <w:rPr>
          <w:color w:val="000000"/>
          <w:sz w:val="28"/>
          <w:szCs w:val="28"/>
        </w:rPr>
        <w:tab/>
      </w:r>
      <w:r w:rsidR="00A16EC9">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bookmarkStart w:id="0" w:name="_GoBack"/>
      <w:bookmarkEnd w:id="0"/>
      <w:r w:rsidR="007A1DA6">
        <w:rPr>
          <w:color w:val="000000"/>
          <w:sz w:val="28"/>
          <w:szCs w:val="28"/>
        </w:rPr>
        <w:t>Kaspars Gerhards</w:t>
      </w:r>
    </w:p>
    <w:p w:rsidR="00702282" w:rsidRDefault="00702282" w:rsidP="00702282">
      <w:pPr>
        <w:jc w:val="both"/>
        <w:rPr>
          <w:sz w:val="28"/>
          <w:szCs w:val="20"/>
        </w:rPr>
      </w:pPr>
    </w:p>
    <w:p w:rsidR="00702282" w:rsidRDefault="00702282" w:rsidP="00702282">
      <w:pPr>
        <w:jc w:val="both"/>
        <w:rPr>
          <w:sz w:val="28"/>
          <w:szCs w:val="20"/>
        </w:rPr>
      </w:pPr>
    </w:p>
    <w:p w:rsidR="00702282" w:rsidRDefault="00702282"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A1DA6" w:rsidRDefault="007A1DA6" w:rsidP="00702282">
      <w:pPr>
        <w:jc w:val="both"/>
        <w:rPr>
          <w:sz w:val="28"/>
          <w:szCs w:val="20"/>
        </w:rPr>
      </w:pPr>
    </w:p>
    <w:p w:rsidR="00702282" w:rsidRDefault="00702282" w:rsidP="00702282">
      <w:pPr>
        <w:jc w:val="both"/>
        <w:rPr>
          <w:sz w:val="28"/>
          <w:szCs w:val="20"/>
        </w:rPr>
      </w:pPr>
    </w:p>
    <w:p w:rsidR="00702282" w:rsidRPr="00035F74" w:rsidRDefault="00702282" w:rsidP="00702282">
      <w:pPr>
        <w:jc w:val="both"/>
        <w:rPr>
          <w:sz w:val="28"/>
          <w:szCs w:val="20"/>
        </w:rPr>
      </w:pPr>
    </w:p>
    <w:p w:rsidR="00702282" w:rsidRPr="00041496" w:rsidRDefault="006B47D2" w:rsidP="00702282">
      <w:pPr>
        <w:jc w:val="both"/>
        <w:rPr>
          <w:szCs w:val="20"/>
        </w:rPr>
      </w:pPr>
      <w:r w:rsidRPr="00041496">
        <w:rPr>
          <w:szCs w:val="20"/>
        </w:rPr>
        <w:t xml:space="preserve">Vanaga 67027363 </w:t>
      </w:r>
    </w:p>
    <w:p w:rsidR="00702282" w:rsidRDefault="006B47D2" w:rsidP="00702282">
      <w:pPr>
        <w:jc w:val="both"/>
      </w:pPr>
      <w:r w:rsidRPr="00041496">
        <w:rPr>
          <w:szCs w:val="20"/>
        </w:rPr>
        <w:t>Sanita.Vanaga@zm.gov.lv</w:t>
      </w:r>
    </w:p>
    <w:p w:rsidR="00D942C8" w:rsidRDefault="00D942C8"/>
    <w:sectPr w:rsidR="00D942C8" w:rsidSect="002F7CC9">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27" w:rsidRDefault="00C96527">
      <w:r>
        <w:separator/>
      </w:r>
    </w:p>
  </w:endnote>
  <w:endnote w:type="continuationSeparator" w:id="0">
    <w:p w:rsidR="00C96527" w:rsidRDefault="00C9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27" w:rsidRPr="002F7CC9" w:rsidRDefault="002F7CC9" w:rsidP="002F7CC9">
    <w:pPr>
      <w:pStyle w:val="Kjene"/>
    </w:pPr>
    <w:r w:rsidRPr="002F7CC9">
      <w:rPr>
        <w:sz w:val="20"/>
      </w:rPr>
      <w:t>ZManot_240119_kompizm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27" w:rsidRPr="002F7CC9" w:rsidRDefault="002F7CC9" w:rsidP="002F7CC9">
    <w:pPr>
      <w:pStyle w:val="Kjene"/>
    </w:pPr>
    <w:r w:rsidRPr="002F7CC9">
      <w:rPr>
        <w:sz w:val="20"/>
      </w:rPr>
      <w:t>ZManot_240119_kompizm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27" w:rsidRDefault="00C96527">
      <w:r>
        <w:separator/>
      </w:r>
    </w:p>
  </w:footnote>
  <w:footnote w:type="continuationSeparator" w:id="0">
    <w:p w:rsidR="00C96527" w:rsidRDefault="00C96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56685"/>
      <w:docPartObj>
        <w:docPartGallery w:val="Page Numbers (Top of Page)"/>
        <w:docPartUnique/>
      </w:docPartObj>
    </w:sdtPr>
    <w:sdtEndPr/>
    <w:sdtContent>
      <w:p w:rsidR="00C96527" w:rsidRDefault="00C96527">
        <w:pPr>
          <w:pStyle w:val="Galvene"/>
          <w:jc w:val="center"/>
        </w:pPr>
        <w:r>
          <w:fldChar w:fldCharType="begin"/>
        </w:r>
        <w:r>
          <w:instrText>PAGE   \* MERGEFORMAT</w:instrText>
        </w:r>
        <w:r>
          <w:fldChar w:fldCharType="separate"/>
        </w:r>
        <w:r w:rsidR="002F7CC9">
          <w:rPr>
            <w:noProof/>
          </w:rPr>
          <w:t>6</w:t>
        </w:r>
        <w:r>
          <w:fldChar w:fldCharType="end"/>
        </w:r>
      </w:p>
    </w:sdtContent>
  </w:sdt>
  <w:p w:rsidR="00C96527" w:rsidRDefault="00C9652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82"/>
    <w:rsid w:val="00003733"/>
    <w:rsid w:val="00006167"/>
    <w:rsid w:val="000108E2"/>
    <w:rsid w:val="0001275C"/>
    <w:rsid w:val="00016276"/>
    <w:rsid w:val="00021692"/>
    <w:rsid w:val="00023155"/>
    <w:rsid w:val="00023CB2"/>
    <w:rsid w:val="00025CA1"/>
    <w:rsid w:val="00027821"/>
    <w:rsid w:val="00030436"/>
    <w:rsid w:val="0003269F"/>
    <w:rsid w:val="00033FAC"/>
    <w:rsid w:val="00034534"/>
    <w:rsid w:val="00035419"/>
    <w:rsid w:val="00035F74"/>
    <w:rsid w:val="00041496"/>
    <w:rsid w:val="000477BC"/>
    <w:rsid w:val="000500BF"/>
    <w:rsid w:val="00055C38"/>
    <w:rsid w:val="00061CC7"/>
    <w:rsid w:val="0006574C"/>
    <w:rsid w:val="00065A77"/>
    <w:rsid w:val="000669C5"/>
    <w:rsid w:val="00067690"/>
    <w:rsid w:val="00073666"/>
    <w:rsid w:val="00074FF4"/>
    <w:rsid w:val="000813D4"/>
    <w:rsid w:val="00094499"/>
    <w:rsid w:val="00094C50"/>
    <w:rsid w:val="00094ECB"/>
    <w:rsid w:val="0009789C"/>
    <w:rsid w:val="000A1EF1"/>
    <w:rsid w:val="000A28D0"/>
    <w:rsid w:val="000A6930"/>
    <w:rsid w:val="000A7742"/>
    <w:rsid w:val="000B12BA"/>
    <w:rsid w:val="000B6774"/>
    <w:rsid w:val="000B722A"/>
    <w:rsid w:val="000C16D5"/>
    <w:rsid w:val="000C20CE"/>
    <w:rsid w:val="000C2666"/>
    <w:rsid w:val="000C5D29"/>
    <w:rsid w:val="000C5FDB"/>
    <w:rsid w:val="000D09E6"/>
    <w:rsid w:val="000D15C4"/>
    <w:rsid w:val="000D31E1"/>
    <w:rsid w:val="000E04F9"/>
    <w:rsid w:val="000E09F8"/>
    <w:rsid w:val="000E11AA"/>
    <w:rsid w:val="000E2697"/>
    <w:rsid w:val="000E26B8"/>
    <w:rsid w:val="000E32E4"/>
    <w:rsid w:val="000E61C5"/>
    <w:rsid w:val="000E63C3"/>
    <w:rsid w:val="000F42F5"/>
    <w:rsid w:val="00100735"/>
    <w:rsid w:val="00101731"/>
    <w:rsid w:val="00102D83"/>
    <w:rsid w:val="00105F38"/>
    <w:rsid w:val="001171D7"/>
    <w:rsid w:val="00122898"/>
    <w:rsid w:val="00125A36"/>
    <w:rsid w:val="001324CB"/>
    <w:rsid w:val="001348A7"/>
    <w:rsid w:val="0013676A"/>
    <w:rsid w:val="00137FB5"/>
    <w:rsid w:val="0014013A"/>
    <w:rsid w:val="00140BF7"/>
    <w:rsid w:val="0014167E"/>
    <w:rsid w:val="001429B3"/>
    <w:rsid w:val="001462EE"/>
    <w:rsid w:val="00146A00"/>
    <w:rsid w:val="0014768A"/>
    <w:rsid w:val="001564D5"/>
    <w:rsid w:val="00157A71"/>
    <w:rsid w:val="001619B1"/>
    <w:rsid w:val="00162D48"/>
    <w:rsid w:val="001647C9"/>
    <w:rsid w:val="00171402"/>
    <w:rsid w:val="00174841"/>
    <w:rsid w:val="00174DE1"/>
    <w:rsid w:val="0017606D"/>
    <w:rsid w:val="00181320"/>
    <w:rsid w:val="00183E85"/>
    <w:rsid w:val="001874F0"/>
    <w:rsid w:val="0019620F"/>
    <w:rsid w:val="001A0E77"/>
    <w:rsid w:val="001A1482"/>
    <w:rsid w:val="001A2A4D"/>
    <w:rsid w:val="001B1481"/>
    <w:rsid w:val="001B317B"/>
    <w:rsid w:val="001B76DF"/>
    <w:rsid w:val="001D1A76"/>
    <w:rsid w:val="001D2289"/>
    <w:rsid w:val="001D2B4F"/>
    <w:rsid w:val="001D2D3F"/>
    <w:rsid w:val="001D49A5"/>
    <w:rsid w:val="001D5CD2"/>
    <w:rsid w:val="001D778E"/>
    <w:rsid w:val="001E085A"/>
    <w:rsid w:val="001E28B5"/>
    <w:rsid w:val="001E47AC"/>
    <w:rsid w:val="001E4F4F"/>
    <w:rsid w:val="001F0544"/>
    <w:rsid w:val="001F118C"/>
    <w:rsid w:val="001F1FAC"/>
    <w:rsid w:val="001F3F4F"/>
    <w:rsid w:val="00204158"/>
    <w:rsid w:val="002065C0"/>
    <w:rsid w:val="00206E01"/>
    <w:rsid w:val="00207E09"/>
    <w:rsid w:val="002137B5"/>
    <w:rsid w:val="00224F44"/>
    <w:rsid w:val="0022579A"/>
    <w:rsid w:val="002362B5"/>
    <w:rsid w:val="00240E55"/>
    <w:rsid w:val="00247597"/>
    <w:rsid w:val="00253307"/>
    <w:rsid w:val="0025464C"/>
    <w:rsid w:val="0025660A"/>
    <w:rsid w:val="002624A5"/>
    <w:rsid w:val="00267E00"/>
    <w:rsid w:val="0027271A"/>
    <w:rsid w:val="00273033"/>
    <w:rsid w:val="00275135"/>
    <w:rsid w:val="00277ADA"/>
    <w:rsid w:val="00280B31"/>
    <w:rsid w:val="002846F1"/>
    <w:rsid w:val="002A0689"/>
    <w:rsid w:val="002A33A3"/>
    <w:rsid w:val="002A3877"/>
    <w:rsid w:val="002A72C9"/>
    <w:rsid w:val="002B110A"/>
    <w:rsid w:val="002B1A6C"/>
    <w:rsid w:val="002B3BD1"/>
    <w:rsid w:val="002C15A5"/>
    <w:rsid w:val="002C1C2F"/>
    <w:rsid w:val="002C52E2"/>
    <w:rsid w:val="002C6BE6"/>
    <w:rsid w:val="002D08CE"/>
    <w:rsid w:val="002D640C"/>
    <w:rsid w:val="002D713C"/>
    <w:rsid w:val="002E1258"/>
    <w:rsid w:val="002F639C"/>
    <w:rsid w:val="002F68C6"/>
    <w:rsid w:val="002F7CC9"/>
    <w:rsid w:val="00306A2D"/>
    <w:rsid w:val="00313A4B"/>
    <w:rsid w:val="003210A7"/>
    <w:rsid w:val="003213CB"/>
    <w:rsid w:val="00323C37"/>
    <w:rsid w:val="00325EF9"/>
    <w:rsid w:val="003301E1"/>
    <w:rsid w:val="0033380D"/>
    <w:rsid w:val="00333E8E"/>
    <w:rsid w:val="00334B82"/>
    <w:rsid w:val="003365D4"/>
    <w:rsid w:val="00340EC5"/>
    <w:rsid w:val="00345D93"/>
    <w:rsid w:val="003461A3"/>
    <w:rsid w:val="00346E71"/>
    <w:rsid w:val="00360290"/>
    <w:rsid w:val="00366070"/>
    <w:rsid w:val="003667BF"/>
    <w:rsid w:val="003670E2"/>
    <w:rsid w:val="00375761"/>
    <w:rsid w:val="00377E05"/>
    <w:rsid w:val="00383385"/>
    <w:rsid w:val="0038498B"/>
    <w:rsid w:val="00384DD0"/>
    <w:rsid w:val="00393474"/>
    <w:rsid w:val="0039467E"/>
    <w:rsid w:val="00396CD9"/>
    <w:rsid w:val="003A2782"/>
    <w:rsid w:val="003B0766"/>
    <w:rsid w:val="003B13B2"/>
    <w:rsid w:val="003B16F6"/>
    <w:rsid w:val="003C0A57"/>
    <w:rsid w:val="003E3959"/>
    <w:rsid w:val="003E40AC"/>
    <w:rsid w:val="003E5370"/>
    <w:rsid w:val="003E5387"/>
    <w:rsid w:val="003E5F01"/>
    <w:rsid w:val="003F1573"/>
    <w:rsid w:val="003F3807"/>
    <w:rsid w:val="003F6838"/>
    <w:rsid w:val="003F706D"/>
    <w:rsid w:val="00420674"/>
    <w:rsid w:val="004215A9"/>
    <w:rsid w:val="00425D04"/>
    <w:rsid w:val="004322F1"/>
    <w:rsid w:val="00433D4D"/>
    <w:rsid w:val="00437D42"/>
    <w:rsid w:val="00442743"/>
    <w:rsid w:val="004470DA"/>
    <w:rsid w:val="00450B62"/>
    <w:rsid w:val="0045286D"/>
    <w:rsid w:val="00456783"/>
    <w:rsid w:val="004615E8"/>
    <w:rsid w:val="00463220"/>
    <w:rsid w:val="0046594D"/>
    <w:rsid w:val="00470669"/>
    <w:rsid w:val="00470FE6"/>
    <w:rsid w:val="0047453B"/>
    <w:rsid w:val="0047709A"/>
    <w:rsid w:val="00484966"/>
    <w:rsid w:val="0048618D"/>
    <w:rsid w:val="004863EC"/>
    <w:rsid w:val="00495739"/>
    <w:rsid w:val="004A0D15"/>
    <w:rsid w:val="004A16F6"/>
    <w:rsid w:val="004A615A"/>
    <w:rsid w:val="004B0678"/>
    <w:rsid w:val="004B44D8"/>
    <w:rsid w:val="004B4A0E"/>
    <w:rsid w:val="004C056E"/>
    <w:rsid w:val="004C08A9"/>
    <w:rsid w:val="004C296D"/>
    <w:rsid w:val="004C42EB"/>
    <w:rsid w:val="004C757B"/>
    <w:rsid w:val="004D2D87"/>
    <w:rsid w:val="004D37BB"/>
    <w:rsid w:val="004D523E"/>
    <w:rsid w:val="004E2C01"/>
    <w:rsid w:val="004E53F3"/>
    <w:rsid w:val="004F3AEB"/>
    <w:rsid w:val="004F45F1"/>
    <w:rsid w:val="004F5152"/>
    <w:rsid w:val="004F7416"/>
    <w:rsid w:val="00500B7A"/>
    <w:rsid w:val="005012C9"/>
    <w:rsid w:val="005019BC"/>
    <w:rsid w:val="005038CF"/>
    <w:rsid w:val="00512386"/>
    <w:rsid w:val="00520801"/>
    <w:rsid w:val="00522C20"/>
    <w:rsid w:val="00523F2A"/>
    <w:rsid w:val="0053587E"/>
    <w:rsid w:val="00546238"/>
    <w:rsid w:val="005530A0"/>
    <w:rsid w:val="00555060"/>
    <w:rsid w:val="005567B2"/>
    <w:rsid w:val="00561A43"/>
    <w:rsid w:val="00562885"/>
    <w:rsid w:val="0056437F"/>
    <w:rsid w:val="005647BA"/>
    <w:rsid w:val="00564D37"/>
    <w:rsid w:val="00575F9D"/>
    <w:rsid w:val="005828C7"/>
    <w:rsid w:val="00594010"/>
    <w:rsid w:val="005A12BF"/>
    <w:rsid w:val="005A2C8D"/>
    <w:rsid w:val="005A35A1"/>
    <w:rsid w:val="005A53C6"/>
    <w:rsid w:val="005A5483"/>
    <w:rsid w:val="005B4C6A"/>
    <w:rsid w:val="005B7576"/>
    <w:rsid w:val="005C0019"/>
    <w:rsid w:val="005C081D"/>
    <w:rsid w:val="005C0D87"/>
    <w:rsid w:val="005C6ED6"/>
    <w:rsid w:val="005E0554"/>
    <w:rsid w:val="005E151B"/>
    <w:rsid w:val="005E2E7E"/>
    <w:rsid w:val="005E4F99"/>
    <w:rsid w:val="005E6441"/>
    <w:rsid w:val="005F5AE0"/>
    <w:rsid w:val="005F78DE"/>
    <w:rsid w:val="00600A6A"/>
    <w:rsid w:val="00607318"/>
    <w:rsid w:val="00607476"/>
    <w:rsid w:val="0061081E"/>
    <w:rsid w:val="00610D11"/>
    <w:rsid w:val="006130A5"/>
    <w:rsid w:val="00615193"/>
    <w:rsid w:val="006208EA"/>
    <w:rsid w:val="00623E77"/>
    <w:rsid w:val="0063244A"/>
    <w:rsid w:val="006340D2"/>
    <w:rsid w:val="00634698"/>
    <w:rsid w:val="006347FD"/>
    <w:rsid w:val="00634C75"/>
    <w:rsid w:val="00634EDD"/>
    <w:rsid w:val="006354B9"/>
    <w:rsid w:val="006436F4"/>
    <w:rsid w:val="00650720"/>
    <w:rsid w:val="0066098D"/>
    <w:rsid w:val="00660B81"/>
    <w:rsid w:val="006612E5"/>
    <w:rsid w:val="00662AC4"/>
    <w:rsid w:val="006707A5"/>
    <w:rsid w:val="00672BAC"/>
    <w:rsid w:val="00673818"/>
    <w:rsid w:val="006743B7"/>
    <w:rsid w:val="00675FC5"/>
    <w:rsid w:val="00684A67"/>
    <w:rsid w:val="00687B26"/>
    <w:rsid w:val="006921DB"/>
    <w:rsid w:val="00692969"/>
    <w:rsid w:val="00694FA6"/>
    <w:rsid w:val="006976A9"/>
    <w:rsid w:val="006A54EE"/>
    <w:rsid w:val="006B2488"/>
    <w:rsid w:val="006B47D2"/>
    <w:rsid w:val="006B697C"/>
    <w:rsid w:val="006B7BDC"/>
    <w:rsid w:val="006C18B0"/>
    <w:rsid w:val="006C410F"/>
    <w:rsid w:val="006C6A52"/>
    <w:rsid w:val="006D1E2C"/>
    <w:rsid w:val="006E4D36"/>
    <w:rsid w:val="006E641E"/>
    <w:rsid w:val="006F1454"/>
    <w:rsid w:val="006F1627"/>
    <w:rsid w:val="006F2F1B"/>
    <w:rsid w:val="00702282"/>
    <w:rsid w:val="007046AD"/>
    <w:rsid w:val="007126D1"/>
    <w:rsid w:val="00714DFB"/>
    <w:rsid w:val="00715EE7"/>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70732"/>
    <w:rsid w:val="007714ED"/>
    <w:rsid w:val="00772048"/>
    <w:rsid w:val="00772841"/>
    <w:rsid w:val="00773C57"/>
    <w:rsid w:val="00776235"/>
    <w:rsid w:val="007766EE"/>
    <w:rsid w:val="00784898"/>
    <w:rsid w:val="00785FBB"/>
    <w:rsid w:val="00787C3C"/>
    <w:rsid w:val="00787D37"/>
    <w:rsid w:val="00792175"/>
    <w:rsid w:val="0079316C"/>
    <w:rsid w:val="007A1DA6"/>
    <w:rsid w:val="007A7F30"/>
    <w:rsid w:val="007B26BE"/>
    <w:rsid w:val="007C1077"/>
    <w:rsid w:val="007C2627"/>
    <w:rsid w:val="007C7506"/>
    <w:rsid w:val="007D5ADC"/>
    <w:rsid w:val="007E0FBA"/>
    <w:rsid w:val="007E2AFC"/>
    <w:rsid w:val="007F5DA9"/>
    <w:rsid w:val="00802643"/>
    <w:rsid w:val="008049BE"/>
    <w:rsid w:val="00804E78"/>
    <w:rsid w:val="00806A8F"/>
    <w:rsid w:val="00817746"/>
    <w:rsid w:val="008215B5"/>
    <w:rsid w:val="00822FD0"/>
    <w:rsid w:val="00825721"/>
    <w:rsid w:val="00832703"/>
    <w:rsid w:val="00834CE7"/>
    <w:rsid w:val="00834DC9"/>
    <w:rsid w:val="00835D85"/>
    <w:rsid w:val="0083626A"/>
    <w:rsid w:val="00842027"/>
    <w:rsid w:val="00844835"/>
    <w:rsid w:val="00850E21"/>
    <w:rsid w:val="00852A96"/>
    <w:rsid w:val="00853868"/>
    <w:rsid w:val="0086204B"/>
    <w:rsid w:val="008642D2"/>
    <w:rsid w:val="00865684"/>
    <w:rsid w:val="00883D96"/>
    <w:rsid w:val="00894623"/>
    <w:rsid w:val="00897183"/>
    <w:rsid w:val="00897BF1"/>
    <w:rsid w:val="008A2895"/>
    <w:rsid w:val="008A576D"/>
    <w:rsid w:val="008B172E"/>
    <w:rsid w:val="008B3532"/>
    <w:rsid w:val="008B3A15"/>
    <w:rsid w:val="008B3F93"/>
    <w:rsid w:val="008C07F9"/>
    <w:rsid w:val="008C1C00"/>
    <w:rsid w:val="008C3B16"/>
    <w:rsid w:val="008C584E"/>
    <w:rsid w:val="008D56DC"/>
    <w:rsid w:val="008D7C40"/>
    <w:rsid w:val="008E4FCE"/>
    <w:rsid w:val="008E5888"/>
    <w:rsid w:val="008F1159"/>
    <w:rsid w:val="008F22DE"/>
    <w:rsid w:val="008F51F1"/>
    <w:rsid w:val="00901EDA"/>
    <w:rsid w:val="00907AF4"/>
    <w:rsid w:val="009116FF"/>
    <w:rsid w:val="00917F9F"/>
    <w:rsid w:val="009243B1"/>
    <w:rsid w:val="009267BF"/>
    <w:rsid w:val="00933D8D"/>
    <w:rsid w:val="00937576"/>
    <w:rsid w:val="00947FAA"/>
    <w:rsid w:val="00957963"/>
    <w:rsid w:val="00960102"/>
    <w:rsid w:val="00967728"/>
    <w:rsid w:val="00973724"/>
    <w:rsid w:val="00973971"/>
    <w:rsid w:val="00973A35"/>
    <w:rsid w:val="00973EEC"/>
    <w:rsid w:val="009872D2"/>
    <w:rsid w:val="00987316"/>
    <w:rsid w:val="009915F9"/>
    <w:rsid w:val="00991720"/>
    <w:rsid w:val="00992690"/>
    <w:rsid w:val="00997D23"/>
    <w:rsid w:val="00997F0C"/>
    <w:rsid w:val="009A0DDC"/>
    <w:rsid w:val="009A12E6"/>
    <w:rsid w:val="009A451A"/>
    <w:rsid w:val="009A69B5"/>
    <w:rsid w:val="009A7E0B"/>
    <w:rsid w:val="009B23E3"/>
    <w:rsid w:val="009B2FF9"/>
    <w:rsid w:val="009B3D2D"/>
    <w:rsid w:val="009C084C"/>
    <w:rsid w:val="009C4A5D"/>
    <w:rsid w:val="009D016F"/>
    <w:rsid w:val="009D02A2"/>
    <w:rsid w:val="009D0D71"/>
    <w:rsid w:val="009D45A2"/>
    <w:rsid w:val="009D540F"/>
    <w:rsid w:val="009D601B"/>
    <w:rsid w:val="009D7B84"/>
    <w:rsid w:val="009E47B9"/>
    <w:rsid w:val="009E7886"/>
    <w:rsid w:val="009F157D"/>
    <w:rsid w:val="009F6695"/>
    <w:rsid w:val="00A01D90"/>
    <w:rsid w:val="00A04A5B"/>
    <w:rsid w:val="00A11FE4"/>
    <w:rsid w:val="00A16EC9"/>
    <w:rsid w:val="00A2214E"/>
    <w:rsid w:val="00A278D5"/>
    <w:rsid w:val="00A3100B"/>
    <w:rsid w:val="00A3308D"/>
    <w:rsid w:val="00A3638A"/>
    <w:rsid w:val="00A469F0"/>
    <w:rsid w:val="00A51383"/>
    <w:rsid w:val="00A51B56"/>
    <w:rsid w:val="00A52AF5"/>
    <w:rsid w:val="00A537D4"/>
    <w:rsid w:val="00A55369"/>
    <w:rsid w:val="00A60A6C"/>
    <w:rsid w:val="00A6134D"/>
    <w:rsid w:val="00A61A7F"/>
    <w:rsid w:val="00A65F37"/>
    <w:rsid w:val="00A70FFC"/>
    <w:rsid w:val="00A8241F"/>
    <w:rsid w:val="00A8333A"/>
    <w:rsid w:val="00AA2CB1"/>
    <w:rsid w:val="00AA48C6"/>
    <w:rsid w:val="00AA56FE"/>
    <w:rsid w:val="00AA664B"/>
    <w:rsid w:val="00AB451D"/>
    <w:rsid w:val="00AB4B3D"/>
    <w:rsid w:val="00AB6522"/>
    <w:rsid w:val="00AB6AFD"/>
    <w:rsid w:val="00AC0F99"/>
    <w:rsid w:val="00AC112B"/>
    <w:rsid w:val="00AC310C"/>
    <w:rsid w:val="00AC61EB"/>
    <w:rsid w:val="00AD773E"/>
    <w:rsid w:val="00AE126F"/>
    <w:rsid w:val="00AE1B50"/>
    <w:rsid w:val="00AE67F5"/>
    <w:rsid w:val="00AF0D89"/>
    <w:rsid w:val="00AF168A"/>
    <w:rsid w:val="00AF3023"/>
    <w:rsid w:val="00B0699A"/>
    <w:rsid w:val="00B07550"/>
    <w:rsid w:val="00B136C9"/>
    <w:rsid w:val="00B1600F"/>
    <w:rsid w:val="00B176F2"/>
    <w:rsid w:val="00B17D83"/>
    <w:rsid w:val="00B2555B"/>
    <w:rsid w:val="00B31271"/>
    <w:rsid w:val="00B36821"/>
    <w:rsid w:val="00B41FBB"/>
    <w:rsid w:val="00B46FD3"/>
    <w:rsid w:val="00B4729B"/>
    <w:rsid w:val="00B50215"/>
    <w:rsid w:val="00B50473"/>
    <w:rsid w:val="00B52B51"/>
    <w:rsid w:val="00B55FC9"/>
    <w:rsid w:val="00B56735"/>
    <w:rsid w:val="00B56CBA"/>
    <w:rsid w:val="00B57768"/>
    <w:rsid w:val="00B57D3C"/>
    <w:rsid w:val="00B57DB1"/>
    <w:rsid w:val="00B6073C"/>
    <w:rsid w:val="00B61CA0"/>
    <w:rsid w:val="00B679F8"/>
    <w:rsid w:val="00B75C17"/>
    <w:rsid w:val="00B77C0D"/>
    <w:rsid w:val="00B83665"/>
    <w:rsid w:val="00B86410"/>
    <w:rsid w:val="00B91C43"/>
    <w:rsid w:val="00B92CED"/>
    <w:rsid w:val="00BA25F6"/>
    <w:rsid w:val="00BA2810"/>
    <w:rsid w:val="00BA521B"/>
    <w:rsid w:val="00BA72DA"/>
    <w:rsid w:val="00BB314E"/>
    <w:rsid w:val="00BB353E"/>
    <w:rsid w:val="00BB4546"/>
    <w:rsid w:val="00BB5BAD"/>
    <w:rsid w:val="00BC244C"/>
    <w:rsid w:val="00BC25CF"/>
    <w:rsid w:val="00BC319E"/>
    <w:rsid w:val="00BC55FF"/>
    <w:rsid w:val="00BC7AD5"/>
    <w:rsid w:val="00BD0EEE"/>
    <w:rsid w:val="00BD2BDB"/>
    <w:rsid w:val="00BD4134"/>
    <w:rsid w:val="00BD5536"/>
    <w:rsid w:val="00BD727D"/>
    <w:rsid w:val="00BF11D0"/>
    <w:rsid w:val="00BF2C5B"/>
    <w:rsid w:val="00BF5564"/>
    <w:rsid w:val="00BF7B8B"/>
    <w:rsid w:val="00C00B22"/>
    <w:rsid w:val="00C01922"/>
    <w:rsid w:val="00C108F4"/>
    <w:rsid w:val="00C114C5"/>
    <w:rsid w:val="00C1386C"/>
    <w:rsid w:val="00C14CF8"/>
    <w:rsid w:val="00C15CF1"/>
    <w:rsid w:val="00C161EF"/>
    <w:rsid w:val="00C23172"/>
    <w:rsid w:val="00C25C9E"/>
    <w:rsid w:val="00C2741B"/>
    <w:rsid w:val="00C35ABB"/>
    <w:rsid w:val="00C3675E"/>
    <w:rsid w:val="00C42D0A"/>
    <w:rsid w:val="00C44C38"/>
    <w:rsid w:val="00C4751E"/>
    <w:rsid w:val="00C50365"/>
    <w:rsid w:val="00C52380"/>
    <w:rsid w:val="00C61C8C"/>
    <w:rsid w:val="00C809C5"/>
    <w:rsid w:val="00C878DF"/>
    <w:rsid w:val="00C87EED"/>
    <w:rsid w:val="00C93F8A"/>
    <w:rsid w:val="00C96527"/>
    <w:rsid w:val="00C970E8"/>
    <w:rsid w:val="00C971ED"/>
    <w:rsid w:val="00C97847"/>
    <w:rsid w:val="00CB0156"/>
    <w:rsid w:val="00CB41DE"/>
    <w:rsid w:val="00CB53EE"/>
    <w:rsid w:val="00CC2F15"/>
    <w:rsid w:val="00CC2F8C"/>
    <w:rsid w:val="00CC31DB"/>
    <w:rsid w:val="00CC7F60"/>
    <w:rsid w:val="00CD1620"/>
    <w:rsid w:val="00CD30F9"/>
    <w:rsid w:val="00CD564C"/>
    <w:rsid w:val="00CE48B5"/>
    <w:rsid w:val="00CE74F9"/>
    <w:rsid w:val="00CF1D01"/>
    <w:rsid w:val="00CF52C3"/>
    <w:rsid w:val="00CF6F73"/>
    <w:rsid w:val="00D0193C"/>
    <w:rsid w:val="00D02011"/>
    <w:rsid w:val="00D026BC"/>
    <w:rsid w:val="00D02D8D"/>
    <w:rsid w:val="00D03206"/>
    <w:rsid w:val="00D0679E"/>
    <w:rsid w:val="00D10A6A"/>
    <w:rsid w:val="00D1398A"/>
    <w:rsid w:val="00D14A14"/>
    <w:rsid w:val="00D1532D"/>
    <w:rsid w:val="00D205D0"/>
    <w:rsid w:val="00D241D1"/>
    <w:rsid w:val="00D26E86"/>
    <w:rsid w:val="00D27469"/>
    <w:rsid w:val="00D325A6"/>
    <w:rsid w:val="00D34F7D"/>
    <w:rsid w:val="00D40875"/>
    <w:rsid w:val="00D42794"/>
    <w:rsid w:val="00D45C93"/>
    <w:rsid w:val="00D472CD"/>
    <w:rsid w:val="00D47DDB"/>
    <w:rsid w:val="00D5566B"/>
    <w:rsid w:val="00D569C9"/>
    <w:rsid w:val="00D6115B"/>
    <w:rsid w:val="00D62EAC"/>
    <w:rsid w:val="00D639DA"/>
    <w:rsid w:val="00D64BE4"/>
    <w:rsid w:val="00D65792"/>
    <w:rsid w:val="00D66749"/>
    <w:rsid w:val="00D71B4D"/>
    <w:rsid w:val="00D72ADB"/>
    <w:rsid w:val="00D777BC"/>
    <w:rsid w:val="00D8413E"/>
    <w:rsid w:val="00D85A37"/>
    <w:rsid w:val="00D87DD1"/>
    <w:rsid w:val="00D90A0A"/>
    <w:rsid w:val="00D942C8"/>
    <w:rsid w:val="00D95043"/>
    <w:rsid w:val="00D95646"/>
    <w:rsid w:val="00D96A69"/>
    <w:rsid w:val="00DA0317"/>
    <w:rsid w:val="00DA1744"/>
    <w:rsid w:val="00DA58D6"/>
    <w:rsid w:val="00DB073B"/>
    <w:rsid w:val="00DB1BF5"/>
    <w:rsid w:val="00DB22EF"/>
    <w:rsid w:val="00DB3BA0"/>
    <w:rsid w:val="00DB57E1"/>
    <w:rsid w:val="00DC429A"/>
    <w:rsid w:val="00DC5943"/>
    <w:rsid w:val="00DD1962"/>
    <w:rsid w:val="00DD4C83"/>
    <w:rsid w:val="00DD6E03"/>
    <w:rsid w:val="00DE4E41"/>
    <w:rsid w:val="00DE587F"/>
    <w:rsid w:val="00DF1047"/>
    <w:rsid w:val="00DF20D4"/>
    <w:rsid w:val="00DF3273"/>
    <w:rsid w:val="00DF560A"/>
    <w:rsid w:val="00DF5880"/>
    <w:rsid w:val="00DF5E99"/>
    <w:rsid w:val="00E00B64"/>
    <w:rsid w:val="00E0175D"/>
    <w:rsid w:val="00E04E2C"/>
    <w:rsid w:val="00E052DC"/>
    <w:rsid w:val="00E0604E"/>
    <w:rsid w:val="00E15E5F"/>
    <w:rsid w:val="00E15F9D"/>
    <w:rsid w:val="00E22657"/>
    <w:rsid w:val="00E24C5F"/>
    <w:rsid w:val="00E26269"/>
    <w:rsid w:val="00E265E7"/>
    <w:rsid w:val="00E33300"/>
    <w:rsid w:val="00E33F15"/>
    <w:rsid w:val="00E36E7A"/>
    <w:rsid w:val="00E41193"/>
    <w:rsid w:val="00E56C70"/>
    <w:rsid w:val="00E5757C"/>
    <w:rsid w:val="00E6558C"/>
    <w:rsid w:val="00E71B26"/>
    <w:rsid w:val="00E71D30"/>
    <w:rsid w:val="00E749DB"/>
    <w:rsid w:val="00E76E84"/>
    <w:rsid w:val="00E813D5"/>
    <w:rsid w:val="00E83F6E"/>
    <w:rsid w:val="00E85EBA"/>
    <w:rsid w:val="00EA00A6"/>
    <w:rsid w:val="00EA00CA"/>
    <w:rsid w:val="00EA0EAF"/>
    <w:rsid w:val="00EA39A5"/>
    <w:rsid w:val="00EA4FB4"/>
    <w:rsid w:val="00EB2D96"/>
    <w:rsid w:val="00EB33A3"/>
    <w:rsid w:val="00EB5593"/>
    <w:rsid w:val="00EB5B17"/>
    <w:rsid w:val="00EC0E25"/>
    <w:rsid w:val="00EC17D2"/>
    <w:rsid w:val="00EC26D0"/>
    <w:rsid w:val="00EC63FE"/>
    <w:rsid w:val="00EC641D"/>
    <w:rsid w:val="00EC6E98"/>
    <w:rsid w:val="00ED3594"/>
    <w:rsid w:val="00ED4618"/>
    <w:rsid w:val="00ED5402"/>
    <w:rsid w:val="00EE0B44"/>
    <w:rsid w:val="00EE53E4"/>
    <w:rsid w:val="00EE636A"/>
    <w:rsid w:val="00EE7330"/>
    <w:rsid w:val="00EE7BA0"/>
    <w:rsid w:val="00EF09CD"/>
    <w:rsid w:val="00EF3422"/>
    <w:rsid w:val="00EF50FE"/>
    <w:rsid w:val="00EF5DBA"/>
    <w:rsid w:val="00EF6981"/>
    <w:rsid w:val="00F014D3"/>
    <w:rsid w:val="00F02994"/>
    <w:rsid w:val="00F02DD0"/>
    <w:rsid w:val="00F2138A"/>
    <w:rsid w:val="00F253FF"/>
    <w:rsid w:val="00F3661E"/>
    <w:rsid w:val="00F36F95"/>
    <w:rsid w:val="00F373B6"/>
    <w:rsid w:val="00F533E6"/>
    <w:rsid w:val="00F5544A"/>
    <w:rsid w:val="00F56239"/>
    <w:rsid w:val="00F62951"/>
    <w:rsid w:val="00F63A13"/>
    <w:rsid w:val="00F64EF0"/>
    <w:rsid w:val="00F65054"/>
    <w:rsid w:val="00F67C59"/>
    <w:rsid w:val="00F7154B"/>
    <w:rsid w:val="00F74389"/>
    <w:rsid w:val="00F7604A"/>
    <w:rsid w:val="00F768D1"/>
    <w:rsid w:val="00F81750"/>
    <w:rsid w:val="00F82998"/>
    <w:rsid w:val="00F83375"/>
    <w:rsid w:val="00F9118A"/>
    <w:rsid w:val="00F933DD"/>
    <w:rsid w:val="00F9748C"/>
    <w:rsid w:val="00F974BF"/>
    <w:rsid w:val="00FA3A6F"/>
    <w:rsid w:val="00FA3B4A"/>
    <w:rsid w:val="00FA5791"/>
    <w:rsid w:val="00FB2367"/>
    <w:rsid w:val="00FB26DF"/>
    <w:rsid w:val="00FB482B"/>
    <w:rsid w:val="00FB5084"/>
    <w:rsid w:val="00FC05E9"/>
    <w:rsid w:val="00FC3F43"/>
    <w:rsid w:val="00FC4EA7"/>
    <w:rsid w:val="00FD1C9C"/>
    <w:rsid w:val="00FE057A"/>
    <w:rsid w:val="00FE2BA6"/>
    <w:rsid w:val="00FE7890"/>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AFAA2-C637-415D-9E29-BA6BC61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228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02282"/>
    <w:pPr>
      <w:spacing w:after="0" w:line="240" w:lineRule="auto"/>
    </w:pPr>
  </w:style>
  <w:style w:type="paragraph" w:styleId="Galvene">
    <w:name w:val="header"/>
    <w:basedOn w:val="Parasts"/>
    <w:link w:val="GalveneRakstz"/>
    <w:uiPriority w:val="99"/>
    <w:unhideWhenUsed/>
    <w:rsid w:val="00702282"/>
    <w:pPr>
      <w:tabs>
        <w:tab w:val="center" w:pos="4513"/>
        <w:tab w:val="right" w:pos="9026"/>
      </w:tabs>
    </w:pPr>
  </w:style>
  <w:style w:type="character" w:customStyle="1" w:styleId="GalveneRakstz">
    <w:name w:val="Galvene Rakstz."/>
    <w:basedOn w:val="Noklusjumarindkopasfonts"/>
    <w:link w:val="Galvene"/>
    <w:uiPriority w:val="99"/>
    <w:rsid w:val="00702282"/>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02282"/>
    <w:pPr>
      <w:tabs>
        <w:tab w:val="center" w:pos="4513"/>
        <w:tab w:val="right" w:pos="9026"/>
      </w:tabs>
    </w:pPr>
  </w:style>
  <w:style w:type="character" w:customStyle="1" w:styleId="KjeneRakstz">
    <w:name w:val="Kājene Rakstz."/>
    <w:basedOn w:val="Noklusjumarindkopasfonts"/>
    <w:link w:val="Kjene"/>
    <w:uiPriority w:val="99"/>
    <w:rsid w:val="00702282"/>
    <w:rPr>
      <w:rFonts w:ascii="Times New Roman" w:eastAsia="Times New Roman" w:hAnsi="Times New Roman" w:cs="Times New Roman"/>
      <w:sz w:val="24"/>
      <w:szCs w:val="24"/>
      <w:lang w:eastAsia="lv-LV"/>
    </w:rPr>
  </w:style>
  <w:style w:type="table" w:styleId="Reatabula">
    <w:name w:val="Table Grid"/>
    <w:basedOn w:val="Parastatabula"/>
    <w:uiPriority w:val="59"/>
    <w:rsid w:val="00702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702282"/>
    <w:rPr>
      <w:b/>
      <w:bCs/>
    </w:rPr>
  </w:style>
  <w:style w:type="paragraph" w:styleId="Balonteksts">
    <w:name w:val="Balloon Text"/>
    <w:basedOn w:val="Parasts"/>
    <w:link w:val="BalontekstsRakstz"/>
    <w:uiPriority w:val="99"/>
    <w:semiHidden/>
    <w:unhideWhenUsed/>
    <w:rsid w:val="00973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7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10845</Words>
  <Characters>6182</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Par finanšu līdzekļu piešķiršanu no valsts budžeta programmas "Līdzekļi neparedzētiem gadījumiem"</vt:lpstr>
    </vt:vector>
  </TitlesOfParts>
  <Manager>Veterinārais un pārtikas departaments</Manager>
  <Company>Zemkopibas Ministrija</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finanšu līdzekļu piešķiršanu no valsts budžeta programmas "Līdzekļi neparedzētiem gadījumiem""</dc:title>
  <dc:subject>Anotācija</dc:subject>
  <dc:creator>Sanita Vanaga</dc:creator>
  <dc:description>Vanaga 67027363_x000d_
sanita.vanaga@zm.gov.lv</dc:description>
  <cp:lastModifiedBy>Kristiāna Sebre</cp:lastModifiedBy>
  <cp:revision>3</cp:revision>
  <cp:lastPrinted>2019-01-11T09:19:00Z</cp:lastPrinted>
  <dcterms:created xsi:type="dcterms:W3CDTF">2019-01-24T06:28:00Z</dcterms:created>
  <dcterms:modified xsi:type="dcterms:W3CDTF">2019-01-24T06:56:00Z</dcterms:modified>
</cp:coreProperties>
</file>