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C31E" w14:textId="64F0247C" w:rsidR="00A322A9" w:rsidRPr="00736C80" w:rsidRDefault="00A322A9" w:rsidP="00D52579">
      <w:pPr>
        <w:pStyle w:val="Heading3"/>
        <w:jc w:val="center"/>
        <w:rPr>
          <w:rFonts w:ascii="Times New Roman" w:hAnsi="Times New Roman"/>
          <w:sz w:val="28"/>
          <w:szCs w:val="28"/>
        </w:rPr>
      </w:pPr>
      <w:bookmarkStart w:id="0" w:name="_GoBack"/>
      <w:bookmarkEnd w:id="0"/>
      <w:r w:rsidRPr="00736C80">
        <w:rPr>
          <w:rFonts w:ascii="Times New Roman" w:hAnsi="Times New Roman"/>
          <w:sz w:val="28"/>
          <w:szCs w:val="28"/>
        </w:rPr>
        <w:t>Ministru kabineta noteikumu projekta “</w:t>
      </w:r>
      <w:r w:rsidR="00526955">
        <w:rPr>
          <w:rFonts w:ascii="Times New Roman" w:hAnsi="Times New Roman"/>
          <w:bCs w:val="0"/>
          <w:sz w:val="28"/>
          <w:szCs w:val="28"/>
        </w:rPr>
        <w:t>D</w:t>
      </w:r>
      <w:r w:rsidR="00D52579" w:rsidRPr="00736C80">
        <w:rPr>
          <w:rFonts w:ascii="Times New Roman" w:hAnsi="Times New Roman"/>
          <w:bCs w:val="0"/>
          <w:sz w:val="28"/>
          <w:szCs w:val="28"/>
        </w:rPr>
        <w:t>rošuma prasīb</w:t>
      </w:r>
      <w:r w:rsidR="00526955">
        <w:rPr>
          <w:rFonts w:ascii="Times New Roman" w:hAnsi="Times New Roman"/>
          <w:bCs w:val="0"/>
          <w:sz w:val="28"/>
          <w:szCs w:val="28"/>
        </w:rPr>
        <w:t>as</w:t>
      </w:r>
      <w:r w:rsidR="00D52579" w:rsidRPr="00736C80">
        <w:rPr>
          <w:rFonts w:ascii="Times New Roman" w:hAnsi="Times New Roman"/>
          <w:bCs w:val="0"/>
          <w:sz w:val="28"/>
          <w:szCs w:val="28"/>
        </w:rPr>
        <w:t xml:space="preserve"> </w:t>
      </w:r>
      <w:r w:rsidR="002C15E1">
        <w:rPr>
          <w:rFonts w:ascii="Times New Roman" w:hAnsi="Times New Roman"/>
          <w:bCs w:val="0"/>
          <w:sz w:val="28"/>
          <w:szCs w:val="28"/>
        </w:rPr>
        <w:t>bērnu spēļu laukumiem</w:t>
      </w:r>
      <w:r w:rsidRPr="00736C80">
        <w:rPr>
          <w:rFonts w:ascii="Times New Roman" w:hAnsi="Times New Roman"/>
          <w:sz w:val="28"/>
          <w:szCs w:val="28"/>
        </w:rPr>
        <w:t>”</w:t>
      </w:r>
    </w:p>
    <w:p w14:paraId="481A18A9" w14:textId="77777777" w:rsidR="00A322A9" w:rsidRPr="00736C80" w:rsidRDefault="00A322A9" w:rsidP="00A322A9">
      <w:pPr>
        <w:jc w:val="center"/>
        <w:rPr>
          <w:b/>
          <w:sz w:val="28"/>
          <w:szCs w:val="28"/>
        </w:rPr>
      </w:pPr>
      <w:r w:rsidRPr="00736C80">
        <w:rPr>
          <w:b/>
          <w:sz w:val="28"/>
          <w:szCs w:val="28"/>
        </w:rPr>
        <w:t xml:space="preserve">sākotnējās ietekmes novērtējuma </w:t>
      </w:r>
      <w:smartTag w:uri="schemas-tilde-lv/tildestengine" w:element="veidnes">
        <w:smartTagPr>
          <w:attr w:name="text" w:val="ziņojums"/>
          <w:attr w:name="baseform" w:val="ziņojums"/>
          <w:attr w:name="id" w:val="-1"/>
        </w:smartTagPr>
        <w:r w:rsidRPr="00736C80">
          <w:rPr>
            <w:b/>
            <w:sz w:val="28"/>
            <w:szCs w:val="28"/>
          </w:rPr>
          <w:t>ziņojums</w:t>
        </w:r>
      </w:smartTag>
      <w:r w:rsidRPr="00736C80">
        <w:rPr>
          <w:b/>
          <w:sz w:val="28"/>
          <w:szCs w:val="28"/>
        </w:rPr>
        <w:t xml:space="preserve"> (anotācija)</w:t>
      </w:r>
    </w:p>
    <w:p w14:paraId="0DCF51A9" w14:textId="77777777" w:rsidR="00B70BD4" w:rsidRPr="00ED7893" w:rsidRDefault="00B70BD4" w:rsidP="00B70BD4">
      <w:pPr>
        <w:pStyle w:val="naislab"/>
        <w:spacing w:before="0" w:after="0"/>
        <w:ind w:right="-99"/>
        <w:jc w:val="center"/>
        <w:outlineLvl w:val="0"/>
        <w:rPr>
          <w: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9"/>
        <w:gridCol w:w="4928"/>
      </w:tblGrid>
      <w:tr w:rsidR="00B70BD4" w:rsidRPr="00ED7893" w14:paraId="7108F41B" w14:textId="77777777" w:rsidTr="009335A0">
        <w:tc>
          <w:tcPr>
            <w:tcW w:w="8217" w:type="dxa"/>
            <w:gridSpan w:val="2"/>
            <w:tcBorders>
              <w:top w:val="single" w:sz="4" w:space="0" w:color="auto"/>
              <w:left w:val="single" w:sz="4" w:space="0" w:color="auto"/>
              <w:bottom w:val="single" w:sz="4" w:space="0" w:color="auto"/>
              <w:right w:val="single" w:sz="4" w:space="0" w:color="auto"/>
            </w:tcBorders>
          </w:tcPr>
          <w:p w14:paraId="657C6A5A" w14:textId="77777777" w:rsidR="00B70BD4" w:rsidRPr="00ED7893" w:rsidRDefault="00B70BD4" w:rsidP="00F3767B">
            <w:pPr>
              <w:pStyle w:val="naisnod"/>
              <w:spacing w:before="0" w:after="0"/>
              <w:ind w:left="57" w:right="-99"/>
            </w:pPr>
            <w:r w:rsidRPr="00ED7893">
              <w:t>Tiesību akta projekta anotācijas kopsavilkums</w:t>
            </w:r>
          </w:p>
        </w:tc>
      </w:tr>
      <w:tr w:rsidR="00B70BD4" w:rsidRPr="00ED7893" w14:paraId="172888B7" w14:textId="77777777" w:rsidTr="009335A0">
        <w:trPr>
          <w:trHeight w:val="427"/>
        </w:trPr>
        <w:tc>
          <w:tcPr>
            <w:tcW w:w="3289" w:type="dxa"/>
            <w:tcBorders>
              <w:top w:val="single" w:sz="4" w:space="0" w:color="auto"/>
              <w:left w:val="single" w:sz="4" w:space="0" w:color="auto"/>
              <w:bottom w:val="single" w:sz="4" w:space="0" w:color="auto"/>
              <w:right w:val="single" w:sz="4" w:space="0" w:color="auto"/>
            </w:tcBorders>
          </w:tcPr>
          <w:p w14:paraId="7F89A1D9" w14:textId="483A8C34" w:rsidR="00B70BD4" w:rsidRPr="00ED7893" w:rsidRDefault="00B70BD4" w:rsidP="00F3767B">
            <w:pPr>
              <w:pStyle w:val="naisf"/>
              <w:spacing w:before="0" w:after="0"/>
              <w:ind w:left="57" w:right="-99" w:firstLine="0"/>
              <w:jc w:val="left"/>
            </w:pPr>
            <w:r w:rsidRPr="00ED7893">
              <w:t>Mērķis, risinājums un projekta spēkā stāšanās laiks</w:t>
            </w:r>
          </w:p>
        </w:tc>
        <w:tc>
          <w:tcPr>
            <w:tcW w:w="4928" w:type="dxa"/>
            <w:tcBorders>
              <w:top w:val="single" w:sz="4" w:space="0" w:color="auto"/>
              <w:left w:val="single" w:sz="4" w:space="0" w:color="auto"/>
              <w:bottom w:val="single" w:sz="4" w:space="0" w:color="auto"/>
              <w:right w:val="single" w:sz="4" w:space="0" w:color="auto"/>
            </w:tcBorders>
          </w:tcPr>
          <w:p w14:paraId="4CE98C61" w14:textId="567F7AB7" w:rsidR="00C64774" w:rsidRDefault="00947959" w:rsidP="00C64774">
            <w:pPr>
              <w:spacing w:before="20" w:after="20"/>
              <w:jc w:val="both"/>
            </w:pPr>
            <w:r w:rsidRPr="003B70C1">
              <w:t>Ministru kabineta noteikumu projekta “</w:t>
            </w:r>
            <w:r w:rsidR="00526955">
              <w:t>D</w:t>
            </w:r>
            <w:r w:rsidRPr="003B70C1">
              <w:t>rošuma prasīb</w:t>
            </w:r>
            <w:r w:rsidR="00526955">
              <w:t>as</w:t>
            </w:r>
            <w:r w:rsidRPr="003B70C1">
              <w:t xml:space="preserve"> bērnu spēļu laukumiem” (turpmāk – </w:t>
            </w:r>
            <w:r w:rsidR="00C64774" w:rsidRPr="00947959">
              <w:t>Noteikumu projekts</w:t>
            </w:r>
            <w:r w:rsidRPr="00947959">
              <w:t>)</w:t>
            </w:r>
            <w:r w:rsidR="005F0143" w:rsidRPr="00994DF3">
              <w:t xml:space="preserve"> mērķis</w:t>
            </w:r>
            <w:r w:rsidR="00C64774" w:rsidRPr="00994DF3">
              <w:t xml:space="preserve"> </w:t>
            </w:r>
            <w:r w:rsidR="00572134" w:rsidRPr="00994DF3">
              <w:t xml:space="preserve">ir </w:t>
            </w:r>
            <w:r w:rsidR="00526955">
              <w:t xml:space="preserve">noteikt speciālās drošuma </w:t>
            </w:r>
            <w:r w:rsidR="00C64774">
              <w:t xml:space="preserve">prasības bērnu spēļu </w:t>
            </w:r>
            <w:r w:rsidR="00526955">
              <w:t xml:space="preserve">vai citu aktivitāšu </w:t>
            </w:r>
            <w:r w:rsidR="00C64774">
              <w:t>iekārtām</w:t>
            </w:r>
            <w:r w:rsidR="00BC158A">
              <w:t>, aprīkojumam</w:t>
            </w:r>
            <w:r w:rsidR="00C64774">
              <w:t xml:space="preserve"> un spēļu laukumiem</w:t>
            </w:r>
            <w:r w:rsidR="009D686D">
              <w:t xml:space="preserve"> un to novērtēšanas kārtību</w:t>
            </w:r>
            <w:r w:rsidR="00C64774">
              <w:t xml:space="preserve">. </w:t>
            </w:r>
          </w:p>
          <w:p w14:paraId="36BB4885" w14:textId="3450060E" w:rsidR="00C64774" w:rsidRDefault="00C64774" w:rsidP="00C64774">
            <w:pPr>
              <w:spacing w:before="20" w:after="20"/>
              <w:jc w:val="both"/>
            </w:pPr>
            <w:r>
              <w:t xml:space="preserve">Noteikumu projektā ietvertas obligātās drošuma prasības attiecībā uz spēļu </w:t>
            </w:r>
            <w:r w:rsidR="00526955">
              <w:t xml:space="preserve">vai citu aktivitāšu </w:t>
            </w:r>
            <w:r>
              <w:t xml:space="preserve">iekārtas vai spēļu laukuma ražotāja, importētāja vai izplatītāja pienākumiem, obligāti veicamajām </w:t>
            </w:r>
            <w:proofErr w:type="spellStart"/>
            <w:r>
              <w:t>pēcuzstādīšanas</w:t>
            </w:r>
            <w:proofErr w:type="spellEnd"/>
            <w:r>
              <w:t xml:space="preserve"> pārbaudēm, spēļu laukumu reģistrāciju, spēļu</w:t>
            </w:r>
            <w:r w:rsidR="00526955">
              <w:t xml:space="preserve"> vai citu aktivitāšu</w:t>
            </w:r>
            <w:r>
              <w:t xml:space="preserve"> iekārtu un  spēļu laukumu apkopi (uzturēšanu) un uzraudzības pasākumiem. </w:t>
            </w:r>
          </w:p>
          <w:p w14:paraId="7D05220C" w14:textId="7393903A" w:rsidR="00526955" w:rsidRDefault="00526955" w:rsidP="00C64774">
            <w:pPr>
              <w:spacing w:before="20" w:after="20"/>
              <w:jc w:val="both"/>
            </w:pPr>
            <w:r>
              <w:t xml:space="preserve">Ar Noteikumu projektu paredzēti konkrēti pienākumi un atbildība publiski pieejamu spēļu vai citu aktivitāšu iekārtu un </w:t>
            </w:r>
            <w:r w:rsidR="00EC61E0">
              <w:t xml:space="preserve">spēļu </w:t>
            </w:r>
            <w:r>
              <w:t xml:space="preserve">laukumu īpašniekiem, tiesiskajiem valdītājiem, kas veicinās jau </w:t>
            </w:r>
            <w:r w:rsidR="00533F62">
              <w:t>uzstādīto un lietošanā esošo, kā arī no jauna lietošanai atvērto bērnu spēļu laukumu drošuma nodrošināšanu un uzturēšanu.</w:t>
            </w:r>
          </w:p>
          <w:p w14:paraId="5E12ED5A" w14:textId="490A12D2" w:rsidR="00B70BD4" w:rsidRPr="00ED7893" w:rsidRDefault="00C64774" w:rsidP="00C64774">
            <w:pPr>
              <w:rPr>
                <w:b/>
              </w:rPr>
            </w:pPr>
            <w:r>
              <w:t xml:space="preserve">Noteikumu projekta spēkā stāšanās laiks – </w:t>
            </w:r>
            <w:r w:rsidR="00F31C09">
              <w:t xml:space="preserve">nākamajā dienā </w:t>
            </w:r>
            <w:r w:rsidR="00EA326A">
              <w:t>pēc izsludināšanas</w:t>
            </w:r>
            <w:r w:rsidR="00D33F83">
              <w:t>.</w:t>
            </w:r>
          </w:p>
        </w:tc>
      </w:tr>
    </w:tbl>
    <w:p w14:paraId="091180FE" w14:textId="77777777" w:rsidR="00B70BD4" w:rsidRPr="00ED7893" w:rsidRDefault="00B70BD4" w:rsidP="00B70BD4">
      <w:pPr>
        <w:pStyle w:val="naislab"/>
        <w:spacing w:before="0" w:after="0"/>
        <w:ind w:right="-99"/>
        <w:jc w:val="center"/>
        <w:outlineLvl w:val="0"/>
        <w:rPr>
          <w:b/>
        </w:rPr>
      </w:pPr>
    </w:p>
    <w:p w14:paraId="2C30DF2A" w14:textId="77777777" w:rsidR="00A322A9" w:rsidRPr="00736C80" w:rsidRDefault="00A322A9" w:rsidP="00A322A9">
      <w:pP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49"/>
        <w:gridCol w:w="5780"/>
      </w:tblGrid>
      <w:tr w:rsidR="00A322A9" w:rsidRPr="00FB41DC" w14:paraId="70F253D6" w14:textId="77777777" w:rsidTr="008F23E6">
        <w:tc>
          <w:tcPr>
            <w:tcW w:w="9252" w:type="dxa"/>
            <w:gridSpan w:val="3"/>
          </w:tcPr>
          <w:p w14:paraId="69EE2AF1" w14:textId="77777777" w:rsidR="00A322A9" w:rsidRPr="00FB41DC" w:rsidRDefault="00A322A9" w:rsidP="008F23E6">
            <w:pPr>
              <w:jc w:val="center"/>
              <w:rPr>
                <w:b/>
              </w:rPr>
            </w:pPr>
            <w:r w:rsidRPr="00FB41DC">
              <w:rPr>
                <w:b/>
              </w:rPr>
              <w:t>I. Tiesību akta projekta izstrādes nepieciešamība</w:t>
            </w:r>
          </w:p>
        </w:tc>
      </w:tr>
      <w:tr w:rsidR="00A322A9" w:rsidRPr="0062273E" w14:paraId="5C88735F" w14:textId="77777777" w:rsidTr="008F23E6">
        <w:tc>
          <w:tcPr>
            <w:tcW w:w="720" w:type="dxa"/>
          </w:tcPr>
          <w:p w14:paraId="1B87355A" w14:textId="77777777" w:rsidR="00A322A9" w:rsidRPr="0062273E" w:rsidRDefault="00A322A9" w:rsidP="008F23E6">
            <w:pPr>
              <w:jc w:val="center"/>
            </w:pPr>
            <w:r w:rsidRPr="0062273E">
              <w:t>1.</w:t>
            </w:r>
          </w:p>
        </w:tc>
        <w:tc>
          <w:tcPr>
            <w:tcW w:w="1574" w:type="dxa"/>
          </w:tcPr>
          <w:p w14:paraId="2D1673DF" w14:textId="77777777" w:rsidR="00A322A9" w:rsidRPr="0062273E" w:rsidRDefault="00A322A9" w:rsidP="008F23E6">
            <w:r w:rsidRPr="0062273E">
              <w:t>Pamatojums</w:t>
            </w:r>
          </w:p>
        </w:tc>
        <w:tc>
          <w:tcPr>
            <w:tcW w:w="6958" w:type="dxa"/>
          </w:tcPr>
          <w:p w14:paraId="5C288579" w14:textId="4DEC5592" w:rsidR="00647AC8" w:rsidRDefault="00647AC8" w:rsidP="00647AC8">
            <w:pPr>
              <w:pStyle w:val="naisf"/>
              <w:spacing w:before="0" w:after="0"/>
              <w:ind w:left="70" w:firstLine="0"/>
            </w:pPr>
            <w:r>
              <w:t>N</w:t>
            </w:r>
            <w:r w:rsidR="00C64774">
              <w:t>oteikumu projekts</w:t>
            </w:r>
            <w:r>
              <w:t xml:space="preserve"> ir </w:t>
            </w:r>
            <w:r w:rsidR="00F329C4" w:rsidRPr="00C80099">
              <w:t xml:space="preserve">izstrādāts pēc Ekonomikas ministrijas un Patērētāju tiesību aizsardzības centra </w:t>
            </w:r>
            <w:r w:rsidR="00B0355A">
              <w:t xml:space="preserve">(turpmāk – PTAC) </w:t>
            </w:r>
            <w:r w:rsidR="00F329C4" w:rsidRPr="00C80099">
              <w:t xml:space="preserve">iniciatīvas, lai novērstu </w:t>
            </w:r>
            <w:r w:rsidR="00F329C4">
              <w:t xml:space="preserve">bērnu spēļu iekārtu un spēļu laukumu </w:t>
            </w:r>
            <w:r w:rsidR="00F329C4" w:rsidRPr="00C80099">
              <w:t xml:space="preserve">radīto </w:t>
            </w:r>
            <w:r w:rsidR="00EE2B8C">
              <w:t xml:space="preserve">cilvēka </w:t>
            </w:r>
            <w:r w:rsidR="00F329C4">
              <w:t>ievainojumu un traumu risku</w:t>
            </w:r>
            <w:r w:rsidR="00F329C4" w:rsidRPr="00C80099">
              <w:t>.</w:t>
            </w:r>
          </w:p>
          <w:p w14:paraId="0E0718C3" w14:textId="77276892" w:rsidR="00A322A9" w:rsidRDefault="002D4002" w:rsidP="00647AC8">
            <w:pPr>
              <w:pStyle w:val="naisf"/>
              <w:spacing w:before="0" w:after="0"/>
              <w:ind w:left="70" w:firstLine="0"/>
            </w:pPr>
            <w:r>
              <w:t>N</w:t>
            </w:r>
            <w:r w:rsidR="00A322A9">
              <w:t>oteikumu projekts ir iz</w:t>
            </w:r>
            <w:r w:rsidR="00647AC8">
              <w:t>strādā</w:t>
            </w:r>
            <w:r w:rsidR="00A322A9">
              <w:t xml:space="preserve">ts saskaņā ar </w:t>
            </w:r>
            <w:r w:rsidR="00736C80">
              <w:t>Preču un pakalpojumu drošuma likuma 8.</w:t>
            </w:r>
            <w:r w:rsidR="00736C80" w:rsidRPr="00736C80">
              <w:rPr>
                <w:vertAlign w:val="superscript"/>
              </w:rPr>
              <w:t>1</w:t>
            </w:r>
            <w:r w:rsidR="00736C80">
              <w:t xml:space="preserve"> pant</w:t>
            </w:r>
            <w:r w:rsidR="001A6AA0">
              <w:t>u</w:t>
            </w:r>
            <w:r w:rsidR="00A322A9">
              <w:t>.</w:t>
            </w:r>
          </w:p>
          <w:p w14:paraId="414DB0E7" w14:textId="77777777" w:rsidR="00F329C4" w:rsidRPr="00EF35EA" w:rsidRDefault="00F329C4" w:rsidP="00736C80">
            <w:pPr>
              <w:jc w:val="both"/>
              <w:rPr>
                <w:sz w:val="22"/>
              </w:rPr>
            </w:pPr>
          </w:p>
        </w:tc>
      </w:tr>
      <w:tr w:rsidR="00A322A9" w:rsidRPr="00FB41DC" w14:paraId="48DF34DF" w14:textId="77777777" w:rsidTr="008F23E6">
        <w:tc>
          <w:tcPr>
            <w:tcW w:w="720" w:type="dxa"/>
          </w:tcPr>
          <w:p w14:paraId="79BEDB1A" w14:textId="77777777" w:rsidR="00A322A9" w:rsidRPr="00FB41DC" w:rsidRDefault="00A322A9" w:rsidP="008F23E6">
            <w:pPr>
              <w:jc w:val="center"/>
            </w:pPr>
            <w:r w:rsidRPr="00FB41DC">
              <w:t>2.</w:t>
            </w:r>
          </w:p>
        </w:tc>
        <w:tc>
          <w:tcPr>
            <w:tcW w:w="1574" w:type="dxa"/>
          </w:tcPr>
          <w:p w14:paraId="7A559ABA" w14:textId="77777777" w:rsidR="00A322A9" w:rsidRDefault="00A322A9" w:rsidP="008F23E6">
            <w:r w:rsidRPr="00FB41DC">
              <w:t>Pašreizējā situācija un problēmas</w:t>
            </w:r>
            <w:r w:rsidR="00423603">
              <w:t>, kuru risināšanai tiesību akta</w:t>
            </w:r>
            <w:r>
              <w:t xml:space="preserve"> projekts izstrādāts, tiesiskā </w:t>
            </w:r>
            <w:r>
              <w:lastRenderedPageBreak/>
              <w:t>regulējuma mērķis un būtība</w:t>
            </w:r>
          </w:p>
          <w:p w14:paraId="29E85B40" w14:textId="61183FD4" w:rsidR="004721A1" w:rsidRPr="00FB41DC" w:rsidRDefault="004721A1" w:rsidP="008F23E6"/>
        </w:tc>
        <w:tc>
          <w:tcPr>
            <w:tcW w:w="6958" w:type="dxa"/>
          </w:tcPr>
          <w:p w14:paraId="520161D1" w14:textId="77777777" w:rsidR="0068388C" w:rsidRDefault="0068388C" w:rsidP="00312757">
            <w:pPr>
              <w:spacing w:before="20" w:after="20"/>
              <w:jc w:val="both"/>
              <w:rPr>
                <w:u w:val="single"/>
              </w:rPr>
            </w:pPr>
            <w:r w:rsidRPr="0068388C">
              <w:rPr>
                <w:u w:val="single"/>
              </w:rPr>
              <w:lastRenderedPageBreak/>
              <w:t>Tiesiskā regulējuma mērķis un būtība</w:t>
            </w:r>
          </w:p>
          <w:p w14:paraId="1A127847" w14:textId="089E93CD" w:rsidR="00312757" w:rsidRDefault="00312757" w:rsidP="00312757">
            <w:pPr>
              <w:spacing w:before="20" w:after="20"/>
              <w:jc w:val="both"/>
            </w:pPr>
            <w:r>
              <w:t>Ekonomikas ministrija ir izstrādājusi Noteikumu projektu, jo p</w:t>
            </w:r>
            <w:r w:rsidR="001A6AA0">
              <w:t>ašreiz</w:t>
            </w:r>
            <w:r w:rsidR="00F178D9">
              <w:t xml:space="preserve"> normatīvie </w:t>
            </w:r>
            <w:r w:rsidR="00F178D9" w:rsidRPr="00544AC6">
              <w:t>akti ne</w:t>
            </w:r>
            <w:r w:rsidR="001A6AA0" w:rsidRPr="00544AC6">
              <w:t xml:space="preserve">paredz konkrētas drošuma prasības </w:t>
            </w:r>
            <w:r w:rsidR="00EC61E0" w:rsidRPr="00544AC6">
              <w:t xml:space="preserve">publiskai lietošanai </w:t>
            </w:r>
            <w:r w:rsidR="00F178D9" w:rsidRPr="00544AC6">
              <w:t>bērnu spēļu</w:t>
            </w:r>
            <w:r w:rsidR="00985C3F" w:rsidRPr="00544AC6">
              <w:t xml:space="preserve"> vai citu aktivitāšu</w:t>
            </w:r>
            <w:r w:rsidR="00F178D9" w:rsidRPr="00544AC6">
              <w:t xml:space="preserve"> iekārtām</w:t>
            </w:r>
            <w:r w:rsidR="00544AC6" w:rsidRPr="00544AC6">
              <w:t>, aprīkojumam</w:t>
            </w:r>
            <w:r w:rsidR="00F178D9" w:rsidRPr="00544AC6">
              <w:t xml:space="preserve"> </w:t>
            </w:r>
            <w:r w:rsidR="00544AC6" w:rsidRPr="00544AC6">
              <w:t>(turpmāk –  spēļu vai citu aktivitāšu iekārtas)</w:t>
            </w:r>
            <w:r w:rsidR="00544AC6">
              <w:t xml:space="preserve"> </w:t>
            </w:r>
            <w:r w:rsidR="00F178D9" w:rsidRPr="00544AC6">
              <w:t>un spēļu</w:t>
            </w:r>
            <w:r w:rsidR="00F178D9">
              <w:t xml:space="preserve"> laukumiem.</w:t>
            </w:r>
            <w:r>
              <w:t xml:space="preserve"> </w:t>
            </w:r>
          </w:p>
          <w:p w14:paraId="519CFE1B" w14:textId="618D2A20" w:rsidR="00BF2AD3" w:rsidRDefault="00312757" w:rsidP="00EC65E8">
            <w:pPr>
              <w:spacing w:before="20" w:after="20"/>
              <w:jc w:val="both"/>
            </w:pPr>
            <w:r>
              <w:t>Noteikumu projektā ietvertas obligātās drošuma prasības</w:t>
            </w:r>
            <w:r w:rsidR="00BF2AD3">
              <w:t xml:space="preserve"> attiecībā uz spēļu </w:t>
            </w:r>
            <w:r w:rsidR="00985C3F">
              <w:t xml:space="preserve">vai citu aktivitāšu </w:t>
            </w:r>
            <w:r w:rsidR="00BF2AD3">
              <w:t xml:space="preserve">iekārtas vai spēļu </w:t>
            </w:r>
            <w:r w:rsidR="00BF2AD3">
              <w:lastRenderedPageBreak/>
              <w:t>laukuma ražotāja</w:t>
            </w:r>
            <w:r w:rsidR="009C35A2">
              <w:t>, importētāja</w:t>
            </w:r>
            <w:r w:rsidR="002D4002">
              <w:t xml:space="preserve"> vai </w:t>
            </w:r>
            <w:r w:rsidR="009C35A2">
              <w:t>izplatītāja</w:t>
            </w:r>
            <w:r w:rsidR="00BF2AD3">
              <w:t xml:space="preserve"> pienākumiem, </w:t>
            </w:r>
            <w:r w:rsidR="00985C3F">
              <w:t xml:space="preserve">spēļu vai citu aktivitāšu iekārtas vai spēļu laukuma īpašnieka vai tiesiskā valdītāja (turpmāk – valdītājs) </w:t>
            </w:r>
            <w:r w:rsidR="00BF2AD3">
              <w:t xml:space="preserve">obligāti veicamajām </w:t>
            </w:r>
            <w:proofErr w:type="spellStart"/>
            <w:r w:rsidR="00BF2AD3">
              <w:t>pēcuzstādīšanas</w:t>
            </w:r>
            <w:proofErr w:type="spellEnd"/>
            <w:r w:rsidR="00BF2AD3">
              <w:t xml:space="preserve"> pārbaudēm, </w:t>
            </w:r>
            <w:r w:rsidR="00085BC2">
              <w:t xml:space="preserve">spēļu laukumu reģistrāciju, </w:t>
            </w:r>
            <w:r w:rsidR="00985C3F">
              <w:t>to</w:t>
            </w:r>
            <w:r w:rsidR="00BF2AD3">
              <w:t xml:space="preserve"> apkopi (</w:t>
            </w:r>
            <w:r w:rsidR="009C35A2">
              <w:t>uzturē</w:t>
            </w:r>
            <w:r w:rsidR="00BF2AD3">
              <w:t xml:space="preserve">šanu) un uzraudzības pasākumiem. </w:t>
            </w:r>
          </w:p>
          <w:p w14:paraId="32E73FF5" w14:textId="3492D544" w:rsidR="00121808" w:rsidRDefault="00121808" w:rsidP="00EC65E8">
            <w:pPr>
              <w:spacing w:before="20" w:after="20"/>
              <w:jc w:val="both"/>
            </w:pPr>
            <w:r>
              <w:t xml:space="preserve">Noteikumu projekts paredz, ka pirms spēļu </w:t>
            </w:r>
            <w:r w:rsidR="00985C3F">
              <w:t xml:space="preserve">vai citu aktivitāšu iekārtas </w:t>
            </w:r>
            <w:r>
              <w:t>laišanas tirgū ražotājs veic iekārtas atbilstības novērtēšanu (iekšējā ražošanas kontrole), kas ietver konkrētas prasības attiecībā uz iekārtas tehnisko dokumentāciju un marķēšanu.</w:t>
            </w:r>
            <w:r w:rsidR="00F12CA9">
              <w:t xml:space="preserve"> Noteikumu projekts paredz, ka šādu prasību izpildi nodrošina arī importētājs, savukārt izplatītājs pārliecinās, ka tās ir izpildītas.</w:t>
            </w:r>
          </w:p>
          <w:p w14:paraId="119B3994" w14:textId="409DE451" w:rsidR="00943603" w:rsidRPr="00C669EF" w:rsidRDefault="00121808" w:rsidP="00EC65E8">
            <w:pPr>
              <w:spacing w:before="20" w:after="20"/>
              <w:jc w:val="both"/>
            </w:pPr>
            <w:r>
              <w:t>Tāpat Noteikumu projektā ietv</w:t>
            </w:r>
            <w:r w:rsidR="000D04C4">
              <w:t>e</w:t>
            </w:r>
            <w:r>
              <w:t>rtas</w:t>
            </w:r>
            <w:r w:rsidR="000D04C4">
              <w:t xml:space="preserve"> </w:t>
            </w:r>
            <w:r w:rsidR="00F12CA9">
              <w:t xml:space="preserve">prasības publisko spēļu laukumu valdītājiem </w:t>
            </w:r>
            <w:r w:rsidR="000D04C4">
              <w:t xml:space="preserve">attiecībā uz </w:t>
            </w:r>
            <w:r>
              <w:t xml:space="preserve"> obligāt</w:t>
            </w:r>
            <w:r w:rsidR="000D04C4">
              <w:t>i veicamajām</w:t>
            </w:r>
            <w:r>
              <w:t xml:space="preserve">  </w:t>
            </w:r>
            <w:proofErr w:type="spellStart"/>
            <w:r w:rsidR="000D04C4">
              <w:t>pēcuzstādīšanas</w:t>
            </w:r>
            <w:proofErr w:type="spellEnd"/>
            <w:r w:rsidR="000D04C4">
              <w:t xml:space="preserve"> pārbaudēm un apkopes </w:t>
            </w:r>
            <w:r w:rsidR="00085BC2">
              <w:t xml:space="preserve">jeb uzturēšanas </w:t>
            </w:r>
            <w:r w:rsidR="000D04C4">
              <w:t xml:space="preserve">programmām. </w:t>
            </w:r>
            <w:r w:rsidR="00F12CA9">
              <w:t>Noteikumu projekts paredz, ka p</w:t>
            </w:r>
            <w:r w:rsidR="00F12CA9" w:rsidRPr="00F12CA9">
              <w:t xml:space="preserve">ublisko spēļu laukumu un tajos uzstādīto spēļu vai citu aktivitāšu iekārtu </w:t>
            </w:r>
            <w:proofErr w:type="spellStart"/>
            <w:r w:rsidR="00F12CA9" w:rsidRPr="00F12CA9">
              <w:t>pēcuzstādīšanas</w:t>
            </w:r>
            <w:proofErr w:type="spellEnd"/>
            <w:r w:rsidR="00F12CA9" w:rsidRPr="00F12CA9">
              <w:t xml:space="preserve"> pārbaudi veic Nacionālajā akreditācijas institūcijā akreditēt</w:t>
            </w:r>
            <w:r w:rsidR="00985C3F">
              <w:t>s pārbaudes veicējs</w:t>
            </w:r>
            <w:r w:rsidR="00C669EF">
              <w:t xml:space="preserve">. Noteikumu projektā minēto uzraudzību </w:t>
            </w:r>
            <w:r w:rsidR="00C669EF" w:rsidRPr="00C669EF">
              <w:t xml:space="preserve">veic </w:t>
            </w:r>
            <w:r w:rsidR="00985C3F">
              <w:t>PTAC</w:t>
            </w:r>
            <w:r w:rsidR="00C669EF" w:rsidRPr="00C669EF">
              <w:t xml:space="preserve">. </w:t>
            </w:r>
          </w:p>
          <w:p w14:paraId="6C893C9E" w14:textId="65160416" w:rsidR="00C669EF" w:rsidRPr="00C669EF" w:rsidRDefault="004417A2" w:rsidP="00EC65E8">
            <w:pPr>
              <w:spacing w:before="20" w:after="20"/>
              <w:jc w:val="both"/>
            </w:pPr>
            <w:r w:rsidRPr="00C669EF">
              <w:t xml:space="preserve">Noteikumu projektā ir ietverti </w:t>
            </w:r>
            <w:r w:rsidR="00FE46D8">
              <w:t>noslēguma</w:t>
            </w:r>
            <w:r w:rsidR="00FE46D8" w:rsidRPr="00122A8E">
              <w:t xml:space="preserve"> </w:t>
            </w:r>
            <w:r w:rsidR="00FE46D8">
              <w:t>jautāj</w:t>
            </w:r>
            <w:r w:rsidR="00FE46D8" w:rsidRPr="00122A8E">
              <w:t>umi</w:t>
            </w:r>
            <w:r w:rsidRPr="00C669EF">
              <w:t>, kuros noteikts</w:t>
            </w:r>
            <w:r w:rsidR="00C669EF" w:rsidRPr="00C669EF">
              <w:t xml:space="preserve"> </w:t>
            </w:r>
            <w:r w:rsidR="00090BEB">
              <w:t xml:space="preserve">sešu </w:t>
            </w:r>
            <w:r w:rsidR="00960B42">
              <w:t>mēnešu periods</w:t>
            </w:r>
            <w:r w:rsidR="00C669EF" w:rsidRPr="00C669EF">
              <w:t xml:space="preserve">, </w:t>
            </w:r>
            <w:r w:rsidR="00960B42">
              <w:t xml:space="preserve">kura laikā </w:t>
            </w:r>
            <w:r w:rsidR="00C669EF" w:rsidRPr="00C669EF">
              <w:t xml:space="preserve">visiem </w:t>
            </w:r>
            <w:r w:rsidR="007C7F61">
              <w:t>jau pirms t</w:t>
            </w:r>
            <w:r w:rsidR="007F60F1">
              <w:t>o</w:t>
            </w:r>
            <w:r w:rsidR="007C7F61">
              <w:t xml:space="preserve"> stāšanās spēkā uzstādīto </w:t>
            </w:r>
            <w:r w:rsidR="00C669EF" w:rsidRPr="00C669EF">
              <w:t xml:space="preserve">spēļu laukumu valdītājiem jānodrošina </w:t>
            </w:r>
            <w:r w:rsidR="00FE46D8">
              <w:t>spēļu laukuma</w:t>
            </w:r>
            <w:r w:rsidR="00947CDA">
              <w:t xml:space="preserve"> </w:t>
            </w:r>
            <w:r w:rsidR="007C7F61">
              <w:t>riska novērtējums, kā arī jāveic spēļu laukum</w:t>
            </w:r>
            <w:r w:rsidR="00FE46D8">
              <w:t>a</w:t>
            </w:r>
            <w:r w:rsidR="007C7F61">
              <w:t xml:space="preserve"> reģistrācija</w:t>
            </w:r>
            <w:r w:rsidR="00947CDA">
              <w:t>.</w:t>
            </w:r>
            <w:r w:rsidR="00C669EF" w:rsidRPr="00C669EF">
              <w:t xml:space="preserve"> </w:t>
            </w:r>
          </w:p>
          <w:p w14:paraId="71DFBFC4" w14:textId="77777777" w:rsidR="00C669EF" w:rsidRDefault="00C669EF" w:rsidP="00EC65E8">
            <w:pPr>
              <w:spacing w:before="20" w:after="20"/>
              <w:jc w:val="both"/>
              <w:rPr>
                <w:u w:val="single"/>
              </w:rPr>
            </w:pPr>
          </w:p>
          <w:p w14:paraId="6EA34166" w14:textId="77777777" w:rsidR="006252C0" w:rsidRDefault="006252C0" w:rsidP="00EC65E8">
            <w:pPr>
              <w:spacing w:before="20" w:after="20"/>
              <w:jc w:val="both"/>
              <w:rPr>
                <w:u w:val="single"/>
              </w:rPr>
            </w:pPr>
            <w:r w:rsidRPr="006252C0">
              <w:rPr>
                <w:u w:val="single"/>
              </w:rPr>
              <w:t>Problēmas raksturojums</w:t>
            </w:r>
          </w:p>
          <w:p w14:paraId="0810D819" w14:textId="743AAA37" w:rsidR="009D612B" w:rsidRDefault="00546575" w:rsidP="00C90E64">
            <w:pPr>
              <w:spacing w:before="20" w:after="20"/>
              <w:jc w:val="both"/>
            </w:pPr>
            <w:r>
              <w:t>Uz bērnu spēļu laukum</w:t>
            </w:r>
            <w:r w:rsidR="00FE46D8">
              <w:t>iem</w:t>
            </w:r>
            <w:r>
              <w:t xml:space="preserve"> </w:t>
            </w:r>
            <w:r w:rsidR="00FE46D8">
              <w:t xml:space="preserve">un spēļu vai citu aktivitāšu iekārtām </w:t>
            </w:r>
            <w:r>
              <w:t xml:space="preserve">attiecas Preču un pakalpojumu drošuma likums, kurā iekļautas tiesību normas, kas izriet no </w:t>
            </w:r>
            <w:r w:rsidRPr="001C7E5D">
              <w:t>Eiropas Parlamenta un Padomes Direktīvas 2001/95/EK (2001.gada 3.decembris)</w:t>
            </w:r>
            <w:r>
              <w:t xml:space="preserve"> par produktu vispārēju drošību.</w:t>
            </w:r>
            <w:r w:rsidR="00911191">
              <w:t xml:space="preserve"> Tiesību normas ir vispārīgas un neparedz konkrētas prasības attiecībā uz preces ražošanu, uzstādīšanu un </w:t>
            </w:r>
            <w:r w:rsidR="009B67BC">
              <w:t>apkopi jeb uzturēšanu</w:t>
            </w:r>
            <w:r w:rsidR="00911191">
              <w:t xml:space="preserve">. </w:t>
            </w:r>
          </w:p>
          <w:p w14:paraId="4A5C801E" w14:textId="09A0FC71" w:rsidR="00CC5DB8" w:rsidRPr="00D00F73" w:rsidRDefault="002D4002" w:rsidP="009D612B">
            <w:pPr>
              <w:spacing w:before="20" w:after="20"/>
              <w:jc w:val="both"/>
            </w:pPr>
            <w:r>
              <w:t>Šobrīd, l</w:t>
            </w:r>
            <w:r w:rsidR="00304C08">
              <w:t>ai nodrošinātu drošu vidi spēļu</w:t>
            </w:r>
            <w:r w:rsidR="002B5574">
              <w:t xml:space="preserve"> laukumos, samazinātu risku, aizsargājot bērnus no </w:t>
            </w:r>
            <w:r>
              <w:t>iespējamām traumām</w:t>
            </w:r>
            <w:r w:rsidR="002B5574">
              <w:t>,</w:t>
            </w:r>
            <w:r w:rsidR="00304C08">
              <w:t xml:space="preserve">  </w:t>
            </w:r>
            <w:r w:rsidR="00CC5DB8">
              <w:t xml:space="preserve">PTAC </w:t>
            </w:r>
            <w:r w:rsidR="000E5233">
              <w:t>spē</w:t>
            </w:r>
            <w:r w:rsidR="00CC5DB8">
              <w:t xml:space="preserve">ļu </w:t>
            </w:r>
            <w:r w:rsidR="00FE46D8">
              <w:t xml:space="preserve">vai citu aktivitāšu </w:t>
            </w:r>
            <w:r w:rsidR="00CC5DB8">
              <w:t xml:space="preserve">iekārtu </w:t>
            </w:r>
            <w:r w:rsidR="00FE46D8">
              <w:t>un</w:t>
            </w:r>
            <w:r w:rsidR="00CC5DB8">
              <w:t xml:space="preserve"> </w:t>
            </w:r>
            <w:r w:rsidR="000E5233">
              <w:t>spē</w:t>
            </w:r>
            <w:r w:rsidR="00CC5DB8">
              <w:t>ļu laukumu ražotājiem</w:t>
            </w:r>
            <w:r w:rsidR="000E5233">
              <w:t>,</w:t>
            </w:r>
            <w:r w:rsidR="00CC5DB8">
              <w:t xml:space="preserve"> </w:t>
            </w:r>
            <w:r w:rsidR="000E5233">
              <w:t xml:space="preserve">importētājiem </w:t>
            </w:r>
            <w:r w:rsidR="00CC5DB8">
              <w:t xml:space="preserve">vai to </w:t>
            </w:r>
            <w:r w:rsidR="000E5233">
              <w:t>izplatītājiem</w:t>
            </w:r>
            <w:r w:rsidR="00CC5DB8">
              <w:t xml:space="preserve">, kā arī pašvaldībām </w:t>
            </w:r>
            <w:r w:rsidR="00B0355A">
              <w:t>organizē tikšanās</w:t>
            </w:r>
            <w:r w:rsidR="00CC5DB8">
              <w:t xml:space="preserve"> un konsultē par </w:t>
            </w:r>
            <w:r w:rsidR="00304C08">
              <w:t>vispārīgām drošuma prasībām bērnu spēļu laukumos</w:t>
            </w:r>
            <w:r w:rsidR="00B0355A" w:rsidRPr="00D00F73">
              <w:t xml:space="preserve">. </w:t>
            </w:r>
            <w:r w:rsidR="00CC5DB8" w:rsidRPr="00D00F73">
              <w:t xml:space="preserve">Tāpat </w:t>
            </w:r>
            <w:r>
              <w:t xml:space="preserve">ražotājiem un </w:t>
            </w:r>
            <w:r w:rsidR="000E5233">
              <w:t xml:space="preserve">spēļu </w:t>
            </w:r>
            <w:r>
              <w:t xml:space="preserve">laukumu apsaimniekotājiem </w:t>
            </w:r>
            <w:r w:rsidR="00CC5DB8" w:rsidRPr="00D00F73">
              <w:t xml:space="preserve">kopš </w:t>
            </w:r>
            <w:r w:rsidR="00B0355A" w:rsidRPr="00D00F73">
              <w:t>2013.</w:t>
            </w:r>
            <w:r w:rsidR="000E5233">
              <w:t> </w:t>
            </w:r>
            <w:r w:rsidR="00B0355A" w:rsidRPr="00D00F73">
              <w:t xml:space="preserve">gada </w:t>
            </w:r>
            <w:r w:rsidR="00CC5DB8" w:rsidRPr="00D00F73">
              <w:t xml:space="preserve">ir pieejamas PTAC </w:t>
            </w:r>
            <w:r w:rsidR="00B0355A" w:rsidRPr="00D00F73">
              <w:t>izstrādātās Vadlīnijas bērnu spēļu laukumu valdītājiem/ apsaimniekotājiem par drošuma prasībām bērnu spēļu laukumiem publiskai lietošanai</w:t>
            </w:r>
            <w:r w:rsidR="00CC5DB8" w:rsidRPr="00D00F73">
              <w:t>, kurās ietvertas:</w:t>
            </w:r>
          </w:p>
          <w:p w14:paraId="7217F9A2" w14:textId="18844027" w:rsidR="00CC5DB8" w:rsidRPr="00951FB3" w:rsidRDefault="003D188F" w:rsidP="00CC5DB8">
            <w:pPr>
              <w:pStyle w:val="ListParagraph"/>
              <w:numPr>
                <w:ilvl w:val="0"/>
                <w:numId w:val="3"/>
              </w:numPr>
              <w:spacing w:before="20" w:after="20"/>
              <w:jc w:val="both"/>
              <w:rPr>
                <w:rFonts w:ascii="Times New Roman" w:hAnsi="Times New Roman"/>
                <w:sz w:val="24"/>
                <w:szCs w:val="24"/>
                <w:lang w:val="lv-LV"/>
              </w:rPr>
            </w:pPr>
            <w:r>
              <w:rPr>
                <w:rFonts w:ascii="Times New Roman" w:hAnsi="Times New Roman"/>
                <w:sz w:val="24"/>
                <w:szCs w:val="24"/>
                <w:lang w:val="lv-LV"/>
              </w:rPr>
              <w:lastRenderedPageBreak/>
              <w:t>p</w:t>
            </w:r>
            <w:r w:rsidR="00CC5DB8" w:rsidRPr="00951FB3">
              <w:rPr>
                <w:rFonts w:ascii="Times New Roman" w:hAnsi="Times New Roman"/>
                <w:sz w:val="24"/>
                <w:szCs w:val="24"/>
                <w:lang w:val="lv-LV"/>
              </w:rPr>
              <w:t xml:space="preserve">rasības spēļu </w:t>
            </w:r>
            <w:r w:rsidR="00FE46D8">
              <w:rPr>
                <w:rFonts w:ascii="Times New Roman" w:hAnsi="Times New Roman"/>
                <w:sz w:val="24"/>
                <w:szCs w:val="24"/>
                <w:lang w:val="lv-LV"/>
              </w:rPr>
              <w:t xml:space="preserve">vai citu aktivitāšu </w:t>
            </w:r>
            <w:r w:rsidR="00CC5DB8" w:rsidRPr="00951FB3">
              <w:rPr>
                <w:rFonts w:ascii="Times New Roman" w:hAnsi="Times New Roman"/>
                <w:sz w:val="24"/>
                <w:szCs w:val="24"/>
                <w:lang w:val="lv-LV"/>
              </w:rPr>
              <w:t>iekārtām (vispārīgās un speciālās),</w:t>
            </w:r>
          </w:p>
          <w:p w14:paraId="352558F5" w14:textId="19A1891C" w:rsidR="00CC5DB8" w:rsidRPr="00D00F73" w:rsidRDefault="003D188F" w:rsidP="00CC5DB8">
            <w:pPr>
              <w:pStyle w:val="ListParagraph"/>
              <w:numPr>
                <w:ilvl w:val="0"/>
                <w:numId w:val="3"/>
              </w:numPr>
              <w:spacing w:before="20" w:after="20"/>
              <w:jc w:val="both"/>
              <w:rPr>
                <w:rFonts w:ascii="Times New Roman" w:hAnsi="Times New Roman"/>
                <w:sz w:val="24"/>
                <w:szCs w:val="24"/>
              </w:rPr>
            </w:pPr>
            <w:proofErr w:type="spellStart"/>
            <w:r>
              <w:rPr>
                <w:rFonts w:ascii="Times New Roman" w:hAnsi="Times New Roman"/>
                <w:sz w:val="24"/>
                <w:szCs w:val="24"/>
              </w:rPr>
              <w:t>projektēšan</w:t>
            </w:r>
            <w:r w:rsidR="00CC5DB8" w:rsidRPr="00D00F73">
              <w:rPr>
                <w:rFonts w:ascii="Times New Roman" w:hAnsi="Times New Roman"/>
                <w:sz w:val="24"/>
                <w:szCs w:val="24"/>
              </w:rPr>
              <w:t>as</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nosacījumi</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iekārtu</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izvietojums</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pārklājums</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papildu</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elementi</w:t>
            </w:r>
            <w:proofErr w:type="spellEnd"/>
            <w:r w:rsidR="00CC5DB8" w:rsidRPr="00D00F73">
              <w:rPr>
                <w:rFonts w:ascii="Times New Roman" w:hAnsi="Times New Roman"/>
                <w:sz w:val="24"/>
                <w:szCs w:val="24"/>
              </w:rPr>
              <w:t>),</w:t>
            </w:r>
          </w:p>
          <w:p w14:paraId="08432402" w14:textId="054A3318" w:rsidR="00CC5DB8" w:rsidRPr="00D00F73" w:rsidRDefault="003D188F" w:rsidP="00CC5DB8">
            <w:pPr>
              <w:pStyle w:val="ListParagraph"/>
              <w:numPr>
                <w:ilvl w:val="0"/>
                <w:numId w:val="3"/>
              </w:numPr>
              <w:spacing w:before="20" w:after="20"/>
              <w:jc w:val="both"/>
              <w:rPr>
                <w:rFonts w:ascii="Times New Roman" w:hAnsi="Times New Roman"/>
                <w:sz w:val="24"/>
                <w:szCs w:val="24"/>
              </w:rPr>
            </w:pPr>
            <w:proofErr w:type="spellStart"/>
            <w:r>
              <w:rPr>
                <w:rFonts w:ascii="Times New Roman" w:hAnsi="Times New Roman"/>
                <w:sz w:val="24"/>
                <w:szCs w:val="24"/>
              </w:rPr>
              <w:t>u</w:t>
            </w:r>
            <w:r w:rsidR="00CC5DB8" w:rsidRPr="00D00F73">
              <w:rPr>
                <w:rFonts w:ascii="Times New Roman" w:hAnsi="Times New Roman"/>
                <w:sz w:val="24"/>
                <w:szCs w:val="24"/>
              </w:rPr>
              <w:t>zstādīšanas</w:t>
            </w:r>
            <w:proofErr w:type="spellEnd"/>
            <w:r w:rsidR="00CC5DB8" w:rsidRPr="00D00F73">
              <w:rPr>
                <w:rFonts w:ascii="Times New Roman" w:hAnsi="Times New Roman"/>
                <w:sz w:val="24"/>
                <w:szCs w:val="24"/>
              </w:rPr>
              <w:t xml:space="preserve"> </w:t>
            </w:r>
            <w:proofErr w:type="spellStart"/>
            <w:r w:rsidR="00CC5DB8" w:rsidRPr="00D00F73">
              <w:rPr>
                <w:rFonts w:ascii="Times New Roman" w:hAnsi="Times New Roman"/>
                <w:sz w:val="24"/>
                <w:szCs w:val="24"/>
              </w:rPr>
              <w:t>prasības</w:t>
            </w:r>
            <w:proofErr w:type="spellEnd"/>
            <w:r w:rsidR="00CC5DB8" w:rsidRPr="00D00F73">
              <w:rPr>
                <w:rFonts w:ascii="Times New Roman" w:hAnsi="Times New Roman"/>
                <w:sz w:val="24"/>
                <w:szCs w:val="24"/>
              </w:rPr>
              <w:t>.</w:t>
            </w:r>
          </w:p>
          <w:p w14:paraId="7AB06712" w14:textId="5B728CB7" w:rsidR="00981E86" w:rsidRDefault="00CC5DB8" w:rsidP="00CC5DB8">
            <w:pPr>
              <w:spacing w:before="20" w:after="20"/>
              <w:jc w:val="both"/>
            </w:pPr>
            <w:r w:rsidRPr="00D00F73">
              <w:t>T</w:t>
            </w:r>
            <w:r w:rsidR="007751F3">
              <w:t>urklāt</w:t>
            </w:r>
            <w:r w:rsidR="001D1569">
              <w:t xml:space="preserve"> </w:t>
            </w:r>
            <w:r w:rsidR="00885050">
              <w:t xml:space="preserve">spēļu </w:t>
            </w:r>
            <w:r w:rsidR="001D1569">
              <w:t xml:space="preserve">vai citu aktivitāšu </w:t>
            </w:r>
            <w:r w:rsidR="005A7D56">
              <w:t>iekārta</w:t>
            </w:r>
            <w:r w:rsidR="00885050">
              <w:t xml:space="preserve"> </w:t>
            </w:r>
            <w:r w:rsidR="001D1569">
              <w:t xml:space="preserve">vai spēļu laukums </w:t>
            </w:r>
            <w:r w:rsidR="00885050">
              <w:t xml:space="preserve">ir </w:t>
            </w:r>
            <w:r w:rsidR="005A7D56">
              <w:t>uzskatāms pa drošu</w:t>
            </w:r>
            <w:r w:rsidR="00885050">
              <w:t xml:space="preserve">, </w:t>
            </w:r>
            <w:r w:rsidR="005A7D56">
              <w:t>ja tas</w:t>
            </w:r>
            <w:r w:rsidR="00885050">
              <w:t xml:space="preserve"> atbilst</w:t>
            </w:r>
            <w:r w:rsidR="00841B92">
              <w:t xml:space="preserve"> drošuma prasībām, ko paredz</w:t>
            </w:r>
            <w:r w:rsidR="00981E86" w:rsidRPr="00D00F73">
              <w:t xml:space="preserve"> </w:t>
            </w:r>
            <w:r w:rsidR="00981E86" w:rsidRPr="005270F7">
              <w:t xml:space="preserve">Latvijas </w:t>
            </w:r>
            <w:r w:rsidR="00217553" w:rsidRPr="00217553">
              <w:t>Standarts LVS EN 1176-1:20</w:t>
            </w:r>
            <w:r w:rsidR="00217553">
              <w:t>1</w:t>
            </w:r>
            <w:r w:rsidR="00217553" w:rsidRPr="00217553">
              <w:t xml:space="preserve">8 „Spēļu laukumu aprīkojums un </w:t>
            </w:r>
            <w:r w:rsidR="00217553">
              <w:t>seg</w:t>
            </w:r>
            <w:r w:rsidR="00217553" w:rsidRPr="00217553">
              <w:t>ums. 1. daļa: Vispārīgās drošības prasības un testēšana”; Standarts LVS EN 1176-2:20</w:t>
            </w:r>
            <w:r w:rsidR="00217553">
              <w:t>1</w:t>
            </w:r>
            <w:r w:rsidR="00217553" w:rsidRPr="00217553">
              <w:t xml:space="preserve">8 „Spēļu laukumu aprīkojums un </w:t>
            </w:r>
            <w:r w:rsidR="00217553">
              <w:t>seg</w:t>
            </w:r>
            <w:r w:rsidR="00217553" w:rsidRPr="00217553">
              <w:t>ums. 2. daļa: Speciālās papildu drošības prasības šūpolēm un to testēšana”; Standarts LVS EN 1176-3:20</w:t>
            </w:r>
            <w:r w:rsidR="00217553">
              <w:t>1</w:t>
            </w:r>
            <w:r w:rsidR="00217553" w:rsidRPr="00217553">
              <w:t xml:space="preserve">8 „Spēļu laukumu aprīkojums un </w:t>
            </w:r>
            <w:r w:rsidR="00217553">
              <w:t>seg</w:t>
            </w:r>
            <w:r w:rsidR="00217553" w:rsidRPr="00217553">
              <w:t>ums. 3. daļa: Speciālās papildu drošības prasības slīdkalniņiem un to testēšana”; Standarts LVS EN 1176-4:20</w:t>
            </w:r>
            <w:r w:rsidR="00217553">
              <w:t>1</w:t>
            </w:r>
            <w:r w:rsidR="00217553" w:rsidRPr="00217553">
              <w:t>8 „Spēļu laukumu aprīkojums un pārklājums. 4. daļa: Speciālās papildu drošības prasības trošu ceļiem un to testēšana”; Standarts LVS EN 1176-5:2008 „Spēļu laukumu aprīkojums un pārklājums. 5. daļa: Speciālās papildu drošības prasības karuseļiem un to testēšana”; Standarts LVS EN 1176-6:20</w:t>
            </w:r>
            <w:r w:rsidR="00217553">
              <w:t>1</w:t>
            </w:r>
            <w:r w:rsidR="00217553" w:rsidRPr="00217553">
              <w:t xml:space="preserve">8 „Spēļu laukumu aprīkojums un </w:t>
            </w:r>
            <w:r w:rsidR="00217553">
              <w:t>seg</w:t>
            </w:r>
            <w:r w:rsidR="00217553" w:rsidRPr="00217553">
              <w:t>ums. 6. daļa: Speciālās papildu drošības prasības šūpošanās iekārtām un to testēšana”; Standarts LVS EN 1176-7:2008 „Spēļu laukumu aprīkojums un pārklājums. 7. daļa: Uzstādīšanas, pārbaudes, apkopes un ekspluatācijas norādījumi”; Standarts LVS EN 1176-10:2008 „Spēļu laukumu aprīkojums un pārklājums. 10. daļa: Speciālās papildu drošības prasības pilnīgi nožogotām rotaļu iekārtām un to testēšana”; Standarts LVS EN 1176-11:20</w:t>
            </w:r>
            <w:r w:rsidR="000768F5">
              <w:t>14</w:t>
            </w:r>
            <w:r w:rsidR="00217553" w:rsidRPr="00217553">
              <w:t xml:space="preserve"> „Spēļu laukumu aprīkojums un pārklājums. 11. daļa: Speciālās papildu drošības prasības telpiskiem tīklojumiem un to testēšana”</w:t>
            </w:r>
            <w:r w:rsidR="000768F5">
              <w:t>, kā arī</w:t>
            </w:r>
            <w:r w:rsidR="00981E86" w:rsidRPr="005270F7">
              <w:t xml:space="preserve"> </w:t>
            </w:r>
            <w:bookmarkStart w:id="1" w:name="_Hlk536792710"/>
            <w:r w:rsidR="00885050" w:rsidRPr="005270F7">
              <w:t>Standart</w:t>
            </w:r>
            <w:r w:rsidR="00217553">
              <w:t>s</w:t>
            </w:r>
            <w:r w:rsidR="00885050" w:rsidRPr="005270F7">
              <w:t xml:space="preserve"> </w:t>
            </w:r>
            <w:r w:rsidR="00981E86" w:rsidRPr="005270F7">
              <w:t xml:space="preserve">LVS </w:t>
            </w:r>
            <w:r w:rsidR="00F0442B" w:rsidRPr="005270F7">
              <w:t>E</w:t>
            </w:r>
            <w:r w:rsidR="00981E86" w:rsidRPr="005270F7">
              <w:t>N 1177</w:t>
            </w:r>
            <w:r w:rsidR="00C62B4F">
              <w:t>:20</w:t>
            </w:r>
            <w:r w:rsidR="00931E6F">
              <w:t>1</w:t>
            </w:r>
            <w:r w:rsidR="00C62B4F">
              <w:t>8</w:t>
            </w:r>
            <w:r w:rsidR="00981E86" w:rsidRPr="005270F7">
              <w:t xml:space="preserve"> “Triecienus slāpējošā spēļu laukumu virsmas. Kritiskā krišanas augstuma </w:t>
            </w:r>
            <w:r w:rsidR="00981E86" w:rsidRPr="00FE3EF3">
              <w:t>noteikšana</w:t>
            </w:r>
            <w:bookmarkEnd w:id="1"/>
            <w:r w:rsidR="00981E86" w:rsidRPr="00FE3EF3">
              <w:t>”</w:t>
            </w:r>
            <w:r w:rsidR="0021306B">
              <w:t xml:space="preserve"> (turpmāk – Standarti)</w:t>
            </w:r>
            <w:r w:rsidR="00304C08">
              <w:t>.</w:t>
            </w:r>
            <w:r w:rsidR="002A77B4">
              <w:t xml:space="preserve"> Jā</w:t>
            </w:r>
            <w:r w:rsidR="000E5233">
              <w:t>pie</w:t>
            </w:r>
            <w:r w:rsidR="002A77B4">
              <w:t>min, ka Standartu piemērošana ir brīvprātīga</w:t>
            </w:r>
            <w:r w:rsidR="00EE2B8C">
              <w:t xml:space="preserve"> un </w:t>
            </w:r>
            <w:r w:rsidR="007751F3">
              <w:t>k</w:t>
            </w:r>
            <w:r w:rsidR="002A77B4">
              <w:t xml:space="preserve">omersantam nav pienākums izmantot </w:t>
            </w:r>
            <w:r w:rsidR="00B63785">
              <w:t>S</w:t>
            </w:r>
            <w:r w:rsidR="002A77B4">
              <w:t>tandartu</w:t>
            </w:r>
            <w:r w:rsidR="00B63785">
              <w:t>s</w:t>
            </w:r>
            <w:r w:rsidR="002A77B4">
              <w:t>,</w:t>
            </w:r>
            <w:r w:rsidR="003D188F">
              <w:t xml:space="preserve"> tomēr</w:t>
            </w:r>
            <w:r w:rsidR="002A77B4">
              <w:t xml:space="preserve"> ir pienākums garantēt drošumu, </w:t>
            </w:r>
            <w:r w:rsidR="000E5233">
              <w:t>kura pakāpe nav zemāka par to, kāda</w:t>
            </w:r>
            <w:r w:rsidR="002A77B4">
              <w:t xml:space="preserve"> būtu sasniegt</w:t>
            </w:r>
            <w:r w:rsidR="000E5233">
              <w:t>a,</w:t>
            </w:r>
            <w:r w:rsidR="002A77B4">
              <w:t xml:space="preserve"> piemērojot </w:t>
            </w:r>
            <w:r w:rsidR="00B63785">
              <w:t>S</w:t>
            </w:r>
            <w:r w:rsidR="002A77B4">
              <w:t>tandartu</w:t>
            </w:r>
            <w:r w:rsidR="00B63785">
              <w:t>s</w:t>
            </w:r>
            <w:r w:rsidR="002A77B4">
              <w:t>.</w:t>
            </w:r>
          </w:p>
          <w:p w14:paraId="126AE9A8" w14:textId="77777777" w:rsidR="007751F3" w:rsidRDefault="007751F3" w:rsidP="00CC5DB8">
            <w:pPr>
              <w:spacing w:before="20" w:after="20"/>
              <w:jc w:val="both"/>
            </w:pPr>
          </w:p>
          <w:p w14:paraId="1172F8D9" w14:textId="4B51B53B" w:rsidR="00981E86" w:rsidRPr="008A3121" w:rsidRDefault="007751F3" w:rsidP="009D612B">
            <w:pPr>
              <w:spacing w:before="20" w:after="20"/>
              <w:jc w:val="both"/>
            </w:pPr>
            <w:r>
              <w:t>N</w:t>
            </w:r>
            <w:r w:rsidR="00981E86">
              <w:t xml:space="preserve">eskatoties uz </w:t>
            </w:r>
            <w:r w:rsidR="00981E86" w:rsidRPr="000768F5">
              <w:t xml:space="preserve">ražotājiem un laukumu uzturētājiem pieejamo informāciju, ik gadu PTAC konstatē neatbilstošas spēļu iekārtas un ik gadu spēļu laukumos notiek nelaimes gadījumi saistībā ar drošuma prasībām neatbilstošām spēļu </w:t>
            </w:r>
            <w:r w:rsidR="000768F5">
              <w:t xml:space="preserve">vai citu aktivitāšu </w:t>
            </w:r>
            <w:r w:rsidR="00981E86" w:rsidRPr="000768F5">
              <w:t>iekārtām.</w:t>
            </w:r>
            <w:r w:rsidR="00FB3B73" w:rsidRPr="000768F5">
              <w:t xml:space="preserve"> Neatb</w:t>
            </w:r>
            <w:r w:rsidR="009B67BC" w:rsidRPr="000768F5">
              <w:t>ilstības un trūkumi galvenokārt</w:t>
            </w:r>
            <w:r w:rsidR="00FB3B73" w:rsidRPr="000768F5">
              <w:t xml:space="preserve"> ir saistīti ar  spēļu</w:t>
            </w:r>
            <w:r w:rsidR="00FB3B73">
              <w:t xml:space="preserve"> laukumu projektēšanu, virsmu pārklājumu nodrošināšanu, nepietiekamu spēļu laukumu uzturēšanas kārtību, nedrošu iekārtu uzstādīšanu, kā arī </w:t>
            </w:r>
            <w:r w:rsidR="00CC32EB" w:rsidRPr="008A3121">
              <w:t xml:space="preserve">ar to, ka </w:t>
            </w:r>
            <w:r w:rsidR="00FB3B73" w:rsidRPr="008A3121">
              <w:t xml:space="preserve">netiek veiktas </w:t>
            </w:r>
            <w:proofErr w:type="spellStart"/>
            <w:r w:rsidR="00FB3B73" w:rsidRPr="008A3121">
              <w:lastRenderedPageBreak/>
              <w:t>pēcuzstādīšanas</w:t>
            </w:r>
            <w:proofErr w:type="spellEnd"/>
            <w:r w:rsidR="00FB3B73" w:rsidRPr="008A3121">
              <w:t xml:space="preserve"> vai regulārās pārbaudes, spēļu </w:t>
            </w:r>
            <w:r w:rsidR="000768F5">
              <w:t xml:space="preserve">vai citu aktivitāšu </w:t>
            </w:r>
            <w:r w:rsidR="00FB3B73" w:rsidRPr="008A3121">
              <w:t>iekārtu apkopes, kā arī nevar konstatēt atbildīgo personu par spēļu laukumu uzturēšanu.</w:t>
            </w:r>
          </w:p>
          <w:p w14:paraId="505FA319" w14:textId="6EFAEA75" w:rsidR="009D612B" w:rsidRPr="008A3121" w:rsidRDefault="0010191F" w:rsidP="009D612B">
            <w:pPr>
              <w:spacing w:before="20" w:after="20"/>
              <w:jc w:val="both"/>
            </w:pPr>
            <w:r w:rsidRPr="008A3121">
              <w:t xml:space="preserve">PTAC </w:t>
            </w:r>
            <w:r w:rsidR="008507E8" w:rsidRPr="008A3121">
              <w:t>jau vairākus gadus veic pārbaudes spēļu laukumos.</w:t>
            </w:r>
          </w:p>
          <w:p w14:paraId="4950526F" w14:textId="617A2D93" w:rsidR="000F7C45" w:rsidRPr="00841B92" w:rsidRDefault="00841B92" w:rsidP="00841B92">
            <w:pPr>
              <w:spacing w:before="20" w:after="20"/>
              <w:jc w:val="both"/>
            </w:pPr>
            <w:r>
              <w:t xml:space="preserve">Diemžēl katru gadu pārbaužu rezultātos tiek konstatēts nesamērīgi augsts neatbilstību līmenis, kas potenciāli rada augstu traumatismu bērniem, par ko </w:t>
            </w:r>
            <w:r w:rsidRPr="00841B92">
              <w:t xml:space="preserve">atkārtoti brīdina bērnu ķirurgi. 2008. un 2010. gadā PTAC veica apsekojumus Rīgas un Jūrmalas spēļu laukumos. Attiecīgi 2010. gadā 80% gadījumu spēļu </w:t>
            </w:r>
            <w:r w:rsidR="000768F5">
              <w:t xml:space="preserve">vai citu aktivitāšu </w:t>
            </w:r>
            <w:r w:rsidRPr="00841B92">
              <w:t xml:space="preserve">iekārtas neatbilda drošuma prasībām un 45% gadījumos nav novērsti 2008. gadā konstatētie defekti. 2011. gadā tika veikti 118 apsekojumi, tika veiktas spēļu </w:t>
            </w:r>
            <w:r w:rsidR="000768F5">
              <w:t xml:space="preserve">vai citu aktivitāšu </w:t>
            </w:r>
            <w:r w:rsidRPr="00841B92">
              <w:t xml:space="preserve">iekārtu un spēļu laukumu dokumentācijas pārbaudes, kā arī pārbaudīta pamatinformācija par prasībām. 2014. un 2015. gadā kopā tika veiktas 186 pārbaudes (tai skaitā arī pirmsskolas izglītības iestādēs) un tika veikti 28 apsekojumi spēļu laukumos. Rezultātā pilnīgi visos gadījumos tika konstatētas drošuma prasībām neatbilstošas spēļu </w:t>
            </w:r>
            <w:r w:rsidR="000768F5">
              <w:t xml:space="preserve">vai citu aktivitāšu </w:t>
            </w:r>
            <w:r w:rsidRPr="00841B92">
              <w:t>iekārtas. Būtiskākās neatbilstības bija: neatbilstošs pārklājums 77% gadījumu, salauzti un bojāti elementi 61% gadījumu. 2017.gadā PTAC veica spē</w:t>
            </w:r>
            <w:r w:rsidR="000768F5">
              <w:t>ļ</w:t>
            </w:r>
            <w:r w:rsidRPr="00841B92">
              <w:t>u laukumu uzraudzību Eiropas Savienības kopprojekta ietvaros. Tika pārbaudīti 43 spēļu laukumi un visos tika konstatētas neatbilstības. Atkāroti būtiskākās no tām ir saistītas ar neatbilstošu pārklājumu 83% un bojātiem</w:t>
            </w:r>
            <w:r w:rsidR="000768F5">
              <w:t>,</w:t>
            </w:r>
            <w:r w:rsidRPr="00841B92">
              <w:t xml:space="preserve"> salauztiem elementiem 63% gadījumu</w:t>
            </w:r>
            <w:r w:rsidR="00BC63EC" w:rsidRPr="00841B92">
              <w:t>.</w:t>
            </w:r>
          </w:p>
          <w:p w14:paraId="457B3E81" w14:textId="04C84DC8" w:rsidR="001A6AA0" w:rsidRDefault="00792CFA" w:rsidP="00EC65E8">
            <w:pPr>
              <w:spacing w:before="20" w:after="20"/>
              <w:jc w:val="both"/>
            </w:pPr>
            <w:r w:rsidRPr="008A3121">
              <w:t xml:space="preserve">Jāatzīmē, ka </w:t>
            </w:r>
            <w:r w:rsidR="00885050" w:rsidRPr="008A3121">
              <w:t>Noteikum</w:t>
            </w:r>
            <w:r w:rsidR="00841B92">
              <w:t>u</w:t>
            </w:r>
            <w:r w:rsidR="00885050" w:rsidRPr="008A3121">
              <w:t xml:space="preserve"> </w:t>
            </w:r>
            <w:r w:rsidR="00885050" w:rsidRPr="00841B92">
              <w:t xml:space="preserve">projekta ietvaros </w:t>
            </w:r>
            <w:r w:rsidR="00AC4B0A" w:rsidRPr="00841B92">
              <w:t>spēļu</w:t>
            </w:r>
            <w:r w:rsidR="00841B92">
              <w:t xml:space="preserve"> vai citu aktivitāšu</w:t>
            </w:r>
            <w:r w:rsidR="00AC4B0A" w:rsidRPr="00841B92">
              <w:t xml:space="preserve"> </w:t>
            </w:r>
            <w:r w:rsidR="00A25DD6" w:rsidRPr="00841B92">
              <w:t xml:space="preserve">iekārtas un </w:t>
            </w:r>
            <w:r w:rsidR="00AC4B0A" w:rsidRPr="00841B92">
              <w:t>laukumi ir uzskatāmi par preču un pakalpojumu apvienojumu, jo to aprīkojums</w:t>
            </w:r>
            <w:r w:rsidR="00AC4B0A" w:rsidRPr="008A3121">
              <w:t xml:space="preserve"> un pārklājums pirms to uzstādīšanas</w:t>
            </w:r>
            <w:r w:rsidR="00AC4B0A">
              <w:t xml:space="preserve"> ir prece, savukārt pēc bērnu spēļu laukuma izvietošanas, spēļu iekārtu uzstādīšanas un pārklājuma nodrošināšanas bērnu spēļu laukums kļūst par pakalpojumu. Tātad,</w:t>
            </w:r>
            <w:r w:rsidR="00A25DD6">
              <w:t xml:space="preserve"> piemēram, tirdzniecības vietās nopērkamā</w:t>
            </w:r>
            <w:r w:rsidR="00EE2B8C">
              <w:t>s</w:t>
            </w:r>
            <w:r w:rsidR="00A25DD6">
              <w:t xml:space="preserve"> prece</w:t>
            </w:r>
            <w:r w:rsidR="00EE2B8C">
              <w:t>s</w:t>
            </w:r>
            <w:r w:rsidR="002B5574">
              <w:t xml:space="preserve"> (šūpoles, smilšu kaste</w:t>
            </w:r>
            <w:r w:rsidR="007D0EC9">
              <w:t xml:space="preserve">s, slīdkalniņi </w:t>
            </w:r>
            <w:proofErr w:type="spellStart"/>
            <w:r w:rsidR="007D0EC9">
              <w:t>u</w:t>
            </w:r>
            <w:r w:rsidR="002B5574">
              <w:t>tml</w:t>
            </w:r>
            <w:proofErr w:type="spellEnd"/>
            <w:r w:rsidR="002B5574">
              <w:t>.)</w:t>
            </w:r>
            <w:r w:rsidR="00A25DD6">
              <w:t xml:space="preserve"> </w:t>
            </w:r>
            <w:r w:rsidR="002B5574">
              <w:t>ir uzskatām</w:t>
            </w:r>
            <w:r w:rsidR="00EE2B8C">
              <w:t>as</w:t>
            </w:r>
            <w:r w:rsidR="002B5574">
              <w:t xml:space="preserve"> par rotaļliet</w:t>
            </w:r>
            <w:r w:rsidR="00EE2B8C">
              <w:t>ām</w:t>
            </w:r>
            <w:r w:rsidR="002B5574">
              <w:t>, savukārt pēc t</w:t>
            </w:r>
            <w:r w:rsidR="00EE2B8C">
              <w:t>o</w:t>
            </w:r>
            <w:r w:rsidR="002B5574">
              <w:t xml:space="preserve"> uz</w:t>
            </w:r>
            <w:r w:rsidR="007D0EC9">
              <w:t>stādīšanas publiskai lietošanai</w:t>
            </w:r>
            <w:r w:rsidR="002B5574">
              <w:t xml:space="preserve"> tā</w:t>
            </w:r>
            <w:r w:rsidR="00EE2B8C">
              <w:t>s</w:t>
            </w:r>
            <w:r w:rsidR="002B5574">
              <w:t xml:space="preserve"> ir uzskatāma</w:t>
            </w:r>
            <w:r w:rsidR="00EE2B8C">
              <w:t>s</w:t>
            </w:r>
            <w:r w:rsidR="002B5574">
              <w:t xml:space="preserve"> par spēļu laukumu</w:t>
            </w:r>
            <w:r w:rsidR="00EE2B8C">
              <w:t xml:space="preserve"> vai, gadījumā, ja ir tikai viena vienība</w:t>
            </w:r>
            <w:r w:rsidR="00900811">
              <w:t xml:space="preserve"> – </w:t>
            </w:r>
            <w:r w:rsidR="00EE2B8C">
              <w:t>par</w:t>
            </w:r>
            <w:r w:rsidR="00AC4B0A">
              <w:t xml:space="preserve"> </w:t>
            </w:r>
            <w:r w:rsidR="00EE2B8C">
              <w:t>spēļu iekārtu.</w:t>
            </w:r>
          </w:p>
          <w:p w14:paraId="3458AC85" w14:textId="582A7C85" w:rsidR="00A322A9" w:rsidRPr="0048728D" w:rsidRDefault="00A322A9" w:rsidP="008F23E6">
            <w:pPr>
              <w:pStyle w:val="ListParagraph"/>
              <w:spacing w:after="0" w:line="240" w:lineRule="auto"/>
              <w:ind w:left="0"/>
              <w:jc w:val="both"/>
              <w:rPr>
                <w:rFonts w:ascii="Times New Roman" w:hAnsi="Times New Roman"/>
                <w:sz w:val="24"/>
                <w:szCs w:val="24"/>
                <w:lang w:val="lv-LV"/>
              </w:rPr>
            </w:pPr>
          </w:p>
        </w:tc>
      </w:tr>
      <w:tr w:rsidR="00A322A9" w:rsidRPr="00FB41DC" w14:paraId="03DB6C15" w14:textId="77777777" w:rsidTr="008F23E6">
        <w:tc>
          <w:tcPr>
            <w:tcW w:w="720" w:type="dxa"/>
          </w:tcPr>
          <w:p w14:paraId="35FC1E96" w14:textId="67E76345" w:rsidR="00A322A9" w:rsidRPr="00FB41DC" w:rsidRDefault="00A322A9" w:rsidP="00EB459D">
            <w:pPr>
              <w:jc w:val="center"/>
            </w:pPr>
            <w:r>
              <w:lastRenderedPageBreak/>
              <w:t>3</w:t>
            </w:r>
            <w:r w:rsidRPr="00FB41DC">
              <w:t>.</w:t>
            </w:r>
          </w:p>
        </w:tc>
        <w:tc>
          <w:tcPr>
            <w:tcW w:w="1574" w:type="dxa"/>
          </w:tcPr>
          <w:p w14:paraId="242E3696" w14:textId="2697EF40" w:rsidR="00A322A9" w:rsidRPr="00FB41DC" w:rsidRDefault="00A322A9" w:rsidP="00EB459D">
            <w:r w:rsidRPr="00FB41DC">
              <w:t>Projekta izstrādē iesaistītās institūcijas</w:t>
            </w:r>
            <w:r w:rsidR="00083601" w:rsidRPr="005F2EEB">
              <w:t xml:space="preserve"> un publiskas personas kapitālsabiedrības</w:t>
            </w:r>
          </w:p>
        </w:tc>
        <w:tc>
          <w:tcPr>
            <w:tcW w:w="6958" w:type="dxa"/>
          </w:tcPr>
          <w:p w14:paraId="1BF0E705" w14:textId="5AC18789" w:rsidR="00A322A9" w:rsidRPr="00FB41DC" w:rsidRDefault="00EB459D" w:rsidP="00EB459D">
            <w:pPr>
              <w:pStyle w:val="naiskr"/>
              <w:jc w:val="both"/>
            </w:pPr>
            <w:r>
              <w:t>Ekonomikas</w:t>
            </w:r>
            <w:r w:rsidR="00A322A9">
              <w:t xml:space="preserve"> ministrija</w:t>
            </w:r>
            <w:r>
              <w:t>, Patērētāju tiesību aizsardzības centrs</w:t>
            </w:r>
          </w:p>
        </w:tc>
      </w:tr>
      <w:tr w:rsidR="00A322A9" w:rsidRPr="00FB41DC" w14:paraId="43D742D3" w14:textId="77777777" w:rsidTr="008F23E6">
        <w:trPr>
          <w:trHeight w:val="571"/>
        </w:trPr>
        <w:tc>
          <w:tcPr>
            <w:tcW w:w="720" w:type="dxa"/>
          </w:tcPr>
          <w:p w14:paraId="13CE1D20" w14:textId="77777777" w:rsidR="00A322A9" w:rsidRPr="00FB41DC" w:rsidRDefault="00A322A9" w:rsidP="008F23E6">
            <w:pPr>
              <w:jc w:val="center"/>
            </w:pPr>
            <w:r>
              <w:t>4</w:t>
            </w:r>
            <w:r w:rsidRPr="00FB41DC">
              <w:t>.</w:t>
            </w:r>
          </w:p>
        </w:tc>
        <w:tc>
          <w:tcPr>
            <w:tcW w:w="1574" w:type="dxa"/>
          </w:tcPr>
          <w:p w14:paraId="654010A4" w14:textId="77777777" w:rsidR="00A322A9" w:rsidRPr="00FB41DC" w:rsidRDefault="00A322A9" w:rsidP="008F23E6">
            <w:r w:rsidRPr="00FB41DC">
              <w:t>Cita informācija</w:t>
            </w:r>
          </w:p>
        </w:tc>
        <w:tc>
          <w:tcPr>
            <w:tcW w:w="6958" w:type="dxa"/>
          </w:tcPr>
          <w:p w14:paraId="65CB505F" w14:textId="77777777" w:rsidR="00A322A9" w:rsidRPr="00B21CC1" w:rsidRDefault="00A322A9" w:rsidP="008F23E6">
            <w:pPr>
              <w:jc w:val="both"/>
              <w:rPr>
                <w:b/>
              </w:rPr>
            </w:pPr>
            <w:r w:rsidRPr="009C018D">
              <w:rPr>
                <w:rStyle w:val="Strong"/>
                <w:b w:val="0"/>
              </w:rPr>
              <w:t>Nav</w:t>
            </w:r>
          </w:p>
        </w:tc>
      </w:tr>
    </w:tbl>
    <w:p w14:paraId="342B6B39" w14:textId="77777777" w:rsidR="00A322A9" w:rsidRPr="00FB41DC" w:rsidRDefault="00A322A9" w:rsidP="00A322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736"/>
        <w:gridCol w:w="5968"/>
      </w:tblGrid>
      <w:tr w:rsidR="00A322A9" w:rsidRPr="006C4798" w14:paraId="78CC5868" w14:textId="77777777" w:rsidTr="00537E7C">
        <w:tc>
          <w:tcPr>
            <w:tcW w:w="8296" w:type="dxa"/>
            <w:gridSpan w:val="3"/>
          </w:tcPr>
          <w:p w14:paraId="00BD49FE" w14:textId="77777777" w:rsidR="00A322A9" w:rsidRPr="002C08C1" w:rsidRDefault="00A322A9" w:rsidP="008F23E6">
            <w:pPr>
              <w:jc w:val="center"/>
              <w:rPr>
                <w:b/>
              </w:rPr>
            </w:pPr>
            <w:r w:rsidRPr="002C08C1">
              <w:rPr>
                <w:b/>
                <w:bCs/>
                <w:shd w:val="clear" w:color="auto" w:fill="FFFFFF"/>
              </w:rPr>
              <w:lastRenderedPageBreak/>
              <w:t>II. Tiesību akta projekta ietekme uz sabiedrību, tautsaimniecības attīstību un administratīvo slogu</w:t>
            </w:r>
          </w:p>
        </w:tc>
      </w:tr>
      <w:tr w:rsidR="00A322A9" w:rsidRPr="00FB41DC" w14:paraId="3DF84958" w14:textId="77777777" w:rsidTr="00537E7C">
        <w:tc>
          <w:tcPr>
            <w:tcW w:w="592" w:type="dxa"/>
          </w:tcPr>
          <w:p w14:paraId="52688465" w14:textId="77777777" w:rsidR="00A322A9" w:rsidRPr="00FB41DC" w:rsidRDefault="00A322A9" w:rsidP="008F23E6">
            <w:pPr>
              <w:jc w:val="center"/>
            </w:pPr>
            <w:r w:rsidRPr="00FB41DC">
              <w:t>1.</w:t>
            </w:r>
          </w:p>
        </w:tc>
        <w:tc>
          <w:tcPr>
            <w:tcW w:w="1736" w:type="dxa"/>
          </w:tcPr>
          <w:p w14:paraId="0EABEA64" w14:textId="77777777" w:rsidR="00A322A9" w:rsidRPr="00FB41DC" w:rsidRDefault="00A322A9" w:rsidP="008F23E6">
            <w:r w:rsidRPr="00FB41DC">
              <w:t>Sabiedrības mērķgrupa</w:t>
            </w:r>
            <w:r>
              <w:t>s, kuras tiesiskais regulējums ietekmē vai varētu ietekmēt</w:t>
            </w:r>
          </w:p>
        </w:tc>
        <w:tc>
          <w:tcPr>
            <w:tcW w:w="5968" w:type="dxa"/>
          </w:tcPr>
          <w:p w14:paraId="744BADAE" w14:textId="6DF7F490" w:rsidR="00A322A9" w:rsidRPr="00EE2B8C" w:rsidRDefault="007D0EC9" w:rsidP="00453636">
            <w:pPr>
              <w:jc w:val="both"/>
            </w:pPr>
            <w:r>
              <w:t>Spēļu vai citu aktivitāšu</w:t>
            </w:r>
            <w:r w:rsidR="00EB459D" w:rsidRPr="00EE2B8C">
              <w:t xml:space="preserve"> iekārtu un spēļu laukumu ražotāji</w:t>
            </w:r>
            <w:r w:rsidR="00C62B4F">
              <w:t>, importētāji, izplatītāji,</w:t>
            </w:r>
            <w:r>
              <w:t xml:space="preserve"> uzstādītāji</w:t>
            </w:r>
            <w:r w:rsidR="00C62B4F">
              <w:t>,</w:t>
            </w:r>
            <w:r w:rsidR="00453636">
              <w:t xml:space="preserve"> to </w:t>
            </w:r>
            <w:r w:rsidR="00EB459D" w:rsidRPr="00EE2B8C">
              <w:t>apsaimniekotāji</w:t>
            </w:r>
            <w:r>
              <w:t>, uzturētāji</w:t>
            </w:r>
            <w:r w:rsidR="00A322A9" w:rsidRPr="00EE2B8C">
              <w:t xml:space="preserve"> –</w:t>
            </w:r>
            <w:r w:rsidR="00EE2B8C" w:rsidRPr="00EE2B8C">
              <w:t xml:space="preserve"> 119</w:t>
            </w:r>
            <w:r w:rsidR="008F488F">
              <w:t> </w:t>
            </w:r>
            <w:r w:rsidR="00EE2B8C" w:rsidRPr="00EE2B8C">
              <w:t>pašvaldības</w:t>
            </w:r>
            <w:r w:rsidR="00453636">
              <w:t xml:space="preserve"> un</w:t>
            </w:r>
            <w:r>
              <w:t xml:space="preserve"> </w:t>
            </w:r>
            <w:r w:rsidR="00EE2B8C" w:rsidRPr="00EE2B8C">
              <w:t>komersanti</w:t>
            </w:r>
            <w:r w:rsidR="008F488F">
              <w:t>, kas nodrošina spēļu laukumu apsaimniekošanu, uzturēšanu, piedāvāšanu publiskai lietošanai, fiziskas vai juridiskas personas, kuru valdījumā ir publiski pieejami spēļu laukumi</w:t>
            </w:r>
            <w:r w:rsidR="00A322A9" w:rsidRPr="00EE2B8C">
              <w:t>.</w:t>
            </w:r>
          </w:p>
          <w:p w14:paraId="425FB86F" w14:textId="637D036E" w:rsidR="00A322A9" w:rsidRDefault="00DB64D8" w:rsidP="00DB64D8">
            <w:pPr>
              <w:jc w:val="both"/>
            </w:pPr>
            <w:r>
              <w:t>Visi Latvijas iedzīvotāji, jo īpaši bērni vecumā līdz 17</w:t>
            </w:r>
            <w:r w:rsidR="00841B92">
              <w:t> </w:t>
            </w:r>
            <w:r>
              <w:t>gadiem (201</w:t>
            </w:r>
            <w:r w:rsidR="00453636">
              <w:t>9</w:t>
            </w:r>
            <w:r>
              <w:t>.</w:t>
            </w:r>
            <w:r w:rsidR="00304B52">
              <w:t xml:space="preserve"> </w:t>
            </w:r>
            <w:r>
              <w:t xml:space="preserve">gadā </w:t>
            </w:r>
            <w:r w:rsidR="008F488F">
              <w:t xml:space="preserve">~ </w:t>
            </w:r>
            <w:r>
              <w:t>3</w:t>
            </w:r>
            <w:r w:rsidR="008F488F">
              <w:t>50 t</w:t>
            </w:r>
            <w:r w:rsidR="00453636">
              <w:t>ūkstoši</w:t>
            </w:r>
            <w:r w:rsidR="008F488F">
              <w:t xml:space="preserve"> </w:t>
            </w:r>
            <w:r>
              <w:t>bērn</w:t>
            </w:r>
            <w:r w:rsidR="00453636">
              <w:t>u</w:t>
            </w:r>
            <w:r>
              <w:t>).</w:t>
            </w:r>
          </w:p>
          <w:p w14:paraId="05197DB5" w14:textId="72CCEDC7" w:rsidR="00DB64D8" w:rsidRPr="00FB41DC" w:rsidRDefault="00DB64D8" w:rsidP="00DB64D8">
            <w:pPr>
              <w:jc w:val="both"/>
            </w:pPr>
          </w:p>
        </w:tc>
      </w:tr>
      <w:tr w:rsidR="00A322A9" w:rsidRPr="00CC4F9A" w14:paraId="2702A678" w14:textId="77777777" w:rsidTr="00537E7C">
        <w:tc>
          <w:tcPr>
            <w:tcW w:w="592" w:type="dxa"/>
            <w:shd w:val="clear" w:color="auto" w:fill="auto"/>
          </w:tcPr>
          <w:p w14:paraId="79227E78" w14:textId="3CF4FD74" w:rsidR="00A322A9" w:rsidRPr="00CC4F9A" w:rsidRDefault="00A322A9" w:rsidP="008F23E6">
            <w:pPr>
              <w:jc w:val="center"/>
              <w:rPr>
                <w:highlight w:val="yellow"/>
              </w:rPr>
            </w:pPr>
            <w:r>
              <w:t>2</w:t>
            </w:r>
            <w:r w:rsidRPr="00331BA5">
              <w:t>.</w:t>
            </w:r>
          </w:p>
        </w:tc>
        <w:tc>
          <w:tcPr>
            <w:tcW w:w="1736" w:type="dxa"/>
            <w:shd w:val="clear" w:color="auto" w:fill="FFFFFF"/>
          </w:tcPr>
          <w:p w14:paraId="3B5AC911" w14:textId="77777777" w:rsidR="00A322A9" w:rsidRPr="00CC4F9A" w:rsidRDefault="00A322A9" w:rsidP="008F23E6">
            <w:pPr>
              <w:rPr>
                <w:highlight w:val="yellow"/>
              </w:rPr>
            </w:pPr>
            <w:r w:rsidRPr="00331BA5">
              <w:t xml:space="preserve">Tiesiskā regulējuma </w:t>
            </w:r>
            <w:r>
              <w:t>ietekme uz tautsaimniecību un administratīvo slogu</w:t>
            </w:r>
          </w:p>
        </w:tc>
        <w:tc>
          <w:tcPr>
            <w:tcW w:w="5968" w:type="dxa"/>
            <w:shd w:val="clear" w:color="auto" w:fill="auto"/>
          </w:tcPr>
          <w:p w14:paraId="530BC99D" w14:textId="05724EF1" w:rsidR="007C4A00" w:rsidRDefault="00A322A9" w:rsidP="007C4A00">
            <w:pPr>
              <w:autoSpaceDE w:val="0"/>
              <w:autoSpaceDN w:val="0"/>
              <w:adjustRightInd w:val="0"/>
              <w:jc w:val="both"/>
            </w:pPr>
            <w:r>
              <w:t>Noteikumu projekts paredz</w:t>
            </w:r>
            <w:r w:rsidR="004417A2">
              <w:t xml:space="preserve"> spēļu </w:t>
            </w:r>
            <w:r w:rsidR="00D74802">
              <w:t xml:space="preserve">vai citu aktivitāšu </w:t>
            </w:r>
            <w:r w:rsidR="004417A2">
              <w:t xml:space="preserve">iekārtu ražotājiem, </w:t>
            </w:r>
            <w:r w:rsidR="0090125B">
              <w:t>importētājiem, izplatītājiem</w:t>
            </w:r>
            <w:r w:rsidR="004417A2">
              <w:t xml:space="preserve"> </w:t>
            </w:r>
            <w:r w:rsidR="00EE2B8C">
              <w:t xml:space="preserve">ievērot </w:t>
            </w:r>
            <w:r w:rsidR="004417A2">
              <w:t xml:space="preserve">drošuma prasības attiecībā uz </w:t>
            </w:r>
            <w:r w:rsidR="007C4A00">
              <w:t>spēļu iekārtu ražošanu. Šobrīd, lai nodrošinātu, ka spēļu iekārtas ir drošas, tām jāatbilst</w:t>
            </w:r>
            <w:r w:rsidR="007C4A00" w:rsidRPr="00D00F73">
              <w:t xml:space="preserve"> </w:t>
            </w:r>
            <w:r w:rsidR="00D74802">
              <w:t>Standartu</w:t>
            </w:r>
            <w:r w:rsidR="007C4A00">
              <w:t xml:space="preserve"> drošuma prasībām. Tomēr Standartu piemērošana ir brīvprātīga, tāpēc komersantam nav pienākums izmantot standartu. Ar šo Noteikumu projektu tiks noteiktas stingrākas prasības gan </w:t>
            </w:r>
            <w:r w:rsidR="003251B6">
              <w:t xml:space="preserve">spēļu </w:t>
            </w:r>
            <w:r w:rsidR="00D74802">
              <w:t xml:space="preserve">vai citu aktivitāšu </w:t>
            </w:r>
            <w:r w:rsidR="007C4A00">
              <w:t>iekārtu un laukumu ražotājiem attiecībā uz tehniskajā dokumentācijā sniegto info</w:t>
            </w:r>
            <w:r w:rsidR="003251B6">
              <w:t>rmāciju</w:t>
            </w:r>
            <w:r w:rsidR="007C4A00">
              <w:t xml:space="preserve"> un marķējumu, gan </w:t>
            </w:r>
            <w:r w:rsidR="00D74802">
              <w:t>to</w:t>
            </w:r>
            <w:r w:rsidR="007C4A00">
              <w:t xml:space="preserve"> apsaimniekotājiem</w:t>
            </w:r>
            <w:r w:rsidR="0090125B">
              <w:t>, uzturētājiem,</w:t>
            </w:r>
            <w:r w:rsidR="00EE2B8C">
              <w:t xml:space="preserve"> uzturot spēļu laukumus atbilstošus drošuma prasībām</w:t>
            </w:r>
            <w:r w:rsidR="00D74802">
              <w:t>, tādējādi nodrošinot vides un veselības aizsardzību</w:t>
            </w:r>
            <w:r w:rsidR="007C4A00">
              <w:t>.</w:t>
            </w:r>
          </w:p>
          <w:p w14:paraId="253B45A3" w14:textId="404C3EAB" w:rsidR="00D74802" w:rsidRDefault="00D74802" w:rsidP="007C4A00">
            <w:pPr>
              <w:autoSpaceDE w:val="0"/>
              <w:autoSpaceDN w:val="0"/>
              <w:adjustRightInd w:val="0"/>
              <w:jc w:val="both"/>
            </w:pPr>
            <w:r>
              <w:t xml:space="preserve">Noteikumu projektā paredzētais pienākums reģistrēt spēļu vai citu aktivitāšu iekārtas un laukumus, kā arī veikt to </w:t>
            </w:r>
            <w:proofErr w:type="spellStart"/>
            <w:r>
              <w:t>pēcuzstādīšanas</w:t>
            </w:r>
            <w:proofErr w:type="spellEnd"/>
            <w:r>
              <w:t xml:space="preserve"> pārbaudes vai riska novērtējumu </w:t>
            </w:r>
            <w:r w:rsidR="00DE55C0">
              <w:t>rada papildu administratīvo slogu publiski pieejamu spēļu vai citu aktivitāšu iekārtu un laukumu valdītājiem.</w:t>
            </w:r>
          </w:p>
          <w:p w14:paraId="480D01E8" w14:textId="5BB09448" w:rsidR="00DE55C0" w:rsidRDefault="00DE55C0" w:rsidP="007C4A00">
            <w:pPr>
              <w:autoSpaceDE w:val="0"/>
              <w:autoSpaceDN w:val="0"/>
              <w:adjustRightInd w:val="0"/>
              <w:jc w:val="both"/>
            </w:pPr>
            <w:r>
              <w:t>Papildu administratīvs slogs rodas pašvaldībām, no kurām saskaņā ar Noteikumu projektu PTAC būs tiesīgs pieprasīt un saņemt datus par to teritorijā esošo publisko spēļu laukumu valdītājiem.</w:t>
            </w:r>
          </w:p>
          <w:p w14:paraId="2035714A" w14:textId="7BB22FCD" w:rsidR="00DE55C0" w:rsidRDefault="00DE55C0" w:rsidP="007C4A00">
            <w:pPr>
              <w:autoSpaceDE w:val="0"/>
              <w:autoSpaceDN w:val="0"/>
              <w:adjustRightInd w:val="0"/>
              <w:jc w:val="both"/>
            </w:pPr>
            <w:r>
              <w:t>Administratīvais slogs tiek palielināts arī PTAC, kurš izveidos un uzturēs publisko spēļu laukumu un spēļu vai citu aktivitāšu iekārtu reģistru, tomēr šāda reģistra ieviešana veicinās PTAC veiktās uzraudzības efektivitāti.</w:t>
            </w:r>
          </w:p>
          <w:p w14:paraId="35AF7405" w14:textId="0E8BCF71" w:rsidR="00A322A9" w:rsidRPr="00FC5424" w:rsidRDefault="00A322A9" w:rsidP="008F23E6">
            <w:pPr>
              <w:jc w:val="both"/>
              <w:rPr>
                <w:szCs w:val="28"/>
              </w:rPr>
            </w:pPr>
            <w:r w:rsidRPr="00FC5424">
              <w:rPr>
                <w:szCs w:val="28"/>
              </w:rPr>
              <w:t xml:space="preserve"> </w:t>
            </w:r>
          </w:p>
        </w:tc>
      </w:tr>
      <w:tr w:rsidR="00A322A9" w:rsidRPr="00FB41DC" w14:paraId="4BB18237" w14:textId="77777777" w:rsidTr="00537E7C">
        <w:tc>
          <w:tcPr>
            <w:tcW w:w="592" w:type="dxa"/>
          </w:tcPr>
          <w:p w14:paraId="2BB8FFB2" w14:textId="77777777" w:rsidR="00A322A9" w:rsidRPr="00FB41DC" w:rsidRDefault="00A322A9" w:rsidP="008F23E6">
            <w:pPr>
              <w:jc w:val="center"/>
            </w:pPr>
            <w:r>
              <w:t>3</w:t>
            </w:r>
            <w:r w:rsidRPr="00FB41DC">
              <w:t>.</w:t>
            </w:r>
          </w:p>
        </w:tc>
        <w:tc>
          <w:tcPr>
            <w:tcW w:w="1736" w:type="dxa"/>
          </w:tcPr>
          <w:p w14:paraId="733608AF" w14:textId="77777777" w:rsidR="00A322A9" w:rsidRPr="00FB41DC" w:rsidRDefault="00A322A9" w:rsidP="008F23E6">
            <w:r w:rsidRPr="00FB41DC">
              <w:t>Administratīvo izmaksu monetārs novērtējums</w:t>
            </w:r>
          </w:p>
        </w:tc>
        <w:tc>
          <w:tcPr>
            <w:tcW w:w="5968" w:type="dxa"/>
          </w:tcPr>
          <w:p w14:paraId="1DCE3BC5" w14:textId="14FE8946" w:rsidR="00940A00" w:rsidRDefault="00940A00" w:rsidP="00CA538B">
            <w:pPr>
              <w:pStyle w:val="naiskr"/>
              <w:spacing w:before="0" w:after="0"/>
              <w:ind w:left="142" w:right="114" w:firstLine="283"/>
              <w:jc w:val="both"/>
              <w:rPr>
                <w:iCs/>
              </w:rPr>
            </w:pPr>
            <w:r>
              <w:rPr>
                <w:iCs/>
              </w:rPr>
              <w:t>Salīdzinot ar līdzšinējiem pienākumiem saistībā ar publisku spēļu laukumu drošumu ar Noteikumu projektu tiek ieviesta šādu laukumu reģistrācija, kas izraisa papildu administratīvās izmaksas.</w:t>
            </w:r>
          </w:p>
          <w:p w14:paraId="79122833" w14:textId="6609B76A" w:rsidR="00CA538B" w:rsidRDefault="00CA538B" w:rsidP="00CA538B">
            <w:pPr>
              <w:pStyle w:val="naiskr"/>
              <w:spacing w:before="0" w:after="0"/>
              <w:ind w:left="142" w:right="114" w:firstLine="283"/>
              <w:jc w:val="both"/>
              <w:rPr>
                <w:iCs/>
              </w:rPr>
            </w:pPr>
            <w:r>
              <w:rPr>
                <w:iCs/>
              </w:rPr>
              <w:t xml:space="preserve">Administratīvās izmaksas </w:t>
            </w:r>
            <w:r w:rsidR="00864F3E">
              <w:rPr>
                <w:iCs/>
              </w:rPr>
              <w:t>publisko spēļu laukumu īpašniekiem un tiesiskajiem valdītājiem</w:t>
            </w:r>
            <w:r>
              <w:rPr>
                <w:iCs/>
              </w:rPr>
              <w:t xml:space="preserve"> nepārsniegs noteikto līmeni, pie kura jāveic novērtējums.</w:t>
            </w:r>
          </w:p>
          <w:p w14:paraId="46D06907" w14:textId="664B57A3" w:rsidR="00CA538B" w:rsidRDefault="00CA538B" w:rsidP="00CA538B">
            <w:pPr>
              <w:pStyle w:val="naiskr"/>
              <w:spacing w:before="0" w:after="0"/>
              <w:ind w:left="142" w:right="114" w:firstLine="283"/>
              <w:jc w:val="both"/>
              <w:rPr>
                <w:iCs/>
              </w:rPr>
            </w:pPr>
            <w:r>
              <w:rPr>
                <w:iCs/>
              </w:rPr>
              <w:t>Aprēķinot PTAC</w:t>
            </w:r>
            <w:r w:rsidR="00212870">
              <w:rPr>
                <w:iCs/>
              </w:rPr>
              <w:t xml:space="preserve"> administratīvās izmaksas</w:t>
            </w:r>
            <w:r>
              <w:rPr>
                <w:iCs/>
              </w:rPr>
              <w:t xml:space="preserve">, tiek pieņemts, ka Latvijā būs </w:t>
            </w:r>
            <w:r w:rsidR="001B7250">
              <w:rPr>
                <w:iCs/>
              </w:rPr>
              <w:t>14</w:t>
            </w:r>
            <w:r>
              <w:rPr>
                <w:iCs/>
              </w:rPr>
              <w:t xml:space="preserve">00 publiskie spēļu laukumi, kuriem būs jāreģistrējas PTAC uzturētajā reģistrā un aptuveni </w:t>
            </w:r>
            <w:r w:rsidR="00642F2B">
              <w:rPr>
                <w:iCs/>
              </w:rPr>
              <w:t>14</w:t>
            </w:r>
            <w:r>
              <w:rPr>
                <w:iCs/>
              </w:rPr>
              <w:t xml:space="preserve">0 no tiem gada laikā veiks izmaiņas reģistrācijas datos. </w:t>
            </w:r>
          </w:p>
          <w:p w14:paraId="7EC30B58" w14:textId="77777777" w:rsidR="00CA538B" w:rsidRDefault="00CA538B" w:rsidP="00CA538B">
            <w:pPr>
              <w:pStyle w:val="naiskr"/>
              <w:spacing w:before="0" w:after="0"/>
              <w:ind w:left="142" w:right="114" w:firstLine="283"/>
              <w:jc w:val="both"/>
              <w:rPr>
                <w:iCs/>
              </w:rPr>
            </w:pPr>
            <w:r>
              <w:rPr>
                <w:iCs/>
              </w:rPr>
              <w:lastRenderedPageBreak/>
              <w:t>Saistībā ar gadījumiem, kad tiks konstatēti publiskie spēļu laukumi, kas nav reģistrēti, PTAC var būt nepieciešamība pieprasīt pašvaldībām informāciju par to īpašniekiem vai tiesiskajiem valdītājiem. Tiek pieņemts, ka šādas informācijas sagatavošana pašvaldībām varētu aizņemt 10 stundas gadā.</w:t>
            </w:r>
          </w:p>
          <w:p w14:paraId="489D1CD8" w14:textId="6B3B3803" w:rsidR="00CA538B" w:rsidRDefault="008A3121" w:rsidP="00CA538B">
            <w:pPr>
              <w:pStyle w:val="naiskr"/>
              <w:spacing w:before="0" w:after="0"/>
              <w:ind w:left="142" w:right="114" w:firstLine="283"/>
              <w:jc w:val="both"/>
              <w:rPr>
                <w:iCs/>
              </w:rPr>
            </w:pPr>
            <w:r>
              <w:rPr>
                <w:iCs/>
              </w:rPr>
              <w:t>Aprēķinos izmantotā</w:t>
            </w:r>
            <w:r w:rsidR="00CA538B">
              <w:rPr>
                <w:iCs/>
              </w:rPr>
              <w:t xml:space="preserve"> darba stundas likme ir 8,62 </w:t>
            </w:r>
            <w:proofErr w:type="spellStart"/>
            <w:r w:rsidR="00CA538B">
              <w:rPr>
                <w:i/>
                <w:iCs/>
              </w:rPr>
              <w:t>euro</w:t>
            </w:r>
            <w:proofErr w:type="spellEnd"/>
            <w:r w:rsidR="00CA538B">
              <w:rPr>
                <w:iCs/>
              </w:rPr>
              <w:t xml:space="preserve">. </w:t>
            </w:r>
          </w:p>
          <w:p w14:paraId="4E686F19" w14:textId="0D4B21C9" w:rsidR="00CA538B" w:rsidRDefault="00980269" w:rsidP="00CA538B">
            <w:pPr>
              <w:pStyle w:val="naiskr"/>
              <w:numPr>
                <w:ilvl w:val="0"/>
                <w:numId w:val="4"/>
              </w:numPr>
              <w:spacing w:before="0" w:after="0"/>
              <w:ind w:left="142" w:right="114" w:firstLine="283"/>
              <w:jc w:val="both"/>
              <w:rPr>
                <w:iCs/>
              </w:rPr>
            </w:pPr>
            <w:r>
              <w:rPr>
                <w:iCs/>
              </w:rPr>
              <w:t>Publiska spēļu laukuma</w:t>
            </w:r>
            <w:r w:rsidR="00CA538B">
              <w:rPr>
                <w:iCs/>
              </w:rPr>
              <w:t xml:space="preserve"> reģistrācijas dokumentu saņemšana, izvērtēšana un ievadīšana publiskajā reģistrā. Tiek pieņemts, ka šo darbību veic </w:t>
            </w:r>
            <w:r w:rsidR="00D93C6C">
              <w:rPr>
                <w:iCs/>
              </w:rPr>
              <w:t xml:space="preserve">viens </w:t>
            </w:r>
            <w:r w:rsidR="00CA538B">
              <w:rPr>
                <w:iCs/>
              </w:rPr>
              <w:t xml:space="preserve">darbinieks, kurš viena </w:t>
            </w:r>
            <w:r>
              <w:rPr>
                <w:iCs/>
              </w:rPr>
              <w:t>publiska spēļu laukuma</w:t>
            </w:r>
            <w:r w:rsidR="00CA538B">
              <w:rPr>
                <w:iCs/>
              </w:rPr>
              <w:t xml:space="preserve"> reģistrēšanai patērē aptuveni 30 minūtes (0,5 stundas).</w:t>
            </w:r>
          </w:p>
          <w:p w14:paraId="177AE9C0" w14:textId="5472A79B" w:rsidR="00CA538B" w:rsidRDefault="00CA538B" w:rsidP="00CA538B">
            <w:pPr>
              <w:pStyle w:val="naiskr"/>
              <w:spacing w:before="0" w:after="0"/>
              <w:ind w:right="114"/>
              <w:jc w:val="center"/>
              <w:rPr>
                <w:b/>
                <w:iCs/>
              </w:rPr>
            </w:pPr>
            <w:r>
              <w:rPr>
                <w:b/>
                <w:iCs/>
              </w:rPr>
              <w:t>C</w:t>
            </w:r>
            <w:r>
              <w:rPr>
                <w:b/>
                <w:iCs/>
                <w:vertAlign w:val="subscript"/>
              </w:rPr>
              <w:t>1</w:t>
            </w:r>
            <w:r>
              <w:rPr>
                <w:b/>
                <w:iCs/>
              </w:rPr>
              <w:t>=(8,6</w:t>
            </w:r>
            <w:r w:rsidR="00980269">
              <w:rPr>
                <w:b/>
                <w:iCs/>
              </w:rPr>
              <w:t>2</w:t>
            </w:r>
            <w:r>
              <w:rPr>
                <w:b/>
                <w:iCs/>
              </w:rPr>
              <w:t>x0,5)x(</w:t>
            </w:r>
            <w:r w:rsidR="00642F2B">
              <w:rPr>
                <w:b/>
                <w:iCs/>
              </w:rPr>
              <w:t>14</w:t>
            </w:r>
            <w:r>
              <w:rPr>
                <w:b/>
                <w:iCs/>
              </w:rPr>
              <w:t>00x1)=4,3</w:t>
            </w:r>
            <w:r w:rsidR="00980269">
              <w:rPr>
                <w:b/>
                <w:iCs/>
              </w:rPr>
              <w:t>1x</w:t>
            </w:r>
            <w:r w:rsidR="00642F2B">
              <w:rPr>
                <w:b/>
                <w:iCs/>
              </w:rPr>
              <w:t>14</w:t>
            </w:r>
            <w:r w:rsidR="00980269">
              <w:rPr>
                <w:b/>
                <w:iCs/>
              </w:rPr>
              <w:t>00=</w:t>
            </w:r>
            <w:r w:rsidR="00642F2B">
              <w:rPr>
                <w:b/>
                <w:iCs/>
              </w:rPr>
              <w:t>6034</w:t>
            </w:r>
            <w:r>
              <w:rPr>
                <w:b/>
                <w:iCs/>
              </w:rPr>
              <w:t xml:space="preserve">,00 </w:t>
            </w:r>
            <w:proofErr w:type="spellStart"/>
            <w:r>
              <w:rPr>
                <w:b/>
                <w:i/>
                <w:iCs/>
              </w:rPr>
              <w:t>euro</w:t>
            </w:r>
            <w:proofErr w:type="spellEnd"/>
          </w:p>
          <w:p w14:paraId="61663228" w14:textId="165BD245" w:rsidR="00CA538B" w:rsidRDefault="00CA538B" w:rsidP="00CA538B">
            <w:pPr>
              <w:pStyle w:val="naiskr"/>
              <w:numPr>
                <w:ilvl w:val="0"/>
                <w:numId w:val="4"/>
              </w:numPr>
              <w:spacing w:before="0" w:after="0"/>
              <w:ind w:left="142" w:right="114" w:firstLine="283"/>
              <w:jc w:val="both"/>
              <w:rPr>
                <w:iCs/>
              </w:rPr>
            </w:pPr>
            <w:r>
              <w:rPr>
                <w:iCs/>
              </w:rPr>
              <w:t xml:space="preserve">Izmaiņu veikšana </w:t>
            </w:r>
            <w:r w:rsidR="00980269">
              <w:rPr>
                <w:iCs/>
              </w:rPr>
              <w:t>publisko spēļu laukumu</w:t>
            </w:r>
            <w:r>
              <w:rPr>
                <w:iCs/>
              </w:rPr>
              <w:t xml:space="preserve"> datos. Tiek pieņemts, ka šo darbību veic </w:t>
            </w:r>
            <w:r w:rsidR="00D93C6C">
              <w:rPr>
                <w:iCs/>
              </w:rPr>
              <w:t xml:space="preserve">viens </w:t>
            </w:r>
            <w:r>
              <w:rPr>
                <w:iCs/>
              </w:rPr>
              <w:t>darbinieks, kurš šīs darbības veikšanai patērē aptuveni 15 minūtes (0,25 stundas).</w:t>
            </w:r>
          </w:p>
          <w:p w14:paraId="289F0658" w14:textId="28500B98" w:rsidR="00CA538B" w:rsidRDefault="00CA538B" w:rsidP="00CA538B">
            <w:pPr>
              <w:pStyle w:val="naiskr"/>
              <w:spacing w:before="0" w:after="0"/>
              <w:ind w:right="114"/>
              <w:jc w:val="center"/>
              <w:rPr>
                <w:b/>
                <w:i/>
                <w:iCs/>
              </w:rPr>
            </w:pPr>
            <w:r>
              <w:rPr>
                <w:b/>
                <w:iCs/>
              </w:rPr>
              <w:t>C</w:t>
            </w:r>
            <w:r>
              <w:rPr>
                <w:b/>
                <w:iCs/>
                <w:vertAlign w:val="subscript"/>
              </w:rPr>
              <w:t>2</w:t>
            </w:r>
            <w:r>
              <w:rPr>
                <w:b/>
                <w:iCs/>
              </w:rPr>
              <w:t>=(8,6</w:t>
            </w:r>
            <w:r w:rsidR="00980269">
              <w:rPr>
                <w:b/>
                <w:iCs/>
              </w:rPr>
              <w:t>2x0,25)x(</w:t>
            </w:r>
            <w:r w:rsidR="00642F2B">
              <w:rPr>
                <w:b/>
                <w:iCs/>
              </w:rPr>
              <w:t>14</w:t>
            </w:r>
            <w:r w:rsidR="00980269">
              <w:rPr>
                <w:b/>
                <w:iCs/>
              </w:rPr>
              <w:t>0x1)=2,155x</w:t>
            </w:r>
            <w:r w:rsidR="00642F2B">
              <w:rPr>
                <w:b/>
                <w:iCs/>
              </w:rPr>
              <w:t>14</w:t>
            </w:r>
            <w:r w:rsidR="00980269">
              <w:rPr>
                <w:b/>
                <w:iCs/>
              </w:rPr>
              <w:t>0=</w:t>
            </w:r>
            <w:r w:rsidR="00642F2B">
              <w:rPr>
                <w:b/>
                <w:iCs/>
              </w:rPr>
              <w:t>30</w:t>
            </w:r>
            <w:r w:rsidR="00980269">
              <w:rPr>
                <w:b/>
                <w:iCs/>
              </w:rPr>
              <w:t>1</w:t>
            </w:r>
            <w:r>
              <w:rPr>
                <w:b/>
                <w:iCs/>
              </w:rPr>
              <w:t>,</w:t>
            </w:r>
            <w:r w:rsidR="00980269">
              <w:rPr>
                <w:b/>
                <w:iCs/>
              </w:rPr>
              <w:t>7</w:t>
            </w:r>
            <w:r w:rsidR="00642F2B">
              <w:rPr>
                <w:b/>
                <w:iCs/>
              </w:rPr>
              <w:t>0</w:t>
            </w:r>
            <w:r>
              <w:rPr>
                <w:b/>
                <w:iCs/>
              </w:rPr>
              <w:t xml:space="preserve"> </w:t>
            </w:r>
            <w:proofErr w:type="spellStart"/>
            <w:r>
              <w:rPr>
                <w:b/>
                <w:i/>
                <w:iCs/>
              </w:rPr>
              <w:t>euro</w:t>
            </w:r>
            <w:proofErr w:type="spellEnd"/>
          </w:p>
          <w:p w14:paraId="13E278AC" w14:textId="1F88B71E" w:rsidR="00CA538B" w:rsidRDefault="00CA538B" w:rsidP="00CA538B">
            <w:pPr>
              <w:pStyle w:val="naiskr"/>
              <w:spacing w:before="0" w:after="0"/>
              <w:ind w:left="142" w:right="114"/>
              <w:jc w:val="both"/>
              <w:rPr>
                <w:iCs/>
              </w:rPr>
            </w:pPr>
            <w:r>
              <w:rPr>
                <w:iCs/>
              </w:rPr>
              <w:t>Tādējādi kopējās administratīvās izmaksas Patērētāju tiesību aizsardzības centram veidotu:</w:t>
            </w:r>
          </w:p>
          <w:p w14:paraId="45483ECA" w14:textId="5F995F62" w:rsidR="00F5612C" w:rsidRPr="00771A91" w:rsidRDefault="00CA538B" w:rsidP="00771A91">
            <w:pPr>
              <w:ind w:left="108" w:firstLine="612"/>
              <w:rPr>
                <w:b/>
                <w:i/>
                <w:iCs/>
              </w:rPr>
            </w:pPr>
            <w:r>
              <w:rPr>
                <w:b/>
                <w:iCs/>
              </w:rPr>
              <w:t>C</w:t>
            </w:r>
            <w:r>
              <w:rPr>
                <w:b/>
                <w:iCs/>
                <w:vertAlign w:val="subscript"/>
              </w:rPr>
              <w:t>PTAC</w:t>
            </w:r>
            <w:r w:rsidR="00980269">
              <w:rPr>
                <w:b/>
                <w:iCs/>
              </w:rPr>
              <w:t>=</w:t>
            </w:r>
            <w:r w:rsidR="00642F2B">
              <w:rPr>
                <w:b/>
                <w:iCs/>
              </w:rPr>
              <w:t>6034</w:t>
            </w:r>
            <w:r w:rsidR="00980269">
              <w:rPr>
                <w:b/>
                <w:iCs/>
              </w:rPr>
              <w:t>,00</w:t>
            </w:r>
            <w:r w:rsidR="00980269" w:rsidRPr="00771A91">
              <w:rPr>
                <w:b/>
                <w:iCs/>
              </w:rPr>
              <w:t>+</w:t>
            </w:r>
            <w:r w:rsidR="00642F2B">
              <w:rPr>
                <w:b/>
                <w:iCs/>
              </w:rPr>
              <w:t>30</w:t>
            </w:r>
            <w:r w:rsidR="00980269" w:rsidRPr="00771A91">
              <w:rPr>
                <w:b/>
                <w:iCs/>
              </w:rPr>
              <w:t>1,7</w:t>
            </w:r>
            <w:r w:rsidR="00642F2B">
              <w:rPr>
                <w:b/>
                <w:iCs/>
              </w:rPr>
              <w:t>0</w:t>
            </w:r>
            <w:r w:rsidR="00980269" w:rsidRPr="00771A91">
              <w:rPr>
                <w:b/>
                <w:iCs/>
              </w:rPr>
              <w:t>=</w:t>
            </w:r>
            <w:r w:rsidR="00642F2B">
              <w:rPr>
                <w:b/>
                <w:iCs/>
              </w:rPr>
              <w:t>6335</w:t>
            </w:r>
            <w:r w:rsidRPr="00771A91">
              <w:rPr>
                <w:b/>
                <w:iCs/>
              </w:rPr>
              <w:t>,</w:t>
            </w:r>
            <w:r w:rsidR="00980269" w:rsidRPr="00771A91">
              <w:rPr>
                <w:b/>
                <w:iCs/>
              </w:rPr>
              <w:t>7</w:t>
            </w:r>
            <w:r w:rsidR="00642F2B">
              <w:rPr>
                <w:b/>
                <w:iCs/>
              </w:rPr>
              <w:t>0</w:t>
            </w:r>
            <w:r w:rsidRPr="00771A91">
              <w:rPr>
                <w:b/>
                <w:iCs/>
              </w:rPr>
              <w:t xml:space="preserve"> </w:t>
            </w:r>
            <w:proofErr w:type="spellStart"/>
            <w:r w:rsidRPr="00771A91">
              <w:rPr>
                <w:b/>
                <w:i/>
                <w:iCs/>
              </w:rPr>
              <w:t>euro</w:t>
            </w:r>
            <w:proofErr w:type="spellEnd"/>
          </w:p>
          <w:p w14:paraId="539998ED" w14:textId="77777777" w:rsidR="00CA538B" w:rsidRPr="00771A91" w:rsidRDefault="00CA538B" w:rsidP="00771A91">
            <w:pPr>
              <w:ind w:left="108" w:firstLine="612"/>
              <w:rPr>
                <w:lang w:val="en-US"/>
              </w:rPr>
            </w:pPr>
          </w:p>
          <w:p w14:paraId="7AF8042D" w14:textId="0CBB75A8" w:rsidR="00A322A9" w:rsidRPr="00771A91" w:rsidRDefault="00A322A9" w:rsidP="00771A91">
            <w:pPr>
              <w:pStyle w:val="ListParagraph"/>
              <w:numPr>
                <w:ilvl w:val="0"/>
                <w:numId w:val="4"/>
              </w:numPr>
              <w:ind w:left="108" w:firstLine="612"/>
              <w:rPr>
                <w:rFonts w:ascii="Times New Roman" w:hAnsi="Times New Roman"/>
                <w:sz w:val="24"/>
                <w:szCs w:val="24"/>
              </w:rPr>
            </w:pPr>
            <w:proofErr w:type="spellStart"/>
            <w:r w:rsidRPr="00771A91">
              <w:rPr>
                <w:rFonts w:ascii="Times New Roman" w:hAnsi="Times New Roman"/>
                <w:sz w:val="24"/>
                <w:szCs w:val="24"/>
              </w:rPr>
              <w:t>Administratīvās</w:t>
            </w:r>
            <w:proofErr w:type="spellEnd"/>
            <w:r w:rsidRPr="00771A91">
              <w:rPr>
                <w:rFonts w:ascii="Times New Roman" w:hAnsi="Times New Roman"/>
                <w:sz w:val="24"/>
                <w:szCs w:val="24"/>
              </w:rPr>
              <w:t xml:space="preserve"> </w:t>
            </w:r>
            <w:proofErr w:type="spellStart"/>
            <w:r w:rsidRPr="00771A91">
              <w:rPr>
                <w:rFonts w:ascii="Times New Roman" w:hAnsi="Times New Roman"/>
                <w:sz w:val="24"/>
                <w:szCs w:val="24"/>
              </w:rPr>
              <w:t>izmaksas</w:t>
            </w:r>
            <w:proofErr w:type="spellEnd"/>
            <w:r w:rsidRPr="00771A91">
              <w:rPr>
                <w:rFonts w:ascii="Times New Roman" w:hAnsi="Times New Roman"/>
                <w:sz w:val="24"/>
                <w:szCs w:val="24"/>
              </w:rPr>
              <w:t xml:space="preserve"> </w:t>
            </w:r>
            <w:proofErr w:type="spellStart"/>
            <w:r w:rsidRPr="00771A91">
              <w:rPr>
                <w:rFonts w:ascii="Times New Roman" w:hAnsi="Times New Roman"/>
                <w:sz w:val="24"/>
                <w:szCs w:val="24"/>
              </w:rPr>
              <w:t>pašvaldībām</w:t>
            </w:r>
            <w:proofErr w:type="spellEnd"/>
            <w:r w:rsidR="00980269" w:rsidRPr="00771A91">
              <w:rPr>
                <w:rFonts w:ascii="Times New Roman" w:hAnsi="Times New Roman"/>
                <w:sz w:val="24"/>
                <w:szCs w:val="24"/>
              </w:rPr>
              <w:t xml:space="preserve"> </w:t>
            </w:r>
            <w:proofErr w:type="spellStart"/>
            <w:r w:rsidR="00980269" w:rsidRPr="00771A91">
              <w:rPr>
                <w:rFonts w:ascii="Times New Roman" w:hAnsi="Times New Roman"/>
                <w:sz w:val="24"/>
                <w:szCs w:val="24"/>
              </w:rPr>
              <w:t>saistībā</w:t>
            </w:r>
            <w:proofErr w:type="spellEnd"/>
            <w:r w:rsidR="00980269" w:rsidRPr="00771A91">
              <w:rPr>
                <w:rFonts w:ascii="Times New Roman" w:hAnsi="Times New Roman"/>
                <w:sz w:val="24"/>
                <w:szCs w:val="24"/>
              </w:rPr>
              <w:t xml:space="preserve"> </w:t>
            </w:r>
            <w:proofErr w:type="spellStart"/>
            <w:r w:rsidR="00980269" w:rsidRPr="00771A91">
              <w:rPr>
                <w:rFonts w:ascii="Times New Roman" w:hAnsi="Times New Roman"/>
                <w:sz w:val="24"/>
                <w:szCs w:val="24"/>
              </w:rPr>
              <w:t>ar</w:t>
            </w:r>
            <w:proofErr w:type="spellEnd"/>
            <w:r w:rsidR="00980269" w:rsidRPr="00771A91">
              <w:rPr>
                <w:rFonts w:ascii="Times New Roman" w:hAnsi="Times New Roman"/>
                <w:sz w:val="24"/>
                <w:szCs w:val="24"/>
              </w:rPr>
              <w:t xml:space="preserve"> PTAC </w:t>
            </w:r>
            <w:proofErr w:type="spellStart"/>
            <w:r w:rsidR="00980269" w:rsidRPr="00771A91">
              <w:rPr>
                <w:rFonts w:ascii="Times New Roman" w:hAnsi="Times New Roman"/>
                <w:sz w:val="24"/>
                <w:szCs w:val="24"/>
              </w:rPr>
              <w:t>pieprasījumiem</w:t>
            </w:r>
            <w:proofErr w:type="spellEnd"/>
            <w:r w:rsidR="00980269" w:rsidRPr="00771A91">
              <w:rPr>
                <w:rFonts w:ascii="Times New Roman" w:hAnsi="Times New Roman"/>
                <w:sz w:val="24"/>
                <w:szCs w:val="24"/>
              </w:rPr>
              <w:t xml:space="preserve"> par </w:t>
            </w:r>
            <w:proofErr w:type="spellStart"/>
            <w:r w:rsidR="00980269" w:rsidRPr="00771A91">
              <w:rPr>
                <w:rFonts w:ascii="Times New Roman" w:hAnsi="Times New Roman"/>
                <w:sz w:val="24"/>
                <w:szCs w:val="24"/>
              </w:rPr>
              <w:t>nereģistrētiem</w:t>
            </w:r>
            <w:proofErr w:type="spellEnd"/>
            <w:r w:rsidR="00980269" w:rsidRPr="00771A91">
              <w:rPr>
                <w:rFonts w:ascii="Times New Roman" w:hAnsi="Times New Roman"/>
                <w:sz w:val="24"/>
                <w:szCs w:val="24"/>
              </w:rPr>
              <w:t xml:space="preserve"> </w:t>
            </w:r>
            <w:proofErr w:type="spellStart"/>
            <w:r w:rsidR="00980269" w:rsidRPr="00771A91">
              <w:rPr>
                <w:rFonts w:ascii="Times New Roman" w:hAnsi="Times New Roman"/>
                <w:sz w:val="24"/>
                <w:szCs w:val="24"/>
              </w:rPr>
              <w:t>publiskiem</w:t>
            </w:r>
            <w:proofErr w:type="spellEnd"/>
            <w:r w:rsidR="00980269" w:rsidRPr="00771A91">
              <w:rPr>
                <w:rFonts w:ascii="Times New Roman" w:hAnsi="Times New Roman"/>
                <w:sz w:val="24"/>
                <w:szCs w:val="24"/>
              </w:rPr>
              <w:t xml:space="preserve"> </w:t>
            </w:r>
            <w:proofErr w:type="spellStart"/>
            <w:r w:rsidR="00980269" w:rsidRPr="00771A91">
              <w:rPr>
                <w:rFonts w:ascii="Times New Roman" w:hAnsi="Times New Roman"/>
                <w:sz w:val="24"/>
                <w:szCs w:val="24"/>
              </w:rPr>
              <w:t>spēļu</w:t>
            </w:r>
            <w:proofErr w:type="spellEnd"/>
            <w:r w:rsidR="00980269" w:rsidRPr="00771A91">
              <w:rPr>
                <w:rFonts w:ascii="Times New Roman" w:hAnsi="Times New Roman"/>
                <w:sz w:val="24"/>
                <w:szCs w:val="24"/>
              </w:rPr>
              <w:t xml:space="preserve"> </w:t>
            </w:r>
            <w:proofErr w:type="spellStart"/>
            <w:r w:rsidR="00980269" w:rsidRPr="00771A91">
              <w:rPr>
                <w:rFonts w:ascii="Times New Roman" w:hAnsi="Times New Roman"/>
                <w:sz w:val="24"/>
                <w:szCs w:val="24"/>
              </w:rPr>
              <w:t>laukumiem</w:t>
            </w:r>
            <w:proofErr w:type="spellEnd"/>
            <w:r w:rsidRPr="00771A91">
              <w:rPr>
                <w:rFonts w:ascii="Times New Roman" w:hAnsi="Times New Roman"/>
                <w:sz w:val="24"/>
                <w:szCs w:val="24"/>
              </w:rPr>
              <w:t>:</w:t>
            </w:r>
          </w:p>
          <w:p w14:paraId="17C5340D" w14:textId="04CD073A" w:rsidR="00A322A9" w:rsidRDefault="00980269" w:rsidP="00771A91">
            <w:pPr>
              <w:ind w:left="108" w:firstLine="612"/>
              <w:rPr>
                <w:iCs/>
              </w:rPr>
            </w:pPr>
            <w:r w:rsidRPr="00771A91">
              <w:rPr>
                <w:iCs/>
              </w:rPr>
              <w:t>Tiek pieņemts, ka šādas informācijas sagatavošana pašvaldībām varētu aizņemt</w:t>
            </w:r>
            <w:r>
              <w:rPr>
                <w:iCs/>
              </w:rPr>
              <w:t xml:space="preserve"> 10 stundas gadā.</w:t>
            </w:r>
          </w:p>
          <w:p w14:paraId="489AE3B5" w14:textId="77777777" w:rsidR="00980269" w:rsidRDefault="00980269" w:rsidP="008F23E6"/>
          <w:p w14:paraId="036A9A63" w14:textId="3A9F4415" w:rsidR="00A322A9" w:rsidRDefault="00A322A9" w:rsidP="008F23E6">
            <w:r>
              <w:t>F - Vidējā alga vispārējā va</w:t>
            </w:r>
            <w:r w:rsidR="00980269">
              <w:t>ldības sektorā, stundas likme 8</w:t>
            </w:r>
            <w:r>
              <w:t>,</w:t>
            </w:r>
            <w:r w:rsidR="00980269">
              <w:t>62</w:t>
            </w:r>
            <w:r w:rsidRPr="00C71C2B">
              <w:rPr>
                <w:i/>
              </w:rPr>
              <w:t xml:space="preserve"> </w:t>
            </w:r>
            <w:proofErr w:type="spellStart"/>
            <w:r w:rsidRPr="00C71C2B">
              <w:rPr>
                <w:i/>
              </w:rPr>
              <w:t>euro</w:t>
            </w:r>
            <w:proofErr w:type="spellEnd"/>
          </w:p>
          <w:p w14:paraId="2BB17C44" w14:textId="22373316" w:rsidR="00A322A9" w:rsidRDefault="00A322A9" w:rsidP="008F23E6">
            <w:r>
              <w:t xml:space="preserve">L – nepieciešamais laiks informācijas sagatavošanai –  </w:t>
            </w:r>
            <w:r w:rsidR="005F348F">
              <w:t>1</w:t>
            </w:r>
            <w:r>
              <w:t>0 stundas gadā</w:t>
            </w:r>
          </w:p>
          <w:p w14:paraId="52F90E4D" w14:textId="77777777" w:rsidR="00A322A9" w:rsidRDefault="00A322A9" w:rsidP="008F23E6">
            <w:r>
              <w:t>N – subjektu skaits – 119 pašvaldības</w:t>
            </w:r>
          </w:p>
          <w:p w14:paraId="37A67265" w14:textId="6C0BBE30" w:rsidR="00A322A9" w:rsidRDefault="00A322A9" w:rsidP="008F23E6">
            <w:r>
              <w:t>b- informācijas sniegšanas biežums – 1 reizi</w:t>
            </w:r>
            <w:r w:rsidR="00980269">
              <w:t xml:space="preserve"> gadā</w:t>
            </w:r>
          </w:p>
          <w:p w14:paraId="077F5F0B" w14:textId="6DDA99F7" w:rsidR="00A322A9" w:rsidRPr="00E5390E" w:rsidRDefault="00E5390E" w:rsidP="008F23E6">
            <w:pPr>
              <w:rPr>
                <w:b/>
              </w:rPr>
            </w:pPr>
            <w:proofErr w:type="spellStart"/>
            <w:r>
              <w:rPr>
                <w:b/>
                <w:iCs/>
              </w:rPr>
              <w:t>C</w:t>
            </w:r>
            <w:r>
              <w:rPr>
                <w:b/>
                <w:iCs/>
                <w:vertAlign w:val="subscript"/>
              </w:rPr>
              <w:t>Pašv</w:t>
            </w:r>
            <w:proofErr w:type="spellEnd"/>
            <w:r>
              <w:rPr>
                <w:b/>
                <w:iCs/>
                <w:vertAlign w:val="subscript"/>
              </w:rPr>
              <w:t>.</w:t>
            </w:r>
            <w:r w:rsidR="00A322A9" w:rsidRPr="00E5390E">
              <w:rPr>
                <w:b/>
              </w:rPr>
              <w:t xml:space="preserve"> = (f x l) x (n x b)</w:t>
            </w:r>
          </w:p>
          <w:p w14:paraId="3C6DCE03" w14:textId="77777777" w:rsidR="00A322A9" w:rsidRDefault="00A322A9" w:rsidP="008F23E6"/>
          <w:p w14:paraId="5B851896" w14:textId="19ED0EC4" w:rsidR="00A322A9" w:rsidRPr="00980269" w:rsidRDefault="00E5390E" w:rsidP="008F23E6">
            <w:pPr>
              <w:rPr>
                <w:b/>
              </w:rPr>
            </w:pPr>
            <w:proofErr w:type="spellStart"/>
            <w:r>
              <w:rPr>
                <w:b/>
                <w:iCs/>
              </w:rPr>
              <w:t>C</w:t>
            </w:r>
            <w:r>
              <w:rPr>
                <w:b/>
                <w:iCs/>
                <w:vertAlign w:val="subscript"/>
              </w:rPr>
              <w:t>Pašv</w:t>
            </w:r>
            <w:proofErr w:type="spellEnd"/>
            <w:r>
              <w:rPr>
                <w:b/>
                <w:iCs/>
                <w:vertAlign w:val="subscript"/>
              </w:rPr>
              <w:t>.</w:t>
            </w:r>
            <w:r w:rsidRPr="00980269">
              <w:rPr>
                <w:b/>
              </w:rPr>
              <w:t xml:space="preserve"> </w:t>
            </w:r>
            <w:r w:rsidR="00980269" w:rsidRPr="00980269">
              <w:rPr>
                <w:b/>
              </w:rPr>
              <w:t>= (8</w:t>
            </w:r>
            <w:r w:rsidR="00A322A9" w:rsidRPr="00980269">
              <w:rPr>
                <w:b/>
              </w:rPr>
              <w:t>,</w:t>
            </w:r>
            <w:r w:rsidR="00980269" w:rsidRPr="00980269">
              <w:rPr>
                <w:b/>
              </w:rPr>
              <w:t>62</w:t>
            </w:r>
            <w:r w:rsidR="00A322A9" w:rsidRPr="00980269">
              <w:rPr>
                <w:b/>
              </w:rPr>
              <w:t xml:space="preserve"> x </w:t>
            </w:r>
            <w:r w:rsidR="00980269" w:rsidRPr="00980269">
              <w:rPr>
                <w:b/>
              </w:rPr>
              <w:t>10) x (119x1) = 10</w:t>
            </w:r>
            <w:r w:rsidR="005F348F" w:rsidRPr="00980269">
              <w:rPr>
                <w:b/>
              </w:rPr>
              <w:t> </w:t>
            </w:r>
            <w:r w:rsidR="00980269" w:rsidRPr="00980269">
              <w:rPr>
                <w:b/>
              </w:rPr>
              <w:t>257</w:t>
            </w:r>
            <w:r w:rsidR="005F348F" w:rsidRPr="00980269">
              <w:rPr>
                <w:b/>
              </w:rPr>
              <w:t>,</w:t>
            </w:r>
            <w:r w:rsidR="00980269" w:rsidRPr="00980269">
              <w:rPr>
                <w:b/>
              </w:rPr>
              <w:t>8</w:t>
            </w:r>
            <w:r w:rsidR="00642F2B">
              <w:rPr>
                <w:b/>
              </w:rPr>
              <w:t>0</w:t>
            </w:r>
            <w:r w:rsidR="00A322A9" w:rsidRPr="00980269">
              <w:rPr>
                <w:b/>
              </w:rPr>
              <w:t xml:space="preserve"> </w:t>
            </w:r>
            <w:proofErr w:type="spellStart"/>
            <w:r w:rsidR="00A322A9" w:rsidRPr="00980269">
              <w:rPr>
                <w:b/>
                <w:i/>
              </w:rPr>
              <w:t>euro</w:t>
            </w:r>
            <w:proofErr w:type="spellEnd"/>
          </w:p>
          <w:p w14:paraId="42798A0A" w14:textId="3A6CDC0C" w:rsidR="00A322A9" w:rsidRPr="00FB41DC" w:rsidRDefault="00A322A9" w:rsidP="008F23E6"/>
        </w:tc>
      </w:tr>
      <w:tr w:rsidR="00537E7C" w:rsidRPr="00FB41DC" w14:paraId="74188118" w14:textId="77777777" w:rsidTr="00537E7C">
        <w:tc>
          <w:tcPr>
            <w:tcW w:w="592" w:type="dxa"/>
          </w:tcPr>
          <w:p w14:paraId="284C63BF" w14:textId="4F7CF7F7" w:rsidR="00537E7C" w:rsidRDefault="005520F7" w:rsidP="00537E7C">
            <w:pPr>
              <w:jc w:val="center"/>
            </w:pPr>
            <w:r>
              <w:lastRenderedPageBreak/>
              <w:t>4.</w:t>
            </w:r>
          </w:p>
        </w:tc>
        <w:tc>
          <w:tcPr>
            <w:tcW w:w="1736" w:type="dxa"/>
          </w:tcPr>
          <w:p w14:paraId="159B6789" w14:textId="697E56F9" w:rsidR="00537E7C" w:rsidRPr="00FB41DC" w:rsidRDefault="00537E7C" w:rsidP="00537E7C">
            <w:r w:rsidRPr="00E5390E">
              <w:rPr>
                <w:iCs/>
              </w:rPr>
              <w:t>Atbilstības izmaksu monetārs novērtējums</w:t>
            </w:r>
          </w:p>
        </w:tc>
        <w:tc>
          <w:tcPr>
            <w:tcW w:w="5968" w:type="dxa"/>
          </w:tcPr>
          <w:p w14:paraId="287712EF" w14:textId="77777777" w:rsidR="00537E7C" w:rsidRDefault="00537E7C" w:rsidP="00864178">
            <w:pPr>
              <w:pStyle w:val="NormalWeb"/>
              <w:ind w:right="57" w:firstLine="375"/>
            </w:pPr>
            <w:r w:rsidRPr="00ED7893">
              <w:t xml:space="preserve">Noteikumu projektam nav tiešas finansiālas ietekmes uz patērētājiem, jo </w:t>
            </w:r>
            <w:r>
              <w:t xml:space="preserve">ar Noteikumu projektu netiek ieviestas jaunas </w:t>
            </w:r>
            <w:r w:rsidRPr="00ED7893">
              <w:t xml:space="preserve">drošuma </w:t>
            </w:r>
            <w:r>
              <w:t>prasības</w:t>
            </w:r>
            <w:r w:rsidR="005520F7">
              <w:t xml:space="preserve"> ražotājiem, importētājiem vai izplatītājiem</w:t>
            </w:r>
            <w:r>
              <w:t xml:space="preserve">, kas neizriet no </w:t>
            </w:r>
            <w:r w:rsidRPr="00537E7C">
              <w:t>Pre</w:t>
            </w:r>
            <w:r>
              <w:t>ču un pakalpojumu drošuma likuma</w:t>
            </w:r>
            <w:r w:rsidRPr="00537E7C">
              <w:t>, Eiropas Parlamenta un Padomes Direktīvas 2001/95/EK (2001.</w:t>
            </w:r>
            <w:r w:rsidR="00864178">
              <w:t> </w:t>
            </w:r>
            <w:r w:rsidRPr="00537E7C">
              <w:t>gada 3.</w:t>
            </w:r>
            <w:r w:rsidR="00864178">
              <w:t> </w:t>
            </w:r>
            <w:r w:rsidRPr="00537E7C">
              <w:t>decembris) par produktu vispārēju drošību</w:t>
            </w:r>
            <w:r w:rsidR="005520F7">
              <w:t xml:space="preserve">, kā arī </w:t>
            </w:r>
            <w:r w:rsidR="005520F7" w:rsidRPr="005520F7">
              <w:t>nacionālā standarta statusā adaptētiem Eiropas standartiem</w:t>
            </w:r>
            <w:r w:rsidR="005520F7">
              <w:t xml:space="preserve"> un kas varētu ietekmēt spēļu vai citu aktivitāšu iekārtu</w:t>
            </w:r>
            <w:r w:rsidRPr="00ED7893">
              <w:t xml:space="preserve"> </w:t>
            </w:r>
            <w:r w:rsidR="005520F7">
              <w:t>un spēļu laukumu cenu.</w:t>
            </w:r>
            <w:r w:rsidR="00864178">
              <w:t xml:space="preserve"> Turklāt Noteikumu projekts ir attiecināms uz tādām </w:t>
            </w:r>
            <w:r w:rsidR="00864178">
              <w:lastRenderedPageBreak/>
              <w:t>spēļu vai citu aktivitāšu iekārtām vai laukumiem, kas tiek uzstādītas un piedāvātas publiskai lietošanai.</w:t>
            </w:r>
          </w:p>
          <w:p w14:paraId="05DFC1BF" w14:textId="6709888B" w:rsidR="00864178" w:rsidRDefault="00864178" w:rsidP="00864178">
            <w:pPr>
              <w:pStyle w:val="NormalWeb"/>
              <w:ind w:right="57" w:firstLine="375"/>
            </w:pPr>
            <w:r>
              <w:t xml:space="preserve">Noteikumu projekta prasības par </w:t>
            </w:r>
            <w:proofErr w:type="spellStart"/>
            <w:r>
              <w:t>pēcuzstādīšanas</w:t>
            </w:r>
            <w:proofErr w:type="spellEnd"/>
            <w:r>
              <w:t xml:space="preserve"> pārbaudi, kuru veic </w:t>
            </w:r>
            <w:r w:rsidRPr="00864178">
              <w:t>Nacionālajā akreditācijas institūcijā akreditēt</w:t>
            </w:r>
            <w:r w:rsidR="004C3EFF">
              <w:t>s</w:t>
            </w:r>
            <w:r w:rsidRPr="00864178">
              <w:t xml:space="preserve"> </w:t>
            </w:r>
            <w:r w:rsidR="004C3EFF">
              <w:t>pārbaudes veicējs</w:t>
            </w:r>
            <w:r>
              <w:t xml:space="preserve">, radīs izmaksas pašvaldībām vai citām juridiskām vai fiziskām personām, kuras uzstādīs un atvērs publiskai lietošanai jaunus spēļu laukumus vai spēļu un citu aktivitāšu iekārtas, taču konkrētus aprēķinus par monetāro novērtējumu nav iespējams veikt, jo nav zināms un prognozējams </w:t>
            </w:r>
            <w:r w:rsidR="009F3BDB" w:rsidRPr="009F3BDB">
              <w:t>jaunu</w:t>
            </w:r>
            <w:r w:rsidR="009F3BDB">
              <w:t xml:space="preserve"> spēļu laukumu</w:t>
            </w:r>
            <w:r w:rsidR="009F3BDB" w:rsidRPr="009F3BDB">
              <w:t xml:space="preserve"> vai sp</w:t>
            </w:r>
            <w:r w:rsidR="009F3BDB">
              <w:t>ēļu un citu aktivitāšu iekārtu uzstādīšanas gadījumu skaits, kuros šādas prasības būs piemērojamas. Savukārt attiecībā uz jau esošajiem spēļu laukumiem šādas prasības nav attiecināmas.</w:t>
            </w:r>
          </w:p>
        </w:tc>
      </w:tr>
      <w:tr w:rsidR="00A322A9" w:rsidRPr="00FB41DC" w14:paraId="2D166291" w14:textId="77777777" w:rsidTr="00537E7C">
        <w:tc>
          <w:tcPr>
            <w:tcW w:w="592" w:type="dxa"/>
          </w:tcPr>
          <w:p w14:paraId="73DD56FD" w14:textId="6BC2033A" w:rsidR="00A322A9" w:rsidRPr="00FB41DC" w:rsidRDefault="005520F7" w:rsidP="008F23E6">
            <w:pPr>
              <w:jc w:val="center"/>
            </w:pPr>
            <w:r>
              <w:lastRenderedPageBreak/>
              <w:t>5</w:t>
            </w:r>
            <w:r w:rsidR="00A322A9" w:rsidRPr="00FB41DC">
              <w:t>.</w:t>
            </w:r>
          </w:p>
        </w:tc>
        <w:tc>
          <w:tcPr>
            <w:tcW w:w="1736" w:type="dxa"/>
          </w:tcPr>
          <w:p w14:paraId="0D5F0E0A" w14:textId="77777777" w:rsidR="00A322A9" w:rsidRPr="00FB41DC" w:rsidRDefault="00A322A9" w:rsidP="008F23E6">
            <w:r w:rsidRPr="00FB41DC">
              <w:t>Cita informācija</w:t>
            </w:r>
          </w:p>
        </w:tc>
        <w:tc>
          <w:tcPr>
            <w:tcW w:w="5968" w:type="dxa"/>
          </w:tcPr>
          <w:p w14:paraId="12AA5F4A" w14:textId="77777777" w:rsidR="00A322A9" w:rsidRPr="00FB41DC" w:rsidRDefault="00A322A9" w:rsidP="008F23E6">
            <w:pPr>
              <w:jc w:val="both"/>
            </w:pPr>
            <w:r>
              <w:t>Nav</w:t>
            </w:r>
          </w:p>
        </w:tc>
      </w:tr>
    </w:tbl>
    <w:p w14:paraId="4ED00F7E" w14:textId="77777777" w:rsidR="00A322A9" w:rsidRDefault="00A322A9" w:rsidP="00A322A9"/>
    <w:p w14:paraId="1EEF452B" w14:textId="77777777" w:rsidR="00A322A9" w:rsidRDefault="00A322A9" w:rsidP="00A322A9"/>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6B0B4A" w14:paraId="6D07EE5E" w14:textId="77777777" w:rsidTr="00F47204">
        <w:trPr>
          <w:jc w:val="center"/>
        </w:trPr>
        <w:tc>
          <w:tcPr>
            <w:tcW w:w="8642" w:type="dxa"/>
            <w:vAlign w:val="center"/>
          </w:tcPr>
          <w:p w14:paraId="3A8A771A" w14:textId="40808E4F" w:rsidR="006B0B4A" w:rsidRPr="00ED0DDD" w:rsidRDefault="006B0B4A" w:rsidP="006B0B4A">
            <w:pPr>
              <w:pStyle w:val="naisnod"/>
              <w:spacing w:before="0" w:after="0"/>
            </w:pPr>
            <w:r w:rsidRPr="00ED7893">
              <w:rPr>
                <w:iCs/>
              </w:rPr>
              <w:t>III. Tiesību akta projekta ietekme uz valsts budžetu un pašvaldību budžetiem</w:t>
            </w:r>
          </w:p>
        </w:tc>
      </w:tr>
      <w:tr w:rsidR="006B0B4A" w14:paraId="4C3EF791" w14:textId="77777777" w:rsidTr="00F47204">
        <w:trPr>
          <w:jc w:val="center"/>
        </w:trPr>
        <w:tc>
          <w:tcPr>
            <w:tcW w:w="8642" w:type="dxa"/>
            <w:tcBorders>
              <w:bottom w:val="single" w:sz="4" w:space="0" w:color="auto"/>
            </w:tcBorders>
          </w:tcPr>
          <w:p w14:paraId="1FB05F26" w14:textId="1DFBE26D" w:rsidR="006B0B4A" w:rsidRPr="001C41C6" w:rsidRDefault="006B0B4A" w:rsidP="006B0B4A">
            <w:pPr>
              <w:pStyle w:val="naisnod"/>
              <w:spacing w:before="0" w:after="0"/>
              <w:rPr>
                <w:b w:val="0"/>
              </w:rPr>
            </w:pPr>
            <w:r w:rsidRPr="001C41C6">
              <w:rPr>
                <w:b w:val="0"/>
              </w:rPr>
              <w:t>Noteikumu projekts šo jomu neskar</w:t>
            </w:r>
          </w:p>
        </w:tc>
      </w:tr>
      <w:tr w:rsidR="00C82DF5" w14:paraId="5BECBFAE" w14:textId="77777777" w:rsidTr="00F47204">
        <w:trPr>
          <w:jc w:val="center"/>
        </w:trPr>
        <w:tc>
          <w:tcPr>
            <w:tcW w:w="8642" w:type="dxa"/>
            <w:tcBorders>
              <w:left w:val="nil"/>
              <w:right w:val="nil"/>
            </w:tcBorders>
          </w:tcPr>
          <w:p w14:paraId="6239BBF6" w14:textId="77777777" w:rsidR="00C82DF5" w:rsidRPr="00ED0DDD" w:rsidRDefault="00C82DF5" w:rsidP="006B0B4A">
            <w:pPr>
              <w:pStyle w:val="naisnod"/>
              <w:spacing w:before="0" w:after="0"/>
            </w:pPr>
          </w:p>
        </w:tc>
      </w:tr>
      <w:tr w:rsidR="006B0B4A" w14:paraId="35F7903C" w14:textId="77777777" w:rsidTr="00F47204">
        <w:trPr>
          <w:jc w:val="center"/>
        </w:trPr>
        <w:tc>
          <w:tcPr>
            <w:tcW w:w="8642" w:type="dxa"/>
          </w:tcPr>
          <w:p w14:paraId="5C3D47C7" w14:textId="77777777" w:rsidR="006B0B4A" w:rsidRDefault="006B0B4A" w:rsidP="006B0B4A">
            <w:pPr>
              <w:pStyle w:val="naisnod"/>
              <w:spacing w:before="0" w:after="0"/>
              <w:rPr>
                <w:sz w:val="22"/>
              </w:rPr>
            </w:pPr>
            <w:r w:rsidRPr="00ED0DDD">
              <w:t>IV. Tiesību akta projekta ietekme uz spēkā esošo tiesību normu sistēmu</w:t>
            </w:r>
          </w:p>
        </w:tc>
      </w:tr>
      <w:tr w:rsidR="006B0B4A" w:rsidRPr="002F1307" w14:paraId="12051413" w14:textId="77777777" w:rsidTr="00F47204">
        <w:trPr>
          <w:jc w:val="center"/>
        </w:trPr>
        <w:tc>
          <w:tcPr>
            <w:tcW w:w="8642" w:type="dxa"/>
            <w:tcBorders>
              <w:bottom w:val="single" w:sz="4" w:space="0" w:color="auto"/>
            </w:tcBorders>
          </w:tcPr>
          <w:p w14:paraId="52F81331" w14:textId="3E5C415D" w:rsidR="006B0B4A" w:rsidRPr="002F1307" w:rsidRDefault="006B0B4A" w:rsidP="00642F2B">
            <w:pPr>
              <w:pStyle w:val="naisf"/>
              <w:spacing w:before="0" w:after="0"/>
              <w:ind w:firstLine="0"/>
              <w:jc w:val="center"/>
            </w:pPr>
            <w:r>
              <w:t>Noteikumu projekts šo jomu neskar</w:t>
            </w:r>
          </w:p>
        </w:tc>
      </w:tr>
    </w:tbl>
    <w:p w14:paraId="207AC19B" w14:textId="77777777" w:rsidR="00F47204" w:rsidRDefault="00F47204" w:rsidP="00F47204"/>
    <w:tbl>
      <w:tblPr>
        <w:tblStyle w:val="TableGrid"/>
        <w:tblW w:w="9498" w:type="dxa"/>
        <w:tblInd w:w="-572" w:type="dxa"/>
        <w:tblLook w:val="04A0" w:firstRow="1" w:lastRow="0" w:firstColumn="1" w:lastColumn="0" w:noHBand="0" w:noVBand="1"/>
      </w:tblPr>
      <w:tblGrid>
        <w:gridCol w:w="983"/>
        <w:gridCol w:w="2703"/>
        <w:gridCol w:w="5812"/>
      </w:tblGrid>
      <w:tr w:rsidR="00F47204" w14:paraId="6CB78D84" w14:textId="77777777" w:rsidTr="00F47204">
        <w:trPr>
          <w:trHeight w:val="273"/>
        </w:trPr>
        <w:tc>
          <w:tcPr>
            <w:tcW w:w="9498" w:type="dxa"/>
            <w:gridSpan w:val="3"/>
            <w:tcBorders>
              <w:top w:val="single" w:sz="4" w:space="0" w:color="auto"/>
              <w:left w:val="single" w:sz="4" w:space="0" w:color="auto"/>
              <w:bottom w:val="single" w:sz="4" w:space="0" w:color="auto"/>
              <w:right w:val="single" w:sz="4" w:space="0" w:color="auto"/>
            </w:tcBorders>
            <w:hideMark/>
          </w:tcPr>
          <w:p w14:paraId="20620DC9" w14:textId="77777777" w:rsidR="00F47204" w:rsidRDefault="00F47204" w:rsidP="00F47204">
            <w:pPr>
              <w:ind w:left="-546"/>
              <w:jc w:val="center"/>
              <w:rPr>
                <w:b/>
              </w:rPr>
            </w:pPr>
            <w:r>
              <w:rPr>
                <w:b/>
              </w:rPr>
              <w:t>V. Tiesību akta atbilstība Latvijas Republikas starptautiskajām saistībām</w:t>
            </w:r>
          </w:p>
        </w:tc>
      </w:tr>
      <w:tr w:rsidR="00F47204" w14:paraId="73EA6B3B" w14:textId="77777777" w:rsidTr="00F47204">
        <w:trPr>
          <w:cantSplit/>
          <w:trHeight w:val="599"/>
        </w:trPr>
        <w:tc>
          <w:tcPr>
            <w:tcW w:w="983" w:type="dxa"/>
            <w:tcBorders>
              <w:top w:val="single" w:sz="4" w:space="0" w:color="auto"/>
              <w:left w:val="single" w:sz="4" w:space="0" w:color="auto"/>
              <w:bottom w:val="single" w:sz="4" w:space="0" w:color="auto"/>
              <w:right w:val="single" w:sz="4" w:space="0" w:color="auto"/>
            </w:tcBorders>
            <w:hideMark/>
          </w:tcPr>
          <w:p w14:paraId="58BCF551" w14:textId="77777777" w:rsidR="00F47204" w:rsidRDefault="00F47204">
            <w:pPr>
              <w:pStyle w:val="NoSpacing"/>
              <w:jc w:val="both"/>
            </w:pPr>
            <w:r>
              <w:t>1.</w:t>
            </w:r>
          </w:p>
        </w:tc>
        <w:tc>
          <w:tcPr>
            <w:tcW w:w="2703" w:type="dxa"/>
            <w:tcBorders>
              <w:top w:val="single" w:sz="4" w:space="0" w:color="auto"/>
              <w:left w:val="single" w:sz="4" w:space="0" w:color="auto"/>
              <w:bottom w:val="single" w:sz="4" w:space="0" w:color="auto"/>
              <w:right w:val="single" w:sz="4" w:space="0" w:color="auto"/>
            </w:tcBorders>
            <w:hideMark/>
          </w:tcPr>
          <w:p w14:paraId="641C01B6" w14:textId="77777777" w:rsidR="00F47204" w:rsidRDefault="00F47204">
            <w:pPr>
              <w:pStyle w:val="NoSpacing"/>
              <w:jc w:val="both"/>
            </w:pPr>
            <w:r>
              <w:t>Saistības pret Eiropas Savienību</w:t>
            </w:r>
          </w:p>
        </w:tc>
        <w:tc>
          <w:tcPr>
            <w:tcW w:w="5812" w:type="dxa"/>
            <w:tcBorders>
              <w:top w:val="single" w:sz="4" w:space="0" w:color="auto"/>
              <w:left w:val="single" w:sz="4" w:space="0" w:color="auto"/>
              <w:bottom w:val="single" w:sz="4" w:space="0" w:color="auto"/>
              <w:right w:val="single" w:sz="4" w:space="0" w:color="auto"/>
            </w:tcBorders>
            <w:hideMark/>
          </w:tcPr>
          <w:p w14:paraId="217A826E" w14:textId="573CBFD0" w:rsidR="00F47204" w:rsidRDefault="00F47204">
            <w:pPr>
              <w:pStyle w:val="NoSpacing"/>
              <w:jc w:val="both"/>
            </w:pPr>
            <w:r>
              <w:t>Noteikumu projekts šo jomu neskar</w:t>
            </w:r>
          </w:p>
        </w:tc>
      </w:tr>
      <w:tr w:rsidR="00F47204" w14:paraId="408F3026" w14:textId="77777777" w:rsidTr="00F47204">
        <w:trPr>
          <w:cantSplit/>
          <w:trHeight w:val="608"/>
        </w:trPr>
        <w:tc>
          <w:tcPr>
            <w:tcW w:w="983" w:type="dxa"/>
            <w:tcBorders>
              <w:top w:val="single" w:sz="4" w:space="0" w:color="auto"/>
              <w:left w:val="single" w:sz="4" w:space="0" w:color="auto"/>
              <w:bottom w:val="single" w:sz="4" w:space="0" w:color="auto"/>
              <w:right w:val="single" w:sz="4" w:space="0" w:color="auto"/>
            </w:tcBorders>
            <w:hideMark/>
          </w:tcPr>
          <w:p w14:paraId="0320BC42" w14:textId="77777777" w:rsidR="00F47204" w:rsidRDefault="00F47204">
            <w:pPr>
              <w:pStyle w:val="NoSpacing"/>
              <w:jc w:val="both"/>
            </w:pPr>
            <w:r>
              <w:t>2.</w:t>
            </w:r>
          </w:p>
        </w:tc>
        <w:tc>
          <w:tcPr>
            <w:tcW w:w="2703" w:type="dxa"/>
            <w:tcBorders>
              <w:top w:val="single" w:sz="4" w:space="0" w:color="auto"/>
              <w:left w:val="single" w:sz="4" w:space="0" w:color="auto"/>
              <w:bottom w:val="single" w:sz="4" w:space="0" w:color="auto"/>
              <w:right w:val="single" w:sz="4" w:space="0" w:color="auto"/>
            </w:tcBorders>
            <w:hideMark/>
          </w:tcPr>
          <w:p w14:paraId="19E2F357" w14:textId="77777777" w:rsidR="00F47204" w:rsidRDefault="00F47204">
            <w:pPr>
              <w:pStyle w:val="NoSpacing"/>
              <w:jc w:val="both"/>
            </w:pPr>
            <w:r>
              <w:t xml:space="preserve">Citas starptautiskās saistības </w:t>
            </w:r>
          </w:p>
        </w:tc>
        <w:tc>
          <w:tcPr>
            <w:tcW w:w="5812" w:type="dxa"/>
            <w:tcBorders>
              <w:top w:val="single" w:sz="4" w:space="0" w:color="auto"/>
              <w:left w:val="single" w:sz="4" w:space="0" w:color="auto"/>
              <w:bottom w:val="single" w:sz="4" w:space="0" w:color="auto"/>
              <w:right w:val="single" w:sz="4" w:space="0" w:color="auto"/>
            </w:tcBorders>
          </w:tcPr>
          <w:p w14:paraId="329E0F66" w14:textId="5DCBEF39" w:rsidR="00F47204" w:rsidRDefault="00F47204">
            <w:pPr>
              <w:pStyle w:val="naiskr"/>
              <w:spacing w:before="0" w:after="0"/>
              <w:ind w:right="57"/>
              <w:jc w:val="both"/>
            </w:pPr>
            <w:r>
              <w:t>Noteikumu projekts šo jomu neskar</w:t>
            </w:r>
          </w:p>
          <w:p w14:paraId="74C18EC6" w14:textId="77777777" w:rsidR="00F47204" w:rsidRDefault="00F47204">
            <w:pPr>
              <w:pStyle w:val="NoSpacing"/>
              <w:jc w:val="both"/>
            </w:pPr>
          </w:p>
        </w:tc>
      </w:tr>
      <w:tr w:rsidR="00F47204" w14:paraId="4AA76219" w14:textId="77777777" w:rsidTr="00F47204">
        <w:trPr>
          <w:cantSplit/>
          <w:trHeight w:val="453"/>
        </w:trPr>
        <w:tc>
          <w:tcPr>
            <w:tcW w:w="983" w:type="dxa"/>
            <w:tcBorders>
              <w:top w:val="single" w:sz="4" w:space="0" w:color="auto"/>
              <w:left w:val="single" w:sz="4" w:space="0" w:color="auto"/>
              <w:bottom w:val="single" w:sz="4" w:space="0" w:color="auto"/>
              <w:right w:val="single" w:sz="4" w:space="0" w:color="auto"/>
            </w:tcBorders>
            <w:hideMark/>
          </w:tcPr>
          <w:p w14:paraId="50370323" w14:textId="77777777" w:rsidR="00F47204" w:rsidRDefault="00F47204">
            <w:pPr>
              <w:pStyle w:val="NoSpacing"/>
              <w:jc w:val="both"/>
            </w:pPr>
            <w:r>
              <w:t>3.</w:t>
            </w:r>
          </w:p>
        </w:tc>
        <w:tc>
          <w:tcPr>
            <w:tcW w:w="2703" w:type="dxa"/>
            <w:tcBorders>
              <w:top w:val="single" w:sz="4" w:space="0" w:color="auto"/>
              <w:left w:val="single" w:sz="4" w:space="0" w:color="auto"/>
              <w:bottom w:val="single" w:sz="4" w:space="0" w:color="auto"/>
              <w:right w:val="single" w:sz="4" w:space="0" w:color="auto"/>
            </w:tcBorders>
            <w:hideMark/>
          </w:tcPr>
          <w:p w14:paraId="69802DAE" w14:textId="77777777" w:rsidR="00F47204" w:rsidRDefault="00F47204">
            <w:pPr>
              <w:pStyle w:val="NoSpacing"/>
              <w:jc w:val="both"/>
            </w:pPr>
            <w:r>
              <w:t xml:space="preserve">Cita informācija </w:t>
            </w:r>
          </w:p>
        </w:tc>
        <w:tc>
          <w:tcPr>
            <w:tcW w:w="5812" w:type="dxa"/>
            <w:tcBorders>
              <w:top w:val="single" w:sz="4" w:space="0" w:color="auto"/>
              <w:left w:val="single" w:sz="4" w:space="0" w:color="auto"/>
              <w:bottom w:val="single" w:sz="4" w:space="0" w:color="auto"/>
              <w:right w:val="single" w:sz="4" w:space="0" w:color="auto"/>
            </w:tcBorders>
            <w:hideMark/>
          </w:tcPr>
          <w:p w14:paraId="75654F7D" w14:textId="77777777" w:rsidR="00F47204" w:rsidRDefault="00F47204">
            <w:pPr>
              <w:pStyle w:val="NoSpacing"/>
              <w:jc w:val="both"/>
            </w:pPr>
            <w:r>
              <w:t>Nav</w:t>
            </w:r>
          </w:p>
        </w:tc>
      </w:tr>
    </w:tbl>
    <w:p w14:paraId="126B444F" w14:textId="77777777" w:rsidR="00F47204" w:rsidRDefault="00F47204" w:rsidP="00F47204"/>
    <w:tbl>
      <w:tblPr>
        <w:tblW w:w="5729"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5"/>
        <w:gridCol w:w="1798"/>
        <w:gridCol w:w="2111"/>
        <w:gridCol w:w="2365"/>
      </w:tblGrid>
      <w:tr w:rsidR="00F47204" w14:paraId="7A7BBACD" w14:textId="77777777" w:rsidTr="00F47204">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8283B67" w14:textId="77777777" w:rsidR="00F47204" w:rsidRDefault="00F47204">
            <w:pPr>
              <w:jc w:val="center"/>
              <w:rPr>
                <w:b/>
                <w:bCs/>
              </w:rPr>
            </w:pPr>
            <w:r>
              <w:rPr>
                <w:b/>
                <w:bCs/>
              </w:rPr>
              <w:t>1.tabula</w:t>
            </w:r>
            <w:r>
              <w:rPr>
                <w:b/>
                <w:bCs/>
              </w:rPr>
              <w:br/>
              <w:t>Tiesību akta projekta atbilstība ES tiesību aktiem</w:t>
            </w:r>
          </w:p>
        </w:tc>
      </w:tr>
      <w:tr w:rsidR="00F47204" w14:paraId="49140BDC"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77BA4940" w14:textId="77777777" w:rsidR="00F47204" w:rsidRDefault="00F47204">
            <w:pPr>
              <w:jc w:val="center"/>
            </w:pPr>
            <w:r>
              <w:t xml:space="preserve"> Attiecīgā ES tiesību akta datums, numurs un nosaukums</w:t>
            </w:r>
          </w:p>
        </w:tc>
        <w:tc>
          <w:tcPr>
            <w:tcW w:w="3303" w:type="pct"/>
            <w:gridSpan w:val="3"/>
            <w:tcBorders>
              <w:top w:val="outset" w:sz="6" w:space="0" w:color="000000"/>
              <w:left w:val="outset" w:sz="6" w:space="0" w:color="000000"/>
              <w:bottom w:val="outset" w:sz="6" w:space="0" w:color="000000"/>
              <w:right w:val="outset" w:sz="6" w:space="0" w:color="000000"/>
            </w:tcBorders>
            <w:vAlign w:val="center"/>
            <w:hideMark/>
          </w:tcPr>
          <w:p w14:paraId="409902FA" w14:textId="0CA7C7F8" w:rsidR="00F47204" w:rsidRDefault="00F47204">
            <w:pPr>
              <w:jc w:val="both"/>
            </w:pPr>
            <w:r>
              <w:t>Noteikumu projekts šo jomu neskar</w:t>
            </w:r>
          </w:p>
        </w:tc>
      </w:tr>
      <w:tr w:rsidR="00F47204" w14:paraId="27ED4ED1" w14:textId="77777777" w:rsidTr="00F47204">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2117C500" w14:textId="77777777" w:rsidR="00F47204" w:rsidRDefault="00F47204">
            <w:r>
              <w:t> </w:t>
            </w:r>
          </w:p>
        </w:tc>
      </w:tr>
      <w:tr w:rsidR="00F47204" w14:paraId="1E5A031E"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55F57C25" w14:textId="77777777" w:rsidR="00F47204" w:rsidRDefault="00F47204">
            <w:pPr>
              <w:jc w:val="center"/>
            </w:pPr>
            <w: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A87793" w14:textId="77777777" w:rsidR="00F47204" w:rsidRDefault="00F47204">
            <w:pPr>
              <w:jc w:val="center"/>
            </w:pPr>
            <w: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001DF6" w14:textId="77777777" w:rsidR="00F47204" w:rsidRDefault="00F47204">
            <w:pPr>
              <w:jc w:val="center"/>
            </w:pPr>
            <w:r>
              <w:t>C</w:t>
            </w:r>
          </w:p>
        </w:tc>
        <w:tc>
          <w:tcPr>
            <w:tcW w:w="1245" w:type="pct"/>
            <w:tcBorders>
              <w:top w:val="outset" w:sz="6" w:space="0" w:color="000000"/>
              <w:left w:val="outset" w:sz="6" w:space="0" w:color="000000"/>
              <w:bottom w:val="outset" w:sz="6" w:space="0" w:color="000000"/>
              <w:right w:val="outset" w:sz="6" w:space="0" w:color="000000"/>
            </w:tcBorders>
            <w:vAlign w:val="center"/>
            <w:hideMark/>
          </w:tcPr>
          <w:p w14:paraId="7E8A6538" w14:textId="77777777" w:rsidR="00F47204" w:rsidRDefault="00F47204">
            <w:pPr>
              <w:jc w:val="center"/>
            </w:pPr>
            <w:r>
              <w:t>D</w:t>
            </w:r>
          </w:p>
        </w:tc>
      </w:tr>
      <w:tr w:rsidR="00F47204" w14:paraId="29AE4A3A" w14:textId="77777777" w:rsidTr="00F47204">
        <w:tc>
          <w:tcPr>
            <w:tcW w:w="1697" w:type="pct"/>
            <w:tcBorders>
              <w:top w:val="outset" w:sz="6" w:space="0" w:color="000000"/>
              <w:left w:val="outset" w:sz="6" w:space="0" w:color="000000"/>
              <w:bottom w:val="outset" w:sz="6" w:space="0" w:color="000000"/>
              <w:right w:val="outset" w:sz="6" w:space="0" w:color="000000"/>
            </w:tcBorders>
            <w:hideMark/>
          </w:tcPr>
          <w:p w14:paraId="7E364D6B" w14:textId="77777777" w:rsidR="00F47204" w:rsidRDefault="00F47204">
            <w:r>
              <w:t>Attiecīgā ES tiesību akta panta numurs (uzskaitot katru tiesību akta</w:t>
            </w:r>
            <w: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hideMark/>
          </w:tcPr>
          <w:p w14:paraId="0444F291" w14:textId="77777777" w:rsidR="00F47204" w:rsidRDefault="00F47204">
            <w:r>
              <w:t xml:space="preserve">Projekta vienība, kas pārņem vai ievieš katru šīs tabulas A ailē minēto ES tiesību akta vienību, vai tiesību akts, kur attiecīgā ES tiesību akta </w:t>
            </w:r>
            <w:r>
              <w:lastRenderedPageBreak/>
              <w:t>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641A5F58" w14:textId="77777777" w:rsidR="00F47204" w:rsidRDefault="00F47204">
            <w:pPr>
              <w:pStyle w:val="naiskr"/>
              <w:spacing w:before="0" w:after="0"/>
            </w:pPr>
            <w:r>
              <w:lastRenderedPageBreak/>
              <w:t>Informācija par to, vai šīs tabulas A ailē minētās ES tiesību akta vienības tiek pārņemtas vai ieviestas pilnībā vai daļēji.</w:t>
            </w:r>
          </w:p>
          <w:p w14:paraId="62C8956C" w14:textId="77777777" w:rsidR="00F47204" w:rsidRDefault="00F47204">
            <w:pPr>
              <w:pStyle w:val="naiskr"/>
              <w:spacing w:before="0" w:after="0"/>
            </w:pPr>
            <w:r>
              <w:t xml:space="preserve">Ja attiecīgā ES tiesību akta vienība </w:t>
            </w:r>
            <w:r>
              <w:lastRenderedPageBreak/>
              <w:t>tiek pārņemta, vai ieviesta daļēji, – sniedz attiecīgu skaidrojumu, kā arī precīzi norāda, kad un kādā veidā ES tiesību akta vienība tiks pārņemta vai ieviesta pilnībā.</w:t>
            </w:r>
          </w:p>
          <w:p w14:paraId="44194400" w14:textId="77777777" w:rsidR="00F47204" w:rsidRDefault="00F47204">
            <w:pPr>
              <w:pStyle w:val="naiskr"/>
              <w:spacing w:before="0" w:after="0"/>
            </w:pPr>
            <w:r>
              <w:t>Norāda institūciju, kas ir atbildīga par šo saistību izpildi pilnībā</w:t>
            </w:r>
          </w:p>
          <w:p w14:paraId="18527FD5" w14:textId="77777777" w:rsidR="00F47204" w:rsidRDefault="00F47204"/>
        </w:tc>
        <w:tc>
          <w:tcPr>
            <w:tcW w:w="1245" w:type="pct"/>
            <w:tcBorders>
              <w:top w:val="outset" w:sz="6" w:space="0" w:color="000000"/>
              <w:left w:val="outset" w:sz="6" w:space="0" w:color="000000"/>
              <w:bottom w:val="outset" w:sz="6" w:space="0" w:color="000000"/>
              <w:right w:val="outset" w:sz="6" w:space="0" w:color="000000"/>
            </w:tcBorders>
            <w:hideMark/>
          </w:tcPr>
          <w:p w14:paraId="2FFEBAF6" w14:textId="77777777" w:rsidR="00F47204" w:rsidRDefault="00F47204">
            <w:pPr>
              <w:pStyle w:val="naiskr"/>
              <w:spacing w:before="0" w:after="0"/>
            </w:pPr>
            <w:r>
              <w:lastRenderedPageBreak/>
              <w:t>Informācija par to, vai šīs tabulas B ailē minētās projekta vienības paredz stingrākas prasības nekā šīs tabulas A ailē minētās ES tiesību akta vienības.</w:t>
            </w:r>
          </w:p>
          <w:p w14:paraId="5A574C21" w14:textId="77777777" w:rsidR="00F47204" w:rsidRDefault="00F47204">
            <w:pPr>
              <w:pStyle w:val="naiskr"/>
              <w:spacing w:before="0" w:after="0"/>
            </w:pPr>
            <w:r>
              <w:lastRenderedPageBreak/>
              <w:t>Ja projekts satur stingrākas prasības nekā attiecīgais ES tiesību akts, – norāda pamatojumu un samērīgumu.</w:t>
            </w:r>
          </w:p>
          <w:p w14:paraId="621062E1" w14:textId="77777777" w:rsidR="00F47204" w:rsidRDefault="00F47204">
            <w:pPr>
              <w:pStyle w:val="naiskr"/>
              <w:spacing w:before="0" w:after="0"/>
            </w:pPr>
            <w:r>
              <w:t>Norāda iespējamās alternatīvas (t.sk. alternatīvas, kas neparedz tiesiskā regulējuma izstrādi) – kādos gadījumos būtu iespējams izvairīties no stingrāku prasību noteikšanas, nekā paredzēts attiecīgajos ES tiesību aktos</w:t>
            </w:r>
          </w:p>
        </w:tc>
      </w:tr>
      <w:tr w:rsidR="00F47204" w14:paraId="6E868471"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1E62498C" w14:textId="77777777" w:rsidR="00F47204" w:rsidRDefault="00F47204">
            <w:r>
              <w:lastRenderedPageBreak/>
              <w:t>Kā ir izmantota ES tiesību aktā paredzētā rīcības brīvība dalībvalstij pārņemt vai ieviest noteiktas ES tiesību akta normas.</w:t>
            </w:r>
          </w:p>
          <w:p w14:paraId="3BAC355C" w14:textId="77777777" w:rsidR="00F47204" w:rsidRDefault="00F47204">
            <w:r>
              <w:t>Kādēļ?</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5887D86C" w14:textId="75FA0A8B" w:rsidR="00F47204" w:rsidRDefault="00F47204">
            <w:r>
              <w:t>Noteikumu projekts šo jomu neskar.</w:t>
            </w:r>
          </w:p>
        </w:tc>
      </w:tr>
      <w:tr w:rsidR="00F47204" w14:paraId="6EBA91F7"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3993E1C1" w14:textId="77777777" w:rsidR="00F47204" w:rsidRDefault="00F47204">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794888F2" w14:textId="6E1C1D72" w:rsidR="00F47204" w:rsidRDefault="00F47204">
            <w:pPr>
              <w:jc w:val="both"/>
            </w:pPr>
            <w:r>
              <w:t>Noteikumu projekts ir tehniskie noteikumi, tāpēc tas ir jānosūta saskaņošanai Eiropas Komisijai atbilstoši Eiropas Parlamenta un Padomes 2015. gada 9. septembra Direktīvai (ES) 2015/1535, ar ko nosaka informācijas sniegšanas kārtību tehnisko noteikumu un Informācijas sabiedrības pakalpojumu noteikumu jomā.</w:t>
            </w:r>
          </w:p>
        </w:tc>
      </w:tr>
      <w:tr w:rsidR="00F47204" w14:paraId="788A6512" w14:textId="77777777" w:rsidTr="00F47204">
        <w:tc>
          <w:tcPr>
            <w:tcW w:w="1697" w:type="pct"/>
            <w:tcBorders>
              <w:top w:val="outset" w:sz="6" w:space="0" w:color="000000"/>
              <w:left w:val="outset" w:sz="6" w:space="0" w:color="000000"/>
              <w:bottom w:val="outset" w:sz="6" w:space="0" w:color="000000"/>
              <w:right w:val="outset" w:sz="6" w:space="0" w:color="000000"/>
            </w:tcBorders>
            <w:hideMark/>
          </w:tcPr>
          <w:p w14:paraId="067E99DC" w14:textId="77777777" w:rsidR="00F47204" w:rsidRDefault="00F47204">
            <w:r>
              <w:t>Cita informācija</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41E13A67" w14:textId="77777777" w:rsidR="00F47204" w:rsidRDefault="00F47204">
            <w:r>
              <w:t>Nav.</w:t>
            </w:r>
          </w:p>
        </w:tc>
      </w:tr>
    </w:tbl>
    <w:p w14:paraId="3B99E6D7" w14:textId="77777777" w:rsidR="00A322A9" w:rsidRPr="00FB41DC" w:rsidRDefault="00A322A9" w:rsidP="00A322A9"/>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848"/>
        <w:gridCol w:w="7365"/>
      </w:tblGrid>
      <w:tr w:rsidR="00A322A9" w:rsidRPr="00FB41DC" w14:paraId="2EEAE1E6" w14:textId="77777777" w:rsidTr="008A3121">
        <w:trPr>
          <w:jc w:val="center"/>
        </w:trPr>
        <w:tc>
          <w:tcPr>
            <w:tcW w:w="9634" w:type="dxa"/>
            <w:gridSpan w:val="3"/>
            <w:tcMar>
              <w:top w:w="57" w:type="dxa"/>
              <w:left w:w="57" w:type="dxa"/>
              <w:bottom w:w="57" w:type="dxa"/>
              <w:right w:w="57" w:type="dxa"/>
            </w:tcMar>
          </w:tcPr>
          <w:p w14:paraId="1A399A8D" w14:textId="77777777" w:rsidR="00A322A9" w:rsidRPr="00FB41DC" w:rsidRDefault="00A322A9" w:rsidP="008F23E6">
            <w:pPr>
              <w:pStyle w:val="naisnod"/>
              <w:spacing w:before="0" w:after="0"/>
              <w:ind w:left="57" w:right="57"/>
            </w:pPr>
            <w:r w:rsidRPr="00FB41DC">
              <w:t xml:space="preserve">VI. Sabiedrības līdzdalība un </w:t>
            </w:r>
            <w:r>
              <w:t>komunikācijas aktivitātes</w:t>
            </w:r>
          </w:p>
        </w:tc>
      </w:tr>
      <w:tr w:rsidR="00A322A9" w:rsidRPr="00FB41DC" w14:paraId="41E3EEC8" w14:textId="77777777" w:rsidTr="008A3121">
        <w:trPr>
          <w:trHeight w:val="553"/>
          <w:jc w:val="center"/>
        </w:trPr>
        <w:tc>
          <w:tcPr>
            <w:tcW w:w="421" w:type="dxa"/>
            <w:tcMar>
              <w:top w:w="57" w:type="dxa"/>
              <w:left w:w="57" w:type="dxa"/>
              <w:bottom w:w="57" w:type="dxa"/>
              <w:right w:w="57" w:type="dxa"/>
            </w:tcMar>
          </w:tcPr>
          <w:p w14:paraId="03E903C2" w14:textId="77777777" w:rsidR="00A322A9" w:rsidRPr="00FB41DC" w:rsidRDefault="00A322A9" w:rsidP="008F23E6">
            <w:pPr>
              <w:pStyle w:val="naiskr"/>
              <w:spacing w:before="0" w:after="0"/>
              <w:ind w:left="57" w:right="57"/>
              <w:rPr>
                <w:bCs/>
              </w:rPr>
            </w:pPr>
            <w:r w:rsidRPr="00FB41DC">
              <w:rPr>
                <w:bCs/>
              </w:rPr>
              <w:t>1.</w:t>
            </w:r>
          </w:p>
        </w:tc>
        <w:tc>
          <w:tcPr>
            <w:tcW w:w="1848" w:type="dxa"/>
            <w:tcMar>
              <w:top w:w="57" w:type="dxa"/>
              <w:left w:w="57" w:type="dxa"/>
              <w:bottom w:w="57" w:type="dxa"/>
              <w:right w:w="57" w:type="dxa"/>
            </w:tcMar>
          </w:tcPr>
          <w:p w14:paraId="1D41DCBB" w14:textId="77777777" w:rsidR="00A322A9" w:rsidRPr="00FB41DC" w:rsidRDefault="00A322A9" w:rsidP="008F23E6">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7365" w:type="dxa"/>
            <w:tcMar>
              <w:top w:w="57" w:type="dxa"/>
              <w:left w:w="57" w:type="dxa"/>
              <w:bottom w:w="57" w:type="dxa"/>
              <w:right w:w="57" w:type="dxa"/>
            </w:tcMar>
          </w:tcPr>
          <w:p w14:paraId="0E40399B" w14:textId="204BBD22" w:rsidR="00883926" w:rsidRPr="00883926" w:rsidRDefault="00883926" w:rsidP="00883926">
            <w:pPr>
              <w:pStyle w:val="naiskr"/>
              <w:ind w:left="57"/>
              <w:rPr>
                <w:bCs/>
                <w:iCs/>
              </w:rPr>
            </w:pPr>
            <w:r w:rsidRPr="00883926">
              <w:rPr>
                <w:bCs/>
              </w:rPr>
              <w:t>S</w:t>
            </w:r>
            <w:r w:rsidRPr="00883926">
              <w:rPr>
                <w:bCs/>
                <w:iCs/>
              </w:rPr>
              <w:t>abiedrības informēšana un līdzdalība noteikumu projekta izstrādē tik</w:t>
            </w:r>
            <w:r w:rsidR="00AB11B0">
              <w:rPr>
                <w:bCs/>
                <w:iCs/>
              </w:rPr>
              <w:t>a</w:t>
            </w:r>
            <w:r w:rsidRPr="00883926">
              <w:rPr>
                <w:bCs/>
                <w:iCs/>
              </w:rPr>
              <w:t xml:space="preserve"> nodrošināta:</w:t>
            </w:r>
          </w:p>
          <w:p w14:paraId="493F1EA8" w14:textId="77777777" w:rsidR="00883926" w:rsidRDefault="00883926" w:rsidP="00883926">
            <w:pPr>
              <w:pStyle w:val="naiskr"/>
              <w:numPr>
                <w:ilvl w:val="0"/>
                <w:numId w:val="6"/>
              </w:numPr>
              <w:rPr>
                <w:bCs/>
              </w:rPr>
            </w:pPr>
            <w:r w:rsidRPr="00883926">
              <w:rPr>
                <w:bCs/>
              </w:rPr>
              <w:t>publicējot to Ekonomikas ministrijas mājaslapā;</w:t>
            </w:r>
          </w:p>
          <w:p w14:paraId="02BDAEB4" w14:textId="04FF44D4" w:rsidR="00A322A9" w:rsidRPr="00883926" w:rsidRDefault="00883926" w:rsidP="00883926">
            <w:pPr>
              <w:pStyle w:val="naiskr"/>
              <w:numPr>
                <w:ilvl w:val="0"/>
                <w:numId w:val="6"/>
              </w:numPr>
              <w:rPr>
                <w:bCs/>
              </w:rPr>
            </w:pPr>
            <w:r w:rsidRPr="00883926">
              <w:rPr>
                <w:bCs/>
              </w:rPr>
              <w:t xml:space="preserve">nosūtot to Latvijas Tirdzniecības un rūpniecības kamerai, Latvijas Darba Devēju Konfederācijai, Latvijas </w:t>
            </w:r>
            <w:r w:rsidR="00B30391">
              <w:rPr>
                <w:bCs/>
              </w:rPr>
              <w:t>P</w:t>
            </w:r>
            <w:r w:rsidRPr="00883926">
              <w:rPr>
                <w:bCs/>
              </w:rPr>
              <w:t xml:space="preserve">ašvaldību savienībai, Latvijas Lielo pilsētu asociācijai, </w:t>
            </w:r>
            <w:r>
              <w:rPr>
                <w:bCs/>
              </w:rPr>
              <w:t>T</w:t>
            </w:r>
            <w:r w:rsidRPr="00883926">
              <w:rPr>
                <w:bCs/>
              </w:rPr>
              <w:t>ehnisko Ekspertu asociācija</w:t>
            </w:r>
            <w:r>
              <w:rPr>
                <w:bCs/>
              </w:rPr>
              <w:t>i</w:t>
            </w:r>
            <w:r w:rsidRPr="00883926">
              <w:rPr>
                <w:bCs/>
              </w:rPr>
              <w:t>.</w:t>
            </w:r>
          </w:p>
        </w:tc>
      </w:tr>
      <w:tr w:rsidR="00A322A9" w:rsidRPr="00FB41DC" w14:paraId="12BE980C" w14:textId="77777777" w:rsidTr="008A3121">
        <w:trPr>
          <w:trHeight w:val="339"/>
          <w:jc w:val="center"/>
        </w:trPr>
        <w:tc>
          <w:tcPr>
            <w:tcW w:w="421" w:type="dxa"/>
            <w:tcMar>
              <w:top w:w="57" w:type="dxa"/>
              <w:left w:w="57" w:type="dxa"/>
              <w:bottom w:w="57" w:type="dxa"/>
              <w:right w:w="57" w:type="dxa"/>
            </w:tcMar>
          </w:tcPr>
          <w:p w14:paraId="604C3BC2" w14:textId="77777777" w:rsidR="00A322A9" w:rsidRPr="00FB41DC" w:rsidRDefault="00A322A9" w:rsidP="008F23E6">
            <w:pPr>
              <w:pStyle w:val="naiskr"/>
              <w:spacing w:before="0" w:after="0"/>
              <w:ind w:left="57" w:right="57"/>
              <w:rPr>
                <w:bCs/>
              </w:rPr>
            </w:pPr>
            <w:r w:rsidRPr="00FB41DC">
              <w:rPr>
                <w:bCs/>
              </w:rPr>
              <w:t>2.</w:t>
            </w:r>
          </w:p>
        </w:tc>
        <w:tc>
          <w:tcPr>
            <w:tcW w:w="1848" w:type="dxa"/>
            <w:tcMar>
              <w:top w:w="57" w:type="dxa"/>
              <w:left w:w="57" w:type="dxa"/>
              <w:bottom w:w="57" w:type="dxa"/>
              <w:right w:w="57" w:type="dxa"/>
            </w:tcMar>
          </w:tcPr>
          <w:p w14:paraId="679D6ECB" w14:textId="77777777" w:rsidR="00A322A9" w:rsidRPr="00FB41DC" w:rsidRDefault="00A322A9" w:rsidP="008F23E6">
            <w:pPr>
              <w:pStyle w:val="naiskr"/>
              <w:spacing w:before="0" w:after="0"/>
              <w:ind w:left="57" w:right="57"/>
            </w:pPr>
            <w:r w:rsidRPr="00FB41DC">
              <w:t xml:space="preserve">Sabiedrības līdzdalība projekta izstrādē </w:t>
            </w:r>
          </w:p>
        </w:tc>
        <w:tc>
          <w:tcPr>
            <w:tcW w:w="7365" w:type="dxa"/>
            <w:tcMar>
              <w:top w:w="57" w:type="dxa"/>
              <w:left w:w="57" w:type="dxa"/>
              <w:bottom w:w="57" w:type="dxa"/>
              <w:right w:w="57" w:type="dxa"/>
            </w:tcMar>
          </w:tcPr>
          <w:p w14:paraId="2050339B" w14:textId="616BF2EC" w:rsidR="002978CF" w:rsidRDefault="00A322A9" w:rsidP="00C56413">
            <w:pPr>
              <w:pStyle w:val="naiskr"/>
              <w:spacing w:before="0" w:after="0"/>
              <w:ind w:right="57"/>
              <w:jc w:val="both"/>
            </w:pPr>
            <w:r>
              <w:t xml:space="preserve"> </w:t>
            </w:r>
            <w:r w:rsidR="002978CF">
              <w:t xml:space="preserve">Noteikumu projekts no 2019. gada </w:t>
            </w:r>
            <w:r w:rsidR="00443E90">
              <w:t>7</w:t>
            </w:r>
            <w:r w:rsidR="002978CF" w:rsidRPr="008A3121">
              <w:t>.</w:t>
            </w:r>
            <w:r w:rsidR="00AB618D">
              <w:t> </w:t>
            </w:r>
            <w:r w:rsidR="002978CF">
              <w:t>februāra</w:t>
            </w:r>
            <w:r w:rsidR="002978CF" w:rsidRPr="009B45E5">
              <w:t xml:space="preserve"> </w:t>
            </w:r>
            <w:r w:rsidR="00AB11B0">
              <w:t>bija</w:t>
            </w:r>
            <w:r w:rsidR="002978CF">
              <w:t xml:space="preserve"> pieejams </w:t>
            </w:r>
            <w:r w:rsidR="002978CF" w:rsidRPr="002978CF">
              <w:t>Ekonomikas ministrijas mājaslap</w:t>
            </w:r>
            <w:r w:rsidR="002978CF">
              <w:t>as sadaļā “Sabiedrības līdzdalība</w:t>
            </w:r>
          </w:p>
          <w:p w14:paraId="1DB0627A" w14:textId="458766CE" w:rsidR="00A322A9" w:rsidRPr="00FB41DC" w:rsidRDefault="00D06412" w:rsidP="00C56413">
            <w:pPr>
              <w:pStyle w:val="naiskr"/>
              <w:spacing w:before="0" w:after="0"/>
              <w:ind w:right="57"/>
              <w:jc w:val="both"/>
            </w:pPr>
            <w:hyperlink r:id="rId8" w:history="1">
              <w:r w:rsidR="002978CF" w:rsidRPr="009072FD">
                <w:rPr>
                  <w:rStyle w:val="Hyperlink"/>
                </w:rPr>
                <w:t>https://www.em.gov.lv/lv/par_ministriju/sabiedribas_lidzdaliba/diskusiju/dokumenti</w:t>
              </w:r>
            </w:hyperlink>
            <w:r w:rsidR="002978CF">
              <w:t>”,</w:t>
            </w:r>
            <w:r w:rsidR="00883926">
              <w:t xml:space="preserve"> kā arī </w:t>
            </w:r>
            <w:r w:rsidR="00AB11B0">
              <w:t xml:space="preserve">tika </w:t>
            </w:r>
            <w:r w:rsidR="00883926">
              <w:t xml:space="preserve">nosūtīts </w:t>
            </w:r>
            <w:r w:rsidR="00883926" w:rsidRPr="00883926">
              <w:rPr>
                <w:bCs/>
              </w:rPr>
              <w:t xml:space="preserve">Latvijas Tirdzniecības un rūpniecības kamerai, Latvijas Darba Devēju Konfederācijai, Latvijas </w:t>
            </w:r>
            <w:r w:rsidR="00B30391">
              <w:rPr>
                <w:bCs/>
              </w:rPr>
              <w:t>P</w:t>
            </w:r>
            <w:r w:rsidR="00883926" w:rsidRPr="00883926">
              <w:rPr>
                <w:bCs/>
              </w:rPr>
              <w:t xml:space="preserve">ašvaldību </w:t>
            </w:r>
            <w:r w:rsidR="00883926" w:rsidRPr="00883926">
              <w:rPr>
                <w:bCs/>
              </w:rPr>
              <w:lastRenderedPageBreak/>
              <w:t xml:space="preserve">savienībai, Latvijas Lielo pilsētu asociācijai, </w:t>
            </w:r>
            <w:r w:rsidR="00883926">
              <w:rPr>
                <w:bCs/>
              </w:rPr>
              <w:t>T</w:t>
            </w:r>
            <w:r w:rsidR="00883926" w:rsidRPr="00883926">
              <w:rPr>
                <w:bCs/>
              </w:rPr>
              <w:t>ehnisko Ekspertu asociācija</w:t>
            </w:r>
            <w:r w:rsidR="00883926">
              <w:rPr>
                <w:bCs/>
              </w:rPr>
              <w:t>i.</w:t>
            </w:r>
            <w:r w:rsidR="002978CF">
              <w:t xml:space="preserve"> </w:t>
            </w:r>
            <w:r w:rsidR="00883926">
              <w:t>Ekonomikas ministrija</w:t>
            </w:r>
            <w:r w:rsidR="002978CF">
              <w:t xml:space="preserve"> ieinteresētajām personām </w:t>
            </w:r>
            <w:r w:rsidR="00883926">
              <w:t xml:space="preserve">deva </w:t>
            </w:r>
            <w:r w:rsidR="002978CF">
              <w:t>iespēj</w:t>
            </w:r>
            <w:r w:rsidR="00883926">
              <w:t>u</w:t>
            </w:r>
            <w:r w:rsidR="002978CF">
              <w:t xml:space="preserve"> izteikt viedokli un sniegt priekšlikumus</w:t>
            </w:r>
            <w:r w:rsidR="00AB618D">
              <w:t>, iesniedzot tos rakstveidā Ekonomikas ministrijai</w:t>
            </w:r>
            <w:r w:rsidR="002978CF">
              <w:t xml:space="preserve"> līdz </w:t>
            </w:r>
            <w:r w:rsidR="00AB618D">
              <w:t>2019. gada 24. februārim.</w:t>
            </w:r>
          </w:p>
        </w:tc>
      </w:tr>
      <w:tr w:rsidR="00A322A9" w:rsidRPr="00FB41DC" w14:paraId="228AEB77" w14:textId="77777777" w:rsidTr="008A3121">
        <w:trPr>
          <w:trHeight w:val="375"/>
          <w:jc w:val="center"/>
        </w:trPr>
        <w:tc>
          <w:tcPr>
            <w:tcW w:w="421" w:type="dxa"/>
            <w:tcMar>
              <w:top w:w="57" w:type="dxa"/>
              <w:left w:w="57" w:type="dxa"/>
              <w:bottom w:w="57" w:type="dxa"/>
              <w:right w:w="57" w:type="dxa"/>
            </w:tcMar>
          </w:tcPr>
          <w:p w14:paraId="34DBC0E7" w14:textId="77777777" w:rsidR="00A322A9" w:rsidRPr="00FB41DC" w:rsidRDefault="00A322A9" w:rsidP="008F23E6">
            <w:pPr>
              <w:pStyle w:val="naiskr"/>
              <w:spacing w:before="0" w:after="0"/>
              <w:ind w:left="57" w:right="57"/>
              <w:rPr>
                <w:bCs/>
              </w:rPr>
            </w:pPr>
            <w:r w:rsidRPr="00FB41DC">
              <w:rPr>
                <w:bCs/>
              </w:rPr>
              <w:lastRenderedPageBreak/>
              <w:t>3.</w:t>
            </w:r>
          </w:p>
        </w:tc>
        <w:tc>
          <w:tcPr>
            <w:tcW w:w="1848" w:type="dxa"/>
            <w:tcMar>
              <w:top w:w="57" w:type="dxa"/>
              <w:left w:w="57" w:type="dxa"/>
              <w:bottom w:w="57" w:type="dxa"/>
              <w:right w:w="57" w:type="dxa"/>
            </w:tcMar>
          </w:tcPr>
          <w:p w14:paraId="6D842EC3" w14:textId="77777777" w:rsidR="00A322A9" w:rsidRPr="00FB41DC" w:rsidRDefault="00A322A9" w:rsidP="008F23E6">
            <w:pPr>
              <w:pStyle w:val="naiskr"/>
              <w:spacing w:before="0" w:after="0"/>
              <w:ind w:left="57" w:right="57"/>
            </w:pPr>
            <w:r w:rsidRPr="00FB41DC">
              <w:t xml:space="preserve">Sabiedrības līdzdalības rezultāti </w:t>
            </w:r>
          </w:p>
        </w:tc>
        <w:tc>
          <w:tcPr>
            <w:tcW w:w="7365" w:type="dxa"/>
            <w:tcMar>
              <w:top w:w="57" w:type="dxa"/>
              <w:left w:w="57" w:type="dxa"/>
              <w:bottom w:w="57" w:type="dxa"/>
              <w:right w:w="57" w:type="dxa"/>
            </w:tcMar>
          </w:tcPr>
          <w:p w14:paraId="7100B037" w14:textId="77777777" w:rsidR="00FE6A21" w:rsidRDefault="00883926" w:rsidP="008F23E6">
            <w:pPr>
              <w:pStyle w:val="naiskr"/>
              <w:spacing w:before="0" w:after="0"/>
              <w:ind w:right="57"/>
              <w:jc w:val="both"/>
            </w:pPr>
            <w:r>
              <w:t xml:space="preserve">Sabiedrības līdzdalības ietvaros viedokli par Noteikumu projektu sniedza Latvijas Lielo pilsētu asociācija, </w:t>
            </w:r>
            <w:r w:rsidR="00035DF9">
              <w:t>SIA “</w:t>
            </w:r>
            <w:proofErr w:type="spellStart"/>
            <w:r w:rsidR="00035DF9">
              <w:t>Bureau</w:t>
            </w:r>
            <w:proofErr w:type="spellEnd"/>
            <w:r w:rsidR="00035DF9">
              <w:t xml:space="preserve"> Veritas </w:t>
            </w:r>
            <w:proofErr w:type="spellStart"/>
            <w:r w:rsidR="00035DF9">
              <w:t>Latvia</w:t>
            </w:r>
            <w:proofErr w:type="spellEnd"/>
            <w:r w:rsidR="00035DF9">
              <w:t>”, SIA “</w:t>
            </w:r>
            <w:proofErr w:type="spellStart"/>
            <w:r w:rsidR="00035DF9">
              <w:t>Fixman</w:t>
            </w:r>
            <w:proofErr w:type="spellEnd"/>
            <w:r w:rsidR="00035DF9">
              <w:t>”, SIA “</w:t>
            </w:r>
            <w:proofErr w:type="spellStart"/>
            <w:r w:rsidR="00035DF9">
              <w:t>Play</w:t>
            </w:r>
            <w:proofErr w:type="spellEnd"/>
            <w:r w:rsidR="00035DF9">
              <w:t xml:space="preserve"> </w:t>
            </w:r>
            <w:proofErr w:type="spellStart"/>
            <w:r w:rsidR="00035DF9">
              <w:t>Inspect</w:t>
            </w:r>
            <w:proofErr w:type="spellEnd"/>
            <w:r w:rsidR="00035DF9">
              <w:t>”, SIA “JŪRMALAS MEŽAPARKI”, SIA “</w:t>
            </w:r>
            <w:proofErr w:type="spellStart"/>
            <w:r w:rsidR="00035DF9">
              <w:t>GoPlay</w:t>
            </w:r>
            <w:proofErr w:type="spellEnd"/>
            <w:r w:rsidR="00035DF9">
              <w:t xml:space="preserve">”. </w:t>
            </w:r>
            <w:r w:rsidR="00525F3C">
              <w:t>Sabiedriskās apspriešanas dalībnieki atbalsta Noteikumu projekta nepieciešamību un turpmāko virzību un vienlaikus sniedza priekšlikumus</w:t>
            </w:r>
            <w:r w:rsidR="00B418CC">
              <w:t>, kā arī lūdza atsevišķus skaidrojumus. Spēļu vai citu aktivitāšu</w:t>
            </w:r>
            <w:r w:rsidR="00B418CC" w:rsidRPr="00EE2B8C">
              <w:t xml:space="preserve"> iekārtu un spēļu laukumu </w:t>
            </w:r>
            <w:r w:rsidR="00B418CC">
              <w:t xml:space="preserve">piedāvātāju, kā arī to </w:t>
            </w:r>
            <w:r w:rsidR="00B418CC" w:rsidRPr="00EE2B8C">
              <w:t>apsaimniekotāj</w:t>
            </w:r>
            <w:r w:rsidR="00B418CC">
              <w:t xml:space="preserve">u pārstāvji pauda vispārēju viedokli, ka spēļu laukumu un iekārtu pārbaudes pēc iespējas ir jāvienkāršo un mazāk jāizvirza īpašas prasības pārbaužu veicēju akreditācijas </w:t>
            </w:r>
            <w:proofErr w:type="spellStart"/>
            <w:r w:rsidR="00B418CC">
              <w:t>utml</w:t>
            </w:r>
            <w:proofErr w:type="spellEnd"/>
            <w:r w:rsidR="00B418CC">
              <w:t xml:space="preserve">. </w:t>
            </w:r>
            <w:r w:rsidR="007F6E42">
              <w:t>p</w:t>
            </w:r>
            <w:r w:rsidR="00B418CC">
              <w:t>rasības, savukārt spēļu laukumu pārbaužu veikšanas interesenti</w:t>
            </w:r>
            <w:r w:rsidR="007F6E42">
              <w:t xml:space="preserve"> pauda viedokli, ka ir jāveic stingras pārbaudes un pēc iespējas tas jāuztic akreditētiem savas jomas speciālistiem. Atsevišķi spēļu vai citu aktivitāšu</w:t>
            </w:r>
            <w:r w:rsidR="007F6E42" w:rsidRPr="00EE2B8C">
              <w:t xml:space="preserve"> iekārtu un spēļu laukumu </w:t>
            </w:r>
            <w:r w:rsidR="007F6E42">
              <w:t>piedāvātāju pārstāvji ierosināja Noteikumu projektā ieviest atbilstības apliecināšanu ar sertifikātu, pamatojoties uz pieeju, kādu tie ieviesuši savā uzņēmējdarbībā.</w:t>
            </w:r>
            <w:r w:rsidR="00061BC7">
              <w:t xml:space="preserve"> Noteikumu projektā rastais risinājums ir kompromiss gan visu iesaistīto pušu interesēm, gan arī tas nodrošina spēļu laukumu drošumu pamatotā veidā un nerada nesamērīgu slogu ar prasībām par akreditēta pārbaudes veicēja pārbaudēm. Ņemot vērā </w:t>
            </w:r>
            <w:r w:rsidR="00FE6A21">
              <w:t>paustos viedokļus par akreditētu pārbaudes veicēju nepieejamību un pārejas periodu prasību ieviešanai par pēcuzstādīšanas pārbaudes veikšan</w:t>
            </w:r>
            <w:r w:rsidR="00BC3358">
              <w:t xml:space="preserve">u, Noteikumu projektam ir precizēti noslēguma jautājumi, kuros paredzēts 12 mēnešu ilgs periods, kurā pakāpeniski nodrošināt pilnīgu Noteikumu projekta prasību izpildi, tai pašā laikā tiek veicināta pilnīga prasību izpilde arī pirms pārejas perioda beigām, tādējādi veicinot arī potenciālos </w:t>
            </w:r>
            <w:proofErr w:type="spellStart"/>
            <w:r w:rsidR="00BC3358">
              <w:t>pēcuzstādīšanas</w:t>
            </w:r>
            <w:proofErr w:type="spellEnd"/>
            <w:r w:rsidR="00BC3358">
              <w:t xml:space="preserve"> pārbaudes veicējus pēc iespējas ātrāk veikt akreditācijas procesu un būt gataviem sniegt šādu pakalpojumu.</w:t>
            </w:r>
          </w:p>
          <w:p w14:paraId="0302EEAC" w14:textId="3D06B161" w:rsidR="00762119" w:rsidRPr="00FB41DC" w:rsidRDefault="00762119" w:rsidP="008F23E6">
            <w:pPr>
              <w:pStyle w:val="naiskr"/>
              <w:spacing w:before="0" w:after="0"/>
              <w:ind w:right="57"/>
              <w:jc w:val="both"/>
            </w:pPr>
            <w:r>
              <w:t xml:space="preserve">Lai rastu vienotu izpratni par Noteikumu projektā iestrādātajām prasībām, kā arī ņemot vērā sabiedriskās </w:t>
            </w:r>
            <w:r w:rsidR="00CE168D">
              <w:t>apspriešana</w:t>
            </w:r>
            <w:r>
              <w:t xml:space="preserve">s </w:t>
            </w:r>
            <w:r w:rsidR="00CE168D">
              <w:t xml:space="preserve">dalībnieku </w:t>
            </w:r>
            <w:r>
              <w:t xml:space="preserve">komentāros paustās neskaidrības, Ekonomikas ministrija sadarbībā ar Patērētāju tiesību aizsardzības centru sarīkoja sanāksmi, uzaicinot </w:t>
            </w:r>
            <w:r w:rsidR="00CE168D">
              <w:t>visus sabiedriskās apspriešanas dalībniekus</w:t>
            </w:r>
            <w:r w:rsidR="00610C51">
              <w:t xml:space="preserve">, kā arī nosūtīja uzaicinājumu </w:t>
            </w:r>
            <w:r w:rsidR="00610C51" w:rsidRPr="00883926">
              <w:rPr>
                <w:bCs/>
              </w:rPr>
              <w:t xml:space="preserve">Latvijas Tirdzniecības un rūpniecības kamerai, Latvijas Darba Devēju Konfederācijai, Latvijas </w:t>
            </w:r>
            <w:r w:rsidR="00B30391">
              <w:rPr>
                <w:bCs/>
              </w:rPr>
              <w:t>P</w:t>
            </w:r>
            <w:r w:rsidR="00610C51" w:rsidRPr="00883926">
              <w:rPr>
                <w:bCs/>
              </w:rPr>
              <w:t xml:space="preserve">ašvaldību savienībai, Latvijas Lielo pilsētu asociācijai, </w:t>
            </w:r>
            <w:r w:rsidR="00610C51">
              <w:rPr>
                <w:bCs/>
              </w:rPr>
              <w:t>T</w:t>
            </w:r>
            <w:r w:rsidR="00610C51" w:rsidRPr="00883926">
              <w:rPr>
                <w:bCs/>
              </w:rPr>
              <w:t>ehnisko Ekspertu asociācija</w:t>
            </w:r>
            <w:r w:rsidR="00610C51">
              <w:rPr>
                <w:bCs/>
              </w:rPr>
              <w:t>i.</w:t>
            </w:r>
          </w:p>
        </w:tc>
      </w:tr>
      <w:tr w:rsidR="00A322A9" w:rsidRPr="00FB41DC" w14:paraId="74CCB2D3" w14:textId="77777777" w:rsidTr="008A3121">
        <w:trPr>
          <w:trHeight w:val="476"/>
          <w:jc w:val="center"/>
        </w:trPr>
        <w:tc>
          <w:tcPr>
            <w:tcW w:w="421" w:type="dxa"/>
            <w:tcMar>
              <w:top w:w="57" w:type="dxa"/>
              <w:left w:w="57" w:type="dxa"/>
              <w:bottom w:w="57" w:type="dxa"/>
              <w:right w:w="57" w:type="dxa"/>
            </w:tcMar>
          </w:tcPr>
          <w:p w14:paraId="467809CD" w14:textId="77777777" w:rsidR="00A322A9" w:rsidRPr="00FB41DC" w:rsidRDefault="00A322A9" w:rsidP="008F23E6">
            <w:pPr>
              <w:pStyle w:val="naiskr"/>
              <w:spacing w:before="0" w:after="0"/>
              <w:ind w:left="57" w:right="57"/>
              <w:rPr>
                <w:bCs/>
              </w:rPr>
            </w:pPr>
            <w:r>
              <w:rPr>
                <w:bCs/>
              </w:rPr>
              <w:t>4</w:t>
            </w:r>
            <w:r w:rsidRPr="00FB41DC">
              <w:rPr>
                <w:bCs/>
              </w:rPr>
              <w:t>.</w:t>
            </w:r>
          </w:p>
        </w:tc>
        <w:tc>
          <w:tcPr>
            <w:tcW w:w="1848" w:type="dxa"/>
            <w:tcMar>
              <w:top w:w="57" w:type="dxa"/>
              <w:left w:w="57" w:type="dxa"/>
              <w:bottom w:w="57" w:type="dxa"/>
              <w:right w:w="57" w:type="dxa"/>
            </w:tcMar>
          </w:tcPr>
          <w:p w14:paraId="061CD897" w14:textId="77777777" w:rsidR="00A322A9" w:rsidRPr="00FB41DC" w:rsidRDefault="00A322A9" w:rsidP="008F23E6">
            <w:pPr>
              <w:pStyle w:val="naiskr"/>
              <w:spacing w:before="0" w:after="0"/>
              <w:ind w:left="57" w:right="57"/>
            </w:pPr>
            <w:r w:rsidRPr="00FB41DC">
              <w:t>Cita informācija</w:t>
            </w:r>
          </w:p>
        </w:tc>
        <w:tc>
          <w:tcPr>
            <w:tcW w:w="7365" w:type="dxa"/>
            <w:tcMar>
              <w:top w:w="57" w:type="dxa"/>
              <w:left w:w="57" w:type="dxa"/>
              <w:bottom w:w="57" w:type="dxa"/>
              <w:right w:w="57" w:type="dxa"/>
            </w:tcMar>
          </w:tcPr>
          <w:p w14:paraId="1BADC78A" w14:textId="77777777" w:rsidR="00A322A9" w:rsidRPr="00FB41DC" w:rsidRDefault="00A322A9" w:rsidP="008F23E6">
            <w:pPr>
              <w:pStyle w:val="naiskr"/>
              <w:spacing w:before="0" w:after="0"/>
              <w:ind w:right="57"/>
              <w:jc w:val="both"/>
            </w:pPr>
            <w:r>
              <w:t>Nav</w:t>
            </w:r>
          </w:p>
        </w:tc>
      </w:tr>
    </w:tbl>
    <w:p w14:paraId="6BF5439B" w14:textId="77777777" w:rsidR="00A322A9" w:rsidRPr="00FB41DC" w:rsidRDefault="00A322A9" w:rsidP="00A322A9"/>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A322A9" w:rsidRPr="00FB41DC" w14:paraId="2B5B5B6C" w14:textId="77777777" w:rsidTr="008F23E6">
        <w:trPr>
          <w:jc w:val="center"/>
        </w:trPr>
        <w:tc>
          <w:tcPr>
            <w:tcW w:w="9474" w:type="dxa"/>
            <w:gridSpan w:val="3"/>
            <w:tcBorders>
              <w:top w:val="single" w:sz="4" w:space="0" w:color="auto"/>
            </w:tcBorders>
            <w:tcMar>
              <w:top w:w="57" w:type="dxa"/>
              <w:left w:w="57" w:type="dxa"/>
              <w:bottom w:w="57" w:type="dxa"/>
              <w:right w:w="57" w:type="dxa"/>
            </w:tcMar>
          </w:tcPr>
          <w:p w14:paraId="3B2F945C" w14:textId="77777777" w:rsidR="00A322A9" w:rsidRPr="00FB41DC" w:rsidRDefault="00A322A9" w:rsidP="008F23E6">
            <w:pPr>
              <w:pStyle w:val="naisnod"/>
              <w:spacing w:before="0" w:after="0"/>
              <w:ind w:left="57" w:right="57"/>
            </w:pPr>
            <w:r w:rsidRPr="00FB41DC">
              <w:t>VII. Tiesību akta projekta izpildes nodrošināšana un tās ietekme uz institūcijām</w:t>
            </w:r>
          </w:p>
        </w:tc>
      </w:tr>
      <w:tr w:rsidR="00A322A9" w:rsidRPr="00FB41DC" w14:paraId="071D84F8" w14:textId="77777777" w:rsidTr="008F23E6">
        <w:trPr>
          <w:trHeight w:val="427"/>
          <w:jc w:val="center"/>
        </w:trPr>
        <w:tc>
          <w:tcPr>
            <w:tcW w:w="486" w:type="dxa"/>
            <w:tcMar>
              <w:top w:w="57" w:type="dxa"/>
              <w:left w:w="57" w:type="dxa"/>
              <w:bottom w:w="57" w:type="dxa"/>
              <w:right w:w="57" w:type="dxa"/>
            </w:tcMar>
          </w:tcPr>
          <w:p w14:paraId="6ACF1B71" w14:textId="77777777" w:rsidR="00A322A9" w:rsidRPr="00FB41DC" w:rsidRDefault="00A322A9" w:rsidP="008F23E6">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265CBCC2" w14:textId="77777777" w:rsidR="00A322A9" w:rsidRPr="00FB41DC" w:rsidRDefault="00A322A9" w:rsidP="008F23E6">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4EC217F2" w14:textId="3274A5EB" w:rsidR="00A322A9" w:rsidRPr="00563D3C" w:rsidRDefault="00C56413" w:rsidP="00352046">
            <w:pPr>
              <w:pStyle w:val="naisc"/>
              <w:spacing w:before="0" w:after="0"/>
              <w:jc w:val="both"/>
            </w:pPr>
            <w:r>
              <w:t>E</w:t>
            </w:r>
            <w:r w:rsidR="00352046">
              <w:t>konomikas ministrija, Patērētāju tiesību aizsardzības centrs</w:t>
            </w:r>
          </w:p>
        </w:tc>
      </w:tr>
      <w:tr w:rsidR="00A322A9" w:rsidRPr="00FB41DC" w14:paraId="459D156E" w14:textId="77777777" w:rsidTr="008F23E6">
        <w:trPr>
          <w:trHeight w:val="463"/>
          <w:jc w:val="center"/>
        </w:trPr>
        <w:tc>
          <w:tcPr>
            <w:tcW w:w="486" w:type="dxa"/>
            <w:tcMar>
              <w:top w:w="57" w:type="dxa"/>
              <w:left w:w="57" w:type="dxa"/>
              <w:bottom w:w="57" w:type="dxa"/>
              <w:right w:w="57" w:type="dxa"/>
            </w:tcMar>
          </w:tcPr>
          <w:p w14:paraId="1282E0B5" w14:textId="77777777" w:rsidR="00A322A9" w:rsidRPr="00FB41DC" w:rsidRDefault="00A322A9" w:rsidP="008F23E6">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41F34596" w14:textId="32332249" w:rsidR="00A322A9" w:rsidRPr="00FB41DC" w:rsidRDefault="00A322A9" w:rsidP="008F23E6">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r w:rsidR="00DD7C94">
              <w:t>.</w:t>
            </w:r>
            <w:r w:rsidR="00DD7C94" w:rsidRPr="005F2EEB">
              <w:t xml:space="preserve"> </w:t>
            </w:r>
            <w:r w:rsidR="00DD7C94" w:rsidRPr="005F2EEB">
              <w:lastRenderedPageBreak/>
              <w:t>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2CC1706C" w14:textId="77777777" w:rsidR="00A322A9" w:rsidRDefault="00A322A9" w:rsidP="008F23E6">
            <w:pPr>
              <w:pStyle w:val="naisnod"/>
              <w:spacing w:before="0" w:after="0"/>
              <w:ind w:right="57"/>
              <w:jc w:val="both"/>
              <w:rPr>
                <w:b w:val="0"/>
              </w:rPr>
            </w:pPr>
            <w:r w:rsidRPr="00352046">
              <w:rPr>
                <w:b w:val="0"/>
              </w:rPr>
              <w:lastRenderedPageBreak/>
              <w:t>Noteikumu projekts neietekmē iesaistīto institūciju funkcijas un uzdevumus.</w:t>
            </w:r>
          </w:p>
          <w:p w14:paraId="04C86980" w14:textId="024EACD3" w:rsidR="00A322A9" w:rsidRDefault="0090125B" w:rsidP="008F23E6">
            <w:pPr>
              <w:pStyle w:val="naisnod"/>
              <w:spacing w:before="0" w:after="0"/>
              <w:ind w:right="57"/>
              <w:jc w:val="both"/>
              <w:rPr>
                <w:b w:val="0"/>
              </w:rPr>
            </w:pPr>
            <w:r>
              <w:rPr>
                <w:b w:val="0"/>
              </w:rPr>
              <w:lastRenderedPageBreak/>
              <w:t>Nav paredzēta jaunu</w:t>
            </w:r>
            <w:r w:rsidR="00A322A9">
              <w:rPr>
                <w:b w:val="0"/>
              </w:rPr>
              <w:t xml:space="preserve"> institūciju izveide</w:t>
            </w:r>
            <w:r w:rsidR="008F1ED1">
              <w:rPr>
                <w:b w:val="0"/>
              </w:rPr>
              <w:t xml:space="preserve">, </w:t>
            </w:r>
            <w:r w:rsidR="00A322A9">
              <w:rPr>
                <w:b w:val="0"/>
              </w:rPr>
              <w:t>likvidēšana</w:t>
            </w:r>
            <w:r w:rsidR="008F1ED1">
              <w:rPr>
                <w:b w:val="0"/>
              </w:rPr>
              <w:t xml:space="preserve"> vai </w:t>
            </w:r>
            <w:r w:rsidR="00A322A9">
              <w:rPr>
                <w:b w:val="0"/>
              </w:rPr>
              <w:t>reorganizēšana.</w:t>
            </w:r>
          </w:p>
          <w:p w14:paraId="098C4CCB" w14:textId="77777777" w:rsidR="006B0B4A" w:rsidRDefault="006B0B4A" w:rsidP="008F23E6">
            <w:pPr>
              <w:pStyle w:val="naisnod"/>
              <w:spacing w:before="0" w:after="0"/>
              <w:ind w:right="57"/>
              <w:jc w:val="both"/>
              <w:rPr>
                <w:b w:val="0"/>
                <w:iCs/>
              </w:rPr>
            </w:pPr>
            <w:r>
              <w:rPr>
                <w:b w:val="0"/>
              </w:rPr>
              <w:t>Noteikumu projektā paredzēt</w:t>
            </w:r>
            <w:r w:rsidR="00391F70">
              <w:rPr>
                <w:b w:val="0"/>
              </w:rPr>
              <w:t>o</w:t>
            </w:r>
            <w:r>
              <w:rPr>
                <w:b w:val="0"/>
              </w:rPr>
              <w:t xml:space="preserve"> p</w:t>
            </w:r>
            <w:r w:rsidRPr="006B0B4A">
              <w:rPr>
                <w:b w:val="0"/>
                <w:iCs/>
              </w:rPr>
              <w:t>ublisk</w:t>
            </w:r>
            <w:r>
              <w:rPr>
                <w:b w:val="0"/>
                <w:iCs/>
              </w:rPr>
              <w:t>o</w:t>
            </w:r>
            <w:r w:rsidRPr="006B0B4A">
              <w:rPr>
                <w:b w:val="0"/>
                <w:iCs/>
              </w:rPr>
              <w:t xml:space="preserve"> spēļu laukum</w:t>
            </w:r>
            <w:r>
              <w:rPr>
                <w:b w:val="0"/>
                <w:iCs/>
              </w:rPr>
              <w:t>u</w:t>
            </w:r>
            <w:r w:rsidRPr="006B0B4A">
              <w:rPr>
                <w:b w:val="0"/>
                <w:iCs/>
              </w:rPr>
              <w:t xml:space="preserve"> reģistrācijas dokumentu saņemšan</w:t>
            </w:r>
            <w:r w:rsidR="00391F70">
              <w:rPr>
                <w:b w:val="0"/>
                <w:iCs/>
              </w:rPr>
              <w:t>u</w:t>
            </w:r>
            <w:r w:rsidRPr="006B0B4A">
              <w:rPr>
                <w:b w:val="0"/>
                <w:iCs/>
              </w:rPr>
              <w:t>, izvērtēšan</w:t>
            </w:r>
            <w:r w:rsidR="00391F70">
              <w:rPr>
                <w:b w:val="0"/>
                <w:iCs/>
              </w:rPr>
              <w:t>u</w:t>
            </w:r>
            <w:r w:rsidRPr="006B0B4A">
              <w:rPr>
                <w:b w:val="0"/>
                <w:iCs/>
              </w:rPr>
              <w:t xml:space="preserve"> un ievadīšan</w:t>
            </w:r>
            <w:r w:rsidR="00391F70">
              <w:rPr>
                <w:b w:val="0"/>
                <w:iCs/>
              </w:rPr>
              <w:t>u</w:t>
            </w:r>
            <w:r w:rsidRPr="006B0B4A">
              <w:rPr>
                <w:b w:val="0"/>
                <w:iCs/>
              </w:rPr>
              <w:t xml:space="preserve"> publiskajā reģistrā</w:t>
            </w:r>
            <w:r w:rsidR="00391F70">
              <w:rPr>
                <w:b w:val="0"/>
                <w:iCs/>
              </w:rPr>
              <w:t xml:space="preserve"> paredzēts veikt </w:t>
            </w:r>
            <w:r w:rsidRPr="006B0B4A">
              <w:rPr>
                <w:b w:val="0"/>
                <w:iCs/>
              </w:rPr>
              <w:t>vien</w:t>
            </w:r>
            <w:r w:rsidR="00391F70">
              <w:rPr>
                <w:b w:val="0"/>
                <w:iCs/>
              </w:rPr>
              <w:t>am PTAC</w:t>
            </w:r>
            <w:r w:rsidRPr="006B0B4A">
              <w:rPr>
                <w:b w:val="0"/>
                <w:iCs/>
              </w:rPr>
              <w:t xml:space="preserve"> darbiniek</w:t>
            </w:r>
            <w:r w:rsidR="00391F70">
              <w:rPr>
                <w:b w:val="0"/>
                <w:iCs/>
              </w:rPr>
              <w:t xml:space="preserve">am. </w:t>
            </w:r>
          </w:p>
          <w:p w14:paraId="1402AC6A" w14:textId="5F732BC9" w:rsidR="00391F70" w:rsidRPr="00F862E3" w:rsidRDefault="00391F70" w:rsidP="008F23E6">
            <w:pPr>
              <w:pStyle w:val="naisnod"/>
              <w:spacing w:before="0" w:after="0"/>
              <w:ind w:right="57"/>
              <w:jc w:val="both"/>
              <w:rPr>
                <w:b w:val="0"/>
              </w:rPr>
            </w:pPr>
            <w:r>
              <w:rPr>
                <w:b w:val="0"/>
              </w:rPr>
              <w:t>PTAC veikto informācijas pieprasījumu apstrāde un izpilde par publisko spēļu laukumu valdītājiem radīs papildu darba apjomu pašvaldību darbiniekiem. Tomēr, ņemot vērā to, ka ir paredzams, ka šādu pieprasījumu apstrādei un izpildei vienā pašvaldībā orientējoši varētu būt nepieciešams patērēt 10 stundas</w:t>
            </w:r>
            <w:r w:rsidR="00851A86">
              <w:rPr>
                <w:b w:val="0"/>
              </w:rPr>
              <w:t xml:space="preserve"> gadā</w:t>
            </w:r>
            <w:r>
              <w:rPr>
                <w:b w:val="0"/>
              </w:rPr>
              <w:t>, tad Noteikumu projekts nerada būtisku ietekmi uz pašvaldību cilvēkresursiem.</w:t>
            </w:r>
          </w:p>
        </w:tc>
      </w:tr>
      <w:tr w:rsidR="00A322A9" w:rsidRPr="00FB41DC" w14:paraId="36331468" w14:textId="77777777" w:rsidTr="008F23E6">
        <w:trPr>
          <w:trHeight w:val="476"/>
          <w:jc w:val="center"/>
        </w:trPr>
        <w:tc>
          <w:tcPr>
            <w:tcW w:w="486" w:type="dxa"/>
            <w:tcMar>
              <w:top w:w="57" w:type="dxa"/>
              <w:left w:w="57" w:type="dxa"/>
              <w:bottom w:w="57" w:type="dxa"/>
              <w:right w:w="57" w:type="dxa"/>
            </w:tcMar>
          </w:tcPr>
          <w:p w14:paraId="364BFC45" w14:textId="77777777" w:rsidR="00A322A9" w:rsidRPr="00FB41DC" w:rsidRDefault="00A322A9" w:rsidP="008F23E6">
            <w:pPr>
              <w:pStyle w:val="naiskr"/>
              <w:spacing w:before="0" w:after="0"/>
              <w:ind w:left="57" w:right="57"/>
            </w:pPr>
            <w:r>
              <w:lastRenderedPageBreak/>
              <w:t>3</w:t>
            </w:r>
            <w:r w:rsidRPr="00FB41DC">
              <w:t>.</w:t>
            </w:r>
          </w:p>
        </w:tc>
        <w:tc>
          <w:tcPr>
            <w:tcW w:w="3118" w:type="dxa"/>
            <w:tcMar>
              <w:top w:w="57" w:type="dxa"/>
              <w:left w:w="57" w:type="dxa"/>
              <w:bottom w:w="57" w:type="dxa"/>
              <w:right w:w="57" w:type="dxa"/>
            </w:tcMar>
          </w:tcPr>
          <w:p w14:paraId="1C19BEB5" w14:textId="77777777" w:rsidR="00A322A9" w:rsidRPr="00FB41DC" w:rsidRDefault="00A322A9" w:rsidP="008F23E6">
            <w:pPr>
              <w:pStyle w:val="naiskr"/>
              <w:spacing w:before="0" w:after="0"/>
              <w:ind w:left="57" w:right="57"/>
            </w:pPr>
            <w:r w:rsidRPr="00FB41DC">
              <w:t>Cita informācija</w:t>
            </w:r>
          </w:p>
        </w:tc>
        <w:tc>
          <w:tcPr>
            <w:tcW w:w="5870" w:type="dxa"/>
            <w:tcMar>
              <w:top w:w="57" w:type="dxa"/>
              <w:left w:w="57" w:type="dxa"/>
              <w:bottom w:w="57" w:type="dxa"/>
              <w:right w:w="57" w:type="dxa"/>
            </w:tcMar>
          </w:tcPr>
          <w:p w14:paraId="22B5DEDA" w14:textId="77777777" w:rsidR="00A322A9" w:rsidRPr="00FB41DC" w:rsidRDefault="00A322A9" w:rsidP="008F23E6">
            <w:pPr>
              <w:pStyle w:val="naiskr"/>
              <w:spacing w:before="0" w:after="0"/>
              <w:ind w:left="57" w:right="57"/>
            </w:pPr>
            <w:r>
              <w:t>Nav</w:t>
            </w:r>
          </w:p>
        </w:tc>
      </w:tr>
    </w:tbl>
    <w:p w14:paraId="60A2B0FF" w14:textId="77777777" w:rsidR="00A322A9" w:rsidRDefault="00A322A9" w:rsidP="00A322A9">
      <w:pPr>
        <w:pStyle w:val="naisf"/>
        <w:spacing w:before="0" w:after="0"/>
        <w:ind w:firstLine="374"/>
        <w:rPr>
          <w:b/>
        </w:rPr>
      </w:pPr>
    </w:p>
    <w:p w14:paraId="5C6D10F5" w14:textId="1F48D480" w:rsidR="00A322A9" w:rsidRPr="00EE5F73" w:rsidRDefault="00A322A9" w:rsidP="00A322A9">
      <w:pPr>
        <w:pStyle w:val="naisf"/>
        <w:spacing w:before="0" w:after="0"/>
        <w:ind w:firstLine="374"/>
        <w:rPr>
          <w:i/>
        </w:rPr>
      </w:pPr>
      <w:r w:rsidRPr="00EE5F73">
        <w:rPr>
          <w:i/>
        </w:rPr>
        <w:t>.</w:t>
      </w:r>
    </w:p>
    <w:p w14:paraId="624CFE9B" w14:textId="77777777" w:rsidR="00A322A9" w:rsidRPr="00ED433D" w:rsidRDefault="00A322A9" w:rsidP="00A322A9">
      <w:r w:rsidRPr="00ED433D">
        <w:t>Iesniedzējs:</w:t>
      </w:r>
    </w:p>
    <w:p w14:paraId="3ED07A98" w14:textId="15550CE2" w:rsidR="00A322A9" w:rsidRDefault="00ED2594" w:rsidP="00540AED">
      <w:pPr>
        <w:tabs>
          <w:tab w:val="left" w:pos="1260"/>
        </w:tabs>
        <w:ind w:right="-425"/>
      </w:pPr>
      <w:r>
        <w:rPr>
          <w:rFonts w:eastAsiaTheme="minorHAnsi"/>
          <w:lang w:eastAsia="en-US"/>
        </w:rPr>
        <w:t>E</w:t>
      </w:r>
      <w:r w:rsidR="00C054BA" w:rsidRPr="00540AED">
        <w:rPr>
          <w:rFonts w:eastAsiaTheme="minorHAnsi"/>
          <w:lang w:eastAsia="en-US"/>
        </w:rPr>
        <w:t>konomikas ministrs</w:t>
      </w:r>
      <w:r w:rsidR="00C054BA" w:rsidRPr="00C054BA">
        <w:rPr>
          <w:rFonts w:asciiTheme="minorHAnsi" w:eastAsiaTheme="minorHAnsi" w:hAnsiTheme="minorHAnsi" w:cstheme="minorBidi"/>
          <w:b/>
          <w:sz w:val="22"/>
          <w:lang w:eastAsia="en-US"/>
        </w:rPr>
        <w:tab/>
      </w:r>
      <w:r w:rsidR="00A322A9">
        <w:tab/>
      </w:r>
      <w:r w:rsidR="00A322A9">
        <w:tab/>
      </w:r>
      <w:r w:rsidR="00A322A9">
        <w:tab/>
      </w:r>
      <w:r w:rsidR="00A322A9">
        <w:tab/>
      </w:r>
      <w:r w:rsidR="00A322A9">
        <w:tab/>
      </w:r>
      <w:r w:rsidR="00A322A9">
        <w:tab/>
      </w:r>
      <w:proofErr w:type="spellStart"/>
      <w:r>
        <w:t>R.Nemiro</w:t>
      </w:r>
      <w:proofErr w:type="spellEnd"/>
    </w:p>
    <w:p w14:paraId="5EFBDD7A" w14:textId="77777777" w:rsidR="00A322A9" w:rsidRDefault="00A322A9" w:rsidP="00A322A9"/>
    <w:p w14:paraId="7F6C7D5D" w14:textId="77777777" w:rsidR="00A322A9" w:rsidRDefault="00A322A9" w:rsidP="00A322A9"/>
    <w:p w14:paraId="00125625" w14:textId="77777777" w:rsidR="00A322A9" w:rsidRPr="00ED433D" w:rsidRDefault="00A322A9" w:rsidP="00A322A9">
      <w:r w:rsidRPr="00ED433D">
        <w:t>Vīza:</w:t>
      </w:r>
    </w:p>
    <w:p w14:paraId="5A7F7892" w14:textId="312C0326" w:rsidR="00A322A9" w:rsidRPr="00DF5FC1" w:rsidRDefault="00A322A9" w:rsidP="00A322A9">
      <w:bookmarkStart w:id="2" w:name="p2008"/>
      <w:bookmarkEnd w:id="2"/>
      <w:r>
        <w:t>Valsts sekretārs</w:t>
      </w:r>
      <w:r>
        <w:tab/>
      </w:r>
      <w:r>
        <w:tab/>
      </w:r>
      <w:r>
        <w:tab/>
      </w:r>
      <w:r>
        <w:tab/>
      </w:r>
      <w:r>
        <w:tab/>
      </w:r>
      <w:r>
        <w:tab/>
      </w:r>
      <w:r>
        <w:tab/>
      </w:r>
      <w:r w:rsidR="00771A91">
        <w:t>Ē. Eglītis</w:t>
      </w:r>
      <w:r>
        <w:tab/>
      </w:r>
      <w:r>
        <w:tab/>
      </w:r>
      <w:r>
        <w:tab/>
      </w:r>
      <w:r>
        <w:tab/>
      </w:r>
      <w:r>
        <w:tab/>
      </w:r>
      <w:r>
        <w:tab/>
      </w:r>
      <w:r>
        <w:tab/>
      </w:r>
    </w:p>
    <w:p w14:paraId="15849F44" w14:textId="29176C01" w:rsidR="003F6EDF" w:rsidRPr="00771A91" w:rsidRDefault="00A322A9" w:rsidP="00771A91">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sectPr w:rsidR="003F6EDF" w:rsidRPr="00771A9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206C" w14:textId="77777777" w:rsidR="00D06412" w:rsidRDefault="00D06412" w:rsidP="00D52579">
      <w:r>
        <w:separator/>
      </w:r>
    </w:p>
  </w:endnote>
  <w:endnote w:type="continuationSeparator" w:id="0">
    <w:p w14:paraId="4EB88287" w14:textId="77777777" w:rsidR="00D06412" w:rsidRDefault="00D06412" w:rsidP="00D5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CA9C" w14:textId="7238488D" w:rsidR="00D52579" w:rsidRPr="00D52579" w:rsidRDefault="008A3121" w:rsidP="00D52579">
    <w:pPr>
      <w:pStyle w:val="Heading3"/>
      <w:jc w:val="both"/>
      <w:rPr>
        <w:b w:val="0"/>
        <w:sz w:val="20"/>
        <w:szCs w:val="20"/>
      </w:rPr>
    </w:pPr>
    <w:r>
      <w:rPr>
        <w:b w:val="0"/>
        <w:sz w:val="20"/>
        <w:szCs w:val="20"/>
      </w:rPr>
      <w:t>EMAnot_</w:t>
    </w:r>
    <w:r w:rsidR="00F31C09">
      <w:rPr>
        <w:b w:val="0"/>
        <w:sz w:val="20"/>
        <w:szCs w:val="20"/>
      </w:rPr>
      <w:t>1103</w:t>
    </w:r>
    <w:r w:rsidR="00E656F6">
      <w:rPr>
        <w:b w:val="0"/>
        <w:sz w:val="20"/>
        <w:szCs w:val="20"/>
      </w:rPr>
      <w:t>19</w:t>
    </w:r>
    <w:r w:rsidR="00951FB3">
      <w:rPr>
        <w:b w:val="0"/>
        <w:sz w:val="20"/>
        <w:szCs w:val="20"/>
      </w:rPr>
      <w:t>_</w:t>
    </w:r>
    <w:r w:rsidR="00E656F6">
      <w:rPr>
        <w:b w:val="0"/>
        <w:sz w:val="20"/>
        <w:szCs w:val="20"/>
      </w:rPr>
      <w:t>spe</w:t>
    </w:r>
    <w:r w:rsidR="00951FB3">
      <w:rPr>
        <w:b w:val="0"/>
        <w:sz w:val="20"/>
        <w:szCs w:val="20"/>
      </w:rPr>
      <w:t>lu-lauk</w:t>
    </w:r>
  </w:p>
  <w:p w14:paraId="5616AECB" w14:textId="77777777" w:rsidR="00D52579" w:rsidRPr="00D52579" w:rsidRDefault="00D52579" w:rsidP="00D5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D2C4" w14:textId="77777777" w:rsidR="00D06412" w:rsidRDefault="00D06412" w:rsidP="00D52579">
      <w:r>
        <w:separator/>
      </w:r>
    </w:p>
  </w:footnote>
  <w:footnote w:type="continuationSeparator" w:id="0">
    <w:p w14:paraId="3E3EBBC9" w14:textId="77777777" w:rsidR="00D06412" w:rsidRDefault="00D06412" w:rsidP="00D5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1F4B"/>
    <w:multiLevelType w:val="hybridMultilevel"/>
    <w:tmpl w:val="3B0E0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093803"/>
    <w:multiLevelType w:val="hybridMultilevel"/>
    <w:tmpl w:val="ED1CD27E"/>
    <w:lvl w:ilvl="0" w:tplc="9B1C2500">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021950"/>
    <w:multiLevelType w:val="hybridMultilevel"/>
    <w:tmpl w:val="A9CA2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F16615"/>
    <w:multiLevelType w:val="hybridMultilevel"/>
    <w:tmpl w:val="84D8C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13438A"/>
    <w:multiLevelType w:val="hybridMultilevel"/>
    <w:tmpl w:val="E6608114"/>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A9"/>
    <w:rsid w:val="000154E9"/>
    <w:rsid w:val="00035DF9"/>
    <w:rsid w:val="00061BC7"/>
    <w:rsid w:val="00072E64"/>
    <w:rsid w:val="000768F5"/>
    <w:rsid w:val="00083601"/>
    <w:rsid w:val="00085BC2"/>
    <w:rsid w:val="00086C30"/>
    <w:rsid w:val="00090BEB"/>
    <w:rsid w:val="000A4367"/>
    <w:rsid w:val="000B7C54"/>
    <w:rsid w:val="000D04C4"/>
    <w:rsid w:val="000E5233"/>
    <w:rsid w:val="000F7C45"/>
    <w:rsid w:val="0010191F"/>
    <w:rsid w:val="00121808"/>
    <w:rsid w:val="00122A8E"/>
    <w:rsid w:val="00164E3E"/>
    <w:rsid w:val="001964F4"/>
    <w:rsid w:val="001A6AA0"/>
    <w:rsid w:val="001B7250"/>
    <w:rsid w:val="001C41C6"/>
    <w:rsid w:val="001C589C"/>
    <w:rsid w:val="001C7E5D"/>
    <w:rsid w:val="001D0C9D"/>
    <w:rsid w:val="001D1569"/>
    <w:rsid w:val="002071ED"/>
    <w:rsid w:val="00212870"/>
    <w:rsid w:val="0021306B"/>
    <w:rsid w:val="00217553"/>
    <w:rsid w:val="00231DB7"/>
    <w:rsid w:val="00243949"/>
    <w:rsid w:val="002978CF"/>
    <w:rsid w:val="002A24C7"/>
    <w:rsid w:val="002A4F98"/>
    <w:rsid w:val="002A77B4"/>
    <w:rsid w:val="002B5574"/>
    <w:rsid w:val="002C15E1"/>
    <w:rsid w:val="002D4002"/>
    <w:rsid w:val="00304B52"/>
    <w:rsid w:val="00304C08"/>
    <w:rsid w:val="00312757"/>
    <w:rsid w:val="00317BA2"/>
    <w:rsid w:val="0032174A"/>
    <w:rsid w:val="003251B6"/>
    <w:rsid w:val="00330FE7"/>
    <w:rsid w:val="00352046"/>
    <w:rsid w:val="00367582"/>
    <w:rsid w:val="00381262"/>
    <w:rsid w:val="00391F70"/>
    <w:rsid w:val="003B70C1"/>
    <w:rsid w:val="003C0073"/>
    <w:rsid w:val="003D188F"/>
    <w:rsid w:val="003D209A"/>
    <w:rsid w:val="003F6EDF"/>
    <w:rsid w:val="004019E6"/>
    <w:rsid w:val="004115EF"/>
    <w:rsid w:val="00423603"/>
    <w:rsid w:val="00435518"/>
    <w:rsid w:val="004417A2"/>
    <w:rsid w:val="00443E90"/>
    <w:rsid w:val="00453636"/>
    <w:rsid w:val="004721A1"/>
    <w:rsid w:val="004840F2"/>
    <w:rsid w:val="004A3C80"/>
    <w:rsid w:val="004B2CD0"/>
    <w:rsid w:val="004C3EFF"/>
    <w:rsid w:val="004C739C"/>
    <w:rsid w:val="00525F3C"/>
    <w:rsid w:val="00526955"/>
    <w:rsid w:val="005270F7"/>
    <w:rsid w:val="00532D5C"/>
    <w:rsid w:val="0053321F"/>
    <w:rsid w:val="00533F62"/>
    <w:rsid w:val="00535801"/>
    <w:rsid w:val="00537E7C"/>
    <w:rsid w:val="00540AED"/>
    <w:rsid w:val="00544AC6"/>
    <w:rsid w:val="00546575"/>
    <w:rsid w:val="00551149"/>
    <w:rsid w:val="005520F7"/>
    <w:rsid w:val="00572134"/>
    <w:rsid w:val="00574D47"/>
    <w:rsid w:val="005A05E2"/>
    <w:rsid w:val="005A7D56"/>
    <w:rsid w:val="005B21C2"/>
    <w:rsid w:val="005F0143"/>
    <w:rsid w:val="005F348F"/>
    <w:rsid w:val="00610C51"/>
    <w:rsid w:val="006252C0"/>
    <w:rsid w:val="006267EF"/>
    <w:rsid w:val="00642F2B"/>
    <w:rsid w:val="00647AC8"/>
    <w:rsid w:val="00650789"/>
    <w:rsid w:val="00665458"/>
    <w:rsid w:val="00666B5D"/>
    <w:rsid w:val="0068388C"/>
    <w:rsid w:val="0068611C"/>
    <w:rsid w:val="006B0B4A"/>
    <w:rsid w:val="006D5FF3"/>
    <w:rsid w:val="006D68DA"/>
    <w:rsid w:val="006D7D45"/>
    <w:rsid w:val="006E3D18"/>
    <w:rsid w:val="006E6F58"/>
    <w:rsid w:val="00703BAA"/>
    <w:rsid w:val="00736C80"/>
    <w:rsid w:val="00762119"/>
    <w:rsid w:val="00771A91"/>
    <w:rsid w:val="007751F3"/>
    <w:rsid w:val="00792CFA"/>
    <w:rsid w:val="007A5F5D"/>
    <w:rsid w:val="007C4A00"/>
    <w:rsid w:val="007C7F61"/>
    <w:rsid w:val="007D0EC9"/>
    <w:rsid w:val="007F60F1"/>
    <w:rsid w:val="007F6E42"/>
    <w:rsid w:val="00812E41"/>
    <w:rsid w:val="00824E21"/>
    <w:rsid w:val="00841B92"/>
    <w:rsid w:val="008507E8"/>
    <w:rsid w:val="00851A86"/>
    <w:rsid w:val="00864178"/>
    <w:rsid w:val="00864F3E"/>
    <w:rsid w:val="0086799B"/>
    <w:rsid w:val="00883926"/>
    <w:rsid w:val="00885050"/>
    <w:rsid w:val="008A3121"/>
    <w:rsid w:val="008B0620"/>
    <w:rsid w:val="008C14A3"/>
    <w:rsid w:val="008F1ED1"/>
    <w:rsid w:val="008F488F"/>
    <w:rsid w:val="00900811"/>
    <w:rsid w:val="0090125B"/>
    <w:rsid w:val="00906E50"/>
    <w:rsid w:val="00911191"/>
    <w:rsid w:val="009319FE"/>
    <w:rsid w:val="00931E6F"/>
    <w:rsid w:val="009335A0"/>
    <w:rsid w:val="00934799"/>
    <w:rsid w:val="00940A00"/>
    <w:rsid w:val="00941B18"/>
    <w:rsid w:val="00943603"/>
    <w:rsid w:val="00947959"/>
    <w:rsid w:val="00947CDA"/>
    <w:rsid w:val="00951FB3"/>
    <w:rsid w:val="00960B42"/>
    <w:rsid w:val="00974AD1"/>
    <w:rsid w:val="00980269"/>
    <w:rsid w:val="00981E86"/>
    <w:rsid w:val="00985C3F"/>
    <w:rsid w:val="00994DF3"/>
    <w:rsid w:val="00996BDC"/>
    <w:rsid w:val="009B37CA"/>
    <w:rsid w:val="009B52CA"/>
    <w:rsid w:val="009B67BC"/>
    <w:rsid w:val="009C018D"/>
    <w:rsid w:val="009C35A2"/>
    <w:rsid w:val="009D4668"/>
    <w:rsid w:val="009D612B"/>
    <w:rsid w:val="009D67A3"/>
    <w:rsid w:val="009D686D"/>
    <w:rsid w:val="009D7AEF"/>
    <w:rsid w:val="009E6A19"/>
    <w:rsid w:val="009F3BDB"/>
    <w:rsid w:val="00A25DD6"/>
    <w:rsid w:val="00A322A9"/>
    <w:rsid w:val="00A471CF"/>
    <w:rsid w:val="00A56E55"/>
    <w:rsid w:val="00A60195"/>
    <w:rsid w:val="00A758EA"/>
    <w:rsid w:val="00A809C0"/>
    <w:rsid w:val="00A96FBC"/>
    <w:rsid w:val="00AA25FB"/>
    <w:rsid w:val="00AA2D1B"/>
    <w:rsid w:val="00AB11B0"/>
    <w:rsid w:val="00AB618D"/>
    <w:rsid w:val="00AC4B0A"/>
    <w:rsid w:val="00B0355A"/>
    <w:rsid w:val="00B30391"/>
    <w:rsid w:val="00B3463E"/>
    <w:rsid w:val="00B418CC"/>
    <w:rsid w:val="00B60A9D"/>
    <w:rsid w:val="00B63785"/>
    <w:rsid w:val="00B70BD4"/>
    <w:rsid w:val="00B95B0C"/>
    <w:rsid w:val="00BC158A"/>
    <w:rsid w:val="00BC3358"/>
    <w:rsid w:val="00BC63EC"/>
    <w:rsid w:val="00BF2AD3"/>
    <w:rsid w:val="00C054BA"/>
    <w:rsid w:val="00C305F9"/>
    <w:rsid w:val="00C56413"/>
    <w:rsid w:val="00C62B4F"/>
    <w:rsid w:val="00C64774"/>
    <w:rsid w:val="00C669EF"/>
    <w:rsid w:val="00C712E6"/>
    <w:rsid w:val="00C81D79"/>
    <w:rsid w:val="00C82DF5"/>
    <w:rsid w:val="00C90E64"/>
    <w:rsid w:val="00CA17A6"/>
    <w:rsid w:val="00CA538B"/>
    <w:rsid w:val="00CB36C9"/>
    <w:rsid w:val="00CC32EB"/>
    <w:rsid w:val="00CC5DB8"/>
    <w:rsid w:val="00CE168D"/>
    <w:rsid w:val="00CE1E70"/>
    <w:rsid w:val="00D00F73"/>
    <w:rsid w:val="00D06412"/>
    <w:rsid w:val="00D116FA"/>
    <w:rsid w:val="00D33F83"/>
    <w:rsid w:val="00D52579"/>
    <w:rsid w:val="00D62C4B"/>
    <w:rsid w:val="00D74802"/>
    <w:rsid w:val="00D77B3D"/>
    <w:rsid w:val="00D87C55"/>
    <w:rsid w:val="00D9054F"/>
    <w:rsid w:val="00D93C6C"/>
    <w:rsid w:val="00DB64D8"/>
    <w:rsid w:val="00DD7C94"/>
    <w:rsid w:val="00DE55C0"/>
    <w:rsid w:val="00DF328A"/>
    <w:rsid w:val="00E43395"/>
    <w:rsid w:val="00E45777"/>
    <w:rsid w:val="00E5390E"/>
    <w:rsid w:val="00E638A1"/>
    <w:rsid w:val="00E656F6"/>
    <w:rsid w:val="00E70E08"/>
    <w:rsid w:val="00E90735"/>
    <w:rsid w:val="00EA326A"/>
    <w:rsid w:val="00EB0182"/>
    <w:rsid w:val="00EB459D"/>
    <w:rsid w:val="00EB6CFD"/>
    <w:rsid w:val="00EC61E0"/>
    <w:rsid w:val="00EC658B"/>
    <w:rsid w:val="00EC65E8"/>
    <w:rsid w:val="00ED2594"/>
    <w:rsid w:val="00EE2B8C"/>
    <w:rsid w:val="00F02F1E"/>
    <w:rsid w:val="00F0442B"/>
    <w:rsid w:val="00F12CA9"/>
    <w:rsid w:val="00F178D9"/>
    <w:rsid w:val="00F24B3A"/>
    <w:rsid w:val="00F2670E"/>
    <w:rsid w:val="00F31C09"/>
    <w:rsid w:val="00F329C4"/>
    <w:rsid w:val="00F46356"/>
    <w:rsid w:val="00F47204"/>
    <w:rsid w:val="00F5612C"/>
    <w:rsid w:val="00F71E11"/>
    <w:rsid w:val="00F81FE8"/>
    <w:rsid w:val="00F94E8D"/>
    <w:rsid w:val="00FB3B73"/>
    <w:rsid w:val="00FB5259"/>
    <w:rsid w:val="00FB656B"/>
    <w:rsid w:val="00FC4352"/>
    <w:rsid w:val="00FD7325"/>
    <w:rsid w:val="00FD753B"/>
    <w:rsid w:val="00FD7923"/>
    <w:rsid w:val="00FE3EF3"/>
    <w:rsid w:val="00FE46D8"/>
    <w:rsid w:val="00FE6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F010AE"/>
  <w15:chartTrackingRefBased/>
  <w15:docId w15:val="{53D66625-1B8A-4714-A85A-11C9C8C8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2A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qFormat/>
    <w:rsid w:val="00D525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322A9"/>
    <w:pPr>
      <w:spacing w:before="75" w:after="75"/>
      <w:ind w:firstLine="375"/>
      <w:jc w:val="both"/>
    </w:pPr>
  </w:style>
  <w:style w:type="character" w:styleId="Hyperlink">
    <w:name w:val="Hyperlink"/>
    <w:rsid w:val="00A322A9"/>
    <w:rPr>
      <w:rFonts w:cs="Times New Roman"/>
      <w:color w:val="0000FF"/>
      <w:u w:val="single"/>
    </w:rPr>
  </w:style>
  <w:style w:type="paragraph" w:customStyle="1" w:styleId="naisnod">
    <w:name w:val="naisnod"/>
    <w:basedOn w:val="Normal"/>
    <w:rsid w:val="00A322A9"/>
    <w:pPr>
      <w:spacing w:before="150" w:after="150"/>
      <w:jc w:val="center"/>
    </w:pPr>
    <w:rPr>
      <w:b/>
      <w:bCs/>
    </w:rPr>
  </w:style>
  <w:style w:type="paragraph" w:customStyle="1" w:styleId="naiskr">
    <w:name w:val="naiskr"/>
    <w:basedOn w:val="Normal"/>
    <w:rsid w:val="00A322A9"/>
    <w:pPr>
      <w:spacing w:before="75" w:after="75"/>
    </w:pPr>
  </w:style>
  <w:style w:type="paragraph" w:customStyle="1" w:styleId="naisc">
    <w:name w:val="naisc"/>
    <w:basedOn w:val="Normal"/>
    <w:rsid w:val="00A322A9"/>
    <w:pPr>
      <w:spacing w:before="75" w:after="75"/>
      <w:jc w:val="center"/>
    </w:pPr>
  </w:style>
  <w:style w:type="character" w:styleId="Strong">
    <w:name w:val="Strong"/>
    <w:uiPriority w:val="22"/>
    <w:qFormat/>
    <w:rsid w:val="00A322A9"/>
    <w:rPr>
      <w:b/>
      <w:bCs/>
    </w:rPr>
  </w:style>
  <w:style w:type="paragraph" w:customStyle="1" w:styleId="tv2161">
    <w:name w:val="tv2161"/>
    <w:basedOn w:val="Normal"/>
    <w:rsid w:val="00A322A9"/>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A322A9"/>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A322A9"/>
    <w:pPr>
      <w:spacing w:before="100" w:beforeAutospacing="1" w:after="100" w:afterAutospacing="1"/>
    </w:pPr>
  </w:style>
  <w:style w:type="paragraph" w:styleId="BodyText2">
    <w:name w:val="Body Text 2"/>
    <w:basedOn w:val="Normal"/>
    <w:link w:val="BodyText2Char"/>
    <w:uiPriority w:val="99"/>
    <w:rsid w:val="00A322A9"/>
    <w:pPr>
      <w:spacing w:after="120" w:line="480" w:lineRule="auto"/>
    </w:pPr>
    <w:rPr>
      <w:lang w:val="en-GB" w:eastAsia="en-US"/>
    </w:rPr>
  </w:style>
  <w:style w:type="character" w:customStyle="1" w:styleId="BodyText2Char">
    <w:name w:val="Body Text 2 Char"/>
    <w:basedOn w:val="DefaultParagraphFont"/>
    <w:link w:val="BodyText2"/>
    <w:uiPriority w:val="99"/>
    <w:rsid w:val="00A322A9"/>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D52579"/>
    <w:rPr>
      <w:rFonts w:ascii="Cambria" w:eastAsia="Times New Roman" w:hAnsi="Cambria" w:cs="Times New Roman"/>
      <w:b/>
      <w:bCs/>
      <w:sz w:val="26"/>
      <w:szCs w:val="26"/>
      <w:lang w:eastAsia="lv-LV"/>
    </w:rPr>
  </w:style>
  <w:style w:type="paragraph" w:styleId="Header">
    <w:name w:val="header"/>
    <w:basedOn w:val="Normal"/>
    <w:link w:val="HeaderChar"/>
    <w:uiPriority w:val="99"/>
    <w:unhideWhenUsed/>
    <w:rsid w:val="00D52579"/>
    <w:pPr>
      <w:tabs>
        <w:tab w:val="center" w:pos="4153"/>
        <w:tab w:val="right" w:pos="8306"/>
      </w:tabs>
    </w:pPr>
  </w:style>
  <w:style w:type="character" w:customStyle="1" w:styleId="HeaderChar">
    <w:name w:val="Header Char"/>
    <w:basedOn w:val="DefaultParagraphFont"/>
    <w:link w:val="Header"/>
    <w:uiPriority w:val="99"/>
    <w:rsid w:val="00D5257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2579"/>
    <w:pPr>
      <w:tabs>
        <w:tab w:val="center" w:pos="4153"/>
        <w:tab w:val="right" w:pos="8306"/>
      </w:tabs>
    </w:pPr>
  </w:style>
  <w:style w:type="character" w:customStyle="1" w:styleId="FooterChar">
    <w:name w:val="Footer Char"/>
    <w:basedOn w:val="DefaultParagraphFont"/>
    <w:link w:val="Footer"/>
    <w:uiPriority w:val="99"/>
    <w:rsid w:val="00D5257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178D9"/>
  </w:style>
  <w:style w:type="character" w:styleId="CommentReference">
    <w:name w:val="annotation reference"/>
    <w:basedOn w:val="DefaultParagraphFont"/>
    <w:uiPriority w:val="99"/>
    <w:semiHidden/>
    <w:unhideWhenUsed/>
    <w:rsid w:val="009D612B"/>
    <w:rPr>
      <w:sz w:val="16"/>
      <w:szCs w:val="16"/>
    </w:rPr>
  </w:style>
  <w:style w:type="paragraph" w:styleId="CommentText">
    <w:name w:val="annotation text"/>
    <w:basedOn w:val="Normal"/>
    <w:link w:val="CommentTextChar"/>
    <w:uiPriority w:val="99"/>
    <w:semiHidden/>
    <w:unhideWhenUsed/>
    <w:rsid w:val="009D612B"/>
    <w:rPr>
      <w:sz w:val="20"/>
      <w:szCs w:val="20"/>
    </w:rPr>
  </w:style>
  <w:style w:type="character" w:customStyle="1" w:styleId="CommentTextChar">
    <w:name w:val="Comment Text Char"/>
    <w:basedOn w:val="DefaultParagraphFont"/>
    <w:link w:val="CommentText"/>
    <w:uiPriority w:val="99"/>
    <w:semiHidden/>
    <w:rsid w:val="009D61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D612B"/>
    <w:rPr>
      <w:b/>
      <w:bCs/>
    </w:rPr>
  </w:style>
  <w:style w:type="character" w:customStyle="1" w:styleId="CommentSubjectChar">
    <w:name w:val="Comment Subject Char"/>
    <w:basedOn w:val="CommentTextChar"/>
    <w:link w:val="CommentSubject"/>
    <w:uiPriority w:val="99"/>
    <w:semiHidden/>
    <w:rsid w:val="009D612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D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2B"/>
    <w:rPr>
      <w:rFonts w:ascii="Segoe UI" w:eastAsia="Times New Roman" w:hAnsi="Segoe UI" w:cs="Segoe UI"/>
      <w:sz w:val="18"/>
      <w:szCs w:val="18"/>
      <w:lang w:eastAsia="lv-LV"/>
    </w:rPr>
  </w:style>
  <w:style w:type="paragraph" w:styleId="NormalWeb">
    <w:name w:val="Normal (Web)"/>
    <w:basedOn w:val="Normal"/>
    <w:uiPriority w:val="99"/>
    <w:unhideWhenUsed/>
    <w:rsid w:val="00537E7C"/>
    <w:pPr>
      <w:spacing w:before="69" w:after="69"/>
      <w:ind w:firstLine="346"/>
      <w:jc w:val="both"/>
    </w:pPr>
    <w:rPr>
      <w:color w:val="000000"/>
    </w:rPr>
  </w:style>
  <w:style w:type="paragraph" w:customStyle="1" w:styleId="naislab">
    <w:name w:val="naislab"/>
    <w:basedOn w:val="Normal"/>
    <w:rsid w:val="00B70BD4"/>
    <w:pPr>
      <w:spacing w:before="75" w:after="75"/>
      <w:jc w:val="right"/>
    </w:pPr>
    <w:rPr>
      <w:color w:val="000000"/>
    </w:rPr>
  </w:style>
  <w:style w:type="character" w:styleId="UnresolvedMention">
    <w:name w:val="Unresolved Mention"/>
    <w:basedOn w:val="DefaultParagraphFont"/>
    <w:uiPriority w:val="99"/>
    <w:semiHidden/>
    <w:unhideWhenUsed/>
    <w:rsid w:val="005270F7"/>
    <w:rPr>
      <w:color w:val="808080"/>
      <w:shd w:val="clear" w:color="auto" w:fill="E6E6E6"/>
    </w:rPr>
  </w:style>
  <w:style w:type="character" w:styleId="FollowedHyperlink">
    <w:name w:val="FollowedHyperlink"/>
    <w:basedOn w:val="DefaultParagraphFont"/>
    <w:uiPriority w:val="99"/>
    <w:semiHidden/>
    <w:unhideWhenUsed/>
    <w:rsid w:val="00EC658B"/>
    <w:rPr>
      <w:color w:val="954F72" w:themeColor="followedHyperlink"/>
      <w:u w:val="single"/>
    </w:rPr>
  </w:style>
  <w:style w:type="paragraph" w:styleId="NoSpacing">
    <w:name w:val="No Spacing"/>
    <w:uiPriority w:val="1"/>
    <w:qFormat/>
    <w:rsid w:val="00F47204"/>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F4720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085">
      <w:bodyDiv w:val="1"/>
      <w:marLeft w:val="0"/>
      <w:marRight w:val="0"/>
      <w:marTop w:val="0"/>
      <w:marBottom w:val="0"/>
      <w:divBdr>
        <w:top w:val="none" w:sz="0" w:space="0" w:color="auto"/>
        <w:left w:val="none" w:sz="0" w:space="0" w:color="auto"/>
        <w:bottom w:val="none" w:sz="0" w:space="0" w:color="auto"/>
        <w:right w:val="none" w:sz="0" w:space="0" w:color="auto"/>
      </w:divBdr>
    </w:div>
    <w:div w:id="326785616">
      <w:bodyDiv w:val="1"/>
      <w:marLeft w:val="0"/>
      <w:marRight w:val="0"/>
      <w:marTop w:val="0"/>
      <w:marBottom w:val="0"/>
      <w:divBdr>
        <w:top w:val="none" w:sz="0" w:space="0" w:color="auto"/>
        <w:left w:val="none" w:sz="0" w:space="0" w:color="auto"/>
        <w:bottom w:val="none" w:sz="0" w:space="0" w:color="auto"/>
        <w:right w:val="none" w:sz="0" w:space="0" w:color="auto"/>
      </w:divBdr>
    </w:div>
    <w:div w:id="469522006">
      <w:bodyDiv w:val="1"/>
      <w:marLeft w:val="0"/>
      <w:marRight w:val="0"/>
      <w:marTop w:val="0"/>
      <w:marBottom w:val="0"/>
      <w:divBdr>
        <w:top w:val="none" w:sz="0" w:space="0" w:color="auto"/>
        <w:left w:val="none" w:sz="0" w:space="0" w:color="auto"/>
        <w:bottom w:val="none" w:sz="0" w:space="0" w:color="auto"/>
        <w:right w:val="none" w:sz="0" w:space="0" w:color="auto"/>
      </w:divBdr>
    </w:div>
    <w:div w:id="799301695">
      <w:bodyDiv w:val="1"/>
      <w:marLeft w:val="0"/>
      <w:marRight w:val="0"/>
      <w:marTop w:val="0"/>
      <w:marBottom w:val="0"/>
      <w:divBdr>
        <w:top w:val="none" w:sz="0" w:space="0" w:color="auto"/>
        <w:left w:val="none" w:sz="0" w:space="0" w:color="auto"/>
        <w:bottom w:val="none" w:sz="0" w:space="0" w:color="auto"/>
        <w:right w:val="none" w:sz="0" w:space="0" w:color="auto"/>
      </w:divBdr>
    </w:div>
    <w:div w:id="1075936963">
      <w:bodyDiv w:val="1"/>
      <w:marLeft w:val="0"/>
      <w:marRight w:val="0"/>
      <w:marTop w:val="0"/>
      <w:marBottom w:val="0"/>
      <w:divBdr>
        <w:top w:val="none" w:sz="0" w:space="0" w:color="auto"/>
        <w:left w:val="none" w:sz="0" w:space="0" w:color="auto"/>
        <w:bottom w:val="none" w:sz="0" w:space="0" w:color="auto"/>
        <w:right w:val="none" w:sz="0" w:space="0" w:color="auto"/>
      </w:divBdr>
    </w:div>
    <w:div w:id="1274554140">
      <w:bodyDiv w:val="1"/>
      <w:marLeft w:val="0"/>
      <w:marRight w:val="0"/>
      <w:marTop w:val="0"/>
      <w:marBottom w:val="0"/>
      <w:divBdr>
        <w:top w:val="none" w:sz="0" w:space="0" w:color="auto"/>
        <w:left w:val="none" w:sz="0" w:space="0" w:color="auto"/>
        <w:bottom w:val="none" w:sz="0" w:space="0" w:color="auto"/>
        <w:right w:val="none" w:sz="0" w:space="0" w:color="auto"/>
      </w:divBdr>
    </w:div>
    <w:div w:id="13027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dokumen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CEC8-79D5-4A1B-952F-7D05413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14154</Words>
  <Characters>8068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Jekaterina Borovika</cp:lastModifiedBy>
  <cp:revision>2</cp:revision>
  <cp:lastPrinted>2019-02-06T13:31:00Z</cp:lastPrinted>
  <dcterms:created xsi:type="dcterms:W3CDTF">2019-03-12T12:34:00Z</dcterms:created>
  <dcterms:modified xsi:type="dcterms:W3CDTF">2019-03-12T12:34:00Z</dcterms:modified>
</cp:coreProperties>
</file>