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61181842"/>
        <w:docPartObj>
          <w:docPartGallery w:val="Page Numbers (Bottom of Page)"/>
          <w:docPartUnique/>
        </w:docPartObj>
      </w:sdtPr>
      <w:sdtEndPr>
        <w:rPr>
          <w:b/>
        </w:rPr>
      </w:sdtEndPr>
      <w:sdtContent>
        <w:p w14:paraId="3EFFEAEC" w14:textId="4ED7658D" w:rsidR="009D66C8" w:rsidRPr="00B74E1D" w:rsidRDefault="009D66C8" w:rsidP="001D1D0E">
          <w:pPr>
            <w:shd w:val="clear" w:color="auto" w:fill="FFFFFF"/>
            <w:jc w:val="center"/>
            <w:rPr>
              <w:b/>
              <w:bCs/>
            </w:rPr>
          </w:pPr>
          <w:r w:rsidRPr="00B74E1D">
            <w:rPr>
              <w:b/>
            </w:rPr>
            <w:t>Ministru kabineta noteikumu projekt</w:t>
          </w:r>
          <w:r w:rsidR="006F1F90">
            <w:rPr>
              <w:b/>
            </w:rPr>
            <w:t>a</w:t>
          </w:r>
          <w:r w:rsidRPr="00B74E1D">
            <w:rPr>
              <w:b/>
            </w:rPr>
            <w:t xml:space="preserve"> </w:t>
          </w:r>
          <w:r w:rsidR="00616F28" w:rsidRPr="00616F28">
            <w:rPr>
              <w:b/>
            </w:rPr>
            <w:t>Grozījumi Ministru kabineta 2016.</w:t>
          </w:r>
          <w:r w:rsidR="00591A19">
            <w:rPr>
              <w:b/>
            </w:rPr>
            <w:t xml:space="preserve"> </w:t>
          </w:r>
          <w:r w:rsidR="00616F28" w:rsidRPr="00616F28">
            <w:rPr>
              <w:b/>
            </w:rPr>
            <w:t>gada 12.</w:t>
          </w:r>
          <w:r w:rsidR="00591A19">
            <w:rPr>
              <w:b/>
            </w:rPr>
            <w:t xml:space="preserve"> </w:t>
          </w:r>
          <w:r w:rsidR="00616F28" w:rsidRPr="00616F28">
            <w:rPr>
              <w:b/>
            </w:rPr>
            <w:t>aprīļa noteikumos Nr.</w:t>
          </w:r>
          <w:r w:rsidR="00591A19">
            <w:rPr>
              <w:b/>
            </w:rPr>
            <w:t xml:space="preserve"> </w:t>
          </w:r>
          <w:r w:rsidR="00616F28" w:rsidRPr="00616F28">
            <w:rPr>
              <w:b/>
            </w:rPr>
            <w:t>211 “Būvkomersantu klasifikācijas noteikumi”</w:t>
          </w:r>
          <w:r w:rsidR="00B6763C">
            <w:rPr>
              <w:b/>
            </w:rPr>
            <w:t xml:space="preserve"> </w:t>
          </w:r>
          <w:r w:rsidRPr="00B74E1D">
            <w:rPr>
              <w:b/>
              <w:bCs/>
            </w:rPr>
            <w:t>sākotnējās ietekmes novērtējuma ziņojums (anotācija)</w:t>
          </w:r>
        </w:p>
      </w:sdtContent>
    </w:sdt>
    <w:p w14:paraId="7AE42736" w14:textId="77777777" w:rsidR="00161647" w:rsidRPr="00B74E1D"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339"/>
      </w:tblGrid>
      <w:tr w:rsidR="00730B3B" w:rsidRPr="00B74E1D" w14:paraId="1BD0F128" w14:textId="77777777" w:rsidTr="00F615B8">
        <w:trPr>
          <w:cantSplit/>
        </w:trPr>
        <w:tc>
          <w:tcPr>
            <w:tcW w:w="9169" w:type="dxa"/>
            <w:gridSpan w:val="2"/>
            <w:shd w:val="clear" w:color="auto" w:fill="FFFFFF"/>
            <w:vAlign w:val="center"/>
            <w:hideMark/>
          </w:tcPr>
          <w:p w14:paraId="1DC14DC3" w14:textId="77777777" w:rsidR="00BD5588" w:rsidRPr="00B74E1D" w:rsidRDefault="00656B5C" w:rsidP="00E273A1">
            <w:pPr>
              <w:jc w:val="center"/>
              <w:rPr>
                <w:b/>
                <w:iCs/>
                <w:lang w:eastAsia="en-US"/>
              </w:rPr>
            </w:pPr>
            <w:r w:rsidRPr="00B74E1D">
              <w:rPr>
                <w:b/>
                <w:iCs/>
                <w:lang w:eastAsia="en-US"/>
              </w:rPr>
              <w:t>Tiesību akta projekta anotācijas kopsavilkums</w:t>
            </w:r>
          </w:p>
        </w:tc>
      </w:tr>
      <w:tr w:rsidR="00730B3B" w:rsidRPr="00B74E1D" w14:paraId="64080920" w14:textId="77777777" w:rsidTr="00F615B8">
        <w:trPr>
          <w:cantSplit/>
        </w:trPr>
        <w:tc>
          <w:tcPr>
            <w:tcW w:w="2830" w:type="dxa"/>
            <w:shd w:val="clear" w:color="auto" w:fill="FFFFFF"/>
            <w:hideMark/>
          </w:tcPr>
          <w:p w14:paraId="39C051AA" w14:textId="77777777" w:rsidR="00BD5588" w:rsidRPr="00B74E1D" w:rsidRDefault="00656B5C" w:rsidP="00E273A1">
            <w:pPr>
              <w:rPr>
                <w:iCs/>
                <w:lang w:eastAsia="en-US"/>
              </w:rPr>
            </w:pPr>
            <w:r w:rsidRPr="00B74E1D">
              <w:rPr>
                <w:iCs/>
                <w:lang w:eastAsia="en-US"/>
              </w:rPr>
              <w:t>Mērķis, risinājums un projekta spēkā stāšanās laiks (500 zīmes bez atstarpēm)</w:t>
            </w:r>
          </w:p>
        </w:tc>
        <w:tc>
          <w:tcPr>
            <w:tcW w:w="6339" w:type="dxa"/>
            <w:shd w:val="clear" w:color="auto" w:fill="FFFFFF"/>
            <w:hideMark/>
          </w:tcPr>
          <w:p w14:paraId="2209C133" w14:textId="03D71C70" w:rsidR="007506D1" w:rsidRPr="008E2386" w:rsidRDefault="000E34A9" w:rsidP="00B6763C">
            <w:pPr>
              <w:jc w:val="both"/>
              <w:rPr>
                <w:rStyle w:val="Strong"/>
                <w:b w:val="0"/>
                <w:bdr w:val="none" w:sz="0" w:space="0" w:color="auto" w:frame="1"/>
                <w:shd w:val="clear" w:color="auto" w:fill="FFFFFF"/>
              </w:rPr>
            </w:pPr>
            <w:sdt>
              <w:sdtPr>
                <w:rPr>
                  <w:b/>
                  <w:bCs/>
                </w:rPr>
                <w:id w:val="-2115205626"/>
                <w:docPartObj>
                  <w:docPartGallery w:val="Page Numbers (Bottom of Page)"/>
                  <w:docPartUnique/>
                </w:docPartObj>
              </w:sdtPr>
              <w:sdtEndPr>
                <w:rPr>
                  <w:b w:val="0"/>
                  <w:bCs w:val="0"/>
                </w:rPr>
              </w:sdtEndPr>
              <w:sdtContent>
                <w:r w:rsidR="00C874EF" w:rsidRPr="00B74E1D">
                  <w:t xml:space="preserve">Ministru kabineta noteikumu projekts </w:t>
                </w:r>
                <w:r w:rsidR="00C874EF">
                  <w:t>“</w:t>
                </w:r>
                <w:r w:rsidR="00C874EF" w:rsidRPr="008E2386">
                  <w:t>Grozījumi Ministru kabineta 2016.gada 12.aprīļa noteikumos Nr.211 “Būvkomersantu klasifikācijas noteikumi”</w:t>
                </w:r>
              </w:sdtContent>
            </w:sdt>
            <w:r w:rsidR="00C874EF" w:rsidRPr="00B74E1D">
              <w:t xml:space="preserve">” (turpmāk – </w:t>
            </w:r>
            <w:r w:rsidR="00C874EF">
              <w:t>N</w:t>
            </w:r>
            <w:r w:rsidR="00C874EF" w:rsidRPr="00A81D09">
              <w:t>oteikumu projekts</w:t>
            </w:r>
            <w:r w:rsidR="00C874EF" w:rsidRPr="00B74E1D">
              <w:t>)</w:t>
            </w:r>
            <w:r w:rsidR="00C874EF">
              <w:t xml:space="preserve"> </w:t>
            </w:r>
            <w:r w:rsidR="00616F28" w:rsidRPr="008E2386">
              <w:rPr>
                <w:rStyle w:val="Strong"/>
                <w:b w:val="0"/>
                <w:bdr w:val="none" w:sz="0" w:space="0" w:color="auto" w:frame="1"/>
                <w:shd w:val="clear" w:color="auto" w:fill="FFFFFF"/>
              </w:rPr>
              <w:t xml:space="preserve">ir </w:t>
            </w:r>
            <w:r w:rsidR="00A81D09" w:rsidRPr="008E2386">
              <w:rPr>
                <w:rStyle w:val="Strong"/>
                <w:b w:val="0"/>
                <w:bdr w:val="none" w:sz="0" w:space="0" w:color="auto" w:frame="1"/>
                <w:shd w:val="clear" w:color="auto" w:fill="FFFFFF"/>
              </w:rPr>
              <w:t>izstrādā</w:t>
            </w:r>
            <w:r w:rsidR="00A81D09">
              <w:rPr>
                <w:rStyle w:val="Strong"/>
                <w:b w:val="0"/>
                <w:bdr w:val="none" w:sz="0" w:space="0" w:color="auto" w:frame="1"/>
                <w:shd w:val="clear" w:color="auto" w:fill="FFFFFF"/>
              </w:rPr>
              <w:t xml:space="preserve">ts ar mērķi noteikt </w:t>
            </w:r>
            <w:r w:rsidR="00A81D09" w:rsidRPr="008E2386">
              <w:rPr>
                <w:rStyle w:val="Strong"/>
                <w:b w:val="0"/>
                <w:bdr w:val="none" w:sz="0" w:space="0" w:color="auto" w:frame="1"/>
                <w:shd w:val="clear" w:color="auto" w:fill="FFFFFF"/>
              </w:rPr>
              <w:t>kārtīb</w:t>
            </w:r>
            <w:r w:rsidR="00A81D09">
              <w:rPr>
                <w:rStyle w:val="Strong"/>
                <w:b w:val="0"/>
                <w:bdr w:val="none" w:sz="0" w:space="0" w:color="auto" w:frame="1"/>
                <w:shd w:val="clear" w:color="auto" w:fill="FFFFFF"/>
              </w:rPr>
              <w:t>u kādā</w:t>
            </w:r>
            <w:r w:rsidR="00A81D09" w:rsidRPr="008E2386">
              <w:rPr>
                <w:rStyle w:val="Strong"/>
                <w:b w:val="0"/>
                <w:bdr w:val="none" w:sz="0" w:space="0" w:color="auto" w:frame="1"/>
                <w:shd w:val="clear" w:color="auto" w:fill="FFFFFF"/>
              </w:rPr>
              <w:t xml:space="preserve"> </w:t>
            </w:r>
            <w:r w:rsidR="00616F28" w:rsidRPr="008E2386">
              <w:rPr>
                <w:rStyle w:val="Strong"/>
                <w:b w:val="0"/>
                <w:bdr w:val="none" w:sz="0" w:space="0" w:color="auto" w:frame="1"/>
                <w:shd w:val="clear" w:color="auto" w:fill="FFFFFF"/>
              </w:rPr>
              <w:t>būvkomersantu klasifikācija</w:t>
            </w:r>
            <w:r w:rsidR="00A81D09">
              <w:rPr>
                <w:rStyle w:val="Strong"/>
                <w:b w:val="0"/>
                <w:bdr w:val="none" w:sz="0" w:space="0" w:color="auto" w:frame="1"/>
                <w:shd w:val="clear" w:color="auto" w:fill="FFFFFF"/>
              </w:rPr>
              <w:t xml:space="preserve"> tiek</w:t>
            </w:r>
            <w:r w:rsidR="00616F28" w:rsidRPr="008E2386">
              <w:rPr>
                <w:rStyle w:val="Strong"/>
                <w:b w:val="0"/>
                <w:bdr w:val="none" w:sz="0" w:space="0" w:color="auto" w:frame="1"/>
                <w:shd w:val="clear" w:color="auto" w:fill="FFFFFF"/>
              </w:rPr>
              <w:t xml:space="preserve"> </w:t>
            </w:r>
            <w:r w:rsidR="00A81D09" w:rsidRPr="008E2386">
              <w:rPr>
                <w:rStyle w:val="Strong"/>
                <w:b w:val="0"/>
                <w:bdr w:val="none" w:sz="0" w:space="0" w:color="auto" w:frame="1"/>
                <w:shd w:val="clear" w:color="auto" w:fill="FFFFFF"/>
              </w:rPr>
              <w:t>piemēro</w:t>
            </w:r>
            <w:r w:rsidR="00A81D09">
              <w:rPr>
                <w:rStyle w:val="Strong"/>
                <w:b w:val="0"/>
                <w:bdr w:val="none" w:sz="0" w:space="0" w:color="auto" w:frame="1"/>
                <w:shd w:val="clear" w:color="auto" w:fill="FFFFFF"/>
              </w:rPr>
              <w:t>ta</w:t>
            </w:r>
            <w:r w:rsidR="00A81D09" w:rsidRPr="008E2386">
              <w:rPr>
                <w:rStyle w:val="Strong"/>
                <w:b w:val="0"/>
                <w:bdr w:val="none" w:sz="0" w:space="0" w:color="auto" w:frame="1"/>
                <w:shd w:val="clear" w:color="auto" w:fill="FFFFFF"/>
              </w:rPr>
              <w:t xml:space="preserve"> </w:t>
            </w:r>
            <w:r w:rsidR="00616F28" w:rsidRPr="008E2386">
              <w:rPr>
                <w:rStyle w:val="Strong"/>
                <w:b w:val="0"/>
                <w:bdr w:val="none" w:sz="0" w:space="0" w:color="auto" w:frame="1"/>
                <w:shd w:val="clear" w:color="auto" w:fill="FFFFFF"/>
              </w:rPr>
              <w:t>publiskos būvdarbu iepirkumos</w:t>
            </w:r>
            <w:r w:rsidR="00A81D09">
              <w:rPr>
                <w:rStyle w:val="Strong"/>
                <w:b w:val="0"/>
                <w:bdr w:val="none" w:sz="0" w:space="0" w:color="auto" w:frame="1"/>
                <w:shd w:val="clear" w:color="auto" w:fill="FFFFFF"/>
              </w:rPr>
              <w:t>.</w:t>
            </w:r>
            <w:r w:rsidR="00A81D09" w:rsidRPr="008E2386">
              <w:rPr>
                <w:rStyle w:val="Strong"/>
                <w:b w:val="0"/>
                <w:bdr w:val="none" w:sz="0" w:space="0" w:color="auto" w:frame="1"/>
                <w:shd w:val="clear" w:color="auto" w:fill="FFFFFF"/>
              </w:rPr>
              <w:t xml:space="preserve"> </w:t>
            </w:r>
            <w:r w:rsidR="00A81D09">
              <w:rPr>
                <w:rStyle w:val="Strong"/>
                <w:b w:val="0"/>
                <w:bdr w:val="none" w:sz="0" w:space="0" w:color="auto" w:frame="1"/>
                <w:shd w:val="clear" w:color="auto" w:fill="FFFFFF"/>
              </w:rPr>
              <w:t>N</w:t>
            </w:r>
            <w:r w:rsidR="00616F28" w:rsidRPr="008E2386">
              <w:rPr>
                <w:rStyle w:val="Strong"/>
                <w:b w:val="0"/>
                <w:bdr w:val="none" w:sz="0" w:space="0" w:color="auto" w:frame="1"/>
                <w:shd w:val="clear" w:color="auto" w:fill="FFFFFF"/>
              </w:rPr>
              <w:t xml:space="preserve">o būvkomersantu klasifikācijas izslēgts kritērijs </w:t>
            </w:r>
            <w:r w:rsidR="009B5D9B">
              <w:rPr>
                <w:rStyle w:val="Strong"/>
                <w:b w:val="0"/>
                <w:bdr w:val="none" w:sz="0" w:space="0" w:color="auto" w:frame="1"/>
                <w:shd w:val="clear" w:color="auto" w:fill="FFFFFF"/>
              </w:rPr>
              <w:t>–</w:t>
            </w:r>
            <w:r w:rsidR="00616F28" w:rsidRPr="008E2386">
              <w:rPr>
                <w:rStyle w:val="Strong"/>
                <w:b w:val="0"/>
                <w:bdr w:val="none" w:sz="0" w:space="0" w:color="auto" w:frame="1"/>
                <w:shd w:val="clear" w:color="auto" w:fill="FFFFFF"/>
              </w:rPr>
              <w:t xml:space="preserve"> apgrozāmo līdzekļu attiecība pret īstermiņa parādiem jeb uzņēmuma likviditātes rādītājs</w:t>
            </w:r>
            <w:r w:rsidR="00243B72">
              <w:rPr>
                <w:rStyle w:val="Strong"/>
                <w:b w:val="0"/>
                <w:bdr w:val="none" w:sz="0" w:space="0" w:color="auto" w:frame="1"/>
                <w:shd w:val="clear" w:color="auto" w:fill="FFFFFF"/>
              </w:rPr>
              <w:t xml:space="preserve">, kā arī noteikts jauns datums, no kura klasifikācijas lēmumos tiek norādīta būvuzņēmēju </w:t>
            </w:r>
            <w:r w:rsidR="00243B72" w:rsidRPr="00243B72">
              <w:rPr>
                <w:rStyle w:val="Strong"/>
                <w:b w:val="0"/>
                <w:bdr w:val="none" w:sz="0" w:space="0" w:color="auto" w:frame="1"/>
                <w:shd w:val="clear" w:color="auto" w:fill="FFFFFF"/>
              </w:rPr>
              <w:t>konkrētu būvdarbu veidu veikšanā būvju grupā</w:t>
            </w:r>
            <w:r w:rsidR="00243B72">
              <w:rPr>
                <w:rStyle w:val="Strong"/>
                <w:b w:val="0"/>
                <w:bdr w:val="none" w:sz="0" w:space="0" w:color="auto" w:frame="1"/>
                <w:shd w:val="clear" w:color="auto" w:fill="FFFFFF"/>
              </w:rPr>
              <w:t>s.</w:t>
            </w:r>
          </w:p>
          <w:p w14:paraId="6B457E38" w14:textId="2288E3AB" w:rsidR="00770594" w:rsidRPr="008E2386" w:rsidRDefault="00A81D09" w:rsidP="00C616BC">
            <w:pPr>
              <w:jc w:val="both"/>
              <w:rPr>
                <w:bCs/>
                <w:bdr w:val="none" w:sz="0" w:space="0" w:color="auto" w:frame="1"/>
                <w:shd w:val="clear" w:color="auto" w:fill="FFFFFF"/>
              </w:rPr>
            </w:pPr>
            <w:r w:rsidRPr="00A81D09">
              <w:rPr>
                <w:rStyle w:val="Strong"/>
                <w:b w:val="0"/>
                <w:bdr w:val="none" w:sz="0" w:space="0" w:color="auto" w:frame="1"/>
                <w:shd w:val="clear" w:color="auto" w:fill="FFFFFF"/>
              </w:rPr>
              <w:t>Projekts stāsies spēkā pēc tā pieņemšanas Ministru kabinetā un izsludināšanas</w:t>
            </w:r>
            <w:r w:rsidR="00C616BC" w:rsidRPr="008E2386">
              <w:rPr>
                <w:rStyle w:val="Strong"/>
                <w:b w:val="0"/>
                <w:bdr w:val="none" w:sz="0" w:space="0" w:color="auto" w:frame="1"/>
                <w:shd w:val="clear" w:color="auto" w:fill="FFFFFF"/>
              </w:rPr>
              <w:t>.</w:t>
            </w:r>
          </w:p>
        </w:tc>
      </w:tr>
    </w:tbl>
    <w:p w14:paraId="2353084A" w14:textId="77777777" w:rsidR="00161647" w:rsidRPr="00B74E1D"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316"/>
        <w:gridCol w:w="6336"/>
      </w:tblGrid>
      <w:tr w:rsidR="00730B3B" w:rsidRPr="00B74E1D" w14:paraId="7C4A1FCA" w14:textId="77777777" w:rsidTr="00F54498">
        <w:tc>
          <w:tcPr>
            <w:tcW w:w="5000" w:type="pct"/>
            <w:gridSpan w:val="3"/>
            <w:vAlign w:val="center"/>
            <w:hideMark/>
          </w:tcPr>
          <w:p w14:paraId="4371B56E" w14:textId="77777777" w:rsidR="00BD5588" w:rsidRPr="00B74E1D" w:rsidRDefault="00656B5C" w:rsidP="00793205">
            <w:pPr>
              <w:widowControl w:val="0"/>
              <w:jc w:val="center"/>
              <w:rPr>
                <w:b/>
                <w:bCs/>
              </w:rPr>
            </w:pPr>
            <w:r w:rsidRPr="00B74E1D">
              <w:rPr>
                <w:b/>
                <w:bCs/>
              </w:rPr>
              <w:t>I. Tiesību akta projekta izstrādes nepieciešamība</w:t>
            </w:r>
          </w:p>
        </w:tc>
      </w:tr>
      <w:tr w:rsidR="00730B3B" w:rsidRPr="00B74E1D" w14:paraId="580F2F1F" w14:textId="77777777" w:rsidTr="00F615B8">
        <w:tc>
          <w:tcPr>
            <w:tcW w:w="281" w:type="pct"/>
            <w:hideMark/>
          </w:tcPr>
          <w:p w14:paraId="42B278A0" w14:textId="77777777" w:rsidR="00BD5588" w:rsidRPr="00B74E1D" w:rsidRDefault="00656B5C" w:rsidP="00793205">
            <w:pPr>
              <w:widowControl w:val="0"/>
              <w:jc w:val="center"/>
            </w:pPr>
            <w:r w:rsidRPr="00B74E1D">
              <w:t>1.</w:t>
            </w:r>
          </w:p>
        </w:tc>
        <w:tc>
          <w:tcPr>
            <w:tcW w:w="1263" w:type="pct"/>
            <w:hideMark/>
          </w:tcPr>
          <w:p w14:paraId="53CA6FDC" w14:textId="77777777" w:rsidR="00BD5588" w:rsidRPr="00B74E1D" w:rsidRDefault="00656B5C" w:rsidP="00793205">
            <w:pPr>
              <w:widowControl w:val="0"/>
            </w:pPr>
            <w:r w:rsidRPr="00B74E1D">
              <w:t>Pamatojums</w:t>
            </w:r>
          </w:p>
        </w:tc>
        <w:tc>
          <w:tcPr>
            <w:tcW w:w="3456" w:type="pct"/>
            <w:hideMark/>
          </w:tcPr>
          <w:p w14:paraId="18322DAE" w14:textId="650482CC" w:rsidR="00161647" w:rsidRPr="00B74E1D" w:rsidRDefault="00C874EF" w:rsidP="008E2386">
            <w:pPr>
              <w:shd w:val="clear" w:color="auto" w:fill="FFFFFF"/>
              <w:ind w:firstLine="394"/>
              <w:jc w:val="both"/>
              <w:rPr>
                <w:bCs/>
              </w:rPr>
            </w:pPr>
            <w:r>
              <w:t xml:space="preserve">Noteikumu projekts </w:t>
            </w:r>
            <w:r w:rsidR="00A5594D" w:rsidRPr="00B74E1D">
              <w:t>izstrādāts</w:t>
            </w:r>
            <w:r w:rsidR="00EE640D" w:rsidRPr="00B74E1D">
              <w:t xml:space="preserve"> </w:t>
            </w:r>
            <w:r w:rsidR="00C616BC" w:rsidRPr="00B74E1D">
              <w:t xml:space="preserve">pamatojoties uz </w:t>
            </w:r>
            <w:r w:rsidR="008E2386">
              <w:t>Būvniecības likuma 5.</w:t>
            </w:r>
            <w:r w:rsidR="00F51175">
              <w:t xml:space="preserve"> </w:t>
            </w:r>
            <w:r w:rsidR="008E2386">
              <w:t>panta pirmās daļas 12.</w:t>
            </w:r>
            <w:r w:rsidR="00F51175">
              <w:t xml:space="preserve"> </w:t>
            </w:r>
            <w:r w:rsidR="008E2386">
              <w:t>punktu, Publisko iepirkumu likuma 44.</w:t>
            </w:r>
            <w:r w:rsidR="00241D60">
              <w:t xml:space="preserve"> </w:t>
            </w:r>
            <w:r w:rsidR="008E2386">
              <w:t>panta trešo daļu, Sabiedrisko pakalpojumu sniedzēju iepirkumu likuma 50.</w:t>
            </w:r>
            <w:r w:rsidR="00241D60">
              <w:t xml:space="preserve"> </w:t>
            </w:r>
            <w:r w:rsidR="008E2386">
              <w:t>panta trešo daļu un Publiskās un privātās partnerības likuma 37.</w:t>
            </w:r>
            <w:r w:rsidR="008E2386" w:rsidRPr="005B38A4">
              <w:rPr>
                <w:vertAlign w:val="superscript"/>
              </w:rPr>
              <w:t>2</w:t>
            </w:r>
            <w:r w:rsidR="008E2386">
              <w:t xml:space="preserve"> panta trešo daļu</w:t>
            </w:r>
            <w:r w:rsidR="00C616BC" w:rsidRPr="00B74E1D">
              <w:t>.</w:t>
            </w:r>
            <w:r w:rsidR="00C54801" w:rsidRPr="00B74E1D">
              <w:t xml:space="preserve"> </w:t>
            </w:r>
          </w:p>
        </w:tc>
      </w:tr>
      <w:tr w:rsidR="00730B3B" w:rsidRPr="00B74E1D" w14:paraId="52D2C740" w14:textId="77777777" w:rsidTr="00F615B8">
        <w:tc>
          <w:tcPr>
            <w:tcW w:w="281" w:type="pct"/>
            <w:hideMark/>
          </w:tcPr>
          <w:p w14:paraId="598F99F8" w14:textId="77777777" w:rsidR="00BD5588" w:rsidRPr="00B74E1D" w:rsidRDefault="00656B5C" w:rsidP="00793205">
            <w:pPr>
              <w:widowControl w:val="0"/>
            </w:pPr>
            <w:r w:rsidRPr="00B74E1D">
              <w:t>2.</w:t>
            </w:r>
          </w:p>
        </w:tc>
        <w:tc>
          <w:tcPr>
            <w:tcW w:w="1263" w:type="pct"/>
            <w:hideMark/>
          </w:tcPr>
          <w:p w14:paraId="75129389" w14:textId="77777777" w:rsidR="00EB796A" w:rsidRPr="00B74E1D" w:rsidRDefault="00656B5C" w:rsidP="00793205">
            <w:pPr>
              <w:widowControl w:val="0"/>
            </w:pPr>
            <w:r w:rsidRPr="00B74E1D">
              <w:t>Pašreizējā situācija un problēmas, kuru risināšanai tiesību akta projekts izstrādāts, tiesiskā regulējuma mērķis un būtība</w:t>
            </w:r>
          </w:p>
          <w:p w14:paraId="64B2E3CE" w14:textId="77777777" w:rsidR="00BD5588" w:rsidRPr="00B74E1D" w:rsidRDefault="00BD5588" w:rsidP="00012352"/>
        </w:tc>
        <w:tc>
          <w:tcPr>
            <w:tcW w:w="3456" w:type="pct"/>
            <w:hideMark/>
          </w:tcPr>
          <w:p w14:paraId="7578C7C9" w14:textId="44D9A6F1" w:rsidR="00D353CE" w:rsidRPr="009B5D9B" w:rsidRDefault="009B5D9B" w:rsidP="00D11989">
            <w:pPr>
              <w:shd w:val="clear" w:color="auto" w:fill="FFFFFF"/>
              <w:ind w:firstLine="392"/>
              <w:jc w:val="both"/>
              <w:rPr>
                <w:b/>
                <w:u w:val="single"/>
              </w:rPr>
            </w:pPr>
            <w:r w:rsidRPr="009B5D9B">
              <w:rPr>
                <w:b/>
                <w:u w:val="single"/>
              </w:rPr>
              <w:t>Likviditātes rādītāja izslēgšana</w:t>
            </w:r>
          </w:p>
          <w:p w14:paraId="0EC02229" w14:textId="2F9926A6" w:rsidR="009B5D9B" w:rsidRDefault="009B5D9B" w:rsidP="00D11989">
            <w:pPr>
              <w:shd w:val="clear" w:color="auto" w:fill="FFFFFF"/>
              <w:ind w:firstLine="392"/>
              <w:jc w:val="both"/>
            </w:pPr>
            <w:r w:rsidRPr="00B05C25">
              <w:t>Ministru kabine</w:t>
            </w:r>
            <w:r w:rsidR="00200D60" w:rsidRPr="00B05C25">
              <w:t>ta</w:t>
            </w:r>
            <w:r w:rsidRPr="00B05C25">
              <w:t xml:space="preserve"> 2016.</w:t>
            </w:r>
            <w:r w:rsidR="007378F6">
              <w:t xml:space="preserve"> </w:t>
            </w:r>
            <w:r w:rsidRPr="00B05C25">
              <w:t>gada 12.</w:t>
            </w:r>
            <w:r w:rsidR="007378F6">
              <w:t xml:space="preserve"> </w:t>
            </w:r>
            <w:r w:rsidRPr="00B05C25">
              <w:t>aprī</w:t>
            </w:r>
            <w:r w:rsidR="00200D60" w:rsidRPr="00B05C25">
              <w:t>ļa noteikumos Nr.</w:t>
            </w:r>
            <w:r w:rsidR="007378F6">
              <w:t xml:space="preserve"> </w:t>
            </w:r>
            <w:r w:rsidR="00200D60" w:rsidRPr="00B05C25">
              <w:t xml:space="preserve">211 </w:t>
            </w:r>
            <w:r w:rsidRPr="00B05C25">
              <w:t xml:space="preserve">“Būvkomersantu klasifikācijas noteikumi” (turpmāk – </w:t>
            </w:r>
            <w:r w:rsidRPr="00A81D09">
              <w:t>Noteikumi Nr.</w:t>
            </w:r>
            <w:r w:rsidR="007378F6">
              <w:t xml:space="preserve"> </w:t>
            </w:r>
            <w:r w:rsidRPr="00A81D09">
              <w:t>211</w:t>
            </w:r>
            <w:r w:rsidRPr="00B05C25">
              <w:t>)</w:t>
            </w:r>
            <w:r w:rsidR="00200D60" w:rsidRPr="00B05C25">
              <w:t xml:space="preserve"> 34.1.</w:t>
            </w:r>
            <w:r w:rsidR="009E582E">
              <w:t xml:space="preserve"> </w:t>
            </w:r>
            <w:r w:rsidR="00200D60" w:rsidRPr="00B05C25">
              <w:t xml:space="preserve">apakšpunktā ir noteikts kritērijs </w:t>
            </w:r>
            <w:r w:rsidR="00E967FE" w:rsidRPr="00B05C25">
              <w:t>–</w:t>
            </w:r>
            <w:r w:rsidR="00200D60" w:rsidRPr="00B05C25">
              <w:t xml:space="preserve"> </w:t>
            </w:r>
            <w:r w:rsidR="00E967FE" w:rsidRPr="00A81D09">
              <w:t>apgrozāmo līdzekļu attiecība pret īstermiņa parādiem jeb uzņēmuma likviditātes rādītājs.</w:t>
            </w:r>
            <w:r w:rsidR="00E967FE" w:rsidRPr="00B05C25">
              <w:t xml:space="preserve"> Saskaņā ar </w:t>
            </w:r>
            <w:r w:rsidR="00CC4FFA" w:rsidRPr="00A81D09">
              <w:t>N</w:t>
            </w:r>
            <w:r w:rsidR="00E967FE" w:rsidRPr="00A81D09">
              <w:t>oteikumu</w:t>
            </w:r>
            <w:r w:rsidR="00CC4FFA" w:rsidRPr="00A81D09">
              <w:t xml:space="preserve"> Nr.</w:t>
            </w:r>
            <w:r w:rsidR="009E582E">
              <w:t xml:space="preserve"> </w:t>
            </w:r>
            <w:r w:rsidR="00CC4FFA" w:rsidRPr="00A81D09">
              <w:t>211</w:t>
            </w:r>
            <w:r w:rsidR="00E967FE" w:rsidRPr="00B05C25">
              <w:t xml:space="preserve"> 33.</w:t>
            </w:r>
            <w:r w:rsidR="00E967FE" w:rsidRPr="00B05C25">
              <w:rPr>
                <w:vertAlign w:val="superscript"/>
              </w:rPr>
              <w:t>1</w:t>
            </w:r>
            <w:r w:rsidR="00E967FE" w:rsidRPr="00B05C25">
              <w:t xml:space="preserve"> punktu</w:t>
            </w:r>
            <w:r w:rsidR="00E967FE">
              <w:t xml:space="preserve"> likviditātes rādītājs ir būtisks priekšnosacījums būvkomersanta klasificēšanai, jo ja klasifikācijas iestāde konstatē, ka šis rādītājs ir zemāks par šo noteikumu 34.1.2.</w:t>
            </w:r>
            <w:r w:rsidR="00EF7BB3">
              <w:t xml:space="preserve"> </w:t>
            </w:r>
            <w:r w:rsidR="00E967FE">
              <w:t>apakšpunktā noteikto vērtību (0.9)</w:t>
            </w:r>
            <w:r w:rsidR="00EF7BB3">
              <w:t>,</w:t>
            </w:r>
            <w:r w:rsidR="00E967FE">
              <w:t xml:space="preserve"> tā pieņem lēmumu par klasificēšanas pārtraukšanu vai klasifikācijas atcelšanu, proti</w:t>
            </w:r>
            <w:r w:rsidR="00D43DF7">
              <w:t>,</w:t>
            </w:r>
            <w:r w:rsidR="00E967FE">
              <w:t xml:space="preserve"> būvuzņēmums</w:t>
            </w:r>
            <w:r w:rsidR="00D43DF7">
              <w:t xml:space="preserve"> vispār</w:t>
            </w:r>
            <w:r w:rsidR="00E967FE">
              <w:t xml:space="preserve"> netiek klasificēts</w:t>
            </w:r>
            <w:r w:rsidR="00D43DF7">
              <w:t>, kas</w:t>
            </w:r>
            <w:r w:rsidR="00243B72">
              <w:t xml:space="preserve"> vienlaikus</w:t>
            </w:r>
            <w:r w:rsidR="00D43DF7">
              <w:t xml:space="preserve"> nozīmē arī aizliegumu</w:t>
            </w:r>
            <w:r w:rsidR="00CC4FFA">
              <w:t xml:space="preserve"> turpmāk</w:t>
            </w:r>
            <w:r w:rsidR="00D43DF7">
              <w:t xml:space="preserve"> piedalīties publiskos būvdarbu iepirkumos.</w:t>
            </w:r>
          </w:p>
          <w:p w14:paraId="0C65D878" w14:textId="0A50C0DB" w:rsidR="00470EB8" w:rsidRDefault="00470EB8" w:rsidP="00D11989">
            <w:pPr>
              <w:shd w:val="clear" w:color="auto" w:fill="FFFFFF"/>
              <w:ind w:firstLine="392"/>
              <w:jc w:val="both"/>
            </w:pPr>
            <w:r>
              <w:t xml:space="preserve">Administratīvā rajona tiesa Būvniecības valsts kontroles birojam (turpmāk – klasifikācijas iestāde) ir norādījusi uz nepilnībām likviditātes rādītājā aprēķināšanā (Administratīvās rajona tiesas 2018.gada 26.februāra spriedums </w:t>
            </w:r>
            <w:r w:rsidR="00476FCD">
              <w:t>l</w:t>
            </w:r>
            <w:r>
              <w:t>iet</w:t>
            </w:r>
            <w:r w:rsidR="00476FCD">
              <w:t>ā</w:t>
            </w:r>
            <w:r>
              <w:t xml:space="preserve"> Nr. A420296017), kā arī</w:t>
            </w:r>
            <w:r w:rsidR="00243B72">
              <w:t xml:space="preserve"> </w:t>
            </w:r>
            <w:r>
              <w:t>likviditātes rādītāja aprēķina metodika klasifikācijas iestādei ir atšķirīga no Finanšu ministrijas aprēķina metodikas. Administratīvā rajona tiesa norād</w:t>
            </w:r>
            <w:r w:rsidR="00476FCD">
              <w:t>īja</w:t>
            </w:r>
            <w:r>
              <w:t xml:space="preserve"> arī </w:t>
            </w:r>
            <w:r w:rsidR="00476FCD">
              <w:t xml:space="preserve">uz </w:t>
            </w:r>
            <w:r>
              <w:t xml:space="preserve">to, ka nevar tikt atzīts par taisnīgu tas, ka divas valsts pārvaldes iestādes, proti, Finanšu ministrija un klasifikācijas iestāde viena un tā paša ekonomiskā rādītāja noteikšanai izmanto atšķirīgu pieeju. </w:t>
            </w:r>
            <w:r w:rsidR="00173588">
              <w:t>K</w:t>
            </w:r>
            <w:r w:rsidR="00243B72">
              <w:t xml:space="preserve">lasifikācijas iestāde likviditātes rādītāju aprēķina </w:t>
            </w:r>
            <w:r w:rsidR="00243B72" w:rsidRPr="00AC4C53">
              <w:rPr>
                <w:b/>
              </w:rPr>
              <w:t>automātiski</w:t>
            </w:r>
            <w:r w:rsidR="00243B72">
              <w:t xml:space="preserve"> </w:t>
            </w:r>
            <w:r w:rsidR="00243B72">
              <w:lastRenderedPageBreak/>
              <w:t xml:space="preserve">izmantojot no Valsts ieņēmumu dienesta saņemto informāciju par </w:t>
            </w:r>
            <w:r w:rsidR="00243B72" w:rsidRPr="00243B72">
              <w:t>komersanta rīcībā esoš</w:t>
            </w:r>
            <w:r w:rsidR="00243B72">
              <w:t>ajiem</w:t>
            </w:r>
            <w:r w:rsidR="00243B72" w:rsidRPr="00243B72">
              <w:t xml:space="preserve"> apgrozām</w:t>
            </w:r>
            <w:r w:rsidR="00243B72">
              <w:t>ajiem</w:t>
            </w:r>
            <w:r w:rsidR="00243B72" w:rsidRPr="00243B72">
              <w:t xml:space="preserve"> līdzekļi</w:t>
            </w:r>
            <w:r w:rsidR="00243B72">
              <w:t>em</w:t>
            </w:r>
            <w:r w:rsidR="00243B72" w:rsidRPr="00243B72">
              <w:t xml:space="preserve"> un īstermiņa parādsaistīb</w:t>
            </w:r>
            <w:r w:rsidR="00243B72">
              <w:t>ām</w:t>
            </w:r>
            <w:r w:rsidR="00243B72" w:rsidRPr="00243B72">
              <w:t xml:space="preserve"> </w:t>
            </w:r>
            <w:r w:rsidR="005E44FE">
              <w:t>saskaņā ar iesniegtajiem gada pārskatiem (</w:t>
            </w:r>
            <w:r w:rsidR="00243B72" w:rsidRPr="00A81D09">
              <w:t>Noteikumu Nr.</w:t>
            </w:r>
            <w:r w:rsidR="00173588">
              <w:t xml:space="preserve"> </w:t>
            </w:r>
            <w:r w:rsidR="00243B72" w:rsidRPr="00A81D09">
              <w:t>211</w:t>
            </w:r>
            <w:r w:rsidR="00243B72">
              <w:t xml:space="preserve"> 28.4.</w:t>
            </w:r>
            <w:r w:rsidR="00173588">
              <w:t xml:space="preserve"> </w:t>
            </w:r>
            <w:r w:rsidR="00243B72">
              <w:t>apakšpunkt</w:t>
            </w:r>
            <w:r w:rsidR="005E44FE">
              <w:t>s)</w:t>
            </w:r>
            <w:r w:rsidR="00714B6C">
              <w:t>, lī</w:t>
            </w:r>
            <w:r w:rsidR="00CC4FFA">
              <w:t xml:space="preserve">dz ar to likviditātes rādītājs atspoguļo būvuzņēmuma likviditāti tikai noteiktā brīdī un gada laikā </w:t>
            </w:r>
            <w:r w:rsidR="00714B6C">
              <w:t>būvuzņēmuma likviditāte</w:t>
            </w:r>
            <w:r w:rsidR="00CC4FFA">
              <w:t xml:space="preserve"> var būtiski mainīties, bet likviditātes rādītājs </w:t>
            </w:r>
            <w:r w:rsidR="00714B6C">
              <w:t>tiks aktualizēts tikai pēc nākošā gada pārskata iesniegšanas, līdz ar to likviditātes rādītājs var radīt nepatiesu priekšstatu par būvuzņēmuma faktisko likviditāti gada laikā.</w:t>
            </w:r>
          </w:p>
          <w:p w14:paraId="0145FAB5" w14:textId="10F9B53F" w:rsidR="00714B6C" w:rsidRDefault="00470EB8" w:rsidP="00714B6C">
            <w:pPr>
              <w:shd w:val="clear" w:color="auto" w:fill="FFFFFF"/>
              <w:ind w:firstLine="392"/>
              <w:jc w:val="both"/>
            </w:pPr>
            <w:r>
              <w:t>Ņemot vērā iepriekš minēto, kā arī likviditātes rādītāja nozīmi būvkomersanta kvalifikācijas klases noteikšanā, tas tiek izslēgts no būvkomersantu klasifikācijas kritērijiem.</w:t>
            </w:r>
            <w:r w:rsidR="00714B6C">
              <w:t xml:space="preserve"> Papildus norādām, ka būvkomersantu klasifikācijā </w:t>
            </w:r>
            <w:r w:rsidR="00714B6C" w:rsidRPr="00A81D09">
              <w:t>Noteikumu Nr.211</w:t>
            </w:r>
            <w:r w:rsidR="00714B6C" w:rsidRPr="00173588">
              <w:t xml:space="preserve"> </w:t>
            </w:r>
            <w:r w:rsidR="00714B6C">
              <w:t>34.</w:t>
            </w:r>
            <w:r w:rsidR="00173588">
              <w:t xml:space="preserve"> </w:t>
            </w:r>
            <w:r w:rsidR="00714B6C">
              <w:t xml:space="preserve">punktā ir norādīti vēl vairāki citi finansiāli ekonomiskie kritēriji (finanšu līdzsvara kritērijs, darba samaksas kritērijs, nodokļu parāda kritērijs, maksātspējas kritērijs, nodrošinājuma līdzekļu kritērijs), līdz ar to </w:t>
            </w:r>
            <w:r w:rsidR="008C06A9">
              <w:t>izslēdzot</w:t>
            </w:r>
            <w:r w:rsidR="00714B6C">
              <w:t xml:space="preserve"> likviditātes rādītāj</w:t>
            </w:r>
            <w:r w:rsidR="008C06A9">
              <w:t>u, būvkomersantu klasifikācijā joprojām tiks ņemti vēra būvuzņēmumu finansiāli ekonomiskie rādītāji</w:t>
            </w:r>
            <w:r w:rsidR="0044773F">
              <w:t>.</w:t>
            </w:r>
            <w:r w:rsidR="00714B6C">
              <w:t xml:space="preserve"> </w:t>
            </w:r>
          </w:p>
          <w:p w14:paraId="763825A5" w14:textId="0C35A6A0" w:rsidR="00D43DF7" w:rsidRDefault="00D43DF7" w:rsidP="00D11989">
            <w:pPr>
              <w:shd w:val="clear" w:color="auto" w:fill="FFFFFF"/>
              <w:ind w:firstLine="392"/>
              <w:jc w:val="both"/>
            </w:pPr>
          </w:p>
          <w:p w14:paraId="4157F02C" w14:textId="651B8397" w:rsidR="00D353CE" w:rsidRPr="003710A0" w:rsidRDefault="003710A0" w:rsidP="00D11989">
            <w:pPr>
              <w:shd w:val="clear" w:color="auto" w:fill="FFFFFF"/>
              <w:ind w:firstLine="392"/>
              <w:jc w:val="both"/>
              <w:rPr>
                <w:b/>
                <w:u w:val="single"/>
              </w:rPr>
            </w:pPr>
            <w:r w:rsidRPr="003710A0">
              <w:rPr>
                <w:b/>
                <w:u w:val="single"/>
              </w:rPr>
              <w:t>Būvkomersantu klasifikācijas piemērošana</w:t>
            </w:r>
          </w:p>
          <w:p w14:paraId="3DDA4B8C" w14:textId="79CEFB89" w:rsidR="008E2386" w:rsidRDefault="008E2386" w:rsidP="00D11989">
            <w:pPr>
              <w:shd w:val="clear" w:color="auto" w:fill="FFFFFF"/>
              <w:ind w:firstLine="392"/>
              <w:jc w:val="both"/>
            </w:pPr>
            <w:r>
              <w:t>Publisko iepirkumu likuma pārejas noteikumu 4.</w:t>
            </w:r>
            <w:r w:rsidR="00FE6965">
              <w:t xml:space="preserve"> </w:t>
            </w:r>
            <w:r>
              <w:t>punktā, S</w:t>
            </w:r>
            <w:r w:rsidR="005B38A4">
              <w:t>a</w:t>
            </w:r>
            <w:r>
              <w:t>biedrisko pakalpojumu sniedzēju</w:t>
            </w:r>
            <w:r w:rsidR="005B38A4">
              <w:t xml:space="preserve"> iepirkumu</w:t>
            </w:r>
            <w:r>
              <w:t xml:space="preserve"> likuma </w:t>
            </w:r>
            <w:r w:rsidR="005B38A4">
              <w:t>pārejas noteikumu 8.</w:t>
            </w:r>
            <w:r w:rsidR="00FE6965">
              <w:t xml:space="preserve"> </w:t>
            </w:r>
            <w:r w:rsidR="005B38A4">
              <w:t xml:space="preserve">punktā un </w:t>
            </w:r>
            <w:r>
              <w:t>Publiskās un privātās partnerības</w:t>
            </w:r>
            <w:r w:rsidR="00C078D3">
              <w:t xml:space="preserve"> likuma</w:t>
            </w:r>
            <w:r>
              <w:t xml:space="preserve"> </w:t>
            </w:r>
            <w:r w:rsidR="0014506D">
              <w:t>pārejas noteikumu 29.</w:t>
            </w:r>
            <w:r w:rsidR="00FE6965">
              <w:t xml:space="preserve"> </w:t>
            </w:r>
            <w:r w:rsidR="0014506D">
              <w:t>punktā ir noteikts, ka Ministru kabinetam līdz 2019.</w:t>
            </w:r>
            <w:r w:rsidR="00FE6965">
              <w:t xml:space="preserve"> </w:t>
            </w:r>
            <w:r w:rsidR="0014506D">
              <w:t>gada 30.</w:t>
            </w:r>
            <w:r w:rsidR="00FE6965">
              <w:t xml:space="preserve"> </w:t>
            </w:r>
            <w:r w:rsidR="0014506D">
              <w:t xml:space="preserve">aprīlim ir jāizdod noteikumi, kuri nosaka </w:t>
            </w:r>
            <w:r w:rsidR="0014506D" w:rsidRPr="0014506D">
              <w:t>prasības būvkomersantam attiecībā uz pieredzi un klasi publisku būvdarbu veikšanai būvju grupās</w:t>
            </w:r>
            <w:r w:rsidRPr="00B74E1D">
              <w:t>.</w:t>
            </w:r>
          </w:p>
          <w:p w14:paraId="6554252D" w14:textId="6E59FBED" w:rsidR="007530CD" w:rsidRDefault="007530CD" w:rsidP="00D11989">
            <w:pPr>
              <w:shd w:val="clear" w:color="auto" w:fill="FFFFFF"/>
              <w:ind w:firstLine="392"/>
              <w:jc w:val="both"/>
            </w:pPr>
            <w:r w:rsidRPr="00A81D09">
              <w:t>Noteikum</w:t>
            </w:r>
            <w:r w:rsidR="009B5D9B" w:rsidRPr="00A81D09">
              <w:t>os</w:t>
            </w:r>
            <w:r w:rsidRPr="00A81D09">
              <w:t xml:space="preserve"> Nr.</w:t>
            </w:r>
            <w:r w:rsidR="00FE6965">
              <w:t xml:space="preserve"> </w:t>
            </w:r>
            <w:r w:rsidRPr="00A81D09">
              <w:t>211</w:t>
            </w:r>
            <w:r w:rsidR="009B5D9B">
              <w:rPr>
                <w:i/>
              </w:rPr>
              <w:t xml:space="preserve"> </w:t>
            </w:r>
            <w:r w:rsidR="009B5D9B">
              <w:t>šobrīd ir noteikta tikai</w:t>
            </w:r>
            <w:r>
              <w:t xml:space="preserve"> būvkomersantu klasifikācijas kārtība. Ņemot vērā, ka būvkomersantu klasifikācija un klasifikācijas piemērošana ir savstarpēji cieši saistīti procesi, lai atvieglotu normatīvo aktu pārskatīšanu, lietošanu un ieviestu labāku tiesisko skaidrību</w:t>
            </w:r>
            <w:r w:rsidR="002426C7">
              <w:t>,</w:t>
            </w:r>
            <w:r>
              <w:t xml:space="preserve"> būvkomersantu klasifikācijas piemērošanas noteikumi tiek iekļauti </w:t>
            </w:r>
            <w:r w:rsidRPr="00A81D09">
              <w:t>Noteikumos Nr.</w:t>
            </w:r>
            <w:r w:rsidR="005022C7">
              <w:t xml:space="preserve"> </w:t>
            </w:r>
            <w:r w:rsidRPr="00A81D09">
              <w:t>211</w:t>
            </w:r>
            <w:r>
              <w:rPr>
                <w:i/>
              </w:rPr>
              <w:t xml:space="preserve"> </w:t>
            </w:r>
            <w:r>
              <w:t>kā atsevišķa nodaļa.</w:t>
            </w:r>
          </w:p>
          <w:p w14:paraId="5F315C08" w14:textId="03A47EE5" w:rsidR="008D7635" w:rsidRDefault="008D7635" w:rsidP="00D11989">
            <w:pPr>
              <w:shd w:val="clear" w:color="auto" w:fill="FFFFFF"/>
              <w:ind w:firstLine="392"/>
              <w:jc w:val="both"/>
            </w:pPr>
            <w:r w:rsidRPr="007509D0">
              <w:t xml:space="preserve">Projekta ietekme uz būvniecības nozari ir pozitīva. Sistemātiska būvuzņēmumu izvērtēšana </w:t>
            </w:r>
            <w:r>
              <w:t>pēc vienotiem principiem veicina godīgu konkurenci.</w:t>
            </w:r>
            <w:r w:rsidRPr="007509D0">
              <w:t xml:space="preserve"> </w:t>
            </w:r>
            <w:r w:rsidRPr="00AD1486">
              <w:t>Noteikumu projekts samazina administratīvo slogu publiskajos iepirkumos, ņemot vērā, ka būvuzņēmumiem nav jāiesniedz un iepirkum</w:t>
            </w:r>
            <w:r>
              <w:t>u</w:t>
            </w:r>
            <w:r w:rsidRPr="00AD1486">
              <w:t xml:space="preserve"> komisij</w:t>
            </w:r>
            <w:r>
              <w:t>ām</w:t>
            </w:r>
            <w:r w:rsidRPr="00AD1486">
              <w:t xml:space="preserve"> nav </w:t>
            </w:r>
            <w:r>
              <w:t xml:space="preserve">atkārtoti </w:t>
            </w:r>
            <w:r w:rsidRPr="00AD1486">
              <w:t>jāpārbauda informācija, kas jau tiek vērtēta būvkomersantu klasifikācijas ietvaros.</w:t>
            </w:r>
            <w:r>
              <w:t xml:space="preserve"> Kā arī klasifikācijas piemērošana publisko būvdarbu iepirkumos </w:t>
            </w:r>
            <w:r w:rsidRPr="007509D0">
              <w:t>atvieglo</w:t>
            </w:r>
            <w:r>
              <w:t>s</w:t>
            </w:r>
            <w:r w:rsidRPr="007509D0">
              <w:t xml:space="preserve"> un padar</w:t>
            </w:r>
            <w:r>
              <w:t>īs</w:t>
            </w:r>
            <w:r w:rsidRPr="007509D0">
              <w:t xml:space="preserve"> caurspīdīg</w:t>
            </w:r>
            <w:r>
              <w:t>āku pretendentu atlases procesu.</w:t>
            </w:r>
          </w:p>
          <w:p w14:paraId="7A912168" w14:textId="6D335516" w:rsidR="008E2386" w:rsidRDefault="0014506D" w:rsidP="00D11989">
            <w:pPr>
              <w:shd w:val="clear" w:color="auto" w:fill="FFFFFF"/>
              <w:ind w:firstLine="392"/>
              <w:jc w:val="both"/>
            </w:pPr>
            <w:r w:rsidRPr="0014506D">
              <w:t>Publiska būvdarbu līguma gadījumā pasūtītājs pieprasa atbilstošu būvkomersanta kvalifikācijas klasi tikai galvenajam būvdarbu veicējam</w:t>
            </w:r>
            <w:r>
              <w:t xml:space="preserve">, ņemot vērā, ka pasūtītājs slēdz būvniecības līgumu tieši ar galveno būvdarbu veicēju. Līdz ar to būvkomersantu klasifikācijas piemērošana neattiecas uz </w:t>
            </w:r>
            <w:r>
              <w:lastRenderedPageBreak/>
              <w:t>apakšuzņēmējiem, kurus būvdarbu līguma izpildei piesaistīs galvenais būvdarbu veicējs.</w:t>
            </w:r>
          </w:p>
          <w:p w14:paraId="5395409C" w14:textId="651A7A3A" w:rsidR="006A5CC6" w:rsidRDefault="00055C4A" w:rsidP="00D11989">
            <w:pPr>
              <w:shd w:val="clear" w:color="auto" w:fill="FFFFFF"/>
              <w:ind w:firstLine="392"/>
              <w:jc w:val="both"/>
            </w:pPr>
            <w:r>
              <w:t>B</w:t>
            </w:r>
            <w:r w:rsidR="007B3AAE">
              <w:t>ūvdarbu līgum</w:t>
            </w:r>
            <w:r>
              <w:t>cenu</w:t>
            </w:r>
            <w:r w:rsidR="007B3AAE">
              <w:t xml:space="preserve"> robežvērtīb</w:t>
            </w:r>
            <w:r w:rsidR="006A5CC6">
              <w:t>u noteikšanā</w:t>
            </w:r>
            <w:r w:rsidR="007B3AAE">
              <w:t xml:space="preserve"> ir </w:t>
            </w:r>
            <w:r w:rsidR="006A5CC6">
              <w:t>ņemt</w:t>
            </w:r>
            <w:r>
              <w:t>a</w:t>
            </w:r>
            <w:r w:rsidR="006A5CC6">
              <w:t xml:space="preserve"> vērā</w:t>
            </w:r>
            <w:r>
              <w:t xml:space="preserve"> </w:t>
            </w:r>
            <w:r w:rsidR="006A5CC6">
              <w:t>Publisko iepirkumu likuma 45.</w:t>
            </w:r>
            <w:r w:rsidR="00F450A0">
              <w:t xml:space="preserve"> </w:t>
            </w:r>
            <w:r w:rsidR="006A5CC6">
              <w:t>panta otrās daļas prasība, ka pasūtītājs gada minimālo finanšu apgrozījumu var noteikt ne lielāku par divām paredzamo līgumcenu vērtībām</w:t>
            </w:r>
            <w:r w:rsidR="00A81D09">
              <w:t>, kā arī</w:t>
            </w:r>
            <w:r>
              <w:t xml:space="preserve"> </w:t>
            </w:r>
            <w:r w:rsidR="007B3AAE" w:rsidRPr="00A81D09">
              <w:t>Noteikum</w:t>
            </w:r>
            <w:r w:rsidR="009F7C05" w:rsidRPr="00A81D09">
              <w:t>u</w:t>
            </w:r>
            <w:r w:rsidR="007B3AAE" w:rsidRPr="00A81D09">
              <w:t xml:space="preserve"> Nr.</w:t>
            </w:r>
            <w:r w:rsidR="00F450A0">
              <w:t xml:space="preserve"> </w:t>
            </w:r>
            <w:r w:rsidR="007B3AAE" w:rsidRPr="00A81D09">
              <w:t>211</w:t>
            </w:r>
            <w:r w:rsidR="00BE3E42">
              <w:t xml:space="preserve"> </w:t>
            </w:r>
            <w:r w:rsidR="006A5CC6">
              <w:t>32.5. apakšpunkt</w:t>
            </w:r>
            <w:r>
              <w:t>ā noteiktais</w:t>
            </w:r>
            <w:r w:rsidR="007530CD">
              <w:t xml:space="preserve"> kritērijs</w:t>
            </w:r>
            <w:r w:rsidR="009F7C05">
              <w:t>,</w:t>
            </w:r>
            <w:r w:rsidR="00A81D09">
              <w:t xml:space="preserve"> kas nosaka</w:t>
            </w:r>
            <w:r w:rsidR="006A5CC6">
              <w:t xml:space="preserve"> kādai </w:t>
            </w:r>
            <w:r w:rsidR="00AF6F52">
              <w:t xml:space="preserve">klasei atbilst būvuzņēmums ņemot vērā tā </w:t>
            </w:r>
            <w:r w:rsidR="0002705C">
              <w:t>kopējo sniegto būvniecības pakalpojumu apjomu</w:t>
            </w:r>
            <w:r>
              <w:t>:</w:t>
            </w:r>
          </w:p>
          <w:p w14:paraId="3E8EBC45" w14:textId="279B2028" w:rsidR="006A5CC6" w:rsidRPr="00AF6F52" w:rsidRDefault="00AF6F52" w:rsidP="006A5CC6">
            <w:pPr>
              <w:shd w:val="clear" w:color="auto" w:fill="FFFFFF"/>
              <w:ind w:firstLine="392"/>
              <w:jc w:val="both"/>
              <w:rPr>
                <w:i/>
              </w:rPr>
            </w:pPr>
            <w:r w:rsidRPr="00AF6F52">
              <w:rPr>
                <w:i/>
              </w:rPr>
              <w:t>“</w:t>
            </w:r>
            <w:r w:rsidR="006A5CC6" w:rsidRPr="00AF6F52">
              <w:rPr>
                <w:i/>
              </w:rPr>
              <w:t>32.5. 4. kritērijs – kopējais sniegto būvniecības pakalpojumu apjoms trijos iepriekšējos darbības gados:</w:t>
            </w:r>
          </w:p>
          <w:p w14:paraId="28D88817" w14:textId="77777777" w:rsidR="006A5CC6" w:rsidRPr="00AF6F52" w:rsidRDefault="006A5CC6" w:rsidP="006A5CC6">
            <w:pPr>
              <w:shd w:val="clear" w:color="auto" w:fill="FFFFFF"/>
              <w:ind w:firstLine="392"/>
              <w:jc w:val="both"/>
              <w:rPr>
                <w:i/>
              </w:rPr>
            </w:pPr>
            <w:r w:rsidRPr="00AF6F52">
              <w:rPr>
                <w:i/>
              </w:rPr>
              <w:t>32.5.1. vairāk par 15 000 000 euro katrā pārskata gadā – būvuzņēmums atbilst 1. klasei;</w:t>
            </w:r>
          </w:p>
          <w:p w14:paraId="3ED894AF" w14:textId="77777777" w:rsidR="006A5CC6" w:rsidRPr="00AF6F52" w:rsidRDefault="006A5CC6" w:rsidP="006A5CC6">
            <w:pPr>
              <w:shd w:val="clear" w:color="auto" w:fill="FFFFFF"/>
              <w:ind w:firstLine="392"/>
              <w:jc w:val="both"/>
              <w:rPr>
                <w:i/>
              </w:rPr>
            </w:pPr>
            <w:r w:rsidRPr="00AF6F52">
              <w:rPr>
                <w:i/>
              </w:rPr>
              <w:t>32.5.2. no 5 000 000,01 līdz 15 000 000 euro katrā pārskata gadā – būvuzņēmums atbilst 2. klasei;</w:t>
            </w:r>
          </w:p>
          <w:p w14:paraId="70033D12" w14:textId="77777777" w:rsidR="006A5CC6" w:rsidRPr="00AF6F52" w:rsidRDefault="006A5CC6" w:rsidP="006A5CC6">
            <w:pPr>
              <w:shd w:val="clear" w:color="auto" w:fill="FFFFFF"/>
              <w:ind w:firstLine="392"/>
              <w:jc w:val="both"/>
              <w:rPr>
                <w:i/>
              </w:rPr>
            </w:pPr>
            <w:r w:rsidRPr="00AF6F52">
              <w:rPr>
                <w:i/>
              </w:rPr>
              <w:t>32.5.3. no 1 000 000,01 līdz 5 000 000 euro katrā pārskata gadā – būvuzņēmums atbilst 3. klasei;</w:t>
            </w:r>
          </w:p>
          <w:p w14:paraId="1D921D23" w14:textId="77777777" w:rsidR="006A5CC6" w:rsidRPr="00AF6F52" w:rsidRDefault="006A5CC6" w:rsidP="006A5CC6">
            <w:pPr>
              <w:shd w:val="clear" w:color="auto" w:fill="FFFFFF"/>
              <w:ind w:firstLine="392"/>
              <w:jc w:val="both"/>
              <w:rPr>
                <w:i/>
              </w:rPr>
            </w:pPr>
            <w:r w:rsidRPr="00AF6F52">
              <w:rPr>
                <w:i/>
              </w:rPr>
              <w:t>32.5.4. no 75 000,01 līdz 1 000 000 euro katrā pārskata gadā – būvuzņēmums atbilst 4. klasei;</w:t>
            </w:r>
          </w:p>
          <w:p w14:paraId="74D4AB4C" w14:textId="31356201" w:rsidR="006A5CC6" w:rsidRDefault="006A5CC6" w:rsidP="006A5CC6">
            <w:pPr>
              <w:shd w:val="clear" w:color="auto" w:fill="FFFFFF"/>
              <w:ind w:firstLine="392"/>
              <w:jc w:val="both"/>
              <w:rPr>
                <w:i/>
              </w:rPr>
            </w:pPr>
            <w:r w:rsidRPr="00AF6F52">
              <w:rPr>
                <w:i/>
              </w:rPr>
              <w:t>32.5.5. līdz 75 000 euro katrā pārskata gadā – būvuzņēmums atbilst 5. klasei</w:t>
            </w:r>
            <w:r w:rsidR="00AF6F52" w:rsidRPr="00AF6F52">
              <w:rPr>
                <w:i/>
              </w:rPr>
              <w:t>.”</w:t>
            </w:r>
            <w:r w:rsidR="007530CD">
              <w:rPr>
                <w:i/>
              </w:rPr>
              <w:t>.</w:t>
            </w:r>
          </w:p>
          <w:p w14:paraId="7595FB8E" w14:textId="49CCF770" w:rsidR="00055C4A" w:rsidRPr="00D37939" w:rsidRDefault="00E73233" w:rsidP="006A5CC6">
            <w:pPr>
              <w:shd w:val="clear" w:color="auto" w:fill="FFFFFF"/>
              <w:ind w:firstLine="392"/>
              <w:jc w:val="both"/>
            </w:pPr>
            <w:r>
              <w:t>Ņemot vērā iepriekš minēto, izriet</w:t>
            </w:r>
            <w:r w:rsidR="00B701EE">
              <w:t>, ka pasūtītājs</w:t>
            </w:r>
            <w:r w:rsidR="0019633A">
              <w:t xml:space="preserve"> atbilstoši paredzamajai būvdarbu līgumcenas vērtībai</w:t>
            </w:r>
            <w:r w:rsidR="00B701EE">
              <w:t xml:space="preserve"> var noteikt būvuzņēmuma gada </w:t>
            </w:r>
            <w:r w:rsidR="0002705C">
              <w:t>kopējo sniegto būvniecības pakalpojumu apjomu</w:t>
            </w:r>
            <w:r w:rsidR="00B701EE">
              <w:t xml:space="preserve"> ne augstāku kā </w:t>
            </w:r>
            <w:r w:rsidR="0019633A">
              <w:t>1.tabulā norādīt</w:t>
            </w:r>
            <w:r w:rsidR="00423698">
              <w:t>ās vērtības</w:t>
            </w:r>
            <w:r w:rsidR="004F0417">
              <w:t>.</w:t>
            </w:r>
          </w:p>
          <w:p w14:paraId="33CEBE36" w14:textId="77777777" w:rsidR="00D37939" w:rsidRDefault="00D37939" w:rsidP="006A5CC6">
            <w:pPr>
              <w:shd w:val="clear" w:color="auto" w:fill="FFFFFF"/>
              <w:ind w:firstLine="392"/>
              <w:jc w:val="both"/>
              <w:rPr>
                <w:i/>
              </w:rPr>
            </w:pPr>
          </w:p>
          <w:p w14:paraId="479BD7E6" w14:textId="4B3D3B44" w:rsidR="00D37939" w:rsidRPr="00D37939" w:rsidRDefault="00D37939" w:rsidP="00D37939">
            <w:pPr>
              <w:shd w:val="clear" w:color="auto" w:fill="FFFFFF"/>
              <w:ind w:firstLine="392"/>
              <w:jc w:val="right"/>
              <w:rPr>
                <w:i/>
              </w:rPr>
            </w:pPr>
            <w:r w:rsidRPr="00D37939">
              <w:rPr>
                <w:i/>
              </w:rPr>
              <w:t>1.tabula</w:t>
            </w:r>
          </w:p>
          <w:p w14:paraId="5E3A20B7" w14:textId="071775D6" w:rsidR="00055C4A" w:rsidRPr="00D37939" w:rsidRDefault="00D37939" w:rsidP="00D37939">
            <w:pPr>
              <w:shd w:val="clear" w:color="auto" w:fill="FFFFFF"/>
              <w:ind w:firstLine="392"/>
              <w:jc w:val="center"/>
              <w:rPr>
                <w:b/>
              </w:rPr>
            </w:pPr>
            <w:r w:rsidRPr="00D37939">
              <w:rPr>
                <w:b/>
              </w:rPr>
              <w:t>Paredzamo būvdarbu līgumcenas robežvērtības</w:t>
            </w:r>
          </w:p>
          <w:tbl>
            <w:tblPr>
              <w:tblStyle w:val="TableGrid"/>
              <w:tblW w:w="6266" w:type="dxa"/>
              <w:jc w:val="center"/>
              <w:tblLook w:val="04A0" w:firstRow="1" w:lastRow="0" w:firstColumn="1" w:lastColumn="0" w:noHBand="0" w:noVBand="1"/>
            </w:tblPr>
            <w:tblGrid>
              <w:gridCol w:w="2070"/>
              <w:gridCol w:w="2363"/>
              <w:gridCol w:w="1833"/>
            </w:tblGrid>
            <w:tr w:rsidR="004466E0" w14:paraId="5A5F56DB" w14:textId="04B8ACFC" w:rsidTr="004466E0">
              <w:trPr>
                <w:jc w:val="center"/>
              </w:trPr>
              <w:tc>
                <w:tcPr>
                  <w:tcW w:w="2070" w:type="dxa"/>
                  <w:vAlign w:val="center"/>
                </w:tcPr>
                <w:p w14:paraId="3CE4F2C0" w14:textId="00BCC652" w:rsidR="004466E0" w:rsidRDefault="004466E0" w:rsidP="00B701EE">
                  <w:pPr>
                    <w:jc w:val="center"/>
                  </w:pPr>
                  <w:r>
                    <w:t>Būvdarbu līgumcenas robežvērtība (</w:t>
                  </w:r>
                  <w:r w:rsidRPr="00D37939">
                    <w:rPr>
                      <w:i/>
                    </w:rPr>
                    <w:t>euro</w:t>
                  </w:r>
                  <w:r>
                    <w:t>)</w:t>
                  </w:r>
                </w:p>
              </w:tc>
              <w:tc>
                <w:tcPr>
                  <w:tcW w:w="2363" w:type="dxa"/>
                  <w:vAlign w:val="center"/>
                </w:tcPr>
                <w:p w14:paraId="1860D910" w14:textId="0CC24D41" w:rsidR="004466E0" w:rsidRDefault="004466E0" w:rsidP="00B701EE">
                  <w:pPr>
                    <w:jc w:val="center"/>
                  </w:pPr>
                  <w:r>
                    <w:t xml:space="preserve">Būvuzņēmuma </w:t>
                  </w:r>
                  <w:r w:rsidR="0002705C" w:rsidRPr="0002705C">
                    <w:t>kopēj</w:t>
                  </w:r>
                  <w:r w:rsidR="0002705C">
                    <w:t>ā</w:t>
                  </w:r>
                  <w:r w:rsidR="0002705C" w:rsidRPr="0002705C">
                    <w:t xml:space="preserve"> sniegto būvniecības pakalpojumu apjom</w:t>
                  </w:r>
                  <w:r w:rsidR="0002705C">
                    <w:t>a</w:t>
                  </w:r>
                  <w:r w:rsidR="0002705C" w:rsidRPr="0002705C">
                    <w:t xml:space="preserve"> </w:t>
                  </w:r>
                  <w:r w:rsidR="00423698">
                    <w:t>robežvērtība</w:t>
                  </w:r>
                  <w:r>
                    <w:t xml:space="preserve"> gadā, (</w:t>
                  </w:r>
                  <w:r w:rsidRPr="00E73233">
                    <w:rPr>
                      <w:i/>
                    </w:rPr>
                    <w:t>euro</w:t>
                  </w:r>
                  <w:r>
                    <w:t>)</w:t>
                  </w:r>
                </w:p>
              </w:tc>
              <w:tc>
                <w:tcPr>
                  <w:tcW w:w="1833" w:type="dxa"/>
                  <w:vAlign w:val="center"/>
                </w:tcPr>
                <w:p w14:paraId="3BD103A8" w14:textId="6BF0F50E" w:rsidR="004466E0" w:rsidRDefault="004466E0" w:rsidP="00B701EE">
                  <w:pPr>
                    <w:jc w:val="center"/>
                  </w:pPr>
                  <w:r>
                    <w:t>Atbilstošā būvkomersanta klase</w:t>
                  </w:r>
                </w:p>
              </w:tc>
            </w:tr>
            <w:tr w:rsidR="004466E0" w14:paraId="4090986C" w14:textId="5C862224" w:rsidTr="004466E0">
              <w:trPr>
                <w:jc w:val="center"/>
              </w:trPr>
              <w:tc>
                <w:tcPr>
                  <w:tcW w:w="2070" w:type="dxa"/>
                  <w:vAlign w:val="center"/>
                </w:tcPr>
                <w:p w14:paraId="0984EBD6" w14:textId="28616A59" w:rsidR="004466E0" w:rsidRDefault="00423698" w:rsidP="00B701EE">
                  <w:pPr>
                    <w:jc w:val="center"/>
                  </w:pPr>
                  <w:r>
                    <w:t>virs 7 500 000,01</w:t>
                  </w:r>
                </w:p>
              </w:tc>
              <w:tc>
                <w:tcPr>
                  <w:tcW w:w="2363" w:type="dxa"/>
                  <w:vAlign w:val="center"/>
                </w:tcPr>
                <w:p w14:paraId="39A8D19F" w14:textId="767D9AA8" w:rsidR="004466E0" w:rsidRDefault="004466E0" w:rsidP="00B701EE">
                  <w:pPr>
                    <w:jc w:val="center"/>
                  </w:pPr>
                  <w:r w:rsidRPr="00E73233">
                    <w:t>vairāk par 15 000</w:t>
                  </w:r>
                  <w:r>
                    <w:t> </w:t>
                  </w:r>
                  <w:r w:rsidRPr="00E73233">
                    <w:t>000</w:t>
                  </w:r>
                  <w:r>
                    <w:t xml:space="preserve"> </w:t>
                  </w:r>
                </w:p>
              </w:tc>
              <w:tc>
                <w:tcPr>
                  <w:tcW w:w="1833" w:type="dxa"/>
                  <w:vAlign w:val="center"/>
                </w:tcPr>
                <w:p w14:paraId="20D89E50" w14:textId="4D77ACAB" w:rsidR="004466E0" w:rsidRPr="00E73233" w:rsidRDefault="004466E0" w:rsidP="00B701EE">
                  <w:pPr>
                    <w:jc w:val="center"/>
                  </w:pPr>
                  <w:r>
                    <w:t>1.klase</w:t>
                  </w:r>
                </w:p>
              </w:tc>
            </w:tr>
            <w:tr w:rsidR="004466E0" w14:paraId="63557F77" w14:textId="313E37BC" w:rsidTr="004466E0">
              <w:trPr>
                <w:jc w:val="center"/>
              </w:trPr>
              <w:tc>
                <w:tcPr>
                  <w:tcW w:w="2070" w:type="dxa"/>
                  <w:vAlign w:val="center"/>
                </w:tcPr>
                <w:p w14:paraId="0E9AB3B8" w14:textId="4C6BE6F9" w:rsidR="004466E0" w:rsidRDefault="004466E0" w:rsidP="00B701EE">
                  <w:pPr>
                    <w:jc w:val="center"/>
                  </w:pPr>
                  <w:r>
                    <w:t>no 2 500 000,01 līdz 7 500 000</w:t>
                  </w:r>
                </w:p>
              </w:tc>
              <w:tc>
                <w:tcPr>
                  <w:tcW w:w="2363" w:type="dxa"/>
                  <w:vAlign w:val="center"/>
                </w:tcPr>
                <w:p w14:paraId="41680753" w14:textId="36FBC45F" w:rsidR="004466E0" w:rsidRDefault="004466E0" w:rsidP="00B701EE">
                  <w:pPr>
                    <w:jc w:val="center"/>
                  </w:pPr>
                  <w:r w:rsidRPr="00E73233">
                    <w:t>no 5 000 000,01 līdz 15 000</w:t>
                  </w:r>
                  <w:r>
                    <w:t> </w:t>
                  </w:r>
                  <w:r w:rsidRPr="00E73233">
                    <w:t>000</w:t>
                  </w:r>
                  <w:r>
                    <w:t xml:space="preserve"> </w:t>
                  </w:r>
                </w:p>
              </w:tc>
              <w:tc>
                <w:tcPr>
                  <w:tcW w:w="1833" w:type="dxa"/>
                  <w:vAlign w:val="center"/>
                </w:tcPr>
                <w:p w14:paraId="3AECE484" w14:textId="3605DF9F" w:rsidR="004466E0" w:rsidRPr="00E73233" w:rsidRDefault="004466E0" w:rsidP="00B701EE">
                  <w:pPr>
                    <w:jc w:val="center"/>
                  </w:pPr>
                  <w:r>
                    <w:t>2.klase</w:t>
                  </w:r>
                </w:p>
              </w:tc>
            </w:tr>
            <w:tr w:rsidR="004466E0" w14:paraId="3B1511EE" w14:textId="2D075ECA" w:rsidTr="004466E0">
              <w:trPr>
                <w:jc w:val="center"/>
              </w:trPr>
              <w:tc>
                <w:tcPr>
                  <w:tcW w:w="2070" w:type="dxa"/>
                  <w:vAlign w:val="center"/>
                </w:tcPr>
                <w:p w14:paraId="2DFE317D" w14:textId="7F7FE223" w:rsidR="004466E0" w:rsidRDefault="004466E0" w:rsidP="00B701EE">
                  <w:pPr>
                    <w:jc w:val="center"/>
                  </w:pPr>
                  <w:r>
                    <w:t>no 500 000,01 līdz 2 500 000</w:t>
                  </w:r>
                </w:p>
              </w:tc>
              <w:tc>
                <w:tcPr>
                  <w:tcW w:w="2363" w:type="dxa"/>
                  <w:vAlign w:val="center"/>
                </w:tcPr>
                <w:p w14:paraId="11EC0A29" w14:textId="5309A333" w:rsidR="004466E0" w:rsidRDefault="004466E0" w:rsidP="00B701EE">
                  <w:pPr>
                    <w:jc w:val="center"/>
                  </w:pPr>
                  <w:r w:rsidRPr="00E73233">
                    <w:t>no 1 000 000,01 līdz 5 000</w:t>
                  </w:r>
                  <w:r>
                    <w:t> </w:t>
                  </w:r>
                  <w:r w:rsidRPr="00E73233">
                    <w:t>000</w:t>
                  </w:r>
                  <w:r>
                    <w:t xml:space="preserve"> </w:t>
                  </w:r>
                </w:p>
              </w:tc>
              <w:tc>
                <w:tcPr>
                  <w:tcW w:w="1833" w:type="dxa"/>
                  <w:vAlign w:val="center"/>
                </w:tcPr>
                <w:p w14:paraId="0ECC4620" w14:textId="59C83DBE" w:rsidR="004466E0" w:rsidRPr="00E73233" w:rsidRDefault="004466E0" w:rsidP="00B701EE">
                  <w:pPr>
                    <w:jc w:val="center"/>
                  </w:pPr>
                  <w:r>
                    <w:t>3.klase</w:t>
                  </w:r>
                </w:p>
              </w:tc>
            </w:tr>
            <w:tr w:rsidR="004466E0" w14:paraId="7B2EECDD" w14:textId="4DAAEBD4" w:rsidTr="004466E0">
              <w:trPr>
                <w:jc w:val="center"/>
              </w:trPr>
              <w:tc>
                <w:tcPr>
                  <w:tcW w:w="2070" w:type="dxa"/>
                  <w:vAlign w:val="center"/>
                </w:tcPr>
                <w:p w14:paraId="78A902DD" w14:textId="328C6930" w:rsidR="004466E0" w:rsidRDefault="004466E0" w:rsidP="00B701EE">
                  <w:pPr>
                    <w:jc w:val="center"/>
                  </w:pPr>
                  <w:r>
                    <w:t>no 37 500,01 līdz 500 000</w:t>
                  </w:r>
                </w:p>
              </w:tc>
              <w:tc>
                <w:tcPr>
                  <w:tcW w:w="2363" w:type="dxa"/>
                  <w:vAlign w:val="center"/>
                </w:tcPr>
                <w:p w14:paraId="091B1BCA" w14:textId="0BC84DBD" w:rsidR="004466E0" w:rsidRDefault="004466E0" w:rsidP="00B701EE">
                  <w:pPr>
                    <w:jc w:val="center"/>
                  </w:pPr>
                  <w:r w:rsidRPr="00E73233">
                    <w:t>75 000,01 līdz 1 000</w:t>
                  </w:r>
                  <w:r>
                    <w:t> </w:t>
                  </w:r>
                  <w:r w:rsidRPr="00E73233">
                    <w:t>000</w:t>
                  </w:r>
                  <w:r>
                    <w:t xml:space="preserve"> </w:t>
                  </w:r>
                </w:p>
              </w:tc>
              <w:tc>
                <w:tcPr>
                  <w:tcW w:w="1833" w:type="dxa"/>
                  <w:vAlign w:val="center"/>
                </w:tcPr>
                <w:p w14:paraId="3125F251" w14:textId="755B2F5B" w:rsidR="004466E0" w:rsidRPr="00E73233" w:rsidRDefault="004466E0" w:rsidP="00B701EE">
                  <w:pPr>
                    <w:jc w:val="center"/>
                  </w:pPr>
                  <w:r>
                    <w:t>4.klase</w:t>
                  </w:r>
                </w:p>
              </w:tc>
            </w:tr>
            <w:tr w:rsidR="004466E0" w14:paraId="23B76D01" w14:textId="17CDE026" w:rsidTr="004466E0">
              <w:trPr>
                <w:jc w:val="center"/>
              </w:trPr>
              <w:tc>
                <w:tcPr>
                  <w:tcW w:w="2070" w:type="dxa"/>
                  <w:vAlign w:val="center"/>
                </w:tcPr>
                <w:p w14:paraId="51C0C4EA" w14:textId="06AA702E" w:rsidR="004466E0" w:rsidRDefault="004466E0" w:rsidP="00B701EE">
                  <w:pPr>
                    <w:jc w:val="center"/>
                  </w:pPr>
                  <w:r>
                    <w:t>līdz 37 500</w:t>
                  </w:r>
                </w:p>
              </w:tc>
              <w:tc>
                <w:tcPr>
                  <w:tcW w:w="2363" w:type="dxa"/>
                  <w:vAlign w:val="center"/>
                </w:tcPr>
                <w:p w14:paraId="2ABF7E5A" w14:textId="5C93E318" w:rsidR="004466E0" w:rsidRDefault="004466E0" w:rsidP="00B701EE">
                  <w:pPr>
                    <w:jc w:val="center"/>
                  </w:pPr>
                  <w:r w:rsidRPr="00E73233">
                    <w:t>līdz 75</w:t>
                  </w:r>
                  <w:r>
                    <w:t> </w:t>
                  </w:r>
                  <w:r w:rsidRPr="00E73233">
                    <w:t>000</w:t>
                  </w:r>
                  <w:r>
                    <w:t xml:space="preserve"> </w:t>
                  </w:r>
                </w:p>
              </w:tc>
              <w:tc>
                <w:tcPr>
                  <w:tcW w:w="1833" w:type="dxa"/>
                  <w:vAlign w:val="center"/>
                </w:tcPr>
                <w:p w14:paraId="501CD9A9" w14:textId="76C8699B" w:rsidR="004466E0" w:rsidRPr="00E73233" w:rsidRDefault="004466E0" w:rsidP="00B701EE">
                  <w:pPr>
                    <w:jc w:val="center"/>
                  </w:pPr>
                  <w:r>
                    <w:t>5.klase</w:t>
                  </w:r>
                </w:p>
              </w:tc>
            </w:tr>
          </w:tbl>
          <w:p w14:paraId="0FC90BA1" w14:textId="77777777" w:rsidR="006A5CC6" w:rsidRDefault="006A5CC6" w:rsidP="00D11989">
            <w:pPr>
              <w:shd w:val="clear" w:color="auto" w:fill="FFFFFF"/>
              <w:ind w:firstLine="392"/>
              <w:jc w:val="both"/>
            </w:pPr>
          </w:p>
          <w:p w14:paraId="566ABFF4" w14:textId="77777777" w:rsidR="009F7C05" w:rsidRDefault="00055C4A" w:rsidP="00D11989">
            <w:pPr>
              <w:shd w:val="clear" w:color="auto" w:fill="FFFFFF"/>
              <w:ind w:firstLine="392"/>
              <w:jc w:val="both"/>
            </w:pPr>
            <w:r>
              <w:t xml:space="preserve">Pasūtītājs pieprasa būvkomersantu kvalifikācijas klasi atbilstoši paredzamajai būvdarbu līgumcenas vērtībai saskaņā ar </w:t>
            </w:r>
            <w:r w:rsidR="0019633A">
              <w:t>2</w:t>
            </w:r>
            <w:r>
              <w:t xml:space="preserve">. tabulu, ņemot vērā, ka 1.klase ir augstākā, bet 5.klase zemākā. </w:t>
            </w:r>
            <w:r w:rsidR="00BE3E42">
              <w:t xml:space="preserve">Šajā tabulā ir noteikts, cik augstu būvkomersanta kvalifikācijas klasi pasūtītājs var pieprasīt ņemot vērā paredzamo būvdarbu līgumcenas vērtību. </w:t>
            </w:r>
            <w:r w:rsidR="007B3AAE">
              <w:t xml:space="preserve">Lai veicinātu konkurenci un novērstu nepamatoti augstas būvkomersanta kvalifikācijas klases </w:t>
            </w:r>
            <w:r w:rsidR="007B3AAE">
              <w:lastRenderedPageBreak/>
              <w:t>pieprasīšanu,</w:t>
            </w:r>
            <w:r>
              <w:t xml:space="preserve"> </w:t>
            </w:r>
            <w:r w:rsidR="004F0417">
              <w:t>pasūtītājs būvdarbu iepirkumā nevar pieprasīt augstāku klasi par to kāda atbilst būvdarbu līgumcenas robežvērtībai saskaņā ar 1.tabulu</w:t>
            </w:r>
            <w:r w:rsidR="00A95274">
              <w:t>.</w:t>
            </w:r>
            <w:r w:rsidR="007709EE">
              <w:t xml:space="preserve"> </w:t>
            </w:r>
          </w:p>
          <w:p w14:paraId="0A9D0419" w14:textId="5C66AEE9" w:rsidR="00C42CD0" w:rsidRDefault="00675C19" w:rsidP="00D11989">
            <w:pPr>
              <w:shd w:val="clear" w:color="auto" w:fill="FFFFFF"/>
              <w:ind w:firstLine="392"/>
              <w:jc w:val="both"/>
            </w:pPr>
            <w:r w:rsidRPr="00B96DFC">
              <w:rPr>
                <w:b/>
              </w:rPr>
              <w:t>Noteikumu projektā</w:t>
            </w:r>
            <w:r>
              <w:rPr>
                <w:b/>
              </w:rPr>
              <w:t xml:space="preserve"> ir paredzēts, ka b</w:t>
            </w:r>
            <w:r w:rsidR="007709EE" w:rsidRPr="004466E0">
              <w:rPr>
                <w:b/>
              </w:rPr>
              <w:t>ūvuzņēmums, var piedalīties būvdarbu iepirkumā</w:t>
            </w:r>
            <w:r w:rsidR="000E34A9">
              <w:rPr>
                <w:b/>
              </w:rPr>
              <w:t>,</w:t>
            </w:r>
            <w:r w:rsidR="007709EE" w:rsidRPr="004466E0">
              <w:rPr>
                <w:b/>
              </w:rPr>
              <w:t xml:space="preserve"> ja tā kvalifikācijas klase </w:t>
            </w:r>
            <w:r w:rsidR="007709EE" w:rsidRPr="00A95274">
              <w:rPr>
                <w:b/>
                <w:u w:val="single"/>
              </w:rPr>
              <w:t>nav zemāka</w:t>
            </w:r>
            <w:r w:rsidR="007709EE" w:rsidRPr="004466E0">
              <w:rPr>
                <w:b/>
              </w:rPr>
              <w:t xml:space="preserve"> par pasūtītāja pieprasīto būvkomersanta kvalifikācijas klasi</w:t>
            </w:r>
            <w:r w:rsidR="007709EE" w:rsidRPr="007709EE">
              <w:t>.</w:t>
            </w:r>
            <w:r w:rsidR="007709EE">
              <w:t xml:space="preserve"> </w:t>
            </w:r>
          </w:p>
          <w:p w14:paraId="284BEADF" w14:textId="7EE39D7B" w:rsidR="00BE3E42" w:rsidRDefault="007709EE" w:rsidP="00D11989">
            <w:pPr>
              <w:shd w:val="clear" w:color="auto" w:fill="FFFFFF"/>
              <w:ind w:firstLine="392"/>
              <w:jc w:val="both"/>
            </w:pPr>
            <w:r>
              <w:t xml:space="preserve">Piemēram, ja paredzamā būvdarbu līgumcenas vērtība ir 5 000 000 </w:t>
            </w:r>
            <w:r w:rsidRPr="007709EE">
              <w:rPr>
                <w:i/>
              </w:rPr>
              <w:t>euro</w:t>
            </w:r>
            <w:r>
              <w:rPr>
                <w:i/>
              </w:rPr>
              <w:t xml:space="preserve"> </w:t>
            </w:r>
            <w:r>
              <w:t>pasūtītājs var pieprasīt</w:t>
            </w:r>
            <w:r w:rsidR="00C42CD0">
              <w:t xml:space="preserve"> 2., 3., 4., vai 5. būvkomersanta kvalifikācijas klasi. Pieņemot, ka pasūtītājs ir pieprasījis </w:t>
            </w:r>
            <w:r w:rsidR="004466E0">
              <w:rPr>
                <w:b/>
              </w:rPr>
              <w:t>4</w:t>
            </w:r>
            <w:r w:rsidR="00C42CD0" w:rsidRPr="00C42CD0">
              <w:rPr>
                <w:b/>
              </w:rPr>
              <w:t>. klasi</w:t>
            </w:r>
            <w:r w:rsidR="00C42CD0">
              <w:t xml:space="preserve">, šādā iepirkumā var piedalīties visi būvuzņēmumi, kuriem ir </w:t>
            </w:r>
            <w:r w:rsidR="00C42CD0" w:rsidRPr="00C42CD0">
              <w:rPr>
                <w:b/>
              </w:rPr>
              <w:t>1</w:t>
            </w:r>
            <w:r w:rsidR="00C42CD0">
              <w:t xml:space="preserve">., </w:t>
            </w:r>
            <w:r w:rsidR="00C42CD0" w:rsidRPr="00C42CD0">
              <w:rPr>
                <w:b/>
              </w:rPr>
              <w:t>2</w:t>
            </w:r>
            <w:r w:rsidR="00C42CD0">
              <w:t>.,</w:t>
            </w:r>
            <w:r w:rsidR="004466E0">
              <w:t xml:space="preserve"> </w:t>
            </w:r>
            <w:r w:rsidR="004466E0" w:rsidRPr="004466E0">
              <w:rPr>
                <w:b/>
              </w:rPr>
              <w:t>3</w:t>
            </w:r>
            <w:r w:rsidR="004466E0">
              <w:t>.</w:t>
            </w:r>
            <w:r w:rsidR="00C42CD0">
              <w:t xml:space="preserve"> vai </w:t>
            </w:r>
            <w:r w:rsidR="004466E0">
              <w:rPr>
                <w:b/>
              </w:rPr>
              <w:t>4</w:t>
            </w:r>
            <w:r w:rsidR="00C42CD0">
              <w:t>. būvkomersanta kvalifikācijas klase.</w:t>
            </w:r>
          </w:p>
          <w:p w14:paraId="21CC2596" w14:textId="77777777" w:rsidR="009F7C05" w:rsidRDefault="009F7C05" w:rsidP="00BE3E42">
            <w:pPr>
              <w:shd w:val="clear" w:color="auto" w:fill="FFFFFF"/>
              <w:ind w:firstLine="392"/>
              <w:jc w:val="right"/>
            </w:pPr>
          </w:p>
          <w:p w14:paraId="1CB35EEA" w14:textId="3E38BD8A" w:rsidR="00BE3E42" w:rsidRDefault="0019633A" w:rsidP="00BE3E42">
            <w:pPr>
              <w:shd w:val="clear" w:color="auto" w:fill="FFFFFF"/>
              <w:ind w:firstLine="392"/>
              <w:jc w:val="right"/>
            </w:pPr>
            <w:r>
              <w:t>2</w:t>
            </w:r>
            <w:r w:rsidR="00BE3E42">
              <w:t>.tabula</w:t>
            </w:r>
          </w:p>
          <w:p w14:paraId="1D99AA29" w14:textId="1C9ECCCA" w:rsidR="00BE3E42" w:rsidRPr="00BE3E42" w:rsidRDefault="00BE3E42" w:rsidP="00BE3E42">
            <w:pPr>
              <w:shd w:val="clear" w:color="auto" w:fill="FFFFFF"/>
              <w:ind w:firstLine="392"/>
              <w:jc w:val="center"/>
              <w:rPr>
                <w:b/>
              </w:rPr>
            </w:pPr>
            <w:r w:rsidRPr="00BE3E42">
              <w:rPr>
                <w:b/>
              </w:rPr>
              <w:t>Būvkomersantu klasifikācijas piemērošana</w:t>
            </w:r>
          </w:p>
          <w:tbl>
            <w:tblPr>
              <w:tblStyle w:val="TableGrid"/>
              <w:tblW w:w="0" w:type="auto"/>
              <w:tblLook w:val="04A0" w:firstRow="1" w:lastRow="0" w:firstColumn="1" w:lastColumn="0" w:noHBand="0" w:noVBand="1"/>
            </w:tblPr>
            <w:tblGrid>
              <w:gridCol w:w="3133"/>
              <w:gridCol w:w="3133"/>
            </w:tblGrid>
            <w:tr w:rsidR="00BE3E42" w14:paraId="32B33970" w14:textId="77777777" w:rsidTr="00BE3E42">
              <w:tc>
                <w:tcPr>
                  <w:tcW w:w="3133" w:type="dxa"/>
                </w:tcPr>
                <w:p w14:paraId="6D1FD8F5" w14:textId="21F7C4CE" w:rsidR="00BE3E42" w:rsidRPr="00BE3E42" w:rsidRDefault="00BE3E42" w:rsidP="00BE3E42">
                  <w:pPr>
                    <w:jc w:val="center"/>
                    <w:rPr>
                      <w:b/>
                    </w:rPr>
                  </w:pPr>
                  <w:r w:rsidRPr="00BE3E42">
                    <w:rPr>
                      <w:b/>
                    </w:rPr>
                    <w:t>Paredzamā būvdarbu līgumcena</w:t>
                  </w:r>
                </w:p>
              </w:tc>
              <w:tc>
                <w:tcPr>
                  <w:tcW w:w="3133" w:type="dxa"/>
                </w:tcPr>
                <w:p w14:paraId="79D31AAC" w14:textId="1CD22ABB" w:rsidR="00BE3E42" w:rsidRPr="00BE3E42" w:rsidRDefault="007B3AAE" w:rsidP="00BE3E42">
                  <w:pPr>
                    <w:jc w:val="center"/>
                    <w:rPr>
                      <w:b/>
                    </w:rPr>
                  </w:pPr>
                  <w:r>
                    <w:rPr>
                      <w:b/>
                    </w:rPr>
                    <w:t>Būvkomersantu kvalifikācijas</w:t>
                  </w:r>
                  <w:r w:rsidR="00BE3E42" w:rsidRPr="00BE3E42">
                    <w:rPr>
                      <w:b/>
                    </w:rPr>
                    <w:t xml:space="preserve"> klase, kuru pasūtītājs var pieprasīt</w:t>
                  </w:r>
                </w:p>
              </w:tc>
            </w:tr>
            <w:tr w:rsidR="00BE3E42" w14:paraId="604862F4" w14:textId="77777777" w:rsidTr="00BE3E42">
              <w:tc>
                <w:tcPr>
                  <w:tcW w:w="3133" w:type="dxa"/>
                </w:tcPr>
                <w:p w14:paraId="20AF4865" w14:textId="507A7C2E" w:rsidR="00BE3E42" w:rsidRDefault="00BE3E42" w:rsidP="00BE3E42">
                  <w:pPr>
                    <w:jc w:val="center"/>
                  </w:pPr>
                  <w:r w:rsidRPr="00BE3E42">
                    <w:t>Virs 7 500 001 euro</w:t>
                  </w:r>
                </w:p>
              </w:tc>
              <w:tc>
                <w:tcPr>
                  <w:tcW w:w="3133" w:type="dxa"/>
                </w:tcPr>
                <w:p w14:paraId="7F7901D6" w14:textId="422BE7D8" w:rsidR="00BE3E42" w:rsidRDefault="007B3AAE" w:rsidP="00BE3E42">
                  <w:pPr>
                    <w:jc w:val="center"/>
                  </w:pPr>
                  <w:r>
                    <w:t xml:space="preserve">1., 2., 3., 4., 5. </w:t>
                  </w:r>
                </w:p>
              </w:tc>
            </w:tr>
            <w:tr w:rsidR="00BE3E42" w14:paraId="764EBFC6" w14:textId="77777777" w:rsidTr="00BE3E42">
              <w:tc>
                <w:tcPr>
                  <w:tcW w:w="3133" w:type="dxa"/>
                </w:tcPr>
                <w:p w14:paraId="5409205A" w14:textId="43D8BFCD" w:rsidR="00BE3E42" w:rsidRDefault="00BE3E42" w:rsidP="00BE3E42">
                  <w:pPr>
                    <w:jc w:val="center"/>
                  </w:pPr>
                  <w:r w:rsidRPr="00BE3E42">
                    <w:t>2 500 00</w:t>
                  </w:r>
                  <w:r w:rsidR="004F0417">
                    <w:t>,01</w:t>
                  </w:r>
                  <w:r w:rsidRPr="00BE3E42">
                    <w:t xml:space="preserve"> – 7 500 000 euro</w:t>
                  </w:r>
                </w:p>
              </w:tc>
              <w:tc>
                <w:tcPr>
                  <w:tcW w:w="3133" w:type="dxa"/>
                </w:tcPr>
                <w:p w14:paraId="7D2B043E" w14:textId="296A3451" w:rsidR="00BE3E42" w:rsidRDefault="00BE3E42" w:rsidP="00BE3E42">
                  <w:pPr>
                    <w:jc w:val="center"/>
                  </w:pPr>
                  <w:r w:rsidRPr="00BE3E42">
                    <w:t>2.</w:t>
                  </w:r>
                  <w:r w:rsidR="007B3AAE">
                    <w:t>, 3., 4., 5.</w:t>
                  </w:r>
                  <w:r w:rsidRPr="00BE3E42">
                    <w:t xml:space="preserve"> </w:t>
                  </w:r>
                </w:p>
              </w:tc>
            </w:tr>
            <w:tr w:rsidR="00BE3E42" w14:paraId="327BF1D6" w14:textId="77777777" w:rsidTr="00BE3E42">
              <w:tc>
                <w:tcPr>
                  <w:tcW w:w="3133" w:type="dxa"/>
                </w:tcPr>
                <w:p w14:paraId="461FF582" w14:textId="5E99A6EE" w:rsidR="00BE3E42" w:rsidRDefault="00BE3E42" w:rsidP="00BE3E42">
                  <w:pPr>
                    <w:jc w:val="center"/>
                  </w:pPr>
                  <w:r w:rsidRPr="00BE3E42">
                    <w:t>500 001 – 2 500 000 euro</w:t>
                  </w:r>
                </w:p>
              </w:tc>
              <w:tc>
                <w:tcPr>
                  <w:tcW w:w="3133" w:type="dxa"/>
                </w:tcPr>
                <w:p w14:paraId="531A4954" w14:textId="623E6F83" w:rsidR="00BE3E42" w:rsidRDefault="00BE3E42" w:rsidP="00BE3E42">
                  <w:pPr>
                    <w:jc w:val="center"/>
                  </w:pPr>
                  <w:r w:rsidRPr="00BE3E42">
                    <w:t>3.</w:t>
                  </w:r>
                  <w:r w:rsidR="007B3AAE">
                    <w:t>, 4., 5.</w:t>
                  </w:r>
                </w:p>
              </w:tc>
            </w:tr>
            <w:tr w:rsidR="00BE3E42" w14:paraId="0D4664DA" w14:textId="77777777" w:rsidTr="00BE3E42">
              <w:tc>
                <w:tcPr>
                  <w:tcW w:w="3133" w:type="dxa"/>
                </w:tcPr>
                <w:p w14:paraId="57F95BCF" w14:textId="61B0CAFC" w:rsidR="00BE3E42" w:rsidRDefault="00BE3E42" w:rsidP="00BE3E42">
                  <w:pPr>
                    <w:jc w:val="center"/>
                  </w:pPr>
                  <w:r w:rsidRPr="00BE3E42">
                    <w:t>37 501 – 500 000 euro</w:t>
                  </w:r>
                </w:p>
              </w:tc>
              <w:tc>
                <w:tcPr>
                  <w:tcW w:w="3133" w:type="dxa"/>
                </w:tcPr>
                <w:p w14:paraId="1443EF77" w14:textId="575EE8ED" w:rsidR="00BE3E42" w:rsidRDefault="00BE3E42" w:rsidP="00BE3E42">
                  <w:pPr>
                    <w:jc w:val="center"/>
                  </w:pPr>
                  <w:r w:rsidRPr="00BE3E42">
                    <w:t>4.</w:t>
                  </w:r>
                  <w:r w:rsidR="007B3AAE">
                    <w:t>, 5.</w:t>
                  </w:r>
                  <w:r w:rsidRPr="00BE3E42">
                    <w:t xml:space="preserve"> </w:t>
                  </w:r>
                </w:p>
              </w:tc>
            </w:tr>
            <w:tr w:rsidR="00BE3E42" w14:paraId="34BFA6E0" w14:textId="77777777" w:rsidTr="00BE3E42">
              <w:tc>
                <w:tcPr>
                  <w:tcW w:w="3133" w:type="dxa"/>
                </w:tcPr>
                <w:p w14:paraId="6097B0A5" w14:textId="2B76E4FC" w:rsidR="00BE3E42" w:rsidRDefault="00BE3E42" w:rsidP="00BE3E42">
                  <w:pPr>
                    <w:jc w:val="center"/>
                  </w:pPr>
                  <w:r w:rsidRPr="00BE3E42">
                    <w:t>Līdz 37 500 euro</w:t>
                  </w:r>
                </w:p>
              </w:tc>
              <w:tc>
                <w:tcPr>
                  <w:tcW w:w="3133" w:type="dxa"/>
                </w:tcPr>
                <w:p w14:paraId="3660A5A6" w14:textId="6F1AC182" w:rsidR="00BE3E42" w:rsidRDefault="00BE3E42" w:rsidP="00BE3E42">
                  <w:pPr>
                    <w:jc w:val="center"/>
                  </w:pPr>
                  <w:r w:rsidRPr="00BE3E42">
                    <w:t xml:space="preserve">5. </w:t>
                  </w:r>
                </w:p>
              </w:tc>
            </w:tr>
          </w:tbl>
          <w:p w14:paraId="090E9B8D" w14:textId="77777777" w:rsidR="00BE3E42" w:rsidRDefault="00BE3E42" w:rsidP="00BE3E42">
            <w:pPr>
              <w:shd w:val="clear" w:color="auto" w:fill="FFFFFF"/>
              <w:ind w:firstLine="392"/>
              <w:jc w:val="center"/>
            </w:pPr>
          </w:p>
          <w:p w14:paraId="517A63AA" w14:textId="6A50FE4D" w:rsidR="00BE3E42" w:rsidRDefault="00A95274" w:rsidP="00D11989">
            <w:pPr>
              <w:shd w:val="clear" w:color="auto" w:fill="FFFFFF"/>
              <w:ind w:firstLine="392"/>
              <w:jc w:val="both"/>
            </w:pPr>
            <w:r>
              <w:t xml:space="preserve">Ņemot vērā, ka tiek grozīti būvkomersantu kvalifikācijas klases noteikšanas kritēriji (izslēdzot </w:t>
            </w:r>
            <w:r w:rsidRPr="00B96DFC">
              <w:t>Noteikumos Nr.211</w:t>
            </w:r>
            <w:r>
              <w:t xml:space="preserve"> 34.1. apakšpunktā noteikto 6.kritēriju), kā arī</w:t>
            </w:r>
            <w:r w:rsidR="000E34A9">
              <w:t>,</w:t>
            </w:r>
            <w:bookmarkStart w:id="0" w:name="_GoBack"/>
            <w:bookmarkEnd w:id="0"/>
            <w:r>
              <w:t xml:space="preserve"> lai nodrošinātu būvuzņēmumiem pietiekoši ilg</w:t>
            </w:r>
            <w:r w:rsidR="00E46400">
              <w:t>u</w:t>
            </w:r>
            <w:r>
              <w:t xml:space="preserve"> laik</w:t>
            </w:r>
            <w:r w:rsidR="00E46400">
              <w:t>a periodu</w:t>
            </w:r>
            <w:r>
              <w:t>, lai iepazīt</w:t>
            </w:r>
            <w:r w:rsidR="00E46400">
              <w:t>u</w:t>
            </w:r>
            <w:r>
              <w:t xml:space="preserve"> būvkomersantu kvalifikācijas klases piemērošanas noteikum</w:t>
            </w:r>
            <w:r w:rsidR="00E46400">
              <w:t>us</w:t>
            </w:r>
            <w:r>
              <w:t xml:space="preserve"> un</w:t>
            </w:r>
            <w:r w:rsidR="00E46400">
              <w:t xml:space="preserve"> veiktu pasākumus kvalifikācijas klases paaugstināšanai, </w:t>
            </w:r>
            <w:r>
              <w:t xml:space="preserve"> būvkomersantu </w:t>
            </w:r>
            <w:r w:rsidR="001D04D6">
              <w:t>klasifikācijas</w:t>
            </w:r>
            <w:r>
              <w:t xml:space="preserve"> piemērošana publiskajos iepirkumos tiks piemērota </w:t>
            </w:r>
            <w:r w:rsidRPr="00E46400">
              <w:rPr>
                <w:b/>
              </w:rPr>
              <w:t>sākot ar 2021.gada 1.septembri</w:t>
            </w:r>
            <w:r>
              <w:t>.</w:t>
            </w:r>
          </w:p>
          <w:p w14:paraId="33D9336C" w14:textId="6B943129" w:rsidR="00193E5B" w:rsidRDefault="00193E5B" w:rsidP="006F1F90">
            <w:pPr>
              <w:shd w:val="clear" w:color="auto" w:fill="FFFFFF"/>
              <w:ind w:firstLine="394"/>
              <w:jc w:val="both"/>
            </w:pPr>
          </w:p>
          <w:p w14:paraId="2F2EF505" w14:textId="70DDA5E3" w:rsidR="003710A0" w:rsidRPr="003710A0" w:rsidRDefault="003710A0" w:rsidP="006F1F90">
            <w:pPr>
              <w:shd w:val="clear" w:color="auto" w:fill="FFFFFF"/>
              <w:ind w:firstLine="394"/>
              <w:jc w:val="both"/>
              <w:rPr>
                <w:b/>
                <w:u w:val="single"/>
              </w:rPr>
            </w:pPr>
            <w:r w:rsidRPr="003710A0">
              <w:rPr>
                <w:b/>
                <w:u w:val="single"/>
              </w:rPr>
              <w:t>Pieredze būvju grupu būvniecības darbos</w:t>
            </w:r>
          </w:p>
          <w:p w14:paraId="74D3F8FA" w14:textId="43010830" w:rsidR="003710A0" w:rsidRDefault="003710A0" w:rsidP="006F1F90">
            <w:pPr>
              <w:shd w:val="clear" w:color="auto" w:fill="FFFFFF"/>
              <w:ind w:firstLine="394"/>
              <w:jc w:val="both"/>
            </w:pPr>
            <w:r w:rsidRPr="00B96DFC">
              <w:t>Noteikumos Nr.</w:t>
            </w:r>
            <w:r w:rsidR="00B4172E">
              <w:t xml:space="preserve"> </w:t>
            </w:r>
            <w:r w:rsidRPr="00B96DFC">
              <w:t>211</w:t>
            </w:r>
            <w:r>
              <w:t xml:space="preserve"> ir iekļauts kritērijs, kas nosaka, kād</w:t>
            </w:r>
            <w:r w:rsidR="00125F9F">
              <w:t>u būvdarbu un</w:t>
            </w:r>
            <w:r>
              <w:t xml:space="preserve"> būvju būvniecībā būvuzņēmumam ir pieredze. Saskaņā ar </w:t>
            </w:r>
            <w:r w:rsidRPr="00B96DFC">
              <w:t>Noteikumu Nr.211</w:t>
            </w:r>
            <w:r>
              <w:t xml:space="preserve"> 32.3.</w:t>
            </w:r>
            <w:r w:rsidR="00727DB0">
              <w:t xml:space="preserve"> </w:t>
            </w:r>
            <w:r>
              <w:t xml:space="preserve">apakšpunktu </w:t>
            </w:r>
            <w:r w:rsidR="00600C1A">
              <w:t>k</w:t>
            </w:r>
            <w:r w:rsidRPr="00B96DFC">
              <w:t xml:space="preserve">lasifikācijas iestāde atzīst būvuzņēmuma kvalifikāciju konkrētu būvdarbu veidu veikšanā būvju grupā, ja </w:t>
            </w:r>
            <w:r w:rsidRPr="00B96DFC">
              <w:rPr>
                <w:b/>
              </w:rPr>
              <w:t>trīs līdz piecus gadus</w:t>
            </w:r>
            <w:r w:rsidRPr="00B96DFC">
              <w:t xml:space="preserve"> pirms lēmuma pieņemšanas par klasifikāciju </w:t>
            </w:r>
            <w:r w:rsidRPr="00B96DFC">
              <w:rPr>
                <w:b/>
              </w:rPr>
              <w:t>Būvniecības informācijas sistēmas uzturētajos būvdarbu žurnālos</w:t>
            </w:r>
            <w:r w:rsidRPr="00B96DFC">
              <w:t xml:space="preserve"> ir vismaz divas atzīmes par būvdarbu veikšanu šo noteikumu 1. pielikumā minētajos būvdarbos</w:t>
            </w:r>
            <w:r>
              <w:t xml:space="preserve">. Ņemot vērā, ka Būvniecības informācijas uzturētie būvdarbu žurnāli šobrīd netiek plaši izmantoti, klasifikācijas iestāde nevarēs iekļaut </w:t>
            </w:r>
            <w:r w:rsidR="006432F9">
              <w:t xml:space="preserve">lēmumos par būvuzņēmumu klasifikāciju atzīmi par būvuzņēmuma pieredzi </w:t>
            </w:r>
            <w:r w:rsidR="006432F9" w:rsidRPr="006432F9">
              <w:t>konkrētu būvdarbu veidu veikšanā būvju grupā</w:t>
            </w:r>
            <w:r w:rsidR="006432F9">
              <w:t>.</w:t>
            </w:r>
          </w:p>
          <w:p w14:paraId="602CF69E" w14:textId="7A2D10A0" w:rsidR="006432F9" w:rsidRPr="003710A0" w:rsidRDefault="00125F9F" w:rsidP="006432F9">
            <w:pPr>
              <w:shd w:val="clear" w:color="auto" w:fill="FFFFFF"/>
              <w:ind w:firstLine="394"/>
              <w:jc w:val="both"/>
            </w:pPr>
            <w:r>
              <w:t xml:space="preserve">Būvniecības likuma </w:t>
            </w:r>
            <w:r w:rsidR="006432F9">
              <w:t>pārejas noteikumu 21.</w:t>
            </w:r>
            <w:r w:rsidR="00600C1A">
              <w:t xml:space="preserve"> </w:t>
            </w:r>
            <w:r w:rsidR="006432F9">
              <w:t>punktā</w:t>
            </w:r>
            <w:r w:rsidR="00675C19">
              <w:t>,</w:t>
            </w:r>
            <w:r w:rsidR="006432F9">
              <w:t xml:space="preserve"> ir noteikts</w:t>
            </w:r>
            <w:r w:rsidR="00050DBE">
              <w:t xml:space="preserve"> </w:t>
            </w:r>
            <w:r w:rsidR="00050DBE" w:rsidRPr="00675C19">
              <w:t>(Būvniecības likuma grozījumi ir pieņemti Saeimā 2019.</w:t>
            </w:r>
            <w:r w:rsidR="00600C1A">
              <w:t xml:space="preserve"> </w:t>
            </w:r>
            <w:r w:rsidR="00050DBE" w:rsidRPr="00675C19">
              <w:t>gada 14.</w:t>
            </w:r>
            <w:r w:rsidR="00600C1A">
              <w:t xml:space="preserve"> </w:t>
            </w:r>
            <w:r w:rsidR="00050DBE" w:rsidRPr="00675C19">
              <w:lastRenderedPageBreak/>
              <w:t>februārī)</w:t>
            </w:r>
            <w:r w:rsidR="006432F9" w:rsidRPr="00675C19">
              <w:t>,</w:t>
            </w:r>
            <w:r w:rsidR="006432F9">
              <w:t xml:space="preserve"> ka ar 2020.</w:t>
            </w:r>
            <w:r w:rsidR="00600C1A">
              <w:t xml:space="preserve"> </w:t>
            </w:r>
            <w:r w:rsidR="006432F9">
              <w:t>gada 1.</w:t>
            </w:r>
            <w:r w:rsidR="00600C1A">
              <w:t xml:space="preserve"> </w:t>
            </w:r>
            <w:r w:rsidR="006432F9">
              <w:t>janvāri būvniecības administratīvais process (tajā skaitā būvdarbu žurnāls) uzsākams elektroniski Būvniecības informācijas sistēmā</w:t>
            </w:r>
            <w:r>
              <w:t>.</w:t>
            </w:r>
            <w:r w:rsidR="006432F9">
              <w:t xml:space="preserve"> </w:t>
            </w:r>
            <w:r>
              <w:t>L</w:t>
            </w:r>
            <w:r w:rsidR="006432F9">
              <w:t xml:space="preserve">īdz ar to klasifikācijas iestāde informāciju no Būvniecības informācijas sistēmas uzturētajiem būvdarbu žurnāliem par būvuzņēmumu pēdējo trīs līdz piecu gadu laikā </w:t>
            </w:r>
            <w:r>
              <w:t xml:space="preserve">veikto būvdarbu veidu un būvju grupām varēs iegūt sākot ar </w:t>
            </w:r>
            <w:r w:rsidRPr="00125F9F">
              <w:rPr>
                <w:b/>
              </w:rPr>
              <w:t>202</w:t>
            </w:r>
            <w:r>
              <w:rPr>
                <w:b/>
              </w:rPr>
              <w:t>3</w:t>
            </w:r>
            <w:r w:rsidRPr="00125F9F">
              <w:rPr>
                <w:b/>
              </w:rPr>
              <w:t>.</w:t>
            </w:r>
            <w:r w:rsidR="00600C1A">
              <w:rPr>
                <w:b/>
              </w:rPr>
              <w:t xml:space="preserve"> </w:t>
            </w:r>
            <w:r w:rsidRPr="00125F9F">
              <w:rPr>
                <w:b/>
              </w:rPr>
              <w:t>gada 1.</w:t>
            </w:r>
            <w:r w:rsidR="00600C1A">
              <w:rPr>
                <w:b/>
              </w:rPr>
              <w:t xml:space="preserve"> </w:t>
            </w:r>
            <w:r w:rsidRPr="00125F9F">
              <w:rPr>
                <w:b/>
              </w:rPr>
              <w:t>janvāri</w:t>
            </w:r>
            <w:r>
              <w:t>, nevis 2019.</w:t>
            </w:r>
            <w:r w:rsidR="00600C1A">
              <w:t xml:space="preserve"> </w:t>
            </w:r>
            <w:r>
              <w:t>gada 30.</w:t>
            </w:r>
            <w:r w:rsidR="00600C1A">
              <w:t xml:space="preserve"> </w:t>
            </w:r>
            <w:r>
              <w:t xml:space="preserve">aprīli, kā tas šobrīd ir noteikts </w:t>
            </w:r>
            <w:r w:rsidRPr="00B96DFC">
              <w:t>Noteikumu Nr.</w:t>
            </w:r>
            <w:r w:rsidR="00BB74FE">
              <w:t xml:space="preserve"> </w:t>
            </w:r>
            <w:r w:rsidRPr="00B96DFC">
              <w:t>211</w:t>
            </w:r>
            <w:r w:rsidRPr="00600C1A">
              <w:t xml:space="preserve"> </w:t>
            </w:r>
            <w:r>
              <w:t>68.</w:t>
            </w:r>
            <w:r w:rsidR="00600C1A">
              <w:t xml:space="preserve"> </w:t>
            </w:r>
            <w:r>
              <w:t>punktā.</w:t>
            </w:r>
          </w:p>
          <w:p w14:paraId="0E7FAB14" w14:textId="40F28B5D" w:rsidR="00E46400" w:rsidRPr="00B74E1D" w:rsidRDefault="00E46400" w:rsidP="006F1F90">
            <w:pPr>
              <w:shd w:val="clear" w:color="auto" w:fill="FFFFFF"/>
              <w:ind w:firstLine="394"/>
              <w:jc w:val="both"/>
            </w:pPr>
          </w:p>
        </w:tc>
      </w:tr>
      <w:tr w:rsidR="00730B3B" w:rsidRPr="00B74E1D" w14:paraId="57A21506" w14:textId="77777777" w:rsidTr="00F615B8">
        <w:tc>
          <w:tcPr>
            <w:tcW w:w="281" w:type="pct"/>
            <w:hideMark/>
          </w:tcPr>
          <w:p w14:paraId="7B32C9CC" w14:textId="77777777" w:rsidR="00BD5588" w:rsidRPr="00B74E1D" w:rsidRDefault="00656B5C" w:rsidP="00793205">
            <w:pPr>
              <w:widowControl w:val="0"/>
              <w:jc w:val="center"/>
            </w:pPr>
            <w:r w:rsidRPr="00B74E1D">
              <w:lastRenderedPageBreak/>
              <w:t>3.</w:t>
            </w:r>
          </w:p>
        </w:tc>
        <w:tc>
          <w:tcPr>
            <w:tcW w:w="1263" w:type="pct"/>
            <w:hideMark/>
          </w:tcPr>
          <w:p w14:paraId="6674985C" w14:textId="77777777" w:rsidR="00BD5588" w:rsidRPr="00B74E1D" w:rsidRDefault="00656B5C" w:rsidP="00793205">
            <w:pPr>
              <w:widowControl w:val="0"/>
            </w:pPr>
            <w:r w:rsidRPr="00B74E1D">
              <w:t>Projekta izstrādē iesaistītās institūcijas un publiskas personas kapitālsabiedrības</w:t>
            </w:r>
          </w:p>
        </w:tc>
        <w:tc>
          <w:tcPr>
            <w:tcW w:w="3456" w:type="pct"/>
            <w:hideMark/>
          </w:tcPr>
          <w:p w14:paraId="2205E800" w14:textId="5542BB08" w:rsidR="00161647" w:rsidRPr="00B74E1D" w:rsidRDefault="0051332D" w:rsidP="005A2055">
            <w:pPr>
              <w:widowControl w:val="0"/>
            </w:pPr>
            <w:r>
              <w:rPr>
                <w:bCs/>
              </w:rPr>
              <w:t>Ekonomikas ministrija</w:t>
            </w:r>
            <w:r w:rsidR="00CA2FFC">
              <w:rPr>
                <w:bCs/>
              </w:rPr>
              <w:t>, Būvniecības Valsts kontroles birojs.</w:t>
            </w:r>
          </w:p>
        </w:tc>
      </w:tr>
      <w:tr w:rsidR="00730B3B" w:rsidRPr="00B74E1D" w14:paraId="483FA1C4" w14:textId="77777777" w:rsidTr="00F615B8">
        <w:tc>
          <w:tcPr>
            <w:tcW w:w="281" w:type="pct"/>
            <w:hideMark/>
          </w:tcPr>
          <w:p w14:paraId="000D7CE5" w14:textId="77777777" w:rsidR="00BD5588" w:rsidRPr="00B74E1D" w:rsidRDefault="00656B5C" w:rsidP="00793205">
            <w:pPr>
              <w:widowControl w:val="0"/>
              <w:jc w:val="center"/>
            </w:pPr>
            <w:r w:rsidRPr="00B74E1D">
              <w:t>4.</w:t>
            </w:r>
          </w:p>
        </w:tc>
        <w:tc>
          <w:tcPr>
            <w:tcW w:w="1263" w:type="pct"/>
            <w:hideMark/>
          </w:tcPr>
          <w:p w14:paraId="207D1E62" w14:textId="77777777" w:rsidR="00BD5588" w:rsidRPr="00B74E1D" w:rsidRDefault="00656B5C" w:rsidP="00793205">
            <w:pPr>
              <w:widowControl w:val="0"/>
            </w:pPr>
            <w:r w:rsidRPr="00B74E1D">
              <w:t>Cita informācija</w:t>
            </w:r>
          </w:p>
        </w:tc>
        <w:tc>
          <w:tcPr>
            <w:tcW w:w="3456" w:type="pct"/>
            <w:hideMark/>
          </w:tcPr>
          <w:p w14:paraId="7B034A20" w14:textId="77777777" w:rsidR="00BD5588" w:rsidRPr="00B74E1D" w:rsidRDefault="0051332D" w:rsidP="007C4D0D">
            <w:pPr>
              <w:widowControl w:val="0"/>
              <w:ind w:firstLine="108"/>
              <w:jc w:val="both"/>
            </w:pPr>
            <w:r>
              <w:t>Nav.</w:t>
            </w:r>
          </w:p>
        </w:tc>
      </w:tr>
    </w:tbl>
    <w:p w14:paraId="4C2DA4A9" w14:textId="77777777" w:rsidR="004E4DD9" w:rsidRPr="00D60C4A" w:rsidRDefault="004E4DD9" w:rsidP="00D60C4A">
      <w:pPr>
        <w:pStyle w:val="Title"/>
        <w:spacing w:line="260" w:lineRule="exact"/>
        <w:jc w:val="both"/>
        <w:rPr>
          <w:sz w:val="12"/>
          <w:szCs w:val="24"/>
          <w:highlight w:val="yellow"/>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730B3B" w:rsidRPr="00B74E1D" w14:paraId="7E83A3E0" w14:textId="77777777" w:rsidTr="00F54498">
        <w:tc>
          <w:tcPr>
            <w:tcW w:w="9244" w:type="dxa"/>
            <w:gridSpan w:val="3"/>
            <w:vAlign w:val="center"/>
            <w:hideMark/>
          </w:tcPr>
          <w:p w14:paraId="0E12B3AD" w14:textId="77777777" w:rsidR="00BD5588" w:rsidRPr="00B74E1D" w:rsidRDefault="00656B5C" w:rsidP="00E273A1">
            <w:pPr>
              <w:jc w:val="center"/>
              <w:rPr>
                <w:b/>
                <w:bCs/>
              </w:rPr>
            </w:pPr>
            <w:r w:rsidRPr="00B74E1D">
              <w:rPr>
                <w:b/>
                <w:bCs/>
              </w:rPr>
              <w:t>II. Tiesību akta projekta ietekme uz sabiedrību, tautsaimniecības attīstību un administratīvo slogu</w:t>
            </w:r>
          </w:p>
        </w:tc>
      </w:tr>
      <w:tr w:rsidR="00730B3B" w:rsidRPr="00B74E1D" w14:paraId="117F6E57" w14:textId="77777777" w:rsidTr="00F54498">
        <w:tc>
          <w:tcPr>
            <w:tcW w:w="516" w:type="dxa"/>
            <w:hideMark/>
          </w:tcPr>
          <w:p w14:paraId="1B32B2C7" w14:textId="77777777" w:rsidR="00BD5588" w:rsidRPr="00B74E1D" w:rsidRDefault="00656B5C" w:rsidP="00E273A1">
            <w:pPr>
              <w:jc w:val="center"/>
            </w:pPr>
            <w:r w:rsidRPr="00B74E1D">
              <w:t>1.</w:t>
            </w:r>
          </w:p>
        </w:tc>
        <w:tc>
          <w:tcPr>
            <w:tcW w:w="2454" w:type="dxa"/>
            <w:hideMark/>
          </w:tcPr>
          <w:p w14:paraId="03012D13" w14:textId="77777777" w:rsidR="00BD5588" w:rsidRPr="00B74E1D" w:rsidRDefault="00656B5C" w:rsidP="00E30236">
            <w:r w:rsidRPr="00B74E1D">
              <w:t xml:space="preserve">Sabiedrības </w:t>
            </w:r>
            <w:proofErr w:type="spellStart"/>
            <w:r w:rsidRPr="00B74E1D">
              <w:t>mērķgrupas</w:t>
            </w:r>
            <w:proofErr w:type="spellEnd"/>
            <w:r w:rsidRPr="00B74E1D">
              <w:t>, kuras tiesiskais regulējums ietekmē vai varētu ietekmēt</w:t>
            </w:r>
          </w:p>
        </w:tc>
        <w:tc>
          <w:tcPr>
            <w:tcW w:w="6274" w:type="dxa"/>
            <w:hideMark/>
          </w:tcPr>
          <w:p w14:paraId="774C2101" w14:textId="54105DE1" w:rsidR="00050DBE" w:rsidRPr="007509D0" w:rsidRDefault="00050DBE" w:rsidP="00050DBE">
            <w:pPr>
              <w:jc w:val="both"/>
            </w:pPr>
            <w:r w:rsidRPr="007509D0">
              <w:t>Jebkurš būvkomersants, kas pretendē uz būvdarbu veikšanu Būvniecības likuma 23.</w:t>
            </w:r>
            <w:r>
              <w:t> </w:t>
            </w:r>
            <w:r w:rsidRPr="007509D0">
              <w:t>panta pirmās daļas izpratnē; jebkurš pasūtītājs, kurš izsludinājis iepirkumu par būvdarbu līguma, kura finansējumam tiks izmantoti publisko tiesību juridiskās personas līdzekļi Eiropas Savienības politiku instrumentu vai citas ārvalstu finanšu palīdzības līdzekļi, piešķiršanu</w:t>
            </w:r>
            <w:r w:rsidR="00675C19">
              <w:t>.</w:t>
            </w:r>
            <w:r w:rsidRPr="007509D0">
              <w:t xml:space="preserve"> </w:t>
            </w:r>
          </w:p>
          <w:p w14:paraId="7678C08A" w14:textId="3B41E05C" w:rsidR="00FA3B65" w:rsidRPr="00B74E1D" w:rsidRDefault="00050DBE" w:rsidP="00675C19">
            <w:pPr>
              <w:jc w:val="both"/>
            </w:pPr>
            <w:r w:rsidRPr="007509D0">
              <w:t>Būvkomersantu reģistrā reģistrēt</w:t>
            </w:r>
            <w:r w:rsidR="00432762">
              <w:t>i</w:t>
            </w:r>
            <w:r w:rsidRPr="007509D0">
              <w:t xml:space="preserve"> aptuveni </w:t>
            </w:r>
            <w:r w:rsidR="00432762">
              <w:t>2050</w:t>
            </w:r>
            <w:r>
              <w:t> </w:t>
            </w:r>
            <w:r w:rsidRPr="007509D0">
              <w:t>uzņēmumu (skaits ir pastāvīgi mainīgs), kas atbilst vispārējā kārtībā kvalificējama būvuzņēmuma kritērijiem. Tomēr, tā kā klasifikācijas sistēma ir atvērta, uzņēmumu skaits, kas var izteikt vēlmi klasificēties, lai pretendētu uz būvdarbu līgumu Būvniecības likuma 23.</w:t>
            </w:r>
            <w:r>
              <w:t> </w:t>
            </w:r>
            <w:r w:rsidRPr="007509D0">
              <w:t xml:space="preserve">panta pirmās daļas izpratnē, ir lielāks. </w:t>
            </w:r>
          </w:p>
        </w:tc>
      </w:tr>
      <w:tr w:rsidR="00730B3B" w:rsidRPr="00B74E1D" w14:paraId="627237E9" w14:textId="77777777" w:rsidTr="00F54498">
        <w:tc>
          <w:tcPr>
            <w:tcW w:w="516" w:type="dxa"/>
            <w:hideMark/>
          </w:tcPr>
          <w:p w14:paraId="60B8AAFD" w14:textId="77777777" w:rsidR="00BD5588" w:rsidRPr="00B74E1D" w:rsidRDefault="00656B5C" w:rsidP="00E273A1">
            <w:pPr>
              <w:jc w:val="center"/>
            </w:pPr>
            <w:r w:rsidRPr="00B74E1D">
              <w:t>2.</w:t>
            </w:r>
          </w:p>
        </w:tc>
        <w:tc>
          <w:tcPr>
            <w:tcW w:w="2454" w:type="dxa"/>
            <w:hideMark/>
          </w:tcPr>
          <w:p w14:paraId="27848C45" w14:textId="77777777" w:rsidR="00BD5588" w:rsidRPr="00B74E1D" w:rsidRDefault="00656B5C" w:rsidP="00E30236">
            <w:r w:rsidRPr="00B74E1D">
              <w:t>Tiesiskā regulējuma ietekme uz tautsaimniecību un administratīvo slogu</w:t>
            </w:r>
          </w:p>
        </w:tc>
        <w:tc>
          <w:tcPr>
            <w:tcW w:w="6274" w:type="dxa"/>
            <w:hideMark/>
          </w:tcPr>
          <w:p w14:paraId="3FC778CD" w14:textId="10FC5598" w:rsidR="00161647" w:rsidRPr="00B74E1D" w:rsidRDefault="00050DBE" w:rsidP="00AD1486">
            <w:pPr>
              <w:jc w:val="both"/>
            </w:pPr>
            <w:r w:rsidRPr="007509D0">
              <w:t xml:space="preserve">Projekta ietekme uz būvniecības nozari ir pozitīva. Sistemātiska būvuzņēmumu izvērtēšana </w:t>
            </w:r>
            <w:r>
              <w:t>pēc vienotiem principiem veicina godīgu konkurenci.</w:t>
            </w:r>
            <w:r w:rsidRPr="007509D0">
              <w:t xml:space="preserve"> </w:t>
            </w:r>
            <w:r w:rsidR="00AD1486" w:rsidRPr="00AD1486">
              <w:t>Noteikumu projekts samazina administratīvo slogu publiskajos iepirkumos</w:t>
            </w:r>
            <w:r w:rsidR="00B96DFC">
              <w:t xml:space="preserve"> gan būvuzņēmumiem, gan pasūtītajiem</w:t>
            </w:r>
            <w:r w:rsidR="00AD1486" w:rsidRPr="00AD1486">
              <w:t>, ņemot vērā, ka būvuzņēmumiem nav jāiesniedz un iepirkum</w:t>
            </w:r>
            <w:r>
              <w:t>u</w:t>
            </w:r>
            <w:r w:rsidR="00AD1486" w:rsidRPr="00AD1486">
              <w:t xml:space="preserve"> komisij</w:t>
            </w:r>
            <w:r>
              <w:t>ām</w:t>
            </w:r>
            <w:r w:rsidR="00AD1486" w:rsidRPr="00AD1486">
              <w:t xml:space="preserve"> nav </w:t>
            </w:r>
            <w:r>
              <w:t xml:space="preserve">atkārtoti </w:t>
            </w:r>
            <w:r w:rsidR="00AD1486" w:rsidRPr="00AD1486">
              <w:t>jāpārbauda informācija, kas jau tiek vērtēta būvkomersantu klasifikācijas ietvaros.</w:t>
            </w:r>
            <w:r>
              <w:t xml:space="preserve"> Kā arī klasifikācijas piemērošana publisko būvdarbu iepirkumos </w:t>
            </w:r>
            <w:r w:rsidRPr="007509D0">
              <w:t>atvieglo</w:t>
            </w:r>
            <w:r>
              <w:t>s</w:t>
            </w:r>
            <w:r w:rsidRPr="007509D0">
              <w:t xml:space="preserve"> un padar</w:t>
            </w:r>
            <w:r>
              <w:t>īs</w:t>
            </w:r>
            <w:r w:rsidRPr="007509D0">
              <w:t xml:space="preserve"> caurspīdīg</w:t>
            </w:r>
            <w:r>
              <w:t>āku pretendentu atlases procesu.</w:t>
            </w:r>
          </w:p>
        </w:tc>
      </w:tr>
      <w:tr w:rsidR="00730B3B" w:rsidRPr="00B74E1D" w14:paraId="553DE395" w14:textId="77777777" w:rsidTr="00F54498">
        <w:tc>
          <w:tcPr>
            <w:tcW w:w="516" w:type="dxa"/>
            <w:hideMark/>
          </w:tcPr>
          <w:p w14:paraId="52D7C94C" w14:textId="77777777" w:rsidR="00BD5588" w:rsidRPr="00B74E1D" w:rsidRDefault="00656B5C" w:rsidP="00E273A1">
            <w:pPr>
              <w:jc w:val="center"/>
            </w:pPr>
            <w:r w:rsidRPr="00B74E1D">
              <w:t>3.</w:t>
            </w:r>
          </w:p>
        </w:tc>
        <w:tc>
          <w:tcPr>
            <w:tcW w:w="2454" w:type="dxa"/>
            <w:hideMark/>
          </w:tcPr>
          <w:p w14:paraId="3B5258C7" w14:textId="77777777" w:rsidR="00BD5588" w:rsidRPr="00B74E1D" w:rsidRDefault="00656B5C" w:rsidP="00E30236">
            <w:r w:rsidRPr="00B74E1D">
              <w:t>Administratīvo izmaksu monetārs novērtējums</w:t>
            </w:r>
          </w:p>
        </w:tc>
        <w:tc>
          <w:tcPr>
            <w:tcW w:w="6274" w:type="dxa"/>
            <w:hideMark/>
          </w:tcPr>
          <w:p w14:paraId="6124A0E9" w14:textId="125D08AD" w:rsidR="00BD5588" w:rsidRPr="00B74E1D" w:rsidRDefault="00050DBE" w:rsidP="00EA3D31">
            <w:pPr>
              <w:ind w:firstLine="108"/>
            </w:pPr>
            <w:r w:rsidRPr="00B74E1D">
              <w:t>Projekts šo jomu neskar</w:t>
            </w:r>
          </w:p>
        </w:tc>
      </w:tr>
      <w:tr w:rsidR="00730B3B" w:rsidRPr="00B74E1D" w14:paraId="3CBFA381" w14:textId="77777777" w:rsidTr="00F54498">
        <w:tc>
          <w:tcPr>
            <w:tcW w:w="516" w:type="dxa"/>
            <w:hideMark/>
          </w:tcPr>
          <w:p w14:paraId="4250BC45" w14:textId="77777777" w:rsidR="00BD5588" w:rsidRPr="00B74E1D" w:rsidRDefault="00656B5C" w:rsidP="00E273A1">
            <w:pPr>
              <w:jc w:val="center"/>
            </w:pPr>
            <w:r w:rsidRPr="00B74E1D">
              <w:t>4.</w:t>
            </w:r>
          </w:p>
        </w:tc>
        <w:tc>
          <w:tcPr>
            <w:tcW w:w="2454" w:type="dxa"/>
            <w:hideMark/>
          </w:tcPr>
          <w:p w14:paraId="2E53878C" w14:textId="77777777" w:rsidR="00BD5588" w:rsidRPr="00B74E1D" w:rsidRDefault="00656B5C" w:rsidP="00E273A1">
            <w:r w:rsidRPr="00B74E1D">
              <w:t>Atbilstības izmaksu monetārs novērtējums</w:t>
            </w:r>
          </w:p>
        </w:tc>
        <w:tc>
          <w:tcPr>
            <w:tcW w:w="6274" w:type="dxa"/>
            <w:hideMark/>
          </w:tcPr>
          <w:p w14:paraId="5583CF96" w14:textId="77777777" w:rsidR="00BD5588" w:rsidRPr="00B74E1D" w:rsidRDefault="00656B5C" w:rsidP="00EA3D31">
            <w:pPr>
              <w:ind w:firstLine="108"/>
            </w:pPr>
            <w:r w:rsidRPr="00B74E1D">
              <w:t>Projekts šo jomu neskar</w:t>
            </w:r>
          </w:p>
        </w:tc>
      </w:tr>
      <w:tr w:rsidR="004E638D" w:rsidRPr="00B74E1D" w14:paraId="118150D6" w14:textId="77777777" w:rsidTr="00F54498">
        <w:tc>
          <w:tcPr>
            <w:tcW w:w="516" w:type="dxa"/>
            <w:hideMark/>
          </w:tcPr>
          <w:p w14:paraId="1EF068ED" w14:textId="77777777" w:rsidR="00BD5588" w:rsidRPr="00B74E1D" w:rsidRDefault="00656B5C" w:rsidP="00E273A1">
            <w:pPr>
              <w:jc w:val="center"/>
              <w:rPr>
                <w:highlight w:val="yellow"/>
              </w:rPr>
            </w:pPr>
            <w:r w:rsidRPr="00B74E1D">
              <w:t>5.</w:t>
            </w:r>
          </w:p>
        </w:tc>
        <w:tc>
          <w:tcPr>
            <w:tcW w:w="2454" w:type="dxa"/>
            <w:hideMark/>
          </w:tcPr>
          <w:p w14:paraId="07F61681" w14:textId="77777777" w:rsidR="00BD5588" w:rsidRPr="00B74E1D" w:rsidRDefault="00656B5C" w:rsidP="00E273A1">
            <w:r w:rsidRPr="00B74E1D">
              <w:t>Cita informācija</w:t>
            </w:r>
          </w:p>
        </w:tc>
        <w:tc>
          <w:tcPr>
            <w:tcW w:w="6274" w:type="dxa"/>
            <w:hideMark/>
          </w:tcPr>
          <w:p w14:paraId="06CA1481" w14:textId="77777777" w:rsidR="00161647" w:rsidRPr="00B74E1D" w:rsidRDefault="00656B5C" w:rsidP="00265082">
            <w:pPr>
              <w:ind w:firstLine="108"/>
            </w:pPr>
            <w:r w:rsidRPr="00B74E1D">
              <w:t>Nav</w:t>
            </w:r>
          </w:p>
        </w:tc>
      </w:tr>
    </w:tbl>
    <w:p w14:paraId="2906EF85" w14:textId="77777777" w:rsidR="004E4DD9" w:rsidRPr="00D60C4A" w:rsidRDefault="004E4DD9" w:rsidP="00E273A1">
      <w:pPr>
        <w:rPr>
          <w:sz w:val="12"/>
          <w:highlight w:val="yellow"/>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111"/>
        <w:gridCol w:w="629"/>
        <w:gridCol w:w="1084"/>
        <w:gridCol w:w="6"/>
        <w:gridCol w:w="65"/>
        <w:gridCol w:w="1191"/>
        <w:gridCol w:w="589"/>
        <w:gridCol w:w="565"/>
        <w:gridCol w:w="1134"/>
        <w:gridCol w:w="1134"/>
        <w:gridCol w:w="1134"/>
        <w:gridCol w:w="1134"/>
      </w:tblGrid>
      <w:tr w:rsidR="00B96DFC" w:rsidRPr="00CD5C3F" w14:paraId="4CB0BF18" w14:textId="77777777" w:rsidTr="002C4F8F">
        <w:tc>
          <w:tcPr>
            <w:tcW w:w="1111" w:type="dxa"/>
          </w:tcPr>
          <w:p w14:paraId="764B3F00" w14:textId="77777777" w:rsidR="00B96DFC" w:rsidRPr="00B74E1D" w:rsidRDefault="00B96DFC" w:rsidP="00080E7A">
            <w:pPr>
              <w:ind w:firstLine="300"/>
              <w:contextualSpacing/>
              <w:jc w:val="center"/>
              <w:rPr>
                <w:b/>
              </w:rPr>
            </w:pPr>
          </w:p>
        </w:tc>
        <w:tc>
          <w:tcPr>
            <w:tcW w:w="1713" w:type="dxa"/>
            <w:gridSpan w:val="2"/>
          </w:tcPr>
          <w:p w14:paraId="4676D71E" w14:textId="77777777" w:rsidR="00B96DFC" w:rsidRPr="00B74E1D" w:rsidRDefault="00B96DFC" w:rsidP="00080E7A">
            <w:pPr>
              <w:ind w:firstLine="300"/>
              <w:contextualSpacing/>
              <w:jc w:val="center"/>
              <w:rPr>
                <w:b/>
              </w:rPr>
            </w:pPr>
          </w:p>
        </w:tc>
        <w:tc>
          <w:tcPr>
            <w:tcW w:w="6952" w:type="dxa"/>
            <w:gridSpan w:val="9"/>
            <w:vAlign w:val="center"/>
          </w:tcPr>
          <w:p w14:paraId="0451AEEF" w14:textId="379ABDF9" w:rsidR="00B96DFC" w:rsidRPr="00CD5C3F" w:rsidRDefault="00B96DFC" w:rsidP="00080E7A">
            <w:pPr>
              <w:ind w:firstLine="300"/>
              <w:contextualSpacing/>
              <w:jc w:val="center"/>
              <w:rPr>
                <w:sz w:val="27"/>
                <w:szCs w:val="27"/>
              </w:rPr>
            </w:pPr>
            <w:r w:rsidRPr="00B74E1D">
              <w:rPr>
                <w:b/>
              </w:rPr>
              <w:t>III. Tiesību akta projekta ietekme uz valsts budžetu un pašvaldību budžetiem</w:t>
            </w:r>
          </w:p>
        </w:tc>
      </w:tr>
      <w:tr w:rsidR="00B96DFC" w:rsidRPr="00CD5C3F" w14:paraId="1AB652C0" w14:textId="77777777" w:rsidTr="002C4F8F">
        <w:tc>
          <w:tcPr>
            <w:tcW w:w="1740" w:type="dxa"/>
            <w:gridSpan w:val="2"/>
            <w:vMerge w:val="restart"/>
            <w:vAlign w:val="center"/>
            <w:hideMark/>
          </w:tcPr>
          <w:p w14:paraId="6741CD1B" w14:textId="77777777" w:rsidR="00B96DFC" w:rsidRPr="00CD5C3F" w:rsidRDefault="00B96DFC" w:rsidP="00827AFD">
            <w:pPr>
              <w:ind w:left="252"/>
              <w:contextualSpacing/>
              <w:rPr>
                <w:b/>
                <w:bCs/>
                <w:sz w:val="27"/>
                <w:szCs w:val="27"/>
              </w:rPr>
            </w:pPr>
            <w:r w:rsidRPr="00CD5C3F">
              <w:rPr>
                <w:b/>
                <w:bCs/>
                <w:sz w:val="27"/>
                <w:szCs w:val="27"/>
              </w:rPr>
              <w:t>Rādītāji</w:t>
            </w:r>
          </w:p>
          <w:p w14:paraId="62666C5C" w14:textId="77777777" w:rsidR="00B96DFC" w:rsidRPr="00CD5C3F" w:rsidRDefault="00B96DFC" w:rsidP="00080E7A">
            <w:pPr>
              <w:ind w:firstLine="300"/>
              <w:contextualSpacing/>
              <w:jc w:val="center"/>
              <w:rPr>
                <w:b/>
                <w:bCs/>
                <w:sz w:val="27"/>
                <w:szCs w:val="27"/>
              </w:rPr>
            </w:pPr>
          </w:p>
          <w:p w14:paraId="0E57E050" w14:textId="77777777" w:rsidR="00B96DFC" w:rsidRPr="00CD5C3F" w:rsidRDefault="00B96DFC" w:rsidP="00080E7A">
            <w:pPr>
              <w:ind w:firstLine="300"/>
              <w:contextualSpacing/>
              <w:jc w:val="center"/>
              <w:rPr>
                <w:b/>
                <w:bCs/>
                <w:sz w:val="27"/>
                <w:szCs w:val="27"/>
              </w:rPr>
            </w:pPr>
          </w:p>
        </w:tc>
        <w:tc>
          <w:tcPr>
            <w:tcW w:w="2346" w:type="dxa"/>
            <w:gridSpan w:val="4"/>
            <w:vMerge w:val="restart"/>
            <w:vAlign w:val="center"/>
            <w:hideMark/>
          </w:tcPr>
          <w:p w14:paraId="5C451D33" w14:textId="5A7557E4" w:rsidR="00B96DFC" w:rsidRPr="00CD5C3F" w:rsidRDefault="00B96DFC" w:rsidP="00080E7A">
            <w:pPr>
              <w:ind w:firstLine="300"/>
              <w:contextualSpacing/>
              <w:jc w:val="center"/>
              <w:rPr>
                <w:b/>
                <w:bCs/>
                <w:sz w:val="27"/>
                <w:szCs w:val="27"/>
              </w:rPr>
            </w:pPr>
            <w:r w:rsidRPr="00CD5C3F">
              <w:rPr>
                <w:b/>
                <w:bCs/>
                <w:sz w:val="27"/>
                <w:szCs w:val="27"/>
              </w:rPr>
              <w:lastRenderedPageBreak/>
              <w:t>201</w:t>
            </w:r>
            <w:r>
              <w:rPr>
                <w:b/>
                <w:bCs/>
                <w:sz w:val="27"/>
                <w:szCs w:val="27"/>
              </w:rPr>
              <w:t>9</w:t>
            </w:r>
          </w:p>
        </w:tc>
        <w:tc>
          <w:tcPr>
            <w:tcW w:w="1154" w:type="dxa"/>
            <w:gridSpan w:val="2"/>
          </w:tcPr>
          <w:p w14:paraId="4A42EC36" w14:textId="77777777" w:rsidR="00B96DFC" w:rsidRPr="00CD5C3F" w:rsidRDefault="00B96DFC" w:rsidP="00080E7A">
            <w:pPr>
              <w:ind w:firstLine="300"/>
              <w:contextualSpacing/>
              <w:jc w:val="center"/>
              <w:rPr>
                <w:sz w:val="27"/>
                <w:szCs w:val="27"/>
              </w:rPr>
            </w:pPr>
          </w:p>
        </w:tc>
        <w:tc>
          <w:tcPr>
            <w:tcW w:w="1134" w:type="dxa"/>
          </w:tcPr>
          <w:p w14:paraId="7CDAA7F7" w14:textId="77777777" w:rsidR="00B96DFC" w:rsidRPr="00CD5C3F" w:rsidRDefault="00B96DFC" w:rsidP="00080E7A">
            <w:pPr>
              <w:ind w:firstLine="300"/>
              <w:contextualSpacing/>
              <w:jc w:val="center"/>
              <w:rPr>
                <w:sz w:val="27"/>
                <w:szCs w:val="27"/>
              </w:rPr>
            </w:pPr>
          </w:p>
        </w:tc>
        <w:tc>
          <w:tcPr>
            <w:tcW w:w="3402" w:type="dxa"/>
            <w:gridSpan w:val="3"/>
            <w:vAlign w:val="center"/>
            <w:hideMark/>
          </w:tcPr>
          <w:p w14:paraId="627E19F2" w14:textId="582775AF" w:rsidR="00B96DFC" w:rsidRPr="00CD5C3F" w:rsidRDefault="00B96DFC" w:rsidP="00080E7A">
            <w:pPr>
              <w:ind w:firstLine="300"/>
              <w:contextualSpacing/>
              <w:jc w:val="center"/>
              <w:rPr>
                <w:sz w:val="27"/>
                <w:szCs w:val="27"/>
              </w:rPr>
            </w:pPr>
            <w:r w:rsidRPr="00CD5C3F">
              <w:rPr>
                <w:sz w:val="27"/>
                <w:szCs w:val="27"/>
              </w:rPr>
              <w:t>Turpmākie trīs gadi (</w:t>
            </w:r>
            <w:r w:rsidRPr="00CD5C3F">
              <w:rPr>
                <w:i/>
                <w:sz w:val="27"/>
                <w:szCs w:val="27"/>
              </w:rPr>
              <w:t>euro</w:t>
            </w:r>
            <w:r w:rsidRPr="00CD5C3F">
              <w:rPr>
                <w:sz w:val="27"/>
                <w:szCs w:val="27"/>
              </w:rPr>
              <w:t>)</w:t>
            </w:r>
          </w:p>
        </w:tc>
      </w:tr>
      <w:tr w:rsidR="00B96DFC" w:rsidRPr="00CD5C3F" w14:paraId="46BC4F0C" w14:textId="77777777" w:rsidTr="002C4F8F">
        <w:tc>
          <w:tcPr>
            <w:tcW w:w="1740" w:type="dxa"/>
            <w:gridSpan w:val="2"/>
            <w:vMerge/>
            <w:vAlign w:val="center"/>
            <w:hideMark/>
          </w:tcPr>
          <w:p w14:paraId="5F915090" w14:textId="77777777" w:rsidR="00B96DFC" w:rsidRPr="00CD5C3F" w:rsidRDefault="00B96DFC" w:rsidP="00080E7A">
            <w:pPr>
              <w:contextualSpacing/>
              <w:rPr>
                <w:b/>
                <w:bCs/>
                <w:sz w:val="27"/>
                <w:szCs w:val="27"/>
              </w:rPr>
            </w:pPr>
          </w:p>
        </w:tc>
        <w:tc>
          <w:tcPr>
            <w:tcW w:w="2346" w:type="dxa"/>
            <w:gridSpan w:val="4"/>
            <w:vMerge/>
            <w:vAlign w:val="center"/>
            <w:hideMark/>
          </w:tcPr>
          <w:p w14:paraId="64CC82B8" w14:textId="77777777" w:rsidR="00B96DFC" w:rsidRPr="00CD5C3F" w:rsidRDefault="00B96DFC" w:rsidP="00080E7A">
            <w:pPr>
              <w:contextualSpacing/>
              <w:rPr>
                <w:b/>
                <w:bCs/>
                <w:sz w:val="27"/>
                <w:szCs w:val="27"/>
              </w:rPr>
            </w:pPr>
          </w:p>
        </w:tc>
        <w:tc>
          <w:tcPr>
            <w:tcW w:w="2288" w:type="dxa"/>
            <w:gridSpan w:val="3"/>
            <w:vAlign w:val="center"/>
            <w:hideMark/>
          </w:tcPr>
          <w:p w14:paraId="77E54BA3" w14:textId="44AC7C4D" w:rsidR="00B96DFC" w:rsidRPr="00CD5C3F" w:rsidRDefault="00B96DFC" w:rsidP="00080E7A">
            <w:pPr>
              <w:ind w:firstLine="300"/>
              <w:contextualSpacing/>
              <w:jc w:val="center"/>
              <w:rPr>
                <w:b/>
                <w:bCs/>
                <w:sz w:val="27"/>
                <w:szCs w:val="27"/>
              </w:rPr>
            </w:pPr>
            <w:r w:rsidRPr="00CD5C3F">
              <w:rPr>
                <w:b/>
                <w:bCs/>
                <w:sz w:val="27"/>
                <w:szCs w:val="27"/>
              </w:rPr>
              <w:t>20</w:t>
            </w:r>
            <w:r>
              <w:rPr>
                <w:b/>
                <w:bCs/>
                <w:sz w:val="27"/>
                <w:szCs w:val="27"/>
              </w:rPr>
              <w:t>20</w:t>
            </w:r>
          </w:p>
        </w:tc>
        <w:tc>
          <w:tcPr>
            <w:tcW w:w="2268" w:type="dxa"/>
            <w:gridSpan w:val="2"/>
            <w:vAlign w:val="center"/>
            <w:hideMark/>
          </w:tcPr>
          <w:p w14:paraId="55DD2EFB" w14:textId="4A90F273" w:rsidR="00B96DFC" w:rsidRPr="00CD5C3F" w:rsidRDefault="00B96DFC" w:rsidP="00080E7A">
            <w:pPr>
              <w:ind w:firstLine="300"/>
              <w:contextualSpacing/>
              <w:jc w:val="center"/>
              <w:rPr>
                <w:b/>
                <w:bCs/>
                <w:sz w:val="27"/>
                <w:szCs w:val="27"/>
              </w:rPr>
            </w:pPr>
            <w:r w:rsidRPr="00CD5C3F">
              <w:rPr>
                <w:b/>
                <w:bCs/>
                <w:sz w:val="27"/>
                <w:szCs w:val="27"/>
              </w:rPr>
              <w:t>20</w:t>
            </w:r>
            <w:r>
              <w:rPr>
                <w:b/>
                <w:bCs/>
                <w:sz w:val="27"/>
                <w:szCs w:val="27"/>
              </w:rPr>
              <w:t>21</w:t>
            </w:r>
          </w:p>
        </w:tc>
        <w:tc>
          <w:tcPr>
            <w:tcW w:w="1134" w:type="dxa"/>
            <w:vAlign w:val="center"/>
            <w:hideMark/>
          </w:tcPr>
          <w:p w14:paraId="280E46BB" w14:textId="046C9D5A" w:rsidR="00B96DFC" w:rsidRPr="00CD5C3F" w:rsidRDefault="00B96DFC" w:rsidP="00080E7A">
            <w:pPr>
              <w:ind w:firstLine="300"/>
              <w:contextualSpacing/>
              <w:jc w:val="center"/>
              <w:rPr>
                <w:b/>
                <w:bCs/>
                <w:sz w:val="27"/>
                <w:szCs w:val="27"/>
              </w:rPr>
            </w:pPr>
            <w:r w:rsidRPr="00CD5C3F">
              <w:rPr>
                <w:b/>
                <w:bCs/>
                <w:sz w:val="27"/>
                <w:szCs w:val="27"/>
              </w:rPr>
              <w:t>20</w:t>
            </w:r>
            <w:r>
              <w:rPr>
                <w:b/>
                <w:bCs/>
                <w:sz w:val="27"/>
                <w:szCs w:val="27"/>
              </w:rPr>
              <w:t>22</w:t>
            </w:r>
          </w:p>
        </w:tc>
      </w:tr>
      <w:tr w:rsidR="00B96DFC" w:rsidRPr="00CD5C3F" w14:paraId="586D2457" w14:textId="77777777" w:rsidTr="002C4F8F">
        <w:tc>
          <w:tcPr>
            <w:tcW w:w="1740" w:type="dxa"/>
            <w:gridSpan w:val="2"/>
            <w:vMerge/>
            <w:vAlign w:val="center"/>
            <w:hideMark/>
          </w:tcPr>
          <w:p w14:paraId="41315467" w14:textId="77777777" w:rsidR="00B96DFC" w:rsidRPr="00CD5C3F" w:rsidRDefault="00B96DFC" w:rsidP="00080E7A">
            <w:pPr>
              <w:contextualSpacing/>
              <w:rPr>
                <w:b/>
                <w:bCs/>
                <w:sz w:val="27"/>
                <w:szCs w:val="27"/>
              </w:rPr>
            </w:pPr>
          </w:p>
        </w:tc>
        <w:tc>
          <w:tcPr>
            <w:tcW w:w="1155" w:type="dxa"/>
            <w:gridSpan w:val="3"/>
            <w:vAlign w:val="center"/>
            <w:hideMark/>
          </w:tcPr>
          <w:p w14:paraId="1C7FD37B" w14:textId="77777777" w:rsidR="00B96DFC" w:rsidRPr="00CD5C3F" w:rsidRDefault="00B96DFC" w:rsidP="00080E7A">
            <w:pPr>
              <w:contextualSpacing/>
              <w:jc w:val="center"/>
              <w:rPr>
                <w:sz w:val="27"/>
                <w:szCs w:val="27"/>
              </w:rPr>
            </w:pPr>
            <w:r w:rsidRPr="00CD5C3F">
              <w:rPr>
                <w:sz w:val="27"/>
                <w:szCs w:val="27"/>
              </w:rPr>
              <w:t>saskaņā ar valsts budžetu kārtējam gadam</w:t>
            </w:r>
          </w:p>
        </w:tc>
        <w:tc>
          <w:tcPr>
            <w:tcW w:w="1191" w:type="dxa"/>
            <w:vAlign w:val="center"/>
            <w:hideMark/>
          </w:tcPr>
          <w:p w14:paraId="6EE0C3E9" w14:textId="77777777" w:rsidR="00B96DFC" w:rsidRPr="00CD5C3F" w:rsidRDefault="00B96DFC" w:rsidP="00080E7A">
            <w:pPr>
              <w:contextualSpacing/>
              <w:jc w:val="center"/>
              <w:rPr>
                <w:sz w:val="27"/>
                <w:szCs w:val="27"/>
              </w:rPr>
            </w:pPr>
            <w:r w:rsidRPr="00CD5C3F">
              <w:rPr>
                <w:sz w:val="27"/>
                <w:szCs w:val="27"/>
              </w:rPr>
              <w:t>izmaiņas kārtējā gadā, salīdzinot ar valsts budžetu kārtējam gadam</w:t>
            </w:r>
          </w:p>
        </w:tc>
        <w:tc>
          <w:tcPr>
            <w:tcW w:w="1154" w:type="dxa"/>
            <w:gridSpan w:val="2"/>
            <w:vAlign w:val="center"/>
            <w:hideMark/>
          </w:tcPr>
          <w:p w14:paraId="3FC8C49F" w14:textId="4ED040A3" w:rsidR="00B96DFC" w:rsidRPr="00CD5C3F" w:rsidRDefault="00B96DFC" w:rsidP="00080E7A">
            <w:pPr>
              <w:contextualSpacing/>
              <w:jc w:val="center"/>
              <w:rPr>
                <w:sz w:val="27"/>
                <w:szCs w:val="27"/>
              </w:rPr>
            </w:pPr>
            <w:r w:rsidRPr="00B96DFC">
              <w:rPr>
                <w:sz w:val="27"/>
                <w:szCs w:val="27"/>
              </w:rPr>
              <w:t>saskaņā ar vidēja termiņa budžeta ietvaru</w:t>
            </w:r>
          </w:p>
        </w:tc>
        <w:tc>
          <w:tcPr>
            <w:tcW w:w="1134" w:type="dxa"/>
          </w:tcPr>
          <w:p w14:paraId="6302FC61" w14:textId="788C3456" w:rsidR="00B96DFC" w:rsidRPr="00CD5C3F" w:rsidRDefault="00B96DFC" w:rsidP="00080E7A">
            <w:pPr>
              <w:contextualSpacing/>
              <w:jc w:val="center"/>
              <w:rPr>
                <w:sz w:val="27"/>
                <w:szCs w:val="27"/>
              </w:rPr>
            </w:pPr>
            <w:r>
              <w:rPr>
                <w:sz w:val="27"/>
                <w:szCs w:val="27"/>
              </w:rPr>
              <w:t>i</w:t>
            </w:r>
            <w:r w:rsidRPr="00B96DFC">
              <w:rPr>
                <w:sz w:val="27"/>
                <w:szCs w:val="27"/>
              </w:rPr>
              <w:t xml:space="preserve">zmaiņas, salīdzinot ar vidēja termiņa budžeta ietvaru </w:t>
            </w:r>
            <w:r>
              <w:rPr>
                <w:sz w:val="27"/>
                <w:szCs w:val="27"/>
              </w:rPr>
              <w:t>2020.</w:t>
            </w:r>
            <w:r w:rsidRPr="00B96DFC">
              <w:rPr>
                <w:sz w:val="27"/>
                <w:szCs w:val="27"/>
              </w:rPr>
              <w:t xml:space="preserve"> gadam</w:t>
            </w:r>
          </w:p>
        </w:tc>
        <w:tc>
          <w:tcPr>
            <w:tcW w:w="1134" w:type="dxa"/>
            <w:vAlign w:val="center"/>
            <w:hideMark/>
          </w:tcPr>
          <w:p w14:paraId="142BCEB9" w14:textId="33EC42F6" w:rsidR="00B96DFC" w:rsidRPr="00CD5C3F" w:rsidRDefault="00B96DFC" w:rsidP="00080E7A">
            <w:pPr>
              <w:contextualSpacing/>
              <w:jc w:val="center"/>
              <w:rPr>
                <w:sz w:val="27"/>
                <w:szCs w:val="27"/>
              </w:rPr>
            </w:pPr>
            <w:r w:rsidRPr="00B96DFC">
              <w:rPr>
                <w:sz w:val="27"/>
                <w:szCs w:val="27"/>
              </w:rPr>
              <w:t>saskaņā ar vidēja termiņa budžeta ietvaru</w:t>
            </w:r>
          </w:p>
        </w:tc>
        <w:tc>
          <w:tcPr>
            <w:tcW w:w="1134" w:type="dxa"/>
          </w:tcPr>
          <w:p w14:paraId="0227AB4B" w14:textId="16DEB32B" w:rsidR="00B96DFC" w:rsidRPr="00CD5C3F" w:rsidRDefault="00B96DFC" w:rsidP="00080E7A">
            <w:pPr>
              <w:contextualSpacing/>
              <w:jc w:val="center"/>
              <w:rPr>
                <w:sz w:val="27"/>
                <w:szCs w:val="27"/>
              </w:rPr>
            </w:pPr>
            <w:r w:rsidRPr="00B96DFC">
              <w:rPr>
                <w:sz w:val="27"/>
                <w:szCs w:val="27"/>
              </w:rPr>
              <w:t xml:space="preserve">izmaiņas, salīdzinot ar vidēja termiņa budžeta ietvaru </w:t>
            </w:r>
            <w:r>
              <w:rPr>
                <w:sz w:val="27"/>
                <w:szCs w:val="27"/>
              </w:rPr>
              <w:t>2021.</w:t>
            </w:r>
            <w:r w:rsidRPr="00B96DFC">
              <w:rPr>
                <w:sz w:val="27"/>
                <w:szCs w:val="27"/>
              </w:rPr>
              <w:t xml:space="preserve"> gadam</w:t>
            </w:r>
          </w:p>
        </w:tc>
        <w:tc>
          <w:tcPr>
            <w:tcW w:w="1134" w:type="dxa"/>
            <w:vAlign w:val="center"/>
            <w:hideMark/>
          </w:tcPr>
          <w:p w14:paraId="6FA64334" w14:textId="247961EA" w:rsidR="00B96DFC" w:rsidRPr="00CD5C3F" w:rsidRDefault="00B96DFC" w:rsidP="00080E7A">
            <w:pPr>
              <w:contextualSpacing/>
              <w:jc w:val="center"/>
              <w:rPr>
                <w:sz w:val="27"/>
                <w:szCs w:val="27"/>
              </w:rPr>
            </w:pPr>
            <w:r w:rsidRPr="00B96DFC">
              <w:rPr>
                <w:sz w:val="27"/>
                <w:szCs w:val="27"/>
              </w:rPr>
              <w:t xml:space="preserve">izmaiņas, salīdzinot ar vidēja termiņa budžeta ietvaru </w:t>
            </w:r>
            <w:r>
              <w:rPr>
                <w:sz w:val="27"/>
                <w:szCs w:val="27"/>
              </w:rPr>
              <w:t>2021.</w:t>
            </w:r>
            <w:r w:rsidRPr="00B96DFC">
              <w:rPr>
                <w:sz w:val="27"/>
                <w:szCs w:val="27"/>
              </w:rPr>
              <w:t xml:space="preserve"> gadam</w:t>
            </w:r>
          </w:p>
        </w:tc>
      </w:tr>
      <w:tr w:rsidR="00B96DFC" w:rsidRPr="00CD5C3F" w14:paraId="73546538" w14:textId="77777777" w:rsidTr="002C4F8F">
        <w:tc>
          <w:tcPr>
            <w:tcW w:w="1740" w:type="dxa"/>
            <w:gridSpan w:val="2"/>
            <w:vAlign w:val="center"/>
            <w:hideMark/>
          </w:tcPr>
          <w:p w14:paraId="6E180095" w14:textId="77777777" w:rsidR="00B96DFC" w:rsidRPr="00CD5C3F" w:rsidRDefault="00B96DFC" w:rsidP="00080E7A">
            <w:pPr>
              <w:ind w:firstLine="300"/>
              <w:contextualSpacing/>
              <w:jc w:val="center"/>
              <w:rPr>
                <w:sz w:val="27"/>
                <w:szCs w:val="27"/>
              </w:rPr>
            </w:pPr>
            <w:r w:rsidRPr="00CD5C3F">
              <w:rPr>
                <w:sz w:val="27"/>
                <w:szCs w:val="27"/>
              </w:rPr>
              <w:t>1</w:t>
            </w:r>
          </w:p>
        </w:tc>
        <w:tc>
          <w:tcPr>
            <w:tcW w:w="1155" w:type="dxa"/>
            <w:gridSpan w:val="3"/>
            <w:vAlign w:val="center"/>
            <w:hideMark/>
          </w:tcPr>
          <w:p w14:paraId="29DB524F" w14:textId="77777777" w:rsidR="00B96DFC" w:rsidRPr="00CD5C3F" w:rsidRDefault="00B96DFC" w:rsidP="00080E7A">
            <w:pPr>
              <w:ind w:firstLine="300"/>
              <w:contextualSpacing/>
              <w:jc w:val="center"/>
              <w:rPr>
                <w:sz w:val="27"/>
                <w:szCs w:val="27"/>
              </w:rPr>
            </w:pPr>
            <w:r w:rsidRPr="00CD5C3F">
              <w:rPr>
                <w:sz w:val="27"/>
                <w:szCs w:val="27"/>
              </w:rPr>
              <w:t>2</w:t>
            </w:r>
          </w:p>
        </w:tc>
        <w:tc>
          <w:tcPr>
            <w:tcW w:w="1191" w:type="dxa"/>
            <w:vAlign w:val="center"/>
            <w:hideMark/>
          </w:tcPr>
          <w:p w14:paraId="5DF1760B" w14:textId="77777777" w:rsidR="00B96DFC" w:rsidRPr="00CD5C3F" w:rsidRDefault="00B96DFC" w:rsidP="00080E7A">
            <w:pPr>
              <w:ind w:firstLine="300"/>
              <w:contextualSpacing/>
              <w:jc w:val="center"/>
              <w:rPr>
                <w:sz w:val="27"/>
                <w:szCs w:val="27"/>
              </w:rPr>
            </w:pPr>
            <w:r w:rsidRPr="00CD5C3F">
              <w:rPr>
                <w:sz w:val="27"/>
                <w:szCs w:val="27"/>
              </w:rPr>
              <w:t>3</w:t>
            </w:r>
          </w:p>
        </w:tc>
        <w:tc>
          <w:tcPr>
            <w:tcW w:w="1154" w:type="dxa"/>
            <w:gridSpan w:val="2"/>
            <w:vAlign w:val="center"/>
            <w:hideMark/>
          </w:tcPr>
          <w:p w14:paraId="134A5991" w14:textId="77777777" w:rsidR="00B96DFC" w:rsidRPr="00CD5C3F" w:rsidRDefault="00B96DFC" w:rsidP="00080E7A">
            <w:pPr>
              <w:ind w:firstLine="300"/>
              <w:contextualSpacing/>
              <w:jc w:val="center"/>
              <w:rPr>
                <w:sz w:val="27"/>
                <w:szCs w:val="27"/>
              </w:rPr>
            </w:pPr>
            <w:r w:rsidRPr="00CD5C3F">
              <w:rPr>
                <w:sz w:val="27"/>
                <w:szCs w:val="27"/>
              </w:rPr>
              <w:t>4</w:t>
            </w:r>
          </w:p>
        </w:tc>
        <w:tc>
          <w:tcPr>
            <w:tcW w:w="1134" w:type="dxa"/>
          </w:tcPr>
          <w:p w14:paraId="7D2F205F" w14:textId="77777777" w:rsidR="00B96DFC" w:rsidRPr="00CD5C3F" w:rsidRDefault="00B96DFC" w:rsidP="00080E7A">
            <w:pPr>
              <w:ind w:firstLine="300"/>
              <w:contextualSpacing/>
              <w:jc w:val="center"/>
              <w:rPr>
                <w:sz w:val="27"/>
                <w:szCs w:val="27"/>
              </w:rPr>
            </w:pPr>
          </w:p>
        </w:tc>
        <w:tc>
          <w:tcPr>
            <w:tcW w:w="1134" w:type="dxa"/>
            <w:vAlign w:val="center"/>
            <w:hideMark/>
          </w:tcPr>
          <w:p w14:paraId="265AD3CA" w14:textId="049903B0" w:rsidR="00B96DFC" w:rsidRPr="00CD5C3F" w:rsidRDefault="00B96DFC" w:rsidP="00080E7A">
            <w:pPr>
              <w:ind w:firstLine="300"/>
              <w:contextualSpacing/>
              <w:jc w:val="center"/>
              <w:rPr>
                <w:sz w:val="27"/>
                <w:szCs w:val="27"/>
              </w:rPr>
            </w:pPr>
            <w:r w:rsidRPr="00CD5C3F">
              <w:rPr>
                <w:sz w:val="27"/>
                <w:szCs w:val="27"/>
              </w:rPr>
              <w:t>5</w:t>
            </w:r>
          </w:p>
        </w:tc>
        <w:tc>
          <w:tcPr>
            <w:tcW w:w="1134" w:type="dxa"/>
          </w:tcPr>
          <w:p w14:paraId="11FE4571" w14:textId="77777777" w:rsidR="00B96DFC" w:rsidRPr="00CD5C3F" w:rsidRDefault="00B96DFC" w:rsidP="00080E7A">
            <w:pPr>
              <w:ind w:firstLine="300"/>
              <w:contextualSpacing/>
              <w:jc w:val="center"/>
              <w:rPr>
                <w:sz w:val="27"/>
                <w:szCs w:val="27"/>
              </w:rPr>
            </w:pPr>
          </w:p>
        </w:tc>
        <w:tc>
          <w:tcPr>
            <w:tcW w:w="1134" w:type="dxa"/>
            <w:vAlign w:val="center"/>
            <w:hideMark/>
          </w:tcPr>
          <w:p w14:paraId="057BA422" w14:textId="46E31DE2" w:rsidR="00B96DFC" w:rsidRPr="00CD5C3F" w:rsidRDefault="00B96DFC" w:rsidP="00080E7A">
            <w:pPr>
              <w:ind w:firstLine="300"/>
              <w:contextualSpacing/>
              <w:jc w:val="center"/>
              <w:rPr>
                <w:sz w:val="27"/>
                <w:szCs w:val="27"/>
              </w:rPr>
            </w:pPr>
            <w:r w:rsidRPr="00CD5C3F">
              <w:rPr>
                <w:sz w:val="27"/>
                <w:szCs w:val="27"/>
              </w:rPr>
              <w:t>6</w:t>
            </w:r>
          </w:p>
        </w:tc>
      </w:tr>
      <w:tr w:rsidR="00B96DFC" w:rsidRPr="00CD5C3F" w14:paraId="64A39E25" w14:textId="77777777" w:rsidTr="002C4F8F">
        <w:tc>
          <w:tcPr>
            <w:tcW w:w="1740" w:type="dxa"/>
            <w:gridSpan w:val="2"/>
            <w:hideMark/>
          </w:tcPr>
          <w:p w14:paraId="07BC1061" w14:textId="77777777" w:rsidR="00B96DFC" w:rsidRPr="00CD5C3F" w:rsidRDefault="00B96DFC" w:rsidP="00B96DFC">
            <w:pPr>
              <w:contextualSpacing/>
              <w:rPr>
                <w:sz w:val="27"/>
                <w:szCs w:val="27"/>
              </w:rPr>
            </w:pPr>
            <w:r w:rsidRPr="00CD5C3F">
              <w:rPr>
                <w:sz w:val="27"/>
                <w:szCs w:val="27"/>
              </w:rPr>
              <w:t>1. Budžeta ieņēmumi:</w:t>
            </w:r>
          </w:p>
        </w:tc>
        <w:tc>
          <w:tcPr>
            <w:tcW w:w="1155" w:type="dxa"/>
            <w:gridSpan w:val="3"/>
            <w:hideMark/>
          </w:tcPr>
          <w:p w14:paraId="54CD169B" w14:textId="77777777" w:rsidR="00B96DFC" w:rsidRPr="00CD5C3F" w:rsidRDefault="00B96DFC" w:rsidP="00B96DFC">
            <w:pPr>
              <w:contextualSpacing/>
              <w:jc w:val="center"/>
              <w:rPr>
                <w:sz w:val="27"/>
                <w:szCs w:val="27"/>
              </w:rPr>
            </w:pPr>
            <w:r w:rsidRPr="00CD5C3F">
              <w:rPr>
                <w:sz w:val="27"/>
                <w:szCs w:val="27"/>
              </w:rPr>
              <w:t>0</w:t>
            </w:r>
          </w:p>
        </w:tc>
        <w:tc>
          <w:tcPr>
            <w:tcW w:w="1191" w:type="dxa"/>
            <w:shd w:val="clear" w:color="auto" w:fill="auto"/>
            <w:hideMark/>
          </w:tcPr>
          <w:p w14:paraId="5AE90914" w14:textId="77777777" w:rsidR="00B96DFC" w:rsidRPr="00CD5C3F" w:rsidRDefault="00B96DFC" w:rsidP="00B96DFC">
            <w:pPr>
              <w:contextualSpacing/>
              <w:jc w:val="center"/>
              <w:rPr>
                <w:sz w:val="27"/>
                <w:szCs w:val="27"/>
              </w:rPr>
            </w:pPr>
            <w:r w:rsidRPr="00CD5C3F">
              <w:rPr>
                <w:sz w:val="27"/>
                <w:szCs w:val="27"/>
              </w:rPr>
              <w:t>0</w:t>
            </w:r>
          </w:p>
        </w:tc>
        <w:tc>
          <w:tcPr>
            <w:tcW w:w="1154" w:type="dxa"/>
            <w:gridSpan w:val="2"/>
            <w:hideMark/>
          </w:tcPr>
          <w:p w14:paraId="390E3D20" w14:textId="77777777" w:rsidR="00B96DFC" w:rsidRPr="00CD5C3F" w:rsidRDefault="00B96DFC" w:rsidP="00B96DFC">
            <w:pPr>
              <w:contextualSpacing/>
              <w:jc w:val="center"/>
              <w:rPr>
                <w:sz w:val="27"/>
                <w:szCs w:val="27"/>
              </w:rPr>
            </w:pPr>
            <w:r w:rsidRPr="00CD5C3F">
              <w:rPr>
                <w:sz w:val="27"/>
                <w:szCs w:val="27"/>
              </w:rPr>
              <w:t>0</w:t>
            </w:r>
          </w:p>
        </w:tc>
        <w:tc>
          <w:tcPr>
            <w:tcW w:w="1134" w:type="dxa"/>
          </w:tcPr>
          <w:p w14:paraId="7067AEC0" w14:textId="33545D85" w:rsidR="00B96DFC" w:rsidRPr="00CD5C3F" w:rsidRDefault="00B96DFC" w:rsidP="00B96DFC">
            <w:pPr>
              <w:contextualSpacing/>
              <w:jc w:val="center"/>
              <w:rPr>
                <w:sz w:val="27"/>
                <w:szCs w:val="27"/>
              </w:rPr>
            </w:pPr>
            <w:r w:rsidRPr="00CD5C3F">
              <w:rPr>
                <w:sz w:val="27"/>
                <w:szCs w:val="27"/>
              </w:rPr>
              <w:t>0</w:t>
            </w:r>
          </w:p>
        </w:tc>
        <w:tc>
          <w:tcPr>
            <w:tcW w:w="1134" w:type="dxa"/>
            <w:hideMark/>
          </w:tcPr>
          <w:p w14:paraId="724BCDF0" w14:textId="13F9C783" w:rsidR="00B96DFC" w:rsidRPr="00CD5C3F" w:rsidRDefault="00B96DFC" w:rsidP="00B96DFC">
            <w:pPr>
              <w:contextualSpacing/>
              <w:jc w:val="center"/>
              <w:rPr>
                <w:sz w:val="27"/>
                <w:szCs w:val="27"/>
              </w:rPr>
            </w:pPr>
            <w:r w:rsidRPr="00CD5C3F">
              <w:rPr>
                <w:sz w:val="27"/>
                <w:szCs w:val="27"/>
              </w:rPr>
              <w:t>0</w:t>
            </w:r>
          </w:p>
        </w:tc>
        <w:tc>
          <w:tcPr>
            <w:tcW w:w="1134" w:type="dxa"/>
          </w:tcPr>
          <w:p w14:paraId="3129C0D6" w14:textId="017725B8" w:rsidR="00B96DFC" w:rsidRPr="00CD5C3F" w:rsidRDefault="00B96DFC" w:rsidP="00B96DFC">
            <w:pPr>
              <w:contextualSpacing/>
              <w:jc w:val="center"/>
              <w:rPr>
                <w:sz w:val="27"/>
                <w:szCs w:val="27"/>
              </w:rPr>
            </w:pPr>
            <w:r w:rsidRPr="00CD5C3F">
              <w:rPr>
                <w:sz w:val="27"/>
                <w:szCs w:val="27"/>
              </w:rPr>
              <w:t>0</w:t>
            </w:r>
          </w:p>
        </w:tc>
        <w:tc>
          <w:tcPr>
            <w:tcW w:w="1134" w:type="dxa"/>
            <w:hideMark/>
          </w:tcPr>
          <w:p w14:paraId="61285DCE" w14:textId="62BABE77" w:rsidR="00B96DFC" w:rsidRPr="00CD5C3F" w:rsidRDefault="00B96DFC" w:rsidP="00B96DFC">
            <w:pPr>
              <w:contextualSpacing/>
              <w:jc w:val="center"/>
              <w:rPr>
                <w:sz w:val="27"/>
                <w:szCs w:val="27"/>
              </w:rPr>
            </w:pPr>
            <w:r w:rsidRPr="00CD5C3F">
              <w:rPr>
                <w:sz w:val="27"/>
                <w:szCs w:val="27"/>
              </w:rPr>
              <w:t>0</w:t>
            </w:r>
          </w:p>
        </w:tc>
      </w:tr>
      <w:tr w:rsidR="00B96DFC" w:rsidRPr="00CD5C3F" w14:paraId="0DC3B9C0" w14:textId="77777777" w:rsidTr="002C4F8F">
        <w:tc>
          <w:tcPr>
            <w:tcW w:w="1740" w:type="dxa"/>
            <w:gridSpan w:val="2"/>
            <w:hideMark/>
          </w:tcPr>
          <w:p w14:paraId="73F6EA5F" w14:textId="77777777" w:rsidR="00B96DFC" w:rsidRPr="00CD5C3F" w:rsidRDefault="00B96DFC" w:rsidP="00B96DFC">
            <w:pPr>
              <w:contextualSpacing/>
              <w:rPr>
                <w:sz w:val="27"/>
                <w:szCs w:val="27"/>
              </w:rPr>
            </w:pPr>
            <w:r w:rsidRPr="00CD5C3F">
              <w:rPr>
                <w:sz w:val="27"/>
                <w:szCs w:val="27"/>
              </w:rPr>
              <w:t>1.1. valsts pamatbudžets, tai skaitā ieņēmumi no maksas pakalpojumiem un citi pašu ieņēmumi</w:t>
            </w:r>
          </w:p>
        </w:tc>
        <w:tc>
          <w:tcPr>
            <w:tcW w:w="1155" w:type="dxa"/>
            <w:gridSpan w:val="3"/>
          </w:tcPr>
          <w:p w14:paraId="628A4528" w14:textId="77777777" w:rsidR="00B96DFC" w:rsidRPr="00CD5C3F" w:rsidRDefault="00B96DFC" w:rsidP="00B96DFC">
            <w:pPr>
              <w:contextualSpacing/>
              <w:jc w:val="center"/>
              <w:rPr>
                <w:sz w:val="27"/>
                <w:szCs w:val="27"/>
              </w:rPr>
            </w:pPr>
            <w:r w:rsidRPr="00CD5C3F">
              <w:rPr>
                <w:sz w:val="27"/>
                <w:szCs w:val="27"/>
              </w:rPr>
              <w:t>0</w:t>
            </w:r>
          </w:p>
        </w:tc>
        <w:tc>
          <w:tcPr>
            <w:tcW w:w="1191" w:type="dxa"/>
          </w:tcPr>
          <w:p w14:paraId="6D8BF91A" w14:textId="77777777" w:rsidR="00B96DFC" w:rsidRPr="00CD5C3F" w:rsidRDefault="00B96DFC" w:rsidP="00B96DFC">
            <w:pPr>
              <w:contextualSpacing/>
              <w:jc w:val="center"/>
              <w:rPr>
                <w:sz w:val="27"/>
                <w:szCs w:val="27"/>
              </w:rPr>
            </w:pPr>
            <w:r w:rsidRPr="00CD5C3F">
              <w:rPr>
                <w:sz w:val="27"/>
                <w:szCs w:val="27"/>
              </w:rPr>
              <w:t>0</w:t>
            </w:r>
          </w:p>
        </w:tc>
        <w:tc>
          <w:tcPr>
            <w:tcW w:w="1154" w:type="dxa"/>
            <w:gridSpan w:val="2"/>
          </w:tcPr>
          <w:p w14:paraId="2DE05807" w14:textId="77777777" w:rsidR="00B96DFC" w:rsidRPr="00CD5C3F" w:rsidRDefault="00B96DFC" w:rsidP="00B96DFC">
            <w:pPr>
              <w:contextualSpacing/>
              <w:jc w:val="center"/>
              <w:rPr>
                <w:sz w:val="27"/>
                <w:szCs w:val="27"/>
              </w:rPr>
            </w:pPr>
            <w:r w:rsidRPr="00CD5C3F">
              <w:rPr>
                <w:sz w:val="27"/>
                <w:szCs w:val="27"/>
              </w:rPr>
              <w:t>0</w:t>
            </w:r>
          </w:p>
        </w:tc>
        <w:tc>
          <w:tcPr>
            <w:tcW w:w="1134" w:type="dxa"/>
          </w:tcPr>
          <w:p w14:paraId="47F5D9F1" w14:textId="46947B6D" w:rsidR="00B96DFC" w:rsidRPr="00CD5C3F" w:rsidRDefault="00B96DFC" w:rsidP="00B96DFC">
            <w:pPr>
              <w:contextualSpacing/>
              <w:jc w:val="center"/>
              <w:rPr>
                <w:sz w:val="27"/>
                <w:szCs w:val="27"/>
              </w:rPr>
            </w:pPr>
            <w:r w:rsidRPr="00CD5C3F">
              <w:rPr>
                <w:sz w:val="27"/>
                <w:szCs w:val="27"/>
              </w:rPr>
              <w:t>0</w:t>
            </w:r>
          </w:p>
        </w:tc>
        <w:tc>
          <w:tcPr>
            <w:tcW w:w="1134" w:type="dxa"/>
          </w:tcPr>
          <w:p w14:paraId="129DC882" w14:textId="54A7E480" w:rsidR="00B96DFC" w:rsidRPr="00CD5C3F" w:rsidRDefault="00B96DFC" w:rsidP="00B96DFC">
            <w:pPr>
              <w:contextualSpacing/>
              <w:jc w:val="center"/>
              <w:rPr>
                <w:sz w:val="27"/>
                <w:szCs w:val="27"/>
              </w:rPr>
            </w:pPr>
            <w:r w:rsidRPr="00CD5C3F">
              <w:rPr>
                <w:sz w:val="27"/>
                <w:szCs w:val="27"/>
              </w:rPr>
              <w:t>0</w:t>
            </w:r>
          </w:p>
        </w:tc>
        <w:tc>
          <w:tcPr>
            <w:tcW w:w="1134" w:type="dxa"/>
          </w:tcPr>
          <w:p w14:paraId="4DDEF2D7" w14:textId="52EEB7FE" w:rsidR="00B96DFC" w:rsidRPr="00CD5C3F" w:rsidRDefault="00B96DFC" w:rsidP="00B96DFC">
            <w:pPr>
              <w:contextualSpacing/>
              <w:jc w:val="center"/>
              <w:rPr>
                <w:sz w:val="27"/>
                <w:szCs w:val="27"/>
              </w:rPr>
            </w:pPr>
            <w:r w:rsidRPr="00CD5C3F">
              <w:rPr>
                <w:sz w:val="27"/>
                <w:szCs w:val="27"/>
              </w:rPr>
              <w:t>0</w:t>
            </w:r>
          </w:p>
        </w:tc>
        <w:tc>
          <w:tcPr>
            <w:tcW w:w="1134" w:type="dxa"/>
          </w:tcPr>
          <w:p w14:paraId="4A21CD09" w14:textId="29D790E9" w:rsidR="00B96DFC" w:rsidRPr="00CD5C3F" w:rsidRDefault="00B96DFC" w:rsidP="00B96DFC">
            <w:pPr>
              <w:contextualSpacing/>
              <w:jc w:val="center"/>
              <w:rPr>
                <w:sz w:val="27"/>
                <w:szCs w:val="27"/>
              </w:rPr>
            </w:pPr>
            <w:r w:rsidRPr="00CD5C3F">
              <w:rPr>
                <w:sz w:val="27"/>
                <w:szCs w:val="27"/>
              </w:rPr>
              <w:t>0</w:t>
            </w:r>
          </w:p>
        </w:tc>
      </w:tr>
      <w:tr w:rsidR="00B96DFC" w:rsidRPr="00CD5C3F" w14:paraId="3920C9E0" w14:textId="77777777" w:rsidTr="002C4F8F">
        <w:tc>
          <w:tcPr>
            <w:tcW w:w="1740" w:type="dxa"/>
            <w:gridSpan w:val="2"/>
            <w:hideMark/>
          </w:tcPr>
          <w:p w14:paraId="28B9A84F" w14:textId="77777777" w:rsidR="00B96DFC" w:rsidRPr="00CD5C3F" w:rsidRDefault="00B96DFC" w:rsidP="00B96DFC">
            <w:pPr>
              <w:contextualSpacing/>
              <w:rPr>
                <w:sz w:val="27"/>
                <w:szCs w:val="27"/>
              </w:rPr>
            </w:pPr>
            <w:r w:rsidRPr="00CD5C3F">
              <w:rPr>
                <w:sz w:val="27"/>
                <w:szCs w:val="27"/>
              </w:rPr>
              <w:t>1.2. valsts speciālais budžets</w:t>
            </w:r>
          </w:p>
        </w:tc>
        <w:tc>
          <w:tcPr>
            <w:tcW w:w="1155" w:type="dxa"/>
            <w:gridSpan w:val="3"/>
          </w:tcPr>
          <w:p w14:paraId="757AA2F5" w14:textId="77777777" w:rsidR="00B96DFC" w:rsidRPr="00CD5C3F" w:rsidRDefault="00B96DFC" w:rsidP="00B96DFC">
            <w:pPr>
              <w:contextualSpacing/>
              <w:jc w:val="center"/>
              <w:rPr>
                <w:sz w:val="27"/>
                <w:szCs w:val="27"/>
              </w:rPr>
            </w:pPr>
            <w:r w:rsidRPr="00CD5C3F">
              <w:rPr>
                <w:sz w:val="27"/>
                <w:szCs w:val="27"/>
              </w:rPr>
              <w:t>0</w:t>
            </w:r>
          </w:p>
        </w:tc>
        <w:tc>
          <w:tcPr>
            <w:tcW w:w="1191" w:type="dxa"/>
          </w:tcPr>
          <w:p w14:paraId="7CCA7D0C" w14:textId="77777777" w:rsidR="00B96DFC" w:rsidRPr="00CD5C3F" w:rsidRDefault="00B96DFC" w:rsidP="00B96DFC">
            <w:pPr>
              <w:contextualSpacing/>
              <w:jc w:val="center"/>
              <w:rPr>
                <w:sz w:val="27"/>
                <w:szCs w:val="27"/>
              </w:rPr>
            </w:pPr>
            <w:r w:rsidRPr="00CD5C3F">
              <w:rPr>
                <w:sz w:val="27"/>
                <w:szCs w:val="27"/>
              </w:rPr>
              <w:t>0</w:t>
            </w:r>
          </w:p>
        </w:tc>
        <w:tc>
          <w:tcPr>
            <w:tcW w:w="1154" w:type="dxa"/>
            <w:gridSpan w:val="2"/>
          </w:tcPr>
          <w:p w14:paraId="7F2C32DC" w14:textId="77777777" w:rsidR="00B96DFC" w:rsidRPr="00CD5C3F" w:rsidRDefault="00B96DFC" w:rsidP="00B96DFC">
            <w:pPr>
              <w:contextualSpacing/>
              <w:jc w:val="center"/>
              <w:rPr>
                <w:sz w:val="27"/>
                <w:szCs w:val="27"/>
              </w:rPr>
            </w:pPr>
            <w:r w:rsidRPr="00CD5C3F">
              <w:rPr>
                <w:sz w:val="27"/>
                <w:szCs w:val="27"/>
              </w:rPr>
              <w:t>0</w:t>
            </w:r>
          </w:p>
        </w:tc>
        <w:tc>
          <w:tcPr>
            <w:tcW w:w="1134" w:type="dxa"/>
          </w:tcPr>
          <w:p w14:paraId="28A68BAF" w14:textId="494FE2B5" w:rsidR="00B96DFC" w:rsidRPr="00CD5C3F" w:rsidRDefault="00B96DFC" w:rsidP="00B96DFC">
            <w:pPr>
              <w:contextualSpacing/>
              <w:jc w:val="center"/>
              <w:rPr>
                <w:sz w:val="27"/>
                <w:szCs w:val="27"/>
              </w:rPr>
            </w:pPr>
            <w:r w:rsidRPr="00CD5C3F">
              <w:rPr>
                <w:sz w:val="27"/>
                <w:szCs w:val="27"/>
              </w:rPr>
              <w:t>0</w:t>
            </w:r>
          </w:p>
        </w:tc>
        <w:tc>
          <w:tcPr>
            <w:tcW w:w="1134" w:type="dxa"/>
          </w:tcPr>
          <w:p w14:paraId="5DA82BB7" w14:textId="3DB6CB6B" w:rsidR="00B96DFC" w:rsidRPr="00CD5C3F" w:rsidRDefault="00B96DFC" w:rsidP="00B96DFC">
            <w:pPr>
              <w:contextualSpacing/>
              <w:jc w:val="center"/>
              <w:rPr>
                <w:sz w:val="27"/>
                <w:szCs w:val="27"/>
              </w:rPr>
            </w:pPr>
            <w:r w:rsidRPr="00CD5C3F">
              <w:rPr>
                <w:sz w:val="27"/>
                <w:szCs w:val="27"/>
              </w:rPr>
              <w:t>0</w:t>
            </w:r>
          </w:p>
        </w:tc>
        <w:tc>
          <w:tcPr>
            <w:tcW w:w="1134" w:type="dxa"/>
          </w:tcPr>
          <w:p w14:paraId="771F7553" w14:textId="2B15754D" w:rsidR="00B96DFC" w:rsidRPr="00CD5C3F" w:rsidRDefault="00B96DFC" w:rsidP="00B96DFC">
            <w:pPr>
              <w:contextualSpacing/>
              <w:jc w:val="center"/>
              <w:rPr>
                <w:sz w:val="27"/>
                <w:szCs w:val="27"/>
              </w:rPr>
            </w:pPr>
            <w:r w:rsidRPr="00CD5C3F">
              <w:rPr>
                <w:sz w:val="27"/>
                <w:szCs w:val="27"/>
              </w:rPr>
              <w:t>0</w:t>
            </w:r>
          </w:p>
        </w:tc>
        <w:tc>
          <w:tcPr>
            <w:tcW w:w="1134" w:type="dxa"/>
          </w:tcPr>
          <w:p w14:paraId="17A1E6D2" w14:textId="7D1704C8" w:rsidR="00B96DFC" w:rsidRPr="00CD5C3F" w:rsidRDefault="00B96DFC" w:rsidP="00B96DFC">
            <w:pPr>
              <w:contextualSpacing/>
              <w:jc w:val="center"/>
              <w:rPr>
                <w:sz w:val="27"/>
                <w:szCs w:val="27"/>
              </w:rPr>
            </w:pPr>
            <w:r w:rsidRPr="00CD5C3F">
              <w:rPr>
                <w:sz w:val="27"/>
                <w:szCs w:val="27"/>
              </w:rPr>
              <w:t>0</w:t>
            </w:r>
          </w:p>
        </w:tc>
      </w:tr>
      <w:tr w:rsidR="00B96DFC" w:rsidRPr="00CD5C3F" w14:paraId="732000D2" w14:textId="77777777" w:rsidTr="002C4F8F">
        <w:tc>
          <w:tcPr>
            <w:tcW w:w="1740" w:type="dxa"/>
            <w:gridSpan w:val="2"/>
            <w:hideMark/>
          </w:tcPr>
          <w:p w14:paraId="39ED6A12" w14:textId="77777777" w:rsidR="00B96DFC" w:rsidRPr="00CD5C3F" w:rsidRDefault="00B96DFC" w:rsidP="00B96DFC">
            <w:pPr>
              <w:contextualSpacing/>
              <w:rPr>
                <w:sz w:val="27"/>
                <w:szCs w:val="27"/>
              </w:rPr>
            </w:pPr>
            <w:r w:rsidRPr="00CD5C3F">
              <w:rPr>
                <w:sz w:val="27"/>
                <w:szCs w:val="27"/>
              </w:rPr>
              <w:t>1.3. pašvaldību budžets</w:t>
            </w:r>
          </w:p>
        </w:tc>
        <w:tc>
          <w:tcPr>
            <w:tcW w:w="1155" w:type="dxa"/>
            <w:gridSpan w:val="3"/>
          </w:tcPr>
          <w:p w14:paraId="640B0A41" w14:textId="77777777" w:rsidR="00B96DFC" w:rsidRPr="00CD5C3F" w:rsidRDefault="00B96DFC" w:rsidP="00B96DFC">
            <w:pPr>
              <w:contextualSpacing/>
              <w:jc w:val="center"/>
              <w:rPr>
                <w:sz w:val="27"/>
                <w:szCs w:val="27"/>
              </w:rPr>
            </w:pPr>
            <w:r w:rsidRPr="00CD5C3F">
              <w:rPr>
                <w:sz w:val="27"/>
                <w:szCs w:val="27"/>
              </w:rPr>
              <w:t>0</w:t>
            </w:r>
          </w:p>
        </w:tc>
        <w:tc>
          <w:tcPr>
            <w:tcW w:w="1191" w:type="dxa"/>
            <w:shd w:val="clear" w:color="auto" w:fill="auto"/>
          </w:tcPr>
          <w:p w14:paraId="16955807" w14:textId="77777777" w:rsidR="00B96DFC" w:rsidRPr="00CD5C3F" w:rsidRDefault="00B96DFC" w:rsidP="00B96DFC">
            <w:pPr>
              <w:contextualSpacing/>
              <w:jc w:val="center"/>
              <w:rPr>
                <w:sz w:val="27"/>
                <w:szCs w:val="27"/>
              </w:rPr>
            </w:pPr>
            <w:r w:rsidRPr="00CD5C3F">
              <w:rPr>
                <w:sz w:val="27"/>
                <w:szCs w:val="27"/>
              </w:rPr>
              <w:t>0</w:t>
            </w:r>
          </w:p>
        </w:tc>
        <w:tc>
          <w:tcPr>
            <w:tcW w:w="1154" w:type="dxa"/>
            <w:gridSpan w:val="2"/>
          </w:tcPr>
          <w:p w14:paraId="7A5EB40B" w14:textId="77777777" w:rsidR="00B96DFC" w:rsidRPr="00CD5C3F" w:rsidRDefault="00B96DFC" w:rsidP="00B96DFC">
            <w:pPr>
              <w:contextualSpacing/>
              <w:jc w:val="center"/>
              <w:rPr>
                <w:sz w:val="27"/>
                <w:szCs w:val="27"/>
              </w:rPr>
            </w:pPr>
            <w:r w:rsidRPr="00CD5C3F">
              <w:rPr>
                <w:sz w:val="27"/>
                <w:szCs w:val="27"/>
              </w:rPr>
              <w:t>0</w:t>
            </w:r>
          </w:p>
        </w:tc>
        <w:tc>
          <w:tcPr>
            <w:tcW w:w="1134" w:type="dxa"/>
          </w:tcPr>
          <w:p w14:paraId="55F946EB" w14:textId="18B918FE" w:rsidR="00B96DFC" w:rsidRPr="00CD5C3F" w:rsidRDefault="00B96DFC" w:rsidP="00B96DFC">
            <w:pPr>
              <w:contextualSpacing/>
              <w:jc w:val="center"/>
              <w:rPr>
                <w:sz w:val="27"/>
                <w:szCs w:val="27"/>
              </w:rPr>
            </w:pPr>
            <w:r w:rsidRPr="00CD5C3F">
              <w:rPr>
                <w:sz w:val="27"/>
                <w:szCs w:val="27"/>
              </w:rPr>
              <w:t>0</w:t>
            </w:r>
          </w:p>
        </w:tc>
        <w:tc>
          <w:tcPr>
            <w:tcW w:w="1134" w:type="dxa"/>
          </w:tcPr>
          <w:p w14:paraId="1E2E1058" w14:textId="18497AD0" w:rsidR="00B96DFC" w:rsidRPr="00CD5C3F" w:rsidRDefault="00B96DFC" w:rsidP="00B96DFC">
            <w:pPr>
              <w:contextualSpacing/>
              <w:jc w:val="center"/>
              <w:rPr>
                <w:sz w:val="27"/>
                <w:szCs w:val="27"/>
              </w:rPr>
            </w:pPr>
            <w:r w:rsidRPr="00CD5C3F">
              <w:rPr>
                <w:sz w:val="27"/>
                <w:szCs w:val="27"/>
              </w:rPr>
              <w:t>0</w:t>
            </w:r>
          </w:p>
        </w:tc>
        <w:tc>
          <w:tcPr>
            <w:tcW w:w="1134" w:type="dxa"/>
          </w:tcPr>
          <w:p w14:paraId="42182F54" w14:textId="7141CABC" w:rsidR="00B96DFC" w:rsidRPr="00CD5C3F" w:rsidRDefault="00B96DFC" w:rsidP="00B96DFC">
            <w:pPr>
              <w:contextualSpacing/>
              <w:jc w:val="center"/>
              <w:rPr>
                <w:sz w:val="27"/>
                <w:szCs w:val="27"/>
              </w:rPr>
            </w:pPr>
            <w:r w:rsidRPr="00CD5C3F">
              <w:rPr>
                <w:sz w:val="27"/>
                <w:szCs w:val="27"/>
              </w:rPr>
              <w:t>0</w:t>
            </w:r>
          </w:p>
        </w:tc>
        <w:tc>
          <w:tcPr>
            <w:tcW w:w="1134" w:type="dxa"/>
          </w:tcPr>
          <w:p w14:paraId="6835CDAB" w14:textId="0CE4D6FC" w:rsidR="00B96DFC" w:rsidRPr="00CD5C3F" w:rsidRDefault="00B96DFC" w:rsidP="00B96DFC">
            <w:pPr>
              <w:contextualSpacing/>
              <w:jc w:val="center"/>
              <w:rPr>
                <w:sz w:val="27"/>
                <w:szCs w:val="27"/>
              </w:rPr>
            </w:pPr>
            <w:r w:rsidRPr="00CD5C3F">
              <w:rPr>
                <w:sz w:val="27"/>
                <w:szCs w:val="27"/>
              </w:rPr>
              <w:t>0</w:t>
            </w:r>
          </w:p>
        </w:tc>
      </w:tr>
      <w:tr w:rsidR="00B96DFC" w:rsidRPr="00CD5C3F" w14:paraId="0F433F45" w14:textId="77777777" w:rsidTr="002C4F8F">
        <w:tc>
          <w:tcPr>
            <w:tcW w:w="1740" w:type="dxa"/>
            <w:gridSpan w:val="2"/>
            <w:hideMark/>
          </w:tcPr>
          <w:p w14:paraId="2DCC611D" w14:textId="77777777" w:rsidR="00B96DFC" w:rsidRPr="00CD5C3F" w:rsidRDefault="00B96DFC" w:rsidP="00B96DFC">
            <w:pPr>
              <w:contextualSpacing/>
              <w:rPr>
                <w:sz w:val="27"/>
                <w:szCs w:val="27"/>
              </w:rPr>
            </w:pPr>
            <w:r w:rsidRPr="00CD5C3F">
              <w:rPr>
                <w:sz w:val="27"/>
                <w:szCs w:val="27"/>
              </w:rPr>
              <w:t>2. Budžeta izdevumi:</w:t>
            </w:r>
          </w:p>
        </w:tc>
        <w:tc>
          <w:tcPr>
            <w:tcW w:w="1155" w:type="dxa"/>
            <w:gridSpan w:val="3"/>
          </w:tcPr>
          <w:p w14:paraId="14B673DF" w14:textId="77777777" w:rsidR="00B96DFC" w:rsidRPr="00CD5C3F" w:rsidRDefault="00B96DFC" w:rsidP="00B96DFC">
            <w:pPr>
              <w:contextualSpacing/>
              <w:jc w:val="center"/>
              <w:rPr>
                <w:sz w:val="27"/>
                <w:szCs w:val="27"/>
              </w:rPr>
            </w:pPr>
            <w:r w:rsidRPr="00CD5C3F">
              <w:rPr>
                <w:sz w:val="27"/>
                <w:szCs w:val="27"/>
              </w:rPr>
              <w:t>0</w:t>
            </w:r>
          </w:p>
        </w:tc>
        <w:tc>
          <w:tcPr>
            <w:tcW w:w="1191" w:type="dxa"/>
          </w:tcPr>
          <w:p w14:paraId="3687FFCA" w14:textId="77777777" w:rsidR="00B96DFC" w:rsidRPr="00CD5C3F" w:rsidRDefault="00B96DFC" w:rsidP="00B96DFC">
            <w:pPr>
              <w:contextualSpacing/>
              <w:jc w:val="center"/>
              <w:rPr>
                <w:sz w:val="27"/>
                <w:szCs w:val="27"/>
              </w:rPr>
            </w:pPr>
            <w:r w:rsidRPr="00CD5C3F">
              <w:rPr>
                <w:sz w:val="27"/>
                <w:szCs w:val="27"/>
              </w:rPr>
              <w:t>0</w:t>
            </w:r>
          </w:p>
        </w:tc>
        <w:tc>
          <w:tcPr>
            <w:tcW w:w="1154" w:type="dxa"/>
            <w:gridSpan w:val="2"/>
          </w:tcPr>
          <w:p w14:paraId="1A6CB0B1" w14:textId="77777777" w:rsidR="00B96DFC" w:rsidRPr="00CD5C3F" w:rsidRDefault="00B96DFC" w:rsidP="00B96DFC">
            <w:pPr>
              <w:contextualSpacing/>
              <w:jc w:val="center"/>
              <w:rPr>
                <w:sz w:val="27"/>
                <w:szCs w:val="27"/>
              </w:rPr>
            </w:pPr>
            <w:r w:rsidRPr="00CD5C3F">
              <w:rPr>
                <w:sz w:val="27"/>
                <w:szCs w:val="27"/>
              </w:rPr>
              <w:t>0</w:t>
            </w:r>
          </w:p>
        </w:tc>
        <w:tc>
          <w:tcPr>
            <w:tcW w:w="1134" w:type="dxa"/>
          </w:tcPr>
          <w:p w14:paraId="607737CC" w14:textId="10007695" w:rsidR="00B96DFC" w:rsidRPr="00CD5C3F" w:rsidRDefault="00B96DFC" w:rsidP="00B96DFC">
            <w:pPr>
              <w:contextualSpacing/>
              <w:jc w:val="center"/>
              <w:rPr>
                <w:sz w:val="27"/>
                <w:szCs w:val="27"/>
              </w:rPr>
            </w:pPr>
            <w:r w:rsidRPr="00CD5C3F">
              <w:rPr>
                <w:sz w:val="27"/>
                <w:szCs w:val="27"/>
              </w:rPr>
              <w:t>0</w:t>
            </w:r>
          </w:p>
        </w:tc>
        <w:tc>
          <w:tcPr>
            <w:tcW w:w="1134" w:type="dxa"/>
          </w:tcPr>
          <w:p w14:paraId="56C334A4" w14:textId="5722788A" w:rsidR="00B96DFC" w:rsidRPr="00CD5C3F" w:rsidRDefault="00B96DFC" w:rsidP="00B96DFC">
            <w:pPr>
              <w:contextualSpacing/>
              <w:jc w:val="center"/>
              <w:rPr>
                <w:sz w:val="27"/>
                <w:szCs w:val="27"/>
              </w:rPr>
            </w:pPr>
            <w:r w:rsidRPr="00CD5C3F">
              <w:rPr>
                <w:sz w:val="27"/>
                <w:szCs w:val="27"/>
              </w:rPr>
              <w:t>0</w:t>
            </w:r>
          </w:p>
        </w:tc>
        <w:tc>
          <w:tcPr>
            <w:tcW w:w="1134" w:type="dxa"/>
          </w:tcPr>
          <w:p w14:paraId="0A8E2CE6" w14:textId="040B7E3E" w:rsidR="00B96DFC" w:rsidRPr="00CD5C3F" w:rsidRDefault="00B96DFC" w:rsidP="00B96DFC">
            <w:pPr>
              <w:contextualSpacing/>
              <w:jc w:val="center"/>
              <w:rPr>
                <w:sz w:val="27"/>
                <w:szCs w:val="27"/>
              </w:rPr>
            </w:pPr>
            <w:r w:rsidRPr="00CD5C3F">
              <w:rPr>
                <w:sz w:val="27"/>
                <w:szCs w:val="27"/>
              </w:rPr>
              <w:t>0</w:t>
            </w:r>
          </w:p>
        </w:tc>
        <w:tc>
          <w:tcPr>
            <w:tcW w:w="1134" w:type="dxa"/>
          </w:tcPr>
          <w:p w14:paraId="19C75637" w14:textId="34DC82AE" w:rsidR="00B96DFC" w:rsidRPr="00CD5C3F" w:rsidRDefault="00B96DFC" w:rsidP="00B96DFC">
            <w:pPr>
              <w:contextualSpacing/>
              <w:jc w:val="center"/>
              <w:rPr>
                <w:sz w:val="27"/>
                <w:szCs w:val="27"/>
              </w:rPr>
            </w:pPr>
            <w:r w:rsidRPr="00CD5C3F">
              <w:rPr>
                <w:sz w:val="27"/>
                <w:szCs w:val="27"/>
              </w:rPr>
              <w:t>0</w:t>
            </w:r>
          </w:p>
        </w:tc>
      </w:tr>
      <w:tr w:rsidR="00B96DFC" w:rsidRPr="00CD5C3F" w14:paraId="01DF6718" w14:textId="77777777" w:rsidTr="002C4F8F">
        <w:tc>
          <w:tcPr>
            <w:tcW w:w="1740" w:type="dxa"/>
            <w:gridSpan w:val="2"/>
            <w:hideMark/>
          </w:tcPr>
          <w:p w14:paraId="21DEF1E4" w14:textId="77777777" w:rsidR="00B96DFC" w:rsidRPr="00CD5C3F" w:rsidRDefault="00B96DFC" w:rsidP="00B96DFC">
            <w:pPr>
              <w:contextualSpacing/>
              <w:rPr>
                <w:sz w:val="27"/>
                <w:szCs w:val="27"/>
              </w:rPr>
            </w:pPr>
            <w:r w:rsidRPr="00CD5C3F">
              <w:rPr>
                <w:sz w:val="27"/>
                <w:szCs w:val="27"/>
              </w:rPr>
              <w:t>2.1. valsts pamatbudžets</w:t>
            </w:r>
          </w:p>
        </w:tc>
        <w:tc>
          <w:tcPr>
            <w:tcW w:w="1155" w:type="dxa"/>
            <w:gridSpan w:val="3"/>
          </w:tcPr>
          <w:p w14:paraId="00F277AC" w14:textId="77777777" w:rsidR="00B96DFC" w:rsidRPr="00CD5C3F" w:rsidRDefault="00B96DFC" w:rsidP="00B96DFC">
            <w:pPr>
              <w:contextualSpacing/>
              <w:jc w:val="center"/>
              <w:rPr>
                <w:sz w:val="27"/>
                <w:szCs w:val="27"/>
              </w:rPr>
            </w:pPr>
            <w:r w:rsidRPr="00CD5C3F">
              <w:rPr>
                <w:sz w:val="27"/>
                <w:szCs w:val="27"/>
              </w:rPr>
              <w:t>0</w:t>
            </w:r>
          </w:p>
        </w:tc>
        <w:tc>
          <w:tcPr>
            <w:tcW w:w="1191" w:type="dxa"/>
          </w:tcPr>
          <w:p w14:paraId="70E5ABAB" w14:textId="77777777" w:rsidR="00B96DFC" w:rsidRPr="00CD5C3F" w:rsidRDefault="00B96DFC" w:rsidP="00B96DFC">
            <w:pPr>
              <w:contextualSpacing/>
              <w:jc w:val="center"/>
              <w:rPr>
                <w:sz w:val="27"/>
                <w:szCs w:val="27"/>
              </w:rPr>
            </w:pPr>
            <w:r w:rsidRPr="00CD5C3F">
              <w:rPr>
                <w:sz w:val="27"/>
                <w:szCs w:val="27"/>
              </w:rPr>
              <w:t>0</w:t>
            </w:r>
          </w:p>
        </w:tc>
        <w:tc>
          <w:tcPr>
            <w:tcW w:w="1154" w:type="dxa"/>
            <w:gridSpan w:val="2"/>
          </w:tcPr>
          <w:p w14:paraId="35F7A314" w14:textId="77777777" w:rsidR="00B96DFC" w:rsidRPr="00CD5C3F" w:rsidRDefault="00B96DFC" w:rsidP="00B96DFC">
            <w:pPr>
              <w:contextualSpacing/>
              <w:jc w:val="center"/>
              <w:rPr>
                <w:sz w:val="27"/>
                <w:szCs w:val="27"/>
              </w:rPr>
            </w:pPr>
            <w:r w:rsidRPr="00CD5C3F">
              <w:rPr>
                <w:sz w:val="27"/>
                <w:szCs w:val="27"/>
              </w:rPr>
              <w:t>0</w:t>
            </w:r>
          </w:p>
        </w:tc>
        <w:tc>
          <w:tcPr>
            <w:tcW w:w="1134" w:type="dxa"/>
          </w:tcPr>
          <w:p w14:paraId="3936059C" w14:textId="7CD1EF58" w:rsidR="00B96DFC" w:rsidRPr="00CD5C3F" w:rsidRDefault="00B96DFC" w:rsidP="00B96DFC">
            <w:pPr>
              <w:contextualSpacing/>
              <w:jc w:val="center"/>
              <w:rPr>
                <w:sz w:val="27"/>
                <w:szCs w:val="27"/>
              </w:rPr>
            </w:pPr>
            <w:r w:rsidRPr="00CD5C3F">
              <w:rPr>
                <w:sz w:val="27"/>
                <w:szCs w:val="27"/>
              </w:rPr>
              <w:t>0</w:t>
            </w:r>
          </w:p>
        </w:tc>
        <w:tc>
          <w:tcPr>
            <w:tcW w:w="1134" w:type="dxa"/>
          </w:tcPr>
          <w:p w14:paraId="7838011E" w14:textId="58A47C01" w:rsidR="00B96DFC" w:rsidRPr="00CD5C3F" w:rsidRDefault="00B96DFC" w:rsidP="00B96DFC">
            <w:pPr>
              <w:contextualSpacing/>
              <w:jc w:val="center"/>
              <w:rPr>
                <w:sz w:val="27"/>
                <w:szCs w:val="27"/>
              </w:rPr>
            </w:pPr>
            <w:r w:rsidRPr="00CD5C3F">
              <w:rPr>
                <w:sz w:val="27"/>
                <w:szCs w:val="27"/>
              </w:rPr>
              <w:t>0</w:t>
            </w:r>
          </w:p>
        </w:tc>
        <w:tc>
          <w:tcPr>
            <w:tcW w:w="1134" w:type="dxa"/>
          </w:tcPr>
          <w:p w14:paraId="0F6D128E" w14:textId="47F6D263" w:rsidR="00B96DFC" w:rsidRPr="00CD5C3F" w:rsidRDefault="00B96DFC" w:rsidP="00B96DFC">
            <w:pPr>
              <w:contextualSpacing/>
              <w:jc w:val="center"/>
              <w:rPr>
                <w:sz w:val="27"/>
                <w:szCs w:val="27"/>
              </w:rPr>
            </w:pPr>
            <w:r w:rsidRPr="00CD5C3F">
              <w:rPr>
                <w:sz w:val="27"/>
                <w:szCs w:val="27"/>
              </w:rPr>
              <w:t>0</w:t>
            </w:r>
          </w:p>
        </w:tc>
        <w:tc>
          <w:tcPr>
            <w:tcW w:w="1134" w:type="dxa"/>
          </w:tcPr>
          <w:p w14:paraId="178FC759" w14:textId="0B5D2550" w:rsidR="00B96DFC" w:rsidRPr="00CD5C3F" w:rsidRDefault="00B96DFC" w:rsidP="00B96DFC">
            <w:pPr>
              <w:contextualSpacing/>
              <w:jc w:val="center"/>
              <w:rPr>
                <w:sz w:val="27"/>
                <w:szCs w:val="27"/>
              </w:rPr>
            </w:pPr>
            <w:r w:rsidRPr="00CD5C3F">
              <w:rPr>
                <w:sz w:val="27"/>
                <w:szCs w:val="27"/>
              </w:rPr>
              <w:t>0</w:t>
            </w:r>
          </w:p>
        </w:tc>
      </w:tr>
      <w:tr w:rsidR="00B96DFC" w:rsidRPr="00CD5C3F" w14:paraId="78C11AE7" w14:textId="77777777" w:rsidTr="002C4F8F">
        <w:tc>
          <w:tcPr>
            <w:tcW w:w="1740" w:type="dxa"/>
            <w:gridSpan w:val="2"/>
            <w:hideMark/>
          </w:tcPr>
          <w:p w14:paraId="7282BB50" w14:textId="77777777" w:rsidR="00B96DFC" w:rsidRPr="00CD5C3F" w:rsidRDefault="00B96DFC" w:rsidP="00B96DFC">
            <w:pPr>
              <w:contextualSpacing/>
              <w:rPr>
                <w:sz w:val="27"/>
                <w:szCs w:val="27"/>
              </w:rPr>
            </w:pPr>
            <w:r w:rsidRPr="00CD5C3F">
              <w:rPr>
                <w:sz w:val="27"/>
                <w:szCs w:val="27"/>
              </w:rPr>
              <w:t>2.2. valsts speciālais budžets</w:t>
            </w:r>
          </w:p>
        </w:tc>
        <w:tc>
          <w:tcPr>
            <w:tcW w:w="1155" w:type="dxa"/>
            <w:gridSpan w:val="3"/>
          </w:tcPr>
          <w:p w14:paraId="1C58E3BA" w14:textId="77777777" w:rsidR="00B96DFC" w:rsidRPr="00CD5C3F" w:rsidRDefault="00B96DFC" w:rsidP="00B96DFC">
            <w:pPr>
              <w:contextualSpacing/>
              <w:jc w:val="center"/>
              <w:rPr>
                <w:sz w:val="27"/>
                <w:szCs w:val="27"/>
              </w:rPr>
            </w:pPr>
            <w:r w:rsidRPr="00CD5C3F">
              <w:rPr>
                <w:sz w:val="27"/>
                <w:szCs w:val="27"/>
              </w:rPr>
              <w:t>0</w:t>
            </w:r>
          </w:p>
        </w:tc>
        <w:tc>
          <w:tcPr>
            <w:tcW w:w="1191" w:type="dxa"/>
          </w:tcPr>
          <w:p w14:paraId="19252420" w14:textId="77777777" w:rsidR="00B96DFC" w:rsidRPr="00CD5C3F" w:rsidRDefault="00B96DFC" w:rsidP="00B96DFC">
            <w:pPr>
              <w:contextualSpacing/>
              <w:jc w:val="center"/>
              <w:rPr>
                <w:sz w:val="27"/>
                <w:szCs w:val="27"/>
              </w:rPr>
            </w:pPr>
            <w:r w:rsidRPr="00CD5C3F">
              <w:rPr>
                <w:sz w:val="27"/>
                <w:szCs w:val="27"/>
              </w:rPr>
              <w:t>0</w:t>
            </w:r>
          </w:p>
        </w:tc>
        <w:tc>
          <w:tcPr>
            <w:tcW w:w="1154" w:type="dxa"/>
            <w:gridSpan w:val="2"/>
          </w:tcPr>
          <w:p w14:paraId="40E79307" w14:textId="77777777" w:rsidR="00B96DFC" w:rsidRPr="00CD5C3F" w:rsidRDefault="00B96DFC" w:rsidP="00B96DFC">
            <w:pPr>
              <w:contextualSpacing/>
              <w:jc w:val="center"/>
              <w:rPr>
                <w:sz w:val="27"/>
                <w:szCs w:val="27"/>
              </w:rPr>
            </w:pPr>
            <w:r w:rsidRPr="00CD5C3F">
              <w:rPr>
                <w:sz w:val="27"/>
                <w:szCs w:val="27"/>
              </w:rPr>
              <w:t>0</w:t>
            </w:r>
          </w:p>
        </w:tc>
        <w:tc>
          <w:tcPr>
            <w:tcW w:w="1134" w:type="dxa"/>
          </w:tcPr>
          <w:p w14:paraId="5EDE1F52" w14:textId="1CD7EC2C" w:rsidR="00B96DFC" w:rsidRPr="00CD5C3F" w:rsidRDefault="00B96DFC" w:rsidP="00B96DFC">
            <w:pPr>
              <w:contextualSpacing/>
              <w:jc w:val="center"/>
              <w:rPr>
                <w:sz w:val="27"/>
                <w:szCs w:val="27"/>
              </w:rPr>
            </w:pPr>
            <w:r w:rsidRPr="00CD5C3F">
              <w:rPr>
                <w:sz w:val="27"/>
                <w:szCs w:val="27"/>
              </w:rPr>
              <w:t>0</w:t>
            </w:r>
          </w:p>
        </w:tc>
        <w:tc>
          <w:tcPr>
            <w:tcW w:w="1134" w:type="dxa"/>
          </w:tcPr>
          <w:p w14:paraId="0F003E40" w14:textId="688203F1" w:rsidR="00B96DFC" w:rsidRPr="00CD5C3F" w:rsidRDefault="00B96DFC" w:rsidP="00B96DFC">
            <w:pPr>
              <w:contextualSpacing/>
              <w:jc w:val="center"/>
              <w:rPr>
                <w:sz w:val="27"/>
                <w:szCs w:val="27"/>
              </w:rPr>
            </w:pPr>
            <w:r w:rsidRPr="00CD5C3F">
              <w:rPr>
                <w:sz w:val="27"/>
                <w:szCs w:val="27"/>
              </w:rPr>
              <w:t>0</w:t>
            </w:r>
          </w:p>
        </w:tc>
        <w:tc>
          <w:tcPr>
            <w:tcW w:w="1134" w:type="dxa"/>
          </w:tcPr>
          <w:p w14:paraId="153A0A18" w14:textId="62F1ECD7" w:rsidR="00B96DFC" w:rsidRPr="00CD5C3F" w:rsidRDefault="00B96DFC" w:rsidP="00B96DFC">
            <w:pPr>
              <w:contextualSpacing/>
              <w:jc w:val="center"/>
              <w:rPr>
                <w:sz w:val="27"/>
                <w:szCs w:val="27"/>
              </w:rPr>
            </w:pPr>
            <w:r w:rsidRPr="00CD5C3F">
              <w:rPr>
                <w:sz w:val="27"/>
                <w:szCs w:val="27"/>
              </w:rPr>
              <w:t>0</w:t>
            </w:r>
          </w:p>
        </w:tc>
        <w:tc>
          <w:tcPr>
            <w:tcW w:w="1134" w:type="dxa"/>
          </w:tcPr>
          <w:p w14:paraId="1760D466" w14:textId="666D96AB" w:rsidR="00B96DFC" w:rsidRPr="00CD5C3F" w:rsidRDefault="00B96DFC" w:rsidP="00B96DFC">
            <w:pPr>
              <w:contextualSpacing/>
              <w:jc w:val="center"/>
              <w:rPr>
                <w:sz w:val="27"/>
                <w:szCs w:val="27"/>
              </w:rPr>
            </w:pPr>
            <w:r w:rsidRPr="00CD5C3F">
              <w:rPr>
                <w:sz w:val="27"/>
                <w:szCs w:val="27"/>
              </w:rPr>
              <w:t>0</w:t>
            </w:r>
          </w:p>
        </w:tc>
      </w:tr>
      <w:tr w:rsidR="00B96DFC" w:rsidRPr="00CD5C3F" w14:paraId="23497B4F" w14:textId="77777777" w:rsidTr="002C4F8F">
        <w:tc>
          <w:tcPr>
            <w:tcW w:w="1740" w:type="dxa"/>
            <w:gridSpan w:val="2"/>
            <w:hideMark/>
          </w:tcPr>
          <w:p w14:paraId="2332058F" w14:textId="77777777" w:rsidR="00B96DFC" w:rsidRPr="00CD5C3F" w:rsidRDefault="00B96DFC" w:rsidP="00B96DFC">
            <w:pPr>
              <w:contextualSpacing/>
              <w:rPr>
                <w:sz w:val="27"/>
                <w:szCs w:val="27"/>
              </w:rPr>
            </w:pPr>
            <w:r w:rsidRPr="00CD5C3F">
              <w:rPr>
                <w:sz w:val="27"/>
                <w:szCs w:val="27"/>
              </w:rPr>
              <w:t>2.3. pašvaldību budžets</w:t>
            </w:r>
          </w:p>
        </w:tc>
        <w:tc>
          <w:tcPr>
            <w:tcW w:w="1155" w:type="dxa"/>
            <w:gridSpan w:val="3"/>
          </w:tcPr>
          <w:p w14:paraId="510BF951" w14:textId="77777777" w:rsidR="00B96DFC" w:rsidRPr="00CD5C3F" w:rsidRDefault="00B96DFC" w:rsidP="00B96DFC">
            <w:pPr>
              <w:contextualSpacing/>
              <w:jc w:val="center"/>
              <w:rPr>
                <w:sz w:val="27"/>
                <w:szCs w:val="27"/>
              </w:rPr>
            </w:pPr>
            <w:r w:rsidRPr="00CD5C3F">
              <w:rPr>
                <w:sz w:val="27"/>
                <w:szCs w:val="27"/>
              </w:rPr>
              <w:t>0</w:t>
            </w:r>
          </w:p>
        </w:tc>
        <w:tc>
          <w:tcPr>
            <w:tcW w:w="1191" w:type="dxa"/>
            <w:shd w:val="clear" w:color="auto" w:fill="FFFFFF" w:themeFill="background1"/>
          </w:tcPr>
          <w:p w14:paraId="5368855F" w14:textId="77777777" w:rsidR="00B96DFC" w:rsidRPr="00CD5C3F" w:rsidRDefault="00B96DFC" w:rsidP="00B96DFC">
            <w:pPr>
              <w:contextualSpacing/>
              <w:jc w:val="center"/>
              <w:rPr>
                <w:sz w:val="27"/>
                <w:szCs w:val="27"/>
              </w:rPr>
            </w:pPr>
            <w:r w:rsidRPr="00CD5C3F">
              <w:rPr>
                <w:sz w:val="27"/>
                <w:szCs w:val="27"/>
              </w:rPr>
              <w:t>0</w:t>
            </w:r>
          </w:p>
        </w:tc>
        <w:tc>
          <w:tcPr>
            <w:tcW w:w="1154" w:type="dxa"/>
            <w:gridSpan w:val="2"/>
          </w:tcPr>
          <w:p w14:paraId="6BD16B65" w14:textId="77777777" w:rsidR="00B96DFC" w:rsidRPr="00CD5C3F" w:rsidRDefault="00B96DFC" w:rsidP="00B96DFC">
            <w:pPr>
              <w:contextualSpacing/>
              <w:jc w:val="center"/>
              <w:rPr>
                <w:sz w:val="27"/>
                <w:szCs w:val="27"/>
              </w:rPr>
            </w:pPr>
            <w:r w:rsidRPr="00CD5C3F">
              <w:rPr>
                <w:sz w:val="27"/>
                <w:szCs w:val="27"/>
              </w:rPr>
              <w:t>0</w:t>
            </w:r>
          </w:p>
        </w:tc>
        <w:tc>
          <w:tcPr>
            <w:tcW w:w="1134" w:type="dxa"/>
          </w:tcPr>
          <w:p w14:paraId="4D9328AE" w14:textId="228C085D" w:rsidR="00B96DFC" w:rsidRPr="00CD5C3F" w:rsidRDefault="00B96DFC" w:rsidP="00B96DFC">
            <w:pPr>
              <w:contextualSpacing/>
              <w:jc w:val="center"/>
              <w:rPr>
                <w:sz w:val="27"/>
                <w:szCs w:val="27"/>
              </w:rPr>
            </w:pPr>
            <w:r w:rsidRPr="00CD5C3F">
              <w:rPr>
                <w:sz w:val="27"/>
                <w:szCs w:val="27"/>
              </w:rPr>
              <w:t>0</w:t>
            </w:r>
          </w:p>
        </w:tc>
        <w:tc>
          <w:tcPr>
            <w:tcW w:w="1134" w:type="dxa"/>
          </w:tcPr>
          <w:p w14:paraId="5C11F262" w14:textId="0A6486C7" w:rsidR="00B96DFC" w:rsidRPr="00CD5C3F" w:rsidRDefault="00B96DFC" w:rsidP="00B96DFC">
            <w:pPr>
              <w:contextualSpacing/>
              <w:jc w:val="center"/>
              <w:rPr>
                <w:sz w:val="27"/>
                <w:szCs w:val="27"/>
              </w:rPr>
            </w:pPr>
            <w:r w:rsidRPr="00CD5C3F">
              <w:rPr>
                <w:sz w:val="27"/>
                <w:szCs w:val="27"/>
              </w:rPr>
              <w:t>0</w:t>
            </w:r>
          </w:p>
        </w:tc>
        <w:tc>
          <w:tcPr>
            <w:tcW w:w="1134" w:type="dxa"/>
          </w:tcPr>
          <w:p w14:paraId="5982F490" w14:textId="7617DBE1" w:rsidR="00B96DFC" w:rsidRPr="00CD5C3F" w:rsidRDefault="00B96DFC" w:rsidP="00B96DFC">
            <w:pPr>
              <w:contextualSpacing/>
              <w:jc w:val="center"/>
              <w:rPr>
                <w:sz w:val="27"/>
                <w:szCs w:val="27"/>
              </w:rPr>
            </w:pPr>
            <w:r w:rsidRPr="00CD5C3F">
              <w:rPr>
                <w:sz w:val="27"/>
                <w:szCs w:val="27"/>
              </w:rPr>
              <w:t>0</w:t>
            </w:r>
          </w:p>
        </w:tc>
        <w:tc>
          <w:tcPr>
            <w:tcW w:w="1134" w:type="dxa"/>
          </w:tcPr>
          <w:p w14:paraId="378C7AA2" w14:textId="6EA20ABD" w:rsidR="00B96DFC" w:rsidRPr="00CD5C3F" w:rsidRDefault="00B96DFC" w:rsidP="00B96DFC">
            <w:pPr>
              <w:contextualSpacing/>
              <w:jc w:val="center"/>
              <w:rPr>
                <w:sz w:val="27"/>
                <w:szCs w:val="27"/>
              </w:rPr>
            </w:pPr>
            <w:r w:rsidRPr="00CD5C3F">
              <w:rPr>
                <w:sz w:val="27"/>
                <w:szCs w:val="27"/>
              </w:rPr>
              <w:t>0</w:t>
            </w:r>
          </w:p>
        </w:tc>
      </w:tr>
      <w:tr w:rsidR="00B96DFC" w:rsidRPr="00CD5C3F" w14:paraId="52E5E315" w14:textId="77777777" w:rsidTr="002C4F8F">
        <w:tc>
          <w:tcPr>
            <w:tcW w:w="1740" w:type="dxa"/>
            <w:gridSpan w:val="2"/>
            <w:hideMark/>
          </w:tcPr>
          <w:p w14:paraId="550C5319" w14:textId="77777777" w:rsidR="00B96DFC" w:rsidRPr="00CD5C3F" w:rsidRDefault="00B96DFC" w:rsidP="00B96DFC">
            <w:pPr>
              <w:contextualSpacing/>
              <w:rPr>
                <w:sz w:val="27"/>
                <w:szCs w:val="27"/>
              </w:rPr>
            </w:pPr>
            <w:r w:rsidRPr="00CD5C3F">
              <w:rPr>
                <w:sz w:val="27"/>
                <w:szCs w:val="27"/>
              </w:rPr>
              <w:t>3. Finansiālā ietekme:</w:t>
            </w:r>
          </w:p>
        </w:tc>
        <w:tc>
          <w:tcPr>
            <w:tcW w:w="1155" w:type="dxa"/>
            <w:gridSpan w:val="3"/>
          </w:tcPr>
          <w:p w14:paraId="54DCD846" w14:textId="77777777" w:rsidR="00B96DFC" w:rsidRPr="00CD5C3F" w:rsidRDefault="00B96DFC" w:rsidP="00B96DFC">
            <w:pPr>
              <w:contextualSpacing/>
              <w:jc w:val="center"/>
              <w:rPr>
                <w:sz w:val="27"/>
                <w:szCs w:val="27"/>
              </w:rPr>
            </w:pPr>
            <w:r w:rsidRPr="00CD5C3F">
              <w:rPr>
                <w:sz w:val="27"/>
                <w:szCs w:val="27"/>
              </w:rPr>
              <w:t>0</w:t>
            </w:r>
          </w:p>
        </w:tc>
        <w:tc>
          <w:tcPr>
            <w:tcW w:w="1191" w:type="dxa"/>
          </w:tcPr>
          <w:p w14:paraId="3761C860" w14:textId="77777777" w:rsidR="00B96DFC" w:rsidRPr="00CD5C3F" w:rsidRDefault="00B96DFC" w:rsidP="00B96DFC">
            <w:pPr>
              <w:contextualSpacing/>
              <w:jc w:val="center"/>
              <w:rPr>
                <w:sz w:val="27"/>
                <w:szCs w:val="27"/>
              </w:rPr>
            </w:pPr>
            <w:r w:rsidRPr="00CD5C3F">
              <w:rPr>
                <w:sz w:val="27"/>
                <w:szCs w:val="27"/>
              </w:rPr>
              <w:t>0</w:t>
            </w:r>
          </w:p>
        </w:tc>
        <w:tc>
          <w:tcPr>
            <w:tcW w:w="1154" w:type="dxa"/>
            <w:gridSpan w:val="2"/>
          </w:tcPr>
          <w:p w14:paraId="3D50E7A3" w14:textId="77777777" w:rsidR="00B96DFC" w:rsidRPr="00CD5C3F" w:rsidRDefault="00B96DFC" w:rsidP="00B96DFC">
            <w:pPr>
              <w:contextualSpacing/>
              <w:jc w:val="center"/>
              <w:rPr>
                <w:sz w:val="27"/>
                <w:szCs w:val="27"/>
              </w:rPr>
            </w:pPr>
            <w:r w:rsidRPr="00CD5C3F">
              <w:rPr>
                <w:sz w:val="27"/>
                <w:szCs w:val="27"/>
              </w:rPr>
              <w:t>0</w:t>
            </w:r>
          </w:p>
        </w:tc>
        <w:tc>
          <w:tcPr>
            <w:tcW w:w="1134" w:type="dxa"/>
          </w:tcPr>
          <w:p w14:paraId="23E66BBC" w14:textId="712989FC" w:rsidR="00B96DFC" w:rsidRPr="00CD5C3F" w:rsidRDefault="00B96DFC" w:rsidP="00B96DFC">
            <w:pPr>
              <w:contextualSpacing/>
              <w:jc w:val="center"/>
              <w:rPr>
                <w:sz w:val="27"/>
                <w:szCs w:val="27"/>
              </w:rPr>
            </w:pPr>
            <w:r w:rsidRPr="00CD5C3F">
              <w:rPr>
                <w:sz w:val="27"/>
                <w:szCs w:val="27"/>
              </w:rPr>
              <w:t>0</w:t>
            </w:r>
          </w:p>
        </w:tc>
        <w:tc>
          <w:tcPr>
            <w:tcW w:w="1134" w:type="dxa"/>
          </w:tcPr>
          <w:p w14:paraId="63D32D1B" w14:textId="218C7161" w:rsidR="00B96DFC" w:rsidRPr="00CD5C3F" w:rsidRDefault="00B96DFC" w:rsidP="00B96DFC">
            <w:pPr>
              <w:contextualSpacing/>
              <w:jc w:val="center"/>
              <w:rPr>
                <w:sz w:val="27"/>
                <w:szCs w:val="27"/>
              </w:rPr>
            </w:pPr>
            <w:r w:rsidRPr="00CD5C3F">
              <w:rPr>
                <w:sz w:val="27"/>
                <w:szCs w:val="27"/>
              </w:rPr>
              <w:t>0</w:t>
            </w:r>
          </w:p>
        </w:tc>
        <w:tc>
          <w:tcPr>
            <w:tcW w:w="1134" w:type="dxa"/>
          </w:tcPr>
          <w:p w14:paraId="153A2FB4" w14:textId="0C5B3689" w:rsidR="00B96DFC" w:rsidRPr="00CD5C3F" w:rsidRDefault="00B96DFC" w:rsidP="00B96DFC">
            <w:pPr>
              <w:contextualSpacing/>
              <w:jc w:val="center"/>
              <w:rPr>
                <w:sz w:val="27"/>
                <w:szCs w:val="27"/>
              </w:rPr>
            </w:pPr>
            <w:r w:rsidRPr="00CD5C3F">
              <w:rPr>
                <w:sz w:val="27"/>
                <w:szCs w:val="27"/>
              </w:rPr>
              <w:t>0</w:t>
            </w:r>
          </w:p>
        </w:tc>
        <w:tc>
          <w:tcPr>
            <w:tcW w:w="1134" w:type="dxa"/>
          </w:tcPr>
          <w:p w14:paraId="37765D4B" w14:textId="0FED148D" w:rsidR="00B96DFC" w:rsidRPr="00CD5C3F" w:rsidRDefault="00B96DFC" w:rsidP="00B96DFC">
            <w:pPr>
              <w:contextualSpacing/>
              <w:jc w:val="center"/>
              <w:rPr>
                <w:sz w:val="27"/>
                <w:szCs w:val="27"/>
              </w:rPr>
            </w:pPr>
            <w:r w:rsidRPr="00CD5C3F">
              <w:rPr>
                <w:sz w:val="27"/>
                <w:szCs w:val="27"/>
              </w:rPr>
              <w:t>0</w:t>
            </w:r>
          </w:p>
        </w:tc>
      </w:tr>
      <w:tr w:rsidR="00B96DFC" w:rsidRPr="00CD5C3F" w14:paraId="626B1DE0" w14:textId="77777777" w:rsidTr="002C4F8F">
        <w:tc>
          <w:tcPr>
            <w:tcW w:w="1740" w:type="dxa"/>
            <w:gridSpan w:val="2"/>
            <w:hideMark/>
          </w:tcPr>
          <w:p w14:paraId="5845787D" w14:textId="77777777" w:rsidR="00B96DFC" w:rsidRPr="00CD5C3F" w:rsidRDefault="00B96DFC" w:rsidP="00B96DFC">
            <w:pPr>
              <w:contextualSpacing/>
              <w:rPr>
                <w:sz w:val="27"/>
                <w:szCs w:val="27"/>
              </w:rPr>
            </w:pPr>
            <w:r w:rsidRPr="00CD5C3F">
              <w:rPr>
                <w:sz w:val="27"/>
                <w:szCs w:val="27"/>
              </w:rPr>
              <w:t>3.1. valsts pamatbudžets</w:t>
            </w:r>
          </w:p>
        </w:tc>
        <w:tc>
          <w:tcPr>
            <w:tcW w:w="1155" w:type="dxa"/>
            <w:gridSpan w:val="3"/>
          </w:tcPr>
          <w:p w14:paraId="7C2C47C5" w14:textId="77777777" w:rsidR="00B96DFC" w:rsidRPr="00CD5C3F" w:rsidRDefault="00B96DFC" w:rsidP="00B96DFC">
            <w:pPr>
              <w:contextualSpacing/>
              <w:jc w:val="center"/>
              <w:rPr>
                <w:sz w:val="27"/>
                <w:szCs w:val="27"/>
              </w:rPr>
            </w:pPr>
            <w:r w:rsidRPr="00CD5C3F">
              <w:rPr>
                <w:sz w:val="27"/>
                <w:szCs w:val="27"/>
              </w:rPr>
              <w:t>0</w:t>
            </w:r>
          </w:p>
        </w:tc>
        <w:tc>
          <w:tcPr>
            <w:tcW w:w="1191" w:type="dxa"/>
          </w:tcPr>
          <w:p w14:paraId="49CA5424" w14:textId="77777777" w:rsidR="00B96DFC" w:rsidRPr="00CD5C3F" w:rsidRDefault="00B96DFC" w:rsidP="00B96DFC">
            <w:pPr>
              <w:contextualSpacing/>
              <w:jc w:val="center"/>
              <w:rPr>
                <w:sz w:val="27"/>
                <w:szCs w:val="27"/>
              </w:rPr>
            </w:pPr>
            <w:r w:rsidRPr="00CD5C3F">
              <w:rPr>
                <w:sz w:val="27"/>
                <w:szCs w:val="27"/>
              </w:rPr>
              <w:t>0</w:t>
            </w:r>
          </w:p>
        </w:tc>
        <w:tc>
          <w:tcPr>
            <w:tcW w:w="1154" w:type="dxa"/>
            <w:gridSpan w:val="2"/>
          </w:tcPr>
          <w:p w14:paraId="720AC16A" w14:textId="77777777" w:rsidR="00B96DFC" w:rsidRPr="00CD5C3F" w:rsidRDefault="00B96DFC" w:rsidP="00B96DFC">
            <w:pPr>
              <w:contextualSpacing/>
              <w:jc w:val="center"/>
              <w:rPr>
                <w:sz w:val="27"/>
                <w:szCs w:val="27"/>
              </w:rPr>
            </w:pPr>
            <w:r w:rsidRPr="00CD5C3F">
              <w:rPr>
                <w:sz w:val="27"/>
                <w:szCs w:val="27"/>
              </w:rPr>
              <w:t>0</w:t>
            </w:r>
          </w:p>
        </w:tc>
        <w:tc>
          <w:tcPr>
            <w:tcW w:w="1134" w:type="dxa"/>
          </w:tcPr>
          <w:p w14:paraId="2D7952EC" w14:textId="619F7D35" w:rsidR="00B96DFC" w:rsidRPr="00CD5C3F" w:rsidRDefault="00B96DFC" w:rsidP="00B96DFC">
            <w:pPr>
              <w:contextualSpacing/>
              <w:jc w:val="center"/>
              <w:rPr>
                <w:sz w:val="27"/>
                <w:szCs w:val="27"/>
              </w:rPr>
            </w:pPr>
            <w:r w:rsidRPr="00CD5C3F">
              <w:rPr>
                <w:sz w:val="27"/>
                <w:szCs w:val="27"/>
              </w:rPr>
              <w:t>0</w:t>
            </w:r>
          </w:p>
        </w:tc>
        <w:tc>
          <w:tcPr>
            <w:tcW w:w="1134" w:type="dxa"/>
          </w:tcPr>
          <w:p w14:paraId="21AB05A2" w14:textId="59BFC870" w:rsidR="00B96DFC" w:rsidRPr="00CD5C3F" w:rsidRDefault="00B96DFC" w:rsidP="00B96DFC">
            <w:pPr>
              <w:contextualSpacing/>
              <w:jc w:val="center"/>
              <w:rPr>
                <w:sz w:val="27"/>
                <w:szCs w:val="27"/>
              </w:rPr>
            </w:pPr>
            <w:r w:rsidRPr="00CD5C3F">
              <w:rPr>
                <w:sz w:val="27"/>
                <w:szCs w:val="27"/>
              </w:rPr>
              <w:t>0</w:t>
            </w:r>
          </w:p>
        </w:tc>
        <w:tc>
          <w:tcPr>
            <w:tcW w:w="1134" w:type="dxa"/>
          </w:tcPr>
          <w:p w14:paraId="0FAC14DB" w14:textId="2247D98C" w:rsidR="00B96DFC" w:rsidRPr="00CD5C3F" w:rsidRDefault="00B96DFC" w:rsidP="00B96DFC">
            <w:pPr>
              <w:contextualSpacing/>
              <w:jc w:val="center"/>
              <w:rPr>
                <w:sz w:val="27"/>
                <w:szCs w:val="27"/>
              </w:rPr>
            </w:pPr>
            <w:r w:rsidRPr="00CD5C3F">
              <w:rPr>
                <w:sz w:val="27"/>
                <w:szCs w:val="27"/>
              </w:rPr>
              <w:t>0</w:t>
            </w:r>
          </w:p>
        </w:tc>
        <w:tc>
          <w:tcPr>
            <w:tcW w:w="1134" w:type="dxa"/>
          </w:tcPr>
          <w:p w14:paraId="3903D0B9" w14:textId="7444D4FE" w:rsidR="00B96DFC" w:rsidRPr="00CD5C3F" w:rsidRDefault="00B96DFC" w:rsidP="00B96DFC">
            <w:pPr>
              <w:contextualSpacing/>
              <w:jc w:val="center"/>
              <w:rPr>
                <w:sz w:val="27"/>
                <w:szCs w:val="27"/>
              </w:rPr>
            </w:pPr>
            <w:r w:rsidRPr="00CD5C3F">
              <w:rPr>
                <w:sz w:val="27"/>
                <w:szCs w:val="27"/>
              </w:rPr>
              <w:t>0</w:t>
            </w:r>
          </w:p>
        </w:tc>
      </w:tr>
      <w:tr w:rsidR="00B96DFC" w:rsidRPr="00CD5C3F" w14:paraId="335125B3" w14:textId="77777777" w:rsidTr="002C4F8F">
        <w:tc>
          <w:tcPr>
            <w:tcW w:w="1740" w:type="dxa"/>
            <w:gridSpan w:val="2"/>
            <w:hideMark/>
          </w:tcPr>
          <w:p w14:paraId="4265FDF4" w14:textId="77777777" w:rsidR="00B96DFC" w:rsidRPr="00CD5C3F" w:rsidRDefault="00B96DFC" w:rsidP="00B96DFC">
            <w:pPr>
              <w:contextualSpacing/>
              <w:rPr>
                <w:sz w:val="27"/>
                <w:szCs w:val="27"/>
              </w:rPr>
            </w:pPr>
            <w:r w:rsidRPr="00CD5C3F">
              <w:rPr>
                <w:sz w:val="27"/>
                <w:szCs w:val="27"/>
              </w:rPr>
              <w:t>3.2. speciālais budžets</w:t>
            </w:r>
          </w:p>
        </w:tc>
        <w:tc>
          <w:tcPr>
            <w:tcW w:w="1155" w:type="dxa"/>
            <w:gridSpan w:val="3"/>
          </w:tcPr>
          <w:p w14:paraId="5DCC62D7" w14:textId="77777777" w:rsidR="00B96DFC" w:rsidRPr="00CD5C3F" w:rsidRDefault="00B96DFC" w:rsidP="00B96DFC">
            <w:pPr>
              <w:contextualSpacing/>
              <w:jc w:val="center"/>
              <w:rPr>
                <w:sz w:val="27"/>
                <w:szCs w:val="27"/>
              </w:rPr>
            </w:pPr>
            <w:r w:rsidRPr="00CD5C3F">
              <w:rPr>
                <w:sz w:val="27"/>
                <w:szCs w:val="27"/>
              </w:rPr>
              <w:t>0</w:t>
            </w:r>
          </w:p>
        </w:tc>
        <w:tc>
          <w:tcPr>
            <w:tcW w:w="1191" w:type="dxa"/>
          </w:tcPr>
          <w:p w14:paraId="04F8ACD9" w14:textId="77777777" w:rsidR="00B96DFC" w:rsidRPr="00CD5C3F" w:rsidRDefault="00B96DFC" w:rsidP="00B96DFC">
            <w:pPr>
              <w:contextualSpacing/>
              <w:jc w:val="center"/>
              <w:rPr>
                <w:sz w:val="27"/>
                <w:szCs w:val="27"/>
              </w:rPr>
            </w:pPr>
            <w:r w:rsidRPr="00CD5C3F">
              <w:rPr>
                <w:sz w:val="27"/>
                <w:szCs w:val="27"/>
              </w:rPr>
              <w:t>0</w:t>
            </w:r>
          </w:p>
        </w:tc>
        <w:tc>
          <w:tcPr>
            <w:tcW w:w="1154" w:type="dxa"/>
            <w:gridSpan w:val="2"/>
          </w:tcPr>
          <w:p w14:paraId="530BB308" w14:textId="77777777" w:rsidR="00B96DFC" w:rsidRPr="00CD5C3F" w:rsidRDefault="00B96DFC" w:rsidP="00B96DFC">
            <w:pPr>
              <w:contextualSpacing/>
              <w:jc w:val="center"/>
              <w:rPr>
                <w:sz w:val="27"/>
                <w:szCs w:val="27"/>
              </w:rPr>
            </w:pPr>
            <w:r w:rsidRPr="00CD5C3F">
              <w:rPr>
                <w:sz w:val="27"/>
                <w:szCs w:val="27"/>
              </w:rPr>
              <w:t>0</w:t>
            </w:r>
          </w:p>
        </w:tc>
        <w:tc>
          <w:tcPr>
            <w:tcW w:w="1134" w:type="dxa"/>
          </w:tcPr>
          <w:p w14:paraId="129D0FA1" w14:textId="3E93536A" w:rsidR="00B96DFC" w:rsidRPr="00CD5C3F" w:rsidRDefault="00B96DFC" w:rsidP="00B96DFC">
            <w:pPr>
              <w:contextualSpacing/>
              <w:jc w:val="center"/>
              <w:rPr>
                <w:sz w:val="27"/>
                <w:szCs w:val="27"/>
              </w:rPr>
            </w:pPr>
            <w:r w:rsidRPr="00CD5C3F">
              <w:rPr>
                <w:sz w:val="27"/>
                <w:szCs w:val="27"/>
              </w:rPr>
              <w:t>0</w:t>
            </w:r>
          </w:p>
        </w:tc>
        <w:tc>
          <w:tcPr>
            <w:tcW w:w="1134" w:type="dxa"/>
          </w:tcPr>
          <w:p w14:paraId="02E02E93" w14:textId="226EE03C" w:rsidR="00B96DFC" w:rsidRPr="00CD5C3F" w:rsidRDefault="00B96DFC" w:rsidP="00B96DFC">
            <w:pPr>
              <w:contextualSpacing/>
              <w:jc w:val="center"/>
              <w:rPr>
                <w:sz w:val="27"/>
                <w:szCs w:val="27"/>
              </w:rPr>
            </w:pPr>
            <w:r w:rsidRPr="00CD5C3F">
              <w:rPr>
                <w:sz w:val="27"/>
                <w:szCs w:val="27"/>
              </w:rPr>
              <w:t>0</w:t>
            </w:r>
          </w:p>
        </w:tc>
        <w:tc>
          <w:tcPr>
            <w:tcW w:w="1134" w:type="dxa"/>
          </w:tcPr>
          <w:p w14:paraId="7F74C41D" w14:textId="3971970B" w:rsidR="00B96DFC" w:rsidRPr="00CD5C3F" w:rsidRDefault="00B96DFC" w:rsidP="00B96DFC">
            <w:pPr>
              <w:contextualSpacing/>
              <w:jc w:val="center"/>
              <w:rPr>
                <w:sz w:val="27"/>
                <w:szCs w:val="27"/>
              </w:rPr>
            </w:pPr>
            <w:r w:rsidRPr="00CD5C3F">
              <w:rPr>
                <w:sz w:val="27"/>
                <w:szCs w:val="27"/>
              </w:rPr>
              <w:t>0</w:t>
            </w:r>
          </w:p>
        </w:tc>
        <w:tc>
          <w:tcPr>
            <w:tcW w:w="1134" w:type="dxa"/>
          </w:tcPr>
          <w:p w14:paraId="6D6769C2" w14:textId="57A8BD58" w:rsidR="00B96DFC" w:rsidRPr="00CD5C3F" w:rsidRDefault="00B96DFC" w:rsidP="00B96DFC">
            <w:pPr>
              <w:contextualSpacing/>
              <w:jc w:val="center"/>
              <w:rPr>
                <w:sz w:val="27"/>
                <w:szCs w:val="27"/>
              </w:rPr>
            </w:pPr>
            <w:r w:rsidRPr="00CD5C3F">
              <w:rPr>
                <w:sz w:val="27"/>
                <w:szCs w:val="27"/>
              </w:rPr>
              <w:t>0</w:t>
            </w:r>
          </w:p>
        </w:tc>
      </w:tr>
      <w:tr w:rsidR="00B96DFC" w:rsidRPr="00CD5C3F" w14:paraId="6C859655" w14:textId="77777777" w:rsidTr="002C4F8F">
        <w:tc>
          <w:tcPr>
            <w:tcW w:w="1740" w:type="dxa"/>
            <w:gridSpan w:val="2"/>
            <w:hideMark/>
          </w:tcPr>
          <w:p w14:paraId="4B2015EC" w14:textId="77777777" w:rsidR="00B96DFC" w:rsidRPr="00CD5C3F" w:rsidRDefault="00B96DFC" w:rsidP="00B96DFC">
            <w:pPr>
              <w:contextualSpacing/>
              <w:rPr>
                <w:sz w:val="27"/>
                <w:szCs w:val="27"/>
              </w:rPr>
            </w:pPr>
            <w:r w:rsidRPr="00CD5C3F">
              <w:rPr>
                <w:sz w:val="27"/>
                <w:szCs w:val="27"/>
              </w:rPr>
              <w:lastRenderedPageBreak/>
              <w:t>3.3. pašvaldību budžets</w:t>
            </w:r>
          </w:p>
        </w:tc>
        <w:tc>
          <w:tcPr>
            <w:tcW w:w="1155" w:type="dxa"/>
            <w:gridSpan w:val="3"/>
          </w:tcPr>
          <w:p w14:paraId="28F5ED08" w14:textId="77777777" w:rsidR="00B96DFC" w:rsidRPr="00CD5C3F" w:rsidRDefault="00B96DFC" w:rsidP="00B96DFC">
            <w:pPr>
              <w:contextualSpacing/>
              <w:jc w:val="center"/>
              <w:rPr>
                <w:sz w:val="27"/>
                <w:szCs w:val="27"/>
              </w:rPr>
            </w:pPr>
            <w:r w:rsidRPr="00CD5C3F">
              <w:rPr>
                <w:sz w:val="27"/>
                <w:szCs w:val="27"/>
              </w:rPr>
              <w:t>0</w:t>
            </w:r>
          </w:p>
        </w:tc>
        <w:tc>
          <w:tcPr>
            <w:tcW w:w="1191" w:type="dxa"/>
            <w:shd w:val="clear" w:color="auto" w:fill="auto"/>
          </w:tcPr>
          <w:p w14:paraId="7D930DC4" w14:textId="77777777" w:rsidR="00B96DFC" w:rsidRPr="00CD5C3F" w:rsidRDefault="00B96DFC" w:rsidP="00B96DFC">
            <w:pPr>
              <w:contextualSpacing/>
              <w:jc w:val="center"/>
              <w:rPr>
                <w:sz w:val="27"/>
                <w:szCs w:val="27"/>
              </w:rPr>
            </w:pPr>
            <w:r w:rsidRPr="00CD5C3F">
              <w:rPr>
                <w:sz w:val="27"/>
                <w:szCs w:val="27"/>
              </w:rPr>
              <w:t>0</w:t>
            </w:r>
          </w:p>
        </w:tc>
        <w:tc>
          <w:tcPr>
            <w:tcW w:w="1154" w:type="dxa"/>
            <w:gridSpan w:val="2"/>
          </w:tcPr>
          <w:p w14:paraId="0D840B72" w14:textId="77777777" w:rsidR="00B96DFC" w:rsidRPr="00CD5C3F" w:rsidRDefault="00B96DFC" w:rsidP="00B96DFC">
            <w:pPr>
              <w:contextualSpacing/>
              <w:jc w:val="center"/>
              <w:rPr>
                <w:sz w:val="27"/>
                <w:szCs w:val="27"/>
              </w:rPr>
            </w:pPr>
            <w:r w:rsidRPr="00CD5C3F">
              <w:rPr>
                <w:sz w:val="27"/>
                <w:szCs w:val="27"/>
              </w:rPr>
              <w:t>0</w:t>
            </w:r>
          </w:p>
        </w:tc>
        <w:tc>
          <w:tcPr>
            <w:tcW w:w="1134" w:type="dxa"/>
          </w:tcPr>
          <w:p w14:paraId="3014B13E" w14:textId="34F3D855" w:rsidR="00B96DFC" w:rsidRPr="00CD5C3F" w:rsidRDefault="00B96DFC" w:rsidP="00B96DFC">
            <w:pPr>
              <w:contextualSpacing/>
              <w:jc w:val="center"/>
              <w:rPr>
                <w:sz w:val="27"/>
                <w:szCs w:val="27"/>
              </w:rPr>
            </w:pPr>
            <w:r w:rsidRPr="00CD5C3F">
              <w:rPr>
                <w:sz w:val="27"/>
                <w:szCs w:val="27"/>
              </w:rPr>
              <w:t>0</w:t>
            </w:r>
          </w:p>
        </w:tc>
        <w:tc>
          <w:tcPr>
            <w:tcW w:w="1134" w:type="dxa"/>
          </w:tcPr>
          <w:p w14:paraId="1DB7D5FB" w14:textId="2E6D3EF3" w:rsidR="00B96DFC" w:rsidRPr="00CD5C3F" w:rsidRDefault="00B96DFC" w:rsidP="00B96DFC">
            <w:pPr>
              <w:contextualSpacing/>
              <w:jc w:val="center"/>
              <w:rPr>
                <w:sz w:val="27"/>
                <w:szCs w:val="27"/>
              </w:rPr>
            </w:pPr>
            <w:r w:rsidRPr="00CD5C3F">
              <w:rPr>
                <w:sz w:val="27"/>
                <w:szCs w:val="27"/>
              </w:rPr>
              <w:t>0</w:t>
            </w:r>
          </w:p>
        </w:tc>
        <w:tc>
          <w:tcPr>
            <w:tcW w:w="1134" w:type="dxa"/>
          </w:tcPr>
          <w:p w14:paraId="05725139" w14:textId="55BC49E6" w:rsidR="00B96DFC" w:rsidRPr="00CD5C3F" w:rsidRDefault="00B96DFC" w:rsidP="00B96DFC">
            <w:pPr>
              <w:contextualSpacing/>
              <w:jc w:val="center"/>
              <w:rPr>
                <w:sz w:val="27"/>
                <w:szCs w:val="27"/>
              </w:rPr>
            </w:pPr>
            <w:r w:rsidRPr="00CD5C3F">
              <w:rPr>
                <w:sz w:val="27"/>
                <w:szCs w:val="27"/>
              </w:rPr>
              <w:t>0</w:t>
            </w:r>
          </w:p>
        </w:tc>
        <w:tc>
          <w:tcPr>
            <w:tcW w:w="1134" w:type="dxa"/>
          </w:tcPr>
          <w:p w14:paraId="3098AF30" w14:textId="3D9482FF" w:rsidR="00B96DFC" w:rsidRPr="00CD5C3F" w:rsidRDefault="00B96DFC" w:rsidP="00B96DFC">
            <w:pPr>
              <w:contextualSpacing/>
              <w:jc w:val="center"/>
              <w:rPr>
                <w:sz w:val="27"/>
                <w:szCs w:val="27"/>
              </w:rPr>
            </w:pPr>
            <w:r w:rsidRPr="00CD5C3F">
              <w:rPr>
                <w:sz w:val="27"/>
                <w:szCs w:val="27"/>
              </w:rPr>
              <w:t>0</w:t>
            </w:r>
          </w:p>
        </w:tc>
      </w:tr>
      <w:tr w:rsidR="00B96DFC" w:rsidRPr="00CD5C3F" w14:paraId="6FC1D267" w14:textId="77777777" w:rsidTr="002C4F8F">
        <w:tc>
          <w:tcPr>
            <w:tcW w:w="1740" w:type="dxa"/>
            <w:gridSpan w:val="2"/>
            <w:vAlign w:val="center"/>
            <w:hideMark/>
          </w:tcPr>
          <w:p w14:paraId="5BE5292C" w14:textId="77777777" w:rsidR="00B96DFC" w:rsidRPr="00CD5C3F" w:rsidRDefault="00B96DFC" w:rsidP="00B96DFC">
            <w:pPr>
              <w:contextualSpacing/>
              <w:rPr>
                <w:sz w:val="27"/>
                <w:szCs w:val="27"/>
              </w:rPr>
            </w:pPr>
            <w:r w:rsidRPr="00CD5C3F">
              <w:rPr>
                <w:sz w:val="27"/>
                <w:szCs w:val="27"/>
              </w:rPr>
              <w:t>4. Finanšu līdzekļi papildu izdevumu finansēšanai (kompensējošu izdevumu samazinājumu norāda ar "+" zīmi)</w:t>
            </w:r>
          </w:p>
          <w:p w14:paraId="01696537" w14:textId="77777777" w:rsidR="00B96DFC" w:rsidRPr="00CD5C3F" w:rsidRDefault="00B96DFC" w:rsidP="00B96DFC">
            <w:pPr>
              <w:contextualSpacing/>
              <w:rPr>
                <w:sz w:val="27"/>
                <w:szCs w:val="27"/>
              </w:rPr>
            </w:pPr>
          </w:p>
          <w:p w14:paraId="435C957E" w14:textId="77777777" w:rsidR="00B96DFC" w:rsidRPr="00CD5C3F" w:rsidRDefault="00B96DFC" w:rsidP="00B96DFC">
            <w:pPr>
              <w:contextualSpacing/>
              <w:rPr>
                <w:sz w:val="27"/>
                <w:szCs w:val="27"/>
              </w:rPr>
            </w:pPr>
          </w:p>
        </w:tc>
        <w:tc>
          <w:tcPr>
            <w:tcW w:w="1155" w:type="dxa"/>
            <w:gridSpan w:val="3"/>
            <w:shd w:val="clear" w:color="auto" w:fill="auto"/>
            <w:hideMark/>
          </w:tcPr>
          <w:p w14:paraId="51DFEA8D" w14:textId="42FC9CF9" w:rsidR="00B96DFC" w:rsidRPr="00CD5C3F" w:rsidRDefault="00B96DFC" w:rsidP="00B96DFC">
            <w:pPr>
              <w:contextualSpacing/>
              <w:jc w:val="center"/>
              <w:rPr>
                <w:sz w:val="27"/>
                <w:szCs w:val="27"/>
              </w:rPr>
            </w:pPr>
            <w:r>
              <w:rPr>
                <w:sz w:val="27"/>
                <w:szCs w:val="27"/>
              </w:rPr>
              <w:t>0</w:t>
            </w:r>
          </w:p>
        </w:tc>
        <w:tc>
          <w:tcPr>
            <w:tcW w:w="1191" w:type="dxa"/>
            <w:shd w:val="clear" w:color="auto" w:fill="auto"/>
          </w:tcPr>
          <w:p w14:paraId="1635F81F" w14:textId="77777777" w:rsidR="00B96DFC" w:rsidRPr="00CD5C3F" w:rsidRDefault="00B96DFC" w:rsidP="00B96DFC">
            <w:pPr>
              <w:contextualSpacing/>
              <w:jc w:val="center"/>
              <w:rPr>
                <w:sz w:val="27"/>
                <w:szCs w:val="27"/>
              </w:rPr>
            </w:pPr>
            <w:r w:rsidRPr="00CD5C3F">
              <w:rPr>
                <w:sz w:val="27"/>
                <w:szCs w:val="27"/>
              </w:rPr>
              <w:t>0</w:t>
            </w:r>
          </w:p>
        </w:tc>
        <w:tc>
          <w:tcPr>
            <w:tcW w:w="1154" w:type="dxa"/>
            <w:gridSpan w:val="2"/>
          </w:tcPr>
          <w:p w14:paraId="2F7C6905" w14:textId="77777777" w:rsidR="00B96DFC" w:rsidRPr="00CD5C3F" w:rsidRDefault="00B96DFC" w:rsidP="00B96DFC">
            <w:pPr>
              <w:contextualSpacing/>
              <w:jc w:val="center"/>
              <w:rPr>
                <w:sz w:val="27"/>
                <w:szCs w:val="27"/>
              </w:rPr>
            </w:pPr>
            <w:r w:rsidRPr="00CD5C3F">
              <w:rPr>
                <w:sz w:val="27"/>
                <w:szCs w:val="27"/>
              </w:rPr>
              <w:t>0</w:t>
            </w:r>
          </w:p>
        </w:tc>
        <w:tc>
          <w:tcPr>
            <w:tcW w:w="1134" w:type="dxa"/>
          </w:tcPr>
          <w:p w14:paraId="4E7010BA" w14:textId="09BF1205" w:rsidR="00B96DFC" w:rsidRPr="00CD5C3F" w:rsidRDefault="00B96DFC" w:rsidP="00B96DFC">
            <w:pPr>
              <w:contextualSpacing/>
              <w:jc w:val="center"/>
              <w:rPr>
                <w:sz w:val="27"/>
                <w:szCs w:val="27"/>
              </w:rPr>
            </w:pPr>
            <w:r w:rsidRPr="00CD5C3F">
              <w:rPr>
                <w:sz w:val="27"/>
                <w:szCs w:val="27"/>
              </w:rPr>
              <w:t>0</w:t>
            </w:r>
          </w:p>
        </w:tc>
        <w:tc>
          <w:tcPr>
            <w:tcW w:w="1134" w:type="dxa"/>
          </w:tcPr>
          <w:p w14:paraId="52D5C1A7" w14:textId="24E05D82" w:rsidR="00B96DFC" w:rsidRPr="00CD5C3F" w:rsidRDefault="00B96DFC" w:rsidP="00B96DFC">
            <w:pPr>
              <w:contextualSpacing/>
              <w:jc w:val="center"/>
              <w:rPr>
                <w:sz w:val="27"/>
                <w:szCs w:val="27"/>
              </w:rPr>
            </w:pPr>
            <w:r w:rsidRPr="00CD5C3F">
              <w:rPr>
                <w:sz w:val="27"/>
                <w:szCs w:val="27"/>
              </w:rPr>
              <w:t>0</w:t>
            </w:r>
          </w:p>
        </w:tc>
        <w:tc>
          <w:tcPr>
            <w:tcW w:w="1134" w:type="dxa"/>
          </w:tcPr>
          <w:p w14:paraId="355452D3" w14:textId="336BF2A5" w:rsidR="00B96DFC" w:rsidRPr="00CD5C3F" w:rsidRDefault="00B96DFC" w:rsidP="00B96DFC">
            <w:pPr>
              <w:contextualSpacing/>
              <w:jc w:val="center"/>
              <w:rPr>
                <w:sz w:val="27"/>
                <w:szCs w:val="27"/>
              </w:rPr>
            </w:pPr>
            <w:r w:rsidRPr="00CD5C3F">
              <w:rPr>
                <w:sz w:val="27"/>
                <w:szCs w:val="27"/>
              </w:rPr>
              <w:t>0</w:t>
            </w:r>
          </w:p>
        </w:tc>
        <w:tc>
          <w:tcPr>
            <w:tcW w:w="1134" w:type="dxa"/>
          </w:tcPr>
          <w:p w14:paraId="6D72FF87" w14:textId="0DA2B05B" w:rsidR="00B96DFC" w:rsidRPr="00CD5C3F" w:rsidRDefault="00B96DFC" w:rsidP="00B96DFC">
            <w:pPr>
              <w:contextualSpacing/>
              <w:jc w:val="center"/>
              <w:rPr>
                <w:sz w:val="27"/>
                <w:szCs w:val="27"/>
              </w:rPr>
            </w:pPr>
            <w:r w:rsidRPr="00CD5C3F">
              <w:rPr>
                <w:sz w:val="27"/>
                <w:szCs w:val="27"/>
              </w:rPr>
              <w:t>0</w:t>
            </w:r>
          </w:p>
        </w:tc>
      </w:tr>
      <w:tr w:rsidR="00B96DFC" w:rsidRPr="00CD5C3F" w14:paraId="08CE1678" w14:textId="77777777" w:rsidTr="002C4F8F">
        <w:tc>
          <w:tcPr>
            <w:tcW w:w="1740" w:type="dxa"/>
            <w:gridSpan w:val="2"/>
            <w:hideMark/>
          </w:tcPr>
          <w:p w14:paraId="79B1BD10" w14:textId="77777777" w:rsidR="00B96DFC" w:rsidRPr="00CD5C3F" w:rsidRDefault="00B96DFC" w:rsidP="00B96DFC">
            <w:pPr>
              <w:contextualSpacing/>
              <w:rPr>
                <w:sz w:val="27"/>
                <w:szCs w:val="27"/>
              </w:rPr>
            </w:pPr>
            <w:r w:rsidRPr="00CD5C3F">
              <w:rPr>
                <w:sz w:val="27"/>
                <w:szCs w:val="27"/>
              </w:rPr>
              <w:t>5. Precizēta finansiālā ietekme:</w:t>
            </w:r>
          </w:p>
        </w:tc>
        <w:tc>
          <w:tcPr>
            <w:tcW w:w="1155" w:type="dxa"/>
            <w:gridSpan w:val="3"/>
            <w:vMerge w:val="restart"/>
            <w:hideMark/>
          </w:tcPr>
          <w:p w14:paraId="32AF1490" w14:textId="6C4ED96A" w:rsidR="00B96DFC" w:rsidRPr="00CD5C3F" w:rsidRDefault="00B96DFC" w:rsidP="00B96DFC">
            <w:pPr>
              <w:ind w:firstLine="300"/>
              <w:contextualSpacing/>
              <w:jc w:val="center"/>
              <w:rPr>
                <w:sz w:val="27"/>
                <w:szCs w:val="27"/>
              </w:rPr>
            </w:pPr>
            <w:r>
              <w:rPr>
                <w:sz w:val="27"/>
                <w:szCs w:val="27"/>
              </w:rPr>
              <w:t>0</w:t>
            </w:r>
          </w:p>
        </w:tc>
        <w:tc>
          <w:tcPr>
            <w:tcW w:w="1191" w:type="dxa"/>
            <w:hideMark/>
          </w:tcPr>
          <w:p w14:paraId="01B494A2" w14:textId="77777777" w:rsidR="00B96DFC" w:rsidRPr="00CD5C3F" w:rsidRDefault="00B96DFC" w:rsidP="00B96DFC">
            <w:pPr>
              <w:contextualSpacing/>
              <w:jc w:val="center"/>
              <w:rPr>
                <w:sz w:val="27"/>
                <w:szCs w:val="27"/>
              </w:rPr>
            </w:pPr>
            <w:r w:rsidRPr="00CD5C3F">
              <w:rPr>
                <w:sz w:val="27"/>
                <w:szCs w:val="27"/>
              </w:rPr>
              <w:t>0</w:t>
            </w:r>
          </w:p>
        </w:tc>
        <w:tc>
          <w:tcPr>
            <w:tcW w:w="1154" w:type="dxa"/>
            <w:gridSpan w:val="2"/>
            <w:hideMark/>
          </w:tcPr>
          <w:p w14:paraId="07B6C6CC" w14:textId="77777777" w:rsidR="00B96DFC" w:rsidRPr="00CD5C3F" w:rsidRDefault="00B96DFC" w:rsidP="00B96DFC">
            <w:pPr>
              <w:contextualSpacing/>
              <w:jc w:val="center"/>
              <w:rPr>
                <w:sz w:val="27"/>
                <w:szCs w:val="27"/>
              </w:rPr>
            </w:pPr>
            <w:r w:rsidRPr="00CD5C3F">
              <w:rPr>
                <w:sz w:val="27"/>
                <w:szCs w:val="27"/>
              </w:rPr>
              <w:t>0</w:t>
            </w:r>
          </w:p>
        </w:tc>
        <w:tc>
          <w:tcPr>
            <w:tcW w:w="1134" w:type="dxa"/>
          </w:tcPr>
          <w:p w14:paraId="48C814AF" w14:textId="0222F4D4" w:rsidR="00B96DFC" w:rsidRPr="00CD5C3F" w:rsidRDefault="00B96DFC" w:rsidP="00B96DFC">
            <w:pPr>
              <w:contextualSpacing/>
              <w:jc w:val="center"/>
              <w:rPr>
                <w:sz w:val="27"/>
                <w:szCs w:val="27"/>
              </w:rPr>
            </w:pPr>
            <w:r w:rsidRPr="00CD5C3F">
              <w:rPr>
                <w:sz w:val="27"/>
                <w:szCs w:val="27"/>
              </w:rPr>
              <w:t>0</w:t>
            </w:r>
          </w:p>
        </w:tc>
        <w:tc>
          <w:tcPr>
            <w:tcW w:w="1134" w:type="dxa"/>
            <w:hideMark/>
          </w:tcPr>
          <w:p w14:paraId="09F53F94" w14:textId="3C3E9ADE" w:rsidR="00B96DFC" w:rsidRPr="00CD5C3F" w:rsidRDefault="00B96DFC" w:rsidP="00B96DFC">
            <w:pPr>
              <w:contextualSpacing/>
              <w:jc w:val="center"/>
              <w:rPr>
                <w:sz w:val="27"/>
                <w:szCs w:val="27"/>
              </w:rPr>
            </w:pPr>
            <w:r w:rsidRPr="00CD5C3F">
              <w:rPr>
                <w:sz w:val="27"/>
                <w:szCs w:val="27"/>
              </w:rPr>
              <w:t>0</w:t>
            </w:r>
          </w:p>
        </w:tc>
        <w:tc>
          <w:tcPr>
            <w:tcW w:w="1134" w:type="dxa"/>
          </w:tcPr>
          <w:p w14:paraId="5F65E982" w14:textId="4F48619B" w:rsidR="00B96DFC" w:rsidRPr="00CD5C3F" w:rsidRDefault="00B96DFC" w:rsidP="00B96DFC">
            <w:pPr>
              <w:contextualSpacing/>
              <w:jc w:val="center"/>
              <w:rPr>
                <w:sz w:val="27"/>
                <w:szCs w:val="27"/>
              </w:rPr>
            </w:pPr>
            <w:r w:rsidRPr="00CD5C3F">
              <w:rPr>
                <w:sz w:val="27"/>
                <w:szCs w:val="27"/>
              </w:rPr>
              <w:t>0</w:t>
            </w:r>
          </w:p>
        </w:tc>
        <w:tc>
          <w:tcPr>
            <w:tcW w:w="1134" w:type="dxa"/>
            <w:hideMark/>
          </w:tcPr>
          <w:p w14:paraId="2094D578" w14:textId="7EFA323A" w:rsidR="00B96DFC" w:rsidRPr="00CD5C3F" w:rsidRDefault="00B96DFC" w:rsidP="00B96DFC">
            <w:pPr>
              <w:contextualSpacing/>
              <w:jc w:val="center"/>
              <w:rPr>
                <w:sz w:val="27"/>
                <w:szCs w:val="27"/>
              </w:rPr>
            </w:pPr>
            <w:r w:rsidRPr="00CD5C3F">
              <w:rPr>
                <w:sz w:val="27"/>
                <w:szCs w:val="27"/>
              </w:rPr>
              <w:t>0</w:t>
            </w:r>
          </w:p>
        </w:tc>
      </w:tr>
      <w:tr w:rsidR="00B96DFC" w:rsidRPr="00CD5C3F" w14:paraId="3C89F036" w14:textId="77777777" w:rsidTr="002C4F8F">
        <w:tc>
          <w:tcPr>
            <w:tcW w:w="1740" w:type="dxa"/>
            <w:gridSpan w:val="2"/>
            <w:hideMark/>
          </w:tcPr>
          <w:p w14:paraId="6540BD2D" w14:textId="77777777" w:rsidR="00B96DFC" w:rsidRPr="00CD5C3F" w:rsidRDefault="00B96DFC" w:rsidP="00B96DFC">
            <w:pPr>
              <w:contextualSpacing/>
              <w:rPr>
                <w:sz w:val="27"/>
                <w:szCs w:val="27"/>
              </w:rPr>
            </w:pPr>
            <w:r w:rsidRPr="00CD5C3F">
              <w:rPr>
                <w:sz w:val="27"/>
                <w:szCs w:val="27"/>
              </w:rPr>
              <w:t>5.1. valsts pamatbudžets</w:t>
            </w:r>
          </w:p>
        </w:tc>
        <w:tc>
          <w:tcPr>
            <w:tcW w:w="1155" w:type="dxa"/>
            <w:gridSpan w:val="3"/>
            <w:vMerge/>
            <w:vAlign w:val="center"/>
            <w:hideMark/>
          </w:tcPr>
          <w:p w14:paraId="7FA66167" w14:textId="77777777" w:rsidR="00B96DFC" w:rsidRPr="00CD5C3F" w:rsidRDefault="00B96DFC" w:rsidP="00B96DFC">
            <w:pPr>
              <w:contextualSpacing/>
              <w:rPr>
                <w:sz w:val="27"/>
                <w:szCs w:val="27"/>
              </w:rPr>
            </w:pPr>
          </w:p>
        </w:tc>
        <w:tc>
          <w:tcPr>
            <w:tcW w:w="1191" w:type="dxa"/>
            <w:hideMark/>
          </w:tcPr>
          <w:p w14:paraId="2CF3A880" w14:textId="77777777" w:rsidR="00B96DFC" w:rsidRPr="00CD5C3F" w:rsidRDefault="00B96DFC" w:rsidP="00B96DFC">
            <w:pPr>
              <w:contextualSpacing/>
              <w:jc w:val="center"/>
              <w:rPr>
                <w:sz w:val="27"/>
                <w:szCs w:val="27"/>
              </w:rPr>
            </w:pPr>
            <w:r w:rsidRPr="00CD5C3F">
              <w:rPr>
                <w:sz w:val="27"/>
                <w:szCs w:val="27"/>
              </w:rPr>
              <w:t>0</w:t>
            </w:r>
          </w:p>
        </w:tc>
        <w:tc>
          <w:tcPr>
            <w:tcW w:w="1154" w:type="dxa"/>
            <w:gridSpan w:val="2"/>
            <w:hideMark/>
          </w:tcPr>
          <w:p w14:paraId="1A94088D" w14:textId="77777777" w:rsidR="00B96DFC" w:rsidRPr="00CD5C3F" w:rsidRDefault="00B96DFC" w:rsidP="00B96DFC">
            <w:pPr>
              <w:contextualSpacing/>
              <w:jc w:val="center"/>
              <w:rPr>
                <w:sz w:val="27"/>
                <w:szCs w:val="27"/>
              </w:rPr>
            </w:pPr>
            <w:r w:rsidRPr="00CD5C3F">
              <w:rPr>
                <w:sz w:val="27"/>
                <w:szCs w:val="27"/>
              </w:rPr>
              <w:t>0</w:t>
            </w:r>
          </w:p>
        </w:tc>
        <w:tc>
          <w:tcPr>
            <w:tcW w:w="1134" w:type="dxa"/>
          </w:tcPr>
          <w:p w14:paraId="0CBFF1E6" w14:textId="12172689" w:rsidR="00B96DFC" w:rsidRPr="00CD5C3F" w:rsidRDefault="00B96DFC" w:rsidP="00B96DFC">
            <w:pPr>
              <w:contextualSpacing/>
              <w:jc w:val="center"/>
              <w:rPr>
                <w:sz w:val="27"/>
                <w:szCs w:val="27"/>
              </w:rPr>
            </w:pPr>
            <w:r w:rsidRPr="00CD5C3F">
              <w:rPr>
                <w:sz w:val="27"/>
                <w:szCs w:val="27"/>
              </w:rPr>
              <w:t>0</w:t>
            </w:r>
          </w:p>
        </w:tc>
        <w:tc>
          <w:tcPr>
            <w:tcW w:w="1134" w:type="dxa"/>
            <w:hideMark/>
          </w:tcPr>
          <w:p w14:paraId="3C18B8BA" w14:textId="3ECE55D7" w:rsidR="00B96DFC" w:rsidRPr="00CD5C3F" w:rsidRDefault="00B96DFC" w:rsidP="00B96DFC">
            <w:pPr>
              <w:contextualSpacing/>
              <w:jc w:val="center"/>
              <w:rPr>
                <w:sz w:val="27"/>
                <w:szCs w:val="27"/>
              </w:rPr>
            </w:pPr>
            <w:r w:rsidRPr="00CD5C3F">
              <w:rPr>
                <w:sz w:val="27"/>
                <w:szCs w:val="27"/>
              </w:rPr>
              <w:t>0</w:t>
            </w:r>
          </w:p>
        </w:tc>
        <w:tc>
          <w:tcPr>
            <w:tcW w:w="1134" w:type="dxa"/>
          </w:tcPr>
          <w:p w14:paraId="3F2FDBEF" w14:textId="26D563F5" w:rsidR="00B96DFC" w:rsidRPr="00CD5C3F" w:rsidRDefault="00B96DFC" w:rsidP="00B96DFC">
            <w:pPr>
              <w:contextualSpacing/>
              <w:jc w:val="center"/>
              <w:rPr>
                <w:sz w:val="27"/>
                <w:szCs w:val="27"/>
              </w:rPr>
            </w:pPr>
            <w:r w:rsidRPr="00CD5C3F">
              <w:rPr>
                <w:sz w:val="27"/>
                <w:szCs w:val="27"/>
              </w:rPr>
              <w:t>0</w:t>
            </w:r>
          </w:p>
        </w:tc>
        <w:tc>
          <w:tcPr>
            <w:tcW w:w="1134" w:type="dxa"/>
            <w:hideMark/>
          </w:tcPr>
          <w:p w14:paraId="1B73978E" w14:textId="63BC059A" w:rsidR="00B96DFC" w:rsidRPr="00CD5C3F" w:rsidRDefault="00B96DFC" w:rsidP="00B96DFC">
            <w:pPr>
              <w:contextualSpacing/>
              <w:jc w:val="center"/>
              <w:rPr>
                <w:sz w:val="27"/>
                <w:szCs w:val="27"/>
              </w:rPr>
            </w:pPr>
            <w:r w:rsidRPr="00CD5C3F">
              <w:rPr>
                <w:sz w:val="27"/>
                <w:szCs w:val="27"/>
              </w:rPr>
              <w:t>0</w:t>
            </w:r>
          </w:p>
        </w:tc>
      </w:tr>
      <w:tr w:rsidR="00B96DFC" w:rsidRPr="00CD5C3F" w14:paraId="49F8BB15" w14:textId="77777777" w:rsidTr="002C4F8F">
        <w:tc>
          <w:tcPr>
            <w:tcW w:w="1740" w:type="dxa"/>
            <w:gridSpan w:val="2"/>
            <w:hideMark/>
          </w:tcPr>
          <w:p w14:paraId="12D1285A" w14:textId="77777777" w:rsidR="00B96DFC" w:rsidRPr="00CD5C3F" w:rsidRDefault="00B96DFC" w:rsidP="00B96DFC">
            <w:pPr>
              <w:contextualSpacing/>
              <w:rPr>
                <w:sz w:val="27"/>
                <w:szCs w:val="27"/>
              </w:rPr>
            </w:pPr>
            <w:r w:rsidRPr="00CD5C3F">
              <w:rPr>
                <w:sz w:val="27"/>
                <w:szCs w:val="27"/>
              </w:rPr>
              <w:t>5.2. speciālais budžets</w:t>
            </w:r>
          </w:p>
        </w:tc>
        <w:tc>
          <w:tcPr>
            <w:tcW w:w="1155" w:type="dxa"/>
            <w:gridSpan w:val="3"/>
            <w:vMerge/>
            <w:vAlign w:val="center"/>
            <w:hideMark/>
          </w:tcPr>
          <w:p w14:paraId="7D05CB46" w14:textId="77777777" w:rsidR="00B96DFC" w:rsidRPr="00CD5C3F" w:rsidRDefault="00B96DFC" w:rsidP="00B96DFC">
            <w:pPr>
              <w:contextualSpacing/>
              <w:rPr>
                <w:sz w:val="27"/>
                <w:szCs w:val="27"/>
              </w:rPr>
            </w:pPr>
          </w:p>
        </w:tc>
        <w:tc>
          <w:tcPr>
            <w:tcW w:w="1191" w:type="dxa"/>
            <w:hideMark/>
          </w:tcPr>
          <w:p w14:paraId="625440AD" w14:textId="77777777" w:rsidR="00B96DFC" w:rsidRPr="00CD5C3F" w:rsidRDefault="00B96DFC" w:rsidP="00B96DFC">
            <w:pPr>
              <w:tabs>
                <w:tab w:val="center" w:pos="901"/>
              </w:tabs>
              <w:contextualSpacing/>
              <w:jc w:val="center"/>
              <w:rPr>
                <w:sz w:val="27"/>
                <w:szCs w:val="27"/>
              </w:rPr>
            </w:pPr>
            <w:r w:rsidRPr="00CD5C3F">
              <w:rPr>
                <w:sz w:val="27"/>
                <w:szCs w:val="27"/>
              </w:rPr>
              <w:t>0</w:t>
            </w:r>
          </w:p>
        </w:tc>
        <w:tc>
          <w:tcPr>
            <w:tcW w:w="1154" w:type="dxa"/>
            <w:gridSpan w:val="2"/>
            <w:hideMark/>
          </w:tcPr>
          <w:p w14:paraId="55421D9D" w14:textId="77777777" w:rsidR="00B96DFC" w:rsidRPr="00CD5C3F" w:rsidRDefault="00B96DFC" w:rsidP="00B96DFC">
            <w:pPr>
              <w:contextualSpacing/>
              <w:jc w:val="center"/>
              <w:rPr>
                <w:sz w:val="27"/>
                <w:szCs w:val="27"/>
              </w:rPr>
            </w:pPr>
            <w:r w:rsidRPr="00CD5C3F">
              <w:rPr>
                <w:sz w:val="27"/>
                <w:szCs w:val="27"/>
              </w:rPr>
              <w:t>0</w:t>
            </w:r>
          </w:p>
        </w:tc>
        <w:tc>
          <w:tcPr>
            <w:tcW w:w="1134" w:type="dxa"/>
          </w:tcPr>
          <w:p w14:paraId="039B2C6B" w14:textId="1D2E0E1F" w:rsidR="00B96DFC" w:rsidRPr="00CD5C3F" w:rsidRDefault="00B96DFC" w:rsidP="00B96DFC">
            <w:pPr>
              <w:contextualSpacing/>
              <w:jc w:val="center"/>
              <w:rPr>
                <w:sz w:val="27"/>
                <w:szCs w:val="27"/>
              </w:rPr>
            </w:pPr>
            <w:r w:rsidRPr="00CD5C3F">
              <w:rPr>
                <w:sz w:val="27"/>
                <w:szCs w:val="27"/>
              </w:rPr>
              <w:t>0</w:t>
            </w:r>
          </w:p>
        </w:tc>
        <w:tc>
          <w:tcPr>
            <w:tcW w:w="1134" w:type="dxa"/>
            <w:hideMark/>
          </w:tcPr>
          <w:p w14:paraId="6476F809" w14:textId="3AAFC166" w:rsidR="00B96DFC" w:rsidRPr="00CD5C3F" w:rsidRDefault="00B96DFC" w:rsidP="00B96DFC">
            <w:pPr>
              <w:contextualSpacing/>
              <w:jc w:val="center"/>
              <w:rPr>
                <w:sz w:val="27"/>
                <w:szCs w:val="27"/>
              </w:rPr>
            </w:pPr>
            <w:r w:rsidRPr="00CD5C3F">
              <w:rPr>
                <w:sz w:val="27"/>
                <w:szCs w:val="27"/>
              </w:rPr>
              <w:t>0</w:t>
            </w:r>
          </w:p>
        </w:tc>
        <w:tc>
          <w:tcPr>
            <w:tcW w:w="1134" w:type="dxa"/>
          </w:tcPr>
          <w:p w14:paraId="0821A529" w14:textId="63687004" w:rsidR="00B96DFC" w:rsidRPr="00CD5C3F" w:rsidRDefault="00B96DFC" w:rsidP="00B96DFC">
            <w:pPr>
              <w:contextualSpacing/>
              <w:jc w:val="center"/>
              <w:rPr>
                <w:sz w:val="27"/>
                <w:szCs w:val="27"/>
              </w:rPr>
            </w:pPr>
            <w:r w:rsidRPr="00CD5C3F">
              <w:rPr>
                <w:sz w:val="27"/>
                <w:szCs w:val="27"/>
              </w:rPr>
              <w:t>0</w:t>
            </w:r>
          </w:p>
        </w:tc>
        <w:tc>
          <w:tcPr>
            <w:tcW w:w="1134" w:type="dxa"/>
            <w:hideMark/>
          </w:tcPr>
          <w:p w14:paraId="43164F9B" w14:textId="2A152463" w:rsidR="00B96DFC" w:rsidRPr="00CD5C3F" w:rsidRDefault="00B96DFC" w:rsidP="00B96DFC">
            <w:pPr>
              <w:contextualSpacing/>
              <w:jc w:val="center"/>
              <w:rPr>
                <w:sz w:val="27"/>
                <w:szCs w:val="27"/>
              </w:rPr>
            </w:pPr>
            <w:r w:rsidRPr="00CD5C3F">
              <w:rPr>
                <w:sz w:val="27"/>
                <w:szCs w:val="27"/>
              </w:rPr>
              <w:t>0</w:t>
            </w:r>
          </w:p>
        </w:tc>
      </w:tr>
      <w:tr w:rsidR="00B96DFC" w:rsidRPr="00CD5C3F" w14:paraId="0181308F" w14:textId="77777777" w:rsidTr="002C4F8F">
        <w:tc>
          <w:tcPr>
            <w:tcW w:w="1740" w:type="dxa"/>
            <w:gridSpan w:val="2"/>
            <w:hideMark/>
          </w:tcPr>
          <w:p w14:paraId="662E034C" w14:textId="77777777" w:rsidR="00B96DFC" w:rsidRPr="00CD5C3F" w:rsidRDefault="00B96DFC" w:rsidP="00B96DFC">
            <w:pPr>
              <w:contextualSpacing/>
              <w:rPr>
                <w:sz w:val="27"/>
                <w:szCs w:val="27"/>
              </w:rPr>
            </w:pPr>
            <w:r w:rsidRPr="00CD5C3F">
              <w:rPr>
                <w:sz w:val="27"/>
                <w:szCs w:val="27"/>
              </w:rPr>
              <w:t>5.3. pašvaldību budžets</w:t>
            </w:r>
          </w:p>
        </w:tc>
        <w:tc>
          <w:tcPr>
            <w:tcW w:w="1155" w:type="dxa"/>
            <w:gridSpan w:val="3"/>
            <w:vMerge/>
            <w:vAlign w:val="center"/>
            <w:hideMark/>
          </w:tcPr>
          <w:p w14:paraId="0E415F51" w14:textId="77777777" w:rsidR="00B96DFC" w:rsidRPr="00CD5C3F" w:rsidRDefault="00B96DFC" w:rsidP="00B96DFC">
            <w:pPr>
              <w:contextualSpacing/>
              <w:rPr>
                <w:sz w:val="27"/>
                <w:szCs w:val="27"/>
              </w:rPr>
            </w:pPr>
          </w:p>
        </w:tc>
        <w:tc>
          <w:tcPr>
            <w:tcW w:w="1191" w:type="dxa"/>
            <w:hideMark/>
          </w:tcPr>
          <w:p w14:paraId="7CF25EB2" w14:textId="77777777" w:rsidR="00B96DFC" w:rsidRPr="00CD5C3F" w:rsidRDefault="00B96DFC" w:rsidP="00B96DFC">
            <w:pPr>
              <w:contextualSpacing/>
              <w:jc w:val="center"/>
              <w:rPr>
                <w:sz w:val="27"/>
                <w:szCs w:val="27"/>
              </w:rPr>
            </w:pPr>
            <w:r w:rsidRPr="00CD5C3F">
              <w:rPr>
                <w:sz w:val="27"/>
                <w:szCs w:val="27"/>
              </w:rPr>
              <w:t>0</w:t>
            </w:r>
          </w:p>
        </w:tc>
        <w:tc>
          <w:tcPr>
            <w:tcW w:w="1154" w:type="dxa"/>
            <w:gridSpan w:val="2"/>
            <w:hideMark/>
          </w:tcPr>
          <w:p w14:paraId="7927BC4F" w14:textId="77777777" w:rsidR="00B96DFC" w:rsidRPr="00CD5C3F" w:rsidRDefault="00B96DFC" w:rsidP="00B96DFC">
            <w:pPr>
              <w:contextualSpacing/>
              <w:jc w:val="center"/>
              <w:rPr>
                <w:sz w:val="27"/>
                <w:szCs w:val="27"/>
              </w:rPr>
            </w:pPr>
            <w:r w:rsidRPr="00CD5C3F">
              <w:rPr>
                <w:sz w:val="27"/>
                <w:szCs w:val="27"/>
              </w:rPr>
              <w:t>0</w:t>
            </w:r>
          </w:p>
        </w:tc>
        <w:tc>
          <w:tcPr>
            <w:tcW w:w="1134" w:type="dxa"/>
          </w:tcPr>
          <w:p w14:paraId="6E3D3D1A" w14:textId="0AE07629" w:rsidR="00B96DFC" w:rsidRPr="00CD5C3F" w:rsidRDefault="00B96DFC" w:rsidP="00B96DFC">
            <w:pPr>
              <w:contextualSpacing/>
              <w:jc w:val="center"/>
              <w:rPr>
                <w:sz w:val="27"/>
                <w:szCs w:val="27"/>
              </w:rPr>
            </w:pPr>
            <w:r w:rsidRPr="00CD5C3F">
              <w:rPr>
                <w:sz w:val="27"/>
                <w:szCs w:val="27"/>
              </w:rPr>
              <w:t>0</w:t>
            </w:r>
          </w:p>
        </w:tc>
        <w:tc>
          <w:tcPr>
            <w:tcW w:w="1134" w:type="dxa"/>
            <w:hideMark/>
          </w:tcPr>
          <w:p w14:paraId="04702767" w14:textId="7303A77C" w:rsidR="00B96DFC" w:rsidRPr="00CD5C3F" w:rsidRDefault="00B96DFC" w:rsidP="00B96DFC">
            <w:pPr>
              <w:contextualSpacing/>
              <w:jc w:val="center"/>
              <w:rPr>
                <w:sz w:val="27"/>
                <w:szCs w:val="27"/>
              </w:rPr>
            </w:pPr>
            <w:r w:rsidRPr="00CD5C3F">
              <w:rPr>
                <w:sz w:val="27"/>
                <w:szCs w:val="27"/>
              </w:rPr>
              <w:t>0</w:t>
            </w:r>
          </w:p>
        </w:tc>
        <w:tc>
          <w:tcPr>
            <w:tcW w:w="1134" w:type="dxa"/>
          </w:tcPr>
          <w:p w14:paraId="14193256" w14:textId="389E2444" w:rsidR="00B96DFC" w:rsidRPr="00CD5C3F" w:rsidRDefault="00B96DFC" w:rsidP="00B96DFC">
            <w:pPr>
              <w:contextualSpacing/>
              <w:jc w:val="center"/>
              <w:rPr>
                <w:sz w:val="27"/>
                <w:szCs w:val="27"/>
              </w:rPr>
            </w:pPr>
            <w:r w:rsidRPr="00CD5C3F">
              <w:rPr>
                <w:sz w:val="27"/>
                <w:szCs w:val="27"/>
              </w:rPr>
              <w:t>0</w:t>
            </w:r>
          </w:p>
        </w:tc>
        <w:tc>
          <w:tcPr>
            <w:tcW w:w="1134" w:type="dxa"/>
            <w:hideMark/>
          </w:tcPr>
          <w:p w14:paraId="5DA441E7" w14:textId="0DC9DC68" w:rsidR="00B96DFC" w:rsidRPr="00CD5C3F" w:rsidRDefault="00B96DFC" w:rsidP="00B96DFC">
            <w:pPr>
              <w:contextualSpacing/>
              <w:jc w:val="center"/>
              <w:rPr>
                <w:sz w:val="27"/>
                <w:szCs w:val="27"/>
              </w:rPr>
            </w:pPr>
            <w:r w:rsidRPr="00CD5C3F">
              <w:rPr>
                <w:sz w:val="27"/>
                <w:szCs w:val="27"/>
              </w:rPr>
              <w:t>0</w:t>
            </w:r>
          </w:p>
        </w:tc>
      </w:tr>
      <w:tr w:rsidR="00B96DFC" w:rsidRPr="00CD5C3F" w14:paraId="31687A15" w14:textId="77777777" w:rsidTr="00BD47CF">
        <w:tc>
          <w:tcPr>
            <w:tcW w:w="1740" w:type="dxa"/>
            <w:gridSpan w:val="2"/>
            <w:hideMark/>
          </w:tcPr>
          <w:p w14:paraId="5430982B" w14:textId="77777777" w:rsidR="00B96DFC" w:rsidRPr="00CD5C3F" w:rsidRDefault="00B96DFC" w:rsidP="00B96DFC">
            <w:pPr>
              <w:contextualSpacing/>
              <w:rPr>
                <w:sz w:val="27"/>
                <w:szCs w:val="27"/>
              </w:rPr>
            </w:pPr>
            <w:r w:rsidRPr="00CD5C3F">
              <w:rPr>
                <w:sz w:val="27"/>
                <w:szCs w:val="27"/>
              </w:rPr>
              <w:t>6. Detalizēts ieņēmumu un izdevumu aprēķins (ja nepieciešams, detalizētu ieņēmumu un izdevumu aprēķinu var pievienot anotācijas pielikumā):</w:t>
            </w:r>
          </w:p>
        </w:tc>
        <w:tc>
          <w:tcPr>
            <w:tcW w:w="1090" w:type="dxa"/>
            <w:gridSpan w:val="2"/>
          </w:tcPr>
          <w:p w14:paraId="7374F5F5" w14:textId="77777777" w:rsidR="00B96DFC" w:rsidRPr="00CD5C3F" w:rsidRDefault="00B96DFC" w:rsidP="00B96DFC">
            <w:pPr>
              <w:contextualSpacing/>
              <w:jc w:val="both"/>
              <w:rPr>
                <w:sz w:val="27"/>
                <w:szCs w:val="27"/>
              </w:rPr>
            </w:pPr>
          </w:p>
        </w:tc>
        <w:tc>
          <w:tcPr>
            <w:tcW w:w="1845" w:type="dxa"/>
            <w:gridSpan w:val="3"/>
          </w:tcPr>
          <w:p w14:paraId="3490BFAA" w14:textId="77777777" w:rsidR="00B96DFC" w:rsidRPr="00CD5C3F" w:rsidRDefault="00B96DFC" w:rsidP="00B96DFC">
            <w:pPr>
              <w:contextualSpacing/>
              <w:jc w:val="both"/>
              <w:rPr>
                <w:sz w:val="27"/>
                <w:szCs w:val="27"/>
              </w:rPr>
            </w:pPr>
          </w:p>
        </w:tc>
        <w:tc>
          <w:tcPr>
            <w:tcW w:w="5101" w:type="dxa"/>
            <w:gridSpan w:val="5"/>
            <w:vMerge w:val="restart"/>
            <w:vAlign w:val="center"/>
          </w:tcPr>
          <w:p w14:paraId="674A88A1" w14:textId="3E5DEE6E" w:rsidR="00B96DFC" w:rsidRPr="00CD5C3F" w:rsidRDefault="00B96DFC" w:rsidP="00B96DFC">
            <w:pPr>
              <w:contextualSpacing/>
              <w:jc w:val="both"/>
              <w:rPr>
                <w:sz w:val="27"/>
                <w:szCs w:val="27"/>
              </w:rPr>
            </w:pPr>
            <w:r w:rsidRPr="00CD5C3F">
              <w:rPr>
                <w:sz w:val="27"/>
                <w:szCs w:val="27"/>
              </w:rPr>
              <w:t xml:space="preserve">Nav </w:t>
            </w:r>
          </w:p>
        </w:tc>
      </w:tr>
      <w:tr w:rsidR="00B96DFC" w:rsidRPr="00CD5C3F" w14:paraId="6AC41784" w14:textId="77777777" w:rsidTr="00BD47CF">
        <w:tc>
          <w:tcPr>
            <w:tcW w:w="1740" w:type="dxa"/>
            <w:gridSpan w:val="2"/>
            <w:hideMark/>
          </w:tcPr>
          <w:p w14:paraId="10203932" w14:textId="77777777" w:rsidR="00B96DFC" w:rsidRPr="00CD5C3F" w:rsidRDefault="00B96DFC" w:rsidP="00B96DFC">
            <w:pPr>
              <w:contextualSpacing/>
              <w:rPr>
                <w:sz w:val="27"/>
                <w:szCs w:val="27"/>
              </w:rPr>
            </w:pPr>
            <w:r w:rsidRPr="00CD5C3F">
              <w:rPr>
                <w:sz w:val="27"/>
                <w:szCs w:val="27"/>
              </w:rPr>
              <w:t>6.1. detalizēts ieņēmumu aprēķins</w:t>
            </w:r>
          </w:p>
        </w:tc>
        <w:tc>
          <w:tcPr>
            <w:tcW w:w="1090" w:type="dxa"/>
            <w:gridSpan w:val="2"/>
          </w:tcPr>
          <w:p w14:paraId="24158844" w14:textId="77777777" w:rsidR="00B96DFC" w:rsidRPr="00CD5C3F" w:rsidRDefault="00B96DFC" w:rsidP="00B96DFC">
            <w:pPr>
              <w:contextualSpacing/>
              <w:rPr>
                <w:color w:val="000000"/>
                <w:sz w:val="27"/>
                <w:szCs w:val="27"/>
              </w:rPr>
            </w:pPr>
          </w:p>
        </w:tc>
        <w:tc>
          <w:tcPr>
            <w:tcW w:w="1845" w:type="dxa"/>
            <w:gridSpan w:val="3"/>
          </w:tcPr>
          <w:p w14:paraId="485EE78B" w14:textId="77777777" w:rsidR="00B96DFC" w:rsidRPr="00CD5C3F" w:rsidRDefault="00B96DFC" w:rsidP="00B96DFC">
            <w:pPr>
              <w:contextualSpacing/>
              <w:rPr>
                <w:color w:val="000000"/>
                <w:sz w:val="27"/>
                <w:szCs w:val="27"/>
              </w:rPr>
            </w:pPr>
          </w:p>
        </w:tc>
        <w:tc>
          <w:tcPr>
            <w:tcW w:w="5101" w:type="dxa"/>
            <w:gridSpan w:val="5"/>
            <w:vMerge/>
            <w:vAlign w:val="center"/>
            <w:hideMark/>
          </w:tcPr>
          <w:p w14:paraId="3F3EE42B" w14:textId="30159E19" w:rsidR="00B96DFC" w:rsidRPr="00CD5C3F" w:rsidRDefault="00B96DFC" w:rsidP="00B96DFC">
            <w:pPr>
              <w:contextualSpacing/>
              <w:rPr>
                <w:color w:val="000000"/>
                <w:sz w:val="27"/>
                <w:szCs w:val="27"/>
              </w:rPr>
            </w:pPr>
          </w:p>
        </w:tc>
      </w:tr>
      <w:tr w:rsidR="00B96DFC" w:rsidRPr="00CD5C3F" w14:paraId="3D3ED37D" w14:textId="77777777" w:rsidTr="00BD47CF">
        <w:tc>
          <w:tcPr>
            <w:tcW w:w="1740" w:type="dxa"/>
            <w:gridSpan w:val="2"/>
            <w:hideMark/>
          </w:tcPr>
          <w:p w14:paraId="7FC7113E" w14:textId="77777777" w:rsidR="00B96DFC" w:rsidRPr="00CD5C3F" w:rsidRDefault="00B96DFC" w:rsidP="00B96DFC">
            <w:pPr>
              <w:contextualSpacing/>
              <w:rPr>
                <w:sz w:val="27"/>
                <w:szCs w:val="27"/>
              </w:rPr>
            </w:pPr>
            <w:r w:rsidRPr="00CD5C3F">
              <w:rPr>
                <w:sz w:val="27"/>
                <w:szCs w:val="27"/>
              </w:rPr>
              <w:t>6.2. detalizēts izdevumu aprēķins</w:t>
            </w:r>
          </w:p>
        </w:tc>
        <w:tc>
          <w:tcPr>
            <w:tcW w:w="1090" w:type="dxa"/>
            <w:gridSpan w:val="2"/>
          </w:tcPr>
          <w:p w14:paraId="0EF5FF90" w14:textId="77777777" w:rsidR="00B96DFC" w:rsidRPr="00CD5C3F" w:rsidRDefault="00B96DFC" w:rsidP="00B96DFC">
            <w:pPr>
              <w:contextualSpacing/>
              <w:rPr>
                <w:color w:val="000000"/>
                <w:sz w:val="27"/>
                <w:szCs w:val="27"/>
              </w:rPr>
            </w:pPr>
          </w:p>
        </w:tc>
        <w:tc>
          <w:tcPr>
            <w:tcW w:w="1845" w:type="dxa"/>
            <w:gridSpan w:val="3"/>
          </w:tcPr>
          <w:p w14:paraId="32E1E249" w14:textId="77777777" w:rsidR="00B96DFC" w:rsidRPr="00CD5C3F" w:rsidRDefault="00B96DFC" w:rsidP="00B96DFC">
            <w:pPr>
              <w:contextualSpacing/>
              <w:rPr>
                <w:color w:val="000000"/>
                <w:sz w:val="27"/>
                <w:szCs w:val="27"/>
              </w:rPr>
            </w:pPr>
          </w:p>
        </w:tc>
        <w:tc>
          <w:tcPr>
            <w:tcW w:w="5101" w:type="dxa"/>
            <w:gridSpan w:val="5"/>
            <w:vMerge/>
            <w:vAlign w:val="center"/>
            <w:hideMark/>
          </w:tcPr>
          <w:p w14:paraId="12ED861D" w14:textId="7BE59DC1" w:rsidR="00B96DFC" w:rsidRPr="00CD5C3F" w:rsidRDefault="00B96DFC" w:rsidP="00B96DFC">
            <w:pPr>
              <w:contextualSpacing/>
              <w:rPr>
                <w:color w:val="000000"/>
                <w:sz w:val="27"/>
                <w:szCs w:val="27"/>
              </w:rPr>
            </w:pPr>
          </w:p>
        </w:tc>
      </w:tr>
      <w:tr w:rsidR="00B96DFC" w:rsidRPr="00CD5C3F" w14:paraId="6A368649" w14:textId="77777777" w:rsidTr="00BD47CF">
        <w:trPr>
          <w:trHeight w:val="555"/>
        </w:trPr>
        <w:tc>
          <w:tcPr>
            <w:tcW w:w="1740" w:type="dxa"/>
            <w:gridSpan w:val="2"/>
            <w:hideMark/>
          </w:tcPr>
          <w:p w14:paraId="2E442ACB" w14:textId="77777777" w:rsidR="00B96DFC" w:rsidRPr="00CD5C3F" w:rsidRDefault="00B96DFC" w:rsidP="00B96DFC">
            <w:pPr>
              <w:contextualSpacing/>
              <w:rPr>
                <w:sz w:val="27"/>
                <w:szCs w:val="27"/>
              </w:rPr>
            </w:pPr>
            <w:r w:rsidRPr="00CD5C3F">
              <w:rPr>
                <w:sz w:val="27"/>
                <w:szCs w:val="27"/>
              </w:rPr>
              <w:lastRenderedPageBreak/>
              <w:t>7. Cita informācija</w:t>
            </w:r>
          </w:p>
          <w:p w14:paraId="082A730F" w14:textId="77777777" w:rsidR="00B96DFC" w:rsidRPr="00CD5C3F" w:rsidRDefault="00B96DFC" w:rsidP="00B96DFC">
            <w:pPr>
              <w:contextualSpacing/>
              <w:rPr>
                <w:sz w:val="27"/>
                <w:szCs w:val="27"/>
              </w:rPr>
            </w:pPr>
          </w:p>
          <w:p w14:paraId="5F8CBA99" w14:textId="77777777" w:rsidR="00B96DFC" w:rsidRPr="00CD5C3F" w:rsidRDefault="00B96DFC" w:rsidP="00B96DFC">
            <w:pPr>
              <w:contextualSpacing/>
              <w:rPr>
                <w:sz w:val="27"/>
                <w:szCs w:val="27"/>
              </w:rPr>
            </w:pPr>
          </w:p>
          <w:p w14:paraId="34DF699B" w14:textId="77777777" w:rsidR="00B96DFC" w:rsidRPr="00CD5C3F" w:rsidRDefault="00B96DFC" w:rsidP="00B96DFC">
            <w:pPr>
              <w:contextualSpacing/>
              <w:rPr>
                <w:sz w:val="27"/>
                <w:szCs w:val="27"/>
              </w:rPr>
            </w:pPr>
          </w:p>
          <w:p w14:paraId="79E339F8" w14:textId="77777777" w:rsidR="00B96DFC" w:rsidRPr="00CD5C3F" w:rsidRDefault="00B96DFC" w:rsidP="00B96DFC">
            <w:pPr>
              <w:contextualSpacing/>
              <w:rPr>
                <w:sz w:val="27"/>
                <w:szCs w:val="27"/>
              </w:rPr>
            </w:pPr>
          </w:p>
        </w:tc>
        <w:tc>
          <w:tcPr>
            <w:tcW w:w="1090" w:type="dxa"/>
            <w:gridSpan w:val="2"/>
          </w:tcPr>
          <w:p w14:paraId="2940C830" w14:textId="77777777" w:rsidR="00B96DFC" w:rsidRDefault="00B96DFC" w:rsidP="00B96DFC">
            <w:pPr>
              <w:contextualSpacing/>
              <w:jc w:val="both"/>
              <w:rPr>
                <w:sz w:val="27"/>
                <w:szCs w:val="27"/>
              </w:rPr>
            </w:pPr>
          </w:p>
        </w:tc>
        <w:tc>
          <w:tcPr>
            <w:tcW w:w="1845" w:type="dxa"/>
            <w:gridSpan w:val="3"/>
          </w:tcPr>
          <w:p w14:paraId="4DEFC61D" w14:textId="77777777" w:rsidR="00B96DFC" w:rsidRDefault="00B96DFC" w:rsidP="00B96DFC">
            <w:pPr>
              <w:contextualSpacing/>
              <w:jc w:val="both"/>
              <w:rPr>
                <w:sz w:val="27"/>
                <w:szCs w:val="27"/>
              </w:rPr>
            </w:pPr>
          </w:p>
        </w:tc>
        <w:tc>
          <w:tcPr>
            <w:tcW w:w="5101" w:type="dxa"/>
            <w:gridSpan w:val="5"/>
          </w:tcPr>
          <w:p w14:paraId="627B3374" w14:textId="01B4F73B" w:rsidR="00B96DFC" w:rsidRDefault="00B96DFC" w:rsidP="00B96DFC">
            <w:pPr>
              <w:contextualSpacing/>
              <w:jc w:val="both"/>
              <w:rPr>
                <w:sz w:val="27"/>
                <w:szCs w:val="27"/>
              </w:rPr>
            </w:pPr>
            <w:r>
              <w:rPr>
                <w:sz w:val="27"/>
                <w:szCs w:val="27"/>
              </w:rPr>
              <w:t xml:space="preserve">Klasifikācijas iestāde – Būvniecības Valsts kontroles birojs veiks Būvniecības informācijas sistēmas pilnveidošanu būvkomersantu klasifikācijas izmaiņu ieviešanai saskaņā ar </w:t>
            </w:r>
            <w:r w:rsidRPr="00B96DFC">
              <w:rPr>
                <w:sz w:val="27"/>
                <w:szCs w:val="27"/>
              </w:rPr>
              <w:t>Noteikumu projektu</w:t>
            </w:r>
            <w:r>
              <w:rPr>
                <w:sz w:val="27"/>
                <w:szCs w:val="27"/>
              </w:rPr>
              <w:t xml:space="preserve"> no Būvniecības informācijas sistēmas uzturēšanai atvēlētajiem līdzekļiem.</w:t>
            </w:r>
          </w:p>
          <w:p w14:paraId="38A34262" w14:textId="713B81C7" w:rsidR="00B96DFC" w:rsidRPr="00CD5C3F" w:rsidRDefault="00B96DFC" w:rsidP="00B96DFC">
            <w:pPr>
              <w:contextualSpacing/>
              <w:jc w:val="both"/>
              <w:rPr>
                <w:sz w:val="27"/>
                <w:szCs w:val="27"/>
              </w:rPr>
            </w:pPr>
            <w:r w:rsidRPr="00CD5C3F">
              <w:rPr>
                <w:sz w:val="27"/>
                <w:szCs w:val="27"/>
              </w:rPr>
              <w:t xml:space="preserve"> </w:t>
            </w:r>
          </w:p>
        </w:tc>
      </w:tr>
    </w:tbl>
    <w:p w14:paraId="458D15E1" w14:textId="77777777" w:rsidR="004E4DD9" w:rsidRPr="00D60C4A" w:rsidRDefault="004E4DD9" w:rsidP="00D60C4A">
      <w:pPr>
        <w:pStyle w:val="Title"/>
        <w:spacing w:line="260" w:lineRule="exact"/>
        <w:jc w:val="both"/>
        <w:rPr>
          <w:sz w:val="12"/>
          <w:szCs w:val="24"/>
          <w:highlight w:val="yellow"/>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3"/>
      </w:tblGrid>
      <w:tr w:rsidR="00730B3B" w:rsidRPr="00B74E1D" w14:paraId="551C1AF4" w14:textId="77777777" w:rsidTr="00161647">
        <w:trPr>
          <w:cantSplit/>
        </w:trPr>
        <w:tc>
          <w:tcPr>
            <w:tcW w:w="9353" w:type="dxa"/>
            <w:vAlign w:val="center"/>
            <w:hideMark/>
          </w:tcPr>
          <w:p w14:paraId="508D3AF8" w14:textId="77777777" w:rsidR="009878D6" w:rsidRPr="00B74E1D" w:rsidRDefault="00656B5C" w:rsidP="00293120">
            <w:pPr>
              <w:jc w:val="center"/>
              <w:rPr>
                <w:b/>
                <w:bCs/>
              </w:rPr>
            </w:pPr>
            <w:r w:rsidRPr="00B74E1D">
              <w:rPr>
                <w:b/>
                <w:bCs/>
              </w:rPr>
              <w:t>IV. Tiesību akta projekta ietekme uz spēkā esošo tiesību normu sistēmu</w:t>
            </w:r>
          </w:p>
        </w:tc>
      </w:tr>
      <w:tr w:rsidR="0051332D" w:rsidRPr="00B74E1D" w14:paraId="49D1EF33" w14:textId="77777777" w:rsidTr="00445FC9">
        <w:trPr>
          <w:cantSplit/>
        </w:trPr>
        <w:tc>
          <w:tcPr>
            <w:tcW w:w="9353" w:type="dxa"/>
            <w:vAlign w:val="center"/>
          </w:tcPr>
          <w:p w14:paraId="3242DAD5" w14:textId="77777777" w:rsidR="0051332D" w:rsidRPr="00B74E1D" w:rsidRDefault="0051332D" w:rsidP="0051332D">
            <w:pPr>
              <w:jc w:val="center"/>
              <w:rPr>
                <w:bCs/>
              </w:rPr>
            </w:pPr>
            <w:r>
              <w:rPr>
                <w:bCs/>
              </w:rPr>
              <w:t>Projekts šo jomu neskar</w:t>
            </w:r>
          </w:p>
        </w:tc>
      </w:tr>
    </w:tbl>
    <w:p w14:paraId="15D25EDB" w14:textId="77777777" w:rsidR="00161647" w:rsidRPr="00D60C4A" w:rsidRDefault="00161647" w:rsidP="00D60C4A">
      <w:pPr>
        <w:pStyle w:val="Title"/>
        <w:spacing w:line="260" w:lineRule="exact"/>
        <w:jc w:val="both"/>
        <w:rPr>
          <w:sz w:val="12"/>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67"/>
      </w:tblGrid>
      <w:tr w:rsidR="00730B3B" w:rsidRPr="00B74E1D" w14:paraId="52AD49FF" w14:textId="77777777" w:rsidTr="00161647">
        <w:tc>
          <w:tcPr>
            <w:tcW w:w="5000" w:type="pct"/>
            <w:vAlign w:val="center"/>
            <w:hideMark/>
          </w:tcPr>
          <w:p w14:paraId="428DBD8B" w14:textId="77777777" w:rsidR="009878D6" w:rsidRPr="00B74E1D" w:rsidRDefault="00656B5C" w:rsidP="00293120">
            <w:pPr>
              <w:jc w:val="center"/>
              <w:rPr>
                <w:b/>
                <w:bCs/>
              </w:rPr>
            </w:pPr>
            <w:r w:rsidRPr="00B74E1D">
              <w:rPr>
                <w:b/>
                <w:bCs/>
              </w:rPr>
              <w:t>V. Tiesību akta projekta atbilstība Latvijas Republikas starptautiskajām saistībām</w:t>
            </w:r>
          </w:p>
        </w:tc>
      </w:tr>
      <w:tr w:rsidR="0051332D" w:rsidRPr="00B74E1D" w14:paraId="639CFCDB" w14:textId="77777777" w:rsidTr="0051332D">
        <w:tc>
          <w:tcPr>
            <w:tcW w:w="5000" w:type="pct"/>
          </w:tcPr>
          <w:p w14:paraId="5CFCA6EF" w14:textId="77777777" w:rsidR="0051332D" w:rsidRPr="00B74E1D" w:rsidRDefault="0051332D" w:rsidP="0051332D">
            <w:pPr>
              <w:ind w:left="57" w:firstLine="108"/>
              <w:jc w:val="center"/>
            </w:pPr>
            <w:r>
              <w:t>Proj</w:t>
            </w:r>
            <w:r w:rsidR="00C706EA">
              <w:t>e</w:t>
            </w:r>
            <w:r>
              <w:t>kts šo jomu neskar</w:t>
            </w:r>
          </w:p>
        </w:tc>
      </w:tr>
    </w:tbl>
    <w:p w14:paraId="189D5C31" w14:textId="77777777" w:rsidR="00161647" w:rsidRPr="00B74E1D" w:rsidRDefault="00161647" w:rsidP="00161647">
      <w:pPr>
        <w:pStyle w:val="Title"/>
        <w:spacing w:before="130" w:line="260" w:lineRule="exact"/>
        <w:jc w:val="both"/>
        <w:rPr>
          <w:sz w:val="24"/>
          <w:szCs w:val="24"/>
          <w:highlight w:val="yellow"/>
        </w:rPr>
      </w:pPr>
    </w:p>
    <w:tbl>
      <w:tblPr>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1460"/>
        <w:gridCol w:w="7509"/>
      </w:tblGrid>
      <w:tr w:rsidR="00730B3B" w:rsidRPr="00CA2FFC" w14:paraId="0F527247" w14:textId="77777777" w:rsidTr="00CA2FFC">
        <w:trPr>
          <w:cantSplit/>
        </w:trPr>
        <w:tc>
          <w:tcPr>
            <w:tcW w:w="5000" w:type="pct"/>
            <w:gridSpan w:val="3"/>
            <w:vAlign w:val="center"/>
            <w:hideMark/>
          </w:tcPr>
          <w:p w14:paraId="67E6763A" w14:textId="77777777" w:rsidR="00BD5588" w:rsidRPr="002C4F8F" w:rsidRDefault="00656B5C" w:rsidP="00CA2FFC">
            <w:r w:rsidRPr="002C4F8F">
              <w:t>VI. Sabiedrības līdzdalība un komunikācijas aktivitātes</w:t>
            </w:r>
          </w:p>
        </w:tc>
      </w:tr>
      <w:tr w:rsidR="002C4F8F" w:rsidRPr="00CA2FFC" w14:paraId="70FADD0B" w14:textId="77777777" w:rsidTr="00CA2FFC">
        <w:tc>
          <w:tcPr>
            <w:tcW w:w="130" w:type="pct"/>
            <w:hideMark/>
          </w:tcPr>
          <w:p w14:paraId="68F6D426" w14:textId="77777777" w:rsidR="00BD5588" w:rsidRPr="00CA2FFC" w:rsidRDefault="00656B5C" w:rsidP="00CA2FFC">
            <w:r w:rsidRPr="00CA2FFC">
              <w:t>1.</w:t>
            </w:r>
          </w:p>
        </w:tc>
        <w:tc>
          <w:tcPr>
            <w:tcW w:w="793" w:type="pct"/>
            <w:hideMark/>
          </w:tcPr>
          <w:p w14:paraId="6035A526" w14:textId="77777777" w:rsidR="00BD5588" w:rsidRPr="00CA2FFC" w:rsidRDefault="00656B5C" w:rsidP="002C4F8F">
            <w:r w:rsidRPr="00CA2FFC">
              <w:t>Plānotās sabiedrības līdzdalības un komunikācijas aktivitātes saistībā ar projektu</w:t>
            </w:r>
          </w:p>
        </w:tc>
        <w:tc>
          <w:tcPr>
            <w:tcW w:w="4077" w:type="pct"/>
          </w:tcPr>
          <w:p w14:paraId="050D7980" w14:textId="68D368F2" w:rsidR="00161647" w:rsidRPr="00CA2FFC" w:rsidRDefault="00050DBE" w:rsidP="00830CB0">
            <w:pPr>
              <w:ind w:right="2187"/>
              <w:jc w:val="both"/>
            </w:pPr>
            <w:r w:rsidRPr="00CA2FFC">
              <w:t>Noteikumu projekts sabiedrībai publiski pieejams Ekonomikas ministrijas mājās lapā internetā, kā arī</w:t>
            </w:r>
            <w:r w:rsidR="00830CB0">
              <w:t xml:space="preserve"> tika nosūtīts Latvijas Būvniecības padomei. P</w:t>
            </w:r>
            <w:r w:rsidRPr="00CA2FFC">
              <w:t xml:space="preserve">ēc izsludināšanas Valsts sekretāra sanāksmē būs pieejams Ministru kabineta mājās lapā internetā. </w:t>
            </w:r>
          </w:p>
        </w:tc>
      </w:tr>
      <w:tr w:rsidR="002C4F8F" w:rsidRPr="00CA2FFC" w14:paraId="1D06F595" w14:textId="77777777" w:rsidTr="00CA2FFC">
        <w:trPr>
          <w:cantSplit/>
        </w:trPr>
        <w:tc>
          <w:tcPr>
            <w:tcW w:w="130" w:type="pct"/>
            <w:hideMark/>
          </w:tcPr>
          <w:p w14:paraId="62FEDC04" w14:textId="77777777" w:rsidR="00BD5588" w:rsidRPr="00CA2FFC" w:rsidRDefault="00656B5C" w:rsidP="00CA2FFC">
            <w:r w:rsidRPr="00CA2FFC">
              <w:t>2.</w:t>
            </w:r>
          </w:p>
        </w:tc>
        <w:tc>
          <w:tcPr>
            <w:tcW w:w="793" w:type="pct"/>
            <w:hideMark/>
          </w:tcPr>
          <w:p w14:paraId="664B6A61" w14:textId="77777777" w:rsidR="00BD5588" w:rsidRPr="00CA2FFC" w:rsidRDefault="00656B5C" w:rsidP="002C4F8F">
            <w:r w:rsidRPr="00CA2FFC">
              <w:t>Sabiedrības līdzdalība projekta izstrādē</w:t>
            </w:r>
          </w:p>
        </w:tc>
        <w:tc>
          <w:tcPr>
            <w:tcW w:w="4077" w:type="pct"/>
          </w:tcPr>
          <w:p w14:paraId="6A5253C9" w14:textId="2ECD159E" w:rsidR="00FB3024" w:rsidRPr="00CA2FFC" w:rsidRDefault="002C4F8F" w:rsidP="00CA2FFC">
            <w:r w:rsidRPr="00CA2FFC">
              <w:t>Noteikumu projekts</w:t>
            </w:r>
            <w:r w:rsidR="00830CB0">
              <w:t xml:space="preserve"> tika</w:t>
            </w:r>
            <w:r w:rsidRPr="00CA2FFC">
              <w:t xml:space="preserve"> publicēts Ekonomikas ministrijas mājas lapā</w:t>
            </w:r>
            <w:r w:rsidR="00CA2FFC">
              <w:rPr>
                <w:rStyle w:val="FootnoteReference"/>
              </w:rPr>
              <w:footnoteReference w:id="1"/>
            </w:r>
            <w:r w:rsidRPr="00CA2FFC">
              <w:t xml:space="preserve"> </w:t>
            </w:r>
            <w:r w:rsidR="00830CB0">
              <w:t xml:space="preserve">un nosūtīts Latvijas Būvniecības padomei </w:t>
            </w:r>
            <w:r w:rsidRPr="00CA2FFC">
              <w:t xml:space="preserve">2019. gada 27. februārī. </w:t>
            </w:r>
            <w:r w:rsidR="00830CB0">
              <w:t xml:space="preserve">Atzinumu tika gaidīti līdz 13.martam. </w:t>
            </w:r>
          </w:p>
          <w:p w14:paraId="344039EB" w14:textId="77777777" w:rsidR="002C4F8F" w:rsidRPr="00CA2FFC" w:rsidRDefault="002C4F8F" w:rsidP="00CA2FFC">
            <w:pPr>
              <w:ind w:right="2329"/>
            </w:pPr>
          </w:p>
          <w:p w14:paraId="763CFEC6" w14:textId="484A6D5D" w:rsidR="002C4F8F" w:rsidRPr="00CA2FFC" w:rsidRDefault="002C4F8F" w:rsidP="00CA2FFC"/>
        </w:tc>
      </w:tr>
      <w:tr w:rsidR="002C4F8F" w:rsidRPr="00CA2FFC" w14:paraId="57DEADA2" w14:textId="77777777" w:rsidTr="00CA2FFC">
        <w:trPr>
          <w:cantSplit/>
        </w:trPr>
        <w:tc>
          <w:tcPr>
            <w:tcW w:w="130" w:type="pct"/>
            <w:hideMark/>
          </w:tcPr>
          <w:p w14:paraId="2F080E27" w14:textId="77777777" w:rsidR="00BD5588" w:rsidRPr="00CA2FFC" w:rsidRDefault="00656B5C" w:rsidP="00CA2FFC">
            <w:r w:rsidRPr="00CA2FFC">
              <w:t>3.</w:t>
            </w:r>
          </w:p>
        </w:tc>
        <w:tc>
          <w:tcPr>
            <w:tcW w:w="793" w:type="pct"/>
            <w:hideMark/>
          </w:tcPr>
          <w:p w14:paraId="6313AA69" w14:textId="77777777" w:rsidR="00BD5588" w:rsidRPr="00CA2FFC" w:rsidRDefault="00656B5C" w:rsidP="002C4F8F">
            <w:r w:rsidRPr="00CA2FFC">
              <w:t>Sabiedrības līdzdalības rezultāti</w:t>
            </w:r>
          </w:p>
        </w:tc>
        <w:tc>
          <w:tcPr>
            <w:tcW w:w="4077" w:type="pct"/>
          </w:tcPr>
          <w:p w14:paraId="047D597C" w14:textId="66AF8CAE" w:rsidR="00DD0F19" w:rsidRPr="00CA2FFC" w:rsidRDefault="007C3D5B" w:rsidP="00DD0F19">
            <w:pPr>
              <w:jc w:val="both"/>
            </w:pPr>
            <w:r>
              <w:t>Sabiedriskajā līdzdalībā nav saņemti atzinumi par noteikumu projektu.</w:t>
            </w:r>
          </w:p>
        </w:tc>
      </w:tr>
      <w:tr w:rsidR="002C4F8F" w:rsidRPr="00CA2FFC" w14:paraId="171B42D1" w14:textId="77777777" w:rsidTr="00CA2FFC">
        <w:trPr>
          <w:cantSplit/>
          <w:trHeight w:val="277"/>
        </w:trPr>
        <w:tc>
          <w:tcPr>
            <w:tcW w:w="130" w:type="pct"/>
            <w:hideMark/>
          </w:tcPr>
          <w:p w14:paraId="14B7F38D" w14:textId="77777777" w:rsidR="00BD5588" w:rsidRPr="00CA2FFC" w:rsidRDefault="00656B5C" w:rsidP="00CA2FFC">
            <w:r w:rsidRPr="00CA2FFC">
              <w:t>4.</w:t>
            </w:r>
          </w:p>
        </w:tc>
        <w:tc>
          <w:tcPr>
            <w:tcW w:w="793" w:type="pct"/>
            <w:hideMark/>
          </w:tcPr>
          <w:p w14:paraId="70071793" w14:textId="77777777" w:rsidR="00BD5588" w:rsidRPr="00CA2FFC" w:rsidRDefault="00656B5C" w:rsidP="002C4F8F">
            <w:r w:rsidRPr="00CA2FFC">
              <w:t>Cita informācija</w:t>
            </w:r>
          </w:p>
        </w:tc>
        <w:tc>
          <w:tcPr>
            <w:tcW w:w="4077" w:type="pct"/>
            <w:hideMark/>
          </w:tcPr>
          <w:p w14:paraId="5B205AD0" w14:textId="77777777" w:rsidR="00BD5588" w:rsidRPr="00CA2FFC" w:rsidRDefault="00656B5C" w:rsidP="00CA2FFC">
            <w:r w:rsidRPr="00CA2FFC">
              <w:t>Nav</w:t>
            </w:r>
            <w:r w:rsidR="00EA3D31" w:rsidRPr="00CA2FFC">
              <w:t>.</w:t>
            </w:r>
          </w:p>
          <w:p w14:paraId="0348B382" w14:textId="77777777" w:rsidR="00161647" w:rsidRPr="00CA2FFC" w:rsidRDefault="00161647" w:rsidP="00CA2FFC"/>
        </w:tc>
      </w:tr>
    </w:tbl>
    <w:p w14:paraId="0BDF1570" w14:textId="77777777" w:rsidR="00161647" w:rsidRPr="00B74E1D" w:rsidRDefault="00161647" w:rsidP="001E1EA0">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730B3B" w:rsidRPr="00B74E1D" w14:paraId="270AC8A9" w14:textId="77777777" w:rsidTr="0057649F">
        <w:trPr>
          <w:cantSplit/>
          <w:trHeight w:val="669"/>
        </w:trPr>
        <w:tc>
          <w:tcPr>
            <w:tcW w:w="5000" w:type="pct"/>
            <w:gridSpan w:val="3"/>
            <w:vAlign w:val="center"/>
            <w:hideMark/>
          </w:tcPr>
          <w:p w14:paraId="08461513" w14:textId="77777777" w:rsidR="00D21A8A" w:rsidRPr="00B74E1D" w:rsidRDefault="00656B5C" w:rsidP="00B76031">
            <w:pPr>
              <w:jc w:val="center"/>
              <w:rPr>
                <w:b/>
                <w:bCs/>
              </w:rPr>
            </w:pPr>
            <w:r w:rsidRPr="00B74E1D">
              <w:rPr>
                <w:b/>
                <w:bCs/>
              </w:rPr>
              <w:t>VII. Tiesību akta projekta izpildes nodrošināšan</w:t>
            </w:r>
            <w:r w:rsidR="00B76031" w:rsidRPr="00B74E1D">
              <w:rPr>
                <w:b/>
                <w:bCs/>
              </w:rPr>
              <w:t>a un tās ietekme uz institūcijām</w:t>
            </w:r>
          </w:p>
          <w:p w14:paraId="03A333E7" w14:textId="77777777" w:rsidR="00BD5588" w:rsidRPr="00B74E1D" w:rsidRDefault="00BD5588" w:rsidP="00D21A8A"/>
        </w:tc>
      </w:tr>
      <w:tr w:rsidR="00730B3B" w:rsidRPr="00B74E1D" w14:paraId="246EF0D1" w14:textId="77777777" w:rsidTr="0057649F">
        <w:trPr>
          <w:cantSplit/>
        </w:trPr>
        <w:tc>
          <w:tcPr>
            <w:tcW w:w="281" w:type="pct"/>
            <w:hideMark/>
          </w:tcPr>
          <w:p w14:paraId="63C0C785" w14:textId="77777777" w:rsidR="00BD5588" w:rsidRPr="00B74E1D" w:rsidRDefault="00656B5C" w:rsidP="00E273A1">
            <w:pPr>
              <w:jc w:val="center"/>
            </w:pPr>
            <w:r w:rsidRPr="00B74E1D">
              <w:t>1.</w:t>
            </w:r>
          </w:p>
        </w:tc>
        <w:tc>
          <w:tcPr>
            <w:tcW w:w="1339" w:type="pct"/>
            <w:hideMark/>
          </w:tcPr>
          <w:p w14:paraId="75B32822" w14:textId="77777777" w:rsidR="00BD5588" w:rsidRPr="00B74E1D" w:rsidRDefault="00656B5C" w:rsidP="00E273A1">
            <w:r w:rsidRPr="00B74E1D">
              <w:t>Projekta izpildē iesaistītās institūcijas</w:t>
            </w:r>
          </w:p>
        </w:tc>
        <w:tc>
          <w:tcPr>
            <w:tcW w:w="3380" w:type="pct"/>
            <w:hideMark/>
          </w:tcPr>
          <w:p w14:paraId="751792FD" w14:textId="07F3EA7E" w:rsidR="003046D3" w:rsidRPr="00B74E1D" w:rsidRDefault="00050DBE" w:rsidP="003046D3">
            <w:pPr>
              <w:jc w:val="both"/>
            </w:pPr>
            <w:r w:rsidRPr="006E0DF8">
              <w:t>Ekonomikas ministrija</w:t>
            </w:r>
            <w:r w:rsidR="00CA2FFC">
              <w:t>, Būvniecības Valsts kontroles birojs</w:t>
            </w:r>
          </w:p>
        </w:tc>
      </w:tr>
      <w:tr w:rsidR="00730B3B" w:rsidRPr="00B74E1D" w14:paraId="711C9756" w14:textId="77777777" w:rsidTr="004E4DD9">
        <w:tc>
          <w:tcPr>
            <w:tcW w:w="281" w:type="pct"/>
            <w:hideMark/>
          </w:tcPr>
          <w:p w14:paraId="4F1953F9" w14:textId="77777777" w:rsidR="00BD5588" w:rsidRPr="00B74E1D" w:rsidRDefault="00656B5C" w:rsidP="00E273A1">
            <w:pPr>
              <w:jc w:val="center"/>
            </w:pPr>
            <w:r w:rsidRPr="00B74E1D">
              <w:t>2.</w:t>
            </w:r>
          </w:p>
        </w:tc>
        <w:tc>
          <w:tcPr>
            <w:tcW w:w="1339" w:type="pct"/>
            <w:hideMark/>
          </w:tcPr>
          <w:p w14:paraId="19B74D54" w14:textId="77777777" w:rsidR="00BD5588" w:rsidRPr="00B74E1D" w:rsidRDefault="00656B5C" w:rsidP="00E273A1">
            <w:r w:rsidRPr="00B74E1D">
              <w:t>Projekta izpildes ietekme uz pārvaldes funkcijām un institucionālo struktūru.</w:t>
            </w:r>
            <w:r w:rsidRPr="00B74E1D">
              <w:br/>
              <w:t xml:space="preserve">Jaunu institūciju izveide, </w:t>
            </w:r>
            <w:r w:rsidRPr="00B74E1D">
              <w:lastRenderedPageBreak/>
              <w:t>esošu institūciju likvidācija vai reorganizācija, to ietekme uz institūcijas cilvēkresursiem</w:t>
            </w:r>
          </w:p>
        </w:tc>
        <w:tc>
          <w:tcPr>
            <w:tcW w:w="3380" w:type="pct"/>
            <w:hideMark/>
          </w:tcPr>
          <w:p w14:paraId="2CE89158" w14:textId="7D9EAB72" w:rsidR="00CE664B" w:rsidRPr="00B74E1D" w:rsidRDefault="00050DBE" w:rsidP="00265082">
            <w:r>
              <w:lastRenderedPageBreak/>
              <w:t>Projekts šo jomu neskar</w:t>
            </w:r>
          </w:p>
        </w:tc>
      </w:tr>
      <w:tr w:rsidR="004E638D" w:rsidRPr="00B74E1D" w14:paraId="2C61335F" w14:textId="77777777" w:rsidTr="0057649F">
        <w:trPr>
          <w:cantSplit/>
        </w:trPr>
        <w:tc>
          <w:tcPr>
            <w:tcW w:w="281" w:type="pct"/>
            <w:hideMark/>
          </w:tcPr>
          <w:p w14:paraId="70E6AB2F" w14:textId="77777777" w:rsidR="00BD5588" w:rsidRPr="00B74E1D" w:rsidRDefault="00656B5C" w:rsidP="00E273A1">
            <w:pPr>
              <w:jc w:val="center"/>
              <w:rPr>
                <w:highlight w:val="yellow"/>
              </w:rPr>
            </w:pPr>
            <w:r w:rsidRPr="00B74E1D">
              <w:t>3.</w:t>
            </w:r>
          </w:p>
        </w:tc>
        <w:tc>
          <w:tcPr>
            <w:tcW w:w="1339" w:type="pct"/>
            <w:hideMark/>
          </w:tcPr>
          <w:p w14:paraId="5C422E79" w14:textId="77777777" w:rsidR="00BD5588" w:rsidRPr="00B74E1D" w:rsidRDefault="00656B5C" w:rsidP="00E273A1">
            <w:r w:rsidRPr="00B74E1D">
              <w:t>Cita informācija</w:t>
            </w:r>
          </w:p>
        </w:tc>
        <w:tc>
          <w:tcPr>
            <w:tcW w:w="3380" w:type="pct"/>
            <w:hideMark/>
          </w:tcPr>
          <w:p w14:paraId="71FDB04B" w14:textId="77777777" w:rsidR="00BD5588" w:rsidRPr="00B74E1D" w:rsidRDefault="00656B5C" w:rsidP="00EA3D31">
            <w:pPr>
              <w:ind w:firstLine="108"/>
            </w:pPr>
            <w:r w:rsidRPr="00B74E1D">
              <w:t>Nav</w:t>
            </w:r>
            <w:r w:rsidR="00EA3D31" w:rsidRPr="00B74E1D">
              <w:t>.</w:t>
            </w:r>
          </w:p>
        </w:tc>
      </w:tr>
    </w:tbl>
    <w:p w14:paraId="27FC7C62" w14:textId="77777777" w:rsidR="00D21A8A" w:rsidRDefault="00D21A8A" w:rsidP="00D21A8A">
      <w:pPr>
        <w:tabs>
          <w:tab w:val="left" w:pos="6804"/>
        </w:tabs>
        <w:rPr>
          <w:lang w:eastAsia="ru-RU"/>
        </w:rPr>
      </w:pPr>
    </w:p>
    <w:p w14:paraId="1C3C9046" w14:textId="77777777" w:rsidR="006F71EA" w:rsidRDefault="006F71EA" w:rsidP="00D21A8A">
      <w:pPr>
        <w:tabs>
          <w:tab w:val="left" w:pos="6804"/>
        </w:tabs>
        <w:rPr>
          <w:lang w:eastAsia="ru-RU"/>
        </w:rPr>
      </w:pPr>
    </w:p>
    <w:p w14:paraId="5A778AA5" w14:textId="77777777" w:rsidR="00F615B8" w:rsidRPr="00B74E1D" w:rsidRDefault="00F615B8" w:rsidP="00D21A8A">
      <w:pPr>
        <w:tabs>
          <w:tab w:val="left" w:pos="6804"/>
        </w:tabs>
        <w:rPr>
          <w:lang w:eastAsia="ru-RU"/>
        </w:rPr>
      </w:pPr>
    </w:p>
    <w:p w14:paraId="4CADD0D1" w14:textId="1A622819" w:rsidR="00D21A8A" w:rsidRPr="00B74E1D" w:rsidRDefault="006F71EA" w:rsidP="00466C3A">
      <w:pPr>
        <w:tabs>
          <w:tab w:val="left" w:pos="6946"/>
        </w:tabs>
        <w:rPr>
          <w:lang w:eastAsia="ru-RU"/>
        </w:rPr>
      </w:pPr>
      <w:r>
        <w:rPr>
          <w:lang w:eastAsia="ru-RU"/>
        </w:rPr>
        <w:t xml:space="preserve">Ekonomikas ministrs                              </w:t>
      </w:r>
      <w:r w:rsidR="00B16445" w:rsidRPr="00B74E1D">
        <w:rPr>
          <w:lang w:eastAsia="ru-RU"/>
        </w:rPr>
        <w:t xml:space="preserve">   </w:t>
      </w:r>
      <w:r w:rsidR="00534ED1">
        <w:rPr>
          <w:lang w:eastAsia="ru-RU"/>
        </w:rPr>
        <w:t xml:space="preserve">     </w:t>
      </w:r>
      <w:r w:rsidR="00B16445" w:rsidRPr="00B74E1D">
        <w:rPr>
          <w:lang w:eastAsia="ru-RU"/>
        </w:rPr>
        <w:t xml:space="preserve">                                                 </w:t>
      </w:r>
      <w:r w:rsidR="00534ED1">
        <w:rPr>
          <w:lang w:eastAsia="ru-RU"/>
        </w:rPr>
        <w:t>R</w:t>
      </w:r>
      <w:r w:rsidR="009C36C3">
        <w:rPr>
          <w:lang w:eastAsia="ru-RU"/>
        </w:rPr>
        <w:t>.</w:t>
      </w:r>
      <w:r w:rsidR="00B16445" w:rsidRPr="00B74E1D">
        <w:rPr>
          <w:lang w:eastAsia="ru-RU"/>
        </w:rPr>
        <w:t xml:space="preserve"> </w:t>
      </w:r>
      <w:r w:rsidR="00534ED1">
        <w:rPr>
          <w:lang w:eastAsia="ru-RU"/>
        </w:rPr>
        <w:t>Nemiro</w:t>
      </w:r>
    </w:p>
    <w:p w14:paraId="4330BA7E" w14:textId="77777777" w:rsidR="00D21A8A" w:rsidRDefault="00D21A8A" w:rsidP="00D21A8A">
      <w:pPr>
        <w:rPr>
          <w:lang w:eastAsia="ru-RU"/>
        </w:rPr>
      </w:pPr>
    </w:p>
    <w:p w14:paraId="3F6F4213" w14:textId="77777777" w:rsidR="00F615B8" w:rsidRPr="00B74E1D" w:rsidRDefault="00F615B8" w:rsidP="00D21A8A">
      <w:pPr>
        <w:rPr>
          <w:lang w:eastAsia="ru-RU"/>
        </w:rPr>
      </w:pPr>
    </w:p>
    <w:p w14:paraId="2A46A5A0" w14:textId="77777777" w:rsidR="00D21A8A" w:rsidRPr="00B74E1D" w:rsidRDefault="00656B5C" w:rsidP="00D21A8A">
      <w:pPr>
        <w:rPr>
          <w:lang w:eastAsia="ru-RU"/>
        </w:rPr>
      </w:pPr>
      <w:r w:rsidRPr="00B74E1D">
        <w:rPr>
          <w:lang w:eastAsia="ru-RU"/>
        </w:rPr>
        <w:t xml:space="preserve">Vīza: </w:t>
      </w:r>
    </w:p>
    <w:p w14:paraId="734CB2FA" w14:textId="6B30489F" w:rsidR="00D21A8A" w:rsidRPr="00B74E1D" w:rsidRDefault="00656B5C" w:rsidP="00466C3A">
      <w:pPr>
        <w:tabs>
          <w:tab w:val="left" w:pos="7371"/>
        </w:tabs>
        <w:rPr>
          <w:lang w:eastAsia="ru-RU"/>
        </w:rPr>
      </w:pPr>
      <w:r w:rsidRPr="00B74E1D">
        <w:rPr>
          <w:lang w:eastAsia="ru-RU"/>
        </w:rPr>
        <w:t xml:space="preserve">Valsts </w:t>
      </w:r>
      <w:r w:rsidR="00B16445" w:rsidRPr="00B74E1D">
        <w:rPr>
          <w:lang w:eastAsia="ru-RU"/>
        </w:rPr>
        <w:t>sekretār</w:t>
      </w:r>
      <w:r w:rsidR="006F71EA">
        <w:rPr>
          <w:lang w:eastAsia="ru-RU"/>
        </w:rPr>
        <w:t>s</w:t>
      </w:r>
      <w:r w:rsidR="00B16445" w:rsidRPr="00B74E1D">
        <w:rPr>
          <w:lang w:eastAsia="ru-RU"/>
        </w:rPr>
        <w:t xml:space="preserve">                              </w:t>
      </w:r>
      <w:r w:rsidR="006F71EA">
        <w:rPr>
          <w:lang w:eastAsia="ru-RU"/>
        </w:rPr>
        <w:t xml:space="preserve">                        </w:t>
      </w:r>
      <w:r w:rsidR="00B16445" w:rsidRPr="00B74E1D">
        <w:rPr>
          <w:lang w:eastAsia="ru-RU"/>
        </w:rPr>
        <w:t xml:space="preserve">                                            </w:t>
      </w:r>
      <w:r w:rsidR="009C36C3">
        <w:rPr>
          <w:lang w:eastAsia="ru-RU"/>
        </w:rPr>
        <w:t>Ē.</w:t>
      </w:r>
      <w:r w:rsidR="00B16445" w:rsidRPr="00B74E1D">
        <w:rPr>
          <w:lang w:eastAsia="ru-RU"/>
        </w:rPr>
        <w:t xml:space="preserve"> </w:t>
      </w:r>
      <w:r w:rsidR="009C36C3">
        <w:rPr>
          <w:lang w:eastAsia="ru-RU"/>
        </w:rPr>
        <w:t>Eglītis</w:t>
      </w:r>
    </w:p>
    <w:p w14:paraId="607B2870" w14:textId="77777777" w:rsidR="00D21A8A" w:rsidRDefault="00D21A8A" w:rsidP="00D21A8A">
      <w:pPr>
        <w:suppressAutoHyphens/>
        <w:rPr>
          <w:lang w:eastAsia="ru-RU"/>
        </w:rPr>
      </w:pPr>
    </w:p>
    <w:p w14:paraId="7D0851D0" w14:textId="77777777" w:rsidR="00F615B8" w:rsidRDefault="00F615B8" w:rsidP="00D21A8A">
      <w:pPr>
        <w:suppressAutoHyphens/>
        <w:rPr>
          <w:lang w:eastAsia="ru-RU"/>
        </w:rPr>
      </w:pPr>
    </w:p>
    <w:p w14:paraId="43379757" w14:textId="77777777" w:rsidR="00F615B8" w:rsidRDefault="00F615B8" w:rsidP="00D21A8A">
      <w:pPr>
        <w:suppressAutoHyphens/>
        <w:rPr>
          <w:lang w:eastAsia="ru-RU"/>
        </w:rPr>
      </w:pPr>
    </w:p>
    <w:p w14:paraId="46B5CB55" w14:textId="77777777" w:rsidR="005F11BD" w:rsidRPr="00B74E1D" w:rsidRDefault="00265082" w:rsidP="001E1EA0">
      <w:pPr>
        <w:tabs>
          <w:tab w:val="left" w:pos="0"/>
        </w:tabs>
        <w:jc w:val="both"/>
        <w:rPr>
          <w:sz w:val="22"/>
          <w:szCs w:val="22"/>
          <w:lang w:eastAsia="ru-RU"/>
        </w:rPr>
      </w:pPr>
      <w:r>
        <w:rPr>
          <w:sz w:val="22"/>
          <w:szCs w:val="22"/>
          <w:lang w:eastAsia="ru-RU"/>
        </w:rPr>
        <w:t xml:space="preserve">Gusts </w:t>
      </w:r>
      <w:r w:rsidR="009C36C3">
        <w:rPr>
          <w:sz w:val="22"/>
          <w:szCs w:val="22"/>
          <w:lang w:eastAsia="ru-RU"/>
        </w:rPr>
        <w:t>Sproģis</w:t>
      </w:r>
      <w:r w:rsidR="00B16445" w:rsidRPr="00B74E1D">
        <w:rPr>
          <w:sz w:val="22"/>
          <w:szCs w:val="22"/>
          <w:lang w:eastAsia="ru-RU"/>
        </w:rPr>
        <w:t>,</w:t>
      </w:r>
      <w:r w:rsidR="00B10692">
        <w:rPr>
          <w:sz w:val="22"/>
          <w:szCs w:val="22"/>
          <w:lang w:eastAsia="ru-RU"/>
        </w:rPr>
        <w:t xml:space="preserve"> </w:t>
      </w:r>
      <w:r w:rsidR="005F11BD" w:rsidRPr="00B74E1D">
        <w:rPr>
          <w:sz w:val="22"/>
          <w:szCs w:val="22"/>
          <w:lang w:eastAsia="ru-RU"/>
        </w:rPr>
        <w:t>670</w:t>
      </w:r>
      <w:r w:rsidR="009C36C3">
        <w:rPr>
          <w:sz w:val="22"/>
          <w:szCs w:val="22"/>
          <w:lang w:eastAsia="ru-RU"/>
        </w:rPr>
        <w:t>13113</w:t>
      </w:r>
    </w:p>
    <w:p w14:paraId="474656D7" w14:textId="77777777" w:rsidR="005F11BD" w:rsidRPr="00B74E1D" w:rsidRDefault="009C36C3" w:rsidP="001E1EA0">
      <w:pPr>
        <w:tabs>
          <w:tab w:val="left" w:pos="0"/>
        </w:tabs>
        <w:jc w:val="both"/>
        <w:rPr>
          <w:sz w:val="22"/>
          <w:szCs w:val="22"/>
          <w:lang w:eastAsia="ru-RU"/>
        </w:rPr>
      </w:pPr>
      <w:r>
        <w:rPr>
          <w:sz w:val="22"/>
          <w:szCs w:val="22"/>
          <w:lang w:eastAsia="ru-RU"/>
        </w:rPr>
        <w:t>Gusts</w:t>
      </w:r>
      <w:r w:rsidR="005F11BD" w:rsidRPr="00B74E1D">
        <w:rPr>
          <w:sz w:val="22"/>
          <w:szCs w:val="22"/>
          <w:lang w:eastAsia="ru-RU"/>
        </w:rPr>
        <w:t>.</w:t>
      </w:r>
      <w:r>
        <w:rPr>
          <w:sz w:val="22"/>
          <w:szCs w:val="22"/>
          <w:lang w:eastAsia="ru-RU"/>
        </w:rPr>
        <w:t>Sprogis</w:t>
      </w:r>
      <w:r w:rsidR="005F11BD" w:rsidRPr="00B74E1D">
        <w:rPr>
          <w:sz w:val="22"/>
          <w:szCs w:val="22"/>
          <w:lang w:eastAsia="ru-RU"/>
        </w:rPr>
        <w:t>@</w:t>
      </w:r>
      <w:r>
        <w:rPr>
          <w:sz w:val="22"/>
          <w:szCs w:val="22"/>
          <w:lang w:eastAsia="ru-RU"/>
        </w:rPr>
        <w:t>em</w:t>
      </w:r>
      <w:r w:rsidR="005F11BD" w:rsidRPr="00B74E1D">
        <w:rPr>
          <w:sz w:val="22"/>
          <w:szCs w:val="22"/>
          <w:lang w:eastAsia="ru-RU"/>
        </w:rPr>
        <w:t>.gov.lv</w:t>
      </w:r>
    </w:p>
    <w:sectPr w:rsidR="005F11BD" w:rsidRPr="00B74E1D" w:rsidSect="009C36C3">
      <w:headerReference w:type="default" r:id="rId8"/>
      <w:footerReference w:type="defaul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8ED8" w14:textId="77777777" w:rsidR="00AE3272" w:rsidRDefault="00AE3272">
      <w:r>
        <w:separator/>
      </w:r>
    </w:p>
  </w:endnote>
  <w:endnote w:type="continuationSeparator" w:id="0">
    <w:p w14:paraId="22A537E8" w14:textId="77777777" w:rsidR="00AE3272" w:rsidRDefault="00AE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9283E" w14:textId="26030482" w:rsidR="00616F28" w:rsidRPr="009C36C3" w:rsidRDefault="00616F28" w:rsidP="009C36C3">
    <w:pPr>
      <w:pStyle w:val="Footer"/>
    </w:pPr>
    <w:r>
      <w:rPr>
        <w:sz w:val="20"/>
        <w:szCs w:val="20"/>
      </w:rPr>
      <w:fldChar w:fldCharType="begin"/>
    </w:r>
    <w:r>
      <w:rPr>
        <w:sz w:val="20"/>
        <w:szCs w:val="20"/>
      </w:rPr>
      <w:instrText xml:space="preserve"> FILENAME   \* MERGEFORMAT </w:instrText>
    </w:r>
    <w:r>
      <w:rPr>
        <w:sz w:val="20"/>
        <w:szCs w:val="20"/>
      </w:rPr>
      <w:fldChar w:fldCharType="separate"/>
    </w:r>
    <w:r w:rsidR="00680163">
      <w:rPr>
        <w:noProof/>
        <w:sz w:val="20"/>
        <w:szCs w:val="20"/>
      </w:rPr>
      <w:t>EMAnot_270219_Buvkom_klas.docx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9EC4" w14:textId="64443663" w:rsidR="00616F28" w:rsidRDefault="00616F28">
    <w:pPr>
      <w:pStyle w:val="Footer"/>
    </w:pPr>
    <w:r>
      <w:rPr>
        <w:sz w:val="20"/>
        <w:szCs w:val="20"/>
      </w:rPr>
      <w:fldChar w:fldCharType="begin"/>
    </w:r>
    <w:r>
      <w:rPr>
        <w:sz w:val="20"/>
        <w:szCs w:val="20"/>
      </w:rPr>
      <w:instrText xml:space="preserve"> FILENAME   \* MERGEFORMAT </w:instrText>
    </w:r>
    <w:r>
      <w:rPr>
        <w:sz w:val="20"/>
        <w:szCs w:val="20"/>
      </w:rPr>
      <w:fldChar w:fldCharType="separate"/>
    </w:r>
    <w:r w:rsidR="003D3B05">
      <w:rPr>
        <w:noProof/>
        <w:sz w:val="20"/>
        <w:szCs w:val="20"/>
      </w:rPr>
      <w:t>EMAnot_131218_buvspec.docx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401DA" w14:textId="77777777" w:rsidR="00AE3272" w:rsidRDefault="00AE3272">
      <w:r>
        <w:separator/>
      </w:r>
    </w:p>
  </w:footnote>
  <w:footnote w:type="continuationSeparator" w:id="0">
    <w:p w14:paraId="525FD5E6" w14:textId="77777777" w:rsidR="00AE3272" w:rsidRDefault="00AE3272">
      <w:r>
        <w:continuationSeparator/>
      </w:r>
    </w:p>
  </w:footnote>
  <w:footnote w:id="1">
    <w:p w14:paraId="3F6F5F7A" w14:textId="5A4475CE" w:rsidR="00CA2FFC" w:rsidRDefault="00CA2FFC">
      <w:pPr>
        <w:pStyle w:val="FootnoteText"/>
      </w:pPr>
      <w:r>
        <w:rPr>
          <w:rStyle w:val="FootnoteReference"/>
        </w:rPr>
        <w:footnoteRef/>
      </w:r>
      <w:r>
        <w:t xml:space="preserve"> </w:t>
      </w:r>
      <w:r w:rsidRPr="009201C6">
        <w:t>https://em.gov.lv/lv/par_ministriju/sabiedribas_lidzdaliba/diskusiju_dokumenti/buvniecibas_politika/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06116"/>
      <w:docPartObj>
        <w:docPartGallery w:val="Page Numbers (Top of Page)"/>
        <w:docPartUnique/>
      </w:docPartObj>
    </w:sdtPr>
    <w:sdtEndPr>
      <w:rPr>
        <w:noProof/>
      </w:rPr>
    </w:sdtEndPr>
    <w:sdtContent>
      <w:p w14:paraId="65BF56FA" w14:textId="77777777" w:rsidR="00616F28" w:rsidRDefault="00616F28">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14:paraId="7878AFC6" w14:textId="77777777" w:rsidR="00616F28" w:rsidRDefault="00616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C260506E">
      <w:start w:val="5"/>
      <w:numFmt w:val="decimal"/>
      <w:lvlText w:val="%1."/>
      <w:lvlJc w:val="left"/>
      <w:pPr>
        <w:ind w:left="720" w:hanging="360"/>
      </w:pPr>
      <w:rPr>
        <w:rFonts w:hint="default"/>
      </w:rPr>
    </w:lvl>
    <w:lvl w:ilvl="1" w:tplc="DCD44D44" w:tentative="1">
      <w:start w:val="1"/>
      <w:numFmt w:val="lowerLetter"/>
      <w:lvlText w:val="%2."/>
      <w:lvlJc w:val="left"/>
      <w:pPr>
        <w:ind w:left="1440" w:hanging="360"/>
      </w:pPr>
    </w:lvl>
    <w:lvl w:ilvl="2" w:tplc="93F804A2" w:tentative="1">
      <w:start w:val="1"/>
      <w:numFmt w:val="lowerRoman"/>
      <w:lvlText w:val="%3."/>
      <w:lvlJc w:val="right"/>
      <w:pPr>
        <w:ind w:left="2160" w:hanging="180"/>
      </w:pPr>
    </w:lvl>
    <w:lvl w:ilvl="3" w:tplc="3E70AC7E" w:tentative="1">
      <w:start w:val="1"/>
      <w:numFmt w:val="decimal"/>
      <w:lvlText w:val="%4."/>
      <w:lvlJc w:val="left"/>
      <w:pPr>
        <w:ind w:left="2880" w:hanging="360"/>
      </w:pPr>
    </w:lvl>
    <w:lvl w:ilvl="4" w:tplc="F774CC66" w:tentative="1">
      <w:start w:val="1"/>
      <w:numFmt w:val="lowerLetter"/>
      <w:lvlText w:val="%5."/>
      <w:lvlJc w:val="left"/>
      <w:pPr>
        <w:ind w:left="3600" w:hanging="360"/>
      </w:pPr>
    </w:lvl>
    <w:lvl w:ilvl="5" w:tplc="1F9278C0" w:tentative="1">
      <w:start w:val="1"/>
      <w:numFmt w:val="lowerRoman"/>
      <w:lvlText w:val="%6."/>
      <w:lvlJc w:val="right"/>
      <w:pPr>
        <w:ind w:left="4320" w:hanging="180"/>
      </w:pPr>
    </w:lvl>
    <w:lvl w:ilvl="6" w:tplc="E2D6AF6E" w:tentative="1">
      <w:start w:val="1"/>
      <w:numFmt w:val="decimal"/>
      <w:lvlText w:val="%7."/>
      <w:lvlJc w:val="left"/>
      <w:pPr>
        <w:ind w:left="5040" w:hanging="360"/>
      </w:pPr>
    </w:lvl>
    <w:lvl w:ilvl="7" w:tplc="82CE87A8" w:tentative="1">
      <w:start w:val="1"/>
      <w:numFmt w:val="lowerLetter"/>
      <w:lvlText w:val="%8."/>
      <w:lvlJc w:val="left"/>
      <w:pPr>
        <w:ind w:left="5760" w:hanging="360"/>
      </w:pPr>
    </w:lvl>
    <w:lvl w:ilvl="8" w:tplc="D18A5972"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27CC44AC">
      <w:start w:val="2017"/>
      <w:numFmt w:val="bullet"/>
      <w:lvlText w:val="-"/>
      <w:lvlJc w:val="left"/>
      <w:pPr>
        <w:ind w:left="720" w:hanging="360"/>
      </w:pPr>
      <w:rPr>
        <w:rFonts w:ascii="Times New Roman" w:eastAsia="Calibri" w:hAnsi="Times New Roman" w:cs="Times New Roman" w:hint="default"/>
      </w:rPr>
    </w:lvl>
    <w:lvl w:ilvl="1" w:tplc="E8663C76" w:tentative="1">
      <w:start w:val="1"/>
      <w:numFmt w:val="bullet"/>
      <w:lvlText w:val="o"/>
      <w:lvlJc w:val="left"/>
      <w:pPr>
        <w:ind w:left="1440" w:hanging="360"/>
      </w:pPr>
      <w:rPr>
        <w:rFonts w:ascii="Courier New" w:hAnsi="Courier New" w:cs="Courier New" w:hint="default"/>
      </w:rPr>
    </w:lvl>
    <w:lvl w:ilvl="2" w:tplc="E7B23C02" w:tentative="1">
      <w:start w:val="1"/>
      <w:numFmt w:val="bullet"/>
      <w:lvlText w:val=""/>
      <w:lvlJc w:val="left"/>
      <w:pPr>
        <w:ind w:left="2160" w:hanging="360"/>
      </w:pPr>
      <w:rPr>
        <w:rFonts w:ascii="Wingdings" w:hAnsi="Wingdings" w:hint="default"/>
      </w:rPr>
    </w:lvl>
    <w:lvl w:ilvl="3" w:tplc="77EC0BC0" w:tentative="1">
      <w:start w:val="1"/>
      <w:numFmt w:val="bullet"/>
      <w:lvlText w:val=""/>
      <w:lvlJc w:val="left"/>
      <w:pPr>
        <w:ind w:left="2880" w:hanging="360"/>
      </w:pPr>
      <w:rPr>
        <w:rFonts w:ascii="Symbol" w:hAnsi="Symbol" w:hint="default"/>
      </w:rPr>
    </w:lvl>
    <w:lvl w:ilvl="4" w:tplc="481EFCC6" w:tentative="1">
      <w:start w:val="1"/>
      <w:numFmt w:val="bullet"/>
      <w:lvlText w:val="o"/>
      <w:lvlJc w:val="left"/>
      <w:pPr>
        <w:ind w:left="3600" w:hanging="360"/>
      </w:pPr>
      <w:rPr>
        <w:rFonts w:ascii="Courier New" w:hAnsi="Courier New" w:cs="Courier New" w:hint="default"/>
      </w:rPr>
    </w:lvl>
    <w:lvl w:ilvl="5" w:tplc="BEEA9D4C" w:tentative="1">
      <w:start w:val="1"/>
      <w:numFmt w:val="bullet"/>
      <w:lvlText w:val=""/>
      <w:lvlJc w:val="left"/>
      <w:pPr>
        <w:ind w:left="4320" w:hanging="360"/>
      </w:pPr>
      <w:rPr>
        <w:rFonts w:ascii="Wingdings" w:hAnsi="Wingdings" w:hint="default"/>
      </w:rPr>
    </w:lvl>
    <w:lvl w:ilvl="6" w:tplc="1BE6B7C8" w:tentative="1">
      <w:start w:val="1"/>
      <w:numFmt w:val="bullet"/>
      <w:lvlText w:val=""/>
      <w:lvlJc w:val="left"/>
      <w:pPr>
        <w:ind w:left="5040" w:hanging="360"/>
      </w:pPr>
      <w:rPr>
        <w:rFonts w:ascii="Symbol" w:hAnsi="Symbol" w:hint="default"/>
      </w:rPr>
    </w:lvl>
    <w:lvl w:ilvl="7" w:tplc="E4B45FE0" w:tentative="1">
      <w:start w:val="1"/>
      <w:numFmt w:val="bullet"/>
      <w:lvlText w:val="o"/>
      <w:lvlJc w:val="left"/>
      <w:pPr>
        <w:ind w:left="5760" w:hanging="360"/>
      </w:pPr>
      <w:rPr>
        <w:rFonts w:ascii="Courier New" w:hAnsi="Courier New" w:cs="Courier New" w:hint="default"/>
      </w:rPr>
    </w:lvl>
    <w:lvl w:ilvl="8" w:tplc="85EC4ECC"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192AC6AA">
      <w:start w:val="5"/>
      <w:numFmt w:val="decimal"/>
      <w:lvlText w:val="%1."/>
      <w:lvlJc w:val="left"/>
      <w:pPr>
        <w:ind w:left="1085" w:hanging="360"/>
      </w:pPr>
      <w:rPr>
        <w:rFonts w:hint="default"/>
      </w:rPr>
    </w:lvl>
    <w:lvl w:ilvl="1" w:tplc="FA2AAFFA" w:tentative="1">
      <w:start w:val="1"/>
      <w:numFmt w:val="lowerLetter"/>
      <w:lvlText w:val="%2."/>
      <w:lvlJc w:val="left"/>
      <w:pPr>
        <w:ind w:left="1805" w:hanging="360"/>
      </w:pPr>
    </w:lvl>
    <w:lvl w:ilvl="2" w:tplc="8E249ECE" w:tentative="1">
      <w:start w:val="1"/>
      <w:numFmt w:val="lowerRoman"/>
      <w:lvlText w:val="%3."/>
      <w:lvlJc w:val="right"/>
      <w:pPr>
        <w:ind w:left="2525" w:hanging="180"/>
      </w:pPr>
    </w:lvl>
    <w:lvl w:ilvl="3" w:tplc="D96A6FBC" w:tentative="1">
      <w:start w:val="1"/>
      <w:numFmt w:val="decimal"/>
      <w:lvlText w:val="%4."/>
      <w:lvlJc w:val="left"/>
      <w:pPr>
        <w:ind w:left="3245" w:hanging="360"/>
      </w:pPr>
    </w:lvl>
    <w:lvl w:ilvl="4" w:tplc="ECF4E748" w:tentative="1">
      <w:start w:val="1"/>
      <w:numFmt w:val="lowerLetter"/>
      <w:lvlText w:val="%5."/>
      <w:lvlJc w:val="left"/>
      <w:pPr>
        <w:ind w:left="3965" w:hanging="360"/>
      </w:pPr>
    </w:lvl>
    <w:lvl w:ilvl="5" w:tplc="75387F44" w:tentative="1">
      <w:start w:val="1"/>
      <w:numFmt w:val="lowerRoman"/>
      <w:lvlText w:val="%6."/>
      <w:lvlJc w:val="right"/>
      <w:pPr>
        <w:ind w:left="4685" w:hanging="180"/>
      </w:pPr>
    </w:lvl>
    <w:lvl w:ilvl="6" w:tplc="B16899BE" w:tentative="1">
      <w:start w:val="1"/>
      <w:numFmt w:val="decimal"/>
      <w:lvlText w:val="%7."/>
      <w:lvlJc w:val="left"/>
      <w:pPr>
        <w:ind w:left="5405" w:hanging="360"/>
      </w:pPr>
    </w:lvl>
    <w:lvl w:ilvl="7" w:tplc="A574047E" w:tentative="1">
      <w:start w:val="1"/>
      <w:numFmt w:val="lowerLetter"/>
      <w:lvlText w:val="%8."/>
      <w:lvlJc w:val="left"/>
      <w:pPr>
        <w:ind w:left="6125" w:hanging="360"/>
      </w:pPr>
    </w:lvl>
    <w:lvl w:ilvl="8" w:tplc="C69AAA52" w:tentative="1">
      <w:start w:val="1"/>
      <w:numFmt w:val="lowerRoman"/>
      <w:lvlText w:val="%9."/>
      <w:lvlJc w:val="right"/>
      <w:pPr>
        <w:ind w:left="6845" w:hanging="180"/>
      </w:pPr>
    </w:lvl>
  </w:abstractNum>
  <w:abstractNum w:abstractNumId="4" w15:restartNumberingAfterBreak="0">
    <w:nsid w:val="079D4137"/>
    <w:multiLevelType w:val="hybridMultilevel"/>
    <w:tmpl w:val="076C3DA2"/>
    <w:lvl w:ilvl="0" w:tplc="5B82EC2C">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0">
    <w:nsid w:val="0B3E7A27"/>
    <w:multiLevelType w:val="hybridMultilevel"/>
    <w:tmpl w:val="2A38F9B0"/>
    <w:lvl w:ilvl="0" w:tplc="EA4AB4FE">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6" w15:restartNumberingAfterBreak="0">
    <w:nsid w:val="18D562AE"/>
    <w:multiLevelType w:val="hybridMultilevel"/>
    <w:tmpl w:val="A11AF16C"/>
    <w:lvl w:ilvl="0" w:tplc="84E6FBBA">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7" w15:restartNumberingAfterBreak="0">
    <w:nsid w:val="1FB33D36"/>
    <w:multiLevelType w:val="hybridMultilevel"/>
    <w:tmpl w:val="2A38F9B0"/>
    <w:lvl w:ilvl="0" w:tplc="EA4AB4FE">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8" w15:restartNumberingAfterBreak="1">
    <w:nsid w:val="26400F92"/>
    <w:multiLevelType w:val="hybridMultilevel"/>
    <w:tmpl w:val="E7EA9052"/>
    <w:lvl w:ilvl="0" w:tplc="3A94899A">
      <w:start w:val="1"/>
      <w:numFmt w:val="bullet"/>
      <w:lvlText w:val=""/>
      <w:lvlJc w:val="left"/>
      <w:pPr>
        <w:ind w:left="1123" w:hanging="360"/>
      </w:pPr>
      <w:rPr>
        <w:rFonts w:ascii="Symbol" w:hAnsi="Symbol" w:hint="default"/>
      </w:rPr>
    </w:lvl>
    <w:lvl w:ilvl="1" w:tplc="4406F168" w:tentative="1">
      <w:start w:val="1"/>
      <w:numFmt w:val="bullet"/>
      <w:lvlText w:val="o"/>
      <w:lvlJc w:val="left"/>
      <w:pPr>
        <w:ind w:left="1843" w:hanging="360"/>
      </w:pPr>
      <w:rPr>
        <w:rFonts w:ascii="Courier New" w:hAnsi="Courier New" w:cs="Courier New" w:hint="default"/>
      </w:rPr>
    </w:lvl>
    <w:lvl w:ilvl="2" w:tplc="EA208A00" w:tentative="1">
      <w:start w:val="1"/>
      <w:numFmt w:val="bullet"/>
      <w:lvlText w:val=""/>
      <w:lvlJc w:val="left"/>
      <w:pPr>
        <w:ind w:left="2563" w:hanging="360"/>
      </w:pPr>
      <w:rPr>
        <w:rFonts w:ascii="Wingdings" w:hAnsi="Wingdings" w:hint="default"/>
      </w:rPr>
    </w:lvl>
    <w:lvl w:ilvl="3" w:tplc="C0B67BC4" w:tentative="1">
      <w:start w:val="1"/>
      <w:numFmt w:val="bullet"/>
      <w:lvlText w:val=""/>
      <w:lvlJc w:val="left"/>
      <w:pPr>
        <w:ind w:left="3283" w:hanging="360"/>
      </w:pPr>
      <w:rPr>
        <w:rFonts w:ascii="Symbol" w:hAnsi="Symbol" w:hint="default"/>
      </w:rPr>
    </w:lvl>
    <w:lvl w:ilvl="4" w:tplc="85F81238" w:tentative="1">
      <w:start w:val="1"/>
      <w:numFmt w:val="bullet"/>
      <w:lvlText w:val="o"/>
      <w:lvlJc w:val="left"/>
      <w:pPr>
        <w:ind w:left="4003" w:hanging="360"/>
      </w:pPr>
      <w:rPr>
        <w:rFonts w:ascii="Courier New" w:hAnsi="Courier New" w:cs="Courier New" w:hint="default"/>
      </w:rPr>
    </w:lvl>
    <w:lvl w:ilvl="5" w:tplc="6C86D200" w:tentative="1">
      <w:start w:val="1"/>
      <w:numFmt w:val="bullet"/>
      <w:lvlText w:val=""/>
      <w:lvlJc w:val="left"/>
      <w:pPr>
        <w:ind w:left="4723" w:hanging="360"/>
      </w:pPr>
      <w:rPr>
        <w:rFonts w:ascii="Wingdings" w:hAnsi="Wingdings" w:hint="default"/>
      </w:rPr>
    </w:lvl>
    <w:lvl w:ilvl="6" w:tplc="D764CB56" w:tentative="1">
      <w:start w:val="1"/>
      <w:numFmt w:val="bullet"/>
      <w:lvlText w:val=""/>
      <w:lvlJc w:val="left"/>
      <w:pPr>
        <w:ind w:left="5443" w:hanging="360"/>
      </w:pPr>
      <w:rPr>
        <w:rFonts w:ascii="Symbol" w:hAnsi="Symbol" w:hint="default"/>
      </w:rPr>
    </w:lvl>
    <w:lvl w:ilvl="7" w:tplc="37122DD2" w:tentative="1">
      <w:start w:val="1"/>
      <w:numFmt w:val="bullet"/>
      <w:lvlText w:val="o"/>
      <w:lvlJc w:val="left"/>
      <w:pPr>
        <w:ind w:left="6163" w:hanging="360"/>
      </w:pPr>
      <w:rPr>
        <w:rFonts w:ascii="Courier New" w:hAnsi="Courier New" w:cs="Courier New" w:hint="default"/>
      </w:rPr>
    </w:lvl>
    <w:lvl w:ilvl="8" w:tplc="40FEDC06" w:tentative="1">
      <w:start w:val="1"/>
      <w:numFmt w:val="bullet"/>
      <w:lvlText w:val=""/>
      <w:lvlJc w:val="left"/>
      <w:pPr>
        <w:ind w:left="6883" w:hanging="360"/>
      </w:pPr>
      <w:rPr>
        <w:rFonts w:ascii="Wingdings" w:hAnsi="Wingdings" w:hint="default"/>
      </w:rPr>
    </w:lvl>
  </w:abstractNum>
  <w:abstractNum w:abstractNumId="9" w15:restartNumberingAfterBreak="1">
    <w:nsid w:val="29805287"/>
    <w:multiLevelType w:val="hybridMultilevel"/>
    <w:tmpl w:val="286880CC"/>
    <w:lvl w:ilvl="0" w:tplc="B538D89C">
      <w:start w:val="5"/>
      <w:numFmt w:val="decimal"/>
      <w:lvlText w:val="%1."/>
      <w:lvlJc w:val="left"/>
      <w:pPr>
        <w:ind w:left="1445" w:hanging="360"/>
      </w:pPr>
      <w:rPr>
        <w:rFonts w:hint="default"/>
      </w:rPr>
    </w:lvl>
    <w:lvl w:ilvl="1" w:tplc="8188C9AE" w:tentative="1">
      <w:start w:val="1"/>
      <w:numFmt w:val="lowerLetter"/>
      <w:lvlText w:val="%2."/>
      <w:lvlJc w:val="left"/>
      <w:pPr>
        <w:ind w:left="2165" w:hanging="360"/>
      </w:pPr>
    </w:lvl>
    <w:lvl w:ilvl="2" w:tplc="BBC0526A" w:tentative="1">
      <w:start w:val="1"/>
      <w:numFmt w:val="lowerRoman"/>
      <w:lvlText w:val="%3."/>
      <w:lvlJc w:val="right"/>
      <w:pPr>
        <w:ind w:left="2885" w:hanging="180"/>
      </w:pPr>
    </w:lvl>
    <w:lvl w:ilvl="3" w:tplc="3C0AAC78" w:tentative="1">
      <w:start w:val="1"/>
      <w:numFmt w:val="decimal"/>
      <w:lvlText w:val="%4."/>
      <w:lvlJc w:val="left"/>
      <w:pPr>
        <w:ind w:left="3605" w:hanging="360"/>
      </w:pPr>
    </w:lvl>
    <w:lvl w:ilvl="4" w:tplc="253A69C8" w:tentative="1">
      <w:start w:val="1"/>
      <w:numFmt w:val="lowerLetter"/>
      <w:lvlText w:val="%5."/>
      <w:lvlJc w:val="left"/>
      <w:pPr>
        <w:ind w:left="4325" w:hanging="360"/>
      </w:pPr>
    </w:lvl>
    <w:lvl w:ilvl="5" w:tplc="82CEBB2E" w:tentative="1">
      <w:start w:val="1"/>
      <w:numFmt w:val="lowerRoman"/>
      <w:lvlText w:val="%6."/>
      <w:lvlJc w:val="right"/>
      <w:pPr>
        <w:ind w:left="5045" w:hanging="180"/>
      </w:pPr>
    </w:lvl>
    <w:lvl w:ilvl="6" w:tplc="5EE4D63C" w:tentative="1">
      <w:start w:val="1"/>
      <w:numFmt w:val="decimal"/>
      <w:lvlText w:val="%7."/>
      <w:lvlJc w:val="left"/>
      <w:pPr>
        <w:ind w:left="5765" w:hanging="360"/>
      </w:pPr>
    </w:lvl>
    <w:lvl w:ilvl="7" w:tplc="5A9A1CF6" w:tentative="1">
      <w:start w:val="1"/>
      <w:numFmt w:val="lowerLetter"/>
      <w:lvlText w:val="%8."/>
      <w:lvlJc w:val="left"/>
      <w:pPr>
        <w:ind w:left="6485" w:hanging="360"/>
      </w:pPr>
    </w:lvl>
    <w:lvl w:ilvl="8" w:tplc="629EB37E" w:tentative="1">
      <w:start w:val="1"/>
      <w:numFmt w:val="lowerRoman"/>
      <w:lvlText w:val="%9."/>
      <w:lvlJc w:val="right"/>
      <w:pPr>
        <w:ind w:left="7205" w:hanging="180"/>
      </w:pPr>
    </w:lvl>
  </w:abstractNum>
  <w:abstractNum w:abstractNumId="10" w15:restartNumberingAfterBreak="0">
    <w:nsid w:val="2EFE70B3"/>
    <w:multiLevelType w:val="hybridMultilevel"/>
    <w:tmpl w:val="88629B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A87C32"/>
    <w:multiLevelType w:val="hybridMultilevel"/>
    <w:tmpl w:val="3DDEF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40B46FDD"/>
    <w:multiLevelType w:val="hybridMultilevel"/>
    <w:tmpl w:val="A61ADA3E"/>
    <w:lvl w:ilvl="0" w:tplc="77B6F4F4">
      <w:start w:val="1"/>
      <w:numFmt w:val="decimal"/>
      <w:lvlText w:val="%1)"/>
      <w:lvlJc w:val="left"/>
      <w:pPr>
        <w:ind w:left="792" w:hanging="564"/>
      </w:pPr>
      <w:rPr>
        <w:rFonts w:ascii="Times New Roman" w:eastAsia="Times New Roman" w:hAnsi="Times New Roman" w:cs="Times New Roman"/>
      </w:rPr>
    </w:lvl>
    <w:lvl w:ilvl="1" w:tplc="FDFAF4B6" w:tentative="1">
      <w:start w:val="1"/>
      <w:numFmt w:val="lowerLetter"/>
      <w:lvlText w:val="%2."/>
      <w:lvlJc w:val="left"/>
      <w:pPr>
        <w:ind w:left="1308" w:hanging="360"/>
      </w:pPr>
    </w:lvl>
    <w:lvl w:ilvl="2" w:tplc="A64A156A" w:tentative="1">
      <w:start w:val="1"/>
      <w:numFmt w:val="lowerRoman"/>
      <w:lvlText w:val="%3."/>
      <w:lvlJc w:val="right"/>
      <w:pPr>
        <w:ind w:left="2028" w:hanging="180"/>
      </w:pPr>
    </w:lvl>
    <w:lvl w:ilvl="3" w:tplc="0A6C1864" w:tentative="1">
      <w:start w:val="1"/>
      <w:numFmt w:val="decimal"/>
      <w:lvlText w:val="%4."/>
      <w:lvlJc w:val="left"/>
      <w:pPr>
        <w:ind w:left="2748" w:hanging="360"/>
      </w:pPr>
    </w:lvl>
    <w:lvl w:ilvl="4" w:tplc="1CF43622" w:tentative="1">
      <w:start w:val="1"/>
      <w:numFmt w:val="lowerLetter"/>
      <w:lvlText w:val="%5."/>
      <w:lvlJc w:val="left"/>
      <w:pPr>
        <w:ind w:left="3468" w:hanging="360"/>
      </w:pPr>
    </w:lvl>
    <w:lvl w:ilvl="5" w:tplc="361C2E30" w:tentative="1">
      <w:start w:val="1"/>
      <w:numFmt w:val="lowerRoman"/>
      <w:lvlText w:val="%6."/>
      <w:lvlJc w:val="right"/>
      <w:pPr>
        <w:ind w:left="4188" w:hanging="180"/>
      </w:pPr>
    </w:lvl>
    <w:lvl w:ilvl="6" w:tplc="4FDE83B6" w:tentative="1">
      <w:start w:val="1"/>
      <w:numFmt w:val="decimal"/>
      <w:lvlText w:val="%7."/>
      <w:lvlJc w:val="left"/>
      <w:pPr>
        <w:ind w:left="4908" w:hanging="360"/>
      </w:pPr>
    </w:lvl>
    <w:lvl w:ilvl="7" w:tplc="6EAE8692" w:tentative="1">
      <w:start w:val="1"/>
      <w:numFmt w:val="lowerLetter"/>
      <w:lvlText w:val="%8."/>
      <w:lvlJc w:val="left"/>
      <w:pPr>
        <w:ind w:left="5628" w:hanging="360"/>
      </w:pPr>
    </w:lvl>
    <w:lvl w:ilvl="8" w:tplc="0AC6A9DC" w:tentative="1">
      <w:start w:val="1"/>
      <w:numFmt w:val="lowerRoman"/>
      <w:lvlText w:val="%9."/>
      <w:lvlJc w:val="right"/>
      <w:pPr>
        <w:ind w:left="6348" w:hanging="180"/>
      </w:pPr>
    </w:lvl>
  </w:abstractNum>
  <w:abstractNum w:abstractNumId="13" w15:restartNumberingAfterBreak="1">
    <w:nsid w:val="476525E6"/>
    <w:multiLevelType w:val="hybridMultilevel"/>
    <w:tmpl w:val="8C948B0C"/>
    <w:lvl w:ilvl="0" w:tplc="C08C51EA">
      <w:numFmt w:val="bullet"/>
      <w:lvlText w:val="-"/>
      <w:lvlJc w:val="left"/>
      <w:pPr>
        <w:ind w:left="720" w:hanging="360"/>
      </w:pPr>
      <w:rPr>
        <w:rFonts w:ascii="Cambria" w:eastAsia="Times New Roman" w:hAnsi="Cambria" w:cs="Times New Roman" w:hint="default"/>
      </w:rPr>
    </w:lvl>
    <w:lvl w:ilvl="1" w:tplc="E932BE46" w:tentative="1">
      <w:start w:val="1"/>
      <w:numFmt w:val="bullet"/>
      <w:lvlText w:val="o"/>
      <w:lvlJc w:val="left"/>
      <w:pPr>
        <w:ind w:left="1440" w:hanging="360"/>
      </w:pPr>
      <w:rPr>
        <w:rFonts w:ascii="Courier New" w:hAnsi="Courier New" w:cs="Courier New" w:hint="default"/>
      </w:rPr>
    </w:lvl>
    <w:lvl w:ilvl="2" w:tplc="1F5E9CF8" w:tentative="1">
      <w:start w:val="1"/>
      <w:numFmt w:val="bullet"/>
      <w:lvlText w:val=""/>
      <w:lvlJc w:val="left"/>
      <w:pPr>
        <w:ind w:left="2160" w:hanging="360"/>
      </w:pPr>
      <w:rPr>
        <w:rFonts w:ascii="Wingdings" w:hAnsi="Wingdings" w:hint="default"/>
      </w:rPr>
    </w:lvl>
    <w:lvl w:ilvl="3" w:tplc="424CDA84" w:tentative="1">
      <w:start w:val="1"/>
      <w:numFmt w:val="bullet"/>
      <w:lvlText w:val=""/>
      <w:lvlJc w:val="left"/>
      <w:pPr>
        <w:ind w:left="2880" w:hanging="360"/>
      </w:pPr>
      <w:rPr>
        <w:rFonts w:ascii="Symbol" w:hAnsi="Symbol" w:hint="default"/>
      </w:rPr>
    </w:lvl>
    <w:lvl w:ilvl="4" w:tplc="7CF4376C" w:tentative="1">
      <w:start w:val="1"/>
      <w:numFmt w:val="bullet"/>
      <w:lvlText w:val="o"/>
      <w:lvlJc w:val="left"/>
      <w:pPr>
        <w:ind w:left="3600" w:hanging="360"/>
      </w:pPr>
      <w:rPr>
        <w:rFonts w:ascii="Courier New" w:hAnsi="Courier New" w:cs="Courier New" w:hint="default"/>
      </w:rPr>
    </w:lvl>
    <w:lvl w:ilvl="5" w:tplc="90629F98" w:tentative="1">
      <w:start w:val="1"/>
      <w:numFmt w:val="bullet"/>
      <w:lvlText w:val=""/>
      <w:lvlJc w:val="left"/>
      <w:pPr>
        <w:ind w:left="4320" w:hanging="360"/>
      </w:pPr>
      <w:rPr>
        <w:rFonts w:ascii="Wingdings" w:hAnsi="Wingdings" w:hint="default"/>
      </w:rPr>
    </w:lvl>
    <w:lvl w:ilvl="6" w:tplc="F8AA4AA4" w:tentative="1">
      <w:start w:val="1"/>
      <w:numFmt w:val="bullet"/>
      <w:lvlText w:val=""/>
      <w:lvlJc w:val="left"/>
      <w:pPr>
        <w:ind w:left="5040" w:hanging="360"/>
      </w:pPr>
      <w:rPr>
        <w:rFonts w:ascii="Symbol" w:hAnsi="Symbol" w:hint="default"/>
      </w:rPr>
    </w:lvl>
    <w:lvl w:ilvl="7" w:tplc="F212286A" w:tentative="1">
      <w:start w:val="1"/>
      <w:numFmt w:val="bullet"/>
      <w:lvlText w:val="o"/>
      <w:lvlJc w:val="left"/>
      <w:pPr>
        <w:ind w:left="5760" w:hanging="360"/>
      </w:pPr>
      <w:rPr>
        <w:rFonts w:ascii="Courier New" w:hAnsi="Courier New" w:cs="Courier New" w:hint="default"/>
      </w:rPr>
    </w:lvl>
    <w:lvl w:ilvl="8" w:tplc="B1242E40" w:tentative="1">
      <w:start w:val="1"/>
      <w:numFmt w:val="bullet"/>
      <w:lvlText w:val=""/>
      <w:lvlJc w:val="left"/>
      <w:pPr>
        <w:ind w:left="6480" w:hanging="360"/>
      </w:pPr>
      <w:rPr>
        <w:rFonts w:ascii="Wingdings" w:hAnsi="Wingdings" w:hint="default"/>
      </w:rPr>
    </w:lvl>
  </w:abstractNum>
  <w:abstractNum w:abstractNumId="14" w15:restartNumberingAfterBreak="1">
    <w:nsid w:val="49B56C57"/>
    <w:multiLevelType w:val="hybridMultilevel"/>
    <w:tmpl w:val="7D4072AE"/>
    <w:lvl w:ilvl="0" w:tplc="AB045316">
      <w:start w:val="1"/>
      <w:numFmt w:val="decimal"/>
      <w:lvlText w:val="%1)"/>
      <w:lvlJc w:val="left"/>
      <w:pPr>
        <w:ind w:left="620" w:hanging="360"/>
      </w:pPr>
      <w:rPr>
        <w:rFonts w:hint="default"/>
      </w:rPr>
    </w:lvl>
    <w:lvl w:ilvl="1" w:tplc="D6BA2854" w:tentative="1">
      <w:start w:val="1"/>
      <w:numFmt w:val="lowerLetter"/>
      <w:lvlText w:val="%2."/>
      <w:lvlJc w:val="left"/>
      <w:pPr>
        <w:ind w:left="1340" w:hanging="360"/>
      </w:pPr>
    </w:lvl>
    <w:lvl w:ilvl="2" w:tplc="9B2C9156" w:tentative="1">
      <w:start w:val="1"/>
      <w:numFmt w:val="lowerRoman"/>
      <w:lvlText w:val="%3."/>
      <w:lvlJc w:val="right"/>
      <w:pPr>
        <w:ind w:left="2060" w:hanging="180"/>
      </w:pPr>
    </w:lvl>
    <w:lvl w:ilvl="3" w:tplc="15ACA88E" w:tentative="1">
      <w:start w:val="1"/>
      <w:numFmt w:val="decimal"/>
      <w:lvlText w:val="%4."/>
      <w:lvlJc w:val="left"/>
      <w:pPr>
        <w:ind w:left="2780" w:hanging="360"/>
      </w:pPr>
    </w:lvl>
    <w:lvl w:ilvl="4" w:tplc="C7A0FE2E" w:tentative="1">
      <w:start w:val="1"/>
      <w:numFmt w:val="lowerLetter"/>
      <w:lvlText w:val="%5."/>
      <w:lvlJc w:val="left"/>
      <w:pPr>
        <w:ind w:left="3500" w:hanging="360"/>
      </w:pPr>
    </w:lvl>
    <w:lvl w:ilvl="5" w:tplc="C1F8C3AC" w:tentative="1">
      <w:start w:val="1"/>
      <w:numFmt w:val="lowerRoman"/>
      <w:lvlText w:val="%6."/>
      <w:lvlJc w:val="right"/>
      <w:pPr>
        <w:ind w:left="4220" w:hanging="180"/>
      </w:pPr>
    </w:lvl>
    <w:lvl w:ilvl="6" w:tplc="37504E0E" w:tentative="1">
      <w:start w:val="1"/>
      <w:numFmt w:val="decimal"/>
      <w:lvlText w:val="%7."/>
      <w:lvlJc w:val="left"/>
      <w:pPr>
        <w:ind w:left="4940" w:hanging="360"/>
      </w:pPr>
    </w:lvl>
    <w:lvl w:ilvl="7" w:tplc="C6F41B92" w:tentative="1">
      <w:start w:val="1"/>
      <w:numFmt w:val="lowerLetter"/>
      <w:lvlText w:val="%8."/>
      <w:lvlJc w:val="left"/>
      <w:pPr>
        <w:ind w:left="5660" w:hanging="360"/>
      </w:pPr>
    </w:lvl>
    <w:lvl w:ilvl="8" w:tplc="F3663A52" w:tentative="1">
      <w:start w:val="1"/>
      <w:numFmt w:val="lowerRoman"/>
      <w:lvlText w:val="%9."/>
      <w:lvlJc w:val="right"/>
      <w:pPr>
        <w:ind w:left="6380" w:hanging="180"/>
      </w:pPr>
    </w:lvl>
  </w:abstractNum>
  <w:abstractNum w:abstractNumId="15" w15:restartNumberingAfterBreak="1">
    <w:nsid w:val="566B07A4"/>
    <w:multiLevelType w:val="hybridMultilevel"/>
    <w:tmpl w:val="05F83E5C"/>
    <w:lvl w:ilvl="0" w:tplc="5D620298">
      <w:start w:val="1"/>
      <w:numFmt w:val="decimal"/>
      <w:lvlText w:val="%1)"/>
      <w:lvlJc w:val="left"/>
      <w:pPr>
        <w:ind w:left="720" w:hanging="360"/>
      </w:pPr>
      <w:rPr>
        <w:rFonts w:hint="default"/>
      </w:rPr>
    </w:lvl>
    <w:lvl w:ilvl="1" w:tplc="E5B023A4" w:tentative="1">
      <w:start w:val="1"/>
      <w:numFmt w:val="lowerLetter"/>
      <w:lvlText w:val="%2."/>
      <w:lvlJc w:val="left"/>
      <w:pPr>
        <w:ind w:left="1440" w:hanging="360"/>
      </w:pPr>
    </w:lvl>
    <w:lvl w:ilvl="2" w:tplc="93AA6DCE" w:tentative="1">
      <w:start w:val="1"/>
      <w:numFmt w:val="lowerRoman"/>
      <w:lvlText w:val="%3."/>
      <w:lvlJc w:val="right"/>
      <w:pPr>
        <w:ind w:left="2160" w:hanging="180"/>
      </w:pPr>
    </w:lvl>
    <w:lvl w:ilvl="3" w:tplc="D3646302" w:tentative="1">
      <w:start w:val="1"/>
      <w:numFmt w:val="decimal"/>
      <w:lvlText w:val="%4."/>
      <w:lvlJc w:val="left"/>
      <w:pPr>
        <w:ind w:left="2880" w:hanging="360"/>
      </w:pPr>
    </w:lvl>
    <w:lvl w:ilvl="4" w:tplc="BAC21416" w:tentative="1">
      <w:start w:val="1"/>
      <w:numFmt w:val="lowerLetter"/>
      <w:lvlText w:val="%5."/>
      <w:lvlJc w:val="left"/>
      <w:pPr>
        <w:ind w:left="3600" w:hanging="360"/>
      </w:pPr>
    </w:lvl>
    <w:lvl w:ilvl="5" w:tplc="1856117E" w:tentative="1">
      <w:start w:val="1"/>
      <w:numFmt w:val="lowerRoman"/>
      <w:lvlText w:val="%6."/>
      <w:lvlJc w:val="right"/>
      <w:pPr>
        <w:ind w:left="4320" w:hanging="180"/>
      </w:pPr>
    </w:lvl>
    <w:lvl w:ilvl="6" w:tplc="87647E2C" w:tentative="1">
      <w:start w:val="1"/>
      <w:numFmt w:val="decimal"/>
      <w:lvlText w:val="%7."/>
      <w:lvlJc w:val="left"/>
      <w:pPr>
        <w:ind w:left="5040" w:hanging="360"/>
      </w:pPr>
    </w:lvl>
    <w:lvl w:ilvl="7" w:tplc="E3468178" w:tentative="1">
      <w:start w:val="1"/>
      <w:numFmt w:val="lowerLetter"/>
      <w:lvlText w:val="%8."/>
      <w:lvlJc w:val="left"/>
      <w:pPr>
        <w:ind w:left="5760" w:hanging="360"/>
      </w:pPr>
    </w:lvl>
    <w:lvl w:ilvl="8" w:tplc="45D20246" w:tentative="1">
      <w:start w:val="1"/>
      <w:numFmt w:val="lowerRoman"/>
      <w:lvlText w:val="%9."/>
      <w:lvlJc w:val="right"/>
      <w:pPr>
        <w:ind w:left="6480" w:hanging="180"/>
      </w:pPr>
    </w:lvl>
  </w:abstractNum>
  <w:abstractNum w:abstractNumId="16" w15:restartNumberingAfterBreak="0">
    <w:nsid w:val="5E094FE5"/>
    <w:multiLevelType w:val="hybridMultilevel"/>
    <w:tmpl w:val="1E286A20"/>
    <w:lvl w:ilvl="0" w:tplc="4290E24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1">
    <w:nsid w:val="66447E4B"/>
    <w:multiLevelType w:val="hybridMultilevel"/>
    <w:tmpl w:val="9CCCD376"/>
    <w:lvl w:ilvl="0" w:tplc="096CD25C">
      <w:start w:val="3"/>
      <w:numFmt w:val="bullet"/>
      <w:lvlText w:val="-"/>
      <w:lvlJc w:val="left"/>
      <w:pPr>
        <w:ind w:left="720" w:hanging="360"/>
      </w:pPr>
      <w:rPr>
        <w:rFonts w:ascii="Times New Roman" w:eastAsia="Times New Roman" w:hAnsi="Times New Roman" w:cs="Times New Roman" w:hint="default"/>
      </w:rPr>
    </w:lvl>
    <w:lvl w:ilvl="1" w:tplc="C29459CE" w:tentative="1">
      <w:start w:val="1"/>
      <w:numFmt w:val="bullet"/>
      <w:lvlText w:val="o"/>
      <w:lvlJc w:val="left"/>
      <w:pPr>
        <w:ind w:left="1440" w:hanging="360"/>
      </w:pPr>
      <w:rPr>
        <w:rFonts w:ascii="Courier New" w:hAnsi="Courier New" w:cs="Courier New" w:hint="default"/>
      </w:rPr>
    </w:lvl>
    <w:lvl w:ilvl="2" w:tplc="C256EE36" w:tentative="1">
      <w:start w:val="1"/>
      <w:numFmt w:val="bullet"/>
      <w:lvlText w:val=""/>
      <w:lvlJc w:val="left"/>
      <w:pPr>
        <w:ind w:left="2160" w:hanging="360"/>
      </w:pPr>
      <w:rPr>
        <w:rFonts w:ascii="Wingdings" w:hAnsi="Wingdings" w:hint="default"/>
      </w:rPr>
    </w:lvl>
    <w:lvl w:ilvl="3" w:tplc="27F67C52" w:tentative="1">
      <w:start w:val="1"/>
      <w:numFmt w:val="bullet"/>
      <w:lvlText w:val=""/>
      <w:lvlJc w:val="left"/>
      <w:pPr>
        <w:ind w:left="2880" w:hanging="360"/>
      </w:pPr>
      <w:rPr>
        <w:rFonts w:ascii="Symbol" w:hAnsi="Symbol" w:hint="default"/>
      </w:rPr>
    </w:lvl>
    <w:lvl w:ilvl="4" w:tplc="E05CACD4" w:tentative="1">
      <w:start w:val="1"/>
      <w:numFmt w:val="bullet"/>
      <w:lvlText w:val="o"/>
      <w:lvlJc w:val="left"/>
      <w:pPr>
        <w:ind w:left="3600" w:hanging="360"/>
      </w:pPr>
      <w:rPr>
        <w:rFonts w:ascii="Courier New" w:hAnsi="Courier New" w:cs="Courier New" w:hint="default"/>
      </w:rPr>
    </w:lvl>
    <w:lvl w:ilvl="5" w:tplc="C6B45EA2" w:tentative="1">
      <w:start w:val="1"/>
      <w:numFmt w:val="bullet"/>
      <w:lvlText w:val=""/>
      <w:lvlJc w:val="left"/>
      <w:pPr>
        <w:ind w:left="4320" w:hanging="360"/>
      </w:pPr>
      <w:rPr>
        <w:rFonts w:ascii="Wingdings" w:hAnsi="Wingdings" w:hint="default"/>
      </w:rPr>
    </w:lvl>
    <w:lvl w:ilvl="6" w:tplc="D75C642A" w:tentative="1">
      <w:start w:val="1"/>
      <w:numFmt w:val="bullet"/>
      <w:lvlText w:val=""/>
      <w:lvlJc w:val="left"/>
      <w:pPr>
        <w:ind w:left="5040" w:hanging="360"/>
      </w:pPr>
      <w:rPr>
        <w:rFonts w:ascii="Symbol" w:hAnsi="Symbol" w:hint="default"/>
      </w:rPr>
    </w:lvl>
    <w:lvl w:ilvl="7" w:tplc="2084B648" w:tentative="1">
      <w:start w:val="1"/>
      <w:numFmt w:val="bullet"/>
      <w:lvlText w:val="o"/>
      <w:lvlJc w:val="left"/>
      <w:pPr>
        <w:ind w:left="5760" w:hanging="360"/>
      </w:pPr>
      <w:rPr>
        <w:rFonts w:ascii="Courier New" w:hAnsi="Courier New" w:cs="Courier New" w:hint="default"/>
      </w:rPr>
    </w:lvl>
    <w:lvl w:ilvl="8" w:tplc="90C8BFF8" w:tentative="1">
      <w:start w:val="1"/>
      <w:numFmt w:val="bullet"/>
      <w:lvlText w:val=""/>
      <w:lvlJc w:val="left"/>
      <w:pPr>
        <w:ind w:left="6480" w:hanging="360"/>
      </w:pPr>
      <w:rPr>
        <w:rFonts w:ascii="Wingdings" w:hAnsi="Wingdings" w:hint="default"/>
      </w:rPr>
    </w:lvl>
  </w:abstractNum>
  <w:abstractNum w:abstractNumId="18" w15:restartNumberingAfterBreak="1">
    <w:nsid w:val="6A633696"/>
    <w:multiLevelType w:val="hybridMultilevel"/>
    <w:tmpl w:val="258AA82C"/>
    <w:lvl w:ilvl="0" w:tplc="07023CA8">
      <w:start w:val="5"/>
      <w:numFmt w:val="decimal"/>
      <w:lvlText w:val="%1."/>
      <w:lvlJc w:val="left"/>
      <w:pPr>
        <w:ind w:left="1445" w:hanging="360"/>
      </w:pPr>
      <w:rPr>
        <w:rFonts w:hint="default"/>
      </w:rPr>
    </w:lvl>
    <w:lvl w:ilvl="1" w:tplc="7DD82BB2" w:tentative="1">
      <w:start w:val="1"/>
      <w:numFmt w:val="lowerLetter"/>
      <w:lvlText w:val="%2."/>
      <w:lvlJc w:val="left"/>
      <w:pPr>
        <w:ind w:left="2165" w:hanging="360"/>
      </w:pPr>
    </w:lvl>
    <w:lvl w:ilvl="2" w:tplc="B5588AE4" w:tentative="1">
      <w:start w:val="1"/>
      <w:numFmt w:val="lowerRoman"/>
      <w:lvlText w:val="%3."/>
      <w:lvlJc w:val="right"/>
      <w:pPr>
        <w:ind w:left="2885" w:hanging="180"/>
      </w:pPr>
    </w:lvl>
    <w:lvl w:ilvl="3" w:tplc="B0AA0C8E" w:tentative="1">
      <w:start w:val="1"/>
      <w:numFmt w:val="decimal"/>
      <w:lvlText w:val="%4."/>
      <w:lvlJc w:val="left"/>
      <w:pPr>
        <w:ind w:left="3605" w:hanging="360"/>
      </w:pPr>
    </w:lvl>
    <w:lvl w:ilvl="4" w:tplc="E858052A" w:tentative="1">
      <w:start w:val="1"/>
      <w:numFmt w:val="lowerLetter"/>
      <w:lvlText w:val="%5."/>
      <w:lvlJc w:val="left"/>
      <w:pPr>
        <w:ind w:left="4325" w:hanging="360"/>
      </w:pPr>
    </w:lvl>
    <w:lvl w:ilvl="5" w:tplc="73D64F34" w:tentative="1">
      <w:start w:val="1"/>
      <w:numFmt w:val="lowerRoman"/>
      <w:lvlText w:val="%6."/>
      <w:lvlJc w:val="right"/>
      <w:pPr>
        <w:ind w:left="5045" w:hanging="180"/>
      </w:pPr>
    </w:lvl>
    <w:lvl w:ilvl="6" w:tplc="EF72A410" w:tentative="1">
      <w:start w:val="1"/>
      <w:numFmt w:val="decimal"/>
      <w:lvlText w:val="%7."/>
      <w:lvlJc w:val="left"/>
      <w:pPr>
        <w:ind w:left="5765" w:hanging="360"/>
      </w:pPr>
    </w:lvl>
    <w:lvl w:ilvl="7" w:tplc="627CC9C2" w:tentative="1">
      <w:start w:val="1"/>
      <w:numFmt w:val="lowerLetter"/>
      <w:lvlText w:val="%8."/>
      <w:lvlJc w:val="left"/>
      <w:pPr>
        <w:ind w:left="6485" w:hanging="360"/>
      </w:pPr>
    </w:lvl>
    <w:lvl w:ilvl="8" w:tplc="BF42BB6E" w:tentative="1">
      <w:start w:val="1"/>
      <w:numFmt w:val="lowerRoman"/>
      <w:lvlText w:val="%9."/>
      <w:lvlJc w:val="right"/>
      <w:pPr>
        <w:ind w:left="7205" w:hanging="180"/>
      </w:pPr>
    </w:lvl>
  </w:abstractNum>
  <w:abstractNum w:abstractNumId="19" w15:restartNumberingAfterBreak="1">
    <w:nsid w:val="6EAE4CDB"/>
    <w:multiLevelType w:val="hybridMultilevel"/>
    <w:tmpl w:val="BCFED5A0"/>
    <w:lvl w:ilvl="0" w:tplc="54E65364">
      <w:start w:val="1"/>
      <w:numFmt w:val="decimal"/>
      <w:lvlText w:val="%1)"/>
      <w:lvlJc w:val="left"/>
      <w:pPr>
        <w:ind w:left="620" w:hanging="360"/>
      </w:pPr>
      <w:rPr>
        <w:rFonts w:hint="default"/>
      </w:rPr>
    </w:lvl>
    <w:lvl w:ilvl="1" w:tplc="BD4C8740" w:tentative="1">
      <w:start w:val="1"/>
      <w:numFmt w:val="lowerLetter"/>
      <w:lvlText w:val="%2."/>
      <w:lvlJc w:val="left"/>
      <w:pPr>
        <w:ind w:left="1340" w:hanging="360"/>
      </w:pPr>
    </w:lvl>
    <w:lvl w:ilvl="2" w:tplc="32542156" w:tentative="1">
      <w:start w:val="1"/>
      <w:numFmt w:val="lowerRoman"/>
      <w:lvlText w:val="%3."/>
      <w:lvlJc w:val="right"/>
      <w:pPr>
        <w:ind w:left="2060" w:hanging="180"/>
      </w:pPr>
    </w:lvl>
    <w:lvl w:ilvl="3" w:tplc="456EF7B2" w:tentative="1">
      <w:start w:val="1"/>
      <w:numFmt w:val="decimal"/>
      <w:lvlText w:val="%4."/>
      <w:lvlJc w:val="left"/>
      <w:pPr>
        <w:ind w:left="2780" w:hanging="360"/>
      </w:pPr>
    </w:lvl>
    <w:lvl w:ilvl="4" w:tplc="2C1231D4" w:tentative="1">
      <w:start w:val="1"/>
      <w:numFmt w:val="lowerLetter"/>
      <w:lvlText w:val="%5."/>
      <w:lvlJc w:val="left"/>
      <w:pPr>
        <w:ind w:left="3500" w:hanging="360"/>
      </w:pPr>
    </w:lvl>
    <w:lvl w:ilvl="5" w:tplc="F7D44C28" w:tentative="1">
      <w:start w:val="1"/>
      <w:numFmt w:val="lowerRoman"/>
      <w:lvlText w:val="%6."/>
      <w:lvlJc w:val="right"/>
      <w:pPr>
        <w:ind w:left="4220" w:hanging="180"/>
      </w:pPr>
    </w:lvl>
    <w:lvl w:ilvl="6" w:tplc="F3DCC7EA" w:tentative="1">
      <w:start w:val="1"/>
      <w:numFmt w:val="decimal"/>
      <w:lvlText w:val="%7."/>
      <w:lvlJc w:val="left"/>
      <w:pPr>
        <w:ind w:left="4940" w:hanging="360"/>
      </w:pPr>
    </w:lvl>
    <w:lvl w:ilvl="7" w:tplc="173A89CA" w:tentative="1">
      <w:start w:val="1"/>
      <w:numFmt w:val="lowerLetter"/>
      <w:lvlText w:val="%8."/>
      <w:lvlJc w:val="left"/>
      <w:pPr>
        <w:ind w:left="5660" w:hanging="360"/>
      </w:pPr>
    </w:lvl>
    <w:lvl w:ilvl="8" w:tplc="7B5E320A" w:tentative="1">
      <w:start w:val="1"/>
      <w:numFmt w:val="lowerRoman"/>
      <w:lvlText w:val="%9."/>
      <w:lvlJc w:val="right"/>
      <w:pPr>
        <w:ind w:left="6380" w:hanging="180"/>
      </w:pPr>
    </w:lvl>
  </w:abstractNum>
  <w:abstractNum w:abstractNumId="20" w15:restartNumberingAfterBreak="0">
    <w:nsid w:val="6EE879A2"/>
    <w:multiLevelType w:val="hybridMultilevel"/>
    <w:tmpl w:val="1EA891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AE7AE5"/>
    <w:multiLevelType w:val="hybridMultilevel"/>
    <w:tmpl w:val="3DFEAF6C"/>
    <w:lvl w:ilvl="0" w:tplc="AC42FF6A">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2" w15:restartNumberingAfterBreak="1">
    <w:nsid w:val="72D94001"/>
    <w:multiLevelType w:val="hybridMultilevel"/>
    <w:tmpl w:val="2EACC2A8"/>
    <w:lvl w:ilvl="0" w:tplc="4082104A">
      <w:start w:val="1"/>
      <w:numFmt w:val="decimal"/>
      <w:lvlText w:val="%1."/>
      <w:lvlJc w:val="left"/>
      <w:pPr>
        <w:ind w:left="1085" w:hanging="360"/>
      </w:pPr>
      <w:rPr>
        <w:rFonts w:hint="default"/>
      </w:rPr>
    </w:lvl>
    <w:lvl w:ilvl="1" w:tplc="54BADBFC" w:tentative="1">
      <w:start w:val="1"/>
      <w:numFmt w:val="lowerLetter"/>
      <w:lvlText w:val="%2."/>
      <w:lvlJc w:val="left"/>
      <w:pPr>
        <w:ind w:left="1805" w:hanging="360"/>
      </w:pPr>
    </w:lvl>
    <w:lvl w:ilvl="2" w:tplc="CD443B8E" w:tentative="1">
      <w:start w:val="1"/>
      <w:numFmt w:val="lowerRoman"/>
      <w:lvlText w:val="%3."/>
      <w:lvlJc w:val="right"/>
      <w:pPr>
        <w:ind w:left="2525" w:hanging="180"/>
      </w:pPr>
    </w:lvl>
    <w:lvl w:ilvl="3" w:tplc="1D325E74" w:tentative="1">
      <w:start w:val="1"/>
      <w:numFmt w:val="decimal"/>
      <w:lvlText w:val="%4."/>
      <w:lvlJc w:val="left"/>
      <w:pPr>
        <w:ind w:left="3245" w:hanging="360"/>
      </w:pPr>
    </w:lvl>
    <w:lvl w:ilvl="4" w:tplc="FA8EE76A" w:tentative="1">
      <w:start w:val="1"/>
      <w:numFmt w:val="lowerLetter"/>
      <w:lvlText w:val="%5."/>
      <w:lvlJc w:val="left"/>
      <w:pPr>
        <w:ind w:left="3965" w:hanging="360"/>
      </w:pPr>
    </w:lvl>
    <w:lvl w:ilvl="5" w:tplc="94A88A7E" w:tentative="1">
      <w:start w:val="1"/>
      <w:numFmt w:val="lowerRoman"/>
      <w:lvlText w:val="%6."/>
      <w:lvlJc w:val="right"/>
      <w:pPr>
        <w:ind w:left="4685" w:hanging="180"/>
      </w:pPr>
    </w:lvl>
    <w:lvl w:ilvl="6" w:tplc="63FC3A12" w:tentative="1">
      <w:start w:val="1"/>
      <w:numFmt w:val="decimal"/>
      <w:lvlText w:val="%7."/>
      <w:lvlJc w:val="left"/>
      <w:pPr>
        <w:ind w:left="5405" w:hanging="360"/>
      </w:pPr>
    </w:lvl>
    <w:lvl w:ilvl="7" w:tplc="452AA806" w:tentative="1">
      <w:start w:val="1"/>
      <w:numFmt w:val="lowerLetter"/>
      <w:lvlText w:val="%8."/>
      <w:lvlJc w:val="left"/>
      <w:pPr>
        <w:ind w:left="6125" w:hanging="360"/>
      </w:pPr>
    </w:lvl>
    <w:lvl w:ilvl="8" w:tplc="5C5E11B6" w:tentative="1">
      <w:start w:val="1"/>
      <w:numFmt w:val="lowerRoman"/>
      <w:lvlText w:val="%9."/>
      <w:lvlJc w:val="right"/>
      <w:pPr>
        <w:ind w:left="6845" w:hanging="180"/>
      </w:pPr>
    </w:lvl>
  </w:abstractNum>
  <w:abstractNum w:abstractNumId="23" w15:restartNumberingAfterBreak="0">
    <w:nsid w:val="7B931034"/>
    <w:multiLevelType w:val="hybridMultilevel"/>
    <w:tmpl w:val="7E70226E"/>
    <w:lvl w:ilvl="0" w:tplc="27CC44AC">
      <w:start w:val="2017"/>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22"/>
  </w:num>
  <w:num w:numId="3">
    <w:abstractNumId w:val="14"/>
  </w:num>
  <w:num w:numId="4">
    <w:abstractNumId w:val="19"/>
  </w:num>
  <w:num w:numId="5">
    <w:abstractNumId w:val="8"/>
  </w:num>
  <w:num w:numId="6">
    <w:abstractNumId w:val="13"/>
  </w:num>
  <w:num w:numId="7">
    <w:abstractNumId w:val="3"/>
  </w:num>
  <w:num w:numId="8">
    <w:abstractNumId w:val="1"/>
  </w:num>
  <w:num w:numId="9">
    <w:abstractNumId w:val="18"/>
  </w:num>
  <w:num w:numId="10">
    <w:abstractNumId w:val="9"/>
  </w:num>
  <w:num w:numId="11">
    <w:abstractNumId w:val="17"/>
  </w:num>
  <w:num w:numId="12">
    <w:abstractNumId w:val="12"/>
  </w:num>
  <w:num w:numId="13">
    <w:abstractNumId w:val="15"/>
  </w:num>
  <w:num w:numId="14">
    <w:abstractNumId w:val="0"/>
  </w:num>
  <w:num w:numId="15">
    <w:abstractNumId w:val="23"/>
  </w:num>
  <w:num w:numId="16">
    <w:abstractNumId w:val="20"/>
  </w:num>
  <w:num w:numId="17">
    <w:abstractNumId w:val="16"/>
  </w:num>
  <w:num w:numId="18">
    <w:abstractNumId w:val="4"/>
  </w:num>
  <w:num w:numId="19">
    <w:abstractNumId w:val="5"/>
  </w:num>
  <w:num w:numId="20">
    <w:abstractNumId w:val="11"/>
  </w:num>
  <w:num w:numId="21">
    <w:abstractNumId w:val="10"/>
  </w:num>
  <w:num w:numId="22">
    <w:abstractNumId w:val="7"/>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3A7"/>
    <w:rsid w:val="00003B47"/>
    <w:rsid w:val="00003D69"/>
    <w:rsid w:val="0000686F"/>
    <w:rsid w:val="00007ED6"/>
    <w:rsid w:val="00011689"/>
    <w:rsid w:val="00012352"/>
    <w:rsid w:val="00013E9A"/>
    <w:rsid w:val="000166DF"/>
    <w:rsid w:val="00021740"/>
    <w:rsid w:val="000259BE"/>
    <w:rsid w:val="0002705C"/>
    <w:rsid w:val="00031364"/>
    <w:rsid w:val="0003391E"/>
    <w:rsid w:val="000347D8"/>
    <w:rsid w:val="00037A92"/>
    <w:rsid w:val="00047406"/>
    <w:rsid w:val="00050DBE"/>
    <w:rsid w:val="00052657"/>
    <w:rsid w:val="00055C4A"/>
    <w:rsid w:val="0005630E"/>
    <w:rsid w:val="00060F24"/>
    <w:rsid w:val="00061012"/>
    <w:rsid w:val="00063446"/>
    <w:rsid w:val="00064AFF"/>
    <w:rsid w:val="000754B3"/>
    <w:rsid w:val="0007674D"/>
    <w:rsid w:val="00076CC8"/>
    <w:rsid w:val="00080441"/>
    <w:rsid w:val="0008718F"/>
    <w:rsid w:val="00087451"/>
    <w:rsid w:val="00087587"/>
    <w:rsid w:val="00087AE9"/>
    <w:rsid w:val="00087DC4"/>
    <w:rsid w:val="0009085E"/>
    <w:rsid w:val="000957C6"/>
    <w:rsid w:val="000A09D0"/>
    <w:rsid w:val="000A7D26"/>
    <w:rsid w:val="000B4DC5"/>
    <w:rsid w:val="000B4EFE"/>
    <w:rsid w:val="000C1448"/>
    <w:rsid w:val="000C44E4"/>
    <w:rsid w:val="000C4D2D"/>
    <w:rsid w:val="000C78E6"/>
    <w:rsid w:val="000E056E"/>
    <w:rsid w:val="000E1B3E"/>
    <w:rsid w:val="000E34A9"/>
    <w:rsid w:val="000E5940"/>
    <w:rsid w:val="000E7589"/>
    <w:rsid w:val="000F5102"/>
    <w:rsid w:val="000F5F54"/>
    <w:rsid w:val="00101937"/>
    <w:rsid w:val="00103620"/>
    <w:rsid w:val="00106E39"/>
    <w:rsid w:val="00106F94"/>
    <w:rsid w:val="00111311"/>
    <w:rsid w:val="001114A8"/>
    <w:rsid w:val="0011301A"/>
    <w:rsid w:val="00113C64"/>
    <w:rsid w:val="00114640"/>
    <w:rsid w:val="00123B02"/>
    <w:rsid w:val="00125F9F"/>
    <w:rsid w:val="00141CFF"/>
    <w:rsid w:val="00141DD2"/>
    <w:rsid w:val="0014402C"/>
    <w:rsid w:val="0014506D"/>
    <w:rsid w:val="001470F1"/>
    <w:rsid w:val="00155D7A"/>
    <w:rsid w:val="00156487"/>
    <w:rsid w:val="00156750"/>
    <w:rsid w:val="0015794D"/>
    <w:rsid w:val="0016015E"/>
    <w:rsid w:val="00161647"/>
    <w:rsid w:val="00164017"/>
    <w:rsid w:val="00170B58"/>
    <w:rsid w:val="00171C87"/>
    <w:rsid w:val="00173588"/>
    <w:rsid w:val="00175F3C"/>
    <w:rsid w:val="00177449"/>
    <w:rsid w:val="0018035F"/>
    <w:rsid w:val="001806C5"/>
    <w:rsid w:val="001807BB"/>
    <w:rsid w:val="00193E5B"/>
    <w:rsid w:val="0019633A"/>
    <w:rsid w:val="001971C1"/>
    <w:rsid w:val="001A012E"/>
    <w:rsid w:val="001B50DA"/>
    <w:rsid w:val="001C05E2"/>
    <w:rsid w:val="001C45AC"/>
    <w:rsid w:val="001D04D6"/>
    <w:rsid w:val="001D1D0E"/>
    <w:rsid w:val="001D4F44"/>
    <w:rsid w:val="001E1344"/>
    <w:rsid w:val="001E1EA0"/>
    <w:rsid w:val="001E665C"/>
    <w:rsid w:val="001F0223"/>
    <w:rsid w:val="001F02B7"/>
    <w:rsid w:val="001F3847"/>
    <w:rsid w:val="001F490F"/>
    <w:rsid w:val="001F5971"/>
    <w:rsid w:val="001F6499"/>
    <w:rsid w:val="00200D60"/>
    <w:rsid w:val="0020255C"/>
    <w:rsid w:val="0020771F"/>
    <w:rsid w:val="00211BFD"/>
    <w:rsid w:val="002130EC"/>
    <w:rsid w:val="002160E3"/>
    <w:rsid w:val="00217FD6"/>
    <w:rsid w:val="002201BC"/>
    <w:rsid w:val="00224FF8"/>
    <w:rsid w:val="002261F1"/>
    <w:rsid w:val="00227120"/>
    <w:rsid w:val="0023250E"/>
    <w:rsid w:val="0024179D"/>
    <w:rsid w:val="00241D60"/>
    <w:rsid w:val="0024208E"/>
    <w:rsid w:val="002426C7"/>
    <w:rsid w:val="00243B72"/>
    <w:rsid w:val="002450F0"/>
    <w:rsid w:val="00247D4A"/>
    <w:rsid w:val="00251C35"/>
    <w:rsid w:val="00254A5D"/>
    <w:rsid w:val="002574E6"/>
    <w:rsid w:val="00261913"/>
    <w:rsid w:val="00262845"/>
    <w:rsid w:val="00265082"/>
    <w:rsid w:val="002655AC"/>
    <w:rsid w:val="00270BD5"/>
    <w:rsid w:val="00275418"/>
    <w:rsid w:val="00281BA3"/>
    <w:rsid w:val="00286E77"/>
    <w:rsid w:val="00286F08"/>
    <w:rsid w:val="00293120"/>
    <w:rsid w:val="002960B7"/>
    <w:rsid w:val="002972A4"/>
    <w:rsid w:val="002A234A"/>
    <w:rsid w:val="002A6382"/>
    <w:rsid w:val="002B05BA"/>
    <w:rsid w:val="002B4723"/>
    <w:rsid w:val="002C0ACD"/>
    <w:rsid w:val="002C4F8F"/>
    <w:rsid w:val="002C527E"/>
    <w:rsid w:val="002C55BD"/>
    <w:rsid w:val="002C56BC"/>
    <w:rsid w:val="002C7259"/>
    <w:rsid w:val="002C78A0"/>
    <w:rsid w:val="002D67D8"/>
    <w:rsid w:val="002D7166"/>
    <w:rsid w:val="002E13B4"/>
    <w:rsid w:val="002E264C"/>
    <w:rsid w:val="002E5A95"/>
    <w:rsid w:val="002F0979"/>
    <w:rsid w:val="002F1D71"/>
    <w:rsid w:val="002F1F46"/>
    <w:rsid w:val="002F4B13"/>
    <w:rsid w:val="002F52E2"/>
    <w:rsid w:val="002F6CDE"/>
    <w:rsid w:val="002F7C2D"/>
    <w:rsid w:val="00301726"/>
    <w:rsid w:val="003046D3"/>
    <w:rsid w:val="00305144"/>
    <w:rsid w:val="00305FDF"/>
    <w:rsid w:val="00306CA0"/>
    <w:rsid w:val="003162A1"/>
    <w:rsid w:val="003173E5"/>
    <w:rsid w:val="003222F8"/>
    <w:rsid w:val="003272CB"/>
    <w:rsid w:val="00327B93"/>
    <w:rsid w:val="00330B03"/>
    <w:rsid w:val="00330E50"/>
    <w:rsid w:val="003317B6"/>
    <w:rsid w:val="00335A27"/>
    <w:rsid w:val="0034599E"/>
    <w:rsid w:val="00345D02"/>
    <w:rsid w:val="00346C0D"/>
    <w:rsid w:val="00347A07"/>
    <w:rsid w:val="00347EFE"/>
    <w:rsid w:val="0035370B"/>
    <w:rsid w:val="00353B0B"/>
    <w:rsid w:val="0036295A"/>
    <w:rsid w:val="00367545"/>
    <w:rsid w:val="003710A0"/>
    <w:rsid w:val="00371A18"/>
    <w:rsid w:val="0037328C"/>
    <w:rsid w:val="00374554"/>
    <w:rsid w:val="00374CAD"/>
    <w:rsid w:val="00380C19"/>
    <w:rsid w:val="00391C66"/>
    <w:rsid w:val="0039261E"/>
    <w:rsid w:val="003A2C7F"/>
    <w:rsid w:val="003A5C5F"/>
    <w:rsid w:val="003A71C2"/>
    <w:rsid w:val="003B044A"/>
    <w:rsid w:val="003B1642"/>
    <w:rsid w:val="003B4B3E"/>
    <w:rsid w:val="003C3CD9"/>
    <w:rsid w:val="003C6409"/>
    <w:rsid w:val="003D1F6B"/>
    <w:rsid w:val="003D1F8A"/>
    <w:rsid w:val="003D3B05"/>
    <w:rsid w:val="003D43A3"/>
    <w:rsid w:val="003E2AB8"/>
    <w:rsid w:val="003E3107"/>
    <w:rsid w:val="003E51D8"/>
    <w:rsid w:val="003E6879"/>
    <w:rsid w:val="003E71C5"/>
    <w:rsid w:val="003F5C6E"/>
    <w:rsid w:val="003F6C14"/>
    <w:rsid w:val="004160B4"/>
    <w:rsid w:val="00417087"/>
    <w:rsid w:val="00420BDC"/>
    <w:rsid w:val="00422B12"/>
    <w:rsid w:val="00423698"/>
    <w:rsid w:val="0042698C"/>
    <w:rsid w:val="0042788B"/>
    <w:rsid w:val="00430A57"/>
    <w:rsid w:val="00432762"/>
    <w:rsid w:val="004327C5"/>
    <w:rsid w:val="004330F8"/>
    <w:rsid w:val="00435615"/>
    <w:rsid w:val="004360B2"/>
    <w:rsid w:val="00441AAA"/>
    <w:rsid w:val="0044380E"/>
    <w:rsid w:val="0044587A"/>
    <w:rsid w:val="00445996"/>
    <w:rsid w:val="00445FC9"/>
    <w:rsid w:val="004466E0"/>
    <w:rsid w:val="00446DAB"/>
    <w:rsid w:val="00447527"/>
    <w:rsid w:val="0044773F"/>
    <w:rsid w:val="0045563C"/>
    <w:rsid w:val="00466C3A"/>
    <w:rsid w:val="00470EB8"/>
    <w:rsid w:val="00471095"/>
    <w:rsid w:val="00471C87"/>
    <w:rsid w:val="00473ED4"/>
    <w:rsid w:val="00473F9D"/>
    <w:rsid w:val="00476FCD"/>
    <w:rsid w:val="00480E00"/>
    <w:rsid w:val="00485616"/>
    <w:rsid w:val="00486C08"/>
    <w:rsid w:val="00490E1B"/>
    <w:rsid w:val="00493A83"/>
    <w:rsid w:val="00497D16"/>
    <w:rsid w:val="004A1321"/>
    <w:rsid w:val="004A3238"/>
    <w:rsid w:val="004A7DCB"/>
    <w:rsid w:val="004B2D3A"/>
    <w:rsid w:val="004B4668"/>
    <w:rsid w:val="004C5DAC"/>
    <w:rsid w:val="004D5914"/>
    <w:rsid w:val="004D6765"/>
    <w:rsid w:val="004E1F8F"/>
    <w:rsid w:val="004E4DD9"/>
    <w:rsid w:val="004E638D"/>
    <w:rsid w:val="004F037B"/>
    <w:rsid w:val="004F0417"/>
    <w:rsid w:val="004F3B86"/>
    <w:rsid w:val="004F429E"/>
    <w:rsid w:val="004F6E35"/>
    <w:rsid w:val="005022C7"/>
    <w:rsid w:val="00502F05"/>
    <w:rsid w:val="0050539C"/>
    <w:rsid w:val="00506F9F"/>
    <w:rsid w:val="00511426"/>
    <w:rsid w:val="00511F5D"/>
    <w:rsid w:val="0051332D"/>
    <w:rsid w:val="00517562"/>
    <w:rsid w:val="00524F21"/>
    <w:rsid w:val="00526871"/>
    <w:rsid w:val="00526EAD"/>
    <w:rsid w:val="00534ED1"/>
    <w:rsid w:val="00544AF0"/>
    <w:rsid w:val="00550F7C"/>
    <w:rsid w:val="00555D79"/>
    <w:rsid w:val="005615CB"/>
    <w:rsid w:val="0056282E"/>
    <w:rsid w:val="00565D9D"/>
    <w:rsid w:val="00572525"/>
    <w:rsid w:val="00573BF7"/>
    <w:rsid w:val="00574881"/>
    <w:rsid w:val="005751E7"/>
    <w:rsid w:val="0057570D"/>
    <w:rsid w:val="0057649D"/>
    <w:rsid w:val="0057649F"/>
    <w:rsid w:val="00585273"/>
    <w:rsid w:val="00585498"/>
    <w:rsid w:val="00586700"/>
    <w:rsid w:val="00587D93"/>
    <w:rsid w:val="00591A19"/>
    <w:rsid w:val="00595340"/>
    <w:rsid w:val="005A1052"/>
    <w:rsid w:val="005A188F"/>
    <w:rsid w:val="005A2055"/>
    <w:rsid w:val="005A5354"/>
    <w:rsid w:val="005B38A4"/>
    <w:rsid w:val="005B3A73"/>
    <w:rsid w:val="005B3B2D"/>
    <w:rsid w:val="005B4660"/>
    <w:rsid w:val="005B49CC"/>
    <w:rsid w:val="005B5679"/>
    <w:rsid w:val="005B6391"/>
    <w:rsid w:val="005C163B"/>
    <w:rsid w:val="005C6BC0"/>
    <w:rsid w:val="005C6D85"/>
    <w:rsid w:val="005D4518"/>
    <w:rsid w:val="005D70DF"/>
    <w:rsid w:val="005D7A3E"/>
    <w:rsid w:val="005E44FE"/>
    <w:rsid w:val="005F11BD"/>
    <w:rsid w:val="005F1B3A"/>
    <w:rsid w:val="005F1CE1"/>
    <w:rsid w:val="005F2C4A"/>
    <w:rsid w:val="00600C1A"/>
    <w:rsid w:val="00604CFB"/>
    <w:rsid w:val="006078BE"/>
    <w:rsid w:val="00616F28"/>
    <w:rsid w:val="00622380"/>
    <w:rsid w:val="00630BEE"/>
    <w:rsid w:val="00637027"/>
    <w:rsid w:val="006432F9"/>
    <w:rsid w:val="00644F79"/>
    <w:rsid w:val="006460EE"/>
    <w:rsid w:val="0065011B"/>
    <w:rsid w:val="00653B64"/>
    <w:rsid w:val="006558AA"/>
    <w:rsid w:val="00656B5C"/>
    <w:rsid w:val="00662942"/>
    <w:rsid w:val="00662B82"/>
    <w:rsid w:val="0066352D"/>
    <w:rsid w:val="00664C74"/>
    <w:rsid w:val="00664D5F"/>
    <w:rsid w:val="00665AFE"/>
    <w:rsid w:val="00666600"/>
    <w:rsid w:val="00671944"/>
    <w:rsid w:val="00675275"/>
    <w:rsid w:val="00675C19"/>
    <w:rsid w:val="00680163"/>
    <w:rsid w:val="00684FFD"/>
    <w:rsid w:val="006858C4"/>
    <w:rsid w:val="00685BC8"/>
    <w:rsid w:val="00687679"/>
    <w:rsid w:val="00690B8E"/>
    <w:rsid w:val="006910CD"/>
    <w:rsid w:val="006910DA"/>
    <w:rsid w:val="00694072"/>
    <w:rsid w:val="00696552"/>
    <w:rsid w:val="006A3533"/>
    <w:rsid w:val="006A5CC6"/>
    <w:rsid w:val="006A5F9D"/>
    <w:rsid w:val="006B1C47"/>
    <w:rsid w:val="006C41A9"/>
    <w:rsid w:val="006C63BA"/>
    <w:rsid w:val="006D2EF8"/>
    <w:rsid w:val="006D68C5"/>
    <w:rsid w:val="006E2C23"/>
    <w:rsid w:val="006E35D4"/>
    <w:rsid w:val="006E44C9"/>
    <w:rsid w:val="006E7A69"/>
    <w:rsid w:val="006F11B3"/>
    <w:rsid w:val="006F1F90"/>
    <w:rsid w:val="006F23A5"/>
    <w:rsid w:val="006F5885"/>
    <w:rsid w:val="006F71EA"/>
    <w:rsid w:val="00703A01"/>
    <w:rsid w:val="00704509"/>
    <w:rsid w:val="007067FA"/>
    <w:rsid w:val="00712191"/>
    <w:rsid w:val="00714B6C"/>
    <w:rsid w:val="00715417"/>
    <w:rsid w:val="007174FD"/>
    <w:rsid w:val="00722F71"/>
    <w:rsid w:val="00725349"/>
    <w:rsid w:val="00727DB0"/>
    <w:rsid w:val="00730A4F"/>
    <w:rsid w:val="00730B3B"/>
    <w:rsid w:val="00730E45"/>
    <w:rsid w:val="00736AC1"/>
    <w:rsid w:val="00736BBC"/>
    <w:rsid w:val="007378F6"/>
    <w:rsid w:val="007401D3"/>
    <w:rsid w:val="00740602"/>
    <w:rsid w:val="00746B81"/>
    <w:rsid w:val="007506D1"/>
    <w:rsid w:val="007530CD"/>
    <w:rsid w:val="007622D5"/>
    <w:rsid w:val="00764C1C"/>
    <w:rsid w:val="00770594"/>
    <w:rsid w:val="007709EE"/>
    <w:rsid w:val="00770AC7"/>
    <w:rsid w:val="00774E4C"/>
    <w:rsid w:val="0077698E"/>
    <w:rsid w:val="00781D38"/>
    <w:rsid w:val="00784BCC"/>
    <w:rsid w:val="00793205"/>
    <w:rsid w:val="007A009D"/>
    <w:rsid w:val="007A0521"/>
    <w:rsid w:val="007A0FBA"/>
    <w:rsid w:val="007A17BF"/>
    <w:rsid w:val="007A5ECA"/>
    <w:rsid w:val="007A6C9B"/>
    <w:rsid w:val="007B3AAE"/>
    <w:rsid w:val="007C0208"/>
    <w:rsid w:val="007C0CCB"/>
    <w:rsid w:val="007C2632"/>
    <w:rsid w:val="007C37B8"/>
    <w:rsid w:val="007C3D5B"/>
    <w:rsid w:val="007C4D0D"/>
    <w:rsid w:val="007D318B"/>
    <w:rsid w:val="007D5CAB"/>
    <w:rsid w:val="007E17D3"/>
    <w:rsid w:val="007E1B0F"/>
    <w:rsid w:val="007E53DC"/>
    <w:rsid w:val="007F2330"/>
    <w:rsid w:val="007F2FF9"/>
    <w:rsid w:val="007F42E4"/>
    <w:rsid w:val="007F7FCB"/>
    <w:rsid w:val="008010CA"/>
    <w:rsid w:val="0080221D"/>
    <w:rsid w:val="00806754"/>
    <w:rsid w:val="00807D03"/>
    <w:rsid w:val="008118D9"/>
    <w:rsid w:val="00812E43"/>
    <w:rsid w:val="0081518E"/>
    <w:rsid w:val="00820521"/>
    <w:rsid w:val="00827AFD"/>
    <w:rsid w:val="00830CB0"/>
    <w:rsid w:val="00831571"/>
    <w:rsid w:val="008346BC"/>
    <w:rsid w:val="00835A27"/>
    <w:rsid w:val="00836331"/>
    <w:rsid w:val="008406CB"/>
    <w:rsid w:val="0084238D"/>
    <w:rsid w:val="0085447F"/>
    <w:rsid w:val="00854BBB"/>
    <w:rsid w:val="00857D89"/>
    <w:rsid w:val="00860FE1"/>
    <w:rsid w:val="0086369F"/>
    <w:rsid w:val="00864B18"/>
    <w:rsid w:val="008654CD"/>
    <w:rsid w:val="0087080F"/>
    <w:rsid w:val="0087237C"/>
    <w:rsid w:val="00872A5F"/>
    <w:rsid w:val="008817F9"/>
    <w:rsid w:val="00881DD7"/>
    <w:rsid w:val="008829D7"/>
    <w:rsid w:val="00882AB3"/>
    <w:rsid w:val="00882E11"/>
    <w:rsid w:val="00890A2E"/>
    <w:rsid w:val="00893527"/>
    <w:rsid w:val="008943E4"/>
    <w:rsid w:val="00894B9E"/>
    <w:rsid w:val="008A271D"/>
    <w:rsid w:val="008A2C78"/>
    <w:rsid w:val="008A3868"/>
    <w:rsid w:val="008B69B2"/>
    <w:rsid w:val="008C06A9"/>
    <w:rsid w:val="008C11FE"/>
    <w:rsid w:val="008C54F6"/>
    <w:rsid w:val="008D0205"/>
    <w:rsid w:val="008D1627"/>
    <w:rsid w:val="008D27ED"/>
    <w:rsid w:val="008D7635"/>
    <w:rsid w:val="008E20CA"/>
    <w:rsid w:val="008E2386"/>
    <w:rsid w:val="008E37E1"/>
    <w:rsid w:val="008E5D4D"/>
    <w:rsid w:val="008F30BA"/>
    <w:rsid w:val="008F53A4"/>
    <w:rsid w:val="00905240"/>
    <w:rsid w:val="009070D2"/>
    <w:rsid w:val="00910521"/>
    <w:rsid w:val="00914C95"/>
    <w:rsid w:val="00917E28"/>
    <w:rsid w:val="00921BD1"/>
    <w:rsid w:val="00922B83"/>
    <w:rsid w:val="009260F3"/>
    <w:rsid w:val="009277E1"/>
    <w:rsid w:val="00933EC4"/>
    <w:rsid w:val="00935024"/>
    <w:rsid w:val="0093683F"/>
    <w:rsid w:val="00936952"/>
    <w:rsid w:val="00941371"/>
    <w:rsid w:val="00945599"/>
    <w:rsid w:val="0094647F"/>
    <w:rsid w:val="009479F9"/>
    <w:rsid w:val="00954956"/>
    <w:rsid w:val="00955D10"/>
    <w:rsid w:val="0095692D"/>
    <w:rsid w:val="00956FC9"/>
    <w:rsid w:val="00960AFA"/>
    <w:rsid w:val="00963AD9"/>
    <w:rsid w:val="00967A53"/>
    <w:rsid w:val="009724A0"/>
    <w:rsid w:val="009724A6"/>
    <w:rsid w:val="009878D6"/>
    <w:rsid w:val="00987919"/>
    <w:rsid w:val="009926C6"/>
    <w:rsid w:val="0099293D"/>
    <w:rsid w:val="00994F14"/>
    <w:rsid w:val="009A259E"/>
    <w:rsid w:val="009A2CF5"/>
    <w:rsid w:val="009B09E6"/>
    <w:rsid w:val="009B381F"/>
    <w:rsid w:val="009B5D9B"/>
    <w:rsid w:val="009B6C25"/>
    <w:rsid w:val="009B7EC2"/>
    <w:rsid w:val="009C097A"/>
    <w:rsid w:val="009C36C3"/>
    <w:rsid w:val="009C44D8"/>
    <w:rsid w:val="009C470C"/>
    <w:rsid w:val="009C61CF"/>
    <w:rsid w:val="009C750C"/>
    <w:rsid w:val="009D2FBD"/>
    <w:rsid w:val="009D5BBB"/>
    <w:rsid w:val="009D66C8"/>
    <w:rsid w:val="009D6904"/>
    <w:rsid w:val="009E1291"/>
    <w:rsid w:val="009E396C"/>
    <w:rsid w:val="009E582E"/>
    <w:rsid w:val="009F0B72"/>
    <w:rsid w:val="009F340F"/>
    <w:rsid w:val="009F45FC"/>
    <w:rsid w:val="009F734F"/>
    <w:rsid w:val="009F7C05"/>
    <w:rsid w:val="00A00CBC"/>
    <w:rsid w:val="00A120ED"/>
    <w:rsid w:val="00A132D8"/>
    <w:rsid w:val="00A16C6D"/>
    <w:rsid w:val="00A22448"/>
    <w:rsid w:val="00A25225"/>
    <w:rsid w:val="00A257AC"/>
    <w:rsid w:val="00A30EE6"/>
    <w:rsid w:val="00A313A1"/>
    <w:rsid w:val="00A32C5A"/>
    <w:rsid w:val="00A3410C"/>
    <w:rsid w:val="00A43F82"/>
    <w:rsid w:val="00A460AE"/>
    <w:rsid w:val="00A53CB3"/>
    <w:rsid w:val="00A5594D"/>
    <w:rsid w:val="00A57548"/>
    <w:rsid w:val="00A673FC"/>
    <w:rsid w:val="00A70AB3"/>
    <w:rsid w:val="00A75671"/>
    <w:rsid w:val="00A7594E"/>
    <w:rsid w:val="00A75DAE"/>
    <w:rsid w:val="00A8049D"/>
    <w:rsid w:val="00A81D09"/>
    <w:rsid w:val="00A86C0A"/>
    <w:rsid w:val="00A86CA4"/>
    <w:rsid w:val="00A8798F"/>
    <w:rsid w:val="00A929A6"/>
    <w:rsid w:val="00A935AC"/>
    <w:rsid w:val="00A95274"/>
    <w:rsid w:val="00A95BEA"/>
    <w:rsid w:val="00A97860"/>
    <w:rsid w:val="00AA2B92"/>
    <w:rsid w:val="00AA5715"/>
    <w:rsid w:val="00AB7F20"/>
    <w:rsid w:val="00AC0E40"/>
    <w:rsid w:val="00AC144B"/>
    <w:rsid w:val="00AC4C53"/>
    <w:rsid w:val="00AC550B"/>
    <w:rsid w:val="00AD1486"/>
    <w:rsid w:val="00AD36E1"/>
    <w:rsid w:val="00AD389F"/>
    <w:rsid w:val="00AD49A5"/>
    <w:rsid w:val="00AD5B4A"/>
    <w:rsid w:val="00AD7B2D"/>
    <w:rsid w:val="00AE2E51"/>
    <w:rsid w:val="00AE3272"/>
    <w:rsid w:val="00AE4C68"/>
    <w:rsid w:val="00AE7FC1"/>
    <w:rsid w:val="00AF0385"/>
    <w:rsid w:val="00AF05A1"/>
    <w:rsid w:val="00AF17E7"/>
    <w:rsid w:val="00AF6F52"/>
    <w:rsid w:val="00B057B8"/>
    <w:rsid w:val="00B05C25"/>
    <w:rsid w:val="00B10692"/>
    <w:rsid w:val="00B16445"/>
    <w:rsid w:val="00B20641"/>
    <w:rsid w:val="00B20AA5"/>
    <w:rsid w:val="00B23A37"/>
    <w:rsid w:val="00B26B4A"/>
    <w:rsid w:val="00B27F75"/>
    <w:rsid w:val="00B31B55"/>
    <w:rsid w:val="00B3287C"/>
    <w:rsid w:val="00B40B45"/>
    <w:rsid w:val="00B4172E"/>
    <w:rsid w:val="00B43795"/>
    <w:rsid w:val="00B500DE"/>
    <w:rsid w:val="00B57CFA"/>
    <w:rsid w:val="00B66B08"/>
    <w:rsid w:val="00B670D1"/>
    <w:rsid w:val="00B6763C"/>
    <w:rsid w:val="00B701EE"/>
    <w:rsid w:val="00B7077E"/>
    <w:rsid w:val="00B74E1D"/>
    <w:rsid w:val="00B76031"/>
    <w:rsid w:val="00B76386"/>
    <w:rsid w:val="00B77DC8"/>
    <w:rsid w:val="00B84E2D"/>
    <w:rsid w:val="00B9002D"/>
    <w:rsid w:val="00B925B0"/>
    <w:rsid w:val="00B93515"/>
    <w:rsid w:val="00B94112"/>
    <w:rsid w:val="00B9422A"/>
    <w:rsid w:val="00B96DFC"/>
    <w:rsid w:val="00B96E3C"/>
    <w:rsid w:val="00BB0AE1"/>
    <w:rsid w:val="00BB1412"/>
    <w:rsid w:val="00BB1B72"/>
    <w:rsid w:val="00BB7186"/>
    <w:rsid w:val="00BB73D5"/>
    <w:rsid w:val="00BB74FE"/>
    <w:rsid w:val="00BC5121"/>
    <w:rsid w:val="00BC6411"/>
    <w:rsid w:val="00BC6B0E"/>
    <w:rsid w:val="00BD149F"/>
    <w:rsid w:val="00BD1F3B"/>
    <w:rsid w:val="00BD47CF"/>
    <w:rsid w:val="00BD4E32"/>
    <w:rsid w:val="00BD5588"/>
    <w:rsid w:val="00BD7871"/>
    <w:rsid w:val="00BE3E42"/>
    <w:rsid w:val="00BE601A"/>
    <w:rsid w:val="00BF0DEC"/>
    <w:rsid w:val="00BF29F3"/>
    <w:rsid w:val="00BF4208"/>
    <w:rsid w:val="00BF5C85"/>
    <w:rsid w:val="00C02C98"/>
    <w:rsid w:val="00C04CA1"/>
    <w:rsid w:val="00C078D3"/>
    <w:rsid w:val="00C10177"/>
    <w:rsid w:val="00C11F43"/>
    <w:rsid w:val="00C11FCE"/>
    <w:rsid w:val="00C13785"/>
    <w:rsid w:val="00C17487"/>
    <w:rsid w:val="00C24361"/>
    <w:rsid w:val="00C250AC"/>
    <w:rsid w:val="00C2541A"/>
    <w:rsid w:val="00C271AB"/>
    <w:rsid w:val="00C32595"/>
    <w:rsid w:val="00C32F8D"/>
    <w:rsid w:val="00C35CC5"/>
    <w:rsid w:val="00C36D50"/>
    <w:rsid w:val="00C42CD0"/>
    <w:rsid w:val="00C50D47"/>
    <w:rsid w:val="00C54801"/>
    <w:rsid w:val="00C60815"/>
    <w:rsid w:val="00C616BC"/>
    <w:rsid w:val="00C65604"/>
    <w:rsid w:val="00C65978"/>
    <w:rsid w:val="00C65E26"/>
    <w:rsid w:val="00C67691"/>
    <w:rsid w:val="00C706EA"/>
    <w:rsid w:val="00C711EA"/>
    <w:rsid w:val="00C71AC6"/>
    <w:rsid w:val="00C721C7"/>
    <w:rsid w:val="00C7261C"/>
    <w:rsid w:val="00C81749"/>
    <w:rsid w:val="00C82409"/>
    <w:rsid w:val="00C825A6"/>
    <w:rsid w:val="00C842D4"/>
    <w:rsid w:val="00C8600B"/>
    <w:rsid w:val="00C874EF"/>
    <w:rsid w:val="00C92CB1"/>
    <w:rsid w:val="00C93083"/>
    <w:rsid w:val="00C9438F"/>
    <w:rsid w:val="00C96250"/>
    <w:rsid w:val="00C978B3"/>
    <w:rsid w:val="00CA2FFC"/>
    <w:rsid w:val="00CA7328"/>
    <w:rsid w:val="00CB452F"/>
    <w:rsid w:val="00CB4C58"/>
    <w:rsid w:val="00CB5BD2"/>
    <w:rsid w:val="00CC0370"/>
    <w:rsid w:val="00CC2EC1"/>
    <w:rsid w:val="00CC4FFA"/>
    <w:rsid w:val="00CC598E"/>
    <w:rsid w:val="00CC61BB"/>
    <w:rsid w:val="00CD0804"/>
    <w:rsid w:val="00CE067A"/>
    <w:rsid w:val="00CE176D"/>
    <w:rsid w:val="00CE186D"/>
    <w:rsid w:val="00CE5503"/>
    <w:rsid w:val="00CE664B"/>
    <w:rsid w:val="00CE7DC5"/>
    <w:rsid w:val="00CF157D"/>
    <w:rsid w:val="00CF4763"/>
    <w:rsid w:val="00D007AA"/>
    <w:rsid w:val="00D0220C"/>
    <w:rsid w:val="00D07250"/>
    <w:rsid w:val="00D10449"/>
    <w:rsid w:val="00D11989"/>
    <w:rsid w:val="00D13686"/>
    <w:rsid w:val="00D17D5C"/>
    <w:rsid w:val="00D21A8A"/>
    <w:rsid w:val="00D26CF3"/>
    <w:rsid w:val="00D33589"/>
    <w:rsid w:val="00D353CE"/>
    <w:rsid w:val="00D37939"/>
    <w:rsid w:val="00D43C16"/>
    <w:rsid w:val="00D43DF7"/>
    <w:rsid w:val="00D442F7"/>
    <w:rsid w:val="00D52A2C"/>
    <w:rsid w:val="00D57365"/>
    <w:rsid w:val="00D60C4A"/>
    <w:rsid w:val="00D626CC"/>
    <w:rsid w:val="00D67853"/>
    <w:rsid w:val="00D70DBF"/>
    <w:rsid w:val="00D71FD3"/>
    <w:rsid w:val="00D739E1"/>
    <w:rsid w:val="00D76E5C"/>
    <w:rsid w:val="00D84D1A"/>
    <w:rsid w:val="00D84DBF"/>
    <w:rsid w:val="00D85216"/>
    <w:rsid w:val="00D86996"/>
    <w:rsid w:val="00D96E63"/>
    <w:rsid w:val="00DA1545"/>
    <w:rsid w:val="00DA2BC9"/>
    <w:rsid w:val="00DB4D30"/>
    <w:rsid w:val="00DC2409"/>
    <w:rsid w:val="00DC55B5"/>
    <w:rsid w:val="00DC745B"/>
    <w:rsid w:val="00DD0F19"/>
    <w:rsid w:val="00DE0E3D"/>
    <w:rsid w:val="00DE32AA"/>
    <w:rsid w:val="00DF086B"/>
    <w:rsid w:val="00DF2DA5"/>
    <w:rsid w:val="00E03F83"/>
    <w:rsid w:val="00E06E1E"/>
    <w:rsid w:val="00E072D8"/>
    <w:rsid w:val="00E13684"/>
    <w:rsid w:val="00E226C5"/>
    <w:rsid w:val="00E265D9"/>
    <w:rsid w:val="00E273A1"/>
    <w:rsid w:val="00E27FD5"/>
    <w:rsid w:val="00E30236"/>
    <w:rsid w:val="00E37A50"/>
    <w:rsid w:val="00E37CCB"/>
    <w:rsid w:val="00E40162"/>
    <w:rsid w:val="00E44034"/>
    <w:rsid w:val="00E44472"/>
    <w:rsid w:val="00E44E02"/>
    <w:rsid w:val="00E46400"/>
    <w:rsid w:val="00E538DD"/>
    <w:rsid w:val="00E55E6C"/>
    <w:rsid w:val="00E55EBD"/>
    <w:rsid w:val="00E6066C"/>
    <w:rsid w:val="00E647BE"/>
    <w:rsid w:val="00E65509"/>
    <w:rsid w:val="00E65BA1"/>
    <w:rsid w:val="00E67D5B"/>
    <w:rsid w:val="00E72D79"/>
    <w:rsid w:val="00E73233"/>
    <w:rsid w:val="00E744A6"/>
    <w:rsid w:val="00E75142"/>
    <w:rsid w:val="00E75269"/>
    <w:rsid w:val="00E80197"/>
    <w:rsid w:val="00E8436C"/>
    <w:rsid w:val="00E846F4"/>
    <w:rsid w:val="00E84E77"/>
    <w:rsid w:val="00E94E20"/>
    <w:rsid w:val="00E9502E"/>
    <w:rsid w:val="00E96134"/>
    <w:rsid w:val="00E961BD"/>
    <w:rsid w:val="00E967FE"/>
    <w:rsid w:val="00EA0744"/>
    <w:rsid w:val="00EA1F88"/>
    <w:rsid w:val="00EA3D31"/>
    <w:rsid w:val="00EA410A"/>
    <w:rsid w:val="00EA4F58"/>
    <w:rsid w:val="00EA70E5"/>
    <w:rsid w:val="00EB4236"/>
    <w:rsid w:val="00EB796A"/>
    <w:rsid w:val="00EC2439"/>
    <w:rsid w:val="00EC271D"/>
    <w:rsid w:val="00EC27FE"/>
    <w:rsid w:val="00EC74CE"/>
    <w:rsid w:val="00ED2B0A"/>
    <w:rsid w:val="00ED7E73"/>
    <w:rsid w:val="00EE2619"/>
    <w:rsid w:val="00EE59E4"/>
    <w:rsid w:val="00EE640D"/>
    <w:rsid w:val="00EE6C56"/>
    <w:rsid w:val="00EF1283"/>
    <w:rsid w:val="00EF1EE3"/>
    <w:rsid w:val="00EF2C74"/>
    <w:rsid w:val="00EF33F2"/>
    <w:rsid w:val="00EF6408"/>
    <w:rsid w:val="00EF7BB3"/>
    <w:rsid w:val="00F01F2F"/>
    <w:rsid w:val="00F0235A"/>
    <w:rsid w:val="00F05CA2"/>
    <w:rsid w:val="00F10EF8"/>
    <w:rsid w:val="00F213DD"/>
    <w:rsid w:val="00F27E10"/>
    <w:rsid w:val="00F360B5"/>
    <w:rsid w:val="00F43962"/>
    <w:rsid w:val="00F450A0"/>
    <w:rsid w:val="00F478A2"/>
    <w:rsid w:val="00F502BA"/>
    <w:rsid w:val="00F51175"/>
    <w:rsid w:val="00F52FEE"/>
    <w:rsid w:val="00F54498"/>
    <w:rsid w:val="00F544AD"/>
    <w:rsid w:val="00F615B8"/>
    <w:rsid w:val="00F6294C"/>
    <w:rsid w:val="00F66026"/>
    <w:rsid w:val="00F71CA5"/>
    <w:rsid w:val="00F72657"/>
    <w:rsid w:val="00F75E3D"/>
    <w:rsid w:val="00F76D43"/>
    <w:rsid w:val="00F8383A"/>
    <w:rsid w:val="00F87404"/>
    <w:rsid w:val="00F90202"/>
    <w:rsid w:val="00F947AC"/>
    <w:rsid w:val="00FA124C"/>
    <w:rsid w:val="00FA13C1"/>
    <w:rsid w:val="00FA3B65"/>
    <w:rsid w:val="00FB176F"/>
    <w:rsid w:val="00FB3024"/>
    <w:rsid w:val="00FB5FCA"/>
    <w:rsid w:val="00FB78FE"/>
    <w:rsid w:val="00FC1CAA"/>
    <w:rsid w:val="00FC6C20"/>
    <w:rsid w:val="00FC7129"/>
    <w:rsid w:val="00FD0CAA"/>
    <w:rsid w:val="00FD43F6"/>
    <w:rsid w:val="00FE0E49"/>
    <w:rsid w:val="00FE43C1"/>
    <w:rsid w:val="00FE6965"/>
    <w:rsid w:val="00FF3720"/>
    <w:rsid w:val="00FF470E"/>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0D75A"/>
  <w15:docId w15:val="{3A36367D-F6A4-44E7-8BBE-C4D2636D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paragraph" w:customStyle="1" w:styleId="liknoteik1">
    <w:name w:val="lik_noteik1"/>
    <w:basedOn w:val="Normal"/>
    <w:rsid w:val="00FB176F"/>
    <w:pPr>
      <w:spacing w:before="100" w:beforeAutospacing="1" w:after="100" w:afterAutospacing="1" w:line="360" w:lineRule="auto"/>
      <w:ind w:firstLine="300"/>
      <w:jc w:val="right"/>
    </w:pPr>
    <w:rPr>
      <w:b/>
      <w:bCs/>
      <w:color w:val="414142"/>
      <w:sz w:val="20"/>
      <w:szCs w:val="20"/>
    </w:rPr>
  </w:style>
  <w:style w:type="table" w:styleId="TableGrid">
    <w:name w:val="Table Grid"/>
    <w:basedOn w:val="TableNormal"/>
    <w:uiPriority w:val="59"/>
    <w:rsid w:val="0008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8436C"/>
    <w:rPr>
      <w:sz w:val="20"/>
      <w:szCs w:val="20"/>
    </w:rPr>
  </w:style>
  <w:style w:type="character" w:customStyle="1" w:styleId="EndnoteTextChar">
    <w:name w:val="Endnote Text Char"/>
    <w:basedOn w:val="DefaultParagraphFont"/>
    <w:link w:val="EndnoteText"/>
    <w:uiPriority w:val="99"/>
    <w:semiHidden/>
    <w:rsid w:val="00E8436C"/>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E8436C"/>
    <w:rPr>
      <w:vertAlign w:val="superscript"/>
    </w:rPr>
  </w:style>
  <w:style w:type="character" w:styleId="UnresolvedMention">
    <w:name w:val="Unresolved Mention"/>
    <w:basedOn w:val="DefaultParagraphFont"/>
    <w:uiPriority w:val="99"/>
    <w:semiHidden/>
    <w:unhideWhenUsed/>
    <w:rsid w:val="002C4F8F"/>
    <w:rPr>
      <w:color w:val="605E5C"/>
      <w:shd w:val="clear" w:color="auto" w:fill="E1DFDD"/>
    </w:rPr>
  </w:style>
  <w:style w:type="character" w:styleId="FollowedHyperlink">
    <w:name w:val="FollowedHyperlink"/>
    <w:basedOn w:val="DefaultParagraphFont"/>
    <w:uiPriority w:val="99"/>
    <w:semiHidden/>
    <w:unhideWhenUsed/>
    <w:rsid w:val="002C4F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72">
      <w:bodyDiv w:val="1"/>
      <w:marLeft w:val="0"/>
      <w:marRight w:val="0"/>
      <w:marTop w:val="0"/>
      <w:marBottom w:val="0"/>
      <w:divBdr>
        <w:top w:val="none" w:sz="0" w:space="0" w:color="auto"/>
        <w:left w:val="none" w:sz="0" w:space="0" w:color="auto"/>
        <w:bottom w:val="none" w:sz="0" w:space="0" w:color="auto"/>
        <w:right w:val="none" w:sz="0" w:space="0" w:color="auto"/>
      </w:divBdr>
    </w:div>
    <w:div w:id="150415488">
      <w:bodyDiv w:val="1"/>
      <w:marLeft w:val="0"/>
      <w:marRight w:val="0"/>
      <w:marTop w:val="0"/>
      <w:marBottom w:val="0"/>
      <w:divBdr>
        <w:top w:val="none" w:sz="0" w:space="0" w:color="auto"/>
        <w:left w:val="none" w:sz="0" w:space="0" w:color="auto"/>
        <w:bottom w:val="none" w:sz="0" w:space="0" w:color="auto"/>
        <w:right w:val="none" w:sz="0" w:space="0" w:color="auto"/>
      </w:divBdr>
    </w:div>
    <w:div w:id="197475162">
      <w:bodyDiv w:val="1"/>
      <w:marLeft w:val="0"/>
      <w:marRight w:val="0"/>
      <w:marTop w:val="0"/>
      <w:marBottom w:val="0"/>
      <w:divBdr>
        <w:top w:val="none" w:sz="0" w:space="0" w:color="auto"/>
        <w:left w:val="none" w:sz="0" w:space="0" w:color="auto"/>
        <w:bottom w:val="none" w:sz="0" w:space="0" w:color="auto"/>
        <w:right w:val="none" w:sz="0" w:space="0" w:color="auto"/>
      </w:divBdr>
    </w:div>
    <w:div w:id="537207857">
      <w:bodyDiv w:val="1"/>
      <w:marLeft w:val="0"/>
      <w:marRight w:val="0"/>
      <w:marTop w:val="0"/>
      <w:marBottom w:val="0"/>
      <w:divBdr>
        <w:top w:val="none" w:sz="0" w:space="0" w:color="auto"/>
        <w:left w:val="none" w:sz="0" w:space="0" w:color="auto"/>
        <w:bottom w:val="none" w:sz="0" w:space="0" w:color="auto"/>
        <w:right w:val="none" w:sz="0" w:space="0" w:color="auto"/>
      </w:divBdr>
      <w:divsChild>
        <w:div w:id="769617845">
          <w:marLeft w:val="0"/>
          <w:marRight w:val="0"/>
          <w:marTop w:val="0"/>
          <w:marBottom w:val="567"/>
          <w:divBdr>
            <w:top w:val="none" w:sz="0" w:space="0" w:color="auto"/>
            <w:left w:val="none" w:sz="0" w:space="0" w:color="auto"/>
            <w:bottom w:val="none" w:sz="0" w:space="0" w:color="auto"/>
            <w:right w:val="none" w:sz="0" w:space="0" w:color="auto"/>
          </w:divBdr>
        </w:div>
        <w:div w:id="1364475966">
          <w:marLeft w:val="0"/>
          <w:marRight w:val="0"/>
          <w:marTop w:val="480"/>
          <w:marBottom w:val="240"/>
          <w:divBdr>
            <w:top w:val="none" w:sz="0" w:space="0" w:color="auto"/>
            <w:left w:val="none" w:sz="0" w:space="0" w:color="auto"/>
            <w:bottom w:val="none" w:sz="0" w:space="0" w:color="auto"/>
            <w:right w:val="none" w:sz="0" w:space="0" w:color="auto"/>
          </w:divBdr>
        </w:div>
      </w:divsChild>
    </w:div>
    <w:div w:id="557326795">
      <w:bodyDiv w:val="1"/>
      <w:marLeft w:val="0"/>
      <w:marRight w:val="0"/>
      <w:marTop w:val="0"/>
      <w:marBottom w:val="0"/>
      <w:divBdr>
        <w:top w:val="none" w:sz="0" w:space="0" w:color="auto"/>
        <w:left w:val="none" w:sz="0" w:space="0" w:color="auto"/>
        <w:bottom w:val="none" w:sz="0" w:space="0" w:color="auto"/>
        <w:right w:val="none" w:sz="0" w:space="0" w:color="auto"/>
      </w:divBdr>
    </w:div>
    <w:div w:id="657079072">
      <w:bodyDiv w:val="1"/>
      <w:marLeft w:val="0"/>
      <w:marRight w:val="0"/>
      <w:marTop w:val="0"/>
      <w:marBottom w:val="0"/>
      <w:divBdr>
        <w:top w:val="none" w:sz="0" w:space="0" w:color="auto"/>
        <w:left w:val="none" w:sz="0" w:space="0" w:color="auto"/>
        <w:bottom w:val="none" w:sz="0" w:space="0" w:color="auto"/>
        <w:right w:val="none" w:sz="0" w:space="0" w:color="auto"/>
      </w:divBdr>
    </w:div>
    <w:div w:id="760760135">
      <w:bodyDiv w:val="1"/>
      <w:marLeft w:val="0"/>
      <w:marRight w:val="0"/>
      <w:marTop w:val="0"/>
      <w:marBottom w:val="0"/>
      <w:divBdr>
        <w:top w:val="none" w:sz="0" w:space="0" w:color="auto"/>
        <w:left w:val="none" w:sz="0" w:space="0" w:color="auto"/>
        <w:bottom w:val="none" w:sz="0" w:space="0" w:color="auto"/>
        <w:right w:val="none" w:sz="0" w:space="0" w:color="auto"/>
      </w:divBdr>
    </w:div>
    <w:div w:id="840437236">
      <w:bodyDiv w:val="1"/>
      <w:marLeft w:val="0"/>
      <w:marRight w:val="0"/>
      <w:marTop w:val="0"/>
      <w:marBottom w:val="0"/>
      <w:divBdr>
        <w:top w:val="none" w:sz="0" w:space="0" w:color="auto"/>
        <w:left w:val="none" w:sz="0" w:space="0" w:color="auto"/>
        <w:bottom w:val="none" w:sz="0" w:space="0" w:color="auto"/>
        <w:right w:val="none" w:sz="0" w:space="0" w:color="auto"/>
      </w:divBdr>
    </w:div>
    <w:div w:id="1449733958">
      <w:bodyDiv w:val="1"/>
      <w:marLeft w:val="0"/>
      <w:marRight w:val="0"/>
      <w:marTop w:val="0"/>
      <w:marBottom w:val="0"/>
      <w:divBdr>
        <w:top w:val="none" w:sz="0" w:space="0" w:color="auto"/>
        <w:left w:val="none" w:sz="0" w:space="0" w:color="auto"/>
        <w:bottom w:val="none" w:sz="0" w:space="0" w:color="auto"/>
        <w:right w:val="none" w:sz="0" w:space="0" w:color="auto"/>
      </w:divBdr>
    </w:div>
    <w:div w:id="1762212583">
      <w:bodyDiv w:val="1"/>
      <w:marLeft w:val="0"/>
      <w:marRight w:val="0"/>
      <w:marTop w:val="0"/>
      <w:marBottom w:val="0"/>
      <w:divBdr>
        <w:top w:val="none" w:sz="0" w:space="0" w:color="auto"/>
        <w:left w:val="none" w:sz="0" w:space="0" w:color="auto"/>
        <w:bottom w:val="none" w:sz="0" w:space="0" w:color="auto"/>
        <w:right w:val="none" w:sz="0" w:space="0" w:color="auto"/>
      </w:divBdr>
    </w:div>
    <w:div w:id="2019428069">
      <w:bodyDiv w:val="1"/>
      <w:marLeft w:val="0"/>
      <w:marRight w:val="0"/>
      <w:marTop w:val="0"/>
      <w:marBottom w:val="0"/>
      <w:divBdr>
        <w:top w:val="none" w:sz="0" w:space="0" w:color="auto"/>
        <w:left w:val="none" w:sz="0" w:space="0" w:color="auto"/>
        <w:bottom w:val="none" w:sz="0" w:space="0" w:color="auto"/>
        <w:right w:val="none" w:sz="0" w:space="0" w:color="auto"/>
      </w:divBdr>
    </w:div>
    <w:div w:id="2032563352">
      <w:bodyDiv w:val="1"/>
      <w:marLeft w:val="0"/>
      <w:marRight w:val="0"/>
      <w:marTop w:val="0"/>
      <w:marBottom w:val="0"/>
      <w:divBdr>
        <w:top w:val="none" w:sz="0" w:space="0" w:color="auto"/>
        <w:left w:val="none" w:sz="0" w:space="0" w:color="auto"/>
        <w:bottom w:val="none" w:sz="0" w:space="0" w:color="auto"/>
        <w:right w:val="none" w:sz="0" w:space="0" w:color="auto"/>
      </w:divBdr>
    </w:div>
    <w:div w:id="2084637396">
      <w:bodyDiv w:val="1"/>
      <w:marLeft w:val="0"/>
      <w:marRight w:val="0"/>
      <w:marTop w:val="0"/>
      <w:marBottom w:val="0"/>
      <w:divBdr>
        <w:top w:val="none" w:sz="0" w:space="0" w:color="auto"/>
        <w:left w:val="none" w:sz="0" w:space="0" w:color="auto"/>
        <w:bottom w:val="none" w:sz="0" w:space="0" w:color="auto"/>
        <w:right w:val="none" w:sz="0" w:space="0" w:color="auto"/>
      </w:divBdr>
    </w:div>
    <w:div w:id="21209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A87A-29C7-49AB-91C9-286D1A63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10325</Words>
  <Characters>5886</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Gusts.Sprogis@em.gov.lv</dc:creator>
  <cp:keywords/>
  <dc:description/>
  <cp:lastModifiedBy>Edmunds Valantis</cp:lastModifiedBy>
  <cp:revision>17</cp:revision>
  <cp:lastPrinted>2019-02-19T14:26:00Z</cp:lastPrinted>
  <dcterms:created xsi:type="dcterms:W3CDTF">2019-02-27T08:30:00Z</dcterms:created>
  <dcterms:modified xsi:type="dcterms:W3CDTF">2019-03-15T17:54:00Z</dcterms:modified>
</cp:coreProperties>
</file>