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2747C" w14:textId="77777777" w:rsidR="00C04D5D" w:rsidRPr="00A239F8" w:rsidRDefault="00C04D5D" w:rsidP="00C04D5D">
      <w:pPr>
        <w:spacing w:after="0"/>
        <w:jc w:val="center"/>
        <w:rPr>
          <w:rFonts w:ascii="Times New Roman" w:hAnsi="Times New Roman" w:cs="Times New Roman"/>
          <w:b/>
          <w:sz w:val="28"/>
          <w:szCs w:val="28"/>
          <w:lang w:val="lv-LV"/>
        </w:rPr>
      </w:pPr>
      <w:bookmarkStart w:id="0" w:name="_Hlk531275853"/>
      <w:r w:rsidRPr="00A239F8">
        <w:rPr>
          <w:rFonts w:ascii="Times New Roman" w:hAnsi="Times New Roman" w:cs="Times New Roman"/>
          <w:b/>
          <w:sz w:val="28"/>
          <w:szCs w:val="28"/>
          <w:lang w:val="lv-LV"/>
        </w:rPr>
        <w:t>Informatīvais ziņojums</w:t>
      </w:r>
    </w:p>
    <w:p w14:paraId="571B7896" w14:textId="77777777" w:rsidR="00C04D5D" w:rsidRPr="00A239F8" w:rsidRDefault="00C04D5D" w:rsidP="00C04D5D">
      <w:pPr>
        <w:spacing w:after="0"/>
        <w:jc w:val="center"/>
        <w:rPr>
          <w:rFonts w:ascii="Times New Roman" w:hAnsi="Times New Roman" w:cs="Times New Roman"/>
          <w:b/>
          <w:sz w:val="28"/>
          <w:szCs w:val="28"/>
          <w:lang w:val="lv-LV"/>
        </w:rPr>
      </w:pPr>
      <w:r w:rsidRPr="00A239F8">
        <w:rPr>
          <w:rFonts w:ascii="Times New Roman" w:hAnsi="Times New Roman" w:cs="Times New Roman"/>
          <w:b/>
          <w:sz w:val="28"/>
          <w:szCs w:val="28"/>
          <w:lang w:val="lv-LV"/>
        </w:rPr>
        <w:t>“</w:t>
      </w:r>
      <w:bookmarkStart w:id="1" w:name="_Hlk531334234"/>
      <w:r w:rsidRPr="00A239F8">
        <w:rPr>
          <w:rFonts w:ascii="Times New Roman" w:hAnsi="Times New Roman" w:cs="Times New Roman"/>
          <w:b/>
          <w:sz w:val="28"/>
          <w:szCs w:val="28"/>
          <w:lang w:val="lv-LV"/>
        </w:rPr>
        <w:t xml:space="preserve">Par </w:t>
      </w:r>
      <w:bookmarkStart w:id="2" w:name="_Hlk527727572"/>
      <w:r w:rsidRPr="00A239F8">
        <w:rPr>
          <w:rFonts w:ascii="Times New Roman" w:hAnsi="Times New Roman" w:cs="Times New Roman"/>
          <w:b/>
          <w:sz w:val="28"/>
          <w:szCs w:val="28"/>
          <w:lang w:val="lv-LV"/>
        </w:rPr>
        <w:t>blokķēdes tehnoloģijas izmantošanas piemēriem, perspektīvām un tālāko rīcību jomas attīstības veicināšanai</w:t>
      </w:r>
      <w:bookmarkEnd w:id="1"/>
      <w:bookmarkEnd w:id="2"/>
      <w:r w:rsidRPr="00A239F8">
        <w:rPr>
          <w:rFonts w:ascii="Times New Roman" w:hAnsi="Times New Roman" w:cs="Times New Roman"/>
          <w:b/>
          <w:sz w:val="28"/>
          <w:szCs w:val="28"/>
          <w:lang w:val="lv-LV"/>
        </w:rPr>
        <w:t>”</w:t>
      </w:r>
    </w:p>
    <w:p w14:paraId="53EDED87" w14:textId="77777777" w:rsidR="00C04D5D" w:rsidRDefault="00C04D5D" w:rsidP="00C04D5D">
      <w:pPr>
        <w:spacing w:after="0"/>
        <w:ind w:firstLine="720"/>
        <w:jc w:val="both"/>
        <w:rPr>
          <w:rFonts w:ascii="Times New Roman" w:hAnsi="Times New Roman" w:cs="Times New Roman"/>
          <w:b/>
          <w:sz w:val="28"/>
          <w:szCs w:val="28"/>
          <w:lang w:val="lv-LV"/>
        </w:rPr>
      </w:pPr>
      <w:bookmarkStart w:id="3" w:name="_Hlk529481215"/>
      <w:bookmarkEnd w:id="0"/>
    </w:p>
    <w:p w14:paraId="69BE487B" w14:textId="490E38F6" w:rsidR="00C04D5D" w:rsidRDefault="00C04D5D" w:rsidP="00C04D5D">
      <w:pPr>
        <w:spacing w:after="0"/>
        <w:ind w:firstLine="720"/>
        <w:jc w:val="both"/>
        <w:rPr>
          <w:rFonts w:ascii="Times New Roman" w:hAnsi="Times New Roman" w:cs="Times New Roman"/>
          <w:sz w:val="24"/>
          <w:lang w:val="lv-LV"/>
        </w:rPr>
      </w:pPr>
      <w:r w:rsidRPr="00A239F8">
        <w:rPr>
          <w:rFonts w:ascii="Times New Roman" w:hAnsi="Times New Roman" w:cs="Times New Roman"/>
          <w:sz w:val="24"/>
          <w:lang w:val="lv-LV"/>
        </w:rPr>
        <w:t xml:space="preserve">Lai izpildītu Ministru kabineta (turpmāk - MK) </w:t>
      </w:r>
      <w:r w:rsidR="007706D1" w:rsidRPr="007706D1">
        <w:rPr>
          <w:rFonts w:ascii="Times New Roman" w:hAnsi="Times New Roman" w:cs="Times New Roman"/>
          <w:sz w:val="24"/>
          <w:lang w:val="lv-LV"/>
        </w:rPr>
        <w:t>2018. gada 14. augusta sēdes protokola Nr. 38 48. § 5. punktu</w:t>
      </w:r>
      <w:r w:rsidRPr="00A239F8">
        <w:rPr>
          <w:rFonts w:ascii="Times New Roman" w:hAnsi="Times New Roman" w:cs="Times New Roman"/>
          <w:sz w:val="24"/>
          <w:lang w:val="lv-LV"/>
        </w:rPr>
        <w:t xml:space="preserve">, </w:t>
      </w:r>
      <w:bookmarkStart w:id="4" w:name="_Hlk529460213"/>
      <w:r w:rsidRPr="00A239F8">
        <w:rPr>
          <w:rFonts w:ascii="Times New Roman" w:hAnsi="Times New Roman" w:cs="Times New Roman"/>
          <w:sz w:val="24"/>
          <w:lang w:val="lv-LV"/>
        </w:rPr>
        <w:t>Ekonomikas ministrija (turpmāk – EM) ir izstrādājusi informatīvo ziņojumu “</w:t>
      </w:r>
      <w:r w:rsidR="00B26230" w:rsidRPr="00B26230">
        <w:rPr>
          <w:rFonts w:ascii="Times New Roman" w:hAnsi="Times New Roman" w:cs="Times New Roman"/>
          <w:sz w:val="24"/>
          <w:lang w:val="lv-LV"/>
        </w:rPr>
        <w:t xml:space="preserve">Par </w:t>
      </w:r>
      <w:proofErr w:type="spellStart"/>
      <w:r w:rsidR="00B26230" w:rsidRPr="00B26230">
        <w:rPr>
          <w:rFonts w:ascii="Times New Roman" w:hAnsi="Times New Roman" w:cs="Times New Roman"/>
          <w:sz w:val="24"/>
          <w:lang w:val="lv-LV"/>
        </w:rPr>
        <w:t>blokķēdes</w:t>
      </w:r>
      <w:proofErr w:type="spellEnd"/>
      <w:r w:rsidR="00B26230" w:rsidRPr="00B26230">
        <w:rPr>
          <w:rFonts w:ascii="Times New Roman" w:hAnsi="Times New Roman" w:cs="Times New Roman"/>
          <w:sz w:val="24"/>
          <w:lang w:val="lv-LV"/>
        </w:rPr>
        <w:t xml:space="preserve"> tehnoloģijas izmantošanas piemēriem, perspektīvām un tālāko rīcību jomas attīstības veicināšanai</w:t>
      </w:r>
      <w:r w:rsidRPr="00A239F8">
        <w:rPr>
          <w:rFonts w:ascii="Times New Roman" w:hAnsi="Times New Roman" w:cs="Times New Roman"/>
          <w:sz w:val="24"/>
          <w:lang w:val="lv-LV"/>
        </w:rPr>
        <w:t xml:space="preserve">” (turpmāk – informatīvais ziņojums). Tā mērķis ir padziļināti izvērtēt </w:t>
      </w:r>
      <w:proofErr w:type="spellStart"/>
      <w:r w:rsidRPr="00A239F8">
        <w:rPr>
          <w:rFonts w:ascii="Times New Roman" w:hAnsi="Times New Roman" w:cs="Times New Roman"/>
          <w:sz w:val="24"/>
          <w:lang w:val="lv-LV"/>
        </w:rPr>
        <w:t>blokķēdes</w:t>
      </w:r>
      <w:proofErr w:type="spellEnd"/>
      <w:r w:rsidRPr="00A239F8">
        <w:rPr>
          <w:rFonts w:ascii="Times New Roman" w:hAnsi="Times New Roman" w:cs="Times New Roman"/>
          <w:sz w:val="24"/>
          <w:lang w:val="lv-LV"/>
        </w:rPr>
        <w:t xml:space="preserve"> (</w:t>
      </w:r>
      <w:proofErr w:type="spellStart"/>
      <w:r w:rsidR="00941B0D">
        <w:rPr>
          <w:rFonts w:ascii="Times New Roman" w:hAnsi="Times New Roman" w:cs="Times New Roman"/>
          <w:sz w:val="24"/>
          <w:lang w:val="lv-LV"/>
        </w:rPr>
        <w:t>ang</w:t>
      </w:r>
      <w:proofErr w:type="spellEnd"/>
      <w:r w:rsidR="00941B0D">
        <w:rPr>
          <w:rFonts w:ascii="Times New Roman" w:hAnsi="Times New Roman" w:cs="Times New Roman"/>
          <w:sz w:val="24"/>
          <w:lang w:val="lv-LV"/>
        </w:rPr>
        <w:t xml:space="preserve">. </w:t>
      </w:r>
      <w:r w:rsidRPr="00A239F8">
        <w:rPr>
          <w:rFonts w:ascii="Times New Roman" w:hAnsi="Times New Roman" w:cs="Times New Roman"/>
          <w:i/>
          <w:sz w:val="24"/>
          <w:lang w:val="lv-LV"/>
        </w:rPr>
        <w:t>blockchain</w:t>
      </w:r>
      <w:r w:rsidRPr="00A239F8">
        <w:rPr>
          <w:rFonts w:ascii="Times New Roman" w:hAnsi="Times New Roman" w:cs="Times New Roman"/>
          <w:sz w:val="24"/>
          <w:lang w:val="lv-LV"/>
        </w:rPr>
        <w:t xml:space="preserve">) tehnoloģijas izmantošanas perspektīvas publiskajā sektorā, identificēt turpmāko rīcību tās attīstības veicināšanai Latvijā, kā arī </w:t>
      </w:r>
      <w:r>
        <w:rPr>
          <w:rFonts w:ascii="Times New Roman" w:hAnsi="Times New Roman" w:cs="Times New Roman"/>
          <w:sz w:val="24"/>
          <w:lang w:val="lv-LV"/>
        </w:rPr>
        <w:t xml:space="preserve">izvērtēt </w:t>
      </w:r>
      <w:r w:rsidRPr="00A239F8">
        <w:rPr>
          <w:rFonts w:ascii="Times New Roman" w:hAnsi="Times New Roman" w:cs="Times New Roman"/>
          <w:sz w:val="24"/>
          <w:lang w:val="lv-LV"/>
        </w:rPr>
        <w:t>ar blokķēdes tehnoloģiju saistītos juridiskos un tehnoloģiskos aspektus un līdz 2019. gada 1.janvārim iesniegt izskatīšanai MK.</w:t>
      </w:r>
      <w:bookmarkEnd w:id="3"/>
      <w:bookmarkEnd w:id="4"/>
      <w:r w:rsidRPr="00A239F8">
        <w:rPr>
          <w:rFonts w:ascii="Times New Roman" w:hAnsi="Times New Roman" w:cs="Times New Roman"/>
          <w:sz w:val="24"/>
          <w:lang w:val="lv-LV"/>
        </w:rPr>
        <w:t xml:space="preserve"> Lai izpildītu iepriekš minēto un apkopotu priekšlikumus blokķēdes tehnoloģijas izmantošanai publiskajā sektorā, izveidota darba </w:t>
      </w:r>
      <w:r w:rsidRPr="00D01BDE">
        <w:rPr>
          <w:rFonts w:ascii="Times New Roman" w:hAnsi="Times New Roman" w:cs="Times New Roman"/>
          <w:sz w:val="24"/>
          <w:lang w:val="lv-LV"/>
        </w:rPr>
        <w:t>grupa (</w:t>
      </w:r>
      <w:r>
        <w:rPr>
          <w:rFonts w:ascii="Times New Roman" w:hAnsi="Times New Roman" w:cs="Times New Roman"/>
          <w:sz w:val="24"/>
          <w:lang w:val="lv-LV"/>
        </w:rPr>
        <w:t xml:space="preserve">EM </w:t>
      </w:r>
      <w:r w:rsidRPr="00D01BDE">
        <w:rPr>
          <w:rFonts w:ascii="Times New Roman" w:hAnsi="Times New Roman" w:cs="Times New Roman"/>
          <w:sz w:val="24"/>
          <w:lang w:val="lv-LV"/>
        </w:rPr>
        <w:t>12.10.2018.</w:t>
      </w:r>
      <w:r>
        <w:rPr>
          <w:rFonts w:ascii="Times New Roman" w:hAnsi="Times New Roman" w:cs="Times New Roman"/>
          <w:sz w:val="24"/>
          <w:lang w:val="lv-LV"/>
        </w:rPr>
        <w:t xml:space="preserve"> rīkojums</w:t>
      </w:r>
      <w:r w:rsidRPr="00D01BDE">
        <w:rPr>
          <w:rFonts w:ascii="Times New Roman" w:hAnsi="Times New Roman" w:cs="Times New Roman"/>
          <w:sz w:val="24"/>
          <w:lang w:val="lv-LV"/>
        </w:rPr>
        <w:t xml:space="preserve"> </w:t>
      </w:r>
      <w:r>
        <w:rPr>
          <w:rFonts w:ascii="Times New Roman" w:hAnsi="Times New Roman" w:cs="Times New Roman"/>
          <w:sz w:val="24"/>
          <w:lang w:val="lv-LV"/>
        </w:rPr>
        <w:t xml:space="preserve">Nr. </w:t>
      </w:r>
      <w:r w:rsidRPr="00D01BDE">
        <w:rPr>
          <w:rFonts w:ascii="Times New Roman" w:hAnsi="Times New Roman" w:cs="Times New Roman"/>
          <w:sz w:val="24"/>
          <w:lang w:val="lv-LV"/>
        </w:rPr>
        <w:t>3.7-1_2018_24)</w:t>
      </w:r>
      <w:r w:rsidRPr="00A239F8">
        <w:rPr>
          <w:rFonts w:ascii="Times New Roman" w:hAnsi="Times New Roman" w:cs="Times New Roman"/>
          <w:sz w:val="24"/>
          <w:lang w:val="lv-LV"/>
        </w:rPr>
        <w:t xml:space="preserve">, kurā pārstāvēti eksperti no </w:t>
      </w:r>
      <w:r>
        <w:rPr>
          <w:rFonts w:ascii="Times New Roman" w:hAnsi="Times New Roman" w:cs="Times New Roman"/>
          <w:sz w:val="24"/>
          <w:lang w:val="lv-LV"/>
        </w:rPr>
        <w:t xml:space="preserve">EM, </w:t>
      </w:r>
      <w:r w:rsidRPr="00A239F8">
        <w:rPr>
          <w:rFonts w:ascii="Times New Roman" w:hAnsi="Times New Roman" w:cs="Times New Roman"/>
          <w:sz w:val="24"/>
          <w:lang w:val="lv-LV"/>
        </w:rPr>
        <w:t xml:space="preserve">Finanšu ministrijas (turpmāk – FM), Latvijas Bankas (turpmāk – LB), </w:t>
      </w:r>
      <w:r w:rsidRPr="00A239F8">
        <w:rPr>
          <w:rFonts w:ascii="Times New Roman" w:eastAsia="Times New Roman" w:hAnsi="Times New Roman"/>
          <w:color w:val="000000"/>
          <w:sz w:val="24"/>
          <w:szCs w:val="24"/>
          <w:lang w:val="lv-LV"/>
        </w:rPr>
        <w:t xml:space="preserve">Latvijas Investīciju un attīstības aģentūras (turpmāk – LIAA), </w:t>
      </w:r>
      <w:r w:rsidRPr="00A239F8">
        <w:rPr>
          <w:rFonts w:ascii="Times New Roman" w:hAnsi="Times New Roman" w:cs="Times New Roman"/>
          <w:sz w:val="24"/>
          <w:lang w:val="lv-LV"/>
        </w:rPr>
        <w:t xml:space="preserve">Valsts ieņēmumu dienesta (turpmāk – VID), </w:t>
      </w:r>
      <w:bookmarkStart w:id="5" w:name="_Hlk531342198"/>
      <w:r w:rsidRPr="00A239F8">
        <w:rPr>
          <w:rFonts w:ascii="Times New Roman" w:eastAsia="Times New Roman" w:hAnsi="Times New Roman"/>
          <w:color w:val="000000"/>
          <w:sz w:val="24"/>
          <w:szCs w:val="24"/>
          <w:lang w:val="lv-LV"/>
        </w:rPr>
        <w:t>Vides aizsardzības un reģionālās attīstības ministrijas</w:t>
      </w:r>
      <w:bookmarkEnd w:id="5"/>
      <w:r w:rsidRPr="00A239F8">
        <w:rPr>
          <w:rFonts w:ascii="Times New Roman" w:hAnsi="Times New Roman" w:cs="Times New Roman"/>
          <w:sz w:val="24"/>
          <w:lang w:val="lv-LV"/>
        </w:rPr>
        <w:t xml:space="preserve"> (turpmāk – VARAM), nepieciešamības gadījumā piesaistot citu atbildīgo ministriju, kā arī nozaru asociāciju un uzņēmumu pārstāvjus. Darba grupas ietvaros sagatavotie priekšlikumi </w:t>
      </w:r>
      <w:r>
        <w:rPr>
          <w:rFonts w:ascii="Times New Roman" w:hAnsi="Times New Roman" w:cs="Times New Roman"/>
          <w:sz w:val="24"/>
          <w:lang w:val="lv-LV"/>
        </w:rPr>
        <w:t>turpmākai</w:t>
      </w:r>
      <w:r w:rsidRPr="00A239F8">
        <w:rPr>
          <w:rFonts w:ascii="Times New Roman" w:hAnsi="Times New Roman" w:cs="Times New Roman"/>
          <w:sz w:val="24"/>
          <w:lang w:val="lv-LV"/>
        </w:rPr>
        <w:t xml:space="preserve"> rīcībai saistībā ar blokķēdes tehnoloģijas plašākām izmantošanas iespējām valsts pārvaldes pakalpojumu efektivitātes un drošības uzlabošanā, aktivitātēm, kas veicinātu tehnoloģijas izmantošanu privātajā sektorā, kā arī identificētās barjeras un sagatavotie priekšlikumi pasākumiem tehnoloģijas atbalstam apkopoti informatīvajā ziņojumā.</w:t>
      </w:r>
    </w:p>
    <w:p w14:paraId="43EF7ADD" w14:textId="4F94F4AD" w:rsidR="00C04D5D" w:rsidRDefault="00C04D5D" w:rsidP="00C04D5D">
      <w:pPr>
        <w:spacing w:after="0"/>
        <w:ind w:firstLine="720"/>
        <w:jc w:val="both"/>
        <w:rPr>
          <w:rFonts w:ascii="Times New Roman" w:hAnsi="Times New Roman" w:cs="Times New Roman"/>
          <w:sz w:val="24"/>
          <w:lang w:val="lv-LV"/>
        </w:rPr>
      </w:pPr>
      <w:r>
        <w:rPr>
          <w:rFonts w:ascii="Times New Roman" w:hAnsi="Times New Roman" w:cs="Times New Roman"/>
          <w:sz w:val="24"/>
          <w:lang w:val="lv-LV"/>
        </w:rPr>
        <w:t>2018.gada 10. aprīlī Eiropas Komisija</w:t>
      </w:r>
      <w:r w:rsidR="00CE6AA5">
        <w:rPr>
          <w:rFonts w:ascii="Times New Roman" w:hAnsi="Times New Roman" w:cs="Times New Roman"/>
          <w:sz w:val="24"/>
          <w:lang w:val="lv-LV"/>
        </w:rPr>
        <w:t xml:space="preserve"> (turpmāk – EK)</w:t>
      </w:r>
      <w:r>
        <w:rPr>
          <w:rFonts w:ascii="Times New Roman" w:hAnsi="Times New Roman" w:cs="Times New Roman"/>
          <w:sz w:val="24"/>
          <w:lang w:val="lv-LV"/>
        </w:rPr>
        <w:t xml:space="preserve"> </w:t>
      </w:r>
      <w:proofErr w:type="spellStart"/>
      <w:r>
        <w:rPr>
          <w:rFonts w:ascii="Times New Roman" w:hAnsi="Times New Roman" w:cs="Times New Roman"/>
          <w:sz w:val="24"/>
          <w:lang w:val="lv-LV"/>
        </w:rPr>
        <w:t>Digitalizācijas</w:t>
      </w:r>
      <w:proofErr w:type="spellEnd"/>
      <w:r>
        <w:rPr>
          <w:rFonts w:ascii="Times New Roman" w:hAnsi="Times New Roman" w:cs="Times New Roman"/>
          <w:sz w:val="24"/>
          <w:lang w:val="lv-LV"/>
        </w:rPr>
        <w:t xml:space="preserve"> dienas ietvaros</w:t>
      </w:r>
      <w:r>
        <w:rPr>
          <w:rStyle w:val="FootnoteReference"/>
          <w:rFonts w:ascii="Times New Roman" w:hAnsi="Times New Roman" w:cs="Times New Roman"/>
          <w:sz w:val="24"/>
          <w:lang w:val="lv-LV"/>
        </w:rPr>
        <w:footnoteReference w:id="1"/>
      </w:r>
      <w:r>
        <w:rPr>
          <w:rFonts w:ascii="Times New Roman" w:hAnsi="Times New Roman" w:cs="Times New Roman"/>
          <w:sz w:val="24"/>
          <w:lang w:val="lv-LV"/>
        </w:rPr>
        <w:t xml:space="preserve"> parakstīja Blokķēdes partnerības deklarāciju, kas </w:t>
      </w:r>
      <w:r w:rsidRPr="00C733C7">
        <w:rPr>
          <w:rFonts w:ascii="Times New Roman" w:hAnsi="Times New Roman" w:cs="Times New Roman"/>
          <w:sz w:val="24"/>
          <w:lang w:val="lv-LV"/>
        </w:rPr>
        <w:t xml:space="preserve">paredz sabiedrības informēšanu un sapratnes veicināšanu par </w:t>
      </w:r>
      <w:r>
        <w:rPr>
          <w:rFonts w:ascii="Times New Roman" w:hAnsi="Times New Roman" w:cs="Times New Roman"/>
          <w:sz w:val="24"/>
          <w:lang w:val="lv-LV"/>
        </w:rPr>
        <w:t>blokķēdes</w:t>
      </w:r>
      <w:r w:rsidRPr="00C733C7">
        <w:rPr>
          <w:rFonts w:ascii="Times New Roman" w:hAnsi="Times New Roman" w:cs="Times New Roman"/>
          <w:sz w:val="24"/>
          <w:lang w:val="lv-LV"/>
        </w:rPr>
        <w:t xml:space="preserve"> tehnoloģiskajām iespējām,</w:t>
      </w:r>
      <w:r>
        <w:rPr>
          <w:rFonts w:ascii="Times New Roman" w:hAnsi="Times New Roman" w:cs="Times New Roman"/>
          <w:sz w:val="24"/>
          <w:lang w:val="lv-LV"/>
        </w:rPr>
        <w:t xml:space="preserve"> </w:t>
      </w:r>
      <w:r w:rsidRPr="00C733C7">
        <w:rPr>
          <w:rFonts w:ascii="Times New Roman" w:hAnsi="Times New Roman" w:cs="Times New Roman"/>
          <w:sz w:val="24"/>
          <w:lang w:val="lv-LV"/>
        </w:rPr>
        <w:t xml:space="preserve">lai veicinātu Eiropas </w:t>
      </w:r>
      <w:r>
        <w:rPr>
          <w:rFonts w:ascii="Times New Roman" w:hAnsi="Times New Roman" w:cs="Times New Roman"/>
          <w:sz w:val="24"/>
          <w:lang w:val="lv-LV"/>
        </w:rPr>
        <w:t>S</w:t>
      </w:r>
      <w:r w:rsidRPr="00C733C7">
        <w:rPr>
          <w:rFonts w:ascii="Times New Roman" w:hAnsi="Times New Roman" w:cs="Times New Roman"/>
          <w:sz w:val="24"/>
          <w:lang w:val="lv-LV"/>
        </w:rPr>
        <w:t>avienības</w:t>
      </w:r>
      <w:r>
        <w:rPr>
          <w:rFonts w:ascii="Times New Roman" w:hAnsi="Times New Roman" w:cs="Times New Roman"/>
          <w:sz w:val="24"/>
          <w:lang w:val="lv-LV"/>
        </w:rPr>
        <w:t xml:space="preserve"> (turpmāk – ES)</w:t>
      </w:r>
      <w:r w:rsidRPr="00C733C7">
        <w:rPr>
          <w:rFonts w:ascii="Times New Roman" w:hAnsi="Times New Roman" w:cs="Times New Roman"/>
          <w:sz w:val="24"/>
          <w:lang w:val="lv-LV"/>
        </w:rPr>
        <w:t xml:space="preserve"> kā reģiona konkurētspēju.</w:t>
      </w:r>
      <w:r>
        <w:rPr>
          <w:rFonts w:ascii="Times New Roman" w:hAnsi="Times New Roman" w:cs="Times New Roman"/>
          <w:sz w:val="24"/>
          <w:lang w:val="lv-LV"/>
        </w:rPr>
        <w:t xml:space="preserve"> </w:t>
      </w:r>
      <w:r w:rsidRPr="00C733C7">
        <w:rPr>
          <w:rFonts w:ascii="Times New Roman" w:hAnsi="Times New Roman" w:cs="Times New Roman"/>
          <w:sz w:val="24"/>
          <w:lang w:val="lv-LV"/>
        </w:rPr>
        <w:t xml:space="preserve">Atbilstoši </w:t>
      </w:r>
      <w:r>
        <w:rPr>
          <w:rFonts w:ascii="Times New Roman" w:hAnsi="Times New Roman" w:cs="Times New Roman"/>
          <w:sz w:val="24"/>
          <w:lang w:val="lv-LV"/>
        </w:rPr>
        <w:t xml:space="preserve">šīs </w:t>
      </w:r>
      <w:r w:rsidRPr="00C733C7">
        <w:rPr>
          <w:rFonts w:ascii="Times New Roman" w:hAnsi="Times New Roman" w:cs="Times New Roman"/>
          <w:sz w:val="24"/>
          <w:lang w:val="lv-LV"/>
        </w:rPr>
        <w:t xml:space="preserve">deklarācijas 3. nodaļas 7. punktam gan </w:t>
      </w:r>
      <w:r>
        <w:rPr>
          <w:rFonts w:ascii="Times New Roman" w:hAnsi="Times New Roman" w:cs="Times New Roman"/>
          <w:sz w:val="24"/>
          <w:lang w:val="lv-LV"/>
        </w:rPr>
        <w:t>EM</w:t>
      </w:r>
      <w:r w:rsidRPr="00C733C7">
        <w:rPr>
          <w:rFonts w:ascii="Times New Roman" w:hAnsi="Times New Roman" w:cs="Times New Roman"/>
          <w:sz w:val="24"/>
          <w:lang w:val="lv-LV"/>
        </w:rPr>
        <w:t xml:space="preserve">, gan VARAM ir nominējusi pārstāvjus, kas ir </w:t>
      </w:r>
      <w:r>
        <w:rPr>
          <w:rFonts w:ascii="Times New Roman" w:hAnsi="Times New Roman" w:cs="Times New Roman"/>
          <w:sz w:val="24"/>
          <w:lang w:val="lv-LV"/>
        </w:rPr>
        <w:t xml:space="preserve">aktīvi </w:t>
      </w:r>
      <w:r w:rsidRPr="00C733C7">
        <w:rPr>
          <w:rFonts w:ascii="Times New Roman" w:hAnsi="Times New Roman" w:cs="Times New Roman"/>
          <w:sz w:val="24"/>
          <w:lang w:val="lv-LV"/>
        </w:rPr>
        <w:t xml:space="preserve">piedalījušies </w:t>
      </w:r>
      <w:r>
        <w:rPr>
          <w:rFonts w:ascii="Times New Roman" w:hAnsi="Times New Roman" w:cs="Times New Roman"/>
          <w:sz w:val="24"/>
          <w:lang w:val="lv-LV"/>
        </w:rPr>
        <w:t>pie Eiropas Blokķēdes Pakalpojumu Infrastruktūras (turpmāk - EBPI) pamatprincipu un tehniskās specifikācijas izstrādes, lai atbalstītu blokķēdes tehnoloģijas risinājumu ieviešanu ES  dalībvalstīs.</w:t>
      </w:r>
    </w:p>
    <w:p w14:paraId="55494481" w14:textId="77777777" w:rsidR="00C04D5D" w:rsidRPr="00A239F8" w:rsidRDefault="00C04D5D" w:rsidP="00C04D5D">
      <w:pPr>
        <w:spacing w:after="0"/>
        <w:ind w:firstLine="720"/>
        <w:jc w:val="both"/>
        <w:rPr>
          <w:rFonts w:ascii="Times New Roman" w:hAnsi="Times New Roman" w:cs="Times New Roman"/>
          <w:sz w:val="24"/>
          <w:lang w:val="lv-LV"/>
        </w:rPr>
      </w:pPr>
      <w:r w:rsidRPr="00A239F8">
        <w:rPr>
          <w:rFonts w:ascii="Times New Roman" w:hAnsi="Times New Roman" w:cs="Times New Roman"/>
          <w:sz w:val="24"/>
          <w:lang w:val="lv-LV"/>
        </w:rPr>
        <w:t xml:space="preserve">Informatīvajam ziņojumam pastāv sekojoši ierobežojumi: ņemot vērā blokķēdes tehnoloģijas straujo un neprognozējamo attīstību, šobrīd nav iespējams sniegt visaptverošu analīzi par tās izmantošanas perspektīvām un to ietekmi uz sabiedrību, </w:t>
      </w:r>
      <w:r>
        <w:rPr>
          <w:rFonts w:ascii="Times New Roman" w:hAnsi="Times New Roman" w:cs="Times New Roman"/>
          <w:sz w:val="24"/>
          <w:lang w:val="lv-LV"/>
        </w:rPr>
        <w:t>t</w:t>
      </w:r>
      <w:r w:rsidRPr="00A239F8">
        <w:rPr>
          <w:rFonts w:ascii="Times New Roman" w:hAnsi="Times New Roman" w:cs="Times New Roman"/>
          <w:sz w:val="24"/>
          <w:lang w:val="lv-LV"/>
        </w:rPr>
        <w:t>ādēļ informatīvajā ziņojumā sniegts vērtējums</w:t>
      </w:r>
      <w:r>
        <w:rPr>
          <w:rFonts w:ascii="Times New Roman" w:hAnsi="Times New Roman" w:cs="Times New Roman"/>
          <w:sz w:val="24"/>
          <w:lang w:val="lv-LV"/>
        </w:rPr>
        <w:t xml:space="preserve"> par būtiskākajām aktivitātēm un tendencēm</w:t>
      </w:r>
      <w:r w:rsidRPr="00A239F8">
        <w:rPr>
          <w:rFonts w:ascii="Times New Roman" w:hAnsi="Times New Roman" w:cs="Times New Roman"/>
          <w:sz w:val="24"/>
          <w:lang w:val="lv-LV"/>
        </w:rPr>
        <w:t xml:space="preserve"> kontekstā ar Latvijas normatīvajos aktos jau iekļauto tiesisko regulējumu</w:t>
      </w:r>
      <w:r>
        <w:rPr>
          <w:rFonts w:ascii="Times New Roman" w:hAnsi="Times New Roman" w:cs="Times New Roman"/>
          <w:sz w:val="24"/>
          <w:lang w:val="lv-LV"/>
        </w:rPr>
        <w:t xml:space="preserve"> un pastāvošo blokķēdes ekosistēmas stāvokli</w:t>
      </w:r>
      <w:r w:rsidRPr="00A239F8">
        <w:rPr>
          <w:rFonts w:ascii="Times New Roman" w:hAnsi="Times New Roman" w:cs="Times New Roman"/>
          <w:sz w:val="24"/>
          <w:lang w:val="lv-LV"/>
        </w:rPr>
        <w:t>, vienlaikus paredzot tālāko rīcību</w:t>
      </w:r>
      <w:r>
        <w:rPr>
          <w:rFonts w:ascii="Times New Roman" w:hAnsi="Times New Roman" w:cs="Times New Roman"/>
          <w:sz w:val="24"/>
          <w:lang w:val="lv-LV"/>
        </w:rPr>
        <w:t xml:space="preserve"> blokķēdes</w:t>
      </w:r>
      <w:r w:rsidRPr="00A239F8">
        <w:rPr>
          <w:rFonts w:ascii="Times New Roman" w:hAnsi="Times New Roman" w:cs="Times New Roman"/>
          <w:sz w:val="24"/>
          <w:lang w:val="lv-LV"/>
        </w:rPr>
        <w:t xml:space="preserve"> jomas attīstības veicināšanai Latvijā.</w:t>
      </w:r>
    </w:p>
    <w:p w14:paraId="76D5E8FE" w14:textId="77777777" w:rsidR="00C04D5D" w:rsidRDefault="00C04D5D" w:rsidP="00C04D5D">
      <w:pPr>
        <w:spacing w:after="0"/>
        <w:jc w:val="center"/>
        <w:rPr>
          <w:rFonts w:ascii="Times New Roman" w:hAnsi="Times New Roman" w:cs="Times New Roman"/>
          <w:b/>
          <w:sz w:val="28"/>
          <w:szCs w:val="28"/>
          <w:lang w:val="lv-LV"/>
        </w:rPr>
      </w:pPr>
    </w:p>
    <w:p w14:paraId="07585A34" w14:textId="77777777" w:rsidR="00C04D5D" w:rsidRPr="00D939CE" w:rsidRDefault="00C04D5D" w:rsidP="00C04D5D">
      <w:pPr>
        <w:pStyle w:val="ListParagraph"/>
        <w:numPr>
          <w:ilvl w:val="0"/>
          <w:numId w:val="14"/>
        </w:numPr>
        <w:spacing w:after="0" w:line="240" w:lineRule="auto"/>
        <w:jc w:val="both"/>
        <w:rPr>
          <w:rFonts w:ascii="Times New Roman" w:hAnsi="Times New Roman" w:cs="Times New Roman"/>
          <w:b/>
          <w:i/>
          <w:sz w:val="24"/>
          <w:szCs w:val="24"/>
          <w:lang w:val="lv-LV"/>
        </w:rPr>
      </w:pPr>
      <w:r w:rsidRPr="00D939CE">
        <w:rPr>
          <w:rFonts w:ascii="Times New Roman" w:hAnsi="Times New Roman" w:cs="Times New Roman"/>
          <w:b/>
          <w:i/>
          <w:sz w:val="24"/>
          <w:szCs w:val="24"/>
          <w:lang w:val="lv-LV"/>
        </w:rPr>
        <w:lastRenderedPageBreak/>
        <w:t>Blokķēdes tehnoloģijas apraksts un izcelsme</w:t>
      </w:r>
    </w:p>
    <w:p w14:paraId="63892F2A" w14:textId="321457C7" w:rsidR="00C04D5D" w:rsidRPr="00A239F8" w:rsidRDefault="00C04D5D" w:rsidP="00C04D5D">
      <w:pPr>
        <w:spacing w:after="0"/>
        <w:ind w:firstLine="720"/>
        <w:jc w:val="both"/>
        <w:rPr>
          <w:rFonts w:ascii="Times New Roman" w:hAnsi="Times New Roman" w:cs="Times New Roman"/>
          <w:sz w:val="24"/>
          <w:szCs w:val="24"/>
          <w:lang w:val="lv-LV"/>
        </w:rPr>
      </w:pPr>
      <w:r w:rsidRPr="0066297C">
        <w:rPr>
          <w:rFonts w:ascii="Times New Roman" w:hAnsi="Times New Roman" w:cs="Times New Roman"/>
          <w:i/>
          <w:sz w:val="24"/>
          <w:szCs w:val="24"/>
          <w:lang w:val="lv-LV"/>
        </w:rPr>
        <w:t>Blockchain</w:t>
      </w:r>
      <w:r w:rsidRPr="00A239F8">
        <w:rPr>
          <w:rFonts w:ascii="Times New Roman" w:hAnsi="Times New Roman" w:cs="Times New Roman"/>
          <w:sz w:val="24"/>
          <w:szCs w:val="24"/>
          <w:lang w:val="lv-LV"/>
        </w:rPr>
        <w:t xml:space="preserve"> jeb blokķēde ir vienots termins tehnoloģijām, kas ir radītas, lai sinhronizētu datus, kas tiek glabāti dažādos datoros </w:t>
      </w:r>
      <w:r>
        <w:rPr>
          <w:rFonts w:ascii="Times New Roman" w:hAnsi="Times New Roman" w:cs="Times New Roman"/>
          <w:sz w:val="24"/>
          <w:szCs w:val="24"/>
          <w:lang w:val="lv-LV"/>
        </w:rPr>
        <w:t>v</w:t>
      </w:r>
      <w:r w:rsidRPr="00A239F8">
        <w:rPr>
          <w:rFonts w:ascii="Times New Roman" w:hAnsi="Times New Roman" w:cs="Times New Roman"/>
          <w:sz w:val="24"/>
          <w:szCs w:val="24"/>
          <w:lang w:val="lv-LV"/>
        </w:rPr>
        <w:t xml:space="preserve">ai serveros, jebkurā pasaules vietā, izmantojot tīklu tādā veidā, </w:t>
      </w:r>
      <w:r w:rsidRPr="00A76223">
        <w:rPr>
          <w:rFonts w:ascii="Times New Roman" w:hAnsi="Times New Roman" w:cs="Times New Roman"/>
          <w:sz w:val="24"/>
          <w:szCs w:val="24"/>
          <w:lang w:val="lv-LV"/>
        </w:rPr>
        <w:t>kas ļauj šiem datiem palikt nemainīgiem.</w:t>
      </w:r>
      <w:r w:rsidRPr="00A239F8">
        <w:rPr>
          <w:rFonts w:ascii="Times New Roman" w:hAnsi="Times New Roman" w:cs="Times New Roman"/>
          <w:sz w:val="24"/>
          <w:szCs w:val="24"/>
          <w:lang w:val="lv-LV"/>
        </w:rPr>
        <w:t xml:space="preserve"> </w:t>
      </w:r>
      <w:r>
        <w:rPr>
          <w:rFonts w:ascii="Times New Roman" w:hAnsi="Times New Roman" w:cs="Times New Roman"/>
          <w:sz w:val="24"/>
          <w:szCs w:val="24"/>
          <w:lang w:val="lv-LV"/>
        </w:rPr>
        <w:t>Te</w:t>
      </w:r>
      <w:r w:rsidRPr="00A239F8">
        <w:rPr>
          <w:rFonts w:ascii="Times New Roman" w:hAnsi="Times New Roman" w:cs="Times New Roman"/>
          <w:sz w:val="24"/>
          <w:szCs w:val="24"/>
          <w:lang w:val="lv-LV"/>
        </w:rPr>
        <w:t xml:space="preserve">hnoloģijas nosaukums definē tās darbības pamatprincipu, sadalot datus blokos, kur katrs bloks ir atkarīgs no iepriekšējiem un </w:t>
      </w:r>
      <w:r>
        <w:rPr>
          <w:rFonts w:ascii="Times New Roman" w:hAnsi="Times New Roman" w:cs="Times New Roman"/>
          <w:sz w:val="24"/>
          <w:szCs w:val="24"/>
          <w:lang w:val="lv-LV"/>
        </w:rPr>
        <w:t>secīgiem b</w:t>
      </w:r>
      <w:r w:rsidRPr="00A239F8">
        <w:rPr>
          <w:rFonts w:ascii="Times New Roman" w:hAnsi="Times New Roman" w:cs="Times New Roman"/>
          <w:sz w:val="24"/>
          <w:szCs w:val="24"/>
          <w:lang w:val="lv-LV"/>
        </w:rPr>
        <w:t>lokiem, radot caurspīdīgu un pareizu informāciju, ko gandrīz nav iespējams</w:t>
      </w:r>
      <w:r>
        <w:rPr>
          <w:rFonts w:ascii="Times New Roman" w:hAnsi="Times New Roman" w:cs="Times New Roman"/>
          <w:sz w:val="24"/>
          <w:szCs w:val="24"/>
          <w:lang w:val="lv-LV"/>
        </w:rPr>
        <w:t xml:space="preserve"> </w:t>
      </w:r>
      <w:r w:rsidRPr="00A76223">
        <w:rPr>
          <w:rFonts w:ascii="Times New Roman" w:hAnsi="Times New Roman" w:cs="Times New Roman"/>
          <w:sz w:val="24"/>
          <w:szCs w:val="24"/>
          <w:lang w:val="lv-LV"/>
        </w:rPr>
        <w:t xml:space="preserve">koriģēt </w:t>
      </w:r>
      <w:r w:rsidR="00A76223" w:rsidRPr="00A76223">
        <w:rPr>
          <w:rFonts w:ascii="Times New Roman" w:hAnsi="Times New Roman" w:cs="Times New Roman"/>
          <w:sz w:val="24"/>
          <w:szCs w:val="24"/>
          <w:lang w:val="lv-LV"/>
        </w:rPr>
        <w:t>nemanīti</w:t>
      </w:r>
      <w:r>
        <w:rPr>
          <w:rFonts w:ascii="Times New Roman" w:hAnsi="Times New Roman" w:cs="Times New Roman"/>
          <w:sz w:val="24"/>
          <w:szCs w:val="24"/>
          <w:lang w:val="lv-LV"/>
        </w:rPr>
        <w:t>.</w:t>
      </w:r>
      <w:r w:rsidRPr="00A239F8">
        <w:rPr>
          <w:rFonts w:ascii="Times New Roman" w:hAnsi="Times New Roman" w:cs="Times New Roman"/>
          <w:sz w:val="24"/>
          <w:szCs w:val="24"/>
          <w:lang w:val="lv-LV"/>
        </w:rPr>
        <w:t xml:space="preserve"> Šī izkliedēt</w:t>
      </w:r>
      <w:r>
        <w:rPr>
          <w:rFonts w:ascii="Times New Roman" w:hAnsi="Times New Roman" w:cs="Times New Roman"/>
          <w:sz w:val="24"/>
          <w:szCs w:val="24"/>
          <w:lang w:val="lv-LV"/>
        </w:rPr>
        <w:t>ā</w:t>
      </w:r>
      <w:r w:rsidRPr="00A239F8">
        <w:rPr>
          <w:rFonts w:ascii="Times New Roman" w:hAnsi="Times New Roman" w:cs="Times New Roman"/>
          <w:sz w:val="24"/>
          <w:szCs w:val="24"/>
          <w:lang w:val="lv-LV"/>
        </w:rPr>
        <w:t xml:space="preserve"> datu bāze tiek sinhronizēta vienotā ķēdē, kur katrs datu ieraksts jeb bloks </w:t>
      </w:r>
      <w:r>
        <w:rPr>
          <w:rFonts w:ascii="Times New Roman" w:hAnsi="Times New Roman" w:cs="Times New Roman"/>
          <w:sz w:val="24"/>
          <w:szCs w:val="24"/>
          <w:lang w:val="lv-LV"/>
        </w:rPr>
        <w:t>tiek</w:t>
      </w:r>
      <w:r w:rsidRPr="00A239F8">
        <w:rPr>
          <w:rFonts w:ascii="Times New Roman" w:hAnsi="Times New Roman" w:cs="Times New Roman"/>
          <w:sz w:val="24"/>
          <w:szCs w:val="24"/>
          <w:lang w:val="lv-LV"/>
        </w:rPr>
        <w:t xml:space="preserve"> glabāts vairākos datoros vai serveros, saglabājot aktuālās un vēsturiski veiktās izmaiņas katrā blokā. Lai nodrošinātu satura integritāti datos, tiek izmantots vienots protokols, kur liela nozīme ir kriptogrāfijai.</w:t>
      </w:r>
    </w:p>
    <w:p w14:paraId="20E359E4" w14:textId="6747018B" w:rsidR="00C04D5D" w:rsidRDefault="00C04D5D" w:rsidP="00C04D5D">
      <w:pPr>
        <w:spacing w:after="0"/>
        <w:ind w:firstLine="720"/>
        <w:jc w:val="both"/>
        <w:rPr>
          <w:rFonts w:ascii="Times New Roman" w:hAnsi="Times New Roman" w:cs="Times New Roman"/>
          <w:sz w:val="24"/>
          <w:szCs w:val="24"/>
          <w:lang w:val="lv-LV"/>
        </w:rPr>
      </w:pPr>
      <w:r w:rsidRPr="00A239F8">
        <w:rPr>
          <w:rFonts w:ascii="Times New Roman" w:hAnsi="Times New Roman" w:cs="Times New Roman"/>
          <w:sz w:val="24"/>
          <w:szCs w:val="24"/>
          <w:lang w:val="lv-LV"/>
        </w:rPr>
        <w:t>Blokķēdes tehnoloģijas būtība ir tā</w:t>
      </w:r>
      <w:r>
        <w:rPr>
          <w:rFonts w:ascii="Times New Roman" w:hAnsi="Times New Roman" w:cs="Times New Roman"/>
          <w:sz w:val="24"/>
          <w:szCs w:val="24"/>
          <w:lang w:val="lv-LV"/>
        </w:rPr>
        <w:t>da</w:t>
      </w:r>
      <w:r w:rsidRPr="00A239F8">
        <w:rPr>
          <w:rFonts w:ascii="Times New Roman" w:hAnsi="Times New Roman" w:cs="Times New Roman"/>
          <w:sz w:val="24"/>
          <w:szCs w:val="24"/>
          <w:lang w:val="lv-LV"/>
        </w:rPr>
        <w:t xml:space="preserve">, ka sinhronizācija notiek </w:t>
      </w:r>
      <w:proofErr w:type="spellStart"/>
      <w:r w:rsidRPr="00A239F8">
        <w:rPr>
          <w:rFonts w:ascii="Times New Roman" w:hAnsi="Times New Roman" w:cs="Times New Roman"/>
          <w:sz w:val="24"/>
          <w:szCs w:val="24"/>
          <w:lang w:val="lv-LV"/>
        </w:rPr>
        <w:t>vienādranga</w:t>
      </w:r>
      <w:proofErr w:type="spellEnd"/>
      <w:r w:rsidRPr="00A239F8">
        <w:rPr>
          <w:rFonts w:ascii="Times New Roman" w:hAnsi="Times New Roman" w:cs="Times New Roman"/>
          <w:sz w:val="24"/>
          <w:szCs w:val="24"/>
          <w:lang w:val="lv-LV"/>
        </w:rPr>
        <w:t xml:space="preserve"> jeb koplietošanas veidā,</w:t>
      </w:r>
      <w:r>
        <w:rPr>
          <w:rFonts w:ascii="Times New Roman" w:hAnsi="Times New Roman" w:cs="Times New Roman"/>
          <w:sz w:val="24"/>
          <w:szCs w:val="24"/>
          <w:lang w:val="lv-LV"/>
        </w:rPr>
        <w:t xml:space="preserve"> proti,</w:t>
      </w:r>
      <w:r w:rsidRPr="00A239F8">
        <w:rPr>
          <w:rFonts w:ascii="Times New Roman" w:hAnsi="Times New Roman" w:cs="Times New Roman"/>
          <w:sz w:val="24"/>
          <w:szCs w:val="24"/>
          <w:lang w:val="lv-LV"/>
        </w:rPr>
        <w:t xml:space="preserve"> tīklā nav viens vienīgs dators, kas kontrolē visu sistēmu. </w:t>
      </w:r>
      <w:r>
        <w:rPr>
          <w:rFonts w:ascii="Times New Roman" w:hAnsi="Times New Roman" w:cs="Times New Roman"/>
          <w:sz w:val="24"/>
          <w:szCs w:val="24"/>
          <w:lang w:val="lv-LV"/>
        </w:rPr>
        <w:t xml:space="preserve">Atsevišķi </w:t>
      </w:r>
      <w:r w:rsidRPr="00A239F8">
        <w:rPr>
          <w:rFonts w:ascii="Times New Roman" w:hAnsi="Times New Roman" w:cs="Times New Roman"/>
          <w:sz w:val="24"/>
          <w:szCs w:val="24"/>
          <w:lang w:val="lv-LV"/>
        </w:rPr>
        <w:t xml:space="preserve">uzdevumi, kas ir tā dēvēto </w:t>
      </w:r>
      <w:r>
        <w:rPr>
          <w:rFonts w:ascii="Times New Roman" w:hAnsi="Times New Roman" w:cs="Times New Roman"/>
          <w:sz w:val="24"/>
          <w:szCs w:val="24"/>
          <w:lang w:val="lv-LV"/>
        </w:rPr>
        <w:t>uzticamo trešo pušu (</w:t>
      </w:r>
      <w:proofErr w:type="spellStart"/>
      <w:r>
        <w:rPr>
          <w:rFonts w:ascii="Times New Roman" w:hAnsi="Times New Roman" w:cs="Times New Roman"/>
          <w:sz w:val="24"/>
          <w:szCs w:val="24"/>
          <w:lang w:val="lv-LV"/>
        </w:rPr>
        <w:t>ang</w:t>
      </w:r>
      <w:proofErr w:type="spellEnd"/>
      <w:r>
        <w:rPr>
          <w:rFonts w:ascii="Times New Roman" w:hAnsi="Times New Roman" w:cs="Times New Roman"/>
          <w:sz w:val="24"/>
          <w:szCs w:val="24"/>
          <w:lang w:val="lv-LV"/>
        </w:rPr>
        <w:t xml:space="preserve">. </w:t>
      </w:r>
      <w:proofErr w:type="spellStart"/>
      <w:r w:rsidRPr="0066297C">
        <w:rPr>
          <w:rFonts w:ascii="Times New Roman" w:hAnsi="Times New Roman" w:cs="Times New Roman"/>
          <w:i/>
          <w:sz w:val="24"/>
          <w:szCs w:val="24"/>
          <w:lang w:val="lv-LV"/>
        </w:rPr>
        <w:t>trusted</w:t>
      </w:r>
      <w:proofErr w:type="spellEnd"/>
      <w:r w:rsidRPr="0066297C">
        <w:rPr>
          <w:rFonts w:ascii="Times New Roman" w:hAnsi="Times New Roman" w:cs="Times New Roman"/>
          <w:i/>
          <w:sz w:val="24"/>
          <w:szCs w:val="24"/>
          <w:lang w:val="lv-LV"/>
        </w:rPr>
        <w:t xml:space="preserve"> </w:t>
      </w:r>
      <w:proofErr w:type="spellStart"/>
      <w:r w:rsidRPr="0066297C">
        <w:rPr>
          <w:rFonts w:ascii="Times New Roman" w:hAnsi="Times New Roman" w:cs="Times New Roman"/>
          <w:i/>
          <w:sz w:val="24"/>
          <w:szCs w:val="24"/>
          <w:lang w:val="lv-LV"/>
        </w:rPr>
        <w:t>third</w:t>
      </w:r>
      <w:proofErr w:type="spellEnd"/>
      <w:r w:rsidRPr="0066297C">
        <w:rPr>
          <w:rFonts w:ascii="Times New Roman" w:hAnsi="Times New Roman" w:cs="Times New Roman"/>
          <w:i/>
          <w:sz w:val="24"/>
          <w:szCs w:val="24"/>
          <w:lang w:val="lv-LV"/>
        </w:rPr>
        <w:t xml:space="preserve"> </w:t>
      </w:r>
      <w:proofErr w:type="spellStart"/>
      <w:r w:rsidRPr="0066297C">
        <w:rPr>
          <w:rFonts w:ascii="Times New Roman" w:hAnsi="Times New Roman" w:cs="Times New Roman"/>
          <w:i/>
          <w:sz w:val="24"/>
          <w:szCs w:val="24"/>
          <w:lang w:val="lv-LV"/>
        </w:rPr>
        <w:t>parties</w:t>
      </w:r>
      <w:proofErr w:type="spellEnd"/>
      <w:r>
        <w:rPr>
          <w:rFonts w:ascii="Times New Roman" w:hAnsi="Times New Roman" w:cs="Times New Roman"/>
          <w:sz w:val="24"/>
          <w:szCs w:val="24"/>
          <w:lang w:val="lv-LV"/>
        </w:rPr>
        <w:t>)</w:t>
      </w:r>
      <w:r w:rsidRPr="00A239F8">
        <w:rPr>
          <w:rFonts w:ascii="Times New Roman" w:hAnsi="Times New Roman" w:cs="Times New Roman"/>
          <w:sz w:val="24"/>
          <w:szCs w:val="24"/>
          <w:lang w:val="lv-LV"/>
        </w:rPr>
        <w:t xml:space="preserve"> pārziņā </w:t>
      </w:r>
      <w:r>
        <w:rPr>
          <w:rFonts w:ascii="Times New Roman" w:hAnsi="Times New Roman" w:cs="Times New Roman"/>
          <w:sz w:val="24"/>
          <w:szCs w:val="24"/>
          <w:lang w:val="lv-LV"/>
        </w:rPr>
        <w:t>(</w:t>
      </w:r>
      <w:r w:rsidRPr="00A239F8">
        <w:rPr>
          <w:rFonts w:ascii="Times New Roman" w:hAnsi="Times New Roman" w:cs="Times New Roman"/>
          <w:sz w:val="24"/>
          <w:szCs w:val="24"/>
          <w:lang w:val="lv-LV"/>
        </w:rPr>
        <w:t>piemēram, zemes kadastra reģistr</w:t>
      </w:r>
      <w:r>
        <w:rPr>
          <w:rFonts w:ascii="Times New Roman" w:hAnsi="Times New Roman" w:cs="Times New Roman"/>
          <w:sz w:val="24"/>
          <w:szCs w:val="24"/>
          <w:lang w:val="lv-LV"/>
        </w:rPr>
        <w:t>s),</w:t>
      </w:r>
      <w:r w:rsidRPr="00A17100">
        <w:rPr>
          <w:rFonts w:ascii="Times New Roman" w:hAnsi="Times New Roman" w:cs="Times New Roman"/>
          <w:sz w:val="24"/>
          <w:szCs w:val="24"/>
          <w:lang w:val="lv-LV"/>
        </w:rPr>
        <w:t xml:space="preserve"> v</w:t>
      </w:r>
      <w:r w:rsidRPr="00A239F8">
        <w:rPr>
          <w:rFonts w:ascii="Times New Roman" w:hAnsi="Times New Roman" w:cs="Times New Roman"/>
          <w:sz w:val="24"/>
          <w:szCs w:val="24"/>
          <w:lang w:val="lv-LV"/>
        </w:rPr>
        <w:t xml:space="preserve">ar tikt izstrādāti </w:t>
      </w:r>
      <w:r>
        <w:rPr>
          <w:rFonts w:ascii="Times New Roman" w:hAnsi="Times New Roman" w:cs="Times New Roman"/>
          <w:sz w:val="24"/>
          <w:szCs w:val="24"/>
          <w:lang w:val="lv-LV"/>
        </w:rPr>
        <w:t xml:space="preserve">atšķirīgi </w:t>
      </w:r>
      <w:r w:rsidRPr="00A239F8">
        <w:rPr>
          <w:rFonts w:ascii="Times New Roman" w:hAnsi="Times New Roman" w:cs="Times New Roman"/>
          <w:sz w:val="24"/>
          <w:szCs w:val="24"/>
          <w:lang w:val="lv-LV"/>
        </w:rPr>
        <w:t>vai pat kļūt lieki. Tas galvenokārt attiecināms uz neapgāžamu, konkrētu datu reģistrēšanu un standarta pārbaužu veikšanu.</w:t>
      </w:r>
    </w:p>
    <w:p w14:paraId="4CFC4E6D" w14:textId="77777777" w:rsidR="00C04D5D" w:rsidRDefault="00C04D5D" w:rsidP="00C04D5D">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Svarīgi ir nošķirt divus atšķirīgus terminus– </w:t>
      </w:r>
      <w:proofErr w:type="spellStart"/>
      <w:r w:rsidRPr="00D171DE">
        <w:rPr>
          <w:rFonts w:ascii="Times New Roman" w:hAnsi="Times New Roman" w:cs="Times New Roman"/>
          <w:i/>
          <w:sz w:val="24"/>
          <w:szCs w:val="24"/>
          <w:lang w:val="lv-LV"/>
        </w:rPr>
        <w:t>blokķēde</w:t>
      </w:r>
      <w:proofErr w:type="spellEnd"/>
      <w:r>
        <w:rPr>
          <w:rFonts w:ascii="Times New Roman" w:hAnsi="Times New Roman" w:cs="Times New Roman"/>
          <w:sz w:val="24"/>
          <w:szCs w:val="24"/>
          <w:lang w:val="lv-LV"/>
        </w:rPr>
        <w:t xml:space="preserve"> un </w:t>
      </w:r>
      <w:proofErr w:type="spellStart"/>
      <w:r w:rsidRPr="00D171DE">
        <w:rPr>
          <w:rFonts w:ascii="Times New Roman" w:hAnsi="Times New Roman" w:cs="Times New Roman"/>
          <w:i/>
          <w:sz w:val="24"/>
          <w:szCs w:val="24"/>
          <w:lang w:val="lv-LV"/>
        </w:rPr>
        <w:t>kriptovalūta</w:t>
      </w:r>
      <w:proofErr w:type="spellEnd"/>
      <w:r>
        <w:rPr>
          <w:rFonts w:ascii="Times New Roman" w:hAnsi="Times New Roman" w:cs="Times New Roman"/>
          <w:sz w:val="24"/>
          <w:szCs w:val="24"/>
          <w:lang w:val="lv-LV"/>
        </w:rPr>
        <w:t>. Lai gan abi ir savstarpēji saistīti, galvenā</w:t>
      </w:r>
      <w:r w:rsidRPr="00A239F8">
        <w:rPr>
          <w:rFonts w:ascii="Times New Roman" w:hAnsi="Times New Roman" w:cs="Times New Roman"/>
          <w:sz w:val="24"/>
          <w:szCs w:val="24"/>
          <w:lang w:val="lv-LV"/>
        </w:rPr>
        <w:t xml:space="preserve"> atšķirība starp šiem jēdzieniem ir saistīta </w:t>
      </w:r>
      <w:r>
        <w:rPr>
          <w:rFonts w:ascii="Times New Roman" w:hAnsi="Times New Roman" w:cs="Times New Roman"/>
          <w:sz w:val="24"/>
          <w:szCs w:val="24"/>
          <w:lang w:val="lv-LV"/>
        </w:rPr>
        <w:t xml:space="preserve">tehnoloģijas darbības pamatprincipu. </w:t>
      </w:r>
      <w:r w:rsidRPr="00C83CDC">
        <w:rPr>
          <w:rFonts w:ascii="Times New Roman" w:hAnsi="Times New Roman" w:cs="Times New Roman"/>
          <w:sz w:val="24"/>
          <w:szCs w:val="24"/>
          <w:lang w:val="lv-LV"/>
        </w:rPr>
        <w:t>Blokķēde</w:t>
      </w:r>
      <w:r>
        <w:rPr>
          <w:rFonts w:ascii="Times New Roman" w:hAnsi="Times New Roman" w:cs="Times New Roman"/>
          <w:sz w:val="24"/>
          <w:szCs w:val="24"/>
          <w:lang w:val="lv-LV"/>
        </w:rPr>
        <w:t>s tehnoloģijas pamatā</w:t>
      </w:r>
      <w:r w:rsidRPr="00C83CDC">
        <w:rPr>
          <w:rFonts w:ascii="Times New Roman" w:hAnsi="Times New Roman" w:cs="Times New Roman"/>
          <w:sz w:val="24"/>
          <w:szCs w:val="24"/>
          <w:lang w:val="lv-LV"/>
        </w:rPr>
        <w:t xml:space="preserve"> ir izkliedēta (</w:t>
      </w:r>
      <w:proofErr w:type="spellStart"/>
      <w:r>
        <w:rPr>
          <w:rFonts w:ascii="Times New Roman" w:hAnsi="Times New Roman" w:cs="Times New Roman"/>
          <w:sz w:val="24"/>
          <w:szCs w:val="24"/>
          <w:lang w:val="lv-LV"/>
        </w:rPr>
        <w:t>ang</w:t>
      </w:r>
      <w:proofErr w:type="spellEnd"/>
      <w:r>
        <w:rPr>
          <w:rFonts w:ascii="Times New Roman" w:hAnsi="Times New Roman" w:cs="Times New Roman"/>
          <w:sz w:val="24"/>
          <w:szCs w:val="24"/>
          <w:lang w:val="lv-LV"/>
        </w:rPr>
        <w:t xml:space="preserve">. </w:t>
      </w:r>
      <w:proofErr w:type="spellStart"/>
      <w:r w:rsidRPr="0004741A">
        <w:rPr>
          <w:rFonts w:ascii="Times New Roman" w:hAnsi="Times New Roman" w:cs="Times New Roman"/>
          <w:i/>
          <w:sz w:val="24"/>
          <w:szCs w:val="24"/>
          <w:lang w:val="lv-LV"/>
        </w:rPr>
        <w:t>distributed</w:t>
      </w:r>
      <w:proofErr w:type="spellEnd"/>
      <w:r w:rsidRPr="00C83CDC">
        <w:rPr>
          <w:rFonts w:ascii="Times New Roman" w:hAnsi="Times New Roman" w:cs="Times New Roman"/>
          <w:sz w:val="24"/>
          <w:szCs w:val="24"/>
          <w:lang w:val="lv-LV"/>
        </w:rPr>
        <w:t>) datubāze (nevis centralizēta vai decentralizēta), kas ir pastāvīgi augošs sakārtotu ierakstu kopums, kurus dēvē par blokiem</w:t>
      </w:r>
      <w:r>
        <w:rPr>
          <w:rFonts w:ascii="Times New Roman" w:hAnsi="Times New Roman" w:cs="Times New Roman"/>
          <w:sz w:val="24"/>
          <w:szCs w:val="24"/>
          <w:lang w:val="lv-LV"/>
        </w:rPr>
        <w:t>. Izkliedētās virsgrāmatas tehnoloģija (</w:t>
      </w:r>
      <w:proofErr w:type="spellStart"/>
      <w:r>
        <w:rPr>
          <w:rFonts w:ascii="Times New Roman" w:hAnsi="Times New Roman" w:cs="Times New Roman"/>
          <w:sz w:val="24"/>
          <w:szCs w:val="24"/>
          <w:lang w:val="lv-LV"/>
        </w:rPr>
        <w:t>ang</w:t>
      </w:r>
      <w:proofErr w:type="spellEnd"/>
      <w:r>
        <w:rPr>
          <w:rFonts w:ascii="Times New Roman" w:hAnsi="Times New Roman" w:cs="Times New Roman"/>
          <w:sz w:val="24"/>
          <w:szCs w:val="24"/>
          <w:lang w:val="lv-LV"/>
        </w:rPr>
        <w:t xml:space="preserve">. </w:t>
      </w:r>
      <w:proofErr w:type="spellStart"/>
      <w:r w:rsidRPr="00BB6E4A">
        <w:rPr>
          <w:rFonts w:ascii="Times New Roman" w:hAnsi="Times New Roman" w:cs="Times New Roman"/>
          <w:i/>
          <w:sz w:val="24"/>
          <w:szCs w:val="24"/>
          <w:lang w:val="lv-LV"/>
        </w:rPr>
        <w:t>Distributed</w:t>
      </w:r>
      <w:proofErr w:type="spellEnd"/>
      <w:r w:rsidRPr="00BB6E4A">
        <w:rPr>
          <w:rFonts w:ascii="Times New Roman" w:hAnsi="Times New Roman" w:cs="Times New Roman"/>
          <w:i/>
          <w:sz w:val="24"/>
          <w:szCs w:val="24"/>
          <w:lang w:val="lv-LV"/>
        </w:rPr>
        <w:t xml:space="preserve"> </w:t>
      </w:r>
      <w:proofErr w:type="spellStart"/>
      <w:r w:rsidRPr="00BB6E4A">
        <w:rPr>
          <w:rFonts w:ascii="Times New Roman" w:hAnsi="Times New Roman" w:cs="Times New Roman"/>
          <w:i/>
          <w:sz w:val="24"/>
          <w:szCs w:val="24"/>
          <w:lang w:val="lv-LV"/>
        </w:rPr>
        <w:t>ledger</w:t>
      </w:r>
      <w:proofErr w:type="spellEnd"/>
      <w:r w:rsidRPr="00BB6E4A">
        <w:rPr>
          <w:rFonts w:ascii="Times New Roman" w:hAnsi="Times New Roman" w:cs="Times New Roman"/>
          <w:i/>
          <w:sz w:val="24"/>
          <w:szCs w:val="24"/>
          <w:lang w:val="lv-LV"/>
        </w:rPr>
        <w:t xml:space="preserve"> </w:t>
      </w:r>
      <w:proofErr w:type="spellStart"/>
      <w:r w:rsidRPr="00BB6E4A">
        <w:rPr>
          <w:rFonts w:ascii="Times New Roman" w:hAnsi="Times New Roman" w:cs="Times New Roman"/>
          <w:i/>
          <w:sz w:val="24"/>
          <w:szCs w:val="24"/>
          <w:lang w:val="lv-LV"/>
        </w:rPr>
        <w:t>technology</w:t>
      </w:r>
      <w:proofErr w:type="spellEnd"/>
      <w:r w:rsidRPr="00D939CE">
        <w:rPr>
          <w:rFonts w:ascii="Times New Roman" w:hAnsi="Times New Roman" w:cs="Times New Roman"/>
          <w:sz w:val="24"/>
          <w:szCs w:val="24"/>
          <w:lang w:val="lv-LV"/>
        </w:rPr>
        <w:t xml:space="preserve"> (DLT)</w:t>
      </w:r>
      <w:r>
        <w:rPr>
          <w:rFonts w:ascii="Times New Roman" w:hAnsi="Times New Roman" w:cs="Times New Roman"/>
          <w:sz w:val="24"/>
          <w:szCs w:val="24"/>
          <w:lang w:val="lv-LV"/>
        </w:rPr>
        <w:t xml:space="preserve">) ir blokķēdes tehnoloģijas pamats. Tā </w:t>
      </w:r>
      <w:r w:rsidRPr="00D939CE">
        <w:rPr>
          <w:rFonts w:ascii="Times New Roman" w:hAnsi="Times New Roman" w:cs="Times New Roman"/>
          <w:sz w:val="24"/>
          <w:szCs w:val="24"/>
          <w:lang w:val="lv-LV"/>
        </w:rPr>
        <w:t>piedāvā konsensa validācijas mehānismu</w:t>
      </w:r>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ang</w:t>
      </w:r>
      <w:proofErr w:type="spellEnd"/>
      <w:r>
        <w:rPr>
          <w:rFonts w:ascii="Times New Roman" w:hAnsi="Times New Roman" w:cs="Times New Roman"/>
          <w:sz w:val="24"/>
          <w:szCs w:val="24"/>
          <w:lang w:val="lv-LV"/>
        </w:rPr>
        <w:t xml:space="preserve">. </w:t>
      </w:r>
      <w:proofErr w:type="spellStart"/>
      <w:r w:rsidR="0066297C" w:rsidRPr="00BB6E4A">
        <w:rPr>
          <w:rFonts w:ascii="Times New Roman" w:hAnsi="Times New Roman" w:cs="Times New Roman"/>
          <w:i/>
          <w:sz w:val="24"/>
          <w:szCs w:val="24"/>
          <w:lang w:val="lv-LV"/>
        </w:rPr>
        <w:t>C</w:t>
      </w:r>
      <w:r w:rsidRPr="00BB6E4A">
        <w:rPr>
          <w:rFonts w:ascii="Times New Roman" w:hAnsi="Times New Roman" w:cs="Times New Roman"/>
          <w:i/>
          <w:sz w:val="24"/>
          <w:szCs w:val="24"/>
          <w:lang w:val="lv-LV"/>
        </w:rPr>
        <w:t>onsensus</w:t>
      </w:r>
      <w:proofErr w:type="spellEnd"/>
      <w:r w:rsidR="0066297C">
        <w:rPr>
          <w:rFonts w:ascii="Times New Roman" w:hAnsi="Times New Roman" w:cs="Times New Roman"/>
          <w:i/>
          <w:sz w:val="24"/>
          <w:szCs w:val="24"/>
          <w:lang w:val="lv-LV"/>
        </w:rPr>
        <w:t xml:space="preserve"> </w:t>
      </w:r>
      <w:proofErr w:type="spellStart"/>
      <w:r w:rsidR="0066297C">
        <w:rPr>
          <w:rFonts w:ascii="Times New Roman" w:hAnsi="Times New Roman" w:cs="Times New Roman"/>
          <w:i/>
          <w:sz w:val="24"/>
          <w:szCs w:val="24"/>
          <w:lang w:val="lv-LV"/>
        </w:rPr>
        <w:t>validation</w:t>
      </w:r>
      <w:proofErr w:type="spellEnd"/>
      <w:r w:rsidRPr="00BB6E4A">
        <w:rPr>
          <w:rFonts w:ascii="Times New Roman" w:hAnsi="Times New Roman" w:cs="Times New Roman"/>
          <w:i/>
          <w:sz w:val="24"/>
          <w:szCs w:val="24"/>
          <w:lang w:val="lv-LV"/>
        </w:rPr>
        <w:t xml:space="preserve"> </w:t>
      </w:r>
      <w:proofErr w:type="spellStart"/>
      <w:r w:rsidRPr="00BB6E4A">
        <w:rPr>
          <w:rFonts w:ascii="Times New Roman" w:hAnsi="Times New Roman" w:cs="Times New Roman"/>
          <w:i/>
          <w:sz w:val="24"/>
          <w:szCs w:val="24"/>
          <w:lang w:val="lv-LV"/>
        </w:rPr>
        <w:t>mechanism</w:t>
      </w:r>
      <w:proofErr w:type="spellEnd"/>
      <w:r>
        <w:rPr>
          <w:rFonts w:ascii="Times New Roman" w:hAnsi="Times New Roman" w:cs="Times New Roman"/>
          <w:sz w:val="24"/>
          <w:szCs w:val="24"/>
          <w:lang w:val="lv-LV"/>
        </w:rPr>
        <w:t>)</w:t>
      </w:r>
      <w:r w:rsidRPr="00D939CE">
        <w:rPr>
          <w:rFonts w:ascii="Times New Roman" w:hAnsi="Times New Roman" w:cs="Times New Roman"/>
          <w:sz w:val="24"/>
          <w:szCs w:val="24"/>
          <w:lang w:val="lv-LV"/>
        </w:rPr>
        <w:t xml:space="preserve">, kas tiek izmantots datora un </w:t>
      </w:r>
      <w:r>
        <w:rPr>
          <w:rFonts w:ascii="Times New Roman" w:hAnsi="Times New Roman" w:cs="Times New Roman"/>
          <w:sz w:val="24"/>
          <w:szCs w:val="24"/>
          <w:lang w:val="lv-LV"/>
        </w:rPr>
        <w:t>blokķēdes</w:t>
      </w:r>
      <w:r w:rsidRPr="00D939CE">
        <w:rPr>
          <w:rFonts w:ascii="Times New Roman" w:hAnsi="Times New Roman" w:cs="Times New Roman"/>
          <w:sz w:val="24"/>
          <w:szCs w:val="24"/>
          <w:lang w:val="lv-LV"/>
        </w:rPr>
        <w:t xml:space="preserve"> sistēmās</w:t>
      </w:r>
      <w:r>
        <w:rPr>
          <w:rFonts w:ascii="Times New Roman" w:hAnsi="Times New Roman" w:cs="Times New Roman"/>
          <w:sz w:val="24"/>
          <w:szCs w:val="24"/>
          <w:lang w:val="lv-LV"/>
        </w:rPr>
        <w:t>, izmantojot datoru tīklu</w:t>
      </w:r>
      <w:r w:rsidRPr="00D939CE">
        <w:rPr>
          <w:rFonts w:ascii="Times New Roman" w:hAnsi="Times New Roman" w:cs="Times New Roman"/>
          <w:sz w:val="24"/>
          <w:szCs w:val="24"/>
          <w:lang w:val="lv-LV"/>
        </w:rPr>
        <w:t>, lai panāktu vajadzīgo vienošanos par vienotu datu vērtību vai tīkla stāvokli starp</w:t>
      </w:r>
      <w:r>
        <w:rPr>
          <w:rFonts w:ascii="Times New Roman" w:hAnsi="Times New Roman" w:cs="Times New Roman"/>
          <w:sz w:val="24"/>
          <w:szCs w:val="24"/>
          <w:lang w:val="lv-LV"/>
        </w:rPr>
        <w:t xml:space="preserve"> izkliedētiem</w:t>
      </w:r>
      <w:r w:rsidRPr="00D939CE">
        <w:rPr>
          <w:rFonts w:ascii="Times New Roman" w:hAnsi="Times New Roman" w:cs="Times New Roman"/>
          <w:sz w:val="24"/>
          <w:szCs w:val="24"/>
          <w:lang w:val="lv-LV"/>
        </w:rPr>
        <w:t xml:space="preserve"> darījum</w:t>
      </w:r>
      <w:r>
        <w:rPr>
          <w:rFonts w:ascii="Times New Roman" w:hAnsi="Times New Roman" w:cs="Times New Roman"/>
          <w:sz w:val="24"/>
          <w:szCs w:val="24"/>
          <w:lang w:val="lv-LV"/>
        </w:rPr>
        <w:t xml:space="preserve">iem </w:t>
      </w:r>
      <w:r w:rsidRPr="00D939CE">
        <w:rPr>
          <w:rFonts w:ascii="Times New Roman" w:hAnsi="Times New Roman" w:cs="Times New Roman"/>
          <w:sz w:val="24"/>
          <w:szCs w:val="24"/>
          <w:lang w:val="lv-LV"/>
        </w:rPr>
        <w:t xml:space="preserve">bez starpnieka </w:t>
      </w:r>
      <w:r>
        <w:rPr>
          <w:rFonts w:ascii="Times New Roman" w:hAnsi="Times New Roman" w:cs="Times New Roman"/>
          <w:sz w:val="24"/>
          <w:szCs w:val="24"/>
          <w:lang w:val="lv-LV"/>
        </w:rPr>
        <w:t>un</w:t>
      </w:r>
      <w:r w:rsidRPr="00D939CE">
        <w:rPr>
          <w:rFonts w:ascii="Times New Roman" w:hAnsi="Times New Roman" w:cs="Times New Roman"/>
          <w:sz w:val="24"/>
          <w:szCs w:val="24"/>
          <w:lang w:val="lv-LV"/>
        </w:rPr>
        <w:t xml:space="preserve"> centralizētas</w:t>
      </w:r>
      <w:r w:rsidR="0066297C">
        <w:rPr>
          <w:rFonts w:ascii="Times New Roman" w:hAnsi="Times New Roman" w:cs="Times New Roman"/>
          <w:sz w:val="24"/>
          <w:szCs w:val="24"/>
          <w:lang w:val="lv-LV"/>
        </w:rPr>
        <w:t xml:space="preserve"> </w:t>
      </w:r>
      <w:r w:rsidRPr="00D939CE">
        <w:rPr>
          <w:rFonts w:ascii="Times New Roman" w:hAnsi="Times New Roman" w:cs="Times New Roman"/>
          <w:sz w:val="24"/>
          <w:szCs w:val="24"/>
          <w:lang w:val="lv-LV"/>
        </w:rPr>
        <w:t>iestādes nepieciešamības atjaunināt un uzturēt</w:t>
      </w:r>
      <w:r>
        <w:rPr>
          <w:rFonts w:ascii="Times New Roman" w:hAnsi="Times New Roman" w:cs="Times New Roman"/>
          <w:sz w:val="24"/>
          <w:szCs w:val="24"/>
          <w:lang w:val="lv-LV"/>
        </w:rPr>
        <w:t xml:space="preserve"> šo</w:t>
      </w:r>
      <w:r w:rsidRPr="00D939CE">
        <w:rPr>
          <w:rFonts w:ascii="Times New Roman" w:hAnsi="Times New Roman" w:cs="Times New Roman"/>
          <w:sz w:val="24"/>
          <w:szCs w:val="24"/>
          <w:lang w:val="lv-LV"/>
        </w:rPr>
        <w:t xml:space="preserve"> informāciju, kas iegūta no darījumiem.</w:t>
      </w:r>
      <w:r w:rsidRPr="00C83CDC">
        <w:rPr>
          <w:rFonts w:ascii="Times New Roman" w:hAnsi="Times New Roman" w:cs="Times New Roman"/>
          <w:sz w:val="24"/>
          <w:szCs w:val="24"/>
          <w:lang w:val="lv-LV"/>
        </w:rPr>
        <w:t xml:space="preserve"> </w:t>
      </w:r>
      <w:r>
        <w:rPr>
          <w:rFonts w:ascii="Times New Roman" w:hAnsi="Times New Roman" w:cs="Times New Roman"/>
          <w:sz w:val="24"/>
          <w:szCs w:val="24"/>
          <w:lang w:val="lv-LV"/>
        </w:rPr>
        <w:t>1. attēls vizualizē datubāžu shēmas un to atšķirības.</w:t>
      </w:r>
    </w:p>
    <w:p w14:paraId="06599A32" w14:textId="77777777" w:rsidR="00941B0D" w:rsidRPr="00941B0D" w:rsidRDefault="00941B0D" w:rsidP="00941B0D">
      <w:pPr>
        <w:pStyle w:val="BodyTextFirstIndent"/>
        <w:spacing w:after="0" w:line="240" w:lineRule="auto"/>
        <w:ind w:left="720" w:firstLine="0"/>
        <w:jc w:val="right"/>
        <w:rPr>
          <w:sz w:val="20"/>
        </w:rPr>
      </w:pPr>
      <w:r w:rsidRPr="00941B0D">
        <w:rPr>
          <w:sz w:val="20"/>
        </w:rPr>
        <w:t xml:space="preserve">1. attēls </w:t>
      </w:r>
    </w:p>
    <w:p w14:paraId="367D2789" w14:textId="77777777" w:rsidR="00941B0D" w:rsidRPr="00941B0D" w:rsidRDefault="00941B0D" w:rsidP="00941B0D">
      <w:pPr>
        <w:pStyle w:val="BodyTextFirstIndent"/>
        <w:spacing w:after="0" w:line="240" w:lineRule="auto"/>
        <w:ind w:left="720" w:firstLine="0"/>
        <w:jc w:val="right"/>
        <w:rPr>
          <w:sz w:val="20"/>
        </w:rPr>
      </w:pPr>
      <w:r w:rsidRPr="00941B0D">
        <w:rPr>
          <w:i/>
          <w:sz w:val="20"/>
        </w:rPr>
        <w:t>Blokķēdes tehnoloģijas datubāzes shēmas</w:t>
      </w:r>
    </w:p>
    <w:p w14:paraId="7A629586" w14:textId="77777777" w:rsidR="00941B0D" w:rsidRDefault="00941B0D" w:rsidP="00C04D5D">
      <w:pPr>
        <w:spacing w:after="0" w:line="240" w:lineRule="auto"/>
        <w:ind w:firstLine="720"/>
        <w:jc w:val="both"/>
        <w:rPr>
          <w:rFonts w:ascii="Times New Roman" w:hAnsi="Times New Roman" w:cs="Times New Roman"/>
          <w:sz w:val="24"/>
          <w:szCs w:val="24"/>
          <w:lang w:val="lv-LV"/>
        </w:rPr>
      </w:pPr>
      <w:r w:rsidRPr="00A239F8">
        <w:rPr>
          <w:rFonts w:ascii="Times New Roman" w:hAnsi="Times New Roman" w:cs="Times New Roman"/>
          <w:noProof/>
          <w:sz w:val="24"/>
          <w:szCs w:val="24"/>
          <w:shd w:val="clear" w:color="auto" w:fill="FFFFFF"/>
          <w:lang w:val="lv-LV" w:eastAsia="lv-LV"/>
        </w:rPr>
        <w:drawing>
          <wp:anchor distT="0" distB="0" distL="114300" distR="114300" simplePos="0" relativeHeight="251662336" behindDoc="0" locked="0" layoutInCell="1" allowOverlap="1" wp14:anchorId="33FC7999" wp14:editId="77D1A0A8">
            <wp:simplePos x="0" y="0"/>
            <wp:positionH relativeFrom="margin">
              <wp:posOffset>1000125</wp:posOffset>
            </wp:positionH>
            <wp:positionV relativeFrom="paragraph">
              <wp:posOffset>276225</wp:posOffset>
            </wp:positionV>
            <wp:extent cx="3114675" cy="2058035"/>
            <wp:effectExtent l="0" t="0" r="9525" b="0"/>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114675" cy="2058035"/>
                    </a:xfrm>
                    <a:prstGeom prst="rect">
                      <a:avLst/>
                    </a:prstGeom>
                  </pic:spPr>
                </pic:pic>
              </a:graphicData>
            </a:graphic>
            <wp14:sizeRelH relativeFrom="margin">
              <wp14:pctWidth>0</wp14:pctWidth>
            </wp14:sizeRelH>
            <wp14:sizeRelV relativeFrom="margin">
              <wp14:pctHeight>0</wp14:pctHeight>
            </wp14:sizeRelV>
          </wp:anchor>
        </w:drawing>
      </w:r>
    </w:p>
    <w:p w14:paraId="330F1EF4" w14:textId="77777777" w:rsidR="00C04D5D" w:rsidRDefault="00C04D5D" w:rsidP="00C04D5D">
      <w:pPr>
        <w:spacing w:after="0"/>
        <w:ind w:firstLine="720"/>
        <w:jc w:val="both"/>
        <w:rPr>
          <w:rFonts w:ascii="Times New Roman" w:hAnsi="Times New Roman" w:cs="Times New Roman"/>
          <w:sz w:val="24"/>
          <w:szCs w:val="24"/>
          <w:lang w:val="lv-LV"/>
        </w:rPr>
      </w:pPr>
      <w:r w:rsidRPr="005D717A">
        <w:rPr>
          <w:rFonts w:ascii="Times New Roman" w:hAnsi="Times New Roman" w:cs="Times New Roman"/>
          <w:sz w:val="24"/>
          <w:szCs w:val="24"/>
          <w:lang w:val="lv-LV"/>
        </w:rPr>
        <w:t xml:space="preserve">Viena </w:t>
      </w:r>
      <w:r>
        <w:rPr>
          <w:rFonts w:ascii="Times New Roman" w:hAnsi="Times New Roman" w:cs="Times New Roman"/>
          <w:sz w:val="24"/>
          <w:szCs w:val="24"/>
          <w:lang w:val="lv-LV"/>
        </w:rPr>
        <w:t xml:space="preserve">no </w:t>
      </w:r>
      <w:r w:rsidRPr="005D717A">
        <w:rPr>
          <w:rFonts w:ascii="Times New Roman" w:hAnsi="Times New Roman" w:cs="Times New Roman"/>
          <w:sz w:val="24"/>
          <w:szCs w:val="24"/>
          <w:lang w:val="lv-LV"/>
        </w:rPr>
        <w:t>liet</w:t>
      </w:r>
      <w:r>
        <w:rPr>
          <w:rFonts w:ascii="Times New Roman" w:hAnsi="Times New Roman" w:cs="Times New Roman"/>
          <w:sz w:val="24"/>
          <w:szCs w:val="24"/>
          <w:lang w:val="lv-LV"/>
        </w:rPr>
        <w:t>ām, kas bieži vien tiek jaukta</w:t>
      </w:r>
      <w:r w:rsidRPr="005D717A">
        <w:rPr>
          <w:rFonts w:ascii="Times New Roman" w:hAnsi="Times New Roman" w:cs="Times New Roman"/>
          <w:sz w:val="24"/>
          <w:szCs w:val="24"/>
          <w:lang w:val="lv-LV"/>
        </w:rPr>
        <w:t xml:space="preserve">, ir pati </w:t>
      </w:r>
      <w:r>
        <w:rPr>
          <w:rFonts w:ascii="Times New Roman" w:hAnsi="Times New Roman" w:cs="Times New Roman"/>
          <w:sz w:val="24"/>
          <w:szCs w:val="24"/>
          <w:lang w:val="lv-LV"/>
        </w:rPr>
        <w:t>b</w:t>
      </w:r>
      <w:r w:rsidRPr="005D717A">
        <w:rPr>
          <w:rFonts w:ascii="Times New Roman" w:hAnsi="Times New Roman" w:cs="Times New Roman"/>
          <w:sz w:val="24"/>
          <w:szCs w:val="24"/>
          <w:lang w:val="lv-LV"/>
        </w:rPr>
        <w:t xml:space="preserve">lokķēde un </w:t>
      </w:r>
      <w:r>
        <w:rPr>
          <w:rFonts w:ascii="Times New Roman" w:hAnsi="Times New Roman" w:cs="Times New Roman"/>
          <w:sz w:val="24"/>
          <w:szCs w:val="24"/>
          <w:lang w:val="lv-LV"/>
        </w:rPr>
        <w:t>b</w:t>
      </w:r>
      <w:r w:rsidRPr="005D717A">
        <w:rPr>
          <w:rFonts w:ascii="Times New Roman" w:hAnsi="Times New Roman" w:cs="Times New Roman"/>
          <w:sz w:val="24"/>
          <w:szCs w:val="24"/>
          <w:lang w:val="lv-LV"/>
        </w:rPr>
        <w:t xml:space="preserve">lokķēdes lietošanas gadījumi. </w:t>
      </w:r>
      <w:r>
        <w:rPr>
          <w:rFonts w:ascii="Times New Roman" w:hAnsi="Times New Roman" w:cs="Times New Roman"/>
          <w:sz w:val="24"/>
          <w:szCs w:val="24"/>
          <w:lang w:val="lv-LV"/>
        </w:rPr>
        <w:t>Virtuāl</w:t>
      </w:r>
      <w:r w:rsidR="0066297C">
        <w:rPr>
          <w:rFonts w:ascii="Times New Roman" w:hAnsi="Times New Roman" w:cs="Times New Roman"/>
          <w:sz w:val="24"/>
          <w:szCs w:val="24"/>
          <w:lang w:val="lv-LV"/>
        </w:rPr>
        <w:t>ās</w:t>
      </w:r>
      <w:r>
        <w:rPr>
          <w:rFonts w:ascii="Times New Roman" w:hAnsi="Times New Roman" w:cs="Times New Roman"/>
          <w:sz w:val="24"/>
          <w:szCs w:val="24"/>
          <w:lang w:val="lv-LV"/>
        </w:rPr>
        <w:t xml:space="preserve"> valūt</w:t>
      </w:r>
      <w:r w:rsidR="0066297C">
        <w:rPr>
          <w:rFonts w:ascii="Times New Roman" w:hAnsi="Times New Roman" w:cs="Times New Roman"/>
          <w:sz w:val="24"/>
          <w:szCs w:val="24"/>
          <w:lang w:val="lv-LV"/>
        </w:rPr>
        <w:t>as</w:t>
      </w:r>
      <w:r>
        <w:rPr>
          <w:rFonts w:ascii="Times New Roman" w:hAnsi="Times New Roman" w:cs="Times New Roman"/>
          <w:sz w:val="24"/>
          <w:szCs w:val="24"/>
          <w:lang w:val="lv-LV"/>
        </w:rPr>
        <w:t xml:space="preserve"> - </w:t>
      </w:r>
      <w:proofErr w:type="spellStart"/>
      <w:r w:rsidRPr="005D717A">
        <w:rPr>
          <w:rFonts w:ascii="Times New Roman" w:hAnsi="Times New Roman" w:cs="Times New Roman"/>
          <w:sz w:val="24"/>
          <w:szCs w:val="24"/>
          <w:lang w:val="lv-LV"/>
        </w:rPr>
        <w:t>Bitcoin</w:t>
      </w:r>
      <w:proofErr w:type="spellEnd"/>
      <w:r w:rsidRPr="005D717A">
        <w:rPr>
          <w:rFonts w:ascii="Times New Roman" w:hAnsi="Times New Roman" w:cs="Times New Roman"/>
          <w:sz w:val="24"/>
          <w:szCs w:val="24"/>
          <w:lang w:val="lv-LV"/>
        </w:rPr>
        <w:t xml:space="preserve"> un </w:t>
      </w:r>
      <w:proofErr w:type="spellStart"/>
      <w:r w:rsidRPr="005D717A">
        <w:rPr>
          <w:rFonts w:ascii="Times New Roman" w:hAnsi="Times New Roman" w:cs="Times New Roman"/>
          <w:sz w:val="24"/>
          <w:szCs w:val="24"/>
          <w:lang w:val="lv-LV"/>
        </w:rPr>
        <w:t>Ethereum</w:t>
      </w:r>
      <w:proofErr w:type="spellEnd"/>
      <w:r w:rsidRPr="005D717A">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r w:rsidRPr="005D717A">
        <w:rPr>
          <w:rFonts w:ascii="Times New Roman" w:hAnsi="Times New Roman" w:cs="Times New Roman"/>
          <w:sz w:val="24"/>
          <w:szCs w:val="24"/>
          <w:lang w:val="lv-LV"/>
        </w:rPr>
        <w:t xml:space="preserve">ir </w:t>
      </w:r>
      <w:r>
        <w:rPr>
          <w:rFonts w:ascii="Times New Roman" w:hAnsi="Times New Roman" w:cs="Times New Roman"/>
          <w:sz w:val="24"/>
          <w:szCs w:val="24"/>
          <w:lang w:val="lv-LV"/>
        </w:rPr>
        <w:t xml:space="preserve">tehnoloģijas </w:t>
      </w:r>
      <w:r w:rsidRPr="005D717A">
        <w:rPr>
          <w:rFonts w:ascii="Times New Roman" w:hAnsi="Times New Roman" w:cs="Times New Roman"/>
          <w:sz w:val="24"/>
          <w:szCs w:val="24"/>
          <w:lang w:val="lv-LV"/>
        </w:rPr>
        <w:t xml:space="preserve">izmantošanas </w:t>
      </w:r>
      <w:r>
        <w:rPr>
          <w:rFonts w:ascii="Times New Roman" w:hAnsi="Times New Roman" w:cs="Times New Roman"/>
          <w:sz w:val="24"/>
          <w:szCs w:val="24"/>
          <w:lang w:val="lv-LV"/>
        </w:rPr>
        <w:t>piemēri</w:t>
      </w:r>
      <w:r w:rsidRPr="005D717A">
        <w:rPr>
          <w:rFonts w:ascii="Times New Roman" w:hAnsi="Times New Roman" w:cs="Times New Roman"/>
          <w:sz w:val="24"/>
          <w:szCs w:val="24"/>
          <w:lang w:val="lv-LV"/>
        </w:rPr>
        <w:t>, kas ir</w:t>
      </w:r>
      <w:r>
        <w:rPr>
          <w:rFonts w:ascii="Times New Roman" w:hAnsi="Times New Roman" w:cs="Times New Roman"/>
          <w:sz w:val="24"/>
          <w:szCs w:val="24"/>
          <w:lang w:val="lv-LV"/>
        </w:rPr>
        <w:t xml:space="preserve"> kļuvuši</w:t>
      </w:r>
      <w:r w:rsidRPr="005D717A">
        <w:rPr>
          <w:rFonts w:ascii="Times New Roman" w:hAnsi="Times New Roman" w:cs="Times New Roman"/>
          <w:sz w:val="24"/>
          <w:szCs w:val="24"/>
          <w:lang w:val="lv-LV"/>
        </w:rPr>
        <w:t xml:space="preserve"> iespēj</w:t>
      </w:r>
      <w:r>
        <w:rPr>
          <w:rFonts w:ascii="Times New Roman" w:hAnsi="Times New Roman" w:cs="Times New Roman"/>
          <w:sz w:val="24"/>
          <w:szCs w:val="24"/>
          <w:lang w:val="lv-LV"/>
        </w:rPr>
        <w:t>ami pateicoties b</w:t>
      </w:r>
      <w:r w:rsidRPr="005D717A">
        <w:rPr>
          <w:rFonts w:ascii="Times New Roman" w:hAnsi="Times New Roman" w:cs="Times New Roman"/>
          <w:sz w:val="24"/>
          <w:szCs w:val="24"/>
          <w:lang w:val="lv-LV"/>
        </w:rPr>
        <w:t>lokķēdes koncep</w:t>
      </w:r>
      <w:r>
        <w:rPr>
          <w:rFonts w:ascii="Times New Roman" w:hAnsi="Times New Roman" w:cs="Times New Roman"/>
          <w:sz w:val="24"/>
          <w:szCs w:val="24"/>
          <w:lang w:val="lv-LV"/>
        </w:rPr>
        <w:t>ta attīstībai</w:t>
      </w:r>
      <w:r w:rsidRPr="005D717A">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B</w:t>
      </w:r>
      <w:r w:rsidRPr="005D717A">
        <w:rPr>
          <w:rFonts w:ascii="Times New Roman" w:hAnsi="Times New Roman" w:cs="Times New Roman"/>
          <w:sz w:val="24"/>
          <w:szCs w:val="24"/>
          <w:lang w:val="lv-LV"/>
        </w:rPr>
        <w:t>lokķēdi</w:t>
      </w:r>
      <w:proofErr w:type="spellEnd"/>
      <w:r>
        <w:rPr>
          <w:rFonts w:ascii="Times New Roman" w:hAnsi="Times New Roman" w:cs="Times New Roman"/>
          <w:sz w:val="24"/>
          <w:szCs w:val="24"/>
          <w:lang w:val="lv-LV"/>
        </w:rPr>
        <w:t xml:space="preserve"> būtu jāuztver</w:t>
      </w:r>
      <w:r w:rsidRPr="005D717A">
        <w:rPr>
          <w:rFonts w:ascii="Times New Roman" w:hAnsi="Times New Roman" w:cs="Times New Roman"/>
          <w:sz w:val="24"/>
          <w:szCs w:val="24"/>
          <w:lang w:val="lv-LV"/>
        </w:rPr>
        <w:t xml:space="preserve"> </w:t>
      </w:r>
      <w:r w:rsidRPr="005D717A">
        <w:rPr>
          <w:rFonts w:ascii="Times New Roman" w:hAnsi="Times New Roman" w:cs="Times New Roman"/>
          <w:sz w:val="24"/>
          <w:szCs w:val="24"/>
          <w:lang w:val="lv-LV"/>
        </w:rPr>
        <w:lastRenderedPageBreak/>
        <w:t>kā operētājsistēm</w:t>
      </w:r>
      <w:r>
        <w:rPr>
          <w:rFonts w:ascii="Times New Roman" w:hAnsi="Times New Roman" w:cs="Times New Roman"/>
          <w:sz w:val="24"/>
          <w:szCs w:val="24"/>
          <w:lang w:val="lv-LV"/>
        </w:rPr>
        <w:t>u</w:t>
      </w:r>
      <w:r w:rsidRPr="005D717A">
        <w:rPr>
          <w:rFonts w:ascii="Times New Roman" w:hAnsi="Times New Roman" w:cs="Times New Roman"/>
          <w:sz w:val="24"/>
          <w:szCs w:val="24"/>
          <w:lang w:val="lv-LV"/>
        </w:rPr>
        <w:t xml:space="preserve">, piemēram, </w:t>
      </w:r>
      <w:proofErr w:type="spellStart"/>
      <w:r w:rsidRPr="005D717A">
        <w:rPr>
          <w:rFonts w:ascii="Times New Roman" w:hAnsi="Times New Roman" w:cs="Times New Roman"/>
          <w:sz w:val="24"/>
          <w:szCs w:val="24"/>
          <w:lang w:val="lv-LV"/>
        </w:rPr>
        <w:t>MacOS</w:t>
      </w:r>
      <w:proofErr w:type="spellEnd"/>
      <w:r w:rsidRPr="005D717A">
        <w:rPr>
          <w:rFonts w:ascii="Times New Roman" w:hAnsi="Times New Roman" w:cs="Times New Roman"/>
          <w:sz w:val="24"/>
          <w:szCs w:val="24"/>
          <w:lang w:val="lv-LV"/>
        </w:rPr>
        <w:t xml:space="preserve"> vai Windows</w:t>
      </w:r>
      <w:r>
        <w:rPr>
          <w:rFonts w:ascii="Times New Roman" w:hAnsi="Times New Roman" w:cs="Times New Roman"/>
          <w:sz w:val="24"/>
          <w:szCs w:val="24"/>
          <w:lang w:val="lv-LV"/>
        </w:rPr>
        <w:t>, tādejādi</w:t>
      </w:r>
      <w:r w:rsidRPr="005D717A">
        <w:rPr>
          <w:rFonts w:ascii="Times New Roman" w:hAnsi="Times New Roman" w:cs="Times New Roman"/>
          <w:sz w:val="24"/>
          <w:szCs w:val="24"/>
          <w:lang w:val="lv-LV"/>
        </w:rPr>
        <w:t xml:space="preserve"> </w:t>
      </w:r>
      <w:proofErr w:type="spellStart"/>
      <w:r w:rsidRPr="005D717A">
        <w:rPr>
          <w:rFonts w:ascii="Times New Roman" w:hAnsi="Times New Roman" w:cs="Times New Roman"/>
          <w:sz w:val="24"/>
          <w:szCs w:val="24"/>
          <w:lang w:val="lv-LV"/>
        </w:rPr>
        <w:t>Bitcoin</w:t>
      </w:r>
      <w:proofErr w:type="spellEnd"/>
      <w:r>
        <w:rPr>
          <w:rFonts w:ascii="Times New Roman" w:hAnsi="Times New Roman" w:cs="Times New Roman"/>
          <w:sz w:val="24"/>
          <w:szCs w:val="24"/>
          <w:lang w:val="lv-LV"/>
        </w:rPr>
        <w:t xml:space="preserve"> pēc būtības</w:t>
      </w:r>
      <w:r w:rsidRPr="005D717A">
        <w:rPr>
          <w:rFonts w:ascii="Times New Roman" w:hAnsi="Times New Roman" w:cs="Times New Roman"/>
          <w:sz w:val="24"/>
          <w:szCs w:val="24"/>
          <w:lang w:val="lv-LV"/>
        </w:rPr>
        <w:t xml:space="preserve"> ir tikai lietojumprogramma, kas darbojas šajā operētājsistēmā. </w:t>
      </w:r>
      <w:proofErr w:type="spellStart"/>
      <w:r w:rsidRPr="005D717A">
        <w:rPr>
          <w:rFonts w:ascii="Times New Roman" w:hAnsi="Times New Roman" w:cs="Times New Roman"/>
          <w:sz w:val="24"/>
          <w:szCs w:val="24"/>
          <w:lang w:val="lv-LV"/>
        </w:rPr>
        <w:t>Bitcoin</w:t>
      </w:r>
      <w:proofErr w:type="spellEnd"/>
      <w:r w:rsidRPr="005D717A">
        <w:rPr>
          <w:rFonts w:ascii="Times New Roman" w:hAnsi="Times New Roman" w:cs="Times New Roman"/>
          <w:sz w:val="24"/>
          <w:szCs w:val="24"/>
          <w:lang w:val="lv-LV"/>
        </w:rPr>
        <w:t xml:space="preserve"> gadījumā </w:t>
      </w:r>
      <w:proofErr w:type="spellStart"/>
      <w:r>
        <w:rPr>
          <w:rFonts w:ascii="Times New Roman" w:hAnsi="Times New Roman" w:cs="Times New Roman"/>
          <w:sz w:val="24"/>
          <w:szCs w:val="24"/>
          <w:lang w:val="lv-LV"/>
        </w:rPr>
        <w:t>b</w:t>
      </w:r>
      <w:r w:rsidRPr="005D717A">
        <w:rPr>
          <w:rFonts w:ascii="Times New Roman" w:hAnsi="Times New Roman" w:cs="Times New Roman"/>
          <w:sz w:val="24"/>
          <w:szCs w:val="24"/>
          <w:lang w:val="lv-LV"/>
        </w:rPr>
        <w:t>lokķēde</w:t>
      </w:r>
      <w:proofErr w:type="spellEnd"/>
      <w:r w:rsidRPr="005D717A">
        <w:rPr>
          <w:rFonts w:ascii="Times New Roman" w:hAnsi="Times New Roman" w:cs="Times New Roman"/>
          <w:sz w:val="24"/>
          <w:szCs w:val="24"/>
          <w:lang w:val="lv-LV"/>
        </w:rPr>
        <w:t xml:space="preserve"> ir līdzeklis </w:t>
      </w:r>
      <w:proofErr w:type="spellStart"/>
      <w:r w:rsidRPr="005D717A">
        <w:rPr>
          <w:rFonts w:ascii="Times New Roman" w:hAnsi="Times New Roman" w:cs="Times New Roman"/>
          <w:sz w:val="24"/>
          <w:szCs w:val="24"/>
          <w:lang w:val="lv-LV"/>
        </w:rPr>
        <w:t>Bitcoin</w:t>
      </w:r>
      <w:proofErr w:type="spellEnd"/>
      <w:r w:rsidRPr="005D717A">
        <w:rPr>
          <w:rFonts w:ascii="Times New Roman" w:hAnsi="Times New Roman" w:cs="Times New Roman"/>
          <w:sz w:val="24"/>
          <w:szCs w:val="24"/>
          <w:lang w:val="lv-LV"/>
        </w:rPr>
        <w:t xml:space="preserve"> darījumu saglabāšanai un reģistrēšanai.</w:t>
      </w:r>
      <w:r w:rsidRPr="00C83CDC">
        <w:rPr>
          <w:rFonts w:ascii="Times New Roman" w:hAnsi="Times New Roman" w:cs="Times New Roman"/>
          <w:sz w:val="24"/>
          <w:szCs w:val="24"/>
          <w:lang w:val="lv-LV"/>
        </w:rPr>
        <w:t xml:space="preserve"> </w:t>
      </w:r>
      <w:r w:rsidRPr="00D939CE">
        <w:rPr>
          <w:rFonts w:ascii="Times New Roman" w:hAnsi="Times New Roman" w:cs="Times New Roman"/>
          <w:sz w:val="24"/>
          <w:szCs w:val="24"/>
          <w:lang w:val="lv-LV"/>
        </w:rPr>
        <w:t xml:space="preserve">Katrs darījums ir apstiprināts un kopā ar apstiprinātu darījumu grupu tiek pievienots kā jauns "bloks" jau esošai darījumu ķēdei, tādējādi izveidojot nosaukumu </w:t>
      </w:r>
      <w:proofErr w:type="spellStart"/>
      <w:r>
        <w:rPr>
          <w:rFonts w:ascii="Times New Roman" w:hAnsi="Times New Roman" w:cs="Times New Roman"/>
          <w:sz w:val="24"/>
          <w:szCs w:val="24"/>
          <w:lang w:val="lv-LV"/>
        </w:rPr>
        <w:t>blokķēde</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ang</w:t>
      </w:r>
      <w:proofErr w:type="spellEnd"/>
      <w:r>
        <w:rPr>
          <w:rFonts w:ascii="Times New Roman" w:hAnsi="Times New Roman" w:cs="Times New Roman"/>
          <w:sz w:val="24"/>
          <w:szCs w:val="24"/>
          <w:lang w:val="lv-LV"/>
        </w:rPr>
        <w:t xml:space="preserve">. </w:t>
      </w:r>
      <w:r w:rsidRPr="00941B0D">
        <w:rPr>
          <w:rFonts w:ascii="Times New Roman" w:hAnsi="Times New Roman" w:cs="Times New Roman"/>
          <w:i/>
          <w:sz w:val="24"/>
          <w:szCs w:val="24"/>
          <w:lang w:val="lv-LV"/>
        </w:rPr>
        <w:t>blockchain</w:t>
      </w:r>
      <w:r>
        <w:rPr>
          <w:rFonts w:ascii="Times New Roman" w:hAnsi="Times New Roman" w:cs="Times New Roman"/>
          <w:sz w:val="24"/>
          <w:szCs w:val="24"/>
          <w:lang w:val="lv-LV"/>
        </w:rPr>
        <w:t>)</w:t>
      </w:r>
      <w:r w:rsidRPr="00D939CE">
        <w:rPr>
          <w:rFonts w:ascii="Times New Roman" w:hAnsi="Times New Roman" w:cs="Times New Roman"/>
          <w:sz w:val="24"/>
          <w:szCs w:val="24"/>
          <w:lang w:val="lv-LV"/>
        </w:rPr>
        <w:t>. Kad ķēdei ir pievienots darījums, t</w:t>
      </w:r>
      <w:r>
        <w:rPr>
          <w:rFonts w:ascii="Times New Roman" w:hAnsi="Times New Roman" w:cs="Times New Roman"/>
          <w:sz w:val="24"/>
          <w:szCs w:val="24"/>
          <w:lang w:val="lv-LV"/>
        </w:rPr>
        <w:t>as</w:t>
      </w:r>
      <w:r w:rsidRPr="00D939CE">
        <w:rPr>
          <w:rFonts w:ascii="Times New Roman" w:hAnsi="Times New Roman" w:cs="Times New Roman"/>
          <w:sz w:val="24"/>
          <w:szCs w:val="24"/>
          <w:lang w:val="lv-LV"/>
        </w:rPr>
        <w:t xml:space="preserve"> parasti nevar</w:t>
      </w:r>
      <w:r>
        <w:rPr>
          <w:rFonts w:ascii="Times New Roman" w:hAnsi="Times New Roman" w:cs="Times New Roman"/>
          <w:sz w:val="24"/>
          <w:szCs w:val="24"/>
          <w:lang w:val="lv-LV"/>
        </w:rPr>
        <w:t xml:space="preserve"> tikt</w:t>
      </w:r>
      <w:r w:rsidRPr="00D939CE">
        <w:rPr>
          <w:rFonts w:ascii="Times New Roman" w:hAnsi="Times New Roman" w:cs="Times New Roman"/>
          <w:sz w:val="24"/>
          <w:szCs w:val="24"/>
          <w:lang w:val="lv-LV"/>
        </w:rPr>
        <w:t xml:space="preserve"> mainīt</w:t>
      </w:r>
      <w:r>
        <w:rPr>
          <w:rFonts w:ascii="Times New Roman" w:hAnsi="Times New Roman" w:cs="Times New Roman"/>
          <w:sz w:val="24"/>
          <w:szCs w:val="24"/>
          <w:lang w:val="lv-LV"/>
        </w:rPr>
        <w:t>s</w:t>
      </w:r>
      <w:r w:rsidRPr="00D939CE">
        <w:rPr>
          <w:rFonts w:ascii="Times New Roman" w:hAnsi="Times New Roman" w:cs="Times New Roman"/>
          <w:sz w:val="24"/>
          <w:szCs w:val="24"/>
          <w:lang w:val="lv-LV"/>
        </w:rPr>
        <w:t xml:space="preserve"> vai </w:t>
      </w:r>
      <w:r>
        <w:rPr>
          <w:rFonts w:ascii="Times New Roman" w:hAnsi="Times New Roman" w:cs="Times New Roman"/>
          <w:sz w:val="24"/>
          <w:szCs w:val="24"/>
          <w:lang w:val="lv-LV"/>
        </w:rPr>
        <w:t>dzēsts</w:t>
      </w:r>
      <w:r w:rsidR="00941B0D">
        <w:rPr>
          <w:rStyle w:val="FootnoteReference"/>
          <w:rFonts w:ascii="Times New Roman" w:hAnsi="Times New Roman" w:cs="Times New Roman"/>
          <w:sz w:val="24"/>
          <w:szCs w:val="24"/>
          <w:lang w:val="lv-LV"/>
        </w:rPr>
        <w:footnoteReference w:id="2"/>
      </w:r>
      <w:r w:rsidRPr="00D939CE">
        <w:rPr>
          <w:rFonts w:ascii="Times New Roman" w:hAnsi="Times New Roman" w:cs="Times New Roman"/>
          <w:sz w:val="24"/>
          <w:szCs w:val="24"/>
          <w:lang w:val="lv-LV"/>
        </w:rPr>
        <w:t>.</w:t>
      </w:r>
      <w:r>
        <w:rPr>
          <w:rFonts w:ascii="Times New Roman" w:hAnsi="Times New Roman" w:cs="Times New Roman"/>
          <w:sz w:val="24"/>
          <w:szCs w:val="24"/>
          <w:lang w:val="lv-LV"/>
        </w:rPr>
        <w:t xml:space="preserve"> 2. attēls vizualizē naudas pārveduma darījumu pēc blokķēdes tehnoloģijas darbības principiem.</w:t>
      </w:r>
    </w:p>
    <w:p w14:paraId="6623586C" w14:textId="77777777" w:rsidR="00941B0D" w:rsidRPr="00941B0D" w:rsidRDefault="00941B0D" w:rsidP="00941B0D">
      <w:pPr>
        <w:spacing w:after="0"/>
        <w:ind w:firstLine="720"/>
        <w:jc w:val="right"/>
        <w:rPr>
          <w:rFonts w:ascii="Times New Roman" w:hAnsi="Times New Roman" w:cs="Times New Roman"/>
          <w:sz w:val="20"/>
          <w:szCs w:val="24"/>
          <w:lang w:val="lv-LV"/>
        </w:rPr>
      </w:pPr>
      <w:r w:rsidRPr="00941B0D">
        <w:rPr>
          <w:rFonts w:ascii="Times New Roman" w:hAnsi="Times New Roman" w:cs="Times New Roman"/>
          <w:sz w:val="20"/>
          <w:szCs w:val="24"/>
          <w:lang w:val="lv-LV"/>
        </w:rPr>
        <w:t xml:space="preserve">2. attēls </w:t>
      </w:r>
    </w:p>
    <w:p w14:paraId="750402A5" w14:textId="77777777" w:rsidR="00C04D5D" w:rsidRPr="00941B0D" w:rsidRDefault="00941B0D" w:rsidP="00941B0D">
      <w:pPr>
        <w:spacing w:after="0"/>
        <w:ind w:firstLine="720"/>
        <w:jc w:val="right"/>
        <w:rPr>
          <w:rFonts w:ascii="Times New Roman" w:hAnsi="Times New Roman" w:cs="Times New Roman"/>
          <w:i/>
          <w:sz w:val="20"/>
          <w:szCs w:val="24"/>
          <w:lang w:val="lv-LV"/>
        </w:rPr>
      </w:pPr>
      <w:r w:rsidRPr="00941B0D">
        <w:rPr>
          <w:rFonts w:ascii="Times New Roman" w:hAnsi="Times New Roman" w:cs="Times New Roman"/>
          <w:i/>
          <w:sz w:val="20"/>
          <w:szCs w:val="24"/>
          <w:lang w:val="lv-LV"/>
        </w:rPr>
        <w:t>Blokķēdes darījuma vizuāla reprezentācija</w:t>
      </w:r>
    </w:p>
    <w:p w14:paraId="35E664DC" w14:textId="77777777" w:rsidR="00C04D5D" w:rsidRPr="008055A2" w:rsidRDefault="00C04D5D" w:rsidP="008055A2">
      <w:pPr>
        <w:spacing w:after="0"/>
        <w:ind w:left="720"/>
        <w:jc w:val="both"/>
        <w:rPr>
          <w:rFonts w:ascii="Times New Roman" w:hAnsi="Times New Roman" w:cs="Times New Roman"/>
          <w:sz w:val="24"/>
          <w:szCs w:val="24"/>
          <w:lang w:val="lv-LV"/>
        </w:rPr>
      </w:pPr>
      <w:r>
        <w:rPr>
          <w:noProof/>
          <w:lang w:val="lv-LV" w:eastAsia="lv-LV"/>
        </w:rPr>
        <w:drawing>
          <wp:anchor distT="0" distB="0" distL="114300" distR="114300" simplePos="0" relativeHeight="251661312" behindDoc="0" locked="0" layoutInCell="1" allowOverlap="1" wp14:anchorId="400D4CD2" wp14:editId="5948F937">
            <wp:simplePos x="0" y="0"/>
            <wp:positionH relativeFrom="margin">
              <wp:align>right</wp:align>
            </wp:positionH>
            <wp:positionV relativeFrom="paragraph">
              <wp:posOffset>31805</wp:posOffset>
            </wp:positionV>
            <wp:extent cx="5486400" cy="34721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486400" cy="3472180"/>
                    </a:xfrm>
                    <a:prstGeom prst="rect">
                      <a:avLst/>
                    </a:prstGeom>
                  </pic:spPr>
                </pic:pic>
              </a:graphicData>
            </a:graphic>
          </wp:anchor>
        </w:drawing>
      </w:r>
    </w:p>
    <w:p w14:paraId="62B81B92" w14:textId="77777777" w:rsidR="00C04D5D" w:rsidRPr="00D60DC0" w:rsidRDefault="00C04D5D" w:rsidP="00D60DC0">
      <w:pPr>
        <w:pStyle w:val="ListParagraph"/>
        <w:numPr>
          <w:ilvl w:val="1"/>
          <w:numId w:val="14"/>
        </w:numPr>
        <w:spacing w:after="0" w:line="240" w:lineRule="auto"/>
        <w:jc w:val="both"/>
        <w:rPr>
          <w:rFonts w:ascii="Times New Roman" w:hAnsi="Times New Roman" w:cs="Times New Roman"/>
          <w:i/>
          <w:sz w:val="24"/>
          <w:szCs w:val="24"/>
          <w:lang w:val="lv-LV"/>
        </w:rPr>
      </w:pPr>
      <w:proofErr w:type="spellStart"/>
      <w:r w:rsidRPr="00D60DC0">
        <w:rPr>
          <w:rFonts w:ascii="Times New Roman" w:hAnsi="Times New Roman" w:cs="Times New Roman"/>
          <w:i/>
          <w:sz w:val="24"/>
          <w:szCs w:val="24"/>
          <w:lang w:val="lv-LV"/>
        </w:rPr>
        <w:t>Blokķēdi</w:t>
      </w:r>
      <w:proofErr w:type="spellEnd"/>
      <w:r w:rsidRPr="00D60DC0">
        <w:rPr>
          <w:rFonts w:ascii="Times New Roman" w:hAnsi="Times New Roman" w:cs="Times New Roman"/>
          <w:i/>
          <w:sz w:val="24"/>
          <w:szCs w:val="24"/>
          <w:lang w:val="lv-LV"/>
        </w:rPr>
        <w:t xml:space="preserve"> raksturojošās īpašības un sniegtās iespējas</w:t>
      </w:r>
      <w:bookmarkStart w:id="6" w:name="_Hlk529267591"/>
    </w:p>
    <w:p w14:paraId="4C068D19" w14:textId="1B028C3A" w:rsidR="00C04D5D" w:rsidRDefault="00C04D5D" w:rsidP="00C04D5D">
      <w:pPr>
        <w:pStyle w:val="BodyTextFirstIndent"/>
        <w:spacing w:after="0" w:line="259" w:lineRule="auto"/>
        <w:ind w:firstLine="357"/>
      </w:pPr>
      <w:r>
        <w:tab/>
      </w:r>
      <w:proofErr w:type="spellStart"/>
      <w:r w:rsidRPr="00A239F8">
        <w:t>Blokķēde</w:t>
      </w:r>
      <w:r>
        <w:t>i</w:t>
      </w:r>
      <w:proofErr w:type="spellEnd"/>
      <w:r w:rsidRPr="00A239F8">
        <w:t xml:space="preserve"> kā tehnoloģija</w:t>
      </w:r>
      <w:r>
        <w:t>i</w:t>
      </w:r>
      <w:r w:rsidRPr="00A239F8">
        <w:t xml:space="preserve"> ir</w:t>
      </w:r>
      <w:r>
        <w:t xml:space="preserve"> vairākas priekšrocības, ņemot vērā</w:t>
      </w:r>
      <w:r w:rsidRPr="00A239F8">
        <w:t xml:space="preserve"> ka tā vienlaicīgi var tikt klasificēta gan kā </w:t>
      </w:r>
      <w:r>
        <w:t>pakāpeniskā (</w:t>
      </w:r>
      <w:proofErr w:type="spellStart"/>
      <w:r>
        <w:t>ang</w:t>
      </w:r>
      <w:proofErr w:type="spellEnd"/>
      <w:r>
        <w:t xml:space="preserve">. </w:t>
      </w:r>
      <w:proofErr w:type="spellStart"/>
      <w:r w:rsidRPr="00EA5CA3">
        <w:rPr>
          <w:i/>
        </w:rPr>
        <w:t>incremental</w:t>
      </w:r>
      <w:proofErr w:type="spellEnd"/>
      <w:r>
        <w:t>)</w:t>
      </w:r>
      <w:r w:rsidRPr="00A239F8">
        <w:t>, gan kā radikālā inovācija – t.i. atkarībā no izvēlētā pielietojuma veida, tā var gan uzlabot esošus procesus un pakalpojumus, papildinot jau eksistējošus biznesa modeļus, gan arī radīt jaunus biznesa modeļus un struktūras, pārveidojot ne vien pašu organizāciju, bet arī visu attiecīg</w:t>
      </w:r>
      <w:r>
        <w:t>o</w:t>
      </w:r>
      <w:r w:rsidRPr="00A239F8">
        <w:t xml:space="preserve"> nozari. Kā </w:t>
      </w:r>
      <w:r>
        <w:t>pakāpeniska</w:t>
      </w:r>
      <w:r w:rsidRPr="00A239F8">
        <w:t xml:space="preserve"> inovācija blokķēde var tikt izmantota ražošanas, loģistikas, finanšu vai citu procesu optimizēšanā, šādi paaugstinot konkrētā biznesa vai nozares efektivitāti. </w:t>
      </w:r>
      <w:r>
        <w:t>A</w:t>
      </w:r>
      <w:r w:rsidRPr="00A239F8">
        <w:t xml:space="preserve">nalizējot blokķēdes piedāvātas iespējas starpnieku izslēgšanai </w:t>
      </w:r>
      <w:r>
        <w:t>plašākā nozaru griezumā</w:t>
      </w:r>
      <w:r w:rsidRPr="00A239F8">
        <w:t xml:space="preserve">, tehnoloģija var tikt izmantota kā radikāla jeb revolucionāra inovācija, kas ļauj veidot jaunas organizāciju formas – sākot ar DAO jeb decentralizētās autonomās organizācijas konceptu, kuras pārvalde notiek saskaņā ar blokķēdē ierakstītajiem noteikumiem viedo līgumu veidā, </w:t>
      </w:r>
      <w:r w:rsidRPr="00A239F8">
        <w:lastRenderedPageBreak/>
        <w:t xml:space="preserve">beidzot ar decentralizēto valsts pārvalžu izveidi. Saskaņā ar 2017. gadā veikto </w:t>
      </w:r>
      <w:proofErr w:type="spellStart"/>
      <w:r w:rsidRPr="00A239F8">
        <w:t>Deloitte</w:t>
      </w:r>
      <w:proofErr w:type="spellEnd"/>
      <w:r w:rsidRPr="00A239F8">
        <w:t xml:space="preserve"> aptauju starp dažādu jomu lielāko uzņēmumu vadītājiem</w:t>
      </w:r>
      <w:r>
        <w:rPr>
          <w:rStyle w:val="FootnoteReference"/>
        </w:rPr>
        <w:footnoteReference w:id="3"/>
      </w:r>
      <w:r w:rsidRPr="00A239F8">
        <w:t>, 42% no respondentiem apstiprināja, ka, pēc viņu domām, blokķēde izraisīs kr</w:t>
      </w:r>
      <w:r>
        <w:t>a</w:t>
      </w:r>
      <w:r w:rsidRPr="00A239F8">
        <w:t>sas pārmaiņas viņu attiecīgajā nozarē</w:t>
      </w:r>
      <w:r>
        <w:t>.</w:t>
      </w:r>
      <w:r w:rsidRPr="00A7145A">
        <w:rPr>
          <w:noProof/>
          <w:shd w:val="clear" w:color="auto" w:fill="FFFFFF"/>
          <w:lang w:eastAsia="lv-LV"/>
        </w:rPr>
        <w:t xml:space="preserve"> </w:t>
      </w:r>
    </w:p>
    <w:p w14:paraId="325FE8DA" w14:textId="475D3494" w:rsidR="00C04D5D" w:rsidRDefault="00C04D5D" w:rsidP="00C04D5D">
      <w:pPr>
        <w:pStyle w:val="BodyTextFirstIndent"/>
        <w:spacing w:after="0" w:line="259" w:lineRule="auto"/>
        <w:ind w:firstLine="357"/>
      </w:pPr>
      <w:r>
        <w:tab/>
      </w:r>
      <w:r w:rsidRPr="00C83CDC">
        <w:t xml:space="preserve">Būtiska blokķēdes īpašība, kas atšķir to no citām izkliedētām datubāzēm ir tā, ka katrs bloks satur laika zīmogu un norādi uz iepriekšējo bloku. </w:t>
      </w:r>
      <w:r>
        <w:t xml:space="preserve">Šī funkcija </w:t>
      </w:r>
      <w:proofErr w:type="spellStart"/>
      <w:r>
        <w:t>blokķēdi</w:t>
      </w:r>
      <w:proofErr w:type="spellEnd"/>
      <w:r>
        <w:t xml:space="preserve"> padara</w:t>
      </w:r>
      <w:r w:rsidRPr="00C83CDC">
        <w:t xml:space="preserve"> īpaši droš</w:t>
      </w:r>
      <w:r>
        <w:t>u arī</w:t>
      </w:r>
      <w:r w:rsidRPr="00C83CDC">
        <w:t xml:space="preserve"> pret ierakstu izmainīšanu — lai izmainītu kādu no senākiem blokiem, ir jāveic izmaiņas arī visos tam sekojošajos blokos</w:t>
      </w:r>
      <w:r>
        <w:t xml:space="preserve">. Papildus iepriekšminētajām raksturojošajām īpašībām un iespējām, blokķēdes tehnoloģijas plaša mēroga pielietojumam ir vēl vairākas priekšrocības, kas padara to par nesabojājamu digitālu </w:t>
      </w:r>
      <w:r w:rsidR="00742BB1">
        <w:t>datu ierakstu</w:t>
      </w:r>
      <w:r>
        <w:t xml:space="preserve"> virsgrāmatu:</w:t>
      </w:r>
      <w:r>
        <w:tab/>
      </w:r>
    </w:p>
    <w:bookmarkEnd w:id="6"/>
    <w:p w14:paraId="2474B4D6" w14:textId="77777777" w:rsidR="00C04D5D" w:rsidRDefault="00C04D5D" w:rsidP="00C04D5D">
      <w:pPr>
        <w:pStyle w:val="Default"/>
        <w:numPr>
          <w:ilvl w:val="0"/>
          <w:numId w:val="6"/>
        </w:numPr>
        <w:spacing w:line="259" w:lineRule="auto"/>
        <w:ind w:left="284"/>
        <w:jc w:val="both"/>
        <w:rPr>
          <w:rFonts w:ascii="Times New Roman" w:hAnsi="Times New Roman" w:cs="Times New Roman"/>
          <w:color w:val="auto"/>
          <w:lang w:val="lv-LV"/>
        </w:rPr>
      </w:pPr>
      <w:r w:rsidRPr="0099031A">
        <w:rPr>
          <w:rFonts w:ascii="Times New Roman" w:hAnsi="Times New Roman" w:cs="Times New Roman"/>
          <w:color w:val="auto"/>
          <w:lang w:val="lv-LV"/>
        </w:rPr>
        <w:t xml:space="preserve">Konsensa mehānismi: </w:t>
      </w:r>
      <w:r w:rsidR="00021A1F" w:rsidRPr="0099031A">
        <w:rPr>
          <w:rFonts w:ascii="Times New Roman" w:hAnsi="Times New Roman" w:cs="Times New Roman"/>
          <w:color w:val="auto"/>
          <w:lang w:val="lv-LV"/>
        </w:rPr>
        <w:t xml:space="preserve">Lai darījums tiktu pieņemts un reģistrēts </w:t>
      </w:r>
      <w:r w:rsidR="0099031A">
        <w:rPr>
          <w:rFonts w:ascii="Times New Roman" w:hAnsi="Times New Roman" w:cs="Times New Roman"/>
          <w:color w:val="auto"/>
          <w:lang w:val="lv-LV"/>
        </w:rPr>
        <w:t>blokķēdē</w:t>
      </w:r>
      <w:r w:rsidR="00021A1F" w:rsidRPr="0099031A">
        <w:rPr>
          <w:rFonts w:ascii="Times New Roman" w:hAnsi="Times New Roman" w:cs="Times New Roman"/>
          <w:color w:val="auto"/>
          <w:lang w:val="lv-LV"/>
        </w:rPr>
        <w:t>, visiem dalībniekiem ir jāpiekrīt ievērot tos pašus noteikumus. Tas ir konsenss</w:t>
      </w:r>
      <w:r w:rsidR="0099031A">
        <w:rPr>
          <w:rFonts w:ascii="Times New Roman" w:hAnsi="Times New Roman" w:cs="Times New Roman"/>
          <w:color w:val="auto"/>
          <w:lang w:val="lv-LV"/>
        </w:rPr>
        <w:t xml:space="preserve"> (</w:t>
      </w:r>
      <w:proofErr w:type="spellStart"/>
      <w:r w:rsidR="0099031A">
        <w:rPr>
          <w:rFonts w:ascii="Times New Roman" w:hAnsi="Times New Roman" w:cs="Times New Roman"/>
          <w:color w:val="auto"/>
          <w:lang w:val="lv-LV"/>
        </w:rPr>
        <w:t>ang</w:t>
      </w:r>
      <w:proofErr w:type="spellEnd"/>
      <w:r w:rsidR="0099031A">
        <w:rPr>
          <w:rFonts w:ascii="Times New Roman" w:hAnsi="Times New Roman" w:cs="Times New Roman"/>
          <w:color w:val="auto"/>
          <w:lang w:val="lv-LV"/>
        </w:rPr>
        <w:t xml:space="preserve">. </w:t>
      </w:r>
      <w:proofErr w:type="spellStart"/>
      <w:r w:rsidR="0099031A" w:rsidRPr="0099031A">
        <w:rPr>
          <w:rFonts w:ascii="Times New Roman" w:hAnsi="Times New Roman" w:cs="Times New Roman"/>
          <w:i/>
          <w:color w:val="auto"/>
          <w:lang w:val="lv-LV"/>
        </w:rPr>
        <w:t>consensus</w:t>
      </w:r>
      <w:proofErr w:type="spellEnd"/>
      <w:r w:rsidR="0099031A">
        <w:rPr>
          <w:rFonts w:ascii="Times New Roman" w:hAnsi="Times New Roman" w:cs="Times New Roman"/>
          <w:color w:val="auto"/>
          <w:lang w:val="lv-LV"/>
        </w:rPr>
        <w:t>)</w:t>
      </w:r>
      <w:r w:rsidR="00021A1F" w:rsidRPr="0099031A">
        <w:rPr>
          <w:rFonts w:ascii="Times New Roman" w:hAnsi="Times New Roman" w:cs="Times New Roman"/>
          <w:color w:val="auto"/>
          <w:lang w:val="lv-LV"/>
        </w:rPr>
        <w:t xml:space="preserve">. Ja darījums pārkāpj kādu no noteikumiem, par kuriem tīkls ir vienojies, darījums tiks uzskatīts par nederīgu. </w:t>
      </w:r>
      <w:proofErr w:type="spellStart"/>
      <w:r w:rsidR="0099031A">
        <w:rPr>
          <w:rFonts w:ascii="Times New Roman" w:hAnsi="Times New Roman" w:cs="Times New Roman"/>
          <w:color w:val="auto"/>
          <w:lang w:val="lv-LV"/>
        </w:rPr>
        <w:t>Konsess</w:t>
      </w:r>
      <w:proofErr w:type="spellEnd"/>
      <w:r w:rsidR="00021A1F" w:rsidRPr="0099031A">
        <w:rPr>
          <w:rFonts w:ascii="Times New Roman" w:hAnsi="Times New Roman" w:cs="Times New Roman"/>
          <w:color w:val="auto"/>
          <w:lang w:val="lv-LV"/>
        </w:rPr>
        <w:t xml:space="preserve"> ļauj katram dalībniekam uzticēties tīklam, jo viņi zina, ka katrs darījums izpildīs noteikumus, ko tie </w:t>
      </w:r>
      <w:r w:rsidR="0099031A">
        <w:rPr>
          <w:rFonts w:ascii="Times New Roman" w:hAnsi="Times New Roman" w:cs="Times New Roman"/>
          <w:color w:val="auto"/>
          <w:lang w:val="lv-LV"/>
        </w:rPr>
        <w:t>apstiprināja</w:t>
      </w:r>
      <w:r w:rsidR="00021A1F" w:rsidRPr="0099031A">
        <w:rPr>
          <w:rFonts w:ascii="Times New Roman" w:hAnsi="Times New Roman" w:cs="Times New Roman"/>
          <w:color w:val="auto"/>
          <w:lang w:val="lv-LV"/>
        </w:rPr>
        <w:t>, kad tīkls tika palaists.</w:t>
      </w:r>
    </w:p>
    <w:p w14:paraId="2C4A2DB7" w14:textId="77777777" w:rsidR="00C04D5D" w:rsidRPr="0014064A" w:rsidRDefault="00C04D5D" w:rsidP="00C04D5D">
      <w:pPr>
        <w:pStyle w:val="Default"/>
        <w:numPr>
          <w:ilvl w:val="0"/>
          <w:numId w:val="6"/>
        </w:numPr>
        <w:spacing w:line="259" w:lineRule="auto"/>
        <w:ind w:left="284"/>
        <w:jc w:val="both"/>
        <w:rPr>
          <w:rFonts w:ascii="Times New Roman" w:hAnsi="Times New Roman" w:cs="Times New Roman"/>
          <w:color w:val="auto"/>
          <w:lang w:val="lv-LV"/>
        </w:rPr>
      </w:pPr>
      <w:proofErr w:type="spellStart"/>
      <w:r w:rsidRPr="0014064A">
        <w:rPr>
          <w:rFonts w:ascii="Times New Roman" w:hAnsi="Times New Roman" w:cs="Times New Roman"/>
          <w:color w:val="auto"/>
          <w:lang w:val="lv-LV"/>
        </w:rPr>
        <w:t>Pārredzamība</w:t>
      </w:r>
      <w:proofErr w:type="spellEnd"/>
      <w:r w:rsidRPr="0014064A">
        <w:rPr>
          <w:rFonts w:ascii="Times New Roman" w:hAnsi="Times New Roman" w:cs="Times New Roman"/>
          <w:color w:val="auto"/>
          <w:lang w:val="lv-LV"/>
        </w:rPr>
        <w:t>: dati par jebkura sistēmā uzskaitīta līdzekļa jeb aktīva pirmavotu, to kustību un ar to saistītiem darījumiem ir pārskatāmi un jebkurā laikā pieejami visiem autorizētajiem lietotājiem;</w:t>
      </w:r>
    </w:p>
    <w:p w14:paraId="34C89342" w14:textId="77777777" w:rsidR="00C04D5D" w:rsidRPr="00A239F8" w:rsidRDefault="00C04D5D" w:rsidP="00C04D5D">
      <w:pPr>
        <w:pStyle w:val="Default"/>
        <w:numPr>
          <w:ilvl w:val="0"/>
          <w:numId w:val="6"/>
        </w:numPr>
        <w:spacing w:line="259" w:lineRule="auto"/>
        <w:ind w:left="284"/>
        <w:jc w:val="both"/>
        <w:rPr>
          <w:rFonts w:ascii="Times New Roman" w:hAnsi="Times New Roman" w:cs="Times New Roman"/>
          <w:color w:val="auto"/>
          <w:lang w:val="lv-LV"/>
        </w:rPr>
      </w:pPr>
      <w:r w:rsidRPr="00A239F8">
        <w:rPr>
          <w:rFonts w:ascii="Times New Roman" w:hAnsi="Times New Roman" w:cs="Times New Roman"/>
          <w:color w:val="auto"/>
          <w:lang w:val="lv-LV"/>
        </w:rPr>
        <w:t xml:space="preserve">Pastāvība: vienreiz ievadītu </w:t>
      </w:r>
      <w:r w:rsidRPr="00A239F8">
        <w:rPr>
          <w:rFonts w:ascii="Times New Roman" w:hAnsi="Times New Roman" w:cs="Times New Roman"/>
          <w:bCs/>
          <w:color w:val="auto"/>
          <w:lang w:val="lv-LV"/>
        </w:rPr>
        <w:t>informāciju nevar izdzēst vai mainīt</w:t>
      </w:r>
      <w:r>
        <w:rPr>
          <w:rFonts w:ascii="Times New Roman" w:hAnsi="Times New Roman" w:cs="Times New Roman"/>
          <w:bCs/>
          <w:color w:val="auto"/>
          <w:lang w:val="lv-LV"/>
        </w:rPr>
        <w:t>. J</w:t>
      </w:r>
      <w:r w:rsidRPr="00A239F8">
        <w:rPr>
          <w:rFonts w:ascii="Times New Roman" w:hAnsi="Times New Roman" w:cs="Times New Roman"/>
          <w:bCs/>
          <w:color w:val="auto"/>
          <w:lang w:val="lv-LV"/>
        </w:rPr>
        <w:t>a notikušais darījums jeb transakcija bija kļūdaina, tā tiek atcelta ar jauno darījumu un informācija par abiem no šiem darījumiem paliek redzama un pieejama</w:t>
      </w:r>
      <w:r w:rsidR="00941B0D">
        <w:rPr>
          <w:rStyle w:val="FootnoteReference"/>
          <w:rFonts w:ascii="Times New Roman" w:hAnsi="Times New Roman" w:cs="Times New Roman"/>
          <w:bCs/>
          <w:color w:val="auto"/>
          <w:lang w:val="lv-LV"/>
        </w:rPr>
        <w:footnoteReference w:id="4"/>
      </w:r>
      <w:r w:rsidRPr="00A239F8">
        <w:rPr>
          <w:rFonts w:ascii="Times New Roman" w:hAnsi="Times New Roman" w:cs="Times New Roman"/>
          <w:bCs/>
          <w:color w:val="auto"/>
          <w:lang w:val="lv-LV"/>
        </w:rPr>
        <w:t>;</w:t>
      </w:r>
    </w:p>
    <w:p w14:paraId="0DC61349" w14:textId="77777777" w:rsidR="00C04D5D" w:rsidRDefault="00C04D5D" w:rsidP="00C04D5D">
      <w:pPr>
        <w:pStyle w:val="Default"/>
        <w:numPr>
          <w:ilvl w:val="0"/>
          <w:numId w:val="6"/>
        </w:numPr>
        <w:spacing w:line="259" w:lineRule="auto"/>
        <w:ind w:left="284"/>
        <w:jc w:val="both"/>
        <w:rPr>
          <w:rFonts w:ascii="Times New Roman" w:hAnsi="Times New Roman" w:cs="Times New Roman"/>
          <w:bCs/>
          <w:color w:val="auto"/>
          <w:lang w:val="lv-LV"/>
        </w:rPr>
      </w:pPr>
      <w:r w:rsidRPr="00A239F8">
        <w:rPr>
          <w:rFonts w:ascii="Times New Roman" w:hAnsi="Times New Roman" w:cs="Times New Roman"/>
          <w:bCs/>
          <w:color w:val="auto"/>
          <w:lang w:val="lv-LV"/>
        </w:rPr>
        <w:t>Drošība: d</w:t>
      </w:r>
      <w:r w:rsidRPr="00A239F8">
        <w:rPr>
          <w:rFonts w:ascii="Times New Roman" w:hAnsi="Times New Roman" w:cs="Times New Roman"/>
          <w:color w:val="auto"/>
          <w:lang w:val="lv-LV"/>
        </w:rPr>
        <w:t xml:space="preserve">rošības mērķos tiek izmantota </w:t>
      </w:r>
      <w:r w:rsidRPr="00A239F8">
        <w:rPr>
          <w:rFonts w:ascii="Times New Roman" w:hAnsi="Times New Roman" w:cs="Times New Roman"/>
          <w:bCs/>
          <w:color w:val="auto"/>
          <w:lang w:val="lv-LV"/>
        </w:rPr>
        <w:t xml:space="preserve">kriptogrāfija un </w:t>
      </w:r>
      <w:proofErr w:type="spellStart"/>
      <w:r w:rsidRPr="00A239F8">
        <w:rPr>
          <w:rFonts w:ascii="Times New Roman" w:hAnsi="Times New Roman" w:cs="Times New Roman"/>
          <w:bCs/>
          <w:i/>
          <w:color w:val="auto"/>
          <w:lang w:val="lv-LV"/>
        </w:rPr>
        <w:t>proof-of-work</w:t>
      </w:r>
      <w:proofErr w:type="spellEnd"/>
      <w:r w:rsidRPr="00A239F8">
        <w:rPr>
          <w:rFonts w:ascii="Times New Roman" w:hAnsi="Times New Roman" w:cs="Times New Roman"/>
          <w:bCs/>
          <w:i/>
          <w:color w:val="auto"/>
          <w:lang w:val="lv-LV"/>
        </w:rPr>
        <w:t xml:space="preserve">, </w:t>
      </w:r>
      <w:proofErr w:type="spellStart"/>
      <w:r w:rsidRPr="00A239F8">
        <w:rPr>
          <w:rFonts w:ascii="Times New Roman" w:hAnsi="Times New Roman" w:cs="Times New Roman"/>
          <w:bCs/>
          <w:i/>
          <w:color w:val="auto"/>
          <w:lang w:val="lv-LV"/>
        </w:rPr>
        <w:t>proof-of-stake</w:t>
      </w:r>
      <w:proofErr w:type="spellEnd"/>
      <w:r w:rsidRPr="00A239F8">
        <w:rPr>
          <w:rFonts w:ascii="Times New Roman" w:hAnsi="Times New Roman" w:cs="Times New Roman"/>
          <w:bCs/>
          <w:color w:val="auto"/>
          <w:lang w:val="lv-LV"/>
        </w:rPr>
        <w:t xml:space="preserve"> u.c. algoritmu mehānismi</w:t>
      </w:r>
      <w:r>
        <w:rPr>
          <w:rFonts w:ascii="Times New Roman" w:hAnsi="Times New Roman" w:cs="Times New Roman"/>
          <w:bCs/>
          <w:color w:val="auto"/>
          <w:lang w:val="lv-LV"/>
        </w:rPr>
        <w:t xml:space="preserve">. Turklāt </w:t>
      </w:r>
      <w:r w:rsidRPr="00DD481A">
        <w:rPr>
          <w:rFonts w:ascii="Times New Roman" w:hAnsi="Times New Roman" w:cs="Times New Roman"/>
          <w:bCs/>
          <w:color w:val="auto"/>
          <w:lang w:val="lv-LV"/>
        </w:rPr>
        <w:t>katrs blokķēdes bloks ir šifrēts - to veido nejaušs ciparu virknējums, ko nav iespējams atšifrēt bez atslēgas. Šo atslēgu blokķēdes īpašnieks</w:t>
      </w:r>
      <w:r w:rsidR="00CE6AA5">
        <w:rPr>
          <w:rFonts w:ascii="Times New Roman" w:hAnsi="Times New Roman" w:cs="Times New Roman"/>
          <w:bCs/>
          <w:color w:val="auto"/>
          <w:lang w:val="lv-LV"/>
        </w:rPr>
        <w:t xml:space="preserve"> </w:t>
      </w:r>
      <w:r w:rsidRPr="00DD481A">
        <w:rPr>
          <w:rFonts w:ascii="Times New Roman" w:hAnsi="Times New Roman" w:cs="Times New Roman"/>
          <w:bCs/>
          <w:color w:val="auto"/>
          <w:lang w:val="lv-LV"/>
        </w:rPr>
        <w:t>var nodot blokķēdes saņēmējam. Tādejādi ti</w:t>
      </w:r>
      <w:r>
        <w:rPr>
          <w:rFonts w:ascii="Times New Roman" w:hAnsi="Times New Roman" w:cs="Times New Roman"/>
          <w:bCs/>
          <w:color w:val="auto"/>
          <w:lang w:val="lv-LV"/>
        </w:rPr>
        <w:t>e</w:t>
      </w:r>
      <w:r w:rsidRPr="00DD481A">
        <w:rPr>
          <w:rFonts w:ascii="Times New Roman" w:hAnsi="Times New Roman" w:cs="Times New Roman"/>
          <w:bCs/>
          <w:color w:val="auto"/>
          <w:lang w:val="lv-LV"/>
        </w:rPr>
        <w:t xml:space="preserve">k minimizēti riski nesankcionētai piekļuvei </w:t>
      </w:r>
      <w:proofErr w:type="spellStart"/>
      <w:r w:rsidRPr="00DD481A">
        <w:rPr>
          <w:rFonts w:ascii="Times New Roman" w:hAnsi="Times New Roman" w:cs="Times New Roman"/>
          <w:bCs/>
          <w:color w:val="auto"/>
          <w:lang w:val="lv-LV"/>
        </w:rPr>
        <w:t>sensitīviem</w:t>
      </w:r>
      <w:proofErr w:type="spellEnd"/>
      <w:r w:rsidRPr="00DD481A">
        <w:rPr>
          <w:rFonts w:ascii="Times New Roman" w:hAnsi="Times New Roman" w:cs="Times New Roman"/>
          <w:bCs/>
          <w:color w:val="auto"/>
          <w:lang w:val="lv-LV"/>
        </w:rPr>
        <w:t xml:space="preserve"> datiem un palielināta tehnoloģijas drošība</w:t>
      </w:r>
      <w:r w:rsidRPr="00A239F8">
        <w:rPr>
          <w:rFonts w:ascii="Times New Roman" w:hAnsi="Times New Roman" w:cs="Times New Roman"/>
          <w:bCs/>
          <w:color w:val="auto"/>
          <w:lang w:val="lv-LV"/>
        </w:rPr>
        <w:t>;</w:t>
      </w:r>
    </w:p>
    <w:p w14:paraId="02DE95DD" w14:textId="77777777" w:rsidR="00C04D5D" w:rsidRPr="001E20A9" w:rsidRDefault="00C04D5D" w:rsidP="00C04D5D">
      <w:pPr>
        <w:pStyle w:val="Default"/>
        <w:numPr>
          <w:ilvl w:val="0"/>
          <w:numId w:val="6"/>
        </w:numPr>
        <w:spacing w:line="259" w:lineRule="auto"/>
        <w:ind w:left="284"/>
        <w:jc w:val="both"/>
        <w:rPr>
          <w:rFonts w:ascii="Times New Roman" w:hAnsi="Times New Roman" w:cs="Times New Roman"/>
          <w:bCs/>
          <w:color w:val="auto"/>
          <w:lang w:val="lv-LV"/>
        </w:rPr>
      </w:pPr>
      <w:r w:rsidRPr="0004741A">
        <w:rPr>
          <w:rFonts w:ascii="Times New Roman" w:hAnsi="Times New Roman" w:cs="Times New Roman"/>
          <w:bCs/>
          <w:lang w:val="lv-LV"/>
        </w:rPr>
        <w:t>Uzticēšanas (</w:t>
      </w:r>
      <w:proofErr w:type="spellStart"/>
      <w:r w:rsidRPr="0004741A">
        <w:rPr>
          <w:rFonts w:ascii="Times New Roman" w:hAnsi="Times New Roman" w:cs="Times New Roman"/>
          <w:bCs/>
          <w:lang w:val="lv-LV"/>
        </w:rPr>
        <w:t>ang</w:t>
      </w:r>
      <w:proofErr w:type="spellEnd"/>
      <w:r w:rsidRPr="0004741A">
        <w:rPr>
          <w:rFonts w:ascii="Times New Roman" w:hAnsi="Times New Roman" w:cs="Times New Roman"/>
          <w:bCs/>
          <w:lang w:val="lv-LV"/>
        </w:rPr>
        <w:t xml:space="preserve">. </w:t>
      </w:r>
      <w:proofErr w:type="spellStart"/>
      <w:r w:rsidRPr="00040E7D">
        <w:rPr>
          <w:rFonts w:ascii="Times New Roman" w:hAnsi="Times New Roman" w:cs="Times New Roman"/>
          <w:bCs/>
          <w:i/>
          <w:lang w:val="lv-LV"/>
        </w:rPr>
        <w:t>trust</w:t>
      </w:r>
      <w:proofErr w:type="spellEnd"/>
      <w:r w:rsidRPr="0004741A">
        <w:rPr>
          <w:rFonts w:ascii="Times New Roman" w:hAnsi="Times New Roman" w:cs="Times New Roman"/>
          <w:bCs/>
          <w:lang w:val="lv-LV"/>
        </w:rPr>
        <w:t>) faktora izslēgšana: darījumus</w:t>
      </w:r>
      <w:r w:rsidRPr="0004741A">
        <w:rPr>
          <w:rFonts w:ascii="Times New Roman" w:hAnsi="Times New Roman" w:cs="Times New Roman"/>
          <w:lang w:val="lv-LV"/>
        </w:rPr>
        <w:t xml:space="preserve"> var veikt </w:t>
      </w:r>
      <w:r w:rsidRPr="0004741A">
        <w:rPr>
          <w:rFonts w:ascii="Times New Roman" w:hAnsi="Times New Roman" w:cs="Times New Roman"/>
          <w:bCs/>
          <w:lang w:val="lv-LV"/>
        </w:rPr>
        <w:t xml:space="preserve">starp nepazīstamiem dalībniekiem bez starpnieku iesaistīšanos. </w:t>
      </w:r>
      <w:r w:rsidRPr="0004741A">
        <w:rPr>
          <w:rFonts w:ascii="Times New Roman" w:hAnsi="Times New Roman" w:cs="Times New Roman"/>
          <w:shd w:val="clear" w:color="auto" w:fill="FFFFFF"/>
          <w:lang w:val="lv-LV"/>
        </w:rPr>
        <w:t>Blokķēde var nodrošināt uzticamību starp daudziem lietotājiem, kuri savā starpā nav pazīstami. To var ilustrēt ar pūli, kur katram no pūļa dalībniekiem ir vienāds dokuments. Katrs pūļa dalībnieks var patvaļīgi veikt izmaiņas dokumentā, bet viņa darbība būs pamanāma uz pārējā pūļa fona.</w:t>
      </w:r>
    </w:p>
    <w:p w14:paraId="3027F78F" w14:textId="77777777" w:rsidR="00C04D5D" w:rsidRDefault="00C04D5D" w:rsidP="00C04D5D">
      <w:pPr>
        <w:pStyle w:val="Default"/>
        <w:spacing w:line="259" w:lineRule="auto"/>
        <w:ind w:left="284"/>
        <w:jc w:val="both"/>
        <w:rPr>
          <w:rFonts w:ascii="Times New Roman" w:hAnsi="Times New Roman" w:cs="Times New Roman"/>
          <w:bCs/>
          <w:color w:val="auto"/>
          <w:lang w:val="lv-LV"/>
        </w:rPr>
      </w:pPr>
    </w:p>
    <w:p w14:paraId="0850EC3E" w14:textId="77777777" w:rsidR="00D60DC0" w:rsidRPr="00D60DC0" w:rsidRDefault="00D60DC0" w:rsidP="00D60DC0">
      <w:pPr>
        <w:pStyle w:val="ListParagraph"/>
        <w:numPr>
          <w:ilvl w:val="0"/>
          <w:numId w:val="14"/>
        </w:numPr>
        <w:spacing w:after="0" w:line="240" w:lineRule="auto"/>
        <w:jc w:val="both"/>
        <w:rPr>
          <w:rFonts w:ascii="Times New Roman" w:hAnsi="Times New Roman" w:cs="Times New Roman"/>
          <w:b/>
          <w:i/>
          <w:sz w:val="24"/>
          <w:szCs w:val="24"/>
          <w:lang w:val="lv-LV"/>
        </w:rPr>
      </w:pPr>
      <w:r w:rsidRPr="00D60DC0">
        <w:rPr>
          <w:rFonts w:ascii="Times New Roman" w:hAnsi="Times New Roman" w:cs="Times New Roman"/>
          <w:b/>
          <w:i/>
          <w:sz w:val="24"/>
          <w:szCs w:val="24"/>
          <w:lang w:val="lv-LV"/>
        </w:rPr>
        <w:t>Blokķēde un tās riski</w:t>
      </w:r>
    </w:p>
    <w:p w14:paraId="2383AEFD" w14:textId="77777777" w:rsidR="00D60DC0" w:rsidRPr="00A239F8" w:rsidRDefault="00D60DC0" w:rsidP="00D60DC0">
      <w:pPr>
        <w:pStyle w:val="BodyTextFirstIndent"/>
        <w:spacing w:after="0" w:line="240" w:lineRule="auto"/>
        <w:ind w:firstLine="720"/>
        <w:rPr>
          <w:shd w:val="clear" w:color="auto" w:fill="FFFFFF"/>
        </w:rPr>
      </w:pPr>
      <w:r>
        <w:rPr>
          <w:shd w:val="clear" w:color="auto" w:fill="FFFFFF"/>
        </w:rPr>
        <w:t>Šī informatīvā ziņojuma pamatā ir</w:t>
      </w:r>
      <w:r w:rsidRPr="00A239F8">
        <w:rPr>
          <w:shd w:val="clear" w:color="auto" w:fill="FFFFFF"/>
        </w:rPr>
        <w:t xml:space="preserve"> blokķēdes</w:t>
      </w:r>
      <w:r>
        <w:rPr>
          <w:shd w:val="clear" w:color="auto" w:fill="FFFFFF"/>
        </w:rPr>
        <w:t xml:space="preserve"> risinājumi, kas spētu tikt pielietoti</w:t>
      </w:r>
      <w:r w:rsidRPr="00A239F8">
        <w:rPr>
          <w:shd w:val="clear" w:color="auto" w:fill="FFFFFF"/>
        </w:rPr>
        <w:t xml:space="preserve"> valsts pārvaldē, tāpēc </w:t>
      </w:r>
      <w:r>
        <w:rPr>
          <w:shd w:val="clear" w:color="auto" w:fill="FFFFFF"/>
        </w:rPr>
        <w:t>tā ietvaros</w:t>
      </w:r>
      <w:r w:rsidRPr="00A239F8">
        <w:rPr>
          <w:shd w:val="clear" w:color="auto" w:fill="FFFFFF"/>
        </w:rPr>
        <w:t xml:space="preserve"> netiek apskatīti riski, kas ir raksturīgi privātajiem blokķēdes risinājumiem. </w:t>
      </w:r>
    </w:p>
    <w:p w14:paraId="0DDCD6B0" w14:textId="77777777" w:rsidR="00D60DC0" w:rsidRDefault="00D60DC0" w:rsidP="00D60DC0">
      <w:pPr>
        <w:pStyle w:val="BodyTextFirstIndent"/>
        <w:spacing w:after="0" w:line="240" w:lineRule="auto"/>
        <w:rPr>
          <w:shd w:val="clear" w:color="auto" w:fill="FFFFFF"/>
        </w:rPr>
      </w:pPr>
    </w:p>
    <w:p w14:paraId="6C24C8F2" w14:textId="77777777" w:rsidR="00340E51" w:rsidRDefault="00340E51" w:rsidP="00D60DC0">
      <w:pPr>
        <w:pStyle w:val="BodyTextFirstIndent"/>
        <w:spacing w:after="0" w:line="240" w:lineRule="auto"/>
        <w:rPr>
          <w:shd w:val="clear" w:color="auto" w:fill="FFFFFF"/>
        </w:rPr>
      </w:pPr>
    </w:p>
    <w:p w14:paraId="10597D89" w14:textId="77777777" w:rsidR="00D60DC0" w:rsidRPr="00D60DC0" w:rsidRDefault="00D60DC0" w:rsidP="00D60DC0">
      <w:pPr>
        <w:pStyle w:val="ListParagraph"/>
        <w:numPr>
          <w:ilvl w:val="1"/>
          <w:numId w:val="14"/>
        </w:numPr>
        <w:spacing w:after="0" w:line="240" w:lineRule="auto"/>
        <w:jc w:val="both"/>
        <w:rPr>
          <w:rFonts w:ascii="Times New Roman" w:hAnsi="Times New Roman" w:cs="Times New Roman"/>
          <w:i/>
          <w:sz w:val="24"/>
          <w:szCs w:val="24"/>
          <w:lang w:val="lv-LV"/>
        </w:rPr>
      </w:pPr>
      <w:r w:rsidRPr="00D60DC0">
        <w:rPr>
          <w:rFonts w:ascii="Times New Roman" w:hAnsi="Times New Roman" w:cs="Times New Roman"/>
          <w:i/>
          <w:sz w:val="24"/>
          <w:szCs w:val="24"/>
          <w:lang w:val="lv-LV"/>
        </w:rPr>
        <w:lastRenderedPageBreak/>
        <w:t>Tehnoloģiskie riski</w:t>
      </w:r>
    </w:p>
    <w:p w14:paraId="54319BA1" w14:textId="2EA696AB" w:rsidR="00D60DC0" w:rsidRPr="00A239F8" w:rsidRDefault="00D60DC0" w:rsidP="00D60DC0">
      <w:pPr>
        <w:pStyle w:val="BodyTextFirstIndent"/>
        <w:spacing w:after="0" w:line="240" w:lineRule="auto"/>
        <w:ind w:firstLine="720"/>
        <w:rPr>
          <w:shd w:val="clear" w:color="auto" w:fill="FFFFFF"/>
        </w:rPr>
      </w:pPr>
      <w:r w:rsidRPr="00A239F8">
        <w:rPr>
          <w:shd w:val="clear" w:color="auto" w:fill="FFFFFF"/>
        </w:rPr>
        <w:t xml:space="preserve">Saskaņā ar Nīderlandes </w:t>
      </w:r>
      <w:r>
        <w:rPr>
          <w:shd w:val="clear" w:color="auto" w:fill="FFFFFF"/>
        </w:rPr>
        <w:t xml:space="preserve">daudzpusīgo </w:t>
      </w:r>
      <w:r w:rsidRPr="00A239F8">
        <w:rPr>
          <w:shd w:val="clear" w:color="auto" w:fill="FFFFFF"/>
        </w:rPr>
        <w:t>pieredzi</w:t>
      </w:r>
      <w:r>
        <w:rPr>
          <w:shd w:val="clear" w:color="auto" w:fill="FFFFFF"/>
        </w:rPr>
        <w:t xml:space="preserve"> blokķēdes tehnoloģisko risinājumu ieviešanā loģistikas, </w:t>
      </w:r>
      <w:proofErr w:type="spellStart"/>
      <w:r>
        <w:rPr>
          <w:shd w:val="clear" w:color="auto" w:fill="FFFFFF"/>
        </w:rPr>
        <w:t>agrikultūras</w:t>
      </w:r>
      <w:proofErr w:type="spellEnd"/>
      <w:r>
        <w:rPr>
          <w:shd w:val="clear" w:color="auto" w:fill="FFFFFF"/>
        </w:rPr>
        <w:t xml:space="preserve"> un riteņbraukšanas jomās</w:t>
      </w:r>
      <w:r w:rsidRPr="00A239F8">
        <w:rPr>
          <w:shd w:val="clear" w:color="auto" w:fill="FFFFFF"/>
        </w:rPr>
        <w:t>, lai tehnoloģija būtu droša, katram risinājumam ir nepieciešami vismaz astoņi mezgli</w:t>
      </w:r>
      <w:r>
        <w:rPr>
          <w:shd w:val="clear" w:color="auto" w:fill="FFFFFF"/>
        </w:rPr>
        <w:t xml:space="preserve"> (</w:t>
      </w:r>
      <w:proofErr w:type="spellStart"/>
      <w:r>
        <w:rPr>
          <w:shd w:val="clear" w:color="auto" w:fill="FFFFFF"/>
        </w:rPr>
        <w:t>ang</w:t>
      </w:r>
      <w:proofErr w:type="spellEnd"/>
      <w:r>
        <w:rPr>
          <w:shd w:val="clear" w:color="auto" w:fill="FFFFFF"/>
        </w:rPr>
        <w:t xml:space="preserve">. </w:t>
      </w:r>
      <w:proofErr w:type="spellStart"/>
      <w:r w:rsidRPr="00B224B8">
        <w:rPr>
          <w:i/>
          <w:shd w:val="clear" w:color="auto" w:fill="FFFFFF"/>
        </w:rPr>
        <w:t>nodes</w:t>
      </w:r>
      <w:proofErr w:type="spellEnd"/>
      <w:r>
        <w:rPr>
          <w:shd w:val="clear" w:color="auto" w:fill="FFFFFF"/>
        </w:rPr>
        <w:t>)</w:t>
      </w:r>
      <w:r w:rsidRPr="00A239F8">
        <w:rPr>
          <w:shd w:val="clear" w:color="auto" w:fill="FFFFFF"/>
        </w:rPr>
        <w:t xml:space="preserve">. Līdz ar to </w:t>
      </w:r>
      <w:r w:rsidR="00272CF2">
        <w:rPr>
          <w:shd w:val="clear" w:color="auto" w:fill="FFFFFF"/>
        </w:rPr>
        <w:t>valsts pārvaldē</w:t>
      </w:r>
      <w:r w:rsidRPr="00A239F8">
        <w:rPr>
          <w:shd w:val="clear" w:color="auto" w:fill="FFFFFF"/>
        </w:rPr>
        <w:t xml:space="preserve"> ir nepieciešams </w:t>
      </w:r>
      <w:r w:rsidR="00272CF2">
        <w:rPr>
          <w:shd w:val="clear" w:color="auto" w:fill="FFFFFF"/>
        </w:rPr>
        <w:t xml:space="preserve">nodrošināt atbalstu </w:t>
      </w:r>
      <w:proofErr w:type="spellStart"/>
      <w:r w:rsidR="00272CF2">
        <w:rPr>
          <w:shd w:val="clear" w:color="auto" w:fill="FFFFFF"/>
        </w:rPr>
        <w:t>blokķēdes</w:t>
      </w:r>
      <w:proofErr w:type="spellEnd"/>
      <w:r w:rsidR="00272CF2">
        <w:rPr>
          <w:shd w:val="clear" w:color="auto" w:fill="FFFFFF"/>
        </w:rPr>
        <w:t xml:space="preserve"> risinājumiem atbilstoši to pielietojuma būtībai. Turpmāk šis aspekts detalizēti ir izvērtējams, pilnveidojot valsts vienoto IKT arhitektūru.</w:t>
      </w:r>
      <w:r w:rsidRPr="00A239F8">
        <w:rPr>
          <w:shd w:val="clear" w:color="auto" w:fill="FFFFFF"/>
        </w:rPr>
        <w:t xml:space="preserve"> Vei</w:t>
      </w:r>
      <w:r>
        <w:rPr>
          <w:shd w:val="clear" w:color="auto" w:fill="FFFFFF"/>
        </w:rPr>
        <w:t>cināma arī privāto un NVO uzturē</w:t>
      </w:r>
      <w:r w:rsidRPr="00A239F8">
        <w:rPr>
          <w:shd w:val="clear" w:color="auto" w:fill="FFFFFF"/>
        </w:rPr>
        <w:t xml:space="preserve">to mezglu darbība, kas palielinās sistēmas uzticamību. Pamatā </w:t>
      </w:r>
      <w:r>
        <w:rPr>
          <w:shd w:val="clear" w:color="auto" w:fill="FFFFFF"/>
        </w:rPr>
        <w:t>tehnoloģija būtu potenciāli izmantojama</w:t>
      </w:r>
      <w:r w:rsidRPr="00A239F8">
        <w:rPr>
          <w:shd w:val="clear" w:color="auto" w:fill="FFFFFF"/>
        </w:rPr>
        <w:t xml:space="preserve"> nozarēs, kur šie uzņēmumi darbojas, piemēram, bankas varētu uzturēt mezglu ar kadastra ierakstiem un darījumu apliecinošiem dokumentiem.</w:t>
      </w:r>
    </w:p>
    <w:p w14:paraId="0E2C456F" w14:textId="49FA4DA0" w:rsidR="00D60DC0" w:rsidRDefault="00D60DC0" w:rsidP="00D60DC0">
      <w:pPr>
        <w:pStyle w:val="BodyTextFirstIndent"/>
        <w:spacing w:after="0" w:line="240" w:lineRule="auto"/>
        <w:ind w:firstLine="720"/>
        <w:rPr>
          <w:shd w:val="clear" w:color="auto" w:fill="FFFFFF"/>
        </w:rPr>
      </w:pPr>
      <w:r w:rsidRPr="00A239F8">
        <w:rPr>
          <w:shd w:val="clear" w:color="auto" w:fill="FFFFFF"/>
        </w:rPr>
        <w:t xml:space="preserve">Atkarībā no izvēlētā risinājuma, </w:t>
      </w:r>
      <w:r w:rsidR="00941B0D">
        <w:rPr>
          <w:shd w:val="clear" w:color="auto" w:fill="FFFFFF"/>
        </w:rPr>
        <w:t>vienošanās par</w:t>
      </w:r>
      <w:r w:rsidRPr="00A239F8">
        <w:rPr>
          <w:shd w:val="clear" w:color="auto" w:fill="FFFFFF"/>
        </w:rPr>
        <w:t xml:space="preserve"> kādas darbības apstiprināšanu var tikt panākts, ja tām piekrīt vismaz puse no mezgliem.</w:t>
      </w:r>
      <w:r>
        <w:rPr>
          <w:shd w:val="clear" w:color="auto" w:fill="FFFFFF"/>
        </w:rPr>
        <w:t xml:space="preserve"> </w:t>
      </w:r>
      <w:r w:rsidRPr="00A239F8">
        <w:rPr>
          <w:shd w:val="clear" w:color="auto" w:fill="FFFFFF"/>
        </w:rPr>
        <w:t>Ja tīklā ir pietiekami daudz privāto mezglu, tad teorētiski pastāv iespēja veikt kaitnieciskās darbības. Lai izvairītos no šī riska, būtu jānosaka</w:t>
      </w:r>
      <w:r>
        <w:rPr>
          <w:shd w:val="clear" w:color="auto" w:fill="FFFFFF"/>
        </w:rPr>
        <w:t>, ka</w:t>
      </w:r>
      <w:r w:rsidRPr="00A239F8">
        <w:rPr>
          <w:shd w:val="clear" w:color="auto" w:fill="FFFFFF"/>
        </w:rPr>
        <w:t xml:space="preserve"> privāto mezglu funkcijas </w:t>
      </w:r>
      <w:r>
        <w:rPr>
          <w:shd w:val="clear" w:color="auto" w:fill="FFFFFF"/>
        </w:rPr>
        <w:t xml:space="preserve">ir tikai </w:t>
      </w:r>
      <w:r w:rsidR="00A76223">
        <w:rPr>
          <w:shd w:val="clear" w:color="auto" w:fill="FFFFFF"/>
        </w:rPr>
        <w:t xml:space="preserve">uzraugošas un </w:t>
      </w:r>
      <w:r>
        <w:rPr>
          <w:shd w:val="clear" w:color="auto" w:fill="FFFFFF"/>
        </w:rPr>
        <w:t>informatīvas</w:t>
      </w:r>
      <w:r w:rsidRPr="00A239F8">
        <w:rPr>
          <w:shd w:val="clear" w:color="auto" w:fill="FFFFFF"/>
        </w:rPr>
        <w:t xml:space="preserve">, nevis lēmumu </w:t>
      </w:r>
      <w:r>
        <w:rPr>
          <w:shd w:val="clear" w:color="auto" w:fill="FFFFFF"/>
        </w:rPr>
        <w:t>pieņemošas</w:t>
      </w:r>
      <w:r w:rsidRPr="00A239F8">
        <w:rPr>
          <w:shd w:val="clear" w:color="auto" w:fill="FFFFFF"/>
        </w:rPr>
        <w:t xml:space="preserve">, vai </w:t>
      </w:r>
      <w:r>
        <w:rPr>
          <w:shd w:val="clear" w:color="auto" w:fill="FFFFFF"/>
        </w:rPr>
        <w:t>arī iespējams</w:t>
      </w:r>
      <w:r w:rsidRPr="00A239F8">
        <w:rPr>
          <w:shd w:val="clear" w:color="auto" w:fill="FFFFFF"/>
        </w:rPr>
        <w:t xml:space="preserve"> piešķirt tiesības ap</w:t>
      </w:r>
      <w:r>
        <w:rPr>
          <w:shd w:val="clear" w:color="auto" w:fill="FFFFFF"/>
        </w:rPr>
        <w:t>s</w:t>
      </w:r>
      <w:r w:rsidRPr="00A239F8">
        <w:rPr>
          <w:shd w:val="clear" w:color="auto" w:fill="FFFFFF"/>
        </w:rPr>
        <w:t>tiprināt izmaiņas tikai publiskajiem mezgliem.</w:t>
      </w:r>
      <w:r>
        <w:rPr>
          <w:shd w:val="clear" w:color="auto" w:fill="FFFFFF"/>
        </w:rPr>
        <w:t xml:space="preserve"> </w:t>
      </w:r>
    </w:p>
    <w:p w14:paraId="42133457" w14:textId="694F35D2" w:rsidR="00F71BCA" w:rsidRPr="00F71BCA" w:rsidRDefault="00E359F9" w:rsidP="00A76223">
      <w:pPr>
        <w:pStyle w:val="BodyTextFirstIndent"/>
        <w:spacing w:after="0" w:line="240" w:lineRule="auto"/>
        <w:ind w:firstLine="720"/>
        <w:rPr>
          <w:shd w:val="clear" w:color="auto" w:fill="FFFFFF"/>
        </w:rPr>
      </w:pPr>
      <w:r>
        <w:rPr>
          <w:shd w:val="clear" w:color="auto" w:fill="FFFFFF"/>
        </w:rPr>
        <w:t>Blokķēdes tehnoloģijas viens no produktiem ir Viedais l</w:t>
      </w:r>
      <w:r w:rsidRPr="003A36E2">
        <w:rPr>
          <w:shd w:val="clear" w:color="auto" w:fill="FFFFFF"/>
        </w:rPr>
        <w:t>ī</w:t>
      </w:r>
      <w:r>
        <w:rPr>
          <w:shd w:val="clear" w:color="auto" w:fill="FFFFFF"/>
        </w:rPr>
        <w:t>gums (</w:t>
      </w:r>
      <w:proofErr w:type="spellStart"/>
      <w:r w:rsidR="00892A6C">
        <w:rPr>
          <w:shd w:val="clear" w:color="auto" w:fill="FFFFFF"/>
        </w:rPr>
        <w:t>ang</w:t>
      </w:r>
      <w:proofErr w:type="spellEnd"/>
      <w:r w:rsidR="00892A6C">
        <w:rPr>
          <w:shd w:val="clear" w:color="auto" w:fill="FFFFFF"/>
        </w:rPr>
        <w:t xml:space="preserve">. </w:t>
      </w:r>
      <w:proofErr w:type="spellStart"/>
      <w:r w:rsidRPr="00892A6C">
        <w:rPr>
          <w:i/>
          <w:shd w:val="clear" w:color="auto" w:fill="FFFFFF"/>
        </w:rPr>
        <w:t>smart</w:t>
      </w:r>
      <w:proofErr w:type="spellEnd"/>
      <w:r w:rsidRPr="00892A6C">
        <w:rPr>
          <w:i/>
          <w:shd w:val="clear" w:color="auto" w:fill="FFFFFF"/>
        </w:rPr>
        <w:t xml:space="preserve"> </w:t>
      </w:r>
      <w:proofErr w:type="spellStart"/>
      <w:r w:rsidRPr="00892A6C">
        <w:rPr>
          <w:i/>
          <w:shd w:val="clear" w:color="auto" w:fill="FFFFFF"/>
        </w:rPr>
        <w:t>contract</w:t>
      </w:r>
      <w:proofErr w:type="spellEnd"/>
      <w:r>
        <w:rPr>
          <w:shd w:val="clear" w:color="auto" w:fill="FFFFFF"/>
        </w:rPr>
        <w:t>)</w:t>
      </w:r>
      <w:r w:rsidRPr="003A36E2">
        <w:rPr>
          <w:shd w:val="clear" w:color="auto" w:fill="FFFFFF"/>
        </w:rPr>
        <w:t xml:space="preserve">, </w:t>
      </w:r>
      <w:r w:rsidR="00F71BCA">
        <w:rPr>
          <w:shd w:val="clear" w:color="auto" w:fill="FFFFFF"/>
        </w:rPr>
        <w:t xml:space="preserve">kas ir </w:t>
      </w:r>
      <w:r w:rsidR="00F71BCA" w:rsidRPr="00F71BCA">
        <w:rPr>
          <w:shd w:val="clear" w:color="auto" w:fill="FFFFFF"/>
        </w:rPr>
        <w:t>programmas kods, ko pēc publicēšanas var vai nevar mainīt, atkarībā no iestatījumiem.</w:t>
      </w:r>
      <w:r w:rsidR="00F71BCA">
        <w:rPr>
          <w:shd w:val="clear" w:color="auto" w:fill="FFFFFF"/>
        </w:rPr>
        <w:t xml:space="preserve"> Viedais līgums </w:t>
      </w:r>
      <w:r w:rsidR="00A76223">
        <w:rPr>
          <w:shd w:val="clear" w:color="auto" w:fill="FFFFFF"/>
        </w:rPr>
        <w:t xml:space="preserve">izpildās vismaz daļēji automatizēti, iestājoties noteiktam notikumam. </w:t>
      </w:r>
      <w:r w:rsidR="00F71BCA" w:rsidRPr="00F71BCA">
        <w:rPr>
          <w:shd w:val="clear" w:color="auto" w:fill="FFFFFF"/>
        </w:rPr>
        <w:t xml:space="preserve">Piemēram, līdz ar naudas ieskaitīšanu no personas A uz personas B kontu, dzīvokļa īpašumtiesības pāriet no personas B uz personu A. To var izmantot īpašumiem, kuru īpašuma tiesības ir nostiprinātas publiskajos reģistros, piemēram auto vai nekustamā īpašuma reģistros. </w:t>
      </w:r>
    </w:p>
    <w:p w14:paraId="75CBD7ED" w14:textId="2B7962AD" w:rsidR="00F71BCA" w:rsidRPr="00F71BCA" w:rsidRDefault="00F71BCA" w:rsidP="00A76223">
      <w:pPr>
        <w:pStyle w:val="BodyTextFirstIndent"/>
        <w:spacing w:after="0" w:line="240" w:lineRule="auto"/>
        <w:ind w:firstLine="720"/>
        <w:rPr>
          <w:shd w:val="clear" w:color="auto" w:fill="FFFFFF"/>
        </w:rPr>
      </w:pPr>
      <w:r w:rsidRPr="00F71BCA">
        <w:rPr>
          <w:shd w:val="clear" w:color="auto" w:fill="FFFFFF"/>
        </w:rPr>
        <w:t>Lai viedo līgumu infrastruktūra spētu strādāt ar viedajiem līgumiem, ir nepieciešami p</w:t>
      </w:r>
      <w:r w:rsidR="00A76223">
        <w:rPr>
          <w:shd w:val="clear" w:color="auto" w:fill="FFFFFF"/>
        </w:rPr>
        <w:t>ielāgojumi konkrētajā datu bāzē.</w:t>
      </w:r>
      <w:r w:rsidRPr="00F71BCA">
        <w:rPr>
          <w:shd w:val="clear" w:color="auto" w:fill="FFFFFF"/>
        </w:rPr>
        <w:t xml:space="preserve"> </w:t>
      </w:r>
      <w:r w:rsidR="00A76223">
        <w:rPr>
          <w:shd w:val="clear" w:color="auto" w:fill="FFFFFF"/>
        </w:rPr>
        <w:t>Iepriekš minētajā piemērā ar dzīvokļa iegādi ir nepieciešam</w:t>
      </w:r>
      <w:r w:rsidR="00583530">
        <w:rPr>
          <w:shd w:val="clear" w:color="auto" w:fill="FFFFFF"/>
        </w:rPr>
        <w:t>s</w:t>
      </w:r>
      <w:r w:rsidR="00A76223">
        <w:rPr>
          <w:shd w:val="clear" w:color="auto" w:fill="FFFFFF"/>
        </w:rPr>
        <w:t xml:space="preserve"> pielāgot </w:t>
      </w:r>
      <w:r w:rsidR="00A76223" w:rsidRPr="00583530">
        <w:rPr>
          <w:shd w:val="clear" w:color="auto" w:fill="FFFFFF"/>
        </w:rPr>
        <w:t>Valsts vienot</w:t>
      </w:r>
      <w:r w:rsidR="00583530">
        <w:rPr>
          <w:shd w:val="clear" w:color="auto" w:fill="FFFFFF"/>
        </w:rPr>
        <w:t>o</w:t>
      </w:r>
      <w:r w:rsidR="00A76223" w:rsidRPr="00583530">
        <w:rPr>
          <w:shd w:val="clear" w:color="auto" w:fill="FFFFFF"/>
        </w:rPr>
        <w:t xml:space="preserve"> datorizēt</w:t>
      </w:r>
      <w:r w:rsidR="00583530">
        <w:rPr>
          <w:shd w:val="clear" w:color="auto" w:fill="FFFFFF"/>
        </w:rPr>
        <w:t>o</w:t>
      </w:r>
      <w:r w:rsidR="00A76223" w:rsidRPr="00583530">
        <w:rPr>
          <w:shd w:val="clear" w:color="auto" w:fill="FFFFFF"/>
        </w:rPr>
        <w:t xml:space="preserve"> zemesgrāmat</w:t>
      </w:r>
      <w:r w:rsidR="00583530">
        <w:rPr>
          <w:shd w:val="clear" w:color="auto" w:fill="FFFFFF"/>
        </w:rPr>
        <w:t>u</w:t>
      </w:r>
      <w:r w:rsidR="00A76223">
        <w:rPr>
          <w:shd w:val="clear" w:color="auto" w:fill="FFFFFF"/>
        </w:rPr>
        <w:t>, lai tā veiktu īpašnieka izmaiņas un banku programmatūrā, lai tā automātiski informētu par naudas par darījuma veikšanu.</w:t>
      </w:r>
    </w:p>
    <w:p w14:paraId="1C1BA184" w14:textId="092E8F7E" w:rsidR="00D60DC0" w:rsidRDefault="00D60DC0" w:rsidP="00D60DC0">
      <w:pPr>
        <w:pStyle w:val="BodyTextFirstIndent"/>
        <w:spacing w:after="0" w:line="240" w:lineRule="auto"/>
        <w:ind w:firstLine="720"/>
        <w:rPr>
          <w:shd w:val="clear" w:color="auto" w:fill="FFFFFF"/>
        </w:rPr>
      </w:pPr>
      <w:r w:rsidRPr="00A239F8">
        <w:rPr>
          <w:shd w:val="clear" w:color="auto" w:fill="FFFFFF"/>
        </w:rPr>
        <w:t xml:space="preserve">Šobrīd viedo līgumu tehnoloģija attīstās un tajā ir virkne drošības nepilnību. Tā kā viedais līgums pēc būtības ir programma, tad tajā var tikt iestrādāts kaitīgs kods, kas nav pamanāms, </w:t>
      </w:r>
      <w:r>
        <w:rPr>
          <w:shd w:val="clear" w:color="auto" w:fill="FFFFFF"/>
        </w:rPr>
        <w:t>lietotājam</w:t>
      </w:r>
      <w:r w:rsidRPr="00A239F8">
        <w:rPr>
          <w:shd w:val="clear" w:color="auto" w:fill="FFFFFF"/>
        </w:rPr>
        <w:t xml:space="preserve">, kurš nav </w:t>
      </w:r>
      <w:r>
        <w:rPr>
          <w:shd w:val="clear" w:color="auto" w:fill="FFFFFF"/>
        </w:rPr>
        <w:t xml:space="preserve">jomas </w:t>
      </w:r>
      <w:r w:rsidRPr="00A239F8">
        <w:rPr>
          <w:shd w:val="clear" w:color="auto" w:fill="FFFFFF"/>
        </w:rPr>
        <w:t xml:space="preserve">speciālists. Kaitīgs kods var veikt vērtību īpašnieka maiņu, nesankcionētās izmaiņas reģistros </w:t>
      </w:r>
      <w:proofErr w:type="spellStart"/>
      <w:r w:rsidRPr="00A239F8">
        <w:rPr>
          <w:shd w:val="clear" w:color="auto" w:fill="FFFFFF"/>
        </w:rPr>
        <w:t>utt</w:t>
      </w:r>
      <w:proofErr w:type="spellEnd"/>
      <w:r>
        <w:rPr>
          <w:shd w:val="clear" w:color="auto" w:fill="FFFFFF"/>
        </w:rPr>
        <w:t>, tādēļ</w:t>
      </w:r>
      <w:r w:rsidRPr="00A239F8">
        <w:rPr>
          <w:shd w:val="clear" w:color="auto" w:fill="FFFFFF"/>
        </w:rPr>
        <w:t xml:space="preserve"> sākotnēji valsts pārvaldē izmantotajos risinājumos būt</w:t>
      </w:r>
      <w:r>
        <w:rPr>
          <w:shd w:val="clear" w:color="auto" w:fill="FFFFFF"/>
        </w:rPr>
        <w:t>u</w:t>
      </w:r>
      <w:r w:rsidRPr="00A239F8">
        <w:rPr>
          <w:shd w:val="clear" w:color="auto" w:fill="FFFFFF"/>
        </w:rPr>
        <w:t xml:space="preserve"> atļaujami tikai iepriekš auditētie </w:t>
      </w:r>
      <w:r>
        <w:rPr>
          <w:shd w:val="clear" w:color="auto" w:fill="FFFFFF"/>
        </w:rPr>
        <w:t>līgumi</w:t>
      </w:r>
      <w:r w:rsidRPr="00A239F8">
        <w:rPr>
          <w:shd w:val="clear" w:color="auto" w:fill="FFFFFF"/>
        </w:rPr>
        <w:t xml:space="preserve">, kur </w:t>
      </w:r>
      <w:r w:rsidR="00F61EB3">
        <w:rPr>
          <w:shd w:val="clear" w:color="auto" w:fill="FFFFFF"/>
        </w:rPr>
        <w:t xml:space="preserve">parastie </w:t>
      </w:r>
      <w:r w:rsidRPr="00A239F8">
        <w:rPr>
          <w:shd w:val="clear" w:color="auto" w:fill="FFFFFF"/>
        </w:rPr>
        <w:t>lietotāji var aizpildīt tikai datus, nevis rediģēt līguma kod</w:t>
      </w:r>
      <w:r>
        <w:rPr>
          <w:shd w:val="clear" w:color="auto" w:fill="FFFFFF"/>
        </w:rPr>
        <w:t>u.</w:t>
      </w:r>
    </w:p>
    <w:p w14:paraId="6B0FFFB2" w14:textId="423D7D41" w:rsidR="00D60DC0" w:rsidRPr="00A239F8" w:rsidRDefault="00D60DC0" w:rsidP="00D60DC0">
      <w:pPr>
        <w:pStyle w:val="BodyTextFirstIndent"/>
        <w:spacing w:after="0" w:line="240" w:lineRule="auto"/>
        <w:ind w:firstLine="720"/>
        <w:rPr>
          <w:shd w:val="clear" w:color="auto" w:fill="FFFFFF"/>
        </w:rPr>
      </w:pPr>
      <w:r w:rsidRPr="00A239F8">
        <w:rPr>
          <w:shd w:val="clear" w:color="auto" w:fill="FFFFFF"/>
        </w:rPr>
        <w:t xml:space="preserve">Tāpat kā citi </w:t>
      </w:r>
      <w:proofErr w:type="spellStart"/>
      <w:r w:rsidRPr="00A239F8">
        <w:rPr>
          <w:shd w:val="clear" w:color="auto" w:fill="FFFFFF"/>
        </w:rPr>
        <w:t>pirmskvantu</w:t>
      </w:r>
      <w:proofErr w:type="spellEnd"/>
      <w:r w:rsidRPr="00A239F8">
        <w:rPr>
          <w:shd w:val="clear" w:color="auto" w:fill="FFFFFF"/>
        </w:rPr>
        <w:t xml:space="preserve"> ēras risinājumi, arī blokķēdes šobrīd nav noturīgas pret kvantu ska</w:t>
      </w:r>
      <w:r>
        <w:rPr>
          <w:shd w:val="clear" w:color="auto" w:fill="FFFFFF"/>
        </w:rPr>
        <w:t>i</w:t>
      </w:r>
      <w:r w:rsidRPr="00A239F8">
        <w:rPr>
          <w:shd w:val="clear" w:color="auto" w:fill="FFFFFF"/>
        </w:rPr>
        <w:t>tļošanas risinājumiem</w:t>
      </w:r>
      <w:r>
        <w:rPr>
          <w:shd w:val="clear" w:color="auto" w:fill="FFFFFF"/>
        </w:rPr>
        <w:t>, līdz ar to n</w:t>
      </w:r>
      <w:r w:rsidRPr="00A239F8">
        <w:rPr>
          <w:shd w:val="clear" w:color="auto" w:fill="FFFFFF"/>
        </w:rPr>
        <w:t>epieciešams strādāt pie kvantu skaitļošanas noturīgajiem risinājumiem</w:t>
      </w:r>
      <w:r w:rsidR="00621843">
        <w:rPr>
          <w:shd w:val="clear" w:color="auto" w:fill="FFFFFF"/>
        </w:rPr>
        <w:t xml:space="preserve"> gan vietējā, gan globā</w:t>
      </w:r>
      <w:r w:rsidR="00EF5C9F">
        <w:rPr>
          <w:shd w:val="clear" w:color="auto" w:fill="FFFFFF"/>
        </w:rPr>
        <w:t>lā mērogā</w:t>
      </w:r>
      <w:r w:rsidRPr="00A239F8">
        <w:rPr>
          <w:shd w:val="clear" w:color="auto" w:fill="FFFFFF"/>
        </w:rPr>
        <w:t>.</w:t>
      </w:r>
    </w:p>
    <w:p w14:paraId="77B3C7D1" w14:textId="77777777" w:rsidR="00742BB1" w:rsidRDefault="00D60DC0" w:rsidP="00742BB1">
      <w:pPr>
        <w:pStyle w:val="BodyTextFirstIndent"/>
        <w:spacing w:after="0" w:line="240" w:lineRule="auto"/>
        <w:ind w:firstLine="0"/>
        <w:rPr>
          <w:shd w:val="clear" w:color="auto" w:fill="FFFFFF"/>
        </w:rPr>
      </w:pPr>
      <w:r>
        <w:rPr>
          <w:shd w:val="clear" w:color="auto" w:fill="FFFFFF"/>
        </w:rPr>
        <w:tab/>
      </w:r>
      <w:r w:rsidR="00742BB1">
        <w:rPr>
          <w:shd w:val="clear" w:color="auto" w:fill="FFFFFF"/>
        </w:rPr>
        <w:t>Papildus ir jāatzīmē, ka t</w:t>
      </w:r>
      <w:r w:rsidR="00742BB1" w:rsidRPr="00A239F8">
        <w:rPr>
          <w:shd w:val="clear" w:color="auto" w:fill="FFFFFF"/>
        </w:rPr>
        <w:t xml:space="preserve">ehnoloģija ir samēra jauna, tāpēc daudz kas nav standartizēts. </w:t>
      </w:r>
      <w:proofErr w:type="spellStart"/>
      <w:r w:rsidR="00742BB1">
        <w:rPr>
          <w:shd w:val="clear" w:color="auto" w:fill="FFFFFF"/>
        </w:rPr>
        <w:t>Blokķēdes</w:t>
      </w:r>
      <w:proofErr w:type="spellEnd"/>
      <w:r w:rsidR="00742BB1">
        <w:rPr>
          <w:shd w:val="clear" w:color="auto" w:fill="FFFFFF"/>
        </w:rPr>
        <w:t xml:space="preserve"> risinājumi šobrīd attīstās diezgan fragmentēti – uz </w:t>
      </w:r>
      <w:proofErr w:type="spellStart"/>
      <w:r w:rsidR="00742BB1">
        <w:rPr>
          <w:shd w:val="clear" w:color="auto" w:fill="FFFFFF"/>
        </w:rPr>
        <w:t>blokķēdi</w:t>
      </w:r>
      <w:proofErr w:type="spellEnd"/>
      <w:r w:rsidR="00742BB1">
        <w:rPr>
          <w:shd w:val="clear" w:color="auto" w:fill="FFFFFF"/>
        </w:rPr>
        <w:t xml:space="preserve"> balstītos risinājumus visērtāk ir būvēt, izmantojot jau kādu standartizētu ietvaru (analoģiski programmēšanas valodai programmas koda rakstīšanai), tomēr šobrīd ir vairākas ievērojamas platformas, piemēram IBM </w:t>
      </w:r>
      <w:proofErr w:type="spellStart"/>
      <w:r w:rsidR="00742BB1">
        <w:rPr>
          <w:shd w:val="clear" w:color="auto" w:fill="FFFFFF"/>
        </w:rPr>
        <w:t>HyperLedger</w:t>
      </w:r>
      <w:proofErr w:type="spellEnd"/>
      <w:r w:rsidR="00742BB1">
        <w:rPr>
          <w:shd w:val="clear" w:color="auto" w:fill="FFFFFF"/>
        </w:rPr>
        <w:t xml:space="preserve">, </w:t>
      </w:r>
      <w:proofErr w:type="spellStart"/>
      <w:r w:rsidR="00742BB1">
        <w:rPr>
          <w:shd w:val="clear" w:color="auto" w:fill="FFFFFF"/>
        </w:rPr>
        <w:t>Ethereum</w:t>
      </w:r>
      <w:proofErr w:type="spellEnd"/>
      <w:r w:rsidR="00742BB1">
        <w:rPr>
          <w:shd w:val="clear" w:color="auto" w:fill="FFFFFF"/>
        </w:rPr>
        <w:t xml:space="preserve">, R3 </w:t>
      </w:r>
      <w:proofErr w:type="spellStart"/>
      <w:r w:rsidR="00742BB1">
        <w:rPr>
          <w:shd w:val="clear" w:color="auto" w:fill="FFFFFF"/>
        </w:rPr>
        <w:t>Corda</w:t>
      </w:r>
      <w:proofErr w:type="spellEnd"/>
      <w:r w:rsidR="00742BB1">
        <w:rPr>
          <w:shd w:val="clear" w:color="auto" w:fill="FFFFFF"/>
        </w:rPr>
        <w:t xml:space="preserve"> un Microsoft </w:t>
      </w:r>
      <w:proofErr w:type="spellStart"/>
      <w:r w:rsidR="00742BB1">
        <w:rPr>
          <w:shd w:val="clear" w:color="auto" w:fill="FFFFFF"/>
        </w:rPr>
        <w:t>Azure</w:t>
      </w:r>
      <w:proofErr w:type="spellEnd"/>
      <w:r w:rsidR="00742BB1">
        <w:rPr>
          <w:shd w:val="clear" w:color="auto" w:fill="FFFFFF"/>
        </w:rPr>
        <w:t xml:space="preserve"> </w:t>
      </w:r>
      <w:proofErr w:type="spellStart"/>
      <w:r w:rsidR="00742BB1">
        <w:rPr>
          <w:shd w:val="clear" w:color="auto" w:fill="FFFFFF"/>
        </w:rPr>
        <w:t>Blockchain</w:t>
      </w:r>
      <w:proofErr w:type="spellEnd"/>
      <w:r w:rsidR="00742BB1">
        <w:rPr>
          <w:shd w:val="clear" w:color="auto" w:fill="FFFFFF"/>
        </w:rPr>
        <w:t xml:space="preserve">, kuras savā starpā ir gandrīz nesaderīgas un vienas noteiktās platformas izmantošana veido lielu atkarību no tās sniegtām funkcionālajām iespējām. </w:t>
      </w:r>
      <w:r w:rsidR="00742BB1" w:rsidRPr="00A239F8">
        <w:rPr>
          <w:shd w:val="clear" w:color="auto" w:fill="FFFFFF"/>
        </w:rPr>
        <w:t>Lai</w:t>
      </w:r>
      <w:r w:rsidR="00742BB1">
        <w:rPr>
          <w:shd w:val="clear" w:color="auto" w:fill="FFFFFF"/>
        </w:rPr>
        <w:t xml:space="preserve"> </w:t>
      </w:r>
      <w:r w:rsidR="00742BB1" w:rsidRPr="00A239F8">
        <w:rPr>
          <w:shd w:val="clear" w:color="auto" w:fill="FFFFFF"/>
        </w:rPr>
        <w:t xml:space="preserve">arī </w:t>
      </w:r>
      <w:proofErr w:type="spellStart"/>
      <w:r w:rsidR="00742BB1" w:rsidRPr="00A239F8">
        <w:rPr>
          <w:shd w:val="clear" w:color="auto" w:fill="FFFFFF"/>
        </w:rPr>
        <w:t>blokķēdes</w:t>
      </w:r>
      <w:proofErr w:type="spellEnd"/>
      <w:r w:rsidR="00742BB1" w:rsidRPr="00A239F8">
        <w:rPr>
          <w:shd w:val="clear" w:color="auto" w:fill="FFFFFF"/>
        </w:rPr>
        <w:t xml:space="preserve"> attīstībā piedalās daudzi uzņēmumi ar ilgu vēsturi un reputāciju, virkne jauno </w:t>
      </w:r>
      <w:r w:rsidR="00742BB1" w:rsidRPr="00A239F8">
        <w:rPr>
          <w:shd w:val="clear" w:color="auto" w:fill="FFFFFF"/>
        </w:rPr>
        <w:lastRenderedPageBreak/>
        <w:t>uzņēmumu var nebūt ilgtspējīgi un pārvērtēt savas spējas ieviest risinājumus. Arī lielajiem uzņēmumiem trūkst attiecīgās jomas speciālistu.</w:t>
      </w:r>
    </w:p>
    <w:p w14:paraId="5FD13916" w14:textId="57F9E38F" w:rsidR="00D60DC0" w:rsidRDefault="00742BB1" w:rsidP="00742BB1">
      <w:pPr>
        <w:pStyle w:val="BodyTextFirstIndent"/>
        <w:spacing w:after="0" w:line="240" w:lineRule="auto"/>
        <w:ind w:firstLine="0"/>
        <w:rPr>
          <w:shd w:val="clear" w:color="auto" w:fill="FFFFFF"/>
        </w:rPr>
      </w:pPr>
      <w:r>
        <w:rPr>
          <w:shd w:val="clear" w:color="auto" w:fill="FFFFFF"/>
        </w:rPr>
        <w:tab/>
      </w:r>
      <w:proofErr w:type="spellStart"/>
      <w:r w:rsidRPr="00884DAE">
        <w:rPr>
          <w:shd w:val="clear" w:color="auto" w:fill="FFFFFF"/>
        </w:rPr>
        <w:t>Blokķēdes</w:t>
      </w:r>
      <w:proofErr w:type="spellEnd"/>
      <w:r w:rsidRPr="00884DAE">
        <w:rPr>
          <w:shd w:val="clear" w:color="auto" w:fill="FFFFFF"/>
        </w:rPr>
        <w:t xml:space="preserve"> tehnoloģij</w:t>
      </w:r>
      <w:r>
        <w:rPr>
          <w:shd w:val="clear" w:color="auto" w:fill="FFFFFF"/>
        </w:rPr>
        <w:t>ai</w:t>
      </w:r>
      <w:r w:rsidRPr="00884DAE">
        <w:rPr>
          <w:shd w:val="clear" w:color="auto" w:fill="FFFFFF"/>
        </w:rPr>
        <w:t xml:space="preserve"> šobrīd ir problēma ar lielu datu apjoma apstrādi jeb mēroga problēma. Kā zināms, datu bāzēs bieži uztur liela apjoma datus, piemēram, attēlus, dokumentus, u.c. failus. Taču </w:t>
      </w:r>
      <w:proofErr w:type="spellStart"/>
      <w:r w:rsidRPr="00884DAE">
        <w:rPr>
          <w:shd w:val="clear" w:color="auto" w:fill="FFFFFF"/>
        </w:rPr>
        <w:t>blo</w:t>
      </w:r>
      <w:r>
        <w:rPr>
          <w:shd w:val="clear" w:color="auto" w:fill="FFFFFF"/>
        </w:rPr>
        <w:t>k</w:t>
      </w:r>
      <w:r w:rsidRPr="00884DAE">
        <w:rPr>
          <w:shd w:val="clear" w:color="auto" w:fill="FFFFFF"/>
        </w:rPr>
        <w:t>ķēdes</w:t>
      </w:r>
      <w:proofErr w:type="spellEnd"/>
      <w:r w:rsidRPr="00884DAE">
        <w:rPr>
          <w:shd w:val="clear" w:color="auto" w:fill="FFFFFF"/>
        </w:rPr>
        <w:t xml:space="preserve"> tehnoloģija spēj apstrādāt tikai nelielus datu apjomus. Lielākiem datu apjomiem tehnoloģija nav piemērota, vai arī jāmeklē kāds </w:t>
      </w:r>
      <w:proofErr w:type="spellStart"/>
      <w:r w:rsidRPr="00884DAE">
        <w:rPr>
          <w:shd w:val="clear" w:color="auto" w:fill="FFFFFF"/>
        </w:rPr>
        <w:t>hibrīdrisinājums</w:t>
      </w:r>
      <w:proofErr w:type="spellEnd"/>
      <w:r w:rsidRPr="00884DAE">
        <w:rPr>
          <w:shd w:val="clear" w:color="auto" w:fill="FFFFFF"/>
        </w:rPr>
        <w:t>. Viens no piemē</w:t>
      </w:r>
      <w:r>
        <w:rPr>
          <w:shd w:val="clear" w:color="auto" w:fill="FFFFFF"/>
        </w:rPr>
        <w:t>r</w:t>
      </w:r>
      <w:r w:rsidRPr="00884DAE">
        <w:rPr>
          <w:shd w:val="clear" w:color="auto" w:fill="FFFFFF"/>
        </w:rPr>
        <w:t xml:space="preserve">iem šai mēroga problēmai ir </w:t>
      </w:r>
      <w:proofErr w:type="spellStart"/>
      <w:r w:rsidRPr="00884DAE">
        <w:rPr>
          <w:shd w:val="clear" w:color="auto" w:fill="FFFFFF"/>
        </w:rPr>
        <w:t>Bitcoin</w:t>
      </w:r>
      <w:proofErr w:type="spellEnd"/>
      <w:r w:rsidRPr="00884DAE">
        <w:rPr>
          <w:shd w:val="clear" w:color="auto" w:fill="FFFFFF"/>
        </w:rPr>
        <w:t xml:space="preserve"> </w:t>
      </w:r>
      <w:proofErr w:type="spellStart"/>
      <w:r w:rsidRPr="00884DAE">
        <w:rPr>
          <w:shd w:val="clear" w:color="auto" w:fill="FFFFFF"/>
        </w:rPr>
        <w:t>bloķēdes</w:t>
      </w:r>
      <w:proofErr w:type="spellEnd"/>
      <w:r w:rsidRPr="00884DAE">
        <w:rPr>
          <w:shd w:val="clear" w:color="auto" w:fill="FFFFFF"/>
        </w:rPr>
        <w:t xml:space="preserve"> bloka izmērs, kurš ir tikai 1MB liels. Tas nozīmē, ka sekundē </w:t>
      </w:r>
      <w:proofErr w:type="spellStart"/>
      <w:r w:rsidRPr="00884DAE">
        <w:rPr>
          <w:shd w:val="clear" w:color="auto" w:fill="FFFFFF"/>
        </w:rPr>
        <w:t>Bitcoin</w:t>
      </w:r>
      <w:proofErr w:type="spellEnd"/>
      <w:r w:rsidRPr="00884DAE">
        <w:rPr>
          <w:shd w:val="clear" w:color="auto" w:fill="FFFFFF"/>
        </w:rPr>
        <w:t xml:space="preserve"> spēj veikt tikai 3-4 transakcijas, taču ja </w:t>
      </w:r>
      <w:proofErr w:type="spellStart"/>
      <w:r w:rsidRPr="00884DAE">
        <w:rPr>
          <w:shd w:val="clear" w:color="auto" w:fill="FFFFFF"/>
        </w:rPr>
        <w:t>Bitcoin</w:t>
      </w:r>
      <w:proofErr w:type="spellEnd"/>
      <w:r w:rsidRPr="00884DAE">
        <w:rPr>
          <w:shd w:val="clear" w:color="auto" w:fill="FFFFFF"/>
        </w:rPr>
        <w:t xml:space="preserve"> popularitāte būtu augusi, tad tehnoloģijai vajadzētu spēt apstrādāt tūkstošiem transakciju sekundē.</w:t>
      </w:r>
    </w:p>
    <w:p w14:paraId="7887F0B5" w14:textId="77777777" w:rsidR="00D60DC0" w:rsidRPr="00A239F8" w:rsidRDefault="00D60DC0" w:rsidP="00D60DC0">
      <w:pPr>
        <w:pStyle w:val="BodyTextFirstIndent"/>
        <w:spacing w:after="0" w:line="240" w:lineRule="auto"/>
        <w:ind w:firstLine="0"/>
        <w:rPr>
          <w:shd w:val="clear" w:color="auto" w:fill="FFFFFF"/>
        </w:rPr>
      </w:pPr>
    </w:p>
    <w:p w14:paraId="122A494A" w14:textId="77777777" w:rsidR="00D60DC0" w:rsidRPr="00652C7D" w:rsidRDefault="00D60DC0" w:rsidP="00D60DC0">
      <w:pPr>
        <w:pStyle w:val="BodyTextFirstIndent"/>
        <w:numPr>
          <w:ilvl w:val="1"/>
          <w:numId w:val="14"/>
        </w:numPr>
        <w:spacing w:after="0" w:line="240" w:lineRule="auto"/>
        <w:rPr>
          <w:i/>
          <w:shd w:val="clear" w:color="auto" w:fill="FFFFFF"/>
        </w:rPr>
      </w:pPr>
      <w:r w:rsidRPr="00652C7D">
        <w:rPr>
          <w:i/>
          <w:shd w:val="clear" w:color="auto" w:fill="FFFFFF"/>
        </w:rPr>
        <w:t>Informācijas drošības riski</w:t>
      </w:r>
    </w:p>
    <w:p w14:paraId="7B4A6755" w14:textId="7EDF60C2" w:rsidR="00D60DC0" w:rsidRDefault="00D60DC0" w:rsidP="00D60DC0">
      <w:pPr>
        <w:pStyle w:val="BodyTextFirstIndent"/>
        <w:spacing w:after="0" w:line="240" w:lineRule="auto"/>
        <w:ind w:firstLine="0"/>
        <w:rPr>
          <w:shd w:val="clear" w:color="auto" w:fill="FFFFFF"/>
        </w:rPr>
      </w:pPr>
      <w:r>
        <w:rPr>
          <w:shd w:val="clear" w:color="auto" w:fill="FFFFFF"/>
        </w:rPr>
        <w:tab/>
      </w:r>
      <w:r w:rsidRPr="00A239F8">
        <w:rPr>
          <w:shd w:val="clear" w:color="auto" w:fill="FFFFFF"/>
        </w:rPr>
        <w:t xml:space="preserve">Lai arī blokķēdē esošo informāciju ir ievērojami grūtāk nesankcionēti un neiespējami nepamanīti izmainīt, tai ir vieglāk piekļūt, jo tā glabājās </w:t>
      </w:r>
      <w:r>
        <w:rPr>
          <w:shd w:val="clear" w:color="auto" w:fill="FFFFFF"/>
        </w:rPr>
        <w:t>vairākās</w:t>
      </w:r>
      <w:r w:rsidRPr="00A239F8">
        <w:rPr>
          <w:shd w:val="clear" w:color="auto" w:fill="FFFFFF"/>
        </w:rPr>
        <w:t xml:space="preserve"> vietās. Līdz ar to pilotprojektus blokķēdes jomā labāk nerealizēt sistēmās, kas paredz </w:t>
      </w:r>
      <w:proofErr w:type="spellStart"/>
      <w:r w:rsidRPr="00A239F8">
        <w:rPr>
          <w:shd w:val="clear" w:color="auto" w:fill="FFFFFF"/>
        </w:rPr>
        <w:t>sensitīvo</w:t>
      </w:r>
      <w:proofErr w:type="spellEnd"/>
      <w:r w:rsidRPr="00A239F8">
        <w:rPr>
          <w:shd w:val="clear" w:color="auto" w:fill="FFFFFF"/>
        </w:rPr>
        <w:t xml:space="preserve"> datu glabāšanu izkliedēti starp mezgliem.</w:t>
      </w:r>
      <w:r w:rsidR="00304BCB">
        <w:rPr>
          <w:shd w:val="clear" w:color="auto" w:fill="FFFFFF"/>
        </w:rPr>
        <w:t xml:space="preserve"> Jāatzīmē, ka </w:t>
      </w:r>
      <w:proofErr w:type="spellStart"/>
      <w:r w:rsidR="00304BCB">
        <w:rPr>
          <w:shd w:val="clear" w:color="auto" w:fill="FFFFFF"/>
        </w:rPr>
        <w:t>bl</w:t>
      </w:r>
      <w:r w:rsidR="00304BCB" w:rsidRPr="001E420F">
        <w:rPr>
          <w:shd w:val="clear" w:color="auto" w:fill="FFFFFF"/>
        </w:rPr>
        <w:t>okķēdei</w:t>
      </w:r>
      <w:proofErr w:type="spellEnd"/>
      <w:r w:rsidR="00304BCB">
        <w:rPr>
          <w:shd w:val="clear" w:color="auto" w:fill="FFFFFF"/>
        </w:rPr>
        <w:t xml:space="preserve">, papildus </w:t>
      </w:r>
      <w:r w:rsidR="00304BCB" w:rsidRPr="001E420F">
        <w:rPr>
          <w:shd w:val="clear" w:color="auto" w:fill="FFFFFF"/>
        </w:rPr>
        <w:t>pēc būtības visi</w:t>
      </w:r>
      <w:r w:rsidR="00304BCB">
        <w:rPr>
          <w:shd w:val="clear" w:color="auto" w:fill="FFFFFF"/>
        </w:rPr>
        <w:t>em</w:t>
      </w:r>
      <w:r w:rsidR="00304BCB" w:rsidRPr="001E420F">
        <w:rPr>
          <w:shd w:val="clear" w:color="auto" w:fill="FFFFFF"/>
        </w:rPr>
        <w:t xml:space="preserve"> tradicionāl</w:t>
      </w:r>
      <w:r w:rsidR="00304BCB">
        <w:rPr>
          <w:shd w:val="clear" w:color="auto" w:fill="FFFFFF"/>
        </w:rPr>
        <w:t>ajiem informācijas</w:t>
      </w:r>
      <w:r w:rsidR="00304BCB" w:rsidRPr="001E420F">
        <w:rPr>
          <w:shd w:val="clear" w:color="auto" w:fill="FFFFFF"/>
        </w:rPr>
        <w:t xml:space="preserve"> </w:t>
      </w:r>
      <w:r w:rsidR="00304BCB">
        <w:rPr>
          <w:shd w:val="clear" w:color="auto" w:fill="FFFFFF"/>
        </w:rPr>
        <w:t xml:space="preserve">sistēmu </w:t>
      </w:r>
      <w:r w:rsidR="00304BCB" w:rsidRPr="001E420F">
        <w:rPr>
          <w:shd w:val="clear" w:color="auto" w:fill="FFFFFF"/>
        </w:rPr>
        <w:t xml:space="preserve">riskiem, piemīt </w:t>
      </w:r>
      <w:r w:rsidR="00304BCB">
        <w:rPr>
          <w:shd w:val="clear" w:color="auto" w:fill="FFFFFF"/>
        </w:rPr>
        <w:t xml:space="preserve">arī </w:t>
      </w:r>
      <w:r w:rsidR="00304BCB" w:rsidRPr="001E420F">
        <w:rPr>
          <w:shd w:val="clear" w:color="auto" w:fill="FFFFFF"/>
        </w:rPr>
        <w:t>būtisk</w:t>
      </w:r>
      <w:r w:rsidR="00304BCB">
        <w:rPr>
          <w:shd w:val="clear" w:color="auto" w:fill="FFFFFF"/>
        </w:rPr>
        <w:t>s</w:t>
      </w:r>
      <w:r w:rsidR="00304BCB" w:rsidRPr="001E420F">
        <w:rPr>
          <w:shd w:val="clear" w:color="auto" w:fill="FFFFFF"/>
        </w:rPr>
        <w:t xml:space="preserve"> risk</w:t>
      </w:r>
      <w:r w:rsidR="00304BCB">
        <w:rPr>
          <w:shd w:val="clear" w:color="auto" w:fill="FFFFFF"/>
        </w:rPr>
        <w:t>s</w:t>
      </w:r>
      <w:r w:rsidR="00304BCB" w:rsidRPr="001E420F">
        <w:rPr>
          <w:shd w:val="clear" w:color="auto" w:fill="FFFFFF"/>
        </w:rPr>
        <w:t xml:space="preserve"> saistībā ar privātās atslēgas drošību, kas var novest pie uzticamas, bet nesankcionētas informācijas iekļaušanu.</w:t>
      </w:r>
    </w:p>
    <w:p w14:paraId="706B24B5" w14:textId="77777777" w:rsidR="00D60DC0" w:rsidRPr="00A239F8" w:rsidRDefault="00D60DC0" w:rsidP="00D60DC0">
      <w:pPr>
        <w:pStyle w:val="BodyTextFirstIndent"/>
        <w:spacing w:after="0" w:line="240" w:lineRule="auto"/>
        <w:rPr>
          <w:shd w:val="clear" w:color="auto" w:fill="FFFFFF"/>
        </w:rPr>
      </w:pPr>
    </w:p>
    <w:p w14:paraId="596C2545" w14:textId="77777777" w:rsidR="00D60DC0" w:rsidRDefault="00D60DC0" w:rsidP="00D60DC0">
      <w:pPr>
        <w:pStyle w:val="BodyTextFirstIndent"/>
        <w:numPr>
          <w:ilvl w:val="1"/>
          <w:numId w:val="14"/>
        </w:numPr>
        <w:spacing w:after="0" w:line="240" w:lineRule="auto"/>
        <w:rPr>
          <w:i/>
          <w:shd w:val="clear" w:color="auto" w:fill="FFFFFF"/>
        </w:rPr>
      </w:pPr>
      <w:r w:rsidRPr="00652C7D">
        <w:rPr>
          <w:i/>
          <w:shd w:val="clear" w:color="auto" w:fill="FFFFFF"/>
        </w:rPr>
        <w:t>Citi riski</w:t>
      </w:r>
    </w:p>
    <w:p w14:paraId="24DEA91A" w14:textId="77777777" w:rsidR="00D60DC0" w:rsidRDefault="00D60DC0" w:rsidP="00D60DC0">
      <w:pPr>
        <w:pStyle w:val="BodyTextFirstIndent"/>
        <w:spacing w:after="0" w:line="240" w:lineRule="auto"/>
        <w:ind w:firstLine="720"/>
        <w:rPr>
          <w:shd w:val="clear" w:color="auto" w:fill="FFFFFF"/>
        </w:rPr>
      </w:pPr>
      <w:r>
        <w:rPr>
          <w:shd w:val="clear" w:color="auto" w:fill="FFFFFF"/>
        </w:rPr>
        <w:t>Papildus iepriekšminētajiem riskiem jāņem vērā arī normatīvā regulējuma</w:t>
      </w:r>
      <w:r w:rsidRPr="009C5C6B">
        <w:rPr>
          <w:shd w:val="clear" w:color="auto" w:fill="FFFFFF"/>
        </w:rPr>
        <w:t xml:space="preserve"> un sabiedrības izpratnes riski. Regulējošo normu neesamība, </w:t>
      </w:r>
      <w:r>
        <w:rPr>
          <w:shd w:val="clear" w:color="auto" w:fill="FFFFFF"/>
        </w:rPr>
        <w:t>tehnoloģijas izmantošanas kompetence</w:t>
      </w:r>
      <w:r w:rsidRPr="009C5C6B">
        <w:rPr>
          <w:shd w:val="clear" w:color="auto" w:fill="FFFFFF"/>
        </w:rPr>
        <w:t xml:space="preserve"> un sabiedrības neizpratne par tehnoloģiju, tehnoloģijas as</w:t>
      </w:r>
      <w:r>
        <w:rPr>
          <w:shd w:val="clear" w:color="auto" w:fill="FFFFFF"/>
        </w:rPr>
        <w:t>o</w:t>
      </w:r>
      <w:r w:rsidRPr="009C5C6B">
        <w:rPr>
          <w:shd w:val="clear" w:color="auto" w:fill="FFFFFF"/>
        </w:rPr>
        <w:t>ciēšana vienīgi ar</w:t>
      </w:r>
      <w:r>
        <w:rPr>
          <w:shd w:val="clear" w:color="auto" w:fill="FFFFFF"/>
        </w:rPr>
        <w:t xml:space="preserve"> </w:t>
      </w:r>
      <w:proofErr w:type="spellStart"/>
      <w:r>
        <w:rPr>
          <w:shd w:val="clear" w:color="auto" w:fill="FFFFFF"/>
        </w:rPr>
        <w:t>kriptovalūtām</w:t>
      </w:r>
      <w:proofErr w:type="spellEnd"/>
      <w:r>
        <w:rPr>
          <w:shd w:val="clear" w:color="auto" w:fill="FFFFFF"/>
        </w:rPr>
        <w:t xml:space="preserve"> (piemēram, </w:t>
      </w:r>
      <w:proofErr w:type="spellStart"/>
      <w:r w:rsidRPr="009C5C6B">
        <w:rPr>
          <w:shd w:val="clear" w:color="auto" w:fill="FFFFFF"/>
        </w:rPr>
        <w:t>bitcoin</w:t>
      </w:r>
      <w:proofErr w:type="spellEnd"/>
      <w:r>
        <w:rPr>
          <w:shd w:val="clear" w:color="auto" w:fill="FFFFFF"/>
        </w:rPr>
        <w:t xml:space="preserve">, </w:t>
      </w:r>
      <w:proofErr w:type="spellStart"/>
      <w:r>
        <w:rPr>
          <w:shd w:val="clear" w:color="auto" w:fill="FFFFFF"/>
        </w:rPr>
        <w:t>Ethereum</w:t>
      </w:r>
      <w:proofErr w:type="spellEnd"/>
      <w:r>
        <w:rPr>
          <w:shd w:val="clear" w:color="auto" w:fill="FFFFFF"/>
        </w:rPr>
        <w:t xml:space="preserve"> un </w:t>
      </w:r>
      <w:proofErr w:type="spellStart"/>
      <w:r>
        <w:rPr>
          <w:shd w:val="clear" w:color="auto" w:fill="FFFFFF"/>
        </w:rPr>
        <w:t>Ripple</w:t>
      </w:r>
      <w:proofErr w:type="spellEnd"/>
      <w:r>
        <w:rPr>
          <w:shd w:val="clear" w:color="auto" w:fill="FFFFFF"/>
        </w:rPr>
        <w:t>)</w:t>
      </w:r>
      <w:r w:rsidRPr="009C5C6B">
        <w:rPr>
          <w:shd w:val="clear" w:color="auto" w:fill="FFFFFF"/>
        </w:rPr>
        <w:t xml:space="preserve"> rada juridiskos un uzticēšanas riskus, </w:t>
      </w:r>
      <w:r>
        <w:rPr>
          <w:shd w:val="clear" w:color="auto" w:fill="FFFFFF"/>
        </w:rPr>
        <w:t xml:space="preserve">kas jāņem vērā </w:t>
      </w:r>
      <w:r w:rsidRPr="009C5C6B">
        <w:rPr>
          <w:shd w:val="clear" w:color="auto" w:fill="FFFFFF"/>
        </w:rPr>
        <w:t xml:space="preserve">veidojot blokķēdes </w:t>
      </w:r>
      <w:r>
        <w:rPr>
          <w:shd w:val="clear" w:color="auto" w:fill="FFFFFF"/>
        </w:rPr>
        <w:t>tehnoloģijas pilotprojektus publiskajā sektorā</w:t>
      </w:r>
      <w:r w:rsidRPr="009C5C6B">
        <w:rPr>
          <w:shd w:val="clear" w:color="auto" w:fill="FFFFFF"/>
        </w:rPr>
        <w:t>.</w:t>
      </w:r>
    </w:p>
    <w:p w14:paraId="54A9A988" w14:textId="77777777" w:rsidR="00340E51" w:rsidRPr="001E20A9" w:rsidRDefault="00340E51" w:rsidP="00C04D5D">
      <w:pPr>
        <w:pStyle w:val="Default"/>
        <w:spacing w:line="259" w:lineRule="auto"/>
        <w:ind w:left="284"/>
        <w:jc w:val="both"/>
        <w:rPr>
          <w:rFonts w:ascii="Times New Roman" w:hAnsi="Times New Roman" w:cs="Times New Roman"/>
          <w:bCs/>
          <w:color w:val="auto"/>
          <w:lang w:val="lv-LV"/>
        </w:rPr>
      </w:pPr>
    </w:p>
    <w:p w14:paraId="0BD9B89A" w14:textId="77777777" w:rsidR="00C04D5D" w:rsidRPr="00DD481A" w:rsidRDefault="00C04D5D" w:rsidP="00D60DC0">
      <w:pPr>
        <w:pStyle w:val="Default"/>
        <w:numPr>
          <w:ilvl w:val="0"/>
          <w:numId w:val="14"/>
        </w:numPr>
        <w:spacing w:line="259" w:lineRule="auto"/>
        <w:jc w:val="both"/>
        <w:rPr>
          <w:rFonts w:ascii="Times New Roman" w:hAnsi="Times New Roman" w:cs="Times New Roman"/>
          <w:b/>
          <w:bCs/>
          <w:i/>
          <w:color w:val="auto"/>
          <w:lang w:val="lv-LV"/>
        </w:rPr>
      </w:pPr>
      <w:r w:rsidRPr="00DD481A">
        <w:rPr>
          <w:rFonts w:ascii="Times New Roman" w:hAnsi="Times New Roman" w:cs="Times New Roman"/>
          <w:b/>
          <w:i/>
          <w:lang w:val="lv-LV"/>
        </w:rPr>
        <w:t>Tehnoloģijas pielietojums</w:t>
      </w:r>
    </w:p>
    <w:p w14:paraId="3A8B9887" w14:textId="77777777" w:rsidR="00C04D5D" w:rsidRPr="00DD481A" w:rsidRDefault="00C04D5D" w:rsidP="00C04D5D">
      <w:pPr>
        <w:pStyle w:val="BodyTextFirstIndent"/>
        <w:spacing w:after="0" w:line="259" w:lineRule="auto"/>
        <w:ind w:firstLine="0"/>
      </w:pPr>
      <w:r>
        <w:tab/>
      </w:r>
      <w:r w:rsidRPr="00DD481A">
        <w:t>Blokķēdes tehnoloģija spēj pavērt jaunas biznesa iespējas</w:t>
      </w:r>
      <w:r w:rsidR="008055A2">
        <w:t>,</w:t>
      </w:r>
      <w:r w:rsidRPr="00DD481A">
        <w:t xml:space="preserve"> radīt efektīvākus risinājumus</w:t>
      </w:r>
      <w:r w:rsidR="008055A2">
        <w:t xml:space="preserve"> un</w:t>
      </w:r>
      <w:r w:rsidRPr="00DD481A">
        <w:t xml:space="preserve"> nākotnē varētu samazināt starpnieku nozīmi un biznesa apjomus</w:t>
      </w:r>
      <w:r w:rsidR="006E580B">
        <w:t xml:space="preserve">. </w:t>
      </w:r>
      <w:r w:rsidRPr="00DD481A">
        <w:t xml:space="preserve">Šī specifiskā sistēma finanšu un grāmatvedības uzskaites sektorā </w:t>
      </w:r>
      <w:r>
        <w:t>ļautu</w:t>
      </w:r>
      <w:r w:rsidRPr="00DD481A">
        <w:t xml:space="preserve"> novērst iespēju veikt datos jebkāda veida viltojumus, tos mainīt ar atpakaļejošu datumu un pārdot vienu un to pašu aktīvu divas reizes dažādiem pircējiem. </w:t>
      </w:r>
      <w:r>
        <w:t>A</w:t>
      </w:r>
      <w:r w:rsidRPr="00DD481A">
        <w:t xml:space="preserve">r </w:t>
      </w:r>
      <w:r>
        <w:t>blokķēdes</w:t>
      </w:r>
      <w:r w:rsidRPr="00DD481A">
        <w:t xml:space="preserve"> palīdzību jebkura transakcija tiek iekodēta noteiktā sistēmā, ko jebkurā laikā ir viegli pārbaudīt un izanalizēt</w:t>
      </w:r>
      <w:r w:rsidR="005F7D4A">
        <w:rPr>
          <w:rStyle w:val="FootnoteReference"/>
        </w:rPr>
        <w:footnoteReference w:id="5"/>
      </w:r>
    </w:p>
    <w:p w14:paraId="18674FCF" w14:textId="77777777" w:rsidR="00C04D5D" w:rsidRDefault="00C04D5D" w:rsidP="00C04D5D">
      <w:pPr>
        <w:pStyle w:val="BodyTextFirstIndent"/>
        <w:spacing w:after="0" w:line="259" w:lineRule="auto"/>
        <w:ind w:firstLine="0"/>
      </w:pPr>
      <w:r>
        <w:tab/>
      </w:r>
      <w:r w:rsidRPr="00995CD2">
        <w:t xml:space="preserve">Blokķēdes risinājumus primāri iespējams izmantot </w:t>
      </w:r>
      <w:r>
        <w:t>jomās</w:t>
      </w:r>
      <w:r w:rsidRPr="00995CD2">
        <w:t>, kur ir nepieciešamība pēc paaugstinātas drošības reģistriem (zemes, uzņēmumu, licenču, izglītības dokumentu) vai</w:t>
      </w:r>
      <w:r>
        <w:t xml:space="preserve"> </w:t>
      </w:r>
      <w:r w:rsidRPr="00995CD2">
        <w:t xml:space="preserve">darbību auditēšanas reģistriem (dokumentu aprite, naudas transakcijas, </w:t>
      </w:r>
      <w:proofErr w:type="spellStart"/>
      <w:r w:rsidRPr="00995CD2">
        <w:t>u.c</w:t>
      </w:r>
      <w:proofErr w:type="spellEnd"/>
      <w:r w:rsidRPr="00995CD2">
        <w:t>). Blokķēde izslēdz iespēju, ka kādas izmaiņas sistēmā netiks pamanītas, ņemot vērā, ka</w:t>
      </w:r>
      <w:r>
        <w:t xml:space="preserve"> </w:t>
      </w:r>
      <w:r w:rsidRPr="00995CD2">
        <w:t>praktiski izslēgta iespēja veikt nesankcionēto darbību vai iznīcināt datu bāzi, jo uzlauzt var vienu vai dažus mezglus, bet praktiski neiespējami ir uzlauzt visus vai lielāko daļu mezglu. Blokķēde neaizsargā pret autorizēto lietotāju kļūdainām vai kaitnieciskām darbībām, tā tikai palīdz šādas darbības pamanīt</w:t>
      </w:r>
      <w:r>
        <w:t>, t.i.,</w:t>
      </w:r>
      <w:r w:rsidRPr="00995CD2">
        <w:t>. blokķēde nodrošina nemainīgumu nevis patiesumu.</w:t>
      </w:r>
    </w:p>
    <w:p w14:paraId="4E6D66BB" w14:textId="77777777" w:rsidR="008D00AE" w:rsidRPr="001E20A9" w:rsidRDefault="00C04D5D" w:rsidP="00C04D5D">
      <w:pPr>
        <w:pStyle w:val="BodyTextFirstIndent"/>
        <w:spacing w:after="0" w:line="259" w:lineRule="auto"/>
        <w:ind w:firstLine="0"/>
        <w:rPr>
          <w:bCs/>
        </w:rPr>
      </w:pPr>
      <w:r>
        <w:lastRenderedPageBreak/>
        <w:tab/>
      </w:r>
      <w:r w:rsidRPr="00A239F8">
        <w:t>Blokķēde var tikt izmantota kā inovatīvs instruments jebkuras uz vērtīgās informācijas koordinēšanas balstītas centralizētas sistēmas pārveidošanā</w:t>
      </w:r>
      <w:r>
        <w:rPr>
          <w:rStyle w:val="FootnoteReference"/>
        </w:rPr>
        <w:footnoteReference w:id="6"/>
      </w:r>
      <w:r w:rsidRPr="00A239F8">
        <w:t>. Blokķēdes tehnoloģija šīs sistēmas decentralizē, izslēdzot nepieciešamību pēc uzticamiem starpniekiem (tādiem, kā bankas, valdība u.c.), to vietā nodrošinot pārbaudi un autorizāciju sistēmā īstenotajām darbībām – šiem mērķiem tiek izmantoti efektīvie un augsto drošības pakāpi nodrošinošie konsensa mehānismi. Centralizētajās sistēmās dalībnieki sazinās viens ar otru, izmantojot vienu centrālo datu serveri, kurā tiek uzglabāta visa informācija (</w:t>
      </w:r>
      <w:r>
        <w:t xml:space="preserve"> piemēram, u</w:t>
      </w:r>
      <w:r w:rsidRPr="00A239F8">
        <w:t>zņēmum</w:t>
      </w:r>
      <w:r>
        <w:t>s</w:t>
      </w:r>
      <w:r w:rsidRPr="00A239F8">
        <w:t xml:space="preserve">, kura visi biroja datori ir savienoti ar centrālo serveri). Šī pieeja nodrošina vieglu datu pārvaldi, bet padara sistēmu atkarīgu no šī viena centrālā elementa. Decentralizētas sistēmas ir sarežģītākas un nodrošina saziņu starp vairākiem serveriem (P2P jeb </w:t>
      </w:r>
      <w:proofErr w:type="spellStart"/>
      <w:r w:rsidRPr="00340D32">
        <w:rPr>
          <w:i/>
        </w:rPr>
        <w:t>peer</w:t>
      </w:r>
      <w:proofErr w:type="spellEnd"/>
      <w:r w:rsidRPr="00340D32">
        <w:rPr>
          <w:i/>
        </w:rPr>
        <w:t>-to-</w:t>
      </w:r>
      <w:proofErr w:type="spellStart"/>
      <w:r w:rsidRPr="00340D32">
        <w:rPr>
          <w:i/>
        </w:rPr>
        <w:t>peer</w:t>
      </w:r>
      <w:proofErr w:type="spellEnd"/>
      <w:r w:rsidRPr="00A239F8">
        <w:t xml:space="preserve"> komunikācija). Kā piemēru var </w:t>
      </w:r>
      <w:r>
        <w:t>minēt</w:t>
      </w:r>
      <w:r w:rsidRPr="00A239F8">
        <w:t xml:space="preserve"> uzņēmumu, </w:t>
      </w:r>
      <w:r>
        <w:t xml:space="preserve">kuram </w:t>
      </w:r>
      <w:r w:rsidRPr="00A239F8">
        <w:t>ir vairāki biroji dažādās valstīs, katram no tiem ir savs serveris un tie ir savienoti savā starpā. Izkliedētajās sistēmās saites starp serveriem nepastāv</w:t>
      </w:r>
      <w:r>
        <w:t xml:space="preserve"> un v</w:t>
      </w:r>
      <w:r w:rsidRPr="00A239F8">
        <w:t>isi dalībnieki (jeb “mezgli”, no ang</w:t>
      </w:r>
      <w:r>
        <w:t>ļu valodas</w:t>
      </w:r>
      <w:r w:rsidRPr="00A239F8">
        <w:t xml:space="preserve"> “</w:t>
      </w:r>
      <w:proofErr w:type="spellStart"/>
      <w:r w:rsidRPr="00A239F8">
        <w:t>nodes</w:t>
      </w:r>
      <w:proofErr w:type="spellEnd"/>
      <w:r w:rsidRPr="00A239F8">
        <w:t>”) ir neatkarīgas vienības, kas saņem, glabā un rada datus, ka arī tiešajā veidā apmainās ar tiem</w:t>
      </w:r>
      <w:r>
        <w:rPr>
          <w:rStyle w:val="FootnoteReference"/>
        </w:rPr>
        <w:footnoteReference w:id="7"/>
      </w:r>
      <w:r>
        <w:t>.</w:t>
      </w:r>
    </w:p>
    <w:p w14:paraId="560AE60E" w14:textId="77777777" w:rsidR="009C5C6B" w:rsidRDefault="009C5C6B" w:rsidP="00995CD2">
      <w:pPr>
        <w:pStyle w:val="BodyTextFirstIndent"/>
        <w:spacing w:after="0" w:line="259" w:lineRule="auto"/>
        <w:ind w:firstLine="0"/>
      </w:pPr>
      <w:r>
        <w:tab/>
      </w:r>
    </w:p>
    <w:p w14:paraId="7B2883EB" w14:textId="77777777" w:rsidR="009C5C6B" w:rsidRDefault="009C5C6B" w:rsidP="00D60DC0">
      <w:pPr>
        <w:pStyle w:val="BodyTextFirstIndent"/>
        <w:numPr>
          <w:ilvl w:val="1"/>
          <w:numId w:val="14"/>
        </w:numPr>
        <w:spacing w:after="0" w:line="259" w:lineRule="auto"/>
      </w:pPr>
      <w:r>
        <w:rPr>
          <w:i/>
        </w:rPr>
        <w:t>Blokķēdes tehnoloģijas potenciālā pielietojuma piemēri un iniciatīvas</w:t>
      </w:r>
    </w:p>
    <w:p w14:paraId="5C59D098" w14:textId="77777777" w:rsidR="009C5C6B" w:rsidRDefault="00844DD7" w:rsidP="00995CD2">
      <w:pPr>
        <w:pStyle w:val="BodyTextFirstIndent"/>
        <w:spacing w:after="0" w:line="259" w:lineRule="auto"/>
        <w:ind w:firstLine="0"/>
      </w:pPr>
      <w:r>
        <w:tab/>
      </w:r>
      <w:r w:rsidR="00CE6AA5">
        <w:t>EK</w:t>
      </w:r>
      <w:r w:rsidR="00101EAF" w:rsidRPr="00101EAF">
        <w:t xml:space="preserve"> virzītās iniciatīvas digitālajos jautājumos paver jaunas iespējas</w:t>
      </w:r>
      <w:r w:rsidR="00101EAF">
        <w:t xml:space="preserve"> blokķēdes tehnoloģijas risinājumu plaša mēroga ieviešanai publiskajā sektorā ES</w:t>
      </w:r>
      <w:r w:rsidR="00CE6AA5">
        <w:t xml:space="preserve"> d</w:t>
      </w:r>
      <w:r w:rsidR="00101EAF">
        <w:t xml:space="preserve">alībvalstu starpā. Kopš 2018. gada februārī izveidotā </w:t>
      </w:r>
      <w:r w:rsidR="00101EAF" w:rsidRPr="00101EAF">
        <w:t xml:space="preserve">ES </w:t>
      </w:r>
      <w:proofErr w:type="spellStart"/>
      <w:r w:rsidR="00101EAF" w:rsidRPr="00101EAF">
        <w:t>Blokķēžu</w:t>
      </w:r>
      <w:proofErr w:type="spellEnd"/>
      <w:r w:rsidR="00101EAF" w:rsidRPr="00101EAF">
        <w:t xml:space="preserve"> novērošanas centr</w:t>
      </w:r>
      <w:r w:rsidR="00101EAF">
        <w:t>a</w:t>
      </w:r>
      <w:r w:rsidR="00101EAF" w:rsidRPr="00101EAF">
        <w:t xml:space="preserve"> un forum</w:t>
      </w:r>
      <w:r w:rsidR="00101EAF">
        <w:t xml:space="preserve">a, kā arī pēc iepriekšminētās </w:t>
      </w:r>
      <w:r w:rsidR="00DA067C">
        <w:t xml:space="preserve">ES dalībvalstu atbalstītās Blokķēdes partnerības deklarācijas ir </w:t>
      </w:r>
      <w:r w:rsidR="00DA067C" w:rsidRPr="00DA067C">
        <w:t>uzsākt</w:t>
      </w:r>
      <w:r w:rsidR="00DA067C">
        <w:t>i</w:t>
      </w:r>
      <w:r w:rsidR="00DA067C" w:rsidRPr="00DA067C">
        <w:t xml:space="preserve"> </w:t>
      </w:r>
      <w:r w:rsidR="00DA067C">
        <w:t>pilotprojekti</w:t>
      </w:r>
      <w:r w:rsidR="00DA067C" w:rsidRPr="00DA067C">
        <w:t xml:space="preserve"> un plāno</w:t>
      </w:r>
      <w:r w:rsidR="00DA067C">
        <w:t>tas</w:t>
      </w:r>
      <w:r w:rsidR="00DA067C" w:rsidRPr="00DA067C">
        <w:t xml:space="preserve"> darbības valdības līmenī</w:t>
      </w:r>
      <w:r w:rsidR="00DA067C">
        <w:t xml:space="preserve"> ES mērogā</w:t>
      </w:r>
      <w:r w:rsidR="00DA067C" w:rsidRPr="00DA067C">
        <w:t xml:space="preserve">. </w:t>
      </w:r>
      <w:r w:rsidR="003C011E">
        <w:t xml:space="preserve">Šīs darbības mērķtiecīgi tiek veiktas, lai pārredzamā nākotnē tiktu </w:t>
      </w:r>
      <w:r w:rsidR="00DA067C" w:rsidRPr="00DA067C">
        <w:t>izmantot</w:t>
      </w:r>
      <w:r w:rsidR="003C011E">
        <w:t>as</w:t>
      </w:r>
      <w:r w:rsidR="00DA067C" w:rsidRPr="00DA067C">
        <w:t xml:space="preserve"> daudzās </w:t>
      </w:r>
      <w:proofErr w:type="spellStart"/>
      <w:r w:rsidR="00DA067C" w:rsidRPr="00DA067C">
        <w:t>blokķēžu</w:t>
      </w:r>
      <w:proofErr w:type="spellEnd"/>
      <w:r w:rsidR="00DA067C" w:rsidRPr="00DA067C">
        <w:t xml:space="preserve"> piedāvātās iespējas un</w:t>
      </w:r>
      <w:r w:rsidR="003C011E">
        <w:t xml:space="preserve"> lai</w:t>
      </w:r>
      <w:r w:rsidR="00DA067C" w:rsidRPr="00DA067C">
        <w:t xml:space="preserve"> izvairītos no sadrumstalotas pieejas, veici</w:t>
      </w:r>
      <w:r w:rsidR="003C011E">
        <w:t>not</w:t>
      </w:r>
      <w:r w:rsidR="00DA067C" w:rsidRPr="00DA067C">
        <w:t xml:space="preserve"> savstarpēji savietojamu infrastruktūru, kas sekmēs uzticamu digitālo pakalpojumu</w:t>
      </w:r>
      <w:r w:rsidR="001A38C7">
        <w:t xml:space="preserve"> pieejamību</w:t>
      </w:r>
      <w:r w:rsidR="00DA067C" w:rsidRPr="00DA067C">
        <w:t>.</w:t>
      </w:r>
      <w:r w:rsidR="003C011E">
        <w:t xml:space="preserve"> </w:t>
      </w:r>
      <w:r w:rsidR="001A38C7">
        <w:t>2018.gada laikā jau</w:t>
      </w:r>
      <w:r w:rsidR="003C011E">
        <w:t xml:space="preserve"> ir veikts nozīmīgs darbs identificējot izmantošanas piemērus pārrobežu </w:t>
      </w:r>
      <w:r w:rsidR="00AA5FA5">
        <w:t>publisk</w:t>
      </w:r>
      <w:r w:rsidR="00091985">
        <w:t>ā sektora digitālo pakalpojumu jomā, kurus varētu uzlabot ar blokķēd</w:t>
      </w:r>
      <w:r w:rsidR="00023405">
        <w:t>es tehnoloģijas</w:t>
      </w:r>
      <w:r w:rsidR="001856A5">
        <w:t xml:space="preserve"> sniegtajām iespējām</w:t>
      </w:r>
      <w:r w:rsidR="00091985">
        <w:t>.</w:t>
      </w:r>
    </w:p>
    <w:p w14:paraId="7CA44BBB" w14:textId="77777777" w:rsidR="001856A5" w:rsidRPr="001856A5" w:rsidRDefault="001856A5" w:rsidP="00995CD2">
      <w:pPr>
        <w:pStyle w:val="BodyTextFirstIndent"/>
        <w:spacing w:after="0" w:line="259" w:lineRule="auto"/>
        <w:ind w:firstLine="0"/>
        <w:rPr>
          <w:i/>
        </w:rPr>
      </w:pPr>
      <w:r>
        <w:tab/>
      </w:r>
    </w:p>
    <w:p w14:paraId="45FA3015" w14:textId="77777777" w:rsidR="001856A5" w:rsidRDefault="001856A5" w:rsidP="00D60DC0">
      <w:pPr>
        <w:pStyle w:val="BodyTextFirstIndent"/>
        <w:numPr>
          <w:ilvl w:val="2"/>
          <w:numId w:val="14"/>
        </w:numPr>
        <w:spacing w:after="0" w:line="259" w:lineRule="auto"/>
        <w:rPr>
          <w:i/>
        </w:rPr>
      </w:pPr>
      <w:r w:rsidRPr="001856A5">
        <w:rPr>
          <w:i/>
        </w:rPr>
        <w:t xml:space="preserve">Eiropas pašpārvaldes </w:t>
      </w:r>
      <w:r w:rsidR="004C4057" w:rsidRPr="001856A5">
        <w:rPr>
          <w:i/>
        </w:rPr>
        <w:t xml:space="preserve">identitātes </w:t>
      </w:r>
      <w:r w:rsidRPr="001856A5">
        <w:rPr>
          <w:i/>
        </w:rPr>
        <w:t>sistēma</w:t>
      </w:r>
    </w:p>
    <w:p w14:paraId="2A1365E1" w14:textId="77777777" w:rsidR="004706BB" w:rsidRDefault="007D5E13" w:rsidP="007D5E13">
      <w:pPr>
        <w:pStyle w:val="BodyTextFirstIndent"/>
        <w:spacing w:after="0" w:line="259" w:lineRule="auto"/>
        <w:ind w:firstLine="0"/>
      </w:pPr>
      <w:r>
        <w:tab/>
      </w:r>
      <w:r w:rsidR="000F286C">
        <w:t xml:space="preserve">Kā viena no iniciatīvām, kas ir </w:t>
      </w:r>
      <w:r w:rsidR="00133716">
        <w:t>guvusi atzinīgu novērtējumu EK blokķēdes deklarācijas partnerības</w:t>
      </w:r>
      <w:r w:rsidR="001A38C7">
        <w:t xml:space="preserve"> ietvaros,</w:t>
      </w:r>
      <w:r w:rsidR="00133716">
        <w:t xml:space="preserve"> ir p</w:t>
      </w:r>
      <w:r w:rsidR="004706BB">
        <w:t>riekšlikums izveidot Eiropas mēroga publisku blokķēdes infrastruktūru, kurā</w:t>
      </w:r>
      <w:r w:rsidR="00133716">
        <w:t xml:space="preserve"> būtu</w:t>
      </w:r>
      <w:r w:rsidR="004706BB">
        <w:t xml:space="preserve"> publiski pieejama juridiski saistoša digitālā identitāte.</w:t>
      </w:r>
      <w:r w:rsidR="00133716">
        <w:t xml:space="preserve"> Eiropas pašpārvaldes </w:t>
      </w:r>
      <w:r w:rsidR="004C4057">
        <w:t xml:space="preserve">identitātes </w:t>
      </w:r>
      <w:r w:rsidR="00133716">
        <w:t>sistēma (</w:t>
      </w:r>
      <w:proofErr w:type="spellStart"/>
      <w:r w:rsidR="00133716">
        <w:t>ang</w:t>
      </w:r>
      <w:proofErr w:type="spellEnd"/>
      <w:r w:rsidR="00133716">
        <w:t xml:space="preserve">. </w:t>
      </w:r>
      <w:proofErr w:type="spellStart"/>
      <w:r w:rsidR="00133716" w:rsidRPr="00133716">
        <w:rPr>
          <w:i/>
        </w:rPr>
        <w:t>European</w:t>
      </w:r>
      <w:proofErr w:type="spellEnd"/>
      <w:r w:rsidR="00133716" w:rsidRPr="00133716">
        <w:rPr>
          <w:i/>
        </w:rPr>
        <w:t xml:space="preserve"> </w:t>
      </w:r>
      <w:proofErr w:type="spellStart"/>
      <w:r w:rsidR="00133716" w:rsidRPr="00133716">
        <w:rPr>
          <w:i/>
        </w:rPr>
        <w:t>Self-Sovereign</w:t>
      </w:r>
      <w:proofErr w:type="spellEnd"/>
      <w:r w:rsidR="00133716" w:rsidRPr="00133716">
        <w:rPr>
          <w:i/>
        </w:rPr>
        <w:t xml:space="preserve"> </w:t>
      </w:r>
      <w:proofErr w:type="spellStart"/>
      <w:r w:rsidR="00133716" w:rsidRPr="00133716">
        <w:rPr>
          <w:i/>
        </w:rPr>
        <w:t>Identity</w:t>
      </w:r>
      <w:proofErr w:type="spellEnd"/>
      <w:r w:rsidR="00133716" w:rsidRPr="00133716">
        <w:rPr>
          <w:i/>
        </w:rPr>
        <w:t xml:space="preserve"> </w:t>
      </w:r>
      <w:proofErr w:type="spellStart"/>
      <w:r w:rsidR="00133716" w:rsidRPr="00133716">
        <w:rPr>
          <w:i/>
        </w:rPr>
        <w:t>Framework</w:t>
      </w:r>
      <w:proofErr w:type="spellEnd"/>
      <w:r w:rsidR="00133716">
        <w:t>) paredzētu e</w:t>
      </w:r>
      <w:r w:rsidR="004706BB">
        <w:t xml:space="preserve">sošajiem elektroniskajiem parakstiem būt savstarpēji savietojamiem ar pašpārvaldes identitātes modeli, izmantojot </w:t>
      </w:r>
      <w:r w:rsidR="00643AF5">
        <w:t>d</w:t>
      </w:r>
      <w:r w:rsidR="004706BB">
        <w:t>ecentralizētus identifikatorus (</w:t>
      </w:r>
      <w:proofErr w:type="spellStart"/>
      <w:r w:rsidR="004C4057">
        <w:t>ang</w:t>
      </w:r>
      <w:proofErr w:type="spellEnd"/>
      <w:r w:rsidR="004C4057">
        <w:t xml:space="preserve">. </w:t>
      </w:r>
      <w:proofErr w:type="spellStart"/>
      <w:r w:rsidR="004C4057" w:rsidRPr="004C4057">
        <w:rPr>
          <w:i/>
        </w:rPr>
        <w:t>Decentralized</w:t>
      </w:r>
      <w:proofErr w:type="spellEnd"/>
      <w:r w:rsidR="004C4057" w:rsidRPr="004C4057">
        <w:rPr>
          <w:i/>
        </w:rPr>
        <w:t xml:space="preserve"> </w:t>
      </w:r>
      <w:proofErr w:type="spellStart"/>
      <w:r w:rsidR="004C4057" w:rsidRPr="004C4057">
        <w:rPr>
          <w:i/>
        </w:rPr>
        <w:t>Identifiers</w:t>
      </w:r>
      <w:proofErr w:type="spellEnd"/>
      <w:r w:rsidR="004706BB">
        <w:t>).</w:t>
      </w:r>
    </w:p>
    <w:p w14:paraId="453830D2" w14:textId="77777777" w:rsidR="004706BB" w:rsidRDefault="007D5E13" w:rsidP="004706BB">
      <w:pPr>
        <w:pStyle w:val="BodyTextFirstIndent"/>
        <w:spacing w:after="0" w:line="259" w:lineRule="auto"/>
        <w:ind w:firstLine="0"/>
      </w:pPr>
      <w:r>
        <w:tab/>
      </w:r>
      <w:r w:rsidR="004706BB">
        <w:t>Šī pašpārvaldes identitātes blokķēdes platforma</w:t>
      </w:r>
      <w:r w:rsidR="004C4057">
        <w:t>s ieviešana</w:t>
      </w:r>
      <w:r w:rsidR="004706BB">
        <w:t xml:space="preserve"> </w:t>
      </w:r>
      <w:r w:rsidR="00643AF5">
        <w:t>tiek plānota kā</w:t>
      </w:r>
      <w:r w:rsidR="004C4057">
        <w:t xml:space="preserve"> daļa no</w:t>
      </w:r>
      <w:r w:rsidR="00643AF5">
        <w:t xml:space="preserve"> kopējas pašpārvaldes identitātes</w:t>
      </w:r>
      <w:r w:rsidR="004706BB">
        <w:t xml:space="preserve"> </w:t>
      </w:r>
      <w:r w:rsidR="00643AF5">
        <w:t>ekosistēmas</w:t>
      </w:r>
      <w:r w:rsidR="004706BB">
        <w:t xml:space="preserve">, kuras pamatā ir sadarboties spējīgi standarti un patiesa konkurence starp risinājumu nodrošinātājiem (piemēram, </w:t>
      </w:r>
      <w:proofErr w:type="spellStart"/>
      <w:r w:rsidR="004706BB">
        <w:t>Uport</w:t>
      </w:r>
      <w:proofErr w:type="spellEnd"/>
      <w:r w:rsidR="004706BB">
        <w:t xml:space="preserve">, Civic un daudzi </w:t>
      </w:r>
      <w:r w:rsidR="004706BB">
        <w:lastRenderedPageBreak/>
        <w:t>citi).</w:t>
      </w:r>
      <w:r w:rsidR="00643AF5">
        <w:t xml:space="preserve"> </w:t>
      </w:r>
      <w:r w:rsidR="004706BB">
        <w:t xml:space="preserve">Identitātes </w:t>
      </w:r>
      <w:r w:rsidR="001A38C7">
        <w:t>infrastruktūra</w:t>
      </w:r>
      <w:r w:rsidR="004706BB">
        <w:t>, kas</w:t>
      </w:r>
      <w:r w:rsidR="00643AF5">
        <w:t xml:space="preserve"> tiks radīta</w:t>
      </w:r>
      <w:r w:rsidR="004706BB">
        <w:t xml:space="preserve">, </w:t>
      </w:r>
      <w:r w:rsidR="00643AF5">
        <w:t xml:space="preserve">ir </w:t>
      </w:r>
      <w:r w:rsidR="004706BB">
        <w:t>vis</w:t>
      </w:r>
      <w:r w:rsidR="00643AF5">
        <w:t>precīzāk</w:t>
      </w:r>
      <w:r w:rsidR="004706BB">
        <w:t xml:space="preserve"> s</w:t>
      </w:r>
      <w:r w:rsidR="00643AF5">
        <w:t>kaidrojama</w:t>
      </w:r>
      <w:r w:rsidR="004706BB">
        <w:t xml:space="preserve"> kā decentralizēt</w:t>
      </w:r>
      <w:r w:rsidR="002843C5">
        <w:t>a</w:t>
      </w:r>
      <w:r w:rsidR="004706BB">
        <w:t xml:space="preserve"> reģistra infrastruktūr</w:t>
      </w:r>
      <w:r w:rsidR="002843C5">
        <w:t>a</w:t>
      </w:r>
      <w:r w:rsidR="004706BB">
        <w:t>, ko kopīgi ekspluatē visas 28 Eiropas Savienības dalībvalstis.</w:t>
      </w:r>
    </w:p>
    <w:p w14:paraId="17B5B817" w14:textId="77777777" w:rsidR="004706BB" w:rsidRPr="00DA1D76" w:rsidRDefault="004706BB" w:rsidP="004706BB">
      <w:pPr>
        <w:pStyle w:val="BodyTextFirstIndent"/>
        <w:spacing w:after="0" w:line="259" w:lineRule="auto"/>
        <w:ind w:firstLine="0"/>
      </w:pPr>
    </w:p>
    <w:p w14:paraId="31640EFE" w14:textId="77777777" w:rsidR="00644D6E" w:rsidRPr="00644D6E" w:rsidRDefault="008B3756" w:rsidP="00D60DC0">
      <w:pPr>
        <w:pStyle w:val="BodyTextFirstIndent"/>
        <w:numPr>
          <w:ilvl w:val="2"/>
          <w:numId w:val="14"/>
        </w:numPr>
        <w:spacing w:after="0" w:line="259" w:lineRule="auto"/>
        <w:rPr>
          <w:i/>
        </w:rPr>
      </w:pPr>
      <w:r>
        <w:rPr>
          <w:i/>
        </w:rPr>
        <w:t>P</w:t>
      </w:r>
      <w:r w:rsidRPr="008B3756">
        <w:rPr>
          <w:i/>
        </w:rPr>
        <w:t>ārrobežu blokķē</w:t>
      </w:r>
      <w:r w:rsidR="00DD1853">
        <w:rPr>
          <w:i/>
        </w:rPr>
        <w:t>des</w:t>
      </w:r>
      <w:r w:rsidRPr="008B3756">
        <w:rPr>
          <w:i/>
        </w:rPr>
        <w:t xml:space="preserve"> izmantošana izglītību apliecinošu dokumentu datiem Eiropas Savienībā</w:t>
      </w:r>
    </w:p>
    <w:p w14:paraId="669FE86F" w14:textId="77777777" w:rsidR="00B00573" w:rsidRDefault="00644D6E" w:rsidP="0052141C">
      <w:pPr>
        <w:pStyle w:val="BodyTextFirstIndent"/>
        <w:spacing w:after="0" w:line="259" w:lineRule="auto"/>
        <w:ind w:firstLine="0"/>
      </w:pPr>
      <w:r>
        <w:tab/>
      </w:r>
      <w:r w:rsidR="004706BB">
        <w:t xml:space="preserve">Vairākas </w:t>
      </w:r>
      <w:r w:rsidR="001A38C7">
        <w:t xml:space="preserve">ES </w:t>
      </w:r>
      <w:r w:rsidR="004706BB">
        <w:t>dalībvalstis</w:t>
      </w:r>
      <w:r w:rsidR="001A38C7">
        <w:t xml:space="preserve"> un EEZ valstis</w:t>
      </w:r>
      <w:r w:rsidR="009F42F8">
        <w:t xml:space="preserve">, </w:t>
      </w:r>
      <w:r w:rsidR="001A38C7">
        <w:t xml:space="preserve">tai skaitā </w:t>
      </w:r>
      <w:r w:rsidR="009F42F8" w:rsidRPr="00E46734">
        <w:t>Nīderland</w:t>
      </w:r>
      <w:r w:rsidR="001A38C7">
        <w:t>e</w:t>
      </w:r>
      <w:r w:rsidR="009F42F8" w:rsidRPr="00E46734">
        <w:t>, Beļģij</w:t>
      </w:r>
      <w:r w:rsidR="001A38C7">
        <w:t>a</w:t>
      </w:r>
      <w:r w:rsidR="009F42F8" w:rsidRPr="00E46734">
        <w:t>, Itālij</w:t>
      </w:r>
      <w:r w:rsidR="001A38C7">
        <w:t>a</w:t>
      </w:r>
      <w:r w:rsidR="009F42F8" w:rsidRPr="00E46734">
        <w:t>, Malt</w:t>
      </w:r>
      <w:r w:rsidR="001A38C7">
        <w:t>a</w:t>
      </w:r>
      <w:r w:rsidR="009F42F8" w:rsidRPr="00E46734">
        <w:t>, Francij</w:t>
      </w:r>
      <w:r w:rsidR="001A38C7">
        <w:t>a</w:t>
      </w:r>
      <w:r w:rsidR="009F42F8" w:rsidRPr="00E46734">
        <w:t>, Norvēģij</w:t>
      </w:r>
      <w:r w:rsidR="001A38C7">
        <w:t>a</w:t>
      </w:r>
      <w:r w:rsidR="009F42F8" w:rsidRPr="00E46734">
        <w:t xml:space="preserve"> un Horvātij</w:t>
      </w:r>
      <w:r w:rsidR="001A38C7">
        <w:t>a,</w:t>
      </w:r>
      <w:r w:rsidR="009F42F8">
        <w:t xml:space="preserve"> ir </w:t>
      </w:r>
      <w:r w:rsidR="009F42F8" w:rsidRPr="00E46734">
        <w:t>iesnie</w:t>
      </w:r>
      <w:r w:rsidR="009F42F8">
        <w:t>gušas</w:t>
      </w:r>
      <w:r w:rsidR="009F42F8" w:rsidRPr="00E46734">
        <w:t xml:space="preserve"> vienotu pieprasījumu strādāt pie pārrobežu </w:t>
      </w:r>
      <w:r w:rsidR="009F42F8">
        <w:t>izglītību apliecinošu dokumentu datu</w:t>
      </w:r>
      <w:r w:rsidR="009F42F8" w:rsidRPr="00E46734">
        <w:t xml:space="preserve"> apmaiņas platformas</w:t>
      </w:r>
      <w:r w:rsidR="009F42F8">
        <w:t xml:space="preserve"> izstrādes</w:t>
      </w:r>
      <w:r w:rsidR="009F42F8" w:rsidRPr="00E46734">
        <w:t>, kas ti</w:t>
      </w:r>
      <w:r w:rsidR="009F42F8">
        <w:t>ktu</w:t>
      </w:r>
      <w:r w:rsidR="009F42F8" w:rsidRPr="00E46734">
        <w:t xml:space="preserve"> īstenota izmantojot </w:t>
      </w:r>
      <w:r w:rsidR="009F42F8">
        <w:t>b</w:t>
      </w:r>
      <w:r w:rsidR="009F42F8" w:rsidRPr="00E46734">
        <w:t>lokķēdes tehnoloģiju</w:t>
      </w:r>
      <w:r w:rsidR="005F7D4A">
        <w:t xml:space="preserve"> </w:t>
      </w:r>
      <w:r w:rsidR="006E38AF">
        <w:t>Izglītības d</w:t>
      </w:r>
      <w:r w:rsidR="0052141C">
        <w:t>iplom</w:t>
      </w:r>
      <w:r w:rsidR="006E38AF">
        <w:t>u</w:t>
      </w:r>
      <w:r w:rsidR="0052141C">
        <w:t xml:space="preserve"> gadījumā </w:t>
      </w:r>
      <w:r w:rsidR="001A38C7">
        <w:t xml:space="preserve">tiek  ierosināts izstrādāt </w:t>
      </w:r>
      <w:r w:rsidR="0052141C">
        <w:t>sistēm</w:t>
      </w:r>
      <w:r w:rsidR="001A38C7">
        <w:t>u</w:t>
      </w:r>
      <w:r w:rsidR="0052141C">
        <w:t xml:space="preserve">, kas var pārbaudīt akadēmiskā </w:t>
      </w:r>
      <w:r w:rsidR="0052141C" w:rsidRPr="007D5E13">
        <w:t>nosaukuma/</w:t>
      </w:r>
      <w:r w:rsidR="001A38C7">
        <w:t xml:space="preserve">iegūtā </w:t>
      </w:r>
      <w:r w:rsidR="005F7D4A">
        <w:t xml:space="preserve">grāda </w:t>
      </w:r>
      <w:r w:rsidR="0052141C">
        <w:t>autentiskumu, saglabājot privātumu.</w:t>
      </w:r>
    </w:p>
    <w:p w14:paraId="1FA4D314" w14:textId="77777777" w:rsidR="00C217FC" w:rsidRDefault="00B00573" w:rsidP="00D26539">
      <w:pPr>
        <w:pStyle w:val="BodyTextFirstIndent"/>
        <w:spacing w:after="0" w:line="259" w:lineRule="auto"/>
        <w:ind w:firstLine="0"/>
      </w:pPr>
      <w:r>
        <w:tab/>
      </w:r>
      <w:r w:rsidR="004706BB">
        <w:t>Pašlaik tiek analizētas dažādas iespējas, tostarp Grieķijas priekšlikums</w:t>
      </w:r>
      <w:r w:rsidR="00C26D6B">
        <w:t xml:space="preserve"> </w:t>
      </w:r>
      <w:r w:rsidR="001A38C7">
        <w:t>–“</w:t>
      </w:r>
      <w:proofErr w:type="spellStart"/>
      <w:r w:rsidR="004706BB" w:rsidRPr="007D5E13">
        <w:t>Diplomata</w:t>
      </w:r>
      <w:proofErr w:type="spellEnd"/>
      <w:r w:rsidR="001A38C7">
        <w:t>”</w:t>
      </w:r>
      <w:r w:rsidR="004706BB" w:rsidRPr="007D5E13">
        <w:t>.</w:t>
      </w:r>
      <w:r>
        <w:t xml:space="preserve"> </w:t>
      </w:r>
      <w:r w:rsidR="004706BB">
        <w:t>Lai diplomu ieguvēji varētu apliecināt, ka viņiem ir</w:t>
      </w:r>
      <w:r w:rsidR="00B5421B">
        <w:t xml:space="preserve"> konkrētas</w:t>
      </w:r>
      <w:r>
        <w:t xml:space="preserve"> augstākās izglītības iestādes piešķirts</w:t>
      </w:r>
      <w:r w:rsidR="001A38C7">
        <w:t xml:space="preserve"> grāds</w:t>
      </w:r>
      <w:r w:rsidR="004706BB" w:rsidRPr="00B00573">
        <w:t>,</w:t>
      </w:r>
      <w:r w:rsidR="004706BB">
        <w:t xml:space="preserve"> </w:t>
      </w:r>
      <w:r w:rsidR="001A38C7">
        <w:t>“</w:t>
      </w:r>
      <w:proofErr w:type="spellStart"/>
      <w:r w:rsidR="004706BB">
        <w:t>Diplomata</w:t>
      </w:r>
      <w:proofErr w:type="spellEnd"/>
      <w:r w:rsidR="001A38C7">
        <w:t>”</w:t>
      </w:r>
      <w:r w:rsidR="004706BB">
        <w:t xml:space="preserve"> ietver kriptogrāfijas protokolu un pieteikumu</w:t>
      </w:r>
      <w:r w:rsidR="00C217FC">
        <w:t>, kas pastiprina tā ticamību.</w:t>
      </w:r>
    </w:p>
    <w:p w14:paraId="11425732" w14:textId="7DA3B20F" w:rsidR="003202C2" w:rsidRDefault="0052141C" w:rsidP="0052141C">
      <w:pPr>
        <w:pStyle w:val="BodyTextFirstIndent"/>
        <w:spacing w:after="0" w:line="259" w:lineRule="auto"/>
        <w:ind w:firstLine="0"/>
      </w:pPr>
      <w:r>
        <w:tab/>
      </w:r>
      <w:r w:rsidRPr="0052141C">
        <w:t xml:space="preserve">Šī projekta mērķis ir izveidot labu </w:t>
      </w:r>
      <w:r w:rsidR="00BC72F5">
        <w:t>sadarbību</w:t>
      </w:r>
      <w:r w:rsidR="00BC72F5" w:rsidRPr="0052141C">
        <w:t xml:space="preserve"> </w:t>
      </w:r>
      <w:r w:rsidRPr="0052141C">
        <w:t>ar citām iestādēm un izstrādāt pārliecinošu blokķ</w:t>
      </w:r>
      <w:r w:rsidR="006E38AF">
        <w:t>ēdes</w:t>
      </w:r>
      <w:r w:rsidRPr="0052141C">
        <w:t xml:space="preserve"> lietošanas gadījumu valdības iniciatīvai vai sistēmai, kas nodrošina pievienoto vērtību visiem studentiem</w:t>
      </w:r>
      <w:r w:rsidR="00BC72F5">
        <w:t xml:space="preserve"> vai </w:t>
      </w:r>
      <w:r w:rsidRPr="0052141C">
        <w:t xml:space="preserve">pilsoņiem un iestādēm </w:t>
      </w:r>
      <w:r w:rsidR="00BC72F5">
        <w:t>ES</w:t>
      </w:r>
      <w:r w:rsidRPr="0052141C">
        <w:t xml:space="preserve">. </w:t>
      </w:r>
      <w:r w:rsidR="006E38AF" w:rsidRPr="006E38AF">
        <w:t>Students</w:t>
      </w:r>
      <w:r w:rsidR="006E38AF">
        <w:t xml:space="preserve"> vai </w:t>
      </w:r>
      <w:r w:rsidR="006E38AF" w:rsidRPr="006E38AF">
        <w:t>pilsonis, kas vēlas turpināt studijas ārvalstu iestādē vai pieteikties uz</w:t>
      </w:r>
      <w:r w:rsidR="006E38AF">
        <w:t xml:space="preserve"> sev</w:t>
      </w:r>
      <w:r w:rsidR="006E38AF" w:rsidRPr="006E38AF">
        <w:t xml:space="preserve"> interes</w:t>
      </w:r>
      <w:r w:rsidR="006E38AF">
        <w:t>ējošu</w:t>
      </w:r>
      <w:r w:rsidR="006E38AF" w:rsidRPr="006E38AF">
        <w:t xml:space="preserve"> darbu</w:t>
      </w:r>
      <w:r w:rsidR="006E38AF">
        <w:t xml:space="preserve"> ārvalstīs</w:t>
      </w:r>
      <w:r w:rsidR="006E38AF" w:rsidRPr="006E38AF">
        <w:t xml:space="preserve">, </w:t>
      </w:r>
      <w:r w:rsidR="006E38AF">
        <w:t>bieži</w:t>
      </w:r>
      <w:r w:rsidR="006E38AF" w:rsidRPr="006E38AF">
        <w:t xml:space="preserve"> saskaras ar izaicinājumu - dalīties ar iegūto vai nepieciešamo izglītības dokumentu un </w:t>
      </w:r>
      <w:r w:rsidR="006E38AF">
        <w:t>tā pieņemšanu</w:t>
      </w:r>
      <w:r w:rsidR="006E38AF" w:rsidRPr="006E38AF">
        <w:t xml:space="preserve"> kā autentisku</w:t>
      </w:r>
      <w:r w:rsidR="006E38AF">
        <w:t xml:space="preserve"> dokumentu</w:t>
      </w:r>
      <w:r w:rsidR="006E38AF" w:rsidRPr="006E38AF">
        <w:t>. Šī</w:t>
      </w:r>
      <w:r w:rsidR="006E38AF">
        <w:t xml:space="preserve"> </w:t>
      </w:r>
      <w:r w:rsidR="003202C2">
        <w:t xml:space="preserve">līdz šim uz papīra dokumentu sagatavošanu balstītā </w:t>
      </w:r>
      <w:r w:rsidR="006E38AF" w:rsidRPr="006E38AF">
        <w:t>procedūra rada papildu</w:t>
      </w:r>
      <w:r w:rsidR="006E38AF">
        <w:t>s</w:t>
      </w:r>
      <w:r w:rsidR="006E38AF" w:rsidRPr="006E38AF">
        <w:t xml:space="preserve"> darbu </w:t>
      </w:r>
      <w:r w:rsidR="003202C2">
        <w:t xml:space="preserve">un neērtības </w:t>
      </w:r>
      <w:r w:rsidR="006E38AF" w:rsidRPr="006E38AF">
        <w:t>studentiem</w:t>
      </w:r>
      <w:r w:rsidR="003202C2">
        <w:t>,</w:t>
      </w:r>
      <w:r w:rsidR="006E38AF">
        <w:t xml:space="preserve"> darba meklētājiem</w:t>
      </w:r>
      <w:r w:rsidR="006E38AF" w:rsidRPr="006E38AF">
        <w:t xml:space="preserve"> un iesaistītajai administrācijai</w:t>
      </w:r>
      <w:r w:rsidR="007F7C88">
        <w:t xml:space="preserve">, turklāt tā nesniedz </w:t>
      </w:r>
      <w:r w:rsidR="006E38AF" w:rsidRPr="006E38AF">
        <w:t xml:space="preserve">uzticību iesniegtajam dokumentam </w:t>
      </w:r>
      <w:r w:rsidR="007F7C88">
        <w:t>un</w:t>
      </w:r>
      <w:r w:rsidR="006E38AF" w:rsidRPr="006E38AF">
        <w:t xml:space="preserve"> </w:t>
      </w:r>
      <w:r w:rsidR="007F7C88">
        <w:t>ne</w:t>
      </w:r>
      <w:r w:rsidR="006E38AF" w:rsidRPr="006E38AF">
        <w:t xml:space="preserve">ierobežo </w:t>
      </w:r>
      <w:r w:rsidR="007F7C88">
        <w:t>krāpniecisku darbību iespējamību</w:t>
      </w:r>
      <w:r w:rsidR="006E38AF" w:rsidRPr="006E38AF">
        <w:t xml:space="preserve">. Šis mērķis tika formulēts </w:t>
      </w:r>
      <w:r w:rsidR="003202C2">
        <w:t>Vienotā</w:t>
      </w:r>
      <w:r w:rsidR="006E38AF" w:rsidRPr="006E38AF">
        <w:t xml:space="preserve"> pētniecības centra (</w:t>
      </w:r>
      <w:proofErr w:type="spellStart"/>
      <w:r w:rsidR="003202C2">
        <w:t>ang</w:t>
      </w:r>
      <w:proofErr w:type="spellEnd"/>
      <w:r w:rsidR="003202C2">
        <w:t xml:space="preserve">. </w:t>
      </w:r>
      <w:proofErr w:type="spellStart"/>
      <w:r w:rsidR="003202C2" w:rsidRPr="003202C2">
        <w:rPr>
          <w:i/>
        </w:rPr>
        <w:t>Jo</w:t>
      </w:r>
      <w:r w:rsidR="005A4BDF">
        <w:rPr>
          <w:i/>
        </w:rPr>
        <w:t>i</w:t>
      </w:r>
      <w:r w:rsidR="003202C2" w:rsidRPr="003202C2">
        <w:rPr>
          <w:i/>
        </w:rPr>
        <w:t>nt</w:t>
      </w:r>
      <w:proofErr w:type="spellEnd"/>
      <w:r w:rsidR="003202C2" w:rsidRPr="003202C2">
        <w:rPr>
          <w:i/>
        </w:rPr>
        <w:t xml:space="preserve"> </w:t>
      </w:r>
      <w:proofErr w:type="spellStart"/>
      <w:r w:rsidR="003202C2" w:rsidRPr="003202C2">
        <w:rPr>
          <w:i/>
        </w:rPr>
        <w:t>Research</w:t>
      </w:r>
      <w:proofErr w:type="spellEnd"/>
      <w:r w:rsidR="003202C2" w:rsidRPr="003202C2">
        <w:rPr>
          <w:i/>
        </w:rPr>
        <w:t xml:space="preserve"> </w:t>
      </w:r>
      <w:proofErr w:type="spellStart"/>
      <w:r w:rsidR="003202C2" w:rsidRPr="003202C2">
        <w:rPr>
          <w:i/>
        </w:rPr>
        <w:t>Center</w:t>
      </w:r>
      <w:proofErr w:type="spellEnd"/>
      <w:r w:rsidR="006E38AF" w:rsidRPr="006E38AF">
        <w:t xml:space="preserve">) ziņojumā par </w:t>
      </w:r>
      <w:proofErr w:type="spellStart"/>
      <w:r w:rsidR="003202C2">
        <w:t>b</w:t>
      </w:r>
      <w:r w:rsidR="006E38AF" w:rsidRPr="006E38AF">
        <w:t>lokķēd</w:t>
      </w:r>
      <w:r w:rsidR="003202C2">
        <w:t>i</w:t>
      </w:r>
      <w:proofErr w:type="spellEnd"/>
      <w:r w:rsidR="006E38AF" w:rsidRPr="006E38AF">
        <w:t xml:space="preserve"> izglītībā ar vairākiem izmantošanas scenārijiem:</w:t>
      </w:r>
    </w:p>
    <w:p w14:paraId="3917E418" w14:textId="77777777" w:rsidR="003202C2" w:rsidRDefault="006E38AF" w:rsidP="003202C2">
      <w:pPr>
        <w:pStyle w:val="BodyTextFirstIndent"/>
        <w:numPr>
          <w:ilvl w:val="0"/>
          <w:numId w:val="20"/>
        </w:numPr>
        <w:spacing w:after="0" w:line="259" w:lineRule="auto"/>
      </w:pPr>
      <w:r w:rsidRPr="006E38AF">
        <w:t xml:space="preserve">izmantojot </w:t>
      </w:r>
      <w:proofErr w:type="spellStart"/>
      <w:r w:rsidRPr="006E38AF">
        <w:t>blokķēd</w:t>
      </w:r>
      <w:r w:rsidR="003202C2">
        <w:t>i</w:t>
      </w:r>
      <w:proofErr w:type="spellEnd"/>
      <w:r w:rsidRPr="006E38AF">
        <w:t xml:space="preserve"> pastāvīgi drošiem sertifikātiem</w:t>
      </w:r>
      <w:r w:rsidR="003202C2">
        <w:t>;</w:t>
      </w:r>
    </w:p>
    <w:p w14:paraId="649638C5" w14:textId="77777777" w:rsidR="003202C2" w:rsidRDefault="006E38AF" w:rsidP="003202C2">
      <w:pPr>
        <w:pStyle w:val="BodyTextFirstIndent"/>
        <w:numPr>
          <w:ilvl w:val="0"/>
          <w:numId w:val="20"/>
        </w:numPr>
        <w:spacing w:after="0" w:line="259" w:lineRule="auto"/>
      </w:pPr>
      <w:r w:rsidRPr="006E38AF">
        <w:t xml:space="preserve">izmantojot </w:t>
      </w:r>
      <w:proofErr w:type="spellStart"/>
      <w:r w:rsidRPr="006E38AF">
        <w:t>blokķēd</w:t>
      </w:r>
      <w:r w:rsidR="003202C2">
        <w:t>i</w:t>
      </w:r>
      <w:proofErr w:type="spellEnd"/>
      <w:r w:rsidRPr="006E38AF">
        <w:t>, lai pārbaudītu daudzpakāpju akreditāciju</w:t>
      </w:r>
      <w:r w:rsidR="003202C2">
        <w:t>;</w:t>
      </w:r>
    </w:p>
    <w:p w14:paraId="720CC56A" w14:textId="77777777" w:rsidR="0052141C" w:rsidRDefault="006E38AF" w:rsidP="003202C2">
      <w:pPr>
        <w:pStyle w:val="BodyTextFirstIndent"/>
        <w:numPr>
          <w:ilvl w:val="0"/>
          <w:numId w:val="20"/>
        </w:numPr>
        <w:spacing w:after="0" w:line="259" w:lineRule="auto"/>
      </w:pPr>
      <w:r w:rsidRPr="006E38AF">
        <w:t xml:space="preserve">izmantojot </w:t>
      </w:r>
      <w:proofErr w:type="spellStart"/>
      <w:r w:rsidRPr="006E38AF">
        <w:t>blokķēd</w:t>
      </w:r>
      <w:r w:rsidR="003202C2">
        <w:t>i</w:t>
      </w:r>
      <w:proofErr w:type="spellEnd"/>
      <w:r w:rsidRPr="006E38AF">
        <w:t xml:space="preserve"> kā mūž</w:t>
      </w:r>
      <w:r w:rsidR="003202C2">
        <w:t>īgu iegūtās i</w:t>
      </w:r>
      <w:r w:rsidRPr="006E38AF">
        <w:t>zglītības</w:t>
      </w:r>
      <w:r w:rsidR="003202C2">
        <w:t xml:space="preserve"> uzskaites</w:t>
      </w:r>
      <w:r w:rsidRPr="006E38AF">
        <w:t xml:space="preserve"> pasi.</w:t>
      </w:r>
      <w:r w:rsidR="005F7D4A">
        <w:rPr>
          <w:rStyle w:val="FootnoteReference"/>
        </w:rPr>
        <w:footnoteReference w:id="8"/>
      </w:r>
    </w:p>
    <w:p w14:paraId="6EFE6A44" w14:textId="77777777" w:rsidR="00C217FC" w:rsidRPr="00DA1D76" w:rsidRDefault="00C217FC" w:rsidP="00C217FC">
      <w:pPr>
        <w:pStyle w:val="BodyTextFirstIndent"/>
        <w:spacing w:after="0" w:line="259" w:lineRule="auto"/>
        <w:ind w:firstLine="0"/>
      </w:pPr>
    </w:p>
    <w:p w14:paraId="313FAF29" w14:textId="77777777" w:rsidR="007D5E13" w:rsidRPr="007D5E13" w:rsidRDefault="00017A70" w:rsidP="00D60DC0">
      <w:pPr>
        <w:pStyle w:val="BodyTextFirstIndent"/>
        <w:numPr>
          <w:ilvl w:val="2"/>
          <w:numId w:val="14"/>
        </w:numPr>
        <w:spacing w:after="0" w:line="259" w:lineRule="auto"/>
        <w:rPr>
          <w:i/>
        </w:rPr>
      </w:pPr>
      <w:r>
        <w:rPr>
          <w:i/>
        </w:rPr>
        <w:t>E-komercijas PVN piemērošana</w:t>
      </w:r>
    </w:p>
    <w:p w14:paraId="192F686F" w14:textId="27B69AE4" w:rsidR="002957B9" w:rsidRDefault="00017A70" w:rsidP="007D5E13">
      <w:pPr>
        <w:pStyle w:val="BodyTextFirstIndent"/>
        <w:spacing w:after="0" w:line="259" w:lineRule="auto"/>
        <w:ind w:firstLine="0"/>
      </w:pPr>
      <w:r>
        <w:tab/>
      </w:r>
      <w:r w:rsidR="00BC72F5" w:rsidRPr="00BC72F5">
        <w:t xml:space="preserve">EK muitu politikas izstrādātājs un īstenotājs DG TAXUD ierosina </w:t>
      </w:r>
      <w:r w:rsidR="006B55BC">
        <w:t xml:space="preserve">pārskatāmā nākotnē </w:t>
      </w:r>
      <w:r w:rsidR="00BC72F5" w:rsidRPr="00BC72F5">
        <w:t>ieviest</w:t>
      </w:r>
      <w:r w:rsidR="006B55BC">
        <w:t xml:space="preserve"> </w:t>
      </w:r>
      <w:r w:rsidR="00BC72F5" w:rsidRPr="00BC72F5">
        <w:t>IOSS</w:t>
      </w:r>
      <w:r w:rsidR="00BC72F5">
        <w:t xml:space="preserve"> </w:t>
      </w:r>
      <w:r w:rsidR="00F041F2" w:rsidRPr="00F041F2">
        <w:t>(</w:t>
      </w:r>
      <w:proofErr w:type="spellStart"/>
      <w:r w:rsidR="00F041F2" w:rsidRPr="00F041F2">
        <w:t>ang</w:t>
      </w:r>
      <w:proofErr w:type="spellEnd"/>
      <w:r w:rsidR="00F041F2" w:rsidRPr="00F041F2">
        <w:t xml:space="preserve">. </w:t>
      </w:r>
      <w:r w:rsidR="00F041F2" w:rsidRPr="00FF7120">
        <w:rPr>
          <w:i/>
        </w:rPr>
        <w:t xml:space="preserve">Import </w:t>
      </w:r>
      <w:proofErr w:type="spellStart"/>
      <w:r w:rsidR="00F041F2" w:rsidRPr="00FF7120">
        <w:rPr>
          <w:i/>
        </w:rPr>
        <w:t>One</w:t>
      </w:r>
      <w:proofErr w:type="spellEnd"/>
      <w:r w:rsidR="00F041F2" w:rsidRPr="00FF7120">
        <w:rPr>
          <w:i/>
        </w:rPr>
        <w:t>-Stop-</w:t>
      </w:r>
      <w:proofErr w:type="spellStart"/>
      <w:r w:rsidR="00F041F2" w:rsidRPr="00FF7120">
        <w:rPr>
          <w:i/>
        </w:rPr>
        <w:t>Shop</w:t>
      </w:r>
      <w:proofErr w:type="spellEnd"/>
      <w:r w:rsidR="00F041F2" w:rsidRPr="00FF7120">
        <w:rPr>
          <w:i/>
        </w:rPr>
        <w:t xml:space="preserve"> (IOSS) VAT </w:t>
      </w:r>
      <w:proofErr w:type="spellStart"/>
      <w:r w:rsidR="00F041F2" w:rsidRPr="00FF7120">
        <w:rPr>
          <w:i/>
        </w:rPr>
        <w:t>identification</w:t>
      </w:r>
      <w:proofErr w:type="spellEnd"/>
      <w:r w:rsidR="00F041F2" w:rsidRPr="00F041F2">
        <w:t>)</w:t>
      </w:r>
      <w:r w:rsidR="00BC72F5" w:rsidRPr="00BC72F5">
        <w:t xml:space="preserve"> </w:t>
      </w:r>
      <w:r w:rsidR="00F041F2" w:rsidRPr="00F041F2">
        <w:t xml:space="preserve">PVN identifikācijas </w:t>
      </w:r>
      <w:r w:rsidR="00BC72F5" w:rsidRPr="00BC72F5">
        <w:t xml:space="preserve">numuru izplatīto reģistru, </w:t>
      </w:r>
      <w:r w:rsidR="006B55BC">
        <w:t>potenciāli</w:t>
      </w:r>
      <w:r w:rsidR="00231178">
        <w:t>,</w:t>
      </w:r>
      <w:r w:rsidR="006B55BC">
        <w:t xml:space="preserve"> </w:t>
      </w:r>
      <w:r w:rsidR="00BC72F5" w:rsidRPr="00BC72F5">
        <w:t xml:space="preserve">izmantojot ES mēroga </w:t>
      </w:r>
      <w:proofErr w:type="spellStart"/>
      <w:r w:rsidR="00BC72F5" w:rsidRPr="00BC72F5">
        <w:t>blokķēdes</w:t>
      </w:r>
      <w:proofErr w:type="spellEnd"/>
      <w:r w:rsidR="00BC72F5" w:rsidRPr="00BC72F5">
        <w:t xml:space="preserve"> infrastruktūru</w:t>
      </w:r>
      <w:r w:rsidR="006B55BC">
        <w:t xml:space="preserve"> kā vienu no</w:t>
      </w:r>
      <w:r w:rsidR="00231178">
        <w:t xml:space="preserve"> iespējamajiem</w:t>
      </w:r>
      <w:r w:rsidR="006B55BC">
        <w:t xml:space="preserve"> risinājumiem</w:t>
      </w:r>
      <w:r w:rsidR="00BC72F5" w:rsidRPr="00BC72F5">
        <w:t>.</w:t>
      </w:r>
      <w:r w:rsidR="00D26539">
        <w:t xml:space="preserve"> Šis</w:t>
      </w:r>
      <w:r w:rsidR="00F041F2">
        <w:t xml:space="preserve"> </w:t>
      </w:r>
      <w:r w:rsidR="00CF4F94">
        <w:t xml:space="preserve">projekts </w:t>
      </w:r>
      <w:r w:rsidR="00CD39B6">
        <w:t>ļau</w:t>
      </w:r>
      <w:r w:rsidR="00BC72F5">
        <w:t>tu</w:t>
      </w:r>
      <w:r w:rsidR="00CD39B6">
        <w:t xml:space="preserve"> </w:t>
      </w:r>
      <w:r w:rsidR="00BB2BD9" w:rsidRPr="00BB2BD9">
        <w:t>tirgotājiem, kas reģistrēti ārpus ES, iecelt starpnieku vienā dalībvalstī, ar kuru viņi izpildī</w:t>
      </w:r>
      <w:r w:rsidR="00BC72F5">
        <w:t>tu</w:t>
      </w:r>
      <w:r w:rsidR="00BB2BD9" w:rsidRPr="00BB2BD9">
        <w:t xml:space="preserve"> savus PVN </w:t>
      </w:r>
      <w:r w:rsidR="00BC72F5">
        <w:t xml:space="preserve">nomaksas </w:t>
      </w:r>
      <w:r w:rsidR="00BB2BD9" w:rsidRPr="007274D7">
        <w:t xml:space="preserve">pienākumus. </w:t>
      </w:r>
      <w:r w:rsidR="007274D7" w:rsidRPr="007274D7">
        <w:t xml:space="preserve">Papildus IOSS PVN identifikācijas numura validācijai, tas ļautu izvairīties no dubultās PVN iekasēšanas importa darījumos. Tirgotāji, izmantojot savu starpnieku, nodokļu administrācijai piešķirtu IOSS PVN identifikācijas numuru. Lai </w:t>
      </w:r>
      <w:r w:rsidR="007274D7" w:rsidRPr="007274D7">
        <w:lastRenderedPageBreak/>
        <w:t>pareizi tiktu piemērots PVN, importa dalībvalstu muitas iestādēm būtu jāpārbauda IOSS PVN numuru derīgums.</w:t>
      </w:r>
      <w:r w:rsidR="00BB2BD9" w:rsidRPr="007274D7">
        <w:t xml:space="preserve"> </w:t>
      </w:r>
      <w:r w:rsidR="00BC72F5" w:rsidRPr="007274D7">
        <w:t>Lai to nodrošinātu,</w:t>
      </w:r>
      <w:r w:rsidR="00BB2BD9" w:rsidRPr="007274D7">
        <w:t xml:space="preserve"> dalībvalstu muitas iestādēm </w:t>
      </w:r>
      <w:r w:rsidR="00BC72F5" w:rsidRPr="007274D7">
        <w:t xml:space="preserve">būtu </w:t>
      </w:r>
      <w:r w:rsidR="00BB2BD9" w:rsidRPr="007274D7">
        <w:t>jābūt pieejamai datu bāzei ar derīgiem IOSS PVN numuriem, kurus visu dalībvalstu nodokļu iestādes piešķir</w:t>
      </w:r>
      <w:r w:rsidR="00BC72F5" w:rsidRPr="007274D7">
        <w:t>tu</w:t>
      </w:r>
      <w:r w:rsidR="00BB2BD9" w:rsidRPr="007274D7">
        <w:t xml:space="preserve"> ārvalstu tirgotājiem.</w:t>
      </w:r>
      <w:r w:rsidR="00CD39B6" w:rsidRPr="007274D7">
        <w:t xml:space="preserve"> Dalībvalstu</w:t>
      </w:r>
      <w:r w:rsidR="00CD39B6" w:rsidRPr="00CD39B6">
        <w:t xml:space="preserve"> IOSS PVN identifikācijas numuru pārbaude</w:t>
      </w:r>
      <w:r w:rsidR="00CD39B6">
        <w:t>s biežums ir aptuveni</w:t>
      </w:r>
      <w:r w:rsidR="00CD39B6" w:rsidRPr="00CD39B6">
        <w:t xml:space="preserve"> 6 pārbaudes sekundē, ņemot vērā 180 miljonu importa deklarāciju gadā</w:t>
      </w:r>
      <w:r w:rsidR="005E2AFF">
        <w:t>, kas pakļaujas import</w:t>
      </w:r>
      <w:r w:rsidR="00BC72F5">
        <w:t>a</w:t>
      </w:r>
      <w:r w:rsidR="005E2AFF">
        <w:t xml:space="preserve"> shēmai</w:t>
      </w:r>
      <w:r w:rsidR="00CD39B6" w:rsidRPr="00CD39B6">
        <w:t>. Ņemot vērā reģistra pieejamību, uzticamību un veiktspējas prasības,</w:t>
      </w:r>
      <w:r w:rsidR="005F7D4A">
        <w:t xml:space="preserve"> </w:t>
      </w:r>
      <w:r w:rsidR="00BC72F5">
        <w:t>šāda shēma varētu tikt izmantota lielākajā daļā dalībvalstu.</w:t>
      </w:r>
      <w:r w:rsidR="00BB2BD9">
        <w:tab/>
      </w:r>
    </w:p>
    <w:p w14:paraId="732F867E" w14:textId="10C2BBCB" w:rsidR="004706BB" w:rsidRDefault="002957B9" w:rsidP="007D5E13">
      <w:pPr>
        <w:pStyle w:val="BodyTextFirstIndent"/>
        <w:spacing w:after="0" w:line="259" w:lineRule="auto"/>
        <w:ind w:firstLine="0"/>
      </w:pPr>
      <w:r>
        <w:tab/>
      </w:r>
      <w:r w:rsidR="00FD262F">
        <w:t xml:space="preserve">Lai gan sākotnēji </w:t>
      </w:r>
      <w:r w:rsidR="00FD262F" w:rsidRPr="00BC72F5">
        <w:t>DG TAXUD</w:t>
      </w:r>
      <w:r w:rsidR="007D5E13" w:rsidRPr="007D5E13">
        <w:t xml:space="preserve"> apsver iespēju</w:t>
      </w:r>
      <w:r w:rsidR="00FD262F">
        <w:t xml:space="preserve"> PVN </w:t>
      </w:r>
      <w:r w:rsidR="00FD262F" w:rsidRPr="008E1CE4">
        <w:t>numuru identifikācijai</w:t>
      </w:r>
      <w:r w:rsidR="007D5E13" w:rsidRPr="007D5E13">
        <w:t xml:space="preserve"> </w:t>
      </w:r>
      <w:r w:rsidR="00FD262F">
        <w:t>dot priekšroku</w:t>
      </w:r>
      <w:r w:rsidR="007D5E13" w:rsidRPr="007D5E13">
        <w:t xml:space="preserve"> </w:t>
      </w:r>
      <w:r w:rsidR="00FD262F">
        <w:t>citiem</w:t>
      </w:r>
      <w:r w:rsidR="007D5E13" w:rsidRPr="007D5E13">
        <w:t xml:space="preserve"> </w:t>
      </w:r>
      <w:r w:rsidR="00FD262F">
        <w:t>risinājuma piemēriem</w:t>
      </w:r>
      <w:r w:rsidR="007D5E13" w:rsidRPr="007D5E13">
        <w:t xml:space="preserve">, </w:t>
      </w:r>
      <w:r w:rsidR="00CD39B6">
        <w:t>viņu skatījumā šis būtu lielisks projekts priekš EBPI</w:t>
      </w:r>
      <w:r w:rsidR="007D5E13" w:rsidRPr="007D5E13">
        <w:t>, kas būtu saistīta ar reģistra koplietošanu valsts nodokļu vai muitas iestādēm.</w:t>
      </w:r>
      <w:r w:rsidR="00CD39B6">
        <w:t xml:space="preserve"> </w:t>
      </w:r>
      <w:r w:rsidR="007D5E13">
        <w:t>Piedāvātajā risinājumā, ieviešot plašu reģistru, tiek nodrošināta reģistrācijas informācijas pārsūtīšana un izslēgšana, kas paredzēta importēšanas sistēmas tiesību aktos. Šī pieeja</w:t>
      </w:r>
      <w:r w:rsidR="004E2653">
        <w:t>,</w:t>
      </w:r>
      <w:r w:rsidR="007D5E13">
        <w:t xml:space="preserve"> galvenokārt</w:t>
      </w:r>
      <w:r w:rsidR="00F83E83">
        <w:t>,</w:t>
      </w:r>
      <w:r w:rsidR="007D5E13">
        <w:t xml:space="preserve"> vērsta uz dalībvalstu efektivitāti un izmaksu pieaugumu dalībvalstīm.</w:t>
      </w:r>
    </w:p>
    <w:p w14:paraId="01477E5F" w14:textId="77777777" w:rsidR="00E97A50" w:rsidRPr="0023183C" w:rsidRDefault="005E2AFF" w:rsidP="007D5E13">
      <w:pPr>
        <w:pStyle w:val="BodyTextFirstIndent"/>
        <w:spacing w:after="0" w:line="259" w:lineRule="auto"/>
        <w:ind w:firstLine="0"/>
        <w:rPr>
          <w:i/>
        </w:rPr>
      </w:pPr>
      <w:r>
        <w:tab/>
      </w:r>
    </w:p>
    <w:p w14:paraId="2EC7B9E3" w14:textId="77777777" w:rsidR="00E97A50" w:rsidRDefault="0023183C" w:rsidP="00D60DC0">
      <w:pPr>
        <w:pStyle w:val="BodyTextFirstIndent"/>
        <w:numPr>
          <w:ilvl w:val="1"/>
          <w:numId w:val="14"/>
        </w:numPr>
        <w:spacing w:after="0" w:line="259" w:lineRule="auto"/>
        <w:rPr>
          <w:i/>
        </w:rPr>
      </w:pPr>
      <w:r w:rsidRPr="0023183C">
        <w:rPr>
          <w:i/>
        </w:rPr>
        <w:t>Blokķēdes tehnoloģiju pe</w:t>
      </w:r>
      <w:r w:rsidR="006F0407">
        <w:rPr>
          <w:i/>
        </w:rPr>
        <w:t>r</w:t>
      </w:r>
      <w:r w:rsidRPr="0023183C">
        <w:rPr>
          <w:i/>
        </w:rPr>
        <w:t>spektīvas Latvijas publiskajā sektorā</w:t>
      </w:r>
    </w:p>
    <w:p w14:paraId="3F32F5DC" w14:textId="4AB7BC19" w:rsidR="006F0407" w:rsidRDefault="006F0407" w:rsidP="006F0407">
      <w:pPr>
        <w:pStyle w:val="BodyTextFirstIndent"/>
        <w:spacing w:after="0" w:line="259" w:lineRule="auto"/>
        <w:ind w:firstLine="0"/>
      </w:pPr>
      <w:r>
        <w:tab/>
        <w:t>Pieņemot EK virzītās iniciatīvas un Blokķēdes partnerības deklarācijas ietvaros noteikt</w:t>
      </w:r>
      <w:r w:rsidR="00627CFE">
        <w:t>o</w:t>
      </w:r>
      <w:r>
        <w:t xml:space="preserve"> </w:t>
      </w:r>
      <w:r w:rsidR="00627CFE">
        <w:t xml:space="preserve">nodomu uzsākt pārrobežu </w:t>
      </w:r>
      <w:r w:rsidR="00F8593C">
        <w:t xml:space="preserve">starpvalstu </w:t>
      </w:r>
      <w:r w:rsidR="00627CFE">
        <w:t xml:space="preserve">sadarbību </w:t>
      </w:r>
      <w:r>
        <w:t xml:space="preserve">blokķēdes tehnoloģijas </w:t>
      </w:r>
      <w:r w:rsidR="00F8593C">
        <w:t xml:space="preserve">potenciālo publiskā sektoru pilotprojektu apskatīšanai un </w:t>
      </w:r>
      <w:r>
        <w:t>ieviešanai</w:t>
      </w:r>
      <w:r w:rsidR="00F8593C">
        <w:t>, EM ir uzsākusi sarunas ar nozares ekspertiem, darba grupas un publiskā sektora pārstāvjiem. Sarunu rezultātā šobrīd ir identificēti divi potenciālie pilotprojekti, kas varētu tikt apskatīti tuvāk</w:t>
      </w:r>
      <w:r w:rsidR="00B65064">
        <w:t xml:space="preserve"> </w:t>
      </w:r>
      <w:r w:rsidR="000429E3">
        <w:t xml:space="preserve">un pētīti </w:t>
      </w:r>
      <w:r w:rsidR="00F8593C">
        <w:t>līdz 2019. gada beigām.</w:t>
      </w:r>
    </w:p>
    <w:p w14:paraId="210EC756" w14:textId="77777777" w:rsidR="00F8593C" w:rsidRDefault="00F8593C" w:rsidP="006F0407">
      <w:pPr>
        <w:pStyle w:val="BodyTextFirstIndent"/>
        <w:spacing w:after="0" w:line="259" w:lineRule="auto"/>
        <w:ind w:firstLine="0"/>
      </w:pPr>
      <w:r>
        <w:tab/>
      </w:r>
    </w:p>
    <w:p w14:paraId="4F01F845" w14:textId="77777777" w:rsidR="006F0407" w:rsidRPr="00F8593C" w:rsidRDefault="00F8593C" w:rsidP="00D60DC0">
      <w:pPr>
        <w:pStyle w:val="BodyTextFirstIndent"/>
        <w:numPr>
          <w:ilvl w:val="2"/>
          <w:numId w:val="14"/>
        </w:numPr>
        <w:spacing w:after="0" w:line="259" w:lineRule="auto"/>
        <w:rPr>
          <w:i/>
        </w:rPr>
      </w:pPr>
      <w:r w:rsidRPr="00F8593C">
        <w:rPr>
          <w:i/>
        </w:rPr>
        <w:t>Potenciālais pilotprojekts ar Uzņēmumu reģistru</w:t>
      </w:r>
    </w:p>
    <w:p w14:paraId="64F0B13A" w14:textId="63EB8C63" w:rsidR="000D1A04" w:rsidRDefault="006F0407" w:rsidP="000D1A04">
      <w:pPr>
        <w:pStyle w:val="BodyTextFirstIndent"/>
        <w:spacing w:after="0" w:line="259" w:lineRule="auto"/>
        <w:ind w:firstLine="0"/>
      </w:pPr>
      <w:r>
        <w:tab/>
      </w:r>
      <w:r w:rsidR="00694117" w:rsidRPr="003267F9">
        <w:t xml:space="preserve">Pateicoties veiksmīgam sarunu procesam, kas ir izveidojies starp valsts sektora </w:t>
      </w:r>
      <w:proofErr w:type="spellStart"/>
      <w:r w:rsidR="00694117" w:rsidRPr="003267F9">
        <w:t>blokķēdes</w:t>
      </w:r>
      <w:proofErr w:type="spellEnd"/>
      <w:r w:rsidR="00694117" w:rsidRPr="003267F9">
        <w:t xml:space="preserve"> tehnoloģijas darbības perspektīvu darba grupu, nozares ekspertiem</w:t>
      </w:r>
      <w:r w:rsidR="004454F0">
        <w:t>,</w:t>
      </w:r>
      <w:r w:rsidR="00694117" w:rsidRPr="003267F9">
        <w:t xml:space="preserve"> </w:t>
      </w:r>
      <w:r w:rsidR="004454F0" w:rsidRPr="003267F9">
        <w:t>Tieslietu ministrij</w:t>
      </w:r>
      <w:r w:rsidR="004454F0">
        <w:t>u</w:t>
      </w:r>
      <w:r w:rsidR="004454F0" w:rsidRPr="003267F9">
        <w:t xml:space="preserve"> (turpmāk – TM) </w:t>
      </w:r>
      <w:r w:rsidR="00694117" w:rsidRPr="003267F9">
        <w:t xml:space="preserve">un Uzņēmumu reģistru (turpmāk – UR) ir izdevies identificēt </w:t>
      </w:r>
      <w:r w:rsidR="00694117">
        <w:t>nākamo attīstības posmu SIA dalībnieku reģistra vešanas kārtībā</w:t>
      </w:r>
      <w:r w:rsidR="000C0A70">
        <w:t>.</w:t>
      </w:r>
    </w:p>
    <w:p w14:paraId="272C970F" w14:textId="028A8D4D" w:rsidR="00CF5297" w:rsidRDefault="000D1A04" w:rsidP="006F0407">
      <w:pPr>
        <w:pStyle w:val="BodyTextFirstIndent"/>
        <w:spacing w:after="0" w:line="259" w:lineRule="auto"/>
        <w:ind w:firstLine="0"/>
      </w:pPr>
      <w:r>
        <w:tab/>
      </w:r>
      <w:r w:rsidR="00B727D1">
        <w:t xml:space="preserve">UR saskata iespēju un pievienoto vērtību blokķēdes tehnoloģijas sniegtajam pienesumam attiecībā </w:t>
      </w:r>
      <w:r w:rsidR="006F0407">
        <w:t>uz SIA dalībnieku reģistra vešanu. Pašlaik Komerclikums paredz, ka SIA valdei ir pienākums vest dalībnieku reģistru pie katr</w:t>
      </w:r>
      <w:r w:rsidR="00B727D1">
        <w:t>as</w:t>
      </w:r>
      <w:r w:rsidR="006F0407">
        <w:t xml:space="preserve"> īpašnieku vai citām izmaiņām attiecībā uz īpašniekiem, </w:t>
      </w:r>
      <w:r w:rsidR="00B727D1">
        <w:t xml:space="preserve">kā arī </w:t>
      </w:r>
      <w:r w:rsidR="006F0407">
        <w:t xml:space="preserve">valdei ir jāiesniedz </w:t>
      </w:r>
      <w:r w:rsidR="00B727D1">
        <w:t>UR</w:t>
      </w:r>
      <w:r w:rsidR="006F0407">
        <w:t xml:space="preserve"> aktuālā dalībnieku reģistra versija. Valdei tas ir jāizdara 3 dienu laikā no izmaiņu brīža.</w:t>
      </w:r>
      <w:r w:rsidR="00B727D1">
        <w:t xml:space="preserve"> Šajā gadījumā Komerclikums jau šobrīd </w:t>
      </w:r>
      <w:r w:rsidR="006F0407">
        <w:t xml:space="preserve">paredz, ka informācija ir jāsniedz valsts institūcijai, kura to pēc tam publisko. </w:t>
      </w:r>
      <w:r w:rsidR="00A30398">
        <w:t>P</w:t>
      </w:r>
      <w:r w:rsidR="00CF5297">
        <w:t>recīza statistika</w:t>
      </w:r>
      <w:r w:rsidR="00A30398">
        <w:t xml:space="preserve"> par izmaiņu biežumu un skaitu</w:t>
      </w:r>
      <w:r w:rsidR="00CF5297">
        <w:t xml:space="preserve"> </w:t>
      </w:r>
      <w:r w:rsidR="00EA26A7">
        <w:t>šobrīd</w:t>
      </w:r>
      <w:r w:rsidR="00A30398">
        <w:t xml:space="preserve"> gan</w:t>
      </w:r>
      <w:r w:rsidR="00EA26A7">
        <w:t xml:space="preserve"> </w:t>
      </w:r>
      <w:r w:rsidR="00CF5297">
        <w:t>nav pieejama</w:t>
      </w:r>
      <w:r w:rsidR="00EA26A7">
        <w:t>,</w:t>
      </w:r>
      <w:r w:rsidR="00CE6F7E">
        <w:t xml:space="preserve"> jo bieži vien uzņēmumi </w:t>
      </w:r>
      <w:r w:rsidR="003C051A">
        <w:t xml:space="preserve">,iesniedzot dalībnieku reģistru, </w:t>
      </w:r>
      <w:r w:rsidR="00CE6F7E">
        <w:t xml:space="preserve">vienlaikus veic vairākas izmaiņas, </w:t>
      </w:r>
      <w:r w:rsidR="003C051A">
        <w:t>piemēram,</w:t>
      </w:r>
      <w:r w:rsidR="00CE6F7E">
        <w:t xml:space="preserve"> jaunas SIA reģistrācija, pamatkapitāla izmaiņ</w:t>
      </w:r>
      <w:r w:rsidR="003C051A">
        <w:t>as</w:t>
      </w:r>
      <w:r w:rsidR="00CE6F7E">
        <w:t xml:space="preserve"> (pamatkapitāls tiek palielināts vai samazināts) </w:t>
      </w:r>
      <w:r w:rsidR="003C051A">
        <w:t>vai</w:t>
      </w:r>
      <w:r w:rsidR="00CE6F7E">
        <w:t xml:space="preserve"> </w:t>
      </w:r>
      <w:r w:rsidR="003C051A">
        <w:t xml:space="preserve">izmaiņas </w:t>
      </w:r>
      <w:r w:rsidR="00CE6F7E">
        <w:t xml:space="preserve">dalībnieku </w:t>
      </w:r>
      <w:r w:rsidR="003C051A">
        <w:t>sastāvā</w:t>
      </w:r>
      <w:r w:rsidR="00CE6F7E">
        <w:t>.</w:t>
      </w:r>
      <w:r w:rsidR="00CF5297">
        <w:t xml:space="preserve"> </w:t>
      </w:r>
      <w:r w:rsidR="00CE6F7E">
        <w:t>Saskaņā ar</w:t>
      </w:r>
      <w:r w:rsidR="00CF5297">
        <w:t xml:space="preserve"> UR aplēsēm šādi gadījumi varētu būt aptuveni 25-30 tūkstoši/gadā.</w:t>
      </w:r>
      <w:r>
        <w:t xml:space="preserve"> </w:t>
      </w:r>
      <w:r w:rsidRPr="00DE1698">
        <w:t xml:space="preserve">Vienlaikus, uzlabojot, pilnveidojot un attīstot līdzšinējās procedūras SIA dalībnieku reģistra vešanā, izmantojot </w:t>
      </w:r>
      <w:proofErr w:type="spellStart"/>
      <w:r w:rsidRPr="00DE1698">
        <w:t>blokķē</w:t>
      </w:r>
      <w:r>
        <w:t>des</w:t>
      </w:r>
      <w:proofErr w:type="spellEnd"/>
      <w:r w:rsidRPr="00DE1698">
        <w:t xml:space="preserve"> tehnoloģij</w:t>
      </w:r>
      <w:r>
        <w:t>as</w:t>
      </w:r>
      <w:r w:rsidRPr="00DE1698">
        <w:t xml:space="preserve"> sniegtās iespējas, jāņem vērā, ka jānodrošina arī patieso labuma guvēju reģistrācijas un atklāšanas nosacījumi</w:t>
      </w:r>
    </w:p>
    <w:p w14:paraId="74ABEB98" w14:textId="23BAEC6B" w:rsidR="002763C0" w:rsidRDefault="00CE6F7E" w:rsidP="006F0407">
      <w:pPr>
        <w:pStyle w:val="BodyTextFirstIndent"/>
        <w:spacing w:after="0" w:line="259" w:lineRule="auto"/>
        <w:ind w:firstLine="0"/>
      </w:pPr>
      <w:r>
        <w:lastRenderedPageBreak/>
        <w:tab/>
      </w:r>
      <w:r w:rsidR="00B30375">
        <w:t>Šajā sakarā EM</w:t>
      </w:r>
      <w:r w:rsidR="00CA6150">
        <w:t xml:space="preserve"> un </w:t>
      </w:r>
      <w:r w:rsidR="00B30375">
        <w:t xml:space="preserve">UR ir uzsākuši sadarbības </w:t>
      </w:r>
      <w:r w:rsidR="00851F47">
        <w:t>sarunas par jauna pilotprojekta risinājuma izstrādi, kas ieviesīs nākamā līmeņa drošību un pielietojumu</w:t>
      </w:r>
      <w:r w:rsidR="00CA6150">
        <w:t xml:space="preserve"> </w:t>
      </w:r>
      <w:r w:rsidR="00851F47">
        <w:t xml:space="preserve">Valdības nolūkiem, kas ne tikai kalpos Latvijas iedzīvotājiem un uzņēmējiem, bet arī ES mērogā pozicionēs Latviju kā vienu no vadošajām valstīm blokķēdes tehnoloģijas adaptēšanas ziņā </w:t>
      </w:r>
      <w:r w:rsidR="005A1C16">
        <w:t>v</w:t>
      </w:r>
      <w:r w:rsidR="00851F47">
        <w:t>al</w:t>
      </w:r>
      <w:r w:rsidR="005A1C16">
        <w:t>sts sniegto pakalpojumu jomā.</w:t>
      </w:r>
    </w:p>
    <w:p w14:paraId="027A2710" w14:textId="77777777" w:rsidR="00B14B3F" w:rsidRDefault="00B14B3F" w:rsidP="006F0407">
      <w:pPr>
        <w:pStyle w:val="BodyTextFirstIndent"/>
        <w:spacing w:after="0" w:line="259" w:lineRule="auto"/>
        <w:ind w:firstLine="0"/>
      </w:pPr>
    </w:p>
    <w:p w14:paraId="23393DD9" w14:textId="77777777" w:rsidR="00B14B3F" w:rsidRDefault="00B14B3F" w:rsidP="00D60DC0">
      <w:pPr>
        <w:pStyle w:val="BodyTextFirstIndent"/>
        <w:numPr>
          <w:ilvl w:val="2"/>
          <w:numId w:val="14"/>
        </w:numPr>
        <w:spacing w:after="0" w:line="259" w:lineRule="auto"/>
      </w:pPr>
      <w:r w:rsidRPr="00F8593C">
        <w:rPr>
          <w:i/>
        </w:rPr>
        <w:t>Potenciālais pilotprojekts ar</w:t>
      </w:r>
      <w:r>
        <w:rPr>
          <w:i/>
        </w:rPr>
        <w:t xml:space="preserve"> Valsts ieņēmumu dienestu</w:t>
      </w:r>
    </w:p>
    <w:p w14:paraId="16AFF25B" w14:textId="77777777" w:rsidR="00703A31" w:rsidRPr="00703A31" w:rsidRDefault="00703A31" w:rsidP="00703A31">
      <w:pPr>
        <w:pStyle w:val="BodyTextFirstIndent"/>
        <w:spacing w:after="0" w:line="240" w:lineRule="auto"/>
        <w:ind w:firstLine="720"/>
        <w:rPr>
          <w:shd w:val="clear" w:color="auto" w:fill="FFFFFF"/>
        </w:rPr>
      </w:pPr>
      <w:r w:rsidRPr="00703A31">
        <w:rPr>
          <w:shd w:val="clear" w:color="auto" w:fill="FFFFFF"/>
        </w:rPr>
        <w:t>Apzinoties kases aparātu reformas nozīmību ēnu ekonomikas izskaušanas veicināšanā, kā arī nepieciešamību nodrošināt uzņēmējdarbības videi labvēlīgus apstākļus, kas ir priekšnoteikums Latvijas tautsaimniecības konkurētspējīgai attīstībai, EM uzskata, ka ir nepieciešams nodrošināt saprātīgu līdzsvaru starp nodokļu politikas veidotāju interesēm, no vienas puses, un uzņēmējdarbībai piemērotu vidi, no otras puses. Šāda samērīga risinājuma izstrāde kases aparātu reformas pirmajam posmam noslēdzoties, neapdraudētu uzņēmējdarbības attīstību, būtu vēlama, lai stiprinātu cīņu par ēnu ekonomikas mazināšanu.</w:t>
      </w:r>
    </w:p>
    <w:p w14:paraId="76F14DDE" w14:textId="77777777" w:rsidR="00703A31" w:rsidRPr="00703A31" w:rsidRDefault="00703A31" w:rsidP="00703A31">
      <w:pPr>
        <w:pStyle w:val="BodyTextFirstIndent"/>
        <w:spacing w:after="0" w:line="240" w:lineRule="auto"/>
        <w:ind w:firstLine="720"/>
        <w:rPr>
          <w:shd w:val="clear" w:color="auto" w:fill="FFFFFF"/>
        </w:rPr>
      </w:pPr>
      <w:r w:rsidRPr="00703A31">
        <w:rPr>
          <w:shd w:val="clear" w:color="auto" w:fill="FFFFFF"/>
        </w:rPr>
        <w:t>Lai rastu risinājumu iepriekš minētajam izaicinājumam – īstenot kases aparātu reformu, ievērojot visu iesaistīto pušu objektīvās intereses, EM uzskata, ka nepieciešams aktualizēt diskusiju par kases aparātu reformas pielāgošanu 21.gadsimta tehnoloģisko risinājumu iespējām un IT infrastruktūrai, t.i., risinājumiem, kas stiprinātu VID uzraudzības kapacitāti un paredzētu samērīgu finanšu un administratīvo slogu komersantiem tiem noteikto prasību izpildes nodrošināšanai.</w:t>
      </w:r>
    </w:p>
    <w:p w14:paraId="0B494A5F" w14:textId="77777777" w:rsidR="00703A31" w:rsidRDefault="00703A31" w:rsidP="00703A31">
      <w:pPr>
        <w:pStyle w:val="BodyTextFirstIndent"/>
        <w:spacing w:after="0" w:line="240" w:lineRule="auto"/>
        <w:ind w:firstLine="720"/>
        <w:rPr>
          <w:shd w:val="clear" w:color="auto" w:fill="FFFFFF"/>
        </w:rPr>
      </w:pPr>
      <w:r w:rsidRPr="00703A31">
        <w:rPr>
          <w:shd w:val="clear" w:color="auto" w:fill="FFFFFF"/>
        </w:rPr>
        <w:t xml:space="preserve">EM ieskatā viens no šādiem risinājumiem, pēc kases aparātu reformas pirmā posma noslēgšanās, būtu tehniska risinājuma izstrāde elektroniskajās ierīcēs un iekārtās, lai ieviestu tirdzniecības datu nodošanu VID tiešsaistes režīmā, izmantojot </w:t>
      </w:r>
      <w:proofErr w:type="spellStart"/>
      <w:r w:rsidRPr="00703A31">
        <w:rPr>
          <w:shd w:val="clear" w:color="auto" w:fill="FFFFFF"/>
        </w:rPr>
        <w:t>blokķēdes</w:t>
      </w:r>
      <w:proofErr w:type="spellEnd"/>
      <w:r w:rsidRPr="00703A31">
        <w:rPr>
          <w:shd w:val="clear" w:color="auto" w:fill="FFFFFF"/>
        </w:rPr>
        <w:t xml:space="preserve"> tehnoloģiju. Iepriekš minētais priekšlikums būtu ieviešams kā nākotnes risinājums, ko uzņēmēji pēc savas iniciatīvas varētu izmantot ērtākai un efektīvākai sadarbības veidošanai ar Valsts ieņēmumu dienestu. </w:t>
      </w:r>
    </w:p>
    <w:p w14:paraId="5DFC39CE" w14:textId="5611FDFA" w:rsidR="00B14B3F" w:rsidRDefault="00335BE8" w:rsidP="00703A31">
      <w:pPr>
        <w:pStyle w:val="BodyTextFirstIndent"/>
        <w:spacing w:after="0" w:line="240" w:lineRule="auto"/>
        <w:ind w:firstLine="720"/>
        <w:rPr>
          <w:shd w:val="clear" w:color="auto" w:fill="FFFFFF"/>
        </w:rPr>
      </w:pPr>
      <w:r w:rsidRPr="00335BE8">
        <w:rPr>
          <w:shd w:val="clear" w:color="auto" w:fill="FFFFFF"/>
        </w:rPr>
        <w:t>F</w:t>
      </w:r>
      <w:r w:rsidR="005E0062">
        <w:rPr>
          <w:shd w:val="clear" w:color="auto" w:fill="FFFFFF"/>
        </w:rPr>
        <w:t>M</w:t>
      </w:r>
      <w:r w:rsidRPr="00335BE8">
        <w:rPr>
          <w:shd w:val="clear" w:color="auto" w:fill="FFFFFF"/>
        </w:rPr>
        <w:t xml:space="preserve"> </w:t>
      </w:r>
      <w:r w:rsidR="005E0062">
        <w:rPr>
          <w:shd w:val="clear" w:color="auto" w:fill="FFFFFF"/>
        </w:rPr>
        <w:t xml:space="preserve">jau </w:t>
      </w:r>
      <w:r w:rsidRPr="00335BE8">
        <w:rPr>
          <w:shd w:val="clear" w:color="auto" w:fill="FFFFFF"/>
        </w:rPr>
        <w:t>ir norādījusi, ka, Valdības rīcības plānā  iekļauto 26.4.pasākumu “Viedkaršu ieviešana kases aparātos”</w:t>
      </w:r>
      <w:r w:rsidR="00146881">
        <w:rPr>
          <w:shd w:val="clear" w:color="auto" w:fill="FFFFFF"/>
        </w:rPr>
        <w:t xml:space="preserve"> sakarā</w:t>
      </w:r>
      <w:r w:rsidRPr="00335BE8">
        <w:rPr>
          <w:shd w:val="clear" w:color="auto" w:fill="FFFFFF"/>
        </w:rPr>
        <w:t xml:space="preserve">, 2016.gada nogalē jau tika sagatavots redzējums kases aparātu reformas otrajam posmam. </w:t>
      </w:r>
      <w:r w:rsidR="00146881">
        <w:rPr>
          <w:shd w:val="clear" w:color="auto" w:fill="FFFFFF"/>
        </w:rPr>
        <w:t>Papildus, FM</w:t>
      </w:r>
      <w:r w:rsidRPr="00335BE8">
        <w:rPr>
          <w:shd w:val="clear" w:color="auto" w:fill="FFFFFF"/>
        </w:rPr>
        <w:t xml:space="preserve"> vērsa uzmanību, ka kases aparātu reformas otro posmu, t.i., elektronisko kases aparātu tiešsaistes sistēmas ieviešanu, bija paredzēts realizēt, pastiprinot elektronisko kases aparātu tehniskās prasības, elektroniskajā kases aparātā integrējot kontroles moduli, kas veiktu kases čeku elektronisku parakstīšanu. Elektroniskā kases aparāta čeka elektroniska parakstīšana nodrošinātu katra kases čeka autentiskumu un kontrolētu čeka identificējošo datu pareizību un saglabāšanu. Atkarībā no izvēlētā konkrētā tehnoloģiskā risinājuma, varētu tikt paredzēta arī elektroniskajā kases aparātā reģistrētās informācijas nosūtīšana </w:t>
      </w:r>
      <w:r w:rsidR="00146881">
        <w:rPr>
          <w:shd w:val="clear" w:color="auto" w:fill="FFFFFF"/>
        </w:rPr>
        <w:t>VID.</w:t>
      </w:r>
    </w:p>
    <w:p w14:paraId="3D9D5EC0" w14:textId="41A31A13" w:rsidR="00C92FD2" w:rsidRDefault="00146881" w:rsidP="00335BE8">
      <w:pPr>
        <w:pStyle w:val="BodyTextFirstIndent"/>
        <w:spacing w:after="0" w:line="240" w:lineRule="auto"/>
        <w:ind w:firstLine="720"/>
        <w:rPr>
          <w:shd w:val="clear" w:color="auto" w:fill="FFFFFF"/>
        </w:rPr>
      </w:pPr>
      <w:r>
        <w:rPr>
          <w:shd w:val="clear" w:color="auto" w:fill="FFFFFF"/>
        </w:rPr>
        <w:t>Attiecībā uz turpmāku identificētās problēmas risinājuma virzību, EM ir uzsākusi sarunas ar nozares ekspertiem, kas jau ir praktizējušies blokķēdes tehnoloģijā balstītu risinājumu izstrādē</w:t>
      </w:r>
      <w:r w:rsidR="0018437D">
        <w:rPr>
          <w:shd w:val="clear" w:color="auto" w:fill="FFFFFF"/>
        </w:rPr>
        <w:t xml:space="preserve"> grāmatvedības uzskaites sistēmām</w:t>
      </w:r>
      <w:r w:rsidR="00F83BE6">
        <w:rPr>
          <w:shd w:val="clear" w:color="auto" w:fill="FFFFFF"/>
        </w:rPr>
        <w:t>, audita un maksājumu nolūkiem</w:t>
      </w:r>
      <w:r w:rsidR="00DD64E7">
        <w:rPr>
          <w:shd w:val="clear" w:color="auto" w:fill="FFFFFF"/>
        </w:rPr>
        <w:t xml:space="preserve"> un kopumā</w:t>
      </w:r>
      <w:r w:rsidR="00DD64E7" w:rsidRPr="00AA258D">
        <w:rPr>
          <w:shd w:val="clear" w:color="auto" w:fill="FFFFFF"/>
        </w:rPr>
        <w:t xml:space="preserve"> atbalsta jaunu tehnoloģiju ieviešanu attiecībā uz kases aparātiem</w:t>
      </w:r>
      <w:r w:rsidR="00DD64E7">
        <w:rPr>
          <w:shd w:val="clear" w:color="auto" w:fill="FFFFFF"/>
        </w:rPr>
        <w:t xml:space="preserve">. </w:t>
      </w:r>
      <w:r w:rsidR="00F83BE6">
        <w:rPr>
          <w:shd w:val="clear" w:color="auto" w:fill="FFFFFF"/>
        </w:rPr>
        <w:t>EM t</w:t>
      </w:r>
      <w:r w:rsidR="00DD64E7">
        <w:rPr>
          <w:shd w:val="clear" w:color="auto" w:fill="FFFFFF"/>
        </w:rPr>
        <w:t>ālākos</w:t>
      </w:r>
      <w:r w:rsidR="00F83BE6">
        <w:rPr>
          <w:shd w:val="clear" w:color="auto" w:fill="FFFFFF"/>
        </w:rPr>
        <w:t xml:space="preserve"> plānos ir</w:t>
      </w:r>
      <w:r w:rsidR="006E580B">
        <w:rPr>
          <w:shd w:val="clear" w:color="auto" w:fill="FFFFFF"/>
        </w:rPr>
        <w:t xml:space="preserve"> turpināt iesāktās sarunas, paralēli</w:t>
      </w:r>
      <w:r w:rsidR="00F83BE6">
        <w:rPr>
          <w:shd w:val="clear" w:color="auto" w:fill="FFFFFF"/>
        </w:rPr>
        <w:t xml:space="preserve"> </w:t>
      </w:r>
      <w:r w:rsidR="0018437D">
        <w:rPr>
          <w:shd w:val="clear" w:color="auto" w:fill="FFFFFF"/>
        </w:rPr>
        <w:t>veido</w:t>
      </w:r>
      <w:r w:rsidR="006E580B">
        <w:rPr>
          <w:shd w:val="clear" w:color="auto" w:fill="FFFFFF"/>
        </w:rPr>
        <w:t xml:space="preserve">jot </w:t>
      </w:r>
      <w:r w:rsidR="0018437D">
        <w:rPr>
          <w:shd w:val="clear" w:color="auto" w:fill="FFFFFF"/>
        </w:rPr>
        <w:t>sadarbības</w:t>
      </w:r>
      <w:r w:rsidR="006E580B">
        <w:rPr>
          <w:shd w:val="clear" w:color="auto" w:fill="FFFFFF"/>
        </w:rPr>
        <w:t xml:space="preserve"> </w:t>
      </w:r>
      <w:r w:rsidR="0018437D">
        <w:rPr>
          <w:shd w:val="clear" w:color="auto" w:fill="FFFFFF"/>
        </w:rPr>
        <w:t>platformu</w:t>
      </w:r>
      <w:r w:rsidR="006E580B">
        <w:rPr>
          <w:shd w:val="clear" w:color="auto" w:fill="FFFFFF"/>
        </w:rPr>
        <w:t xml:space="preserve"> </w:t>
      </w:r>
      <w:proofErr w:type="spellStart"/>
      <w:r w:rsidR="00F83BE6">
        <w:rPr>
          <w:shd w:val="clear" w:color="auto" w:fill="FFFFFF"/>
        </w:rPr>
        <w:t>hakatona</w:t>
      </w:r>
      <w:proofErr w:type="spellEnd"/>
      <w:r w:rsidR="00F83BE6">
        <w:rPr>
          <w:shd w:val="clear" w:color="auto" w:fill="FFFFFF"/>
        </w:rPr>
        <w:t xml:space="preserve"> (</w:t>
      </w:r>
      <w:proofErr w:type="spellStart"/>
      <w:r w:rsidR="00F83BE6">
        <w:rPr>
          <w:shd w:val="clear" w:color="auto" w:fill="FFFFFF"/>
        </w:rPr>
        <w:t>ang</w:t>
      </w:r>
      <w:proofErr w:type="spellEnd"/>
      <w:r w:rsidR="00F83BE6">
        <w:rPr>
          <w:shd w:val="clear" w:color="auto" w:fill="FFFFFF"/>
        </w:rPr>
        <w:t xml:space="preserve">. </w:t>
      </w:r>
      <w:proofErr w:type="spellStart"/>
      <w:r w:rsidR="00F83BE6" w:rsidRPr="00F83BE6">
        <w:rPr>
          <w:i/>
          <w:shd w:val="clear" w:color="auto" w:fill="FFFFFF"/>
        </w:rPr>
        <w:t>hackathon</w:t>
      </w:r>
      <w:proofErr w:type="spellEnd"/>
      <w:r w:rsidR="00F83BE6">
        <w:rPr>
          <w:shd w:val="clear" w:color="auto" w:fill="FFFFFF"/>
        </w:rPr>
        <w:t xml:space="preserve">) </w:t>
      </w:r>
      <w:r w:rsidR="006E580B">
        <w:rPr>
          <w:shd w:val="clear" w:color="auto" w:fill="FFFFFF"/>
        </w:rPr>
        <w:t xml:space="preserve">formātā </w:t>
      </w:r>
      <w:r w:rsidR="00F83BE6">
        <w:rPr>
          <w:shd w:val="clear" w:color="auto" w:fill="FFFFFF"/>
        </w:rPr>
        <w:t>starp valsts sektora pārstāvjiem (VID un FM) un nozares ekspertiem</w:t>
      </w:r>
      <w:r w:rsidR="0018437D">
        <w:rPr>
          <w:shd w:val="clear" w:color="auto" w:fill="FFFFFF"/>
        </w:rPr>
        <w:t>,</w:t>
      </w:r>
      <w:r w:rsidR="00F83BE6">
        <w:rPr>
          <w:shd w:val="clear" w:color="auto" w:fill="FFFFFF"/>
        </w:rPr>
        <w:t xml:space="preserve"> lai adresētu sociālo partneru radušās bažas un, potenciāli</w:t>
      </w:r>
      <w:r w:rsidR="00FF7120">
        <w:rPr>
          <w:shd w:val="clear" w:color="auto" w:fill="FFFFFF"/>
        </w:rPr>
        <w:t xml:space="preserve"> nonāktu līdz uz blokķēdes tehnoloģijas balstīta pilotprojekta izstrādei iepriekšminētajai problēmai</w:t>
      </w:r>
      <w:r w:rsidR="00C92FD2">
        <w:rPr>
          <w:shd w:val="clear" w:color="auto" w:fill="FFFFFF"/>
        </w:rPr>
        <w:t>.</w:t>
      </w:r>
      <w:r w:rsidR="00907F5E">
        <w:rPr>
          <w:shd w:val="clear" w:color="auto" w:fill="FFFFFF"/>
        </w:rPr>
        <w:t xml:space="preserve"> Šī sadarbības platforma nodrošinātu 21. gadsimtam atbilstošu un laikmetīgu pieeju aktīvai problēmas </w:t>
      </w:r>
      <w:r w:rsidR="00907F5E">
        <w:rPr>
          <w:shd w:val="clear" w:color="auto" w:fill="FFFFFF"/>
        </w:rPr>
        <w:lastRenderedPageBreak/>
        <w:t>risināšanai, lai veicinātu ātrāku un efektīvāku kases aparātu reformas un</w:t>
      </w:r>
      <w:r w:rsidR="00C92FD2" w:rsidRPr="00DD64E7">
        <w:rPr>
          <w:shd w:val="clear" w:color="auto" w:fill="FFFFFF"/>
        </w:rPr>
        <w:t xml:space="preserve"> jaunajās elektroniskajās ierīcēs un iekārtās reģistrēto ticamo datu nosūtīšan</w:t>
      </w:r>
      <w:r w:rsidR="00907F5E">
        <w:rPr>
          <w:shd w:val="clear" w:color="auto" w:fill="FFFFFF"/>
        </w:rPr>
        <w:t>as darbību</w:t>
      </w:r>
      <w:r w:rsidR="00C92FD2" w:rsidRPr="00DD64E7">
        <w:rPr>
          <w:shd w:val="clear" w:color="auto" w:fill="FFFFFF"/>
        </w:rPr>
        <w:t xml:space="preserve"> VID tiešsaistes vai citā režīmā</w:t>
      </w:r>
      <w:r w:rsidR="00907F5E">
        <w:rPr>
          <w:shd w:val="clear" w:color="auto" w:fill="FFFFFF"/>
        </w:rPr>
        <w:t>, kas, potenciāli, pildītu reformas papildinošu funkciju.</w:t>
      </w:r>
    </w:p>
    <w:p w14:paraId="0413C25F" w14:textId="77777777" w:rsidR="00E97A50" w:rsidRDefault="00E97A50" w:rsidP="00D854C8">
      <w:pPr>
        <w:pStyle w:val="BodyTextFirstIndent"/>
        <w:spacing w:after="0" w:line="259" w:lineRule="auto"/>
        <w:ind w:left="1260" w:firstLine="0"/>
        <w:rPr>
          <w:i/>
        </w:rPr>
      </w:pPr>
    </w:p>
    <w:p w14:paraId="051463C6" w14:textId="77777777" w:rsidR="00101EAF" w:rsidRDefault="001856A5" w:rsidP="00D60DC0">
      <w:pPr>
        <w:pStyle w:val="BodyTextFirstIndent"/>
        <w:numPr>
          <w:ilvl w:val="1"/>
          <w:numId w:val="14"/>
        </w:numPr>
        <w:spacing w:after="0" w:line="259" w:lineRule="auto"/>
        <w:rPr>
          <w:i/>
        </w:rPr>
      </w:pPr>
      <w:r>
        <w:rPr>
          <w:i/>
        </w:rPr>
        <w:t xml:space="preserve">Blokķēdes tehnoloģijas </w:t>
      </w:r>
      <w:r w:rsidR="00E463A2">
        <w:rPr>
          <w:i/>
        </w:rPr>
        <w:t>ekosistēma Latvijas mērogā</w:t>
      </w:r>
    </w:p>
    <w:p w14:paraId="7A444B50" w14:textId="70B824A3" w:rsidR="00F041F2" w:rsidRPr="00A76223" w:rsidRDefault="000128FA" w:rsidP="00583530">
      <w:pPr>
        <w:spacing w:after="0"/>
        <w:ind w:firstLine="720"/>
        <w:jc w:val="both"/>
        <w:rPr>
          <w:rFonts w:ascii="Times New Roman" w:hAnsi="Times New Roman" w:cs="Times New Roman"/>
          <w:sz w:val="24"/>
          <w:szCs w:val="24"/>
          <w:shd w:val="clear" w:color="auto" w:fill="FFFFFF"/>
          <w:lang w:val="lv-LV"/>
        </w:rPr>
      </w:pPr>
      <w:bookmarkStart w:id="7" w:name="_Hlk531250582"/>
      <w:r w:rsidRPr="00A76223">
        <w:rPr>
          <w:rFonts w:ascii="Times New Roman" w:hAnsi="Times New Roman" w:cs="Times New Roman"/>
          <w:sz w:val="24"/>
          <w:szCs w:val="24"/>
          <w:shd w:val="clear" w:color="auto" w:fill="FFFFFF"/>
          <w:lang w:val="lv-LV"/>
        </w:rPr>
        <w:t>Saskaņā</w:t>
      </w:r>
      <w:r w:rsidR="00A27FB5" w:rsidRPr="00A76223">
        <w:rPr>
          <w:rFonts w:ascii="Times New Roman" w:hAnsi="Times New Roman" w:cs="Times New Roman"/>
          <w:sz w:val="24"/>
          <w:szCs w:val="24"/>
          <w:shd w:val="clear" w:color="auto" w:fill="FFFFFF"/>
          <w:lang w:val="lv-LV"/>
        </w:rPr>
        <w:t xml:space="preserve"> ar</w:t>
      </w:r>
      <w:r w:rsidR="00F041F2" w:rsidRPr="00A76223">
        <w:rPr>
          <w:rFonts w:ascii="Times New Roman" w:hAnsi="Times New Roman" w:cs="Times New Roman"/>
          <w:sz w:val="24"/>
          <w:szCs w:val="24"/>
          <w:shd w:val="clear" w:color="auto" w:fill="FFFFFF"/>
          <w:lang w:val="lv-LV"/>
        </w:rPr>
        <w:t xml:space="preserve"> </w:t>
      </w:r>
      <w:r w:rsidR="00A27FB5" w:rsidRPr="00A76223">
        <w:rPr>
          <w:rFonts w:ascii="Times New Roman" w:hAnsi="Times New Roman" w:cs="Times New Roman"/>
          <w:sz w:val="24"/>
          <w:szCs w:val="24"/>
          <w:shd w:val="clear" w:color="auto" w:fill="FFFFFF"/>
          <w:lang w:val="lv-LV"/>
        </w:rPr>
        <w:t>EM</w:t>
      </w:r>
      <w:r w:rsidR="00F041F2" w:rsidRPr="00A76223">
        <w:rPr>
          <w:rFonts w:ascii="Times New Roman" w:hAnsi="Times New Roman" w:cs="Times New Roman"/>
          <w:sz w:val="24"/>
          <w:szCs w:val="24"/>
          <w:shd w:val="clear" w:color="auto" w:fill="FFFFFF"/>
          <w:lang w:val="lv-LV"/>
        </w:rPr>
        <w:t xml:space="preserve">, šobrīd </w:t>
      </w:r>
      <w:r w:rsidR="006F0407" w:rsidRPr="00A76223">
        <w:rPr>
          <w:rFonts w:ascii="Times New Roman" w:hAnsi="Times New Roman" w:cs="Times New Roman"/>
          <w:sz w:val="24"/>
          <w:szCs w:val="24"/>
          <w:shd w:val="clear" w:color="auto" w:fill="FFFFFF"/>
          <w:lang w:val="lv-LV"/>
        </w:rPr>
        <w:t xml:space="preserve">blokķēdes jomā </w:t>
      </w:r>
      <w:r w:rsidR="00F041F2" w:rsidRPr="00A76223">
        <w:rPr>
          <w:rFonts w:ascii="Times New Roman" w:hAnsi="Times New Roman" w:cs="Times New Roman"/>
          <w:sz w:val="24"/>
          <w:szCs w:val="24"/>
          <w:shd w:val="clear" w:color="auto" w:fill="FFFFFF"/>
          <w:lang w:val="lv-LV"/>
        </w:rPr>
        <w:t xml:space="preserve">Latvijā darbojas aptuveni </w:t>
      </w:r>
      <w:r w:rsidR="006F0407" w:rsidRPr="00A76223">
        <w:rPr>
          <w:rFonts w:ascii="Times New Roman" w:hAnsi="Times New Roman" w:cs="Times New Roman"/>
          <w:sz w:val="24"/>
          <w:szCs w:val="24"/>
          <w:shd w:val="clear" w:color="auto" w:fill="FFFFFF"/>
          <w:lang w:val="lv-LV"/>
        </w:rPr>
        <w:t>25</w:t>
      </w:r>
      <w:r w:rsidR="00F041F2" w:rsidRPr="00A76223">
        <w:rPr>
          <w:rFonts w:ascii="Times New Roman" w:hAnsi="Times New Roman" w:cs="Times New Roman"/>
          <w:sz w:val="24"/>
          <w:szCs w:val="24"/>
          <w:shd w:val="clear" w:color="auto" w:fill="FFFFFF"/>
          <w:lang w:val="lv-LV"/>
        </w:rPr>
        <w:t xml:space="preserve"> jaunuzņēmumu. Lai pārstāvētu ieinteresētās puses un informētu sabiedrību par tendencēm blokķēdes informācijas tehnoloģijas jomā, kā arī nodrošinātu sadarbību pie</w:t>
      </w:r>
      <w:r w:rsidR="00627CFE" w:rsidRPr="00A76223">
        <w:rPr>
          <w:rFonts w:ascii="Times New Roman" w:hAnsi="Times New Roman" w:cs="Times New Roman"/>
          <w:sz w:val="24"/>
          <w:szCs w:val="24"/>
          <w:shd w:val="clear" w:color="auto" w:fill="FFFFFF"/>
          <w:lang w:val="lv-LV"/>
        </w:rPr>
        <w:t xml:space="preserve"> blokķēdes</w:t>
      </w:r>
      <w:r w:rsidR="00F041F2" w:rsidRPr="00A76223">
        <w:rPr>
          <w:rFonts w:ascii="Times New Roman" w:hAnsi="Times New Roman" w:cs="Times New Roman"/>
          <w:sz w:val="24"/>
          <w:szCs w:val="24"/>
          <w:shd w:val="clear" w:color="auto" w:fill="FFFFFF"/>
          <w:lang w:val="lv-LV"/>
        </w:rPr>
        <w:t xml:space="preserve"> tehnoloģij</w:t>
      </w:r>
      <w:r w:rsidR="00627CFE" w:rsidRPr="00A76223">
        <w:rPr>
          <w:rFonts w:ascii="Times New Roman" w:hAnsi="Times New Roman" w:cs="Times New Roman"/>
          <w:sz w:val="24"/>
          <w:szCs w:val="24"/>
          <w:shd w:val="clear" w:color="auto" w:fill="FFFFFF"/>
          <w:lang w:val="lv-LV"/>
        </w:rPr>
        <w:t>as</w:t>
      </w:r>
      <w:r w:rsidR="00F041F2" w:rsidRPr="00A76223">
        <w:rPr>
          <w:rFonts w:ascii="Times New Roman" w:hAnsi="Times New Roman" w:cs="Times New Roman"/>
          <w:sz w:val="24"/>
          <w:szCs w:val="24"/>
          <w:shd w:val="clear" w:color="auto" w:fill="FFFFFF"/>
          <w:lang w:val="lv-LV"/>
        </w:rPr>
        <w:t xml:space="preserve"> sniegto attīstības iespēju izpētes un ieviešanas, 2017. gada martā tika reģistrēta “Latvijas Blockchain asociācija”. Asociācija apvieno</w:t>
      </w:r>
      <w:r w:rsidR="00EF57A5" w:rsidRPr="00A76223">
        <w:rPr>
          <w:rFonts w:ascii="Times New Roman" w:hAnsi="Times New Roman" w:cs="Times New Roman"/>
          <w:sz w:val="24"/>
          <w:szCs w:val="24"/>
          <w:shd w:val="clear" w:color="auto" w:fill="FFFFFF"/>
          <w:lang w:val="lv-LV"/>
        </w:rPr>
        <w:t xml:space="preserve"> </w:t>
      </w:r>
      <w:r w:rsidR="00A76223">
        <w:rPr>
          <w:rFonts w:ascii="Times New Roman" w:hAnsi="Times New Roman" w:cs="Times New Roman"/>
          <w:sz w:val="24"/>
          <w:szCs w:val="24"/>
          <w:shd w:val="clear" w:color="auto" w:fill="FFFFFF"/>
          <w:lang w:val="lv-LV"/>
        </w:rPr>
        <w:t>piecus</w:t>
      </w:r>
      <w:r w:rsidR="00A76223" w:rsidRPr="00A76223">
        <w:rPr>
          <w:rFonts w:ascii="Times New Roman" w:hAnsi="Times New Roman" w:cs="Times New Roman"/>
          <w:sz w:val="24"/>
          <w:szCs w:val="24"/>
          <w:shd w:val="clear" w:color="auto" w:fill="FFFFFF"/>
          <w:lang w:val="lv-LV"/>
        </w:rPr>
        <w:t xml:space="preserve"> </w:t>
      </w:r>
      <w:r w:rsidR="00F041F2" w:rsidRPr="00A76223">
        <w:rPr>
          <w:rFonts w:ascii="Times New Roman" w:hAnsi="Times New Roman" w:cs="Times New Roman"/>
          <w:sz w:val="24"/>
          <w:szCs w:val="24"/>
          <w:shd w:val="clear" w:color="auto" w:fill="FFFFFF"/>
          <w:lang w:val="lv-LV"/>
        </w:rPr>
        <w:t xml:space="preserve">ar </w:t>
      </w:r>
      <w:proofErr w:type="spellStart"/>
      <w:r w:rsidR="00F041F2" w:rsidRPr="00A76223">
        <w:rPr>
          <w:rFonts w:ascii="Times New Roman" w:hAnsi="Times New Roman" w:cs="Times New Roman"/>
          <w:sz w:val="24"/>
          <w:szCs w:val="24"/>
          <w:shd w:val="clear" w:color="auto" w:fill="FFFFFF"/>
          <w:lang w:val="lv-LV"/>
        </w:rPr>
        <w:t>blokķēdes</w:t>
      </w:r>
      <w:proofErr w:type="spellEnd"/>
      <w:r w:rsidR="00F041F2" w:rsidRPr="00A76223">
        <w:rPr>
          <w:rFonts w:ascii="Times New Roman" w:hAnsi="Times New Roman" w:cs="Times New Roman"/>
          <w:sz w:val="24"/>
          <w:szCs w:val="24"/>
          <w:shd w:val="clear" w:color="auto" w:fill="FFFFFF"/>
          <w:lang w:val="lv-LV"/>
        </w:rPr>
        <w:t xml:space="preserve"> tehnoloģiju saistītus uzņēmumus un </w:t>
      </w:r>
      <w:proofErr w:type="spellStart"/>
      <w:r w:rsidR="00F041F2" w:rsidRPr="00A76223">
        <w:rPr>
          <w:rFonts w:ascii="Times New Roman" w:hAnsi="Times New Roman" w:cs="Times New Roman"/>
          <w:sz w:val="24"/>
          <w:szCs w:val="24"/>
          <w:shd w:val="clear" w:color="auto" w:fill="FFFFFF"/>
          <w:lang w:val="lv-LV"/>
        </w:rPr>
        <w:t>kriptovalūtas</w:t>
      </w:r>
      <w:proofErr w:type="spellEnd"/>
      <w:r w:rsidR="00F041F2" w:rsidRPr="00A76223">
        <w:rPr>
          <w:rFonts w:ascii="Times New Roman" w:hAnsi="Times New Roman" w:cs="Times New Roman"/>
          <w:sz w:val="24"/>
          <w:szCs w:val="24"/>
          <w:shd w:val="clear" w:color="auto" w:fill="FFFFFF"/>
          <w:lang w:val="lv-LV"/>
        </w:rPr>
        <w:t xml:space="preserve"> entuziastus.</w:t>
      </w:r>
    </w:p>
    <w:p w14:paraId="290A3898" w14:textId="4A966424" w:rsidR="000128FA" w:rsidRDefault="00F041F2" w:rsidP="000128FA">
      <w:pPr>
        <w:pStyle w:val="BodyTextFirstIndent"/>
        <w:spacing w:after="0" w:line="240" w:lineRule="auto"/>
        <w:ind w:firstLine="720"/>
        <w:rPr>
          <w:shd w:val="clear" w:color="auto" w:fill="FFFFFF"/>
        </w:rPr>
      </w:pPr>
      <w:r>
        <w:rPr>
          <w:shd w:val="clear" w:color="auto" w:fill="FFFFFF"/>
        </w:rPr>
        <w:t>Latvijā dibināti</w:t>
      </w:r>
      <w:r w:rsidR="007B39F5">
        <w:rPr>
          <w:shd w:val="clear" w:color="auto" w:fill="FFFFFF"/>
        </w:rPr>
        <w:t>e</w:t>
      </w:r>
      <w:r>
        <w:rPr>
          <w:shd w:val="clear" w:color="auto" w:fill="FFFFFF"/>
        </w:rPr>
        <w:t xml:space="preserve"> </w:t>
      </w:r>
      <w:proofErr w:type="spellStart"/>
      <w:r w:rsidRPr="00F041F2">
        <w:rPr>
          <w:shd w:val="clear" w:color="auto" w:fill="FFFFFF"/>
        </w:rPr>
        <w:t>jaunuzņēmumi</w:t>
      </w:r>
      <w:proofErr w:type="spellEnd"/>
      <w:r w:rsidRPr="00F041F2">
        <w:rPr>
          <w:shd w:val="clear" w:color="auto" w:fill="FFFFFF"/>
        </w:rPr>
        <w:t xml:space="preserve">, </w:t>
      </w:r>
      <w:r>
        <w:rPr>
          <w:shd w:val="clear" w:color="auto" w:fill="FFFFFF"/>
        </w:rPr>
        <w:t xml:space="preserve">kas </w:t>
      </w:r>
      <w:r w:rsidR="007B39F5">
        <w:rPr>
          <w:shd w:val="clear" w:color="auto" w:fill="FFFFFF"/>
        </w:rPr>
        <w:t xml:space="preserve">izstrādā </w:t>
      </w:r>
      <w:proofErr w:type="spellStart"/>
      <w:r w:rsidR="007B39F5">
        <w:rPr>
          <w:shd w:val="clear" w:color="auto" w:fill="FFFFFF"/>
        </w:rPr>
        <w:t>blokķēdes</w:t>
      </w:r>
      <w:proofErr w:type="spellEnd"/>
      <w:r w:rsidR="007B39F5">
        <w:rPr>
          <w:shd w:val="clear" w:color="auto" w:fill="FFFFFF"/>
        </w:rPr>
        <w:t xml:space="preserve"> tehnoloģijā balstītus risinājumus </w:t>
      </w:r>
      <w:r>
        <w:rPr>
          <w:shd w:val="clear" w:color="auto" w:fill="FFFFFF"/>
        </w:rPr>
        <w:t>jau</w:t>
      </w:r>
      <w:r w:rsidR="000128FA">
        <w:rPr>
          <w:shd w:val="clear" w:color="auto" w:fill="FFFFFF"/>
        </w:rPr>
        <w:t xml:space="preserve"> </w:t>
      </w:r>
      <w:r w:rsidR="007B39F5">
        <w:rPr>
          <w:shd w:val="clear" w:color="auto" w:fill="FFFFFF"/>
        </w:rPr>
        <w:t xml:space="preserve">ir </w:t>
      </w:r>
      <w:r w:rsidR="000128FA">
        <w:rPr>
          <w:shd w:val="clear" w:color="auto" w:fill="FFFFFF"/>
        </w:rPr>
        <w:t>guvuši panākumus globālā tirgū</w:t>
      </w:r>
      <w:r w:rsidR="00FC51DF">
        <w:rPr>
          <w:shd w:val="clear" w:color="auto" w:fill="FFFFFF"/>
        </w:rPr>
        <w:t xml:space="preserve">, darbojoties datorspēļu, autentifikācijas un </w:t>
      </w:r>
      <w:proofErr w:type="spellStart"/>
      <w:r w:rsidR="00FC51DF">
        <w:rPr>
          <w:shd w:val="clear" w:color="auto" w:fill="FFFFFF"/>
        </w:rPr>
        <w:t>kripto</w:t>
      </w:r>
      <w:proofErr w:type="spellEnd"/>
      <w:r w:rsidR="00FC51DF">
        <w:rPr>
          <w:shd w:val="clear" w:color="auto" w:fill="FFFFFF"/>
        </w:rPr>
        <w:t xml:space="preserve"> aktīvu jomās. </w:t>
      </w:r>
      <w:r w:rsidR="000128FA">
        <w:rPr>
          <w:shd w:val="clear" w:color="auto" w:fill="FFFFFF"/>
        </w:rPr>
        <w:t xml:space="preserve">Piemēram, </w:t>
      </w:r>
      <w:r w:rsidRPr="00F041F2">
        <w:rPr>
          <w:shd w:val="clear" w:color="auto" w:fill="FFFFFF"/>
        </w:rPr>
        <w:t xml:space="preserve">Latvijā dibinātais </w:t>
      </w:r>
      <w:r w:rsidR="000128FA">
        <w:rPr>
          <w:shd w:val="clear" w:color="auto" w:fill="FFFFFF"/>
        </w:rPr>
        <w:t>uzņēmums</w:t>
      </w:r>
      <w:r w:rsidRPr="00F041F2">
        <w:rPr>
          <w:shd w:val="clear" w:color="auto" w:fill="FFFFFF"/>
        </w:rPr>
        <w:t xml:space="preserve"> "</w:t>
      </w:r>
      <w:proofErr w:type="spellStart"/>
      <w:r w:rsidRPr="00F041F2">
        <w:rPr>
          <w:shd w:val="clear" w:color="auto" w:fill="FFFFFF"/>
        </w:rPr>
        <w:t>BitFury</w:t>
      </w:r>
      <w:proofErr w:type="spellEnd"/>
      <w:r w:rsidRPr="00F041F2">
        <w:rPr>
          <w:shd w:val="clear" w:color="auto" w:fill="FFFFFF"/>
        </w:rPr>
        <w:t xml:space="preserve">", kas specializējas </w:t>
      </w:r>
      <w:proofErr w:type="spellStart"/>
      <w:r w:rsidRPr="00F041F2">
        <w:rPr>
          <w:shd w:val="clear" w:color="auto" w:fill="FFFFFF"/>
        </w:rPr>
        <w:t>blokķēdes</w:t>
      </w:r>
      <w:proofErr w:type="spellEnd"/>
      <w:r w:rsidRPr="00F041F2">
        <w:rPr>
          <w:shd w:val="clear" w:color="auto" w:fill="FFFFFF"/>
        </w:rPr>
        <w:t xml:space="preserve"> infrastruktūr</w:t>
      </w:r>
      <w:r w:rsidR="000128FA">
        <w:rPr>
          <w:shd w:val="clear" w:color="auto" w:fill="FFFFFF"/>
        </w:rPr>
        <w:t>as un transakciju nodrošināšanā,</w:t>
      </w:r>
      <w:r w:rsidRPr="00F041F2">
        <w:rPr>
          <w:shd w:val="clear" w:color="auto" w:fill="FFFFFF"/>
        </w:rPr>
        <w:t xml:space="preserve"> ir kļuvis par vienu no vadošajiem nozares uzņēmumiem. </w:t>
      </w:r>
      <w:proofErr w:type="spellStart"/>
      <w:r w:rsidR="000128FA">
        <w:rPr>
          <w:shd w:val="clear" w:color="auto" w:fill="FFFFFF"/>
        </w:rPr>
        <w:t>J</w:t>
      </w:r>
      <w:r w:rsidRPr="00F041F2">
        <w:rPr>
          <w:shd w:val="clear" w:color="auto" w:fill="FFFFFF"/>
        </w:rPr>
        <w:t>aunuzņēmums</w:t>
      </w:r>
      <w:proofErr w:type="spellEnd"/>
      <w:r w:rsidRPr="00F041F2">
        <w:rPr>
          <w:shd w:val="clear" w:color="auto" w:fill="FFFFFF"/>
        </w:rPr>
        <w:t xml:space="preserve"> </w:t>
      </w:r>
      <w:r w:rsidR="000128FA">
        <w:rPr>
          <w:shd w:val="clear" w:color="auto" w:fill="FFFFFF"/>
        </w:rPr>
        <w:t>“</w:t>
      </w:r>
      <w:proofErr w:type="spellStart"/>
      <w:r w:rsidRPr="00F041F2">
        <w:rPr>
          <w:shd w:val="clear" w:color="auto" w:fill="FFFFFF"/>
        </w:rPr>
        <w:t>Digipulse</w:t>
      </w:r>
      <w:proofErr w:type="spellEnd"/>
      <w:r w:rsidR="000128FA">
        <w:rPr>
          <w:shd w:val="clear" w:color="auto" w:fill="FFFFFF"/>
        </w:rPr>
        <w:t>”</w:t>
      </w:r>
      <w:r w:rsidRPr="00F041F2">
        <w:rPr>
          <w:shd w:val="clear" w:color="auto" w:fill="FFFFFF"/>
        </w:rPr>
        <w:t xml:space="preserve"> ir </w:t>
      </w:r>
      <w:r w:rsidR="000128FA">
        <w:rPr>
          <w:shd w:val="clear" w:color="auto" w:fill="FFFFFF"/>
        </w:rPr>
        <w:t>piesaistījis</w:t>
      </w:r>
      <w:r w:rsidRPr="00F041F2">
        <w:rPr>
          <w:shd w:val="clear" w:color="auto" w:fill="FFFFFF"/>
        </w:rPr>
        <w:t xml:space="preserve"> investīcijas aptuveni miljona </w:t>
      </w:r>
      <w:proofErr w:type="spellStart"/>
      <w:r w:rsidRPr="00F041F2">
        <w:rPr>
          <w:shd w:val="clear" w:color="auto" w:fill="FFFFFF"/>
        </w:rPr>
        <w:t>euro</w:t>
      </w:r>
      <w:proofErr w:type="spellEnd"/>
      <w:r w:rsidRPr="00F041F2">
        <w:rPr>
          <w:shd w:val="clear" w:color="auto" w:fill="FFFFFF"/>
        </w:rPr>
        <w:t xml:space="preserve"> vērtībā ICO (</w:t>
      </w:r>
      <w:proofErr w:type="spellStart"/>
      <w:r w:rsidR="000128FA">
        <w:rPr>
          <w:shd w:val="clear" w:color="auto" w:fill="FFFFFF"/>
        </w:rPr>
        <w:t>ang</w:t>
      </w:r>
      <w:proofErr w:type="spellEnd"/>
      <w:r w:rsidR="000128FA">
        <w:rPr>
          <w:shd w:val="clear" w:color="auto" w:fill="FFFFFF"/>
        </w:rPr>
        <w:t xml:space="preserve">. </w:t>
      </w:r>
      <w:proofErr w:type="spellStart"/>
      <w:r w:rsidRPr="00FC51DF">
        <w:rPr>
          <w:i/>
          <w:shd w:val="clear" w:color="auto" w:fill="FFFFFF"/>
        </w:rPr>
        <w:t>Initial</w:t>
      </w:r>
      <w:proofErr w:type="spellEnd"/>
      <w:r w:rsidRPr="00FC51DF">
        <w:rPr>
          <w:i/>
          <w:shd w:val="clear" w:color="auto" w:fill="FFFFFF"/>
        </w:rPr>
        <w:t xml:space="preserve"> </w:t>
      </w:r>
      <w:proofErr w:type="spellStart"/>
      <w:r w:rsidRPr="00FC51DF">
        <w:rPr>
          <w:i/>
          <w:shd w:val="clear" w:color="auto" w:fill="FFFFFF"/>
        </w:rPr>
        <w:t>Coin</w:t>
      </w:r>
      <w:proofErr w:type="spellEnd"/>
      <w:r w:rsidRPr="00FC51DF">
        <w:rPr>
          <w:i/>
          <w:shd w:val="clear" w:color="auto" w:fill="FFFFFF"/>
        </w:rPr>
        <w:t xml:space="preserve"> </w:t>
      </w:r>
      <w:proofErr w:type="spellStart"/>
      <w:r w:rsidRPr="00FC51DF">
        <w:rPr>
          <w:i/>
          <w:shd w:val="clear" w:color="auto" w:fill="FFFFFF"/>
        </w:rPr>
        <w:t>Offering</w:t>
      </w:r>
      <w:proofErr w:type="spellEnd"/>
      <w:r w:rsidR="000128FA">
        <w:rPr>
          <w:shd w:val="clear" w:color="auto" w:fill="FFFFFF"/>
        </w:rPr>
        <w:t>) procesā, s</w:t>
      </w:r>
      <w:r w:rsidRPr="00F041F2">
        <w:rPr>
          <w:shd w:val="clear" w:color="auto" w:fill="FFFFFF"/>
        </w:rPr>
        <w:t>avukārt uzņēmums "</w:t>
      </w:r>
      <w:proofErr w:type="spellStart"/>
      <w:r w:rsidRPr="00F041F2">
        <w:rPr>
          <w:shd w:val="clear" w:color="auto" w:fill="FFFFFF"/>
        </w:rPr>
        <w:t>Notakey</w:t>
      </w:r>
      <w:proofErr w:type="spellEnd"/>
      <w:r w:rsidRPr="00F041F2">
        <w:rPr>
          <w:shd w:val="clear" w:color="auto" w:fill="FFFFFF"/>
        </w:rPr>
        <w:t xml:space="preserve">" piedāvā identitātes un autentifikācijas risinājumus uzņēmumiem. </w:t>
      </w:r>
      <w:proofErr w:type="spellStart"/>
      <w:r w:rsidRPr="00F041F2">
        <w:rPr>
          <w:shd w:val="clear" w:color="auto" w:fill="FFFFFF"/>
        </w:rPr>
        <w:t>Jaunuzņēmums</w:t>
      </w:r>
      <w:proofErr w:type="spellEnd"/>
      <w:r w:rsidRPr="00F041F2">
        <w:rPr>
          <w:shd w:val="clear" w:color="auto" w:fill="FFFFFF"/>
        </w:rPr>
        <w:t xml:space="preserve"> “</w:t>
      </w:r>
      <w:proofErr w:type="spellStart"/>
      <w:r w:rsidRPr="00F041F2">
        <w:rPr>
          <w:shd w:val="clear" w:color="auto" w:fill="FFFFFF"/>
        </w:rPr>
        <w:t>Monetizr</w:t>
      </w:r>
      <w:proofErr w:type="spellEnd"/>
      <w:r w:rsidRPr="00F041F2">
        <w:rPr>
          <w:shd w:val="clear" w:color="auto" w:fill="FFFFFF"/>
        </w:rPr>
        <w:t xml:space="preserve">” ir izstrādājis īpašu IT risinājumu, blokķēdes protokolu un kriptovalūtas atalgojuma sistēmu </w:t>
      </w:r>
      <w:r w:rsidR="000128FA">
        <w:rPr>
          <w:shd w:val="clear" w:color="auto" w:fill="FFFFFF"/>
        </w:rPr>
        <w:t>spēļu izstrādātājiem</w:t>
      </w:r>
      <w:r w:rsidRPr="00F041F2">
        <w:rPr>
          <w:shd w:val="clear" w:color="auto" w:fill="FFFFFF"/>
        </w:rPr>
        <w:t>.</w:t>
      </w:r>
      <w:r w:rsidR="007B39F5" w:rsidRPr="00E02AAB">
        <w:rPr>
          <w:shd w:val="clear" w:color="auto" w:fill="FFFFFF"/>
        </w:rPr>
        <w:t xml:space="preserve"> </w:t>
      </w:r>
      <w:r w:rsidR="00B56DFB">
        <w:rPr>
          <w:shd w:val="clear" w:color="auto" w:fill="FFFFFF"/>
        </w:rPr>
        <w:t>“</w:t>
      </w:r>
      <w:proofErr w:type="spellStart"/>
      <w:r w:rsidR="00E02AAB" w:rsidRPr="00E02AAB">
        <w:rPr>
          <w:shd w:val="clear" w:color="auto" w:fill="FFFFFF"/>
        </w:rPr>
        <w:t>Globitex</w:t>
      </w:r>
      <w:proofErr w:type="spellEnd"/>
      <w:r w:rsidR="00B56DFB">
        <w:rPr>
          <w:shd w:val="clear" w:color="auto" w:fill="FFFFFF"/>
        </w:rPr>
        <w:t>”</w:t>
      </w:r>
      <w:r w:rsidR="00E02AAB" w:rsidRPr="00E02AAB">
        <w:rPr>
          <w:shd w:val="clear" w:color="auto" w:fill="FFFFFF"/>
        </w:rPr>
        <w:t xml:space="preserve"> ir radījis profesionālu </w:t>
      </w:r>
      <w:proofErr w:type="spellStart"/>
      <w:r w:rsidR="00E02AAB" w:rsidRPr="00E02AAB">
        <w:rPr>
          <w:shd w:val="clear" w:color="auto" w:fill="FFFFFF"/>
        </w:rPr>
        <w:t>Bitcoin</w:t>
      </w:r>
      <w:proofErr w:type="spellEnd"/>
      <w:r w:rsidR="00E02AAB" w:rsidRPr="00E02AAB">
        <w:rPr>
          <w:shd w:val="clear" w:color="auto" w:fill="FFFFFF"/>
        </w:rPr>
        <w:t xml:space="preserve"> tirgus vietu, lai aizpildītu nepieciešamību priekš valdības līmeņa apmaiņas platformas ar attīstītiem IT risinājumiem, saderīgiem gan priekš individuāliem, gan institucionāliem </w:t>
      </w:r>
      <w:proofErr w:type="spellStart"/>
      <w:r w:rsidR="00E02AAB" w:rsidRPr="00E02AAB">
        <w:rPr>
          <w:shd w:val="clear" w:color="auto" w:fill="FFFFFF"/>
        </w:rPr>
        <w:t>Bitcoin</w:t>
      </w:r>
      <w:proofErr w:type="spellEnd"/>
      <w:r w:rsidR="00E02AAB" w:rsidRPr="00E02AAB">
        <w:rPr>
          <w:shd w:val="clear" w:color="auto" w:fill="FFFFFF"/>
        </w:rPr>
        <w:t xml:space="preserve"> tirgus dalībniekiem.</w:t>
      </w:r>
      <w:r w:rsidR="00F96A2D">
        <w:rPr>
          <w:shd w:val="clear" w:color="auto" w:fill="FFFFFF"/>
        </w:rPr>
        <w:t xml:space="preserve"> </w:t>
      </w:r>
      <w:r w:rsidR="00B56DFB">
        <w:rPr>
          <w:shd w:val="clear" w:color="auto" w:fill="FFFFFF"/>
        </w:rPr>
        <w:t>“</w:t>
      </w:r>
      <w:proofErr w:type="spellStart"/>
      <w:r w:rsidR="00F96A2D" w:rsidRPr="00F96A2D">
        <w:rPr>
          <w:shd w:val="clear" w:color="auto" w:fill="FFFFFF"/>
        </w:rPr>
        <w:t>AndIT</w:t>
      </w:r>
      <w:proofErr w:type="spellEnd"/>
      <w:r w:rsidR="00F96A2D" w:rsidRPr="00F96A2D">
        <w:rPr>
          <w:shd w:val="clear" w:color="auto" w:fill="FFFFFF"/>
        </w:rPr>
        <w:t xml:space="preserve"> Solutions</w:t>
      </w:r>
      <w:r w:rsidR="00B56DFB">
        <w:rPr>
          <w:shd w:val="clear" w:color="auto" w:fill="FFFFFF"/>
        </w:rPr>
        <w:t>”</w:t>
      </w:r>
      <w:r w:rsidR="00F96A2D" w:rsidRPr="00F96A2D">
        <w:rPr>
          <w:shd w:val="clear" w:color="auto" w:fill="FFFFFF"/>
        </w:rPr>
        <w:t xml:space="preserve"> ir izstrādājis </w:t>
      </w:r>
      <w:proofErr w:type="spellStart"/>
      <w:r w:rsidR="00F96A2D" w:rsidRPr="00F96A2D">
        <w:rPr>
          <w:shd w:val="clear" w:color="auto" w:fill="FFFFFF"/>
        </w:rPr>
        <w:t>kriptovalūtu</w:t>
      </w:r>
      <w:proofErr w:type="spellEnd"/>
      <w:r w:rsidR="00F96A2D" w:rsidRPr="00F96A2D">
        <w:rPr>
          <w:shd w:val="clear" w:color="auto" w:fill="FFFFFF"/>
        </w:rPr>
        <w:t xml:space="preserve"> pieņemšanas un apmaiņas platformu, ko izmanto komersanti visā pasaulē, lai pieņemtu </w:t>
      </w:r>
      <w:proofErr w:type="spellStart"/>
      <w:r w:rsidR="00F96A2D" w:rsidRPr="00F96A2D">
        <w:rPr>
          <w:shd w:val="clear" w:color="auto" w:fill="FFFFFF"/>
        </w:rPr>
        <w:t>kriptovalūtas</w:t>
      </w:r>
      <w:proofErr w:type="spellEnd"/>
      <w:r w:rsidR="00F96A2D" w:rsidRPr="00F96A2D">
        <w:rPr>
          <w:shd w:val="clear" w:color="auto" w:fill="FFFFFF"/>
        </w:rPr>
        <w:t>, kā alternatīvu norēķinu veidu.</w:t>
      </w:r>
    </w:p>
    <w:p w14:paraId="068C8DAD" w14:textId="21C07AA3" w:rsidR="000D13BA" w:rsidRPr="00B56DFB" w:rsidRDefault="000D13BA" w:rsidP="000128FA">
      <w:pPr>
        <w:pStyle w:val="BodyTextFirstIndent"/>
        <w:spacing w:after="0" w:line="240" w:lineRule="auto"/>
        <w:ind w:firstLine="720"/>
        <w:rPr>
          <w:shd w:val="clear" w:color="auto" w:fill="FFFFFF"/>
        </w:rPr>
      </w:pPr>
      <w:r>
        <w:rPr>
          <w:shd w:val="clear" w:color="auto" w:fill="FFFFFF"/>
        </w:rPr>
        <w:t xml:space="preserve">Publiskajā sektorā, sākot ar 2014. gadu LB aktīvi informēja Latvijas iedzīvotājus par riskiem, kas saistīti ar </w:t>
      </w:r>
      <w:proofErr w:type="spellStart"/>
      <w:r>
        <w:rPr>
          <w:shd w:val="clear" w:color="auto" w:fill="FFFFFF"/>
        </w:rPr>
        <w:t>Bitcoin</w:t>
      </w:r>
      <w:proofErr w:type="spellEnd"/>
      <w:r>
        <w:rPr>
          <w:shd w:val="clear" w:color="auto" w:fill="FFFFFF"/>
        </w:rPr>
        <w:t xml:space="preserve"> pirkšanu un izmantošanu norēķinos, paralēli skaidrojot Latvijas iedzīvotājiem </w:t>
      </w:r>
      <w:proofErr w:type="spellStart"/>
      <w:r>
        <w:rPr>
          <w:shd w:val="clear" w:color="auto" w:fill="FFFFFF"/>
        </w:rPr>
        <w:t>blokķēdes</w:t>
      </w:r>
      <w:proofErr w:type="spellEnd"/>
      <w:r>
        <w:rPr>
          <w:shd w:val="clear" w:color="auto" w:fill="FFFFFF"/>
        </w:rPr>
        <w:t xml:space="preserve"> tehnoloģijas īpašības un potenciālu tikt izmantotai ārpus virtuālo valūtu jomas un uzlabot daudzus ekonomiskos procesus. Šobrīd LB piedalās Eiropas centrālo banku projektā, kura ietvaros testē dažādus</w:t>
      </w:r>
      <w:r w:rsidRPr="00977DFC">
        <w:rPr>
          <w:shd w:val="clear" w:color="auto" w:fill="FFFFFF"/>
        </w:rPr>
        <w:t xml:space="preserve"> </w:t>
      </w:r>
      <w:proofErr w:type="spellStart"/>
      <w:r w:rsidRPr="00977DFC">
        <w:rPr>
          <w:shd w:val="clear" w:color="auto" w:fill="FFFFFF"/>
        </w:rPr>
        <w:t>blokķēdes</w:t>
      </w:r>
      <w:proofErr w:type="spellEnd"/>
      <w:r w:rsidRPr="00977DFC">
        <w:rPr>
          <w:shd w:val="clear" w:color="auto" w:fill="FFFFFF"/>
        </w:rPr>
        <w:t xml:space="preserve"> tehnoloģijā izveidot</w:t>
      </w:r>
      <w:r>
        <w:rPr>
          <w:shd w:val="clear" w:color="auto" w:fill="FFFFFF"/>
        </w:rPr>
        <w:t>os</w:t>
      </w:r>
      <w:r w:rsidRPr="00977DFC">
        <w:rPr>
          <w:shd w:val="clear" w:color="auto" w:fill="FFFFFF"/>
        </w:rPr>
        <w:t xml:space="preserve"> maksājumu sistēmas prototipu</w:t>
      </w:r>
      <w:r>
        <w:rPr>
          <w:shd w:val="clear" w:color="auto" w:fill="FFFFFF"/>
        </w:rPr>
        <w:t>s.</w:t>
      </w:r>
    </w:p>
    <w:p w14:paraId="0829F4DE" w14:textId="711D1D81" w:rsidR="00A6649D" w:rsidRPr="00F041F2" w:rsidRDefault="00A6649D" w:rsidP="00A6649D">
      <w:pPr>
        <w:pStyle w:val="BodyTextFirstIndent"/>
        <w:spacing w:after="0" w:line="240" w:lineRule="auto"/>
        <w:ind w:firstLine="720"/>
        <w:rPr>
          <w:shd w:val="clear" w:color="auto" w:fill="FFFFFF"/>
        </w:rPr>
      </w:pPr>
      <w:r>
        <w:rPr>
          <w:shd w:val="clear" w:color="auto" w:fill="FFFFFF"/>
        </w:rPr>
        <w:t xml:space="preserve">Būtisku lomu </w:t>
      </w:r>
      <w:proofErr w:type="spellStart"/>
      <w:r>
        <w:rPr>
          <w:shd w:val="clear" w:color="auto" w:fill="FFFFFF"/>
        </w:rPr>
        <w:t>blokķēdes</w:t>
      </w:r>
      <w:proofErr w:type="spellEnd"/>
      <w:r>
        <w:rPr>
          <w:shd w:val="clear" w:color="auto" w:fill="FFFFFF"/>
        </w:rPr>
        <w:t xml:space="preserve"> ekosistēmā ieņem platformas un atbalsta centri, kas izglīto attīstītājus par risinājumu izmantošanas iespējām. Piemēram, “</w:t>
      </w:r>
      <w:proofErr w:type="spellStart"/>
      <w:r w:rsidRPr="0007570F">
        <w:rPr>
          <w:shd w:val="clear" w:color="auto" w:fill="FFFFFF"/>
        </w:rPr>
        <w:t>CryptoLab</w:t>
      </w:r>
      <w:proofErr w:type="spellEnd"/>
      <w:r>
        <w:rPr>
          <w:shd w:val="clear" w:color="auto" w:fill="FFFFFF"/>
        </w:rPr>
        <w:t>”</w:t>
      </w:r>
      <w:r w:rsidRPr="0007570F">
        <w:rPr>
          <w:shd w:val="clear" w:color="auto" w:fill="FFFFFF"/>
        </w:rPr>
        <w:t xml:space="preserve"> apmāca un sniedz dažāda veida ko</w:t>
      </w:r>
      <w:r w:rsidR="00EF5C9F">
        <w:rPr>
          <w:shd w:val="clear" w:color="auto" w:fill="FFFFFF"/>
        </w:rPr>
        <w:t>nsultācijas</w:t>
      </w:r>
      <w:r w:rsidRPr="0007570F">
        <w:rPr>
          <w:shd w:val="clear" w:color="auto" w:fill="FFFFFF"/>
        </w:rPr>
        <w:t xml:space="preserve"> saistībā ar investīciju iespējām </w:t>
      </w:r>
      <w:proofErr w:type="spellStart"/>
      <w:r w:rsidRPr="0007570F">
        <w:rPr>
          <w:shd w:val="clear" w:color="auto" w:fill="FFFFFF"/>
        </w:rPr>
        <w:t>kriptovalūtās</w:t>
      </w:r>
      <w:proofErr w:type="spellEnd"/>
      <w:r w:rsidRPr="0007570F">
        <w:rPr>
          <w:shd w:val="clear" w:color="auto" w:fill="FFFFFF"/>
        </w:rPr>
        <w:t xml:space="preserve"> un to ikdienas lietošanu</w:t>
      </w:r>
      <w:r>
        <w:rPr>
          <w:shd w:val="clear" w:color="auto" w:fill="FFFFFF"/>
        </w:rPr>
        <w:t>. “</w:t>
      </w:r>
      <w:proofErr w:type="spellStart"/>
      <w:r w:rsidRPr="00A6649D">
        <w:rPr>
          <w:shd w:val="clear" w:color="auto" w:fill="FFFFFF"/>
        </w:rPr>
        <w:t>Blockvis</w:t>
      </w:r>
      <w:proofErr w:type="spellEnd"/>
      <w:r>
        <w:rPr>
          <w:shd w:val="clear" w:color="auto" w:fill="FFFFFF"/>
        </w:rPr>
        <w:t>”</w:t>
      </w:r>
      <w:r w:rsidRPr="00A6649D">
        <w:rPr>
          <w:shd w:val="clear" w:color="auto" w:fill="FFFFFF"/>
        </w:rPr>
        <w:t xml:space="preserve"> ir IT</w:t>
      </w:r>
      <w:r>
        <w:rPr>
          <w:shd w:val="clear" w:color="auto" w:fill="FFFFFF"/>
        </w:rPr>
        <w:t xml:space="preserve"> </w:t>
      </w:r>
      <w:proofErr w:type="spellStart"/>
      <w:r>
        <w:rPr>
          <w:shd w:val="clear" w:color="auto" w:fill="FFFFFF"/>
        </w:rPr>
        <w:t>blokķēdes</w:t>
      </w:r>
      <w:proofErr w:type="spellEnd"/>
      <w:r w:rsidRPr="00A6649D">
        <w:rPr>
          <w:shd w:val="clear" w:color="auto" w:fill="FFFFFF"/>
        </w:rPr>
        <w:t xml:space="preserve"> profesionāļu grupa, kas </w:t>
      </w:r>
      <w:r>
        <w:rPr>
          <w:shd w:val="clear" w:color="auto" w:fill="FFFFFF"/>
        </w:rPr>
        <w:t>izglīto</w:t>
      </w:r>
      <w:r w:rsidRPr="00A6649D">
        <w:rPr>
          <w:shd w:val="clear" w:color="auto" w:fill="FFFFFF"/>
        </w:rPr>
        <w:t xml:space="preserve"> sabiedrību un </w:t>
      </w:r>
      <w:r>
        <w:rPr>
          <w:shd w:val="clear" w:color="auto" w:fill="FFFFFF"/>
        </w:rPr>
        <w:t>izstrādā</w:t>
      </w:r>
      <w:r w:rsidRPr="00A6649D">
        <w:rPr>
          <w:shd w:val="clear" w:color="auto" w:fill="FFFFFF"/>
        </w:rPr>
        <w:t xml:space="preserve"> pielietojumus blockchain tehnoloģijai </w:t>
      </w:r>
      <w:r>
        <w:rPr>
          <w:shd w:val="clear" w:color="auto" w:fill="FFFFFF"/>
        </w:rPr>
        <w:t xml:space="preserve">viedo līgumu jomā. Vienlaikus sabiedrības un IT speciālistu un blokķēdes tehnoloģijas entuziastu izglītošanai tiek rīkotas </w:t>
      </w:r>
      <w:r w:rsidR="006D3E30">
        <w:rPr>
          <w:shd w:val="clear" w:color="auto" w:fill="FFFFFF"/>
        </w:rPr>
        <w:t>jaunuzņēmumu nozari pārstāvošu publisku un privātu partneru (</w:t>
      </w:r>
      <w:proofErr w:type="spellStart"/>
      <w:r w:rsidR="006D3E30">
        <w:rPr>
          <w:shd w:val="clear" w:color="auto" w:fill="FFFFFF"/>
        </w:rPr>
        <w:t>Techchill</w:t>
      </w:r>
      <w:proofErr w:type="spellEnd"/>
      <w:r w:rsidR="006D3E30">
        <w:rPr>
          <w:shd w:val="clear" w:color="auto" w:fill="FFFFFF"/>
        </w:rPr>
        <w:t xml:space="preserve">, </w:t>
      </w:r>
      <w:proofErr w:type="spellStart"/>
      <w:r w:rsidR="006D3E30">
        <w:rPr>
          <w:shd w:val="clear" w:color="auto" w:fill="FFFFFF"/>
        </w:rPr>
        <w:t>Startin</w:t>
      </w:r>
      <w:proofErr w:type="spellEnd"/>
      <w:r w:rsidR="006D3E30">
        <w:rPr>
          <w:shd w:val="clear" w:color="auto" w:fill="FFFFFF"/>
        </w:rPr>
        <w:t xml:space="preserve">,.lv, LIAA) organizētas </w:t>
      </w:r>
      <w:r>
        <w:rPr>
          <w:shd w:val="clear" w:color="auto" w:fill="FFFFFF"/>
        </w:rPr>
        <w:t xml:space="preserve">konferences, diskusijas un tīklošanās pasākumi, piemēram, </w:t>
      </w:r>
      <w:r w:rsidRPr="00A6649D">
        <w:rPr>
          <w:shd w:val="clear" w:color="auto" w:fill="FFFFFF"/>
        </w:rPr>
        <w:t>“RIGA COMM”</w:t>
      </w:r>
      <w:r>
        <w:rPr>
          <w:shd w:val="clear" w:color="auto" w:fill="FFFFFF"/>
        </w:rPr>
        <w:t xml:space="preserve">, kuros </w:t>
      </w:r>
      <w:r w:rsidRPr="00A6649D">
        <w:rPr>
          <w:shd w:val="clear" w:color="auto" w:fill="FFFFFF"/>
        </w:rPr>
        <w:t>Baltijas un ārvalstu digitālo pakalpojumu sn</w:t>
      </w:r>
      <w:r>
        <w:rPr>
          <w:shd w:val="clear" w:color="auto" w:fill="FFFFFF"/>
        </w:rPr>
        <w:t>iedzēju un produktu izstrādātāji</w:t>
      </w:r>
      <w:r w:rsidRPr="00A6649D">
        <w:rPr>
          <w:shd w:val="clear" w:color="auto" w:fill="FFFFFF"/>
        </w:rPr>
        <w:t xml:space="preserve"> </w:t>
      </w:r>
      <w:r>
        <w:rPr>
          <w:shd w:val="clear" w:color="auto" w:fill="FFFFFF"/>
        </w:rPr>
        <w:t>diskutē</w:t>
      </w:r>
      <w:r w:rsidRPr="00A6649D">
        <w:rPr>
          <w:shd w:val="clear" w:color="auto" w:fill="FFFFFF"/>
        </w:rPr>
        <w:t xml:space="preserve"> par blokķēdes </w:t>
      </w:r>
      <w:r>
        <w:rPr>
          <w:shd w:val="clear" w:color="auto" w:fill="FFFFFF"/>
        </w:rPr>
        <w:t xml:space="preserve">tehnoloģijas </w:t>
      </w:r>
      <w:r w:rsidRPr="00A6649D">
        <w:rPr>
          <w:shd w:val="clear" w:color="auto" w:fill="FFFFFF"/>
        </w:rPr>
        <w:t>nozīmi un pielietojumu.</w:t>
      </w:r>
    </w:p>
    <w:p w14:paraId="4CA38D5D" w14:textId="70E433CA" w:rsidR="000128FA" w:rsidRPr="00F041F2" w:rsidRDefault="00A6649D" w:rsidP="000128FA">
      <w:pPr>
        <w:pStyle w:val="BodyTextFirstIndent"/>
        <w:spacing w:after="0" w:line="240" w:lineRule="auto"/>
        <w:ind w:firstLine="720"/>
        <w:rPr>
          <w:shd w:val="clear" w:color="auto" w:fill="FFFFFF"/>
        </w:rPr>
      </w:pPr>
      <w:r>
        <w:rPr>
          <w:shd w:val="clear" w:color="auto" w:fill="FFFFFF"/>
        </w:rPr>
        <w:t>Lai attīs</w:t>
      </w:r>
      <w:r w:rsidR="003530CC">
        <w:rPr>
          <w:shd w:val="clear" w:color="auto" w:fill="FFFFFF"/>
        </w:rPr>
        <w:t>t</w:t>
      </w:r>
      <w:r>
        <w:rPr>
          <w:shd w:val="clear" w:color="auto" w:fill="FFFFFF"/>
        </w:rPr>
        <w:t>ītu blokķēdes tehnoloģijā balstītus risinājumus, uzņēmējiem pieejams atbalsts jau esošo valsts atbalsta programmu ietvaros, tai skaitā akcelerācijas un riska kapitāla fondos. Viena no fondu pārvaldniekiem “</w:t>
      </w:r>
      <w:proofErr w:type="spellStart"/>
      <w:r w:rsidR="000128FA" w:rsidRPr="00F041F2">
        <w:rPr>
          <w:shd w:val="clear" w:color="auto" w:fill="FFFFFF"/>
        </w:rPr>
        <w:t>Overkill</w:t>
      </w:r>
      <w:proofErr w:type="spellEnd"/>
      <w:r w:rsidR="000128FA" w:rsidRPr="00F041F2">
        <w:rPr>
          <w:shd w:val="clear" w:color="auto" w:fill="FFFFFF"/>
        </w:rPr>
        <w:t xml:space="preserve"> </w:t>
      </w:r>
      <w:proofErr w:type="spellStart"/>
      <w:r w:rsidR="000128FA" w:rsidRPr="00F041F2">
        <w:rPr>
          <w:shd w:val="clear" w:color="auto" w:fill="FFFFFF"/>
        </w:rPr>
        <w:t>Ventures</w:t>
      </w:r>
      <w:proofErr w:type="spellEnd"/>
      <w:r>
        <w:rPr>
          <w:shd w:val="clear" w:color="auto" w:fill="FFFFFF"/>
        </w:rPr>
        <w:t>”</w:t>
      </w:r>
      <w:r w:rsidR="000128FA" w:rsidRPr="00F041F2">
        <w:rPr>
          <w:shd w:val="clear" w:color="auto" w:fill="FFFFFF"/>
        </w:rPr>
        <w:t xml:space="preserve"> </w:t>
      </w:r>
      <w:r>
        <w:rPr>
          <w:shd w:val="clear" w:color="auto" w:fill="FFFFFF"/>
        </w:rPr>
        <w:t>viena no specializācijas jomām papildus</w:t>
      </w:r>
      <w:r w:rsidR="000128FA" w:rsidRPr="00F041F2">
        <w:rPr>
          <w:shd w:val="clear" w:color="auto" w:fill="FFFFFF"/>
        </w:rPr>
        <w:t xml:space="preserve"> mākslīgā intelekta un </w:t>
      </w:r>
      <w:proofErr w:type="spellStart"/>
      <w:r w:rsidR="000128FA" w:rsidRPr="00F041F2">
        <w:rPr>
          <w:shd w:val="clear" w:color="auto" w:fill="FFFFFF"/>
        </w:rPr>
        <w:t>mašīnmācīšanās</w:t>
      </w:r>
      <w:proofErr w:type="spellEnd"/>
      <w:r w:rsidR="000128FA" w:rsidRPr="00F041F2">
        <w:rPr>
          <w:shd w:val="clear" w:color="auto" w:fill="FFFFFF"/>
        </w:rPr>
        <w:t>, lietu interneta, paplašinātās un virtuālās realitātes</w:t>
      </w:r>
      <w:r>
        <w:rPr>
          <w:shd w:val="clear" w:color="auto" w:fill="FFFFFF"/>
        </w:rPr>
        <w:t xml:space="preserve"> risinājumiem, ir arī </w:t>
      </w:r>
      <w:proofErr w:type="spellStart"/>
      <w:r w:rsidRPr="00F041F2">
        <w:rPr>
          <w:shd w:val="clear" w:color="auto" w:fill="FFFFFF"/>
        </w:rPr>
        <w:t>blokķēdes</w:t>
      </w:r>
      <w:proofErr w:type="spellEnd"/>
      <w:r w:rsidR="006D3E30">
        <w:rPr>
          <w:shd w:val="clear" w:color="auto" w:fill="FFFFFF"/>
        </w:rPr>
        <w:t xml:space="preserve"> tehnoloģija</w:t>
      </w:r>
      <w:r>
        <w:rPr>
          <w:shd w:val="clear" w:color="auto" w:fill="FFFFFF"/>
        </w:rPr>
        <w:t>.</w:t>
      </w:r>
      <w:r w:rsidR="006D3E30">
        <w:rPr>
          <w:shd w:val="clear" w:color="auto" w:fill="FFFFFF"/>
        </w:rPr>
        <w:t xml:space="preserve"> Tāpat </w:t>
      </w:r>
      <w:r w:rsidR="006D3E30" w:rsidRPr="006D3E30">
        <w:rPr>
          <w:shd w:val="clear" w:color="auto" w:fill="FFFFFF"/>
        </w:rPr>
        <w:lastRenderedPageBreak/>
        <w:t>L</w:t>
      </w:r>
      <w:r w:rsidR="00627CFE">
        <w:rPr>
          <w:shd w:val="clear" w:color="auto" w:fill="FFFFFF"/>
        </w:rPr>
        <w:t xml:space="preserve">atvijas </w:t>
      </w:r>
      <w:r w:rsidR="006D3E30" w:rsidRPr="006D3E30">
        <w:rPr>
          <w:shd w:val="clear" w:color="auto" w:fill="FFFFFF"/>
        </w:rPr>
        <w:t>U</w:t>
      </w:r>
      <w:r w:rsidR="00627CFE">
        <w:rPr>
          <w:shd w:val="clear" w:color="auto" w:fill="FFFFFF"/>
        </w:rPr>
        <w:t>niversitātes</w:t>
      </w:r>
      <w:r w:rsidR="006D3E30" w:rsidRPr="006D3E30">
        <w:rPr>
          <w:shd w:val="clear" w:color="auto" w:fill="FFFFFF"/>
        </w:rPr>
        <w:t xml:space="preserve"> studentu Biznesa Inkubatora </w:t>
      </w:r>
      <w:r w:rsidR="006D3E30">
        <w:rPr>
          <w:shd w:val="clear" w:color="auto" w:fill="FFFFFF"/>
        </w:rPr>
        <w:t xml:space="preserve">2018.gada pavasarī </w:t>
      </w:r>
      <w:r w:rsidR="00627CFE">
        <w:rPr>
          <w:shd w:val="clear" w:color="auto" w:fill="FFFFFF"/>
        </w:rPr>
        <w:t xml:space="preserve">un rudenī </w:t>
      </w:r>
      <w:r w:rsidR="006D3E30">
        <w:rPr>
          <w:shd w:val="clear" w:color="auto" w:fill="FFFFFF"/>
        </w:rPr>
        <w:t>organizēt</w:t>
      </w:r>
      <w:r w:rsidR="00627CFE">
        <w:rPr>
          <w:shd w:val="clear" w:color="auto" w:fill="FFFFFF"/>
        </w:rPr>
        <w:t>ā</w:t>
      </w:r>
      <w:r w:rsidR="006D3E30" w:rsidRPr="006D3E30">
        <w:rPr>
          <w:shd w:val="clear" w:color="auto" w:fill="FFFFFF"/>
        </w:rPr>
        <w:t xml:space="preserve"> jaunuzņē</w:t>
      </w:r>
      <w:r w:rsidR="006D3E30">
        <w:rPr>
          <w:shd w:val="clear" w:color="auto" w:fill="FFFFFF"/>
        </w:rPr>
        <w:t>mumu blokķēdes pirms-akcelerācijas programm</w:t>
      </w:r>
      <w:r w:rsidR="00627CFE">
        <w:rPr>
          <w:shd w:val="clear" w:color="auto" w:fill="FFFFFF"/>
        </w:rPr>
        <w:t>ā</w:t>
      </w:r>
      <w:r w:rsidR="006D3E30">
        <w:rPr>
          <w:shd w:val="clear" w:color="auto" w:fill="FFFFFF"/>
        </w:rPr>
        <w:t xml:space="preserve"> ļāva tās dalībniekiem attīstīt </w:t>
      </w:r>
      <w:proofErr w:type="spellStart"/>
      <w:r w:rsidR="006D3E30" w:rsidRPr="006D3E30">
        <w:rPr>
          <w:shd w:val="clear" w:color="auto" w:fill="FFFFFF"/>
        </w:rPr>
        <w:t>pamatzināšanas</w:t>
      </w:r>
      <w:proofErr w:type="spellEnd"/>
      <w:r w:rsidR="006D3E30" w:rsidRPr="006D3E30">
        <w:rPr>
          <w:shd w:val="clear" w:color="auto" w:fill="FFFFFF"/>
        </w:rPr>
        <w:t xml:space="preserve"> par </w:t>
      </w:r>
      <w:proofErr w:type="spellStart"/>
      <w:r w:rsidR="006D3E30" w:rsidRPr="006D3E30">
        <w:rPr>
          <w:shd w:val="clear" w:color="auto" w:fill="FFFFFF"/>
        </w:rPr>
        <w:t>blokķēdes</w:t>
      </w:r>
      <w:proofErr w:type="spellEnd"/>
      <w:r w:rsidR="006D3E30" w:rsidRPr="006D3E30">
        <w:rPr>
          <w:shd w:val="clear" w:color="auto" w:fill="FFFFFF"/>
        </w:rPr>
        <w:t xml:space="preserve"> tehnoloģiju un tās izmantošanas iespējām, </w:t>
      </w:r>
      <w:r w:rsidR="006D3E30">
        <w:rPr>
          <w:shd w:val="clear" w:color="auto" w:fill="FFFFFF"/>
        </w:rPr>
        <w:t>kā arī</w:t>
      </w:r>
      <w:r w:rsidR="006D3E30" w:rsidRPr="006D3E30">
        <w:rPr>
          <w:shd w:val="clear" w:color="auto" w:fill="FFFFFF"/>
        </w:rPr>
        <w:t xml:space="preserve"> attīstīt savas biznesa idejas un gūt </w:t>
      </w:r>
      <w:proofErr w:type="spellStart"/>
      <w:r w:rsidR="006D3E30" w:rsidRPr="006D3E30">
        <w:rPr>
          <w:shd w:val="clear" w:color="auto" w:fill="FFFFFF"/>
        </w:rPr>
        <w:t>mentoru</w:t>
      </w:r>
      <w:proofErr w:type="spellEnd"/>
      <w:r w:rsidR="006D3E30" w:rsidRPr="006D3E30">
        <w:rPr>
          <w:shd w:val="clear" w:color="auto" w:fill="FFFFFF"/>
        </w:rPr>
        <w:t xml:space="preserve"> padomus un ieteikumus.</w:t>
      </w:r>
    </w:p>
    <w:p w14:paraId="397302C6" w14:textId="77777777" w:rsidR="00F041F2" w:rsidRPr="00F041F2" w:rsidRDefault="000128FA" w:rsidP="000128FA">
      <w:pPr>
        <w:pStyle w:val="BodyTextFirstIndent"/>
        <w:spacing w:after="0" w:line="240" w:lineRule="auto"/>
        <w:ind w:firstLine="720"/>
        <w:rPr>
          <w:shd w:val="clear" w:color="auto" w:fill="FFFFFF"/>
        </w:rPr>
      </w:pPr>
      <w:r>
        <w:rPr>
          <w:shd w:val="clear" w:color="auto" w:fill="FFFFFF"/>
        </w:rPr>
        <w:t xml:space="preserve">Latvijas jaunuzņēmumi spējuši piesaistīt investīcijas ICO procesā vairāk nekā </w:t>
      </w:r>
      <w:r w:rsidR="00D1393C">
        <w:rPr>
          <w:shd w:val="clear" w:color="auto" w:fill="FFFFFF"/>
        </w:rPr>
        <w:t xml:space="preserve">28 miljonu </w:t>
      </w:r>
      <w:proofErr w:type="spellStart"/>
      <w:r w:rsidR="00D1393C">
        <w:rPr>
          <w:shd w:val="clear" w:color="auto" w:fill="FFFFFF"/>
        </w:rPr>
        <w:t>euro</w:t>
      </w:r>
      <w:proofErr w:type="spellEnd"/>
      <w:r w:rsidR="00D1393C">
        <w:rPr>
          <w:shd w:val="clear" w:color="auto" w:fill="FFFFFF"/>
        </w:rPr>
        <w:t xml:space="preserve"> </w:t>
      </w:r>
      <w:r w:rsidR="00C0053F">
        <w:rPr>
          <w:shd w:val="clear" w:color="auto" w:fill="FFFFFF"/>
        </w:rPr>
        <w:t>v</w:t>
      </w:r>
      <w:r>
        <w:rPr>
          <w:shd w:val="clear" w:color="auto" w:fill="FFFFFF"/>
        </w:rPr>
        <w:t>ērtībā. “</w:t>
      </w:r>
      <w:proofErr w:type="spellStart"/>
      <w:r w:rsidR="00F041F2" w:rsidRPr="00F041F2">
        <w:rPr>
          <w:shd w:val="clear" w:color="auto" w:fill="FFFFFF"/>
        </w:rPr>
        <w:t>Digipulse</w:t>
      </w:r>
      <w:proofErr w:type="spellEnd"/>
      <w:r>
        <w:rPr>
          <w:shd w:val="clear" w:color="auto" w:fill="FFFFFF"/>
        </w:rPr>
        <w:t xml:space="preserve">” (0,85 miljoni </w:t>
      </w:r>
      <w:proofErr w:type="spellStart"/>
      <w:r>
        <w:rPr>
          <w:shd w:val="clear" w:color="auto" w:fill="FFFFFF"/>
        </w:rPr>
        <w:t>euro</w:t>
      </w:r>
      <w:proofErr w:type="spellEnd"/>
      <w:r>
        <w:rPr>
          <w:shd w:val="clear" w:color="auto" w:fill="FFFFFF"/>
        </w:rPr>
        <w:t>), “</w:t>
      </w:r>
      <w:proofErr w:type="spellStart"/>
      <w:r w:rsidR="00F041F2" w:rsidRPr="00F041F2">
        <w:rPr>
          <w:shd w:val="clear" w:color="auto" w:fill="FFFFFF"/>
        </w:rPr>
        <w:t>HashRush</w:t>
      </w:r>
      <w:proofErr w:type="spellEnd"/>
      <w:r>
        <w:rPr>
          <w:shd w:val="clear" w:color="auto" w:fill="FFFFFF"/>
        </w:rPr>
        <w:t xml:space="preserve">” (1,55 miljoni </w:t>
      </w:r>
      <w:proofErr w:type="spellStart"/>
      <w:r>
        <w:rPr>
          <w:shd w:val="clear" w:color="auto" w:fill="FFFFFF"/>
        </w:rPr>
        <w:t>e</w:t>
      </w:r>
      <w:r w:rsidR="00D1393C">
        <w:rPr>
          <w:shd w:val="clear" w:color="auto" w:fill="FFFFFF"/>
        </w:rPr>
        <w:t>u</w:t>
      </w:r>
      <w:r>
        <w:rPr>
          <w:shd w:val="clear" w:color="auto" w:fill="FFFFFF"/>
        </w:rPr>
        <w:t>ro</w:t>
      </w:r>
      <w:proofErr w:type="spellEnd"/>
      <w:r>
        <w:rPr>
          <w:shd w:val="clear" w:color="auto" w:fill="FFFFFF"/>
        </w:rPr>
        <w:t>), “</w:t>
      </w:r>
      <w:proofErr w:type="spellStart"/>
      <w:r>
        <w:rPr>
          <w:shd w:val="clear" w:color="auto" w:fill="FFFFFF"/>
        </w:rPr>
        <w:t>Aeternum</w:t>
      </w:r>
      <w:proofErr w:type="spellEnd"/>
      <w:r>
        <w:rPr>
          <w:shd w:val="clear" w:color="auto" w:fill="FFFFFF"/>
        </w:rPr>
        <w:t xml:space="preserve">” (3,05 miljoni </w:t>
      </w:r>
      <w:proofErr w:type="spellStart"/>
      <w:r>
        <w:rPr>
          <w:shd w:val="clear" w:color="auto" w:fill="FFFFFF"/>
        </w:rPr>
        <w:t>e</w:t>
      </w:r>
      <w:r w:rsidR="00D1393C">
        <w:rPr>
          <w:shd w:val="clear" w:color="auto" w:fill="FFFFFF"/>
        </w:rPr>
        <w:t>u</w:t>
      </w:r>
      <w:r>
        <w:rPr>
          <w:shd w:val="clear" w:color="auto" w:fill="FFFFFF"/>
        </w:rPr>
        <w:t>ro</w:t>
      </w:r>
      <w:proofErr w:type="spellEnd"/>
      <w:r>
        <w:rPr>
          <w:shd w:val="clear" w:color="auto" w:fill="FFFFFF"/>
        </w:rPr>
        <w:t>)”</w:t>
      </w:r>
      <w:r w:rsidR="00F041F2" w:rsidRPr="00F041F2">
        <w:rPr>
          <w:shd w:val="clear" w:color="auto" w:fill="FFFFFF"/>
        </w:rPr>
        <w:t xml:space="preserve"> </w:t>
      </w:r>
      <w:r>
        <w:rPr>
          <w:shd w:val="clear" w:color="auto" w:fill="FFFFFF"/>
        </w:rPr>
        <w:t>, “</w:t>
      </w:r>
      <w:r w:rsidR="00F041F2" w:rsidRPr="00F041F2">
        <w:rPr>
          <w:shd w:val="clear" w:color="auto" w:fill="FFFFFF"/>
        </w:rPr>
        <w:tab/>
      </w:r>
      <w:proofErr w:type="spellStart"/>
      <w:r w:rsidR="00F041F2" w:rsidRPr="00F041F2">
        <w:rPr>
          <w:shd w:val="clear" w:color="auto" w:fill="FFFFFF"/>
        </w:rPr>
        <w:t>Forty</w:t>
      </w:r>
      <w:proofErr w:type="spellEnd"/>
      <w:r w:rsidR="00F041F2" w:rsidRPr="00F041F2">
        <w:rPr>
          <w:shd w:val="clear" w:color="auto" w:fill="FFFFFF"/>
        </w:rPr>
        <w:t xml:space="preserve"> Seven </w:t>
      </w:r>
      <w:proofErr w:type="spellStart"/>
      <w:r w:rsidR="00F041F2" w:rsidRPr="00F041F2">
        <w:rPr>
          <w:shd w:val="clear" w:color="auto" w:fill="FFFFFF"/>
        </w:rPr>
        <w:t>Bank</w:t>
      </w:r>
      <w:proofErr w:type="spellEnd"/>
      <w:r>
        <w:rPr>
          <w:shd w:val="clear" w:color="auto" w:fill="FFFFFF"/>
        </w:rPr>
        <w:t xml:space="preserve">”  (10,84 miljoni </w:t>
      </w:r>
      <w:proofErr w:type="spellStart"/>
      <w:r>
        <w:rPr>
          <w:shd w:val="clear" w:color="auto" w:fill="FFFFFF"/>
        </w:rPr>
        <w:t>e</w:t>
      </w:r>
      <w:r w:rsidR="00D1393C">
        <w:rPr>
          <w:shd w:val="clear" w:color="auto" w:fill="FFFFFF"/>
        </w:rPr>
        <w:t>u</w:t>
      </w:r>
      <w:r>
        <w:rPr>
          <w:shd w:val="clear" w:color="auto" w:fill="FFFFFF"/>
        </w:rPr>
        <w:t>ro</w:t>
      </w:r>
      <w:proofErr w:type="spellEnd"/>
      <w:r>
        <w:rPr>
          <w:shd w:val="clear" w:color="auto" w:fill="FFFFFF"/>
        </w:rPr>
        <w:t>), “</w:t>
      </w:r>
      <w:proofErr w:type="spellStart"/>
      <w:r w:rsidR="00F041F2" w:rsidRPr="00F041F2">
        <w:rPr>
          <w:shd w:val="clear" w:color="auto" w:fill="FFFFFF"/>
        </w:rPr>
        <w:t>Globitex</w:t>
      </w:r>
      <w:proofErr w:type="spellEnd"/>
      <w:r>
        <w:rPr>
          <w:shd w:val="clear" w:color="auto" w:fill="FFFFFF"/>
        </w:rPr>
        <w:t>”</w:t>
      </w:r>
      <w:r w:rsidR="00F041F2" w:rsidRPr="00F041F2">
        <w:rPr>
          <w:shd w:val="clear" w:color="auto" w:fill="FFFFFF"/>
        </w:rPr>
        <w:t xml:space="preserve"> (9,7 miljoni </w:t>
      </w:r>
      <w:proofErr w:type="spellStart"/>
      <w:r w:rsidR="00F041F2" w:rsidRPr="00F041F2">
        <w:rPr>
          <w:shd w:val="clear" w:color="auto" w:fill="FFFFFF"/>
        </w:rPr>
        <w:t>e</w:t>
      </w:r>
      <w:r w:rsidR="00D1393C">
        <w:rPr>
          <w:shd w:val="clear" w:color="auto" w:fill="FFFFFF"/>
        </w:rPr>
        <w:t>u</w:t>
      </w:r>
      <w:r w:rsidR="00F041F2" w:rsidRPr="00F041F2">
        <w:rPr>
          <w:shd w:val="clear" w:color="auto" w:fill="FFFFFF"/>
        </w:rPr>
        <w:t>ro</w:t>
      </w:r>
      <w:proofErr w:type="spellEnd"/>
      <w:r w:rsidR="00F041F2" w:rsidRPr="00F041F2">
        <w:rPr>
          <w:shd w:val="clear" w:color="auto" w:fill="FFFFFF"/>
        </w:rPr>
        <w:t>)</w:t>
      </w:r>
      <w:r>
        <w:rPr>
          <w:shd w:val="clear" w:color="auto" w:fill="FFFFFF"/>
        </w:rPr>
        <w:t>, “</w:t>
      </w:r>
      <w:proofErr w:type="spellStart"/>
      <w:r w:rsidR="00F041F2" w:rsidRPr="00F041F2">
        <w:rPr>
          <w:shd w:val="clear" w:color="auto" w:fill="FFFFFF"/>
        </w:rPr>
        <w:t>Cryder</w:t>
      </w:r>
      <w:proofErr w:type="spellEnd"/>
      <w:r>
        <w:rPr>
          <w:shd w:val="clear" w:color="auto" w:fill="FFFFFF"/>
        </w:rPr>
        <w:t>”</w:t>
      </w:r>
      <w:r w:rsidR="00F041F2" w:rsidRPr="00F041F2">
        <w:rPr>
          <w:shd w:val="clear" w:color="auto" w:fill="FFFFFF"/>
        </w:rPr>
        <w:t xml:space="preserve"> (29,6 tūkstoši </w:t>
      </w:r>
      <w:proofErr w:type="spellStart"/>
      <w:r w:rsidR="00F041F2" w:rsidRPr="00F041F2">
        <w:rPr>
          <w:shd w:val="clear" w:color="auto" w:fill="FFFFFF"/>
        </w:rPr>
        <w:t>e</w:t>
      </w:r>
      <w:r w:rsidR="00D1393C">
        <w:rPr>
          <w:shd w:val="clear" w:color="auto" w:fill="FFFFFF"/>
        </w:rPr>
        <w:t>u</w:t>
      </w:r>
      <w:r w:rsidR="00F041F2" w:rsidRPr="00F041F2">
        <w:rPr>
          <w:shd w:val="clear" w:color="auto" w:fill="FFFFFF"/>
        </w:rPr>
        <w:t>ro</w:t>
      </w:r>
      <w:proofErr w:type="spellEnd"/>
      <w:r w:rsidR="00F041F2" w:rsidRPr="00F041F2">
        <w:rPr>
          <w:shd w:val="clear" w:color="auto" w:fill="FFFFFF"/>
        </w:rPr>
        <w:t>)</w:t>
      </w:r>
      <w:r>
        <w:rPr>
          <w:shd w:val="clear" w:color="auto" w:fill="FFFFFF"/>
        </w:rPr>
        <w:t>.</w:t>
      </w:r>
    </w:p>
    <w:bookmarkEnd w:id="7"/>
    <w:p w14:paraId="0C3E458B" w14:textId="77777777" w:rsidR="00C04D5D" w:rsidRPr="00C04D5D" w:rsidRDefault="00C04D5D" w:rsidP="00C04D5D">
      <w:pPr>
        <w:spacing w:after="0"/>
        <w:jc w:val="both"/>
        <w:rPr>
          <w:rFonts w:ascii="Times New Roman" w:hAnsi="Times New Roman" w:cs="Times New Roman"/>
          <w:b/>
          <w:i/>
          <w:sz w:val="24"/>
          <w:szCs w:val="24"/>
          <w:lang w:val="lv-LV"/>
        </w:rPr>
      </w:pPr>
    </w:p>
    <w:p w14:paraId="4BFE9048" w14:textId="77777777" w:rsidR="00C04D5D" w:rsidRPr="00BB4583" w:rsidRDefault="00C04D5D" w:rsidP="00D60DC0">
      <w:pPr>
        <w:pStyle w:val="ListParagraph"/>
        <w:numPr>
          <w:ilvl w:val="0"/>
          <w:numId w:val="14"/>
        </w:numPr>
        <w:spacing w:after="0"/>
        <w:jc w:val="both"/>
        <w:rPr>
          <w:rFonts w:ascii="Times New Roman" w:hAnsi="Times New Roman" w:cs="Times New Roman"/>
          <w:sz w:val="24"/>
          <w:szCs w:val="24"/>
          <w:shd w:val="clear" w:color="auto" w:fill="FFFFFF"/>
          <w:lang w:val="lv-LV"/>
        </w:rPr>
      </w:pPr>
      <w:r w:rsidRPr="00C04D5D">
        <w:rPr>
          <w:rFonts w:ascii="Times New Roman" w:hAnsi="Times New Roman" w:cs="Times New Roman"/>
          <w:b/>
          <w:i/>
          <w:sz w:val="24"/>
          <w:szCs w:val="24"/>
          <w:lang w:val="lv-LV"/>
        </w:rPr>
        <w:t>Tālākā rīcība blokķēdes tehnoloģijas adaptēšanā un jomas attīstībā</w:t>
      </w:r>
    </w:p>
    <w:p w14:paraId="50865C35" w14:textId="31CCC477" w:rsidR="000D13BA" w:rsidRPr="0021709D" w:rsidRDefault="000D13BA" w:rsidP="0019261E">
      <w:pPr>
        <w:pStyle w:val="BodyTextFirstIndent"/>
        <w:spacing w:after="0" w:line="240" w:lineRule="auto"/>
        <w:ind w:firstLine="720"/>
      </w:pPr>
      <w:r w:rsidRPr="000D13BA">
        <w:rPr>
          <w:shd w:val="clear" w:color="auto" w:fill="FFFFFF"/>
        </w:rPr>
        <w:t xml:space="preserve">Ņemot vērā  </w:t>
      </w:r>
      <w:proofErr w:type="spellStart"/>
      <w:r w:rsidRPr="000D13BA">
        <w:rPr>
          <w:shd w:val="clear" w:color="auto" w:fill="FFFFFF"/>
        </w:rPr>
        <w:t>blokķēdes</w:t>
      </w:r>
      <w:proofErr w:type="spellEnd"/>
      <w:r w:rsidRPr="000D13BA">
        <w:rPr>
          <w:shd w:val="clear" w:color="auto" w:fill="FFFFFF"/>
        </w:rPr>
        <w:t xml:space="preserve"> tehnoloģijas potenciālu uzlabot valsts pārvaldes pakalpojumu </w:t>
      </w:r>
      <w:r>
        <w:rPr>
          <w:shd w:val="clear" w:color="auto" w:fill="FFFFFF"/>
        </w:rPr>
        <w:t>racionalitāti</w:t>
      </w:r>
      <w:r w:rsidRPr="000D13BA">
        <w:rPr>
          <w:shd w:val="clear" w:color="auto" w:fill="FFFFFF"/>
        </w:rPr>
        <w:t xml:space="preserve"> un drošību, kā arī padarīt daudzus biznesa procesus efektīvākus, tādējādi veicinot Latvijas uzņēmumu konkurētspēju, kā arī tehnoloģijas, kā jaunas IT jomas tālākās attīstības perspektīvu, kas dotu iespēju Latvijas </w:t>
      </w:r>
      <w:proofErr w:type="spellStart"/>
      <w:r w:rsidRPr="000D13BA">
        <w:rPr>
          <w:shd w:val="clear" w:color="auto" w:fill="FFFFFF"/>
        </w:rPr>
        <w:t>jaunuzņēmumiem</w:t>
      </w:r>
      <w:proofErr w:type="spellEnd"/>
      <w:r w:rsidRPr="000D13BA">
        <w:rPr>
          <w:shd w:val="clear" w:color="auto" w:fill="FFFFFF"/>
        </w:rPr>
        <w:t xml:space="preserve"> iziet globālajā tirgū, ir </w:t>
      </w:r>
      <w:r w:rsidRPr="0021709D">
        <w:t xml:space="preserve">fundamentāli svarīgi veicināt tehnoloģijas izmantošanu valsts pārvaldē un privātajā sektorā, kā arī sagatavot priekšlikumus pasākumiem tehnoloģijas atbalstam </w:t>
      </w:r>
      <w:proofErr w:type="spellStart"/>
      <w:r w:rsidRPr="0021709D">
        <w:t>blokķēdes</w:t>
      </w:r>
      <w:proofErr w:type="spellEnd"/>
      <w:r w:rsidRPr="0021709D">
        <w:t xml:space="preserve"> tehnoloģijas darbības perspektīvu darba grupas ietvaros, iesaistot arī privātā sektora pārstāvjus. </w:t>
      </w:r>
    </w:p>
    <w:p w14:paraId="7E89820F" w14:textId="708F102E" w:rsidR="00B10781" w:rsidRPr="0021709D" w:rsidRDefault="004C07DD" w:rsidP="0021709D">
      <w:pPr>
        <w:spacing w:after="0"/>
        <w:ind w:firstLine="720"/>
        <w:jc w:val="both"/>
        <w:rPr>
          <w:rFonts w:ascii="Times New Roman" w:hAnsi="Times New Roman" w:cs="Times New Roman"/>
          <w:sz w:val="24"/>
          <w:szCs w:val="24"/>
          <w:lang w:val="lv-LV"/>
        </w:rPr>
      </w:pPr>
      <w:r w:rsidRPr="004C07DD">
        <w:rPr>
          <w:rFonts w:ascii="Times New Roman" w:hAnsi="Times New Roman" w:cs="Times New Roman"/>
          <w:sz w:val="24"/>
          <w:szCs w:val="24"/>
          <w:lang w:val="lv-LV"/>
        </w:rPr>
        <w:t xml:space="preserve">Ņemot vērā, ka viena no EM prioritātēm izcilas uzņēmējdarbības veidošanā ir veicināt </w:t>
      </w:r>
      <w:proofErr w:type="spellStart"/>
      <w:r w:rsidRPr="004C07DD">
        <w:rPr>
          <w:rFonts w:ascii="Times New Roman" w:hAnsi="Times New Roman" w:cs="Times New Roman"/>
          <w:sz w:val="24"/>
          <w:szCs w:val="24"/>
          <w:lang w:val="lv-LV"/>
        </w:rPr>
        <w:t>digiālo</w:t>
      </w:r>
      <w:proofErr w:type="spellEnd"/>
      <w:r w:rsidRPr="004C07DD">
        <w:rPr>
          <w:rFonts w:ascii="Times New Roman" w:hAnsi="Times New Roman" w:cs="Times New Roman"/>
          <w:sz w:val="24"/>
          <w:szCs w:val="24"/>
          <w:lang w:val="lv-LV"/>
        </w:rPr>
        <w:t xml:space="preserve"> risinājumu lietojumu uzņēmējdarbībā, publisko pakalpojumu </w:t>
      </w:r>
      <w:proofErr w:type="spellStart"/>
      <w:r w:rsidRPr="004C07DD">
        <w:rPr>
          <w:rFonts w:ascii="Times New Roman" w:hAnsi="Times New Roman" w:cs="Times New Roman"/>
          <w:sz w:val="24"/>
          <w:szCs w:val="24"/>
          <w:lang w:val="lv-LV"/>
        </w:rPr>
        <w:t>digitalizācijā</w:t>
      </w:r>
      <w:proofErr w:type="spellEnd"/>
      <w:r w:rsidRPr="004C07DD">
        <w:rPr>
          <w:rFonts w:ascii="Times New Roman" w:hAnsi="Times New Roman" w:cs="Times New Roman"/>
          <w:sz w:val="24"/>
          <w:szCs w:val="24"/>
          <w:lang w:val="lv-LV"/>
        </w:rPr>
        <w:t xml:space="preserve">, kā arī kopumā sekmēt EM un tās padotības iestāžu un citu institūciju kompetences jomā esošo Digitālās ekonomikas un sabiedrības indeksa (turpmāk – DESI) komponenšu pilnveidošanu, 2019.  un 2020.gadā plānots turpināt aktivitātes, kas saistītas ar </w:t>
      </w:r>
      <w:proofErr w:type="spellStart"/>
      <w:r w:rsidRPr="004C07DD">
        <w:rPr>
          <w:rFonts w:ascii="Times New Roman" w:hAnsi="Times New Roman" w:cs="Times New Roman"/>
          <w:sz w:val="24"/>
          <w:szCs w:val="24"/>
          <w:lang w:val="lv-LV"/>
        </w:rPr>
        <w:t>blokķēdes</w:t>
      </w:r>
      <w:proofErr w:type="spellEnd"/>
      <w:r w:rsidRPr="004C07DD">
        <w:rPr>
          <w:rFonts w:ascii="Times New Roman" w:hAnsi="Times New Roman" w:cs="Times New Roman"/>
          <w:sz w:val="24"/>
          <w:szCs w:val="24"/>
          <w:lang w:val="lv-LV"/>
        </w:rPr>
        <w:t xml:space="preserve"> tehnoloģijas potenciāla apzināšanu un lietošanu, tai skaitā sarunu ciklus, sabiedrību izglītojošus pasākumus un diskusijas par </w:t>
      </w:r>
      <w:proofErr w:type="spellStart"/>
      <w:r w:rsidRPr="004C07DD">
        <w:rPr>
          <w:rFonts w:ascii="Times New Roman" w:hAnsi="Times New Roman" w:cs="Times New Roman"/>
          <w:sz w:val="24"/>
          <w:szCs w:val="24"/>
          <w:lang w:val="lv-LV"/>
        </w:rPr>
        <w:t>blokķēdes</w:t>
      </w:r>
      <w:proofErr w:type="spellEnd"/>
      <w:r w:rsidRPr="004C07DD">
        <w:rPr>
          <w:rFonts w:ascii="Times New Roman" w:hAnsi="Times New Roman" w:cs="Times New Roman"/>
          <w:sz w:val="24"/>
          <w:szCs w:val="24"/>
          <w:lang w:val="lv-LV"/>
        </w:rPr>
        <w:t xml:space="preserve"> jomas attīstību.</w:t>
      </w:r>
      <w:r w:rsidR="0019261E" w:rsidRPr="0021709D">
        <w:rPr>
          <w:rFonts w:ascii="Times New Roman" w:hAnsi="Times New Roman" w:cs="Times New Roman"/>
          <w:sz w:val="24"/>
          <w:szCs w:val="24"/>
          <w:lang w:val="lv-LV"/>
        </w:rPr>
        <w:t xml:space="preserve"> </w:t>
      </w:r>
      <w:r w:rsidR="0021709D">
        <w:rPr>
          <w:rFonts w:ascii="Times New Roman" w:hAnsi="Times New Roman" w:cs="Times New Roman"/>
          <w:sz w:val="24"/>
          <w:szCs w:val="24"/>
          <w:lang w:val="lv-LV"/>
        </w:rPr>
        <w:t>Savukārt, atsaucoties</w:t>
      </w:r>
      <w:r w:rsidR="0019261E" w:rsidRPr="0021709D">
        <w:rPr>
          <w:rFonts w:ascii="Times New Roman" w:hAnsi="Times New Roman" w:cs="Times New Roman"/>
          <w:sz w:val="24"/>
          <w:szCs w:val="24"/>
          <w:lang w:val="lv-LV"/>
        </w:rPr>
        <w:t xml:space="preserve"> uz šajā informatīvajā ziņojumā minētajām EK virzītajām iniciatīvām un Blokķēdes partnerības deklarācijas ietvaros noteikto nodomu uzsākt pārrobežu starpvalstu sadarbību potenciālo publiskā sektoru pilotprojektu apskatīšanai un ieviešanai EM līdz 2019. gada beigām plāno organizēt un atbalstīt </w:t>
      </w:r>
      <w:proofErr w:type="spellStart"/>
      <w:r w:rsidR="0019261E" w:rsidRPr="0021709D">
        <w:rPr>
          <w:rFonts w:ascii="Times New Roman" w:hAnsi="Times New Roman" w:cs="Times New Roman"/>
          <w:sz w:val="24"/>
          <w:szCs w:val="24"/>
          <w:lang w:val="lv-LV"/>
        </w:rPr>
        <w:t>hakatonu</w:t>
      </w:r>
      <w:proofErr w:type="spellEnd"/>
      <w:r w:rsidR="0019261E" w:rsidRPr="0021709D">
        <w:rPr>
          <w:rFonts w:ascii="Times New Roman" w:hAnsi="Times New Roman" w:cs="Times New Roman"/>
          <w:sz w:val="24"/>
          <w:szCs w:val="24"/>
          <w:lang w:val="lv-LV"/>
        </w:rPr>
        <w:t>, kas būtu vērsts uz blokķēdes tehnoloģijā balstītas pilotprojekta izstrādi publiskajā sektorā, kur tas spētu sniegt papildus pievienoto vērtību konkrētai darbībai vai pakalpojumam.</w:t>
      </w:r>
    </w:p>
    <w:p w14:paraId="6A9B9944" w14:textId="6173141A" w:rsidR="00B828C3" w:rsidRPr="00372198" w:rsidRDefault="00B828C3" w:rsidP="0019261E">
      <w:pPr>
        <w:pStyle w:val="BodyTextFirstIndent"/>
        <w:spacing w:after="0" w:line="240" w:lineRule="auto"/>
        <w:ind w:firstLine="720"/>
        <w:rPr>
          <w:shd w:val="clear" w:color="auto" w:fill="FFFFFF"/>
        </w:rPr>
      </w:pPr>
      <w:r>
        <w:t xml:space="preserve">Lai veicinātu plānoto pilotprojektu realizāciju, sekotu līdzi </w:t>
      </w:r>
      <w:proofErr w:type="spellStart"/>
      <w:r>
        <w:t>blokķēdes</w:t>
      </w:r>
      <w:proofErr w:type="spellEnd"/>
      <w:r>
        <w:t xml:space="preserve"> tehnoloģijas globālajām attīstības tendencēm</w:t>
      </w:r>
      <w:r w:rsidR="0021709D">
        <w:t xml:space="preserve"> un </w:t>
      </w:r>
      <w:r>
        <w:t>ES politikas attīstībai šajā jomā</w:t>
      </w:r>
      <w:r w:rsidR="0021709D">
        <w:t xml:space="preserve">, kā arī </w:t>
      </w:r>
      <w:r>
        <w:t xml:space="preserve">efektīvi aizstāvētu Latvijas valsts pozīciju un intereses, nodrošinātu raitu </w:t>
      </w:r>
      <w:proofErr w:type="spellStart"/>
      <w:r>
        <w:t>starpinstitucionālo</w:t>
      </w:r>
      <w:proofErr w:type="spellEnd"/>
      <w:r>
        <w:t xml:space="preserve"> informācijas apmaiņu, koordinēti veicinātu sabiedrības informētības un izglītošanas </w:t>
      </w:r>
      <w:r w:rsidRPr="00B94F18">
        <w:t xml:space="preserve">pasākumus, nodrošinātu sadarbību ar privāto sektoru, kā arī identificētu barjeras tehnoloģijas attīstībai un piedāvātu risinājumus to pārvarēšanai, </w:t>
      </w:r>
      <w:r w:rsidR="00B94F18" w:rsidRPr="00B94F18">
        <w:t xml:space="preserve">LB un EM ierosina </w:t>
      </w:r>
      <w:r w:rsidRPr="00B94F18">
        <w:rPr>
          <w:bCs/>
        </w:rPr>
        <w:t>turpināt izveidotās darba grupas</w:t>
      </w:r>
      <w:r w:rsidR="00B94F18" w:rsidRPr="00B94F18">
        <w:rPr>
          <w:bCs/>
        </w:rPr>
        <w:t xml:space="preserve"> (</w:t>
      </w:r>
      <w:r w:rsidR="00B94F18" w:rsidRPr="00B94F18">
        <w:t>EM 12.10.2018. rīkojums Nr. 3.7-1_2018_24)</w:t>
      </w:r>
      <w:r w:rsidRPr="00B94F18">
        <w:rPr>
          <w:bCs/>
        </w:rPr>
        <w:t xml:space="preserve"> darbu vismaz līdz 2019. gada beigām</w:t>
      </w:r>
      <w:r w:rsidRPr="00B94F18">
        <w:t xml:space="preserve"> ar vienu</w:t>
      </w:r>
      <w:r>
        <w:t xml:space="preserve"> no uzdevumiem sagatavot kārtējo darba grupas ziņojumu par paveikto 2019. gadā un priekšlikumus turpmākajiem pasākumiem tehnoloģijas atbalstam. Darba grupas kārtējo ziņojumu līdz 2020. gada 1. janvārim iesniegt izskatīšanai Ministru kabineta sēdē. </w:t>
      </w:r>
      <w:r w:rsidR="00372198">
        <w:t>Papildus tiek aicināts</w:t>
      </w:r>
      <w:r w:rsidR="00372198" w:rsidRPr="00372198">
        <w:t xml:space="preserve"> T</w:t>
      </w:r>
      <w:r w:rsidR="00372198">
        <w:t>M</w:t>
      </w:r>
      <w:r w:rsidR="00372198" w:rsidRPr="00372198">
        <w:t xml:space="preserve"> izvērtēt un sniegt darba grupai atzinumu par esošā juridiskā ietvara attiecināšanu uz </w:t>
      </w:r>
      <w:proofErr w:type="spellStart"/>
      <w:r w:rsidR="00372198" w:rsidRPr="00372198">
        <w:t>blokķēdē</w:t>
      </w:r>
      <w:proofErr w:type="spellEnd"/>
      <w:r w:rsidR="00372198" w:rsidRPr="00372198">
        <w:t xml:space="preserve"> reģistrētiem darījumiem un viedajiem līgumiem, un nepieciešamību veidot jaunu ietvaru Latvijā, lai tie tiktu atzīti par </w:t>
      </w:r>
      <w:r w:rsidR="00690A73">
        <w:t>tiesiskiem</w:t>
      </w:r>
      <w:r w:rsidR="00372198" w:rsidRPr="00372198">
        <w:t>.</w:t>
      </w:r>
    </w:p>
    <w:p w14:paraId="0D7CAA21" w14:textId="77777777" w:rsidR="00543592" w:rsidRDefault="00543592" w:rsidP="00FF7120">
      <w:pPr>
        <w:pStyle w:val="BodyTextFirstIndent"/>
        <w:spacing w:after="0" w:line="240" w:lineRule="auto"/>
        <w:ind w:firstLine="720"/>
        <w:rPr>
          <w:shd w:val="clear" w:color="auto" w:fill="FFFFFF"/>
        </w:rPr>
      </w:pPr>
    </w:p>
    <w:p w14:paraId="0585D09D" w14:textId="2FAC395F" w:rsidR="00543592" w:rsidRPr="00543592" w:rsidRDefault="00447C6E" w:rsidP="00543592">
      <w:pPr>
        <w:spacing w:after="0" w:line="276" w:lineRule="auto"/>
        <w:jc w:val="both"/>
        <w:rPr>
          <w:rFonts w:ascii="Times New Roman" w:eastAsia="Calibri" w:hAnsi="Times New Roman" w:cs="Times New Roman"/>
          <w:sz w:val="26"/>
          <w:szCs w:val="26"/>
          <w:highlight w:val="yellow"/>
          <w:lang w:val="lv-LV" w:eastAsia="lv-LV"/>
        </w:rPr>
      </w:pPr>
      <w:r>
        <w:rPr>
          <w:rFonts w:ascii="Times New Roman" w:eastAsia="Calibri" w:hAnsi="Times New Roman" w:cs="Times New Roman"/>
          <w:sz w:val="26"/>
          <w:szCs w:val="26"/>
          <w:lang w:val="lv-LV" w:eastAsia="lv-LV"/>
        </w:rPr>
        <w:t>E</w:t>
      </w:r>
      <w:r w:rsidR="00543592">
        <w:rPr>
          <w:rFonts w:ascii="Times New Roman" w:eastAsia="Calibri" w:hAnsi="Times New Roman" w:cs="Times New Roman"/>
          <w:sz w:val="26"/>
          <w:szCs w:val="26"/>
          <w:lang w:val="lv-LV" w:eastAsia="lv-LV"/>
        </w:rPr>
        <w:t>konomikas ministrs</w:t>
      </w:r>
      <w:r w:rsidR="00543592">
        <w:rPr>
          <w:rFonts w:ascii="Times New Roman" w:eastAsia="Calibri" w:hAnsi="Times New Roman" w:cs="Times New Roman"/>
          <w:sz w:val="26"/>
          <w:szCs w:val="26"/>
          <w:lang w:val="lv-LV" w:eastAsia="lv-LV"/>
        </w:rPr>
        <w:tab/>
      </w:r>
      <w:r w:rsidR="00543592">
        <w:rPr>
          <w:rFonts w:ascii="Times New Roman" w:eastAsia="Calibri" w:hAnsi="Times New Roman" w:cs="Times New Roman"/>
          <w:sz w:val="26"/>
          <w:szCs w:val="26"/>
          <w:lang w:val="lv-LV" w:eastAsia="lv-LV"/>
        </w:rPr>
        <w:tab/>
      </w:r>
      <w:r w:rsidR="00543592">
        <w:rPr>
          <w:rFonts w:ascii="Times New Roman" w:eastAsia="Calibri" w:hAnsi="Times New Roman" w:cs="Times New Roman"/>
          <w:sz w:val="26"/>
          <w:szCs w:val="26"/>
          <w:lang w:val="lv-LV" w:eastAsia="lv-LV"/>
        </w:rPr>
        <w:tab/>
      </w:r>
      <w:r w:rsidR="00543592">
        <w:rPr>
          <w:rFonts w:ascii="Times New Roman" w:eastAsia="Calibri" w:hAnsi="Times New Roman" w:cs="Times New Roman"/>
          <w:sz w:val="26"/>
          <w:szCs w:val="26"/>
          <w:lang w:val="lv-LV" w:eastAsia="lv-LV"/>
        </w:rPr>
        <w:tab/>
      </w:r>
      <w:r w:rsidR="00543592">
        <w:rPr>
          <w:rFonts w:ascii="Times New Roman" w:eastAsia="Calibri" w:hAnsi="Times New Roman" w:cs="Times New Roman"/>
          <w:sz w:val="26"/>
          <w:szCs w:val="26"/>
          <w:lang w:val="lv-LV" w:eastAsia="lv-LV"/>
        </w:rPr>
        <w:tab/>
      </w:r>
      <w:r w:rsidR="00543592">
        <w:rPr>
          <w:rFonts w:ascii="Times New Roman" w:eastAsia="Calibri" w:hAnsi="Times New Roman" w:cs="Times New Roman"/>
          <w:sz w:val="26"/>
          <w:szCs w:val="26"/>
          <w:lang w:val="lv-LV" w:eastAsia="lv-LV"/>
        </w:rPr>
        <w:tab/>
      </w:r>
      <w:r w:rsidR="00543592">
        <w:rPr>
          <w:rFonts w:ascii="Times New Roman" w:eastAsia="Calibri" w:hAnsi="Times New Roman" w:cs="Times New Roman"/>
          <w:sz w:val="26"/>
          <w:szCs w:val="26"/>
          <w:lang w:val="lv-LV" w:eastAsia="lv-LV"/>
        </w:rPr>
        <w:tab/>
      </w:r>
      <w:proofErr w:type="spellStart"/>
      <w:r>
        <w:rPr>
          <w:rFonts w:ascii="Times New Roman" w:eastAsia="Calibri" w:hAnsi="Times New Roman" w:cs="Times New Roman"/>
          <w:sz w:val="26"/>
          <w:szCs w:val="26"/>
          <w:lang w:val="lv-LV" w:eastAsia="lv-LV"/>
        </w:rPr>
        <w:t>R</w:t>
      </w:r>
      <w:r w:rsidR="00543592" w:rsidRPr="00543592">
        <w:rPr>
          <w:rFonts w:ascii="Times New Roman" w:eastAsia="Calibri" w:hAnsi="Times New Roman" w:cs="Times New Roman"/>
          <w:sz w:val="26"/>
          <w:szCs w:val="26"/>
          <w:lang w:val="lv-LV" w:eastAsia="lv-LV"/>
        </w:rPr>
        <w:t>.</w:t>
      </w:r>
      <w:r>
        <w:rPr>
          <w:rFonts w:ascii="Times New Roman" w:eastAsia="Calibri" w:hAnsi="Times New Roman" w:cs="Times New Roman"/>
          <w:sz w:val="26"/>
          <w:szCs w:val="26"/>
          <w:lang w:val="lv-LV" w:eastAsia="lv-LV"/>
        </w:rPr>
        <w:t>Nemiro</w:t>
      </w:r>
      <w:proofErr w:type="spellEnd"/>
      <w:r w:rsidR="00543592">
        <w:rPr>
          <w:rFonts w:ascii="Times New Roman" w:eastAsia="Calibri" w:hAnsi="Times New Roman" w:cs="Times New Roman"/>
          <w:sz w:val="26"/>
          <w:szCs w:val="26"/>
          <w:lang w:val="lv-LV" w:eastAsia="lv-LV"/>
        </w:rPr>
        <w:tab/>
      </w:r>
      <w:r w:rsidR="00543592">
        <w:rPr>
          <w:rFonts w:ascii="Times New Roman" w:eastAsia="Calibri" w:hAnsi="Times New Roman" w:cs="Times New Roman"/>
          <w:sz w:val="26"/>
          <w:szCs w:val="26"/>
          <w:lang w:val="lv-LV" w:eastAsia="lv-LV"/>
        </w:rPr>
        <w:tab/>
      </w:r>
      <w:r w:rsidR="00543592">
        <w:rPr>
          <w:rFonts w:ascii="Times New Roman" w:eastAsia="Calibri" w:hAnsi="Times New Roman" w:cs="Times New Roman"/>
          <w:sz w:val="26"/>
          <w:szCs w:val="26"/>
          <w:lang w:val="lv-LV" w:eastAsia="lv-LV"/>
        </w:rPr>
        <w:tab/>
      </w:r>
      <w:r w:rsidR="00543592">
        <w:rPr>
          <w:rFonts w:ascii="Times New Roman" w:eastAsia="Calibri" w:hAnsi="Times New Roman" w:cs="Times New Roman"/>
          <w:sz w:val="26"/>
          <w:szCs w:val="26"/>
          <w:lang w:val="lv-LV" w:eastAsia="lv-LV"/>
        </w:rPr>
        <w:tab/>
      </w:r>
      <w:r w:rsidR="00543592">
        <w:rPr>
          <w:rFonts w:ascii="Times New Roman" w:eastAsia="Calibri" w:hAnsi="Times New Roman" w:cs="Times New Roman"/>
          <w:sz w:val="26"/>
          <w:szCs w:val="26"/>
          <w:lang w:val="lv-LV" w:eastAsia="lv-LV"/>
        </w:rPr>
        <w:tab/>
      </w:r>
      <w:r w:rsidR="00543592">
        <w:rPr>
          <w:rFonts w:ascii="Times New Roman" w:eastAsia="Calibri" w:hAnsi="Times New Roman" w:cs="Times New Roman"/>
          <w:sz w:val="26"/>
          <w:szCs w:val="26"/>
          <w:lang w:val="lv-LV" w:eastAsia="lv-LV"/>
        </w:rPr>
        <w:tab/>
        <w:t xml:space="preserve"> </w:t>
      </w:r>
      <w:r w:rsidR="00543592" w:rsidRPr="00543592">
        <w:rPr>
          <w:rFonts w:ascii="Times New Roman" w:eastAsia="Calibri" w:hAnsi="Times New Roman" w:cs="Times New Roman"/>
          <w:sz w:val="26"/>
          <w:szCs w:val="26"/>
          <w:lang w:val="lv-LV" w:eastAsia="lv-LV"/>
        </w:rPr>
        <w:t xml:space="preserve">               </w:t>
      </w:r>
    </w:p>
    <w:p w14:paraId="79A0C737" w14:textId="77777777" w:rsidR="00543592" w:rsidRDefault="00543592" w:rsidP="00543592">
      <w:pPr>
        <w:spacing w:after="0" w:line="276" w:lineRule="auto"/>
        <w:jc w:val="both"/>
        <w:rPr>
          <w:rFonts w:ascii="Times New Roman" w:eastAsia="Calibri" w:hAnsi="Times New Roman" w:cs="Times New Roman"/>
          <w:sz w:val="26"/>
          <w:szCs w:val="26"/>
          <w:lang w:val="lv-LV" w:eastAsia="lv-LV"/>
        </w:rPr>
      </w:pPr>
    </w:p>
    <w:p w14:paraId="280771F3" w14:textId="77777777" w:rsidR="00543592" w:rsidRDefault="00543592" w:rsidP="00543592">
      <w:pPr>
        <w:spacing w:after="0" w:line="276" w:lineRule="auto"/>
        <w:jc w:val="both"/>
        <w:rPr>
          <w:rFonts w:ascii="Times New Roman" w:eastAsia="Calibri" w:hAnsi="Times New Roman" w:cs="Times New Roman"/>
          <w:sz w:val="26"/>
          <w:szCs w:val="26"/>
          <w:lang w:val="lv-LV" w:eastAsia="lv-LV"/>
        </w:rPr>
      </w:pPr>
    </w:p>
    <w:p w14:paraId="40AB2DE6" w14:textId="77777777" w:rsidR="00543592" w:rsidRDefault="00543592" w:rsidP="00543592">
      <w:pPr>
        <w:spacing w:after="0" w:line="276" w:lineRule="auto"/>
        <w:jc w:val="both"/>
        <w:rPr>
          <w:rFonts w:ascii="Times New Roman" w:eastAsia="Calibri" w:hAnsi="Times New Roman" w:cs="Times New Roman"/>
          <w:sz w:val="26"/>
          <w:szCs w:val="26"/>
          <w:lang w:val="lv-LV" w:eastAsia="lv-LV"/>
        </w:rPr>
      </w:pPr>
      <w:bookmarkStart w:id="8" w:name="_GoBack"/>
      <w:bookmarkEnd w:id="8"/>
    </w:p>
    <w:p w14:paraId="020CBA5C" w14:textId="77777777" w:rsidR="00543592" w:rsidRPr="00543592" w:rsidRDefault="00543592" w:rsidP="00543592">
      <w:pPr>
        <w:spacing w:after="0" w:line="276" w:lineRule="auto"/>
        <w:jc w:val="both"/>
        <w:rPr>
          <w:rFonts w:ascii="Times New Roman" w:eastAsia="Calibri" w:hAnsi="Times New Roman" w:cs="Times New Roman"/>
          <w:sz w:val="26"/>
          <w:szCs w:val="26"/>
          <w:lang w:val="lv-LV" w:eastAsia="lv-LV"/>
        </w:rPr>
      </w:pPr>
      <w:r w:rsidRPr="00543592">
        <w:rPr>
          <w:rFonts w:ascii="Times New Roman" w:eastAsia="Calibri" w:hAnsi="Times New Roman" w:cs="Times New Roman"/>
          <w:sz w:val="26"/>
          <w:szCs w:val="26"/>
          <w:lang w:val="lv-LV" w:eastAsia="lv-LV"/>
        </w:rPr>
        <w:t>Vīza:</w:t>
      </w:r>
    </w:p>
    <w:p w14:paraId="3D55FAD1" w14:textId="77777777" w:rsidR="00543592" w:rsidRPr="00543592" w:rsidRDefault="00543592" w:rsidP="00543592">
      <w:pPr>
        <w:spacing w:after="0" w:line="276" w:lineRule="auto"/>
        <w:jc w:val="both"/>
        <w:rPr>
          <w:rFonts w:ascii="Times New Roman" w:eastAsia="Calibri" w:hAnsi="Times New Roman" w:cs="Times New Roman"/>
          <w:sz w:val="26"/>
          <w:szCs w:val="26"/>
          <w:lang w:val="lv-LV" w:eastAsia="lv-LV"/>
        </w:rPr>
      </w:pPr>
      <w:r w:rsidRPr="00543592">
        <w:rPr>
          <w:rFonts w:ascii="Times New Roman" w:eastAsia="Calibri" w:hAnsi="Times New Roman" w:cs="Times New Roman"/>
          <w:sz w:val="26"/>
          <w:szCs w:val="26"/>
          <w:lang w:val="lv-LV" w:eastAsia="lv-LV"/>
        </w:rPr>
        <w:t>Valsts sekretārs</w:t>
      </w:r>
      <w:r w:rsidRPr="00543592">
        <w:rPr>
          <w:rFonts w:ascii="Times New Roman" w:eastAsia="Calibri" w:hAnsi="Times New Roman" w:cs="Times New Roman"/>
          <w:sz w:val="26"/>
          <w:szCs w:val="26"/>
          <w:lang w:val="lv-LV" w:eastAsia="lv-LV"/>
        </w:rPr>
        <w:tab/>
      </w:r>
      <w:r w:rsidRPr="00543592">
        <w:rPr>
          <w:rFonts w:ascii="Times New Roman" w:eastAsia="Calibri" w:hAnsi="Times New Roman" w:cs="Times New Roman"/>
          <w:sz w:val="26"/>
          <w:szCs w:val="26"/>
          <w:lang w:val="lv-LV" w:eastAsia="lv-LV"/>
        </w:rPr>
        <w:tab/>
      </w:r>
      <w:r w:rsidRPr="00543592">
        <w:rPr>
          <w:rFonts w:ascii="Times New Roman" w:eastAsia="Calibri" w:hAnsi="Times New Roman" w:cs="Times New Roman"/>
          <w:sz w:val="26"/>
          <w:szCs w:val="26"/>
          <w:lang w:val="lv-LV" w:eastAsia="lv-LV"/>
        </w:rPr>
        <w:tab/>
      </w:r>
      <w:r w:rsidRPr="00543592">
        <w:rPr>
          <w:rFonts w:ascii="Times New Roman" w:eastAsia="Calibri" w:hAnsi="Times New Roman" w:cs="Times New Roman"/>
          <w:sz w:val="26"/>
          <w:szCs w:val="26"/>
          <w:lang w:val="lv-LV" w:eastAsia="lv-LV"/>
        </w:rPr>
        <w:tab/>
      </w:r>
      <w:r w:rsidRPr="00543592">
        <w:rPr>
          <w:rFonts w:ascii="Times New Roman" w:eastAsia="Calibri" w:hAnsi="Times New Roman" w:cs="Times New Roman"/>
          <w:sz w:val="26"/>
          <w:szCs w:val="26"/>
          <w:lang w:val="lv-LV" w:eastAsia="lv-LV"/>
        </w:rPr>
        <w:tab/>
      </w:r>
      <w:r w:rsidRPr="00543592">
        <w:rPr>
          <w:rFonts w:ascii="Times New Roman" w:eastAsia="Calibri" w:hAnsi="Times New Roman" w:cs="Times New Roman"/>
          <w:sz w:val="26"/>
          <w:szCs w:val="26"/>
          <w:lang w:val="lv-LV" w:eastAsia="lv-LV"/>
        </w:rPr>
        <w:tab/>
        <w:t xml:space="preserve">               </w:t>
      </w:r>
      <w:r w:rsidRPr="00543592">
        <w:rPr>
          <w:rFonts w:ascii="Times New Roman" w:eastAsia="Calibri" w:hAnsi="Times New Roman" w:cs="Times New Roman"/>
          <w:sz w:val="26"/>
          <w:szCs w:val="26"/>
          <w:lang w:val="lv-LV" w:eastAsia="lv-LV"/>
        </w:rPr>
        <w:tab/>
      </w:r>
      <w:r w:rsidRPr="00543592">
        <w:rPr>
          <w:rFonts w:ascii="Times New Roman" w:eastAsia="Calibri" w:hAnsi="Times New Roman" w:cs="Times New Roman"/>
          <w:sz w:val="26"/>
          <w:szCs w:val="26"/>
          <w:lang w:val="lv-LV" w:eastAsia="lv-LV"/>
        </w:rPr>
        <w:tab/>
        <w:t xml:space="preserve"> </w:t>
      </w:r>
      <w:proofErr w:type="spellStart"/>
      <w:r w:rsidRPr="00543592">
        <w:rPr>
          <w:rFonts w:ascii="Times New Roman" w:eastAsia="Calibri" w:hAnsi="Times New Roman" w:cs="Times New Roman"/>
          <w:sz w:val="26"/>
          <w:szCs w:val="26"/>
          <w:lang w:val="lv-LV" w:eastAsia="lv-LV"/>
        </w:rPr>
        <w:t>Ē.Eglītis</w:t>
      </w:r>
      <w:proofErr w:type="spellEnd"/>
    </w:p>
    <w:p w14:paraId="268401E4" w14:textId="77777777" w:rsidR="00543592" w:rsidRPr="00543592" w:rsidRDefault="00543592" w:rsidP="00543592">
      <w:pPr>
        <w:spacing w:after="0" w:line="240" w:lineRule="auto"/>
        <w:jc w:val="both"/>
        <w:rPr>
          <w:rFonts w:ascii="Times New Roman" w:eastAsia="Calibri" w:hAnsi="Times New Roman" w:cs="Times New Roman"/>
          <w:sz w:val="16"/>
          <w:szCs w:val="16"/>
          <w:lang w:val="lv-LV" w:eastAsia="lv-LV"/>
        </w:rPr>
      </w:pPr>
    </w:p>
    <w:p w14:paraId="314949C4" w14:textId="77777777" w:rsidR="00543592" w:rsidRDefault="00543592" w:rsidP="00543592">
      <w:pPr>
        <w:spacing w:after="0" w:line="240" w:lineRule="auto"/>
        <w:jc w:val="both"/>
        <w:rPr>
          <w:rFonts w:ascii="Times New Roman" w:eastAsia="Calibri" w:hAnsi="Times New Roman" w:cs="Times New Roman"/>
          <w:sz w:val="16"/>
          <w:szCs w:val="16"/>
          <w:lang w:val="lv-LV" w:eastAsia="lv-LV"/>
        </w:rPr>
      </w:pPr>
    </w:p>
    <w:p w14:paraId="639FB80C" w14:textId="77777777" w:rsidR="00543592" w:rsidRPr="00543592" w:rsidRDefault="00C16A40" w:rsidP="00543592">
      <w:pPr>
        <w:spacing w:after="0" w:line="240" w:lineRule="auto"/>
        <w:jc w:val="both"/>
        <w:rPr>
          <w:rFonts w:ascii="Times New Roman" w:eastAsia="Calibri" w:hAnsi="Times New Roman" w:cs="Times New Roman"/>
          <w:sz w:val="16"/>
          <w:szCs w:val="16"/>
          <w:lang w:val="lv-LV" w:eastAsia="lv-LV"/>
        </w:rPr>
      </w:pPr>
      <w:proofErr w:type="spellStart"/>
      <w:r w:rsidRPr="00B069A4">
        <w:rPr>
          <w:rFonts w:ascii="Times New Roman" w:eastAsia="Calibri" w:hAnsi="Times New Roman" w:cs="Times New Roman"/>
          <w:sz w:val="16"/>
          <w:szCs w:val="16"/>
          <w:lang w:val="lv-LV" w:eastAsia="lv-LV"/>
        </w:rPr>
        <w:t>E.Ozoliņš</w:t>
      </w:r>
      <w:proofErr w:type="spellEnd"/>
      <w:r w:rsidRPr="00B069A4">
        <w:rPr>
          <w:rFonts w:ascii="Times New Roman" w:eastAsia="Calibri" w:hAnsi="Times New Roman" w:cs="Times New Roman"/>
          <w:sz w:val="16"/>
          <w:szCs w:val="16"/>
          <w:lang w:val="lv-LV" w:eastAsia="lv-LV"/>
        </w:rPr>
        <w:t xml:space="preserve"> - Ozols</w:t>
      </w:r>
      <w:r w:rsidR="00543592" w:rsidRPr="00B069A4">
        <w:rPr>
          <w:rFonts w:ascii="Times New Roman" w:eastAsia="Calibri" w:hAnsi="Times New Roman" w:cs="Times New Roman"/>
          <w:sz w:val="16"/>
          <w:szCs w:val="16"/>
          <w:lang w:val="lv-LV" w:eastAsia="lv-LV"/>
        </w:rPr>
        <w:t>, 670130</w:t>
      </w:r>
      <w:r w:rsidR="00B069A4" w:rsidRPr="00B069A4">
        <w:rPr>
          <w:rFonts w:ascii="Times New Roman" w:eastAsia="Calibri" w:hAnsi="Times New Roman" w:cs="Times New Roman"/>
          <w:sz w:val="16"/>
          <w:szCs w:val="16"/>
          <w:lang w:val="lv-LV" w:eastAsia="lv-LV"/>
        </w:rPr>
        <w:t>11</w:t>
      </w:r>
    </w:p>
    <w:p w14:paraId="01648805" w14:textId="77777777" w:rsidR="00543592" w:rsidRPr="00543592" w:rsidRDefault="00543592" w:rsidP="00543592">
      <w:pPr>
        <w:spacing w:after="0" w:line="240" w:lineRule="auto"/>
        <w:jc w:val="both"/>
        <w:rPr>
          <w:rFonts w:ascii="Times New Roman" w:eastAsia="Times New Roman" w:hAnsi="Times New Roman" w:cs="Times New Roman"/>
          <w:sz w:val="16"/>
          <w:szCs w:val="16"/>
          <w:lang w:val="lv-LV"/>
        </w:rPr>
      </w:pPr>
      <w:r w:rsidRPr="00543592">
        <w:rPr>
          <w:rFonts w:ascii="Times New Roman" w:eastAsia="Calibri" w:hAnsi="Times New Roman" w:cs="Times New Roman"/>
          <w:sz w:val="16"/>
          <w:szCs w:val="16"/>
          <w:lang w:val="lv-LV" w:eastAsia="lv-LV"/>
        </w:rPr>
        <w:t xml:space="preserve">e-pasts: </w:t>
      </w:r>
      <w:hyperlink r:id="rId10" w:history="1">
        <w:r w:rsidR="00C16A40" w:rsidRPr="004632A7">
          <w:rPr>
            <w:rStyle w:val="Hyperlink"/>
            <w:rFonts w:ascii="Times New Roman" w:eastAsia="Calibri" w:hAnsi="Times New Roman" w:cs="Times New Roman"/>
            <w:sz w:val="16"/>
            <w:szCs w:val="16"/>
            <w:lang w:val="lv-LV" w:eastAsia="lv-LV"/>
          </w:rPr>
          <w:t>edgars.ozolins-ozols@em.gov.lv</w:t>
        </w:r>
      </w:hyperlink>
    </w:p>
    <w:p w14:paraId="08C2CB43" w14:textId="77777777" w:rsidR="00543592" w:rsidRPr="00FF7120" w:rsidRDefault="00543592" w:rsidP="00FF7120">
      <w:pPr>
        <w:pStyle w:val="BodyTextFirstIndent"/>
        <w:spacing w:after="0" w:line="240" w:lineRule="auto"/>
        <w:ind w:firstLine="720"/>
        <w:rPr>
          <w:shd w:val="clear" w:color="auto" w:fill="FFFFFF"/>
        </w:rPr>
      </w:pPr>
    </w:p>
    <w:sectPr w:rsidR="00543592" w:rsidRPr="00FF7120" w:rsidSect="00D516BF">
      <w:headerReference w:type="default" r:id="rId11"/>
      <w:footerReference w:type="defaul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98C1D" w14:textId="77777777" w:rsidR="00CC159E" w:rsidRDefault="00CC159E" w:rsidP="00C718D1">
      <w:pPr>
        <w:spacing w:after="0" w:line="240" w:lineRule="auto"/>
      </w:pPr>
      <w:r>
        <w:separator/>
      </w:r>
    </w:p>
  </w:endnote>
  <w:endnote w:type="continuationSeparator" w:id="0">
    <w:p w14:paraId="7CB61BEE" w14:textId="77777777" w:rsidR="00CC159E" w:rsidRDefault="00CC159E" w:rsidP="00C7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9F51C" w14:textId="371ABC0B" w:rsidR="007303D4" w:rsidRPr="00394DF8" w:rsidRDefault="00394DF8" w:rsidP="00394DF8">
    <w:pPr>
      <w:jc w:val="both"/>
      <w:rPr>
        <w:rFonts w:ascii="Times New Roman" w:hAnsi="Times New Roman" w:cs="Times New Roman"/>
        <w:sz w:val="20"/>
        <w:szCs w:val="20"/>
        <w:lang w:val="lv-LV"/>
      </w:rPr>
    </w:pPr>
    <w:r>
      <w:rPr>
        <w:rFonts w:ascii="Times New Roman" w:hAnsi="Times New Roman" w:cs="Times New Roman"/>
        <w:sz w:val="20"/>
        <w:szCs w:val="20"/>
      </w:rPr>
      <w:t>E</w:t>
    </w:r>
    <w:r w:rsidRPr="00110F60">
      <w:rPr>
        <w:rFonts w:ascii="Times New Roman" w:hAnsi="Times New Roman" w:cs="Times New Roman"/>
        <w:sz w:val="20"/>
        <w:szCs w:val="20"/>
      </w:rPr>
      <w:t>MZino_</w:t>
    </w:r>
    <w:r w:rsidR="002E504D">
      <w:rPr>
        <w:rFonts w:ascii="Times New Roman" w:hAnsi="Times New Roman" w:cs="Times New Roman"/>
        <w:sz w:val="20"/>
        <w:szCs w:val="20"/>
      </w:rPr>
      <w:t>1</w:t>
    </w:r>
    <w:r w:rsidR="00703A31">
      <w:rPr>
        <w:rFonts w:ascii="Times New Roman" w:hAnsi="Times New Roman" w:cs="Times New Roman"/>
        <w:sz w:val="20"/>
        <w:szCs w:val="20"/>
      </w:rPr>
      <w:t>8</w:t>
    </w:r>
    <w:r w:rsidR="00231178">
      <w:rPr>
        <w:rFonts w:ascii="Times New Roman" w:hAnsi="Times New Roman" w:cs="Times New Roman"/>
        <w:sz w:val="20"/>
        <w:szCs w:val="20"/>
      </w:rPr>
      <w:t>01</w:t>
    </w:r>
    <w:r w:rsidRPr="00110F60">
      <w:rPr>
        <w:rFonts w:ascii="Times New Roman" w:hAnsi="Times New Roman" w:cs="Times New Roman"/>
        <w:sz w:val="20"/>
        <w:szCs w:val="20"/>
      </w:rPr>
      <w:t>201</w:t>
    </w:r>
    <w:r w:rsidR="00231178">
      <w:rPr>
        <w:rFonts w:ascii="Times New Roman" w:hAnsi="Times New Roman" w:cs="Times New Roman"/>
        <w:sz w:val="20"/>
        <w:szCs w:val="20"/>
      </w:rPr>
      <w:t>9</w:t>
    </w:r>
    <w:r w:rsidRPr="00110F60">
      <w:rPr>
        <w:rFonts w:ascii="Times New Roman" w:hAnsi="Times New Roman" w:cs="Times New Roman"/>
        <w:sz w:val="20"/>
        <w:szCs w:val="20"/>
      </w:rPr>
      <w:t>_</w:t>
    </w:r>
    <w:r>
      <w:rPr>
        <w:rFonts w:ascii="Times New Roman" w:hAnsi="Times New Roman" w:cs="Times New Roman"/>
        <w:sz w:val="20"/>
        <w:szCs w:val="20"/>
      </w:rPr>
      <w:t>blokkede</w:t>
    </w:r>
    <w:r w:rsidRPr="00110F60">
      <w:rPr>
        <w:rFonts w:ascii="Times New Roman" w:hAnsi="Times New Roman" w:cs="Times New Roman"/>
        <w:sz w:val="20"/>
        <w:szCs w:val="20"/>
      </w:rPr>
      <w:t xml:space="preserve">; </w:t>
    </w:r>
    <w:r w:rsidRPr="0060709B">
      <w:rPr>
        <w:rFonts w:ascii="Times New Roman" w:hAnsi="Times New Roman" w:cs="Times New Roman"/>
        <w:sz w:val="20"/>
        <w:szCs w:val="20"/>
        <w:lang w:val="lv-LV"/>
      </w:rPr>
      <w:t>Informatīvais ziņojums</w:t>
    </w:r>
    <w:r>
      <w:rPr>
        <w:rFonts w:ascii="Times New Roman" w:hAnsi="Times New Roman" w:cs="Times New Roman"/>
        <w:sz w:val="20"/>
        <w:szCs w:val="20"/>
        <w:lang w:val="lv-LV"/>
      </w:rPr>
      <w:t xml:space="preserve"> </w:t>
    </w:r>
    <w:r w:rsidRPr="0060709B">
      <w:rPr>
        <w:rFonts w:ascii="Times New Roman" w:hAnsi="Times New Roman" w:cs="Times New Roman"/>
        <w:sz w:val="20"/>
        <w:szCs w:val="20"/>
        <w:lang w:val="lv-LV"/>
      </w:rPr>
      <w:t>“Par blokķēdes tehnoloģijas izmantošanas piemēriem, perspektīvām un tālāko rīcību jomas attīstības veicināšanai”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B92EB" w14:textId="79B23683" w:rsidR="005F7D4A" w:rsidRPr="00FF7120" w:rsidRDefault="0060709B" w:rsidP="0060709B">
    <w:pPr>
      <w:jc w:val="both"/>
      <w:rPr>
        <w:rFonts w:ascii="Times New Roman" w:hAnsi="Times New Roman" w:cs="Times New Roman"/>
        <w:sz w:val="20"/>
        <w:szCs w:val="20"/>
        <w:lang w:val="lv-LV"/>
      </w:rPr>
    </w:pPr>
    <w:r>
      <w:rPr>
        <w:rFonts w:ascii="Times New Roman" w:hAnsi="Times New Roman" w:cs="Times New Roman"/>
        <w:sz w:val="20"/>
        <w:szCs w:val="20"/>
      </w:rPr>
      <w:t>E</w:t>
    </w:r>
    <w:r w:rsidR="00FF7120" w:rsidRPr="00110F60">
      <w:rPr>
        <w:rFonts w:ascii="Times New Roman" w:hAnsi="Times New Roman" w:cs="Times New Roman"/>
        <w:sz w:val="20"/>
        <w:szCs w:val="20"/>
      </w:rPr>
      <w:t>MZino_</w:t>
    </w:r>
    <w:r w:rsidR="002E504D">
      <w:rPr>
        <w:rFonts w:ascii="Times New Roman" w:hAnsi="Times New Roman" w:cs="Times New Roman"/>
        <w:sz w:val="20"/>
        <w:szCs w:val="20"/>
      </w:rPr>
      <w:t>1</w:t>
    </w:r>
    <w:r w:rsidR="00703A31">
      <w:rPr>
        <w:rFonts w:ascii="Times New Roman" w:hAnsi="Times New Roman" w:cs="Times New Roman"/>
        <w:sz w:val="20"/>
        <w:szCs w:val="20"/>
      </w:rPr>
      <w:t>8</w:t>
    </w:r>
    <w:r w:rsidR="00231178">
      <w:rPr>
        <w:rFonts w:ascii="Times New Roman" w:hAnsi="Times New Roman" w:cs="Times New Roman"/>
        <w:sz w:val="20"/>
        <w:szCs w:val="20"/>
      </w:rPr>
      <w:t>01</w:t>
    </w:r>
    <w:r w:rsidR="00FF7120" w:rsidRPr="00110F60">
      <w:rPr>
        <w:rFonts w:ascii="Times New Roman" w:hAnsi="Times New Roman" w:cs="Times New Roman"/>
        <w:sz w:val="20"/>
        <w:szCs w:val="20"/>
      </w:rPr>
      <w:t>201</w:t>
    </w:r>
    <w:r w:rsidR="00231178">
      <w:rPr>
        <w:rFonts w:ascii="Times New Roman" w:hAnsi="Times New Roman" w:cs="Times New Roman"/>
        <w:sz w:val="20"/>
        <w:szCs w:val="20"/>
      </w:rPr>
      <w:t>9</w:t>
    </w:r>
    <w:r w:rsidR="00FF7120" w:rsidRPr="00110F60">
      <w:rPr>
        <w:rFonts w:ascii="Times New Roman" w:hAnsi="Times New Roman" w:cs="Times New Roman"/>
        <w:sz w:val="20"/>
        <w:szCs w:val="20"/>
      </w:rPr>
      <w:t>_</w:t>
    </w:r>
    <w:r>
      <w:rPr>
        <w:rFonts w:ascii="Times New Roman" w:hAnsi="Times New Roman" w:cs="Times New Roman"/>
        <w:sz w:val="20"/>
        <w:szCs w:val="20"/>
      </w:rPr>
      <w:t>blokkede</w:t>
    </w:r>
    <w:r w:rsidR="00FF7120" w:rsidRPr="00110F60">
      <w:rPr>
        <w:rFonts w:ascii="Times New Roman" w:hAnsi="Times New Roman" w:cs="Times New Roman"/>
        <w:sz w:val="20"/>
        <w:szCs w:val="20"/>
      </w:rPr>
      <w:t xml:space="preserve">; </w:t>
    </w:r>
    <w:r w:rsidRPr="0060709B">
      <w:rPr>
        <w:rFonts w:ascii="Times New Roman" w:hAnsi="Times New Roman" w:cs="Times New Roman"/>
        <w:sz w:val="20"/>
        <w:szCs w:val="20"/>
        <w:lang w:val="lv-LV"/>
      </w:rPr>
      <w:t>Informatīvais ziņojums</w:t>
    </w:r>
    <w:r>
      <w:rPr>
        <w:rFonts w:ascii="Times New Roman" w:hAnsi="Times New Roman" w:cs="Times New Roman"/>
        <w:sz w:val="20"/>
        <w:szCs w:val="20"/>
        <w:lang w:val="lv-LV"/>
      </w:rPr>
      <w:t xml:space="preserve"> </w:t>
    </w:r>
    <w:r w:rsidRPr="0060709B">
      <w:rPr>
        <w:rFonts w:ascii="Times New Roman" w:hAnsi="Times New Roman" w:cs="Times New Roman"/>
        <w:sz w:val="20"/>
        <w:szCs w:val="20"/>
        <w:lang w:val="lv-LV"/>
      </w:rPr>
      <w:t>“Par blokķēdes tehnoloģijas izmantošanas piemēriem, perspektīvām un tālāko rīcību jomas attīstības veicināšanai”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057AD" w14:textId="77777777" w:rsidR="00CC159E" w:rsidRDefault="00CC159E" w:rsidP="00C718D1">
      <w:pPr>
        <w:spacing w:after="0" w:line="240" w:lineRule="auto"/>
      </w:pPr>
      <w:r>
        <w:separator/>
      </w:r>
    </w:p>
  </w:footnote>
  <w:footnote w:type="continuationSeparator" w:id="0">
    <w:p w14:paraId="0A92F79D" w14:textId="77777777" w:rsidR="00CC159E" w:rsidRDefault="00CC159E" w:rsidP="00C718D1">
      <w:pPr>
        <w:spacing w:after="0" w:line="240" w:lineRule="auto"/>
      </w:pPr>
      <w:r>
        <w:continuationSeparator/>
      </w:r>
    </w:p>
  </w:footnote>
  <w:footnote w:id="1">
    <w:p w14:paraId="461E5E7D" w14:textId="77777777" w:rsidR="00F83BE6" w:rsidRPr="0066297C" w:rsidRDefault="00F83BE6" w:rsidP="00C04D5D">
      <w:pPr>
        <w:pStyle w:val="FootnoteText"/>
        <w:rPr>
          <w:rFonts w:ascii="Times New Roman" w:hAnsi="Times New Roman" w:cs="Times New Roman"/>
          <w:lang w:val="lv-LV"/>
        </w:rPr>
      </w:pPr>
      <w:r w:rsidRPr="0066297C">
        <w:rPr>
          <w:rStyle w:val="FootnoteReference"/>
          <w:rFonts w:ascii="Times New Roman" w:hAnsi="Times New Roman" w:cs="Times New Roman"/>
        </w:rPr>
        <w:footnoteRef/>
      </w:r>
      <w:proofErr w:type="spellStart"/>
      <w:r w:rsidRPr="0066297C">
        <w:rPr>
          <w:rFonts w:ascii="Times New Roman" w:hAnsi="Times New Roman" w:cs="Times New Roman"/>
        </w:rPr>
        <w:t>Eiropas</w:t>
      </w:r>
      <w:proofErr w:type="spellEnd"/>
      <w:r w:rsidRPr="0066297C">
        <w:rPr>
          <w:rFonts w:ascii="Times New Roman" w:hAnsi="Times New Roman" w:cs="Times New Roman"/>
        </w:rPr>
        <w:t xml:space="preserve"> </w:t>
      </w:r>
      <w:proofErr w:type="spellStart"/>
      <w:r w:rsidRPr="0066297C">
        <w:rPr>
          <w:rFonts w:ascii="Times New Roman" w:hAnsi="Times New Roman" w:cs="Times New Roman"/>
        </w:rPr>
        <w:t>Komisija</w:t>
      </w:r>
      <w:proofErr w:type="spellEnd"/>
      <w:r w:rsidRPr="0066297C">
        <w:rPr>
          <w:rFonts w:ascii="Times New Roman" w:hAnsi="Times New Roman" w:cs="Times New Roman"/>
        </w:rPr>
        <w:t xml:space="preserve">. </w:t>
      </w:r>
      <w:proofErr w:type="spellStart"/>
      <w:r w:rsidRPr="0066297C">
        <w:rPr>
          <w:rFonts w:ascii="Times New Roman" w:hAnsi="Times New Roman" w:cs="Times New Roman"/>
        </w:rPr>
        <w:t>Deklarācija</w:t>
      </w:r>
      <w:proofErr w:type="spellEnd"/>
      <w:r w:rsidRPr="0066297C">
        <w:rPr>
          <w:rFonts w:ascii="Times New Roman" w:hAnsi="Times New Roman" w:cs="Times New Roman"/>
        </w:rPr>
        <w:t xml:space="preserve"> </w:t>
      </w:r>
      <w:proofErr w:type="spellStart"/>
      <w:r w:rsidRPr="0066297C">
        <w:rPr>
          <w:rFonts w:ascii="Times New Roman" w:hAnsi="Times New Roman" w:cs="Times New Roman"/>
        </w:rPr>
        <w:t>blokķēžu</w:t>
      </w:r>
      <w:proofErr w:type="spellEnd"/>
      <w:r w:rsidRPr="0066297C">
        <w:rPr>
          <w:rFonts w:ascii="Times New Roman" w:hAnsi="Times New Roman" w:cs="Times New Roman"/>
        </w:rPr>
        <w:t xml:space="preserve"> </w:t>
      </w:r>
      <w:proofErr w:type="spellStart"/>
      <w:r w:rsidRPr="0066297C">
        <w:rPr>
          <w:rFonts w:ascii="Times New Roman" w:hAnsi="Times New Roman" w:cs="Times New Roman"/>
        </w:rPr>
        <w:t>tehnoloģiju</w:t>
      </w:r>
      <w:proofErr w:type="spellEnd"/>
      <w:r w:rsidRPr="0066297C">
        <w:rPr>
          <w:rFonts w:ascii="Times New Roman" w:hAnsi="Times New Roman" w:cs="Times New Roman"/>
        </w:rPr>
        <w:t xml:space="preserve"> </w:t>
      </w:r>
      <w:proofErr w:type="spellStart"/>
      <w:r w:rsidRPr="0066297C">
        <w:rPr>
          <w:rFonts w:ascii="Times New Roman" w:hAnsi="Times New Roman" w:cs="Times New Roman"/>
        </w:rPr>
        <w:t>jomā</w:t>
      </w:r>
      <w:proofErr w:type="spellEnd"/>
      <w:r w:rsidRPr="0066297C">
        <w:rPr>
          <w:rFonts w:ascii="Times New Roman" w:hAnsi="Times New Roman" w:cs="Times New Roman"/>
        </w:rPr>
        <w:t xml:space="preserve"> [</w:t>
      </w:r>
      <w:proofErr w:type="spellStart"/>
      <w:r w:rsidRPr="0066297C">
        <w:rPr>
          <w:rFonts w:ascii="Times New Roman" w:hAnsi="Times New Roman" w:cs="Times New Roman"/>
        </w:rPr>
        <w:t>tiešsaiste</w:t>
      </w:r>
      <w:proofErr w:type="spellEnd"/>
      <w:r w:rsidRPr="0066297C">
        <w:rPr>
          <w:rFonts w:ascii="Times New Roman" w:hAnsi="Times New Roman" w:cs="Times New Roman"/>
        </w:rPr>
        <w:t xml:space="preserve">]. </w:t>
      </w:r>
      <w:proofErr w:type="spellStart"/>
      <w:r w:rsidRPr="0066297C">
        <w:rPr>
          <w:rFonts w:ascii="Times New Roman" w:hAnsi="Times New Roman" w:cs="Times New Roman"/>
        </w:rPr>
        <w:t>P</w:t>
      </w:r>
      <w:r>
        <w:rPr>
          <w:rFonts w:ascii="Times New Roman" w:hAnsi="Times New Roman" w:cs="Times New Roman"/>
        </w:rPr>
        <w:t>i</w:t>
      </w:r>
      <w:r w:rsidRPr="0066297C">
        <w:rPr>
          <w:rFonts w:ascii="Times New Roman" w:hAnsi="Times New Roman" w:cs="Times New Roman"/>
        </w:rPr>
        <w:t>eejams</w:t>
      </w:r>
      <w:proofErr w:type="spellEnd"/>
      <w:r w:rsidRPr="0066297C">
        <w:rPr>
          <w:rFonts w:ascii="Times New Roman" w:hAnsi="Times New Roman" w:cs="Times New Roman"/>
        </w:rPr>
        <w:t>: https://ec.europa.eu/digital-single-market/en/news/european-countries-join-blockchain-partnership</w:t>
      </w:r>
    </w:p>
  </w:footnote>
  <w:footnote w:id="2">
    <w:p w14:paraId="161BCA3D" w14:textId="11E24776" w:rsidR="00941B0D" w:rsidRPr="008055A2" w:rsidRDefault="00941B0D">
      <w:pPr>
        <w:pStyle w:val="FootnoteText"/>
        <w:rPr>
          <w:lang w:val="lv-LV"/>
        </w:rPr>
      </w:pPr>
      <w:r w:rsidRPr="00CB42BF">
        <w:rPr>
          <w:rStyle w:val="FootnoteReference"/>
        </w:rPr>
        <w:footnoteRef/>
      </w:r>
      <w:r w:rsidRPr="00CB42BF">
        <w:t xml:space="preserve"> </w:t>
      </w:r>
      <w:r w:rsidR="00CB42BF">
        <w:t>STEPTOE &amp; JOHNSON LLP</w:t>
      </w:r>
      <w:r w:rsidRPr="00CB42BF">
        <w:t xml:space="preserve"> </w:t>
      </w:r>
      <w:r w:rsidR="00CB42BF">
        <w:t>“</w:t>
      </w:r>
      <w:r w:rsidR="00CB42BF" w:rsidRPr="00CB42BF">
        <w:t>Blockchain Technology and regulatory investigations</w:t>
      </w:r>
      <w:r w:rsidR="00CB42BF">
        <w:t>”</w:t>
      </w:r>
      <w:r w:rsidRPr="00CB42BF">
        <w:t xml:space="preserve">, 2017, </w:t>
      </w:r>
      <w:proofErr w:type="spellStart"/>
      <w:r w:rsidRPr="00CB42BF">
        <w:t>pieejams</w:t>
      </w:r>
      <w:proofErr w:type="spellEnd"/>
      <w:r w:rsidRPr="00CB42BF">
        <w:t xml:space="preserve">: </w:t>
      </w:r>
      <w:hyperlink r:id="rId1" w:history="1">
        <w:r w:rsidRPr="00CB42BF">
          <w:rPr>
            <w:rStyle w:val="Hyperlink"/>
          </w:rPr>
          <w:t>https://www.steptoe.com/images/content/1/7/v2/171967/LIT-FebMar18-Feature-Blockchain.pdf</w:t>
        </w:r>
      </w:hyperlink>
      <w:r>
        <w:t xml:space="preserve"> </w:t>
      </w:r>
    </w:p>
  </w:footnote>
  <w:footnote w:id="3">
    <w:p w14:paraId="432A3E0F" w14:textId="77777777" w:rsidR="00F83BE6" w:rsidRPr="00EB12FE" w:rsidRDefault="00F83BE6" w:rsidP="00C04D5D">
      <w:pPr>
        <w:pStyle w:val="FootnoteText"/>
        <w:rPr>
          <w:lang w:val="lv-LV"/>
        </w:rPr>
      </w:pPr>
      <w:r w:rsidRPr="00040E7D">
        <w:rPr>
          <w:rStyle w:val="FootnoteReference"/>
        </w:rPr>
        <w:footnoteRef/>
      </w:r>
      <w:r w:rsidRPr="00040E7D">
        <w:t xml:space="preserve"> </w:t>
      </w:r>
      <w:proofErr w:type="spellStart"/>
      <w:r w:rsidRPr="0066297C">
        <w:rPr>
          <w:rFonts w:ascii="Times New Roman" w:hAnsi="Times New Roman" w:cs="Times New Roman"/>
          <w:lang w:val="lv-LV"/>
        </w:rPr>
        <w:t>Deloitte</w:t>
      </w:r>
      <w:proofErr w:type="spellEnd"/>
      <w:r w:rsidRPr="0066297C">
        <w:rPr>
          <w:rFonts w:ascii="Times New Roman" w:hAnsi="Times New Roman" w:cs="Times New Roman"/>
          <w:lang w:val="lv-LV"/>
        </w:rPr>
        <w:t xml:space="preserve"> “</w:t>
      </w:r>
      <w:proofErr w:type="spellStart"/>
      <w:r w:rsidRPr="0066297C">
        <w:rPr>
          <w:rFonts w:ascii="Times New Roman" w:hAnsi="Times New Roman" w:cs="Times New Roman"/>
          <w:lang w:val="lv-LV"/>
        </w:rPr>
        <w:t>Innovation</w:t>
      </w:r>
      <w:proofErr w:type="spellEnd"/>
      <w:r w:rsidRPr="0066297C">
        <w:rPr>
          <w:rFonts w:ascii="Times New Roman" w:hAnsi="Times New Roman" w:cs="Times New Roman"/>
          <w:lang w:val="lv-LV"/>
        </w:rPr>
        <w:t xml:space="preserve"> </w:t>
      </w:r>
      <w:proofErr w:type="spellStart"/>
      <w:r w:rsidRPr="0066297C">
        <w:rPr>
          <w:rFonts w:ascii="Times New Roman" w:hAnsi="Times New Roman" w:cs="Times New Roman"/>
          <w:lang w:val="lv-LV"/>
        </w:rPr>
        <w:t>and</w:t>
      </w:r>
      <w:proofErr w:type="spellEnd"/>
      <w:r w:rsidRPr="0066297C">
        <w:rPr>
          <w:rFonts w:ascii="Times New Roman" w:hAnsi="Times New Roman" w:cs="Times New Roman"/>
          <w:lang w:val="lv-LV"/>
        </w:rPr>
        <w:t xml:space="preserve"> </w:t>
      </w:r>
      <w:proofErr w:type="spellStart"/>
      <w:r w:rsidRPr="0066297C">
        <w:rPr>
          <w:rFonts w:ascii="Times New Roman" w:hAnsi="Times New Roman" w:cs="Times New Roman"/>
          <w:lang w:val="lv-LV"/>
        </w:rPr>
        <w:t>blochchain</w:t>
      </w:r>
      <w:proofErr w:type="spellEnd"/>
      <w:r w:rsidRPr="0066297C">
        <w:rPr>
          <w:rFonts w:ascii="Times New Roman" w:hAnsi="Times New Roman" w:cs="Times New Roman"/>
          <w:lang w:val="lv-LV"/>
        </w:rPr>
        <w:t xml:space="preserve"> </w:t>
      </w:r>
      <w:proofErr w:type="spellStart"/>
      <w:r w:rsidRPr="0066297C">
        <w:rPr>
          <w:rFonts w:ascii="Times New Roman" w:hAnsi="Times New Roman" w:cs="Times New Roman"/>
          <w:lang w:val="lv-LV"/>
        </w:rPr>
        <w:t>surbey</w:t>
      </w:r>
      <w:proofErr w:type="spellEnd"/>
      <w:r w:rsidRPr="0066297C">
        <w:rPr>
          <w:rFonts w:ascii="Times New Roman" w:hAnsi="Times New Roman" w:cs="Times New Roman"/>
          <w:lang w:val="lv-LV"/>
        </w:rPr>
        <w:t>”,  2017 Pieejams: https://www2.</w:t>
      </w:r>
      <w:r w:rsidRPr="00EB12FE">
        <w:rPr>
          <w:rFonts w:ascii="Times New Roman" w:hAnsi="Times New Roman" w:cs="Times New Roman"/>
          <w:lang w:val="lv-LV"/>
        </w:rPr>
        <w:t>deloitte.com/us/en/pages/about-deloitte/articles/2017-innovation-blockchain-survey.html</w:t>
      </w:r>
    </w:p>
  </w:footnote>
  <w:footnote w:id="4">
    <w:p w14:paraId="469B8C42" w14:textId="02267216" w:rsidR="00941B0D" w:rsidRPr="007303D4" w:rsidRDefault="00941B0D">
      <w:pPr>
        <w:pStyle w:val="FootnoteText"/>
      </w:pPr>
      <w:r w:rsidRPr="00EB12FE">
        <w:rPr>
          <w:rStyle w:val="FootnoteReference"/>
          <w:rFonts w:ascii="Times New Roman" w:hAnsi="Times New Roman" w:cs="Times New Roman"/>
        </w:rPr>
        <w:footnoteRef/>
      </w:r>
      <w:r w:rsidRPr="00EB12FE">
        <w:rPr>
          <w:rFonts w:ascii="Times New Roman" w:hAnsi="Times New Roman" w:cs="Times New Roman"/>
        </w:rPr>
        <w:t xml:space="preserve"> </w:t>
      </w:r>
      <w:r w:rsidR="00EB12FE" w:rsidRPr="00EB12FE">
        <w:t xml:space="preserve">Karim Sultan, Umar </w:t>
      </w:r>
      <w:proofErr w:type="spellStart"/>
      <w:r w:rsidR="00EB12FE" w:rsidRPr="00EB12FE">
        <w:t>Ruhi</w:t>
      </w:r>
      <w:proofErr w:type="spellEnd"/>
      <w:r w:rsidR="00EB12FE" w:rsidRPr="00EB12FE">
        <w:t xml:space="preserve"> un Rubina Lakhani</w:t>
      </w:r>
      <w:r w:rsidRPr="00EB12FE">
        <w:rPr>
          <w:rFonts w:ascii="Times New Roman" w:hAnsi="Times New Roman" w:cs="Times New Roman"/>
        </w:rPr>
        <w:t xml:space="preserve">, </w:t>
      </w:r>
      <w:r w:rsidR="00EB12FE" w:rsidRPr="00EB12FE">
        <w:rPr>
          <w:rFonts w:ascii="Times New Roman" w:hAnsi="Times New Roman" w:cs="Times New Roman"/>
        </w:rPr>
        <w:t>“</w:t>
      </w:r>
      <w:r w:rsidR="00EB12FE" w:rsidRPr="00EB12FE">
        <w:t>CONCEPTUALIZING BLOCKCHAINS: CHARACTERISTICS &amp; APPLICATIONS”</w:t>
      </w:r>
      <w:r w:rsidRPr="00EB12FE">
        <w:rPr>
          <w:rFonts w:ascii="Times New Roman" w:hAnsi="Times New Roman" w:cs="Times New Roman"/>
        </w:rPr>
        <w:t xml:space="preserve">, 2018. </w:t>
      </w:r>
      <w:proofErr w:type="spellStart"/>
      <w:r w:rsidRPr="00EB12FE">
        <w:rPr>
          <w:rFonts w:ascii="Times New Roman" w:hAnsi="Times New Roman" w:cs="Times New Roman"/>
        </w:rPr>
        <w:t>Pieejams</w:t>
      </w:r>
      <w:proofErr w:type="spellEnd"/>
      <w:r w:rsidRPr="007303D4">
        <w:rPr>
          <w:rFonts w:ascii="Times New Roman" w:hAnsi="Times New Roman" w:cs="Times New Roman"/>
        </w:rPr>
        <w:t>: https://arxiv.org/ftp/arxiv/papers/1806/1806.03693.pdf</w:t>
      </w:r>
    </w:p>
  </w:footnote>
  <w:footnote w:id="5">
    <w:p w14:paraId="58608C67" w14:textId="77777777" w:rsidR="005F7D4A" w:rsidRPr="006E580B" w:rsidRDefault="005F7D4A">
      <w:pPr>
        <w:pStyle w:val="FootnoteText"/>
        <w:rPr>
          <w:lang w:val="lv-LV"/>
        </w:rPr>
      </w:pPr>
      <w:r>
        <w:rPr>
          <w:rStyle w:val="FootnoteReference"/>
        </w:rPr>
        <w:footnoteRef/>
      </w:r>
      <w:r>
        <w:t xml:space="preserve"> </w:t>
      </w:r>
      <w:r>
        <w:rPr>
          <w:lang w:val="lv-LV"/>
        </w:rPr>
        <w:t xml:space="preserve">LAFPA, 2017. pieejams: </w:t>
      </w:r>
      <w:hyperlink r:id="rId2" w:history="1">
        <w:r w:rsidRPr="00CF7D0A">
          <w:rPr>
            <w:rStyle w:val="Hyperlink"/>
            <w:lang w:val="lv-LV"/>
          </w:rPr>
          <w:t>https://lafpa.lv/content/uploads/2017/02/Fintech_viss-kop%C4%81.pdf</w:t>
        </w:r>
      </w:hyperlink>
      <w:r>
        <w:rPr>
          <w:rStyle w:val="Hyperlink"/>
          <w:lang w:val="lv-LV"/>
        </w:rPr>
        <w:t xml:space="preserve"> </w:t>
      </w:r>
    </w:p>
  </w:footnote>
  <w:footnote w:id="6">
    <w:p w14:paraId="0AF72FC0" w14:textId="77777777" w:rsidR="00F83BE6" w:rsidRPr="005D717A" w:rsidRDefault="00F83BE6" w:rsidP="00C04D5D">
      <w:pPr>
        <w:pStyle w:val="FootnoteText"/>
        <w:rPr>
          <w:lang w:val="lv-LV"/>
        </w:rPr>
      </w:pPr>
      <w:r>
        <w:rPr>
          <w:rStyle w:val="FootnoteReference"/>
        </w:rPr>
        <w:footnoteRef/>
      </w:r>
      <w:r>
        <w:t xml:space="preserve"> </w:t>
      </w:r>
      <w:r w:rsidRPr="009068B4">
        <w:t xml:space="preserve">Wright, De </w:t>
      </w:r>
      <w:proofErr w:type="spellStart"/>
      <w:r w:rsidRPr="009068B4">
        <w:t>Filippi</w:t>
      </w:r>
      <w:proofErr w:type="spellEnd"/>
      <w:r w:rsidRPr="009068B4">
        <w:t xml:space="preserve">, 2015 </w:t>
      </w:r>
      <w:r>
        <w:t>[</w:t>
      </w:r>
      <w:proofErr w:type="spellStart"/>
      <w:r>
        <w:t>tiešsaiste</w:t>
      </w:r>
      <w:proofErr w:type="spellEnd"/>
      <w:r>
        <w:t xml:space="preserve">] </w:t>
      </w:r>
      <w:r w:rsidRPr="009068B4">
        <w:t>https://papers.ssrn.com/sol3/papers.cfm?abstract_id=2580664)</w:t>
      </w:r>
    </w:p>
  </w:footnote>
  <w:footnote w:id="7">
    <w:p w14:paraId="47EF948B" w14:textId="77777777" w:rsidR="00F83BE6" w:rsidRPr="005D717A" w:rsidRDefault="00F83BE6" w:rsidP="00C04D5D">
      <w:pPr>
        <w:pStyle w:val="FootnoteText"/>
        <w:rPr>
          <w:lang w:val="lv-LV"/>
        </w:rPr>
      </w:pPr>
      <w:r w:rsidRPr="00D171DE">
        <w:rPr>
          <w:rStyle w:val="FootnoteReference"/>
        </w:rPr>
        <w:footnoteRef/>
      </w:r>
      <w:r w:rsidRPr="00D171DE">
        <w:t xml:space="preserve"> </w:t>
      </w:r>
      <w:proofErr w:type="spellStart"/>
      <w:r w:rsidRPr="005D717A">
        <w:rPr>
          <w:rFonts w:ascii="Times New Roman" w:hAnsi="Times New Roman" w:cs="Times New Roman"/>
          <w:lang w:val="lv-LV"/>
        </w:rPr>
        <w:t>Karibasic</w:t>
      </w:r>
      <w:proofErr w:type="spellEnd"/>
      <w:r w:rsidRPr="005D717A">
        <w:rPr>
          <w:rFonts w:ascii="Times New Roman" w:hAnsi="Times New Roman" w:cs="Times New Roman"/>
          <w:lang w:val="lv-LV"/>
        </w:rPr>
        <w:t xml:space="preserve">, 2016 </w:t>
      </w:r>
      <w:hyperlink r:id="rId3" w:history="1">
        <w:r w:rsidRPr="005D717A">
          <w:rPr>
            <w:rStyle w:val="Hyperlink"/>
            <w:rFonts w:ascii="Times New Roman" w:hAnsi="Times New Roman" w:cs="Times New Roman"/>
            <w:lang w:val="lv-LV"/>
          </w:rPr>
          <w:t>https://blogs.perficient.com/2016/12/15/how-will-internet-of-things-use-blockchain/</w:t>
        </w:r>
      </w:hyperlink>
    </w:p>
  </w:footnote>
  <w:footnote w:id="8">
    <w:p w14:paraId="4D227063" w14:textId="77777777" w:rsidR="005F7D4A" w:rsidRPr="00FF7120" w:rsidRDefault="005F7D4A">
      <w:pPr>
        <w:pStyle w:val="FootnoteText"/>
        <w:rPr>
          <w:lang w:val="lv-LV"/>
        </w:rPr>
      </w:pPr>
      <w:r>
        <w:rPr>
          <w:rStyle w:val="FootnoteReference"/>
        </w:rPr>
        <w:footnoteRef/>
      </w:r>
      <w:r>
        <w:t xml:space="preserve"> </w:t>
      </w:r>
      <w:r w:rsidRPr="005F7D4A">
        <w:t>European Commission’s</w:t>
      </w:r>
      <w:r>
        <w:t xml:space="preserve"> </w:t>
      </w:r>
      <w:r w:rsidRPr="005F7D4A">
        <w:t xml:space="preserve"> Science for Policy repo</w:t>
      </w:r>
      <w:r>
        <w:t xml:space="preserve">rt by the Joint Research Centre, 2017. </w:t>
      </w:r>
      <w:proofErr w:type="spellStart"/>
      <w:r>
        <w:t>Pieejams</w:t>
      </w:r>
      <w:proofErr w:type="spellEnd"/>
      <w:r>
        <w:t xml:space="preserve">: </w:t>
      </w:r>
      <w:r w:rsidRPr="005F7D4A">
        <w:t>http://publications.jrc.ec.europa.eu/repository/bitstream/JRC108255/jrc108255_blockchain_in_education(1).pdf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037777"/>
      <w:docPartObj>
        <w:docPartGallery w:val="Page Numbers (Top of Page)"/>
        <w:docPartUnique/>
      </w:docPartObj>
    </w:sdtPr>
    <w:sdtEndPr>
      <w:rPr>
        <w:noProof/>
      </w:rPr>
    </w:sdtEndPr>
    <w:sdtContent>
      <w:p w14:paraId="6C0DF17D" w14:textId="77777777" w:rsidR="005F7D4A" w:rsidRDefault="005F7D4A">
        <w:pPr>
          <w:pStyle w:val="Header"/>
          <w:jc w:val="right"/>
        </w:pPr>
        <w:r>
          <w:fldChar w:fldCharType="begin"/>
        </w:r>
        <w:r>
          <w:instrText xml:space="preserve"> PAGE   \* MERGEFORMAT </w:instrText>
        </w:r>
        <w:r>
          <w:fldChar w:fldCharType="separate"/>
        </w:r>
        <w:r w:rsidR="00272CF2">
          <w:rPr>
            <w:noProof/>
          </w:rPr>
          <w:t>12</w:t>
        </w:r>
        <w:r>
          <w:rPr>
            <w:noProof/>
          </w:rPr>
          <w:fldChar w:fldCharType="end"/>
        </w:r>
      </w:p>
    </w:sdtContent>
  </w:sdt>
  <w:p w14:paraId="6DF62D30" w14:textId="77777777" w:rsidR="005F7D4A" w:rsidRDefault="005F7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26A"/>
    <w:multiLevelType w:val="hybridMultilevel"/>
    <w:tmpl w:val="DE260DAA"/>
    <w:lvl w:ilvl="0" w:tplc="7C10E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20F80"/>
    <w:multiLevelType w:val="multilevel"/>
    <w:tmpl w:val="CA7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C7B96"/>
    <w:multiLevelType w:val="hybridMultilevel"/>
    <w:tmpl w:val="F5681EB8"/>
    <w:lvl w:ilvl="0" w:tplc="14EE6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B313A"/>
    <w:multiLevelType w:val="multilevel"/>
    <w:tmpl w:val="29B6A610"/>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499718C"/>
    <w:multiLevelType w:val="hybridMultilevel"/>
    <w:tmpl w:val="26063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A54BB"/>
    <w:multiLevelType w:val="hybridMultilevel"/>
    <w:tmpl w:val="8826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05F44"/>
    <w:multiLevelType w:val="hybridMultilevel"/>
    <w:tmpl w:val="312A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631BF5"/>
    <w:multiLevelType w:val="hybridMultilevel"/>
    <w:tmpl w:val="98265B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2D41FD0"/>
    <w:multiLevelType w:val="hybridMultilevel"/>
    <w:tmpl w:val="4B60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1094A"/>
    <w:multiLevelType w:val="hybridMultilevel"/>
    <w:tmpl w:val="0096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A145E"/>
    <w:multiLevelType w:val="hybridMultilevel"/>
    <w:tmpl w:val="489A8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1358D"/>
    <w:multiLevelType w:val="multilevel"/>
    <w:tmpl w:val="B6AA4618"/>
    <w:lvl w:ilvl="0">
      <w:start w:val="1"/>
      <w:numFmt w:val="decimal"/>
      <w:lvlText w:val="%1."/>
      <w:lvlJc w:val="left"/>
      <w:pPr>
        <w:ind w:left="1080" w:hanging="360"/>
      </w:pPr>
      <w:rPr>
        <w:rFonts w:hint="default"/>
        <w:b/>
        <w:i/>
      </w:rPr>
    </w:lvl>
    <w:lvl w:ilvl="1">
      <w:start w:val="1"/>
      <w:numFmt w:val="decimal"/>
      <w:isLgl/>
      <w:lvlText w:val="%1.%2."/>
      <w:lvlJc w:val="left"/>
      <w:pPr>
        <w:ind w:left="1260" w:hanging="540"/>
      </w:pPr>
      <w:rPr>
        <w:rFonts w:hint="default"/>
        <w:i/>
      </w:rPr>
    </w:lvl>
    <w:lvl w:ilvl="2">
      <w:start w:val="1"/>
      <w:numFmt w:val="decimal"/>
      <w:isLgl/>
      <w:lvlText w:val="%1.%2.%3."/>
      <w:lvlJc w:val="left"/>
      <w:pPr>
        <w:ind w:left="1440" w:hanging="720"/>
      </w:pPr>
      <w:rPr>
        <w:rFonts w:hint="default"/>
        <w:i/>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2CD7CE3"/>
    <w:multiLevelType w:val="hybridMultilevel"/>
    <w:tmpl w:val="E7CAC6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DFE49F0"/>
    <w:multiLevelType w:val="hybridMultilevel"/>
    <w:tmpl w:val="31A01C1C"/>
    <w:lvl w:ilvl="0" w:tplc="6F325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5438F"/>
    <w:multiLevelType w:val="hybridMultilevel"/>
    <w:tmpl w:val="3D6A6A6C"/>
    <w:lvl w:ilvl="0" w:tplc="0358B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B45057"/>
    <w:multiLevelType w:val="hybridMultilevel"/>
    <w:tmpl w:val="82A8D2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6D0E0C37"/>
    <w:multiLevelType w:val="hybridMultilevel"/>
    <w:tmpl w:val="17C06B6E"/>
    <w:lvl w:ilvl="0" w:tplc="B238B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C558B9"/>
    <w:multiLevelType w:val="hybridMultilevel"/>
    <w:tmpl w:val="56042B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7D33066"/>
    <w:multiLevelType w:val="hybridMultilevel"/>
    <w:tmpl w:val="E8AE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B3BAC"/>
    <w:multiLevelType w:val="hybridMultilevel"/>
    <w:tmpl w:val="9230E9D0"/>
    <w:lvl w:ilvl="0" w:tplc="B52CFAF0">
      <w:start w:val="1"/>
      <w:numFmt w:val="bullet"/>
      <w:lvlText w:val="-"/>
      <w:lvlJc w:val="left"/>
      <w:pPr>
        <w:ind w:left="1080" w:hanging="360"/>
      </w:pPr>
      <w:rPr>
        <w:rFonts w:ascii="Calibri" w:eastAsia="Calibri" w:hAnsi="Calibr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10"/>
  </w:num>
  <w:num w:numId="4">
    <w:abstractNumId w:val="13"/>
  </w:num>
  <w:num w:numId="5">
    <w:abstractNumId w:val="16"/>
  </w:num>
  <w:num w:numId="6">
    <w:abstractNumId w:val="6"/>
  </w:num>
  <w:num w:numId="7">
    <w:abstractNumId w:val="1"/>
  </w:num>
  <w:num w:numId="8">
    <w:abstractNumId w:val="7"/>
  </w:num>
  <w:num w:numId="9">
    <w:abstractNumId w:val="12"/>
  </w:num>
  <w:num w:numId="10">
    <w:abstractNumId w:val="17"/>
  </w:num>
  <w:num w:numId="11">
    <w:abstractNumId w:val="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1"/>
  </w:num>
  <w:num w:numId="15">
    <w:abstractNumId w:val="14"/>
  </w:num>
  <w:num w:numId="16">
    <w:abstractNumId w:val="0"/>
  </w:num>
  <w:num w:numId="17">
    <w:abstractNumId w:val="2"/>
  </w:num>
  <w:num w:numId="18">
    <w:abstractNumId w:val="3"/>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B4E"/>
    <w:rsid w:val="000020BF"/>
    <w:rsid w:val="0000479F"/>
    <w:rsid w:val="0001042C"/>
    <w:rsid w:val="000128FA"/>
    <w:rsid w:val="0001731C"/>
    <w:rsid w:val="00017A70"/>
    <w:rsid w:val="00020630"/>
    <w:rsid w:val="00021A1F"/>
    <w:rsid w:val="00023405"/>
    <w:rsid w:val="000343D8"/>
    <w:rsid w:val="000429E3"/>
    <w:rsid w:val="0004741A"/>
    <w:rsid w:val="000679E1"/>
    <w:rsid w:val="0007570F"/>
    <w:rsid w:val="000835C8"/>
    <w:rsid w:val="00091985"/>
    <w:rsid w:val="00096188"/>
    <w:rsid w:val="000973C3"/>
    <w:rsid w:val="000A490E"/>
    <w:rsid w:val="000B3D74"/>
    <w:rsid w:val="000B6397"/>
    <w:rsid w:val="000B7898"/>
    <w:rsid w:val="000B7DC2"/>
    <w:rsid w:val="000C0A70"/>
    <w:rsid w:val="000C0C03"/>
    <w:rsid w:val="000C717F"/>
    <w:rsid w:val="000D13BA"/>
    <w:rsid w:val="000D1A04"/>
    <w:rsid w:val="000D77E6"/>
    <w:rsid w:val="000F0424"/>
    <w:rsid w:val="000F16F5"/>
    <w:rsid w:val="000F286C"/>
    <w:rsid w:val="000F618E"/>
    <w:rsid w:val="000F6DCE"/>
    <w:rsid w:val="00101EAF"/>
    <w:rsid w:val="00103B47"/>
    <w:rsid w:val="00103E63"/>
    <w:rsid w:val="00114FEA"/>
    <w:rsid w:val="001167CE"/>
    <w:rsid w:val="00125135"/>
    <w:rsid w:val="00132280"/>
    <w:rsid w:val="00133716"/>
    <w:rsid w:val="0014064A"/>
    <w:rsid w:val="00146881"/>
    <w:rsid w:val="00160F32"/>
    <w:rsid w:val="00173D56"/>
    <w:rsid w:val="0018437D"/>
    <w:rsid w:val="001856A5"/>
    <w:rsid w:val="0019261E"/>
    <w:rsid w:val="0019405C"/>
    <w:rsid w:val="001974FA"/>
    <w:rsid w:val="001A38C7"/>
    <w:rsid w:val="001A411D"/>
    <w:rsid w:val="001A430F"/>
    <w:rsid w:val="001B0C8C"/>
    <w:rsid w:val="001B5E97"/>
    <w:rsid w:val="001E20A9"/>
    <w:rsid w:val="001F6D24"/>
    <w:rsid w:val="00203B90"/>
    <w:rsid w:val="002139B5"/>
    <w:rsid w:val="0021709D"/>
    <w:rsid w:val="00225636"/>
    <w:rsid w:val="00225AF7"/>
    <w:rsid w:val="00231178"/>
    <w:rsid w:val="0023183C"/>
    <w:rsid w:val="00237933"/>
    <w:rsid w:val="00241369"/>
    <w:rsid w:val="00263F91"/>
    <w:rsid w:val="0026573B"/>
    <w:rsid w:val="00272CF2"/>
    <w:rsid w:val="002763C0"/>
    <w:rsid w:val="00282052"/>
    <w:rsid w:val="002843C5"/>
    <w:rsid w:val="002957B9"/>
    <w:rsid w:val="002C736A"/>
    <w:rsid w:val="002E0134"/>
    <w:rsid w:val="002E504D"/>
    <w:rsid w:val="00304BCB"/>
    <w:rsid w:val="0031485C"/>
    <w:rsid w:val="003202C2"/>
    <w:rsid w:val="00324431"/>
    <w:rsid w:val="00326FF2"/>
    <w:rsid w:val="00334938"/>
    <w:rsid w:val="00335BE8"/>
    <w:rsid w:val="00340D32"/>
    <w:rsid w:val="00340E51"/>
    <w:rsid w:val="003449D8"/>
    <w:rsid w:val="003530CC"/>
    <w:rsid w:val="00354BD0"/>
    <w:rsid w:val="00372198"/>
    <w:rsid w:val="0038184F"/>
    <w:rsid w:val="00394DF8"/>
    <w:rsid w:val="0039722C"/>
    <w:rsid w:val="003A1354"/>
    <w:rsid w:val="003A547D"/>
    <w:rsid w:val="003A5BD2"/>
    <w:rsid w:val="003A72E5"/>
    <w:rsid w:val="003C011E"/>
    <w:rsid w:val="003C051A"/>
    <w:rsid w:val="003E7BCC"/>
    <w:rsid w:val="003F5495"/>
    <w:rsid w:val="004246E8"/>
    <w:rsid w:val="00443EEE"/>
    <w:rsid w:val="004454F0"/>
    <w:rsid w:val="00447C6E"/>
    <w:rsid w:val="00455176"/>
    <w:rsid w:val="00455499"/>
    <w:rsid w:val="004570EB"/>
    <w:rsid w:val="0046281D"/>
    <w:rsid w:val="004706BB"/>
    <w:rsid w:val="00470D5A"/>
    <w:rsid w:val="00481385"/>
    <w:rsid w:val="00491A46"/>
    <w:rsid w:val="004A0E50"/>
    <w:rsid w:val="004C07DD"/>
    <w:rsid w:val="004C1815"/>
    <w:rsid w:val="004C3A04"/>
    <w:rsid w:val="004C4057"/>
    <w:rsid w:val="004D5C2D"/>
    <w:rsid w:val="004E260D"/>
    <w:rsid w:val="004E2653"/>
    <w:rsid w:val="004E3313"/>
    <w:rsid w:val="004E6CD7"/>
    <w:rsid w:val="00504F27"/>
    <w:rsid w:val="0052141C"/>
    <w:rsid w:val="005423D6"/>
    <w:rsid w:val="00543592"/>
    <w:rsid w:val="00546E1F"/>
    <w:rsid w:val="005500DD"/>
    <w:rsid w:val="00560ED5"/>
    <w:rsid w:val="00567EDA"/>
    <w:rsid w:val="00583530"/>
    <w:rsid w:val="00585A38"/>
    <w:rsid w:val="005943F3"/>
    <w:rsid w:val="005A1C16"/>
    <w:rsid w:val="005A4BDF"/>
    <w:rsid w:val="005A510E"/>
    <w:rsid w:val="005A5E3D"/>
    <w:rsid w:val="005B3F9C"/>
    <w:rsid w:val="005B5EF1"/>
    <w:rsid w:val="005D717A"/>
    <w:rsid w:val="005E0062"/>
    <w:rsid w:val="005E2AFF"/>
    <w:rsid w:val="005E5AE9"/>
    <w:rsid w:val="005F2F03"/>
    <w:rsid w:val="005F3653"/>
    <w:rsid w:val="005F4A12"/>
    <w:rsid w:val="005F7D4A"/>
    <w:rsid w:val="0060709B"/>
    <w:rsid w:val="006074D1"/>
    <w:rsid w:val="00621843"/>
    <w:rsid w:val="00627CFE"/>
    <w:rsid w:val="006405CE"/>
    <w:rsid w:val="0064106B"/>
    <w:rsid w:val="006432B0"/>
    <w:rsid w:val="00643AF5"/>
    <w:rsid w:val="00644D6E"/>
    <w:rsid w:val="006469C6"/>
    <w:rsid w:val="00647BDC"/>
    <w:rsid w:val="00652C7D"/>
    <w:rsid w:val="0066297C"/>
    <w:rsid w:val="00665601"/>
    <w:rsid w:val="00673575"/>
    <w:rsid w:val="00676A18"/>
    <w:rsid w:val="00690A73"/>
    <w:rsid w:val="00694117"/>
    <w:rsid w:val="006A19AC"/>
    <w:rsid w:val="006B2EF9"/>
    <w:rsid w:val="006B55BC"/>
    <w:rsid w:val="006C5ED8"/>
    <w:rsid w:val="006D0668"/>
    <w:rsid w:val="006D3E30"/>
    <w:rsid w:val="006D529A"/>
    <w:rsid w:val="006E0E3D"/>
    <w:rsid w:val="006E38AF"/>
    <w:rsid w:val="006E580B"/>
    <w:rsid w:val="006E5E54"/>
    <w:rsid w:val="006F0407"/>
    <w:rsid w:val="00703A31"/>
    <w:rsid w:val="00706785"/>
    <w:rsid w:val="00712F9F"/>
    <w:rsid w:val="007274D7"/>
    <w:rsid w:val="00727813"/>
    <w:rsid w:val="007303D4"/>
    <w:rsid w:val="00736F5F"/>
    <w:rsid w:val="00742BB1"/>
    <w:rsid w:val="00761745"/>
    <w:rsid w:val="0076704B"/>
    <w:rsid w:val="007706D1"/>
    <w:rsid w:val="007725FC"/>
    <w:rsid w:val="0078144F"/>
    <w:rsid w:val="00784E4F"/>
    <w:rsid w:val="0079782E"/>
    <w:rsid w:val="007A3A96"/>
    <w:rsid w:val="007B39F5"/>
    <w:rsid w:val="007B3AEB"/>
    <w:rsid w:val="007C2FFC"/>
    <w:rsid w:val="007D5E13"/>
    <w:rsid w:val="007E3FBD"/>
    <w:rsid w:val="007F7C88"/>
    <w:rsid w:val="008055A2"/>
    <w:rsid w:val="00811825"/>
    <w:rsid w:val="00836060"/>
    <w:rsid w:val="00844DD7"/>
    <w:rsid w:val="00845211"/>
    <w:rsid w:val="00846F20"/>
    <w:rsid w:val="008508EF"/>
    <w:rsid w:val="008509D7"/>
    <w:rsid w:val="00851F47"/>
    <w:rsid w:val="00864474"/>
    <w:rsid w:val="0086478C"/>
    <w:rsid w:val="008853BF"/>
    <w:rsid w:val="008866D3"/>
    <w:rsid w:val="00890E64"/>
    <w:rsid w:val="00892A6C"/>
    <w:rsid w:val="008B2C41"/>
    <w:rsid w:val="008B3756"/>
    <w:rsid w:val="008B6673"/>
    <w:rsid w:val="008D00AE"/>
    <w:rsid w:val="008D30A3"/>
    <w:rsid w:val="008F3F62"/>
    <w:rsid w:val="009068B4"/>
    <w:rsid w:val="00907F5E"/>
    <w:rsid w:val="00915774"/>
    <w:rsid w:val="00935136"/>
    <w:rsid w:val="009378D2"/>
    <w:rsid w:val="00941B0D"/>
    <w:rsid w:val="00957690"/>
    <w:rsid w:val="00957BC9"/>
    <w:rsid w:val="009646E2"/>
    <w:rsid w:val="009865B5"/>
    <w:rsid w:val="0099031A"/>
    <w:rsid w:val="0099426D"/>
    <w:rsid w:val="00995CD2"/>
    <w:rsid w:val="0099636B"/>
    <w:rsid w:val="009A6503"/>
    <w:rsid w:val="009B6706"/>
    <w:rsid w:val="009C5C6B"/>
    <w:rsid w:val="009E4927"/>
    <w:rsid w:val="009F42F8"/>
    <w:rsid w:val="009F6B77"/>
    <w:rsid w:val="00A0303B"/>
    <w:rsid w:val="00A17100"/>
    <w:rsid w:val="00A17733"/>
    <w:rsid w:val="00A239F8"/>
    <w:rsid w:val="00A27FB5"/>
    <w:rsid w:val="00A30398"/>
    <w:rsid w:val="00A377B1"/>
    <w:rsid w:val="00A41923"/>
    <w:rsid w:val="00A52B0D"/>
    <w:rsid w:val="00A53789"/>
    <w:rsid w:val="00A54686"/>
    <w:rsid w:val="00A6649D"/>
    <w:rsid w:val="00A709CC"/>
    <w:rsid w:val="00A7145A"/>
    <w:rsid w:val="00A73D39"/>
    <w:rsid w:val="00A76223"/>
    <w:rsid w:val="00A765A5"/>
    <w:rsid w:val="00A76D5C"/>
    <w:rsid w:val="00AA5FA5"/>
    <w:rsid w:val="00AA7CD9"/>
    <w:rsid w:val="00AB7418"/>
    <w:rsid w:val="00AC6579"/>
    <w:rsid w:val="00AE1231"/>
    <w:rsid w:val="00AE355E"/>
    <w:rsid w:val="00AE5422"/>
    <w:rsid w:val="00AE6D18"/>
    <w:rsid w:val="00B00573"/>
    <w:rsid w:val="00B069A4"/>
    <w:rsid w:val="00B10781"/>
    <w:rsid w:val="00B14B3F"/>
    <w:rsid w:val="00B224B8"/>
    <w:rsid w:val="00B26230"/>
    <w:rsid w:val="00B265A0"/>
    <w:rsid w:val="00B30375"/>
    <w:rsid w:val="00B366B3"/>
    <w:rsid w:val="00B429DC"/>
    <w:rsid w:val="00B5421B"/>
    <w:rsid w:val="00B56DFB"/>
    <w:rsid w:val="00B65064"/>
    <w:rsid w:val="00B727D1"/>
    <w:rsid w:val="00B828C3"/>
    <w:rsid w:val="00B874E7"/>
    <w:rsid w:val="00B92FA8"/>
    <w:rsid w:val="00B94F18"/>
    <w:rsid w:val="00BB1240"/>
    <w:rsid w:val="00BB2BD9"/>
    <w:rsid w:val="00BB4583"/>
    <w:rsid w:val="00BB6E4A"/>
    <w:rsid w:val="00BC72F5"/>
    <w:rsid w:val="00BC775E"/>
    <w:rsid w:val="00BD4C93"/>
    <w:rsid w:val="00BD67DC"/>
    <w:rsid w:val="00BD7CE7"/>
    <w:rsid w:val="00BE70CA"/>
    <w:rsid w:val="00BF26AE"/>
    <w:rsid w:val="00BF5315"/>
    <w:rsid w:val="00C0053F"/>
    <w:rsid w:val="00C03845"/>
    <w:rsid w:val="00C04D5D"/>
    <w:rsid w:val="00C06475"/>
    <w:rsid w:val="00C070EA"/>
    <w:rsid w:val="00C153FB"/>
    <w:rsid w:val="00C16A40"/>
    <w:rsid w:val="00C217FC"/>
    <w:rsid w:val="00C26D6B"/>
    <w:rsid w:val="00C314C5"/>
    <w:rsid w:val="00C4238D"/>
    <w:rsid w:val="00C718D1"/>
    <w:rsid w:val="00C733C7"/>
    <w:rsid w:val="00C74BAC"/>
    <w:rsid w:val="00C75EF1"/>
    <w:rsid w:val="00C83CDC"/>
    <w:rsid w:val="00C928AE"/>
    <w:rsid w:val="00C92FD2"/>
    <w:rsid w:val="00CA6150"/>
    <w:rsid w:val="00CB42BF"/>
    <w:rsid w:val="00CC159E"/>
    <w:rsid w:val="00CC335E"/>
    <w:rsid w:val="00CC3C76"/>
    <w:rsid w:val="00CC4A0B"/>
    <w:rsid w:val="00CC700F"/>
    <w:rsid w:val="00CD39B6"/>
    <w:rsid w:val="00CE6AA5"/>
    <w:rsid w:val="00CE6F7E"/>
    <w:rsid w:val="00CF4F94"/>
    <w:rsid w:val="00CF5297"/>
    <w:rsid w:val="00CF7A7E"/>
    <w:rsid w:val="00D01BDE"/>
    <w:rsid w:val="00D1393C"/>
    <w:rsid w:val="00D16215"/>
    <w:rsid w:val="00D171DE"/>
    <w:rsid w:val="00D22B86"/>
    <w:rsid w:val="00D26539"/>
    <w:rsid w:val="00D325E1"/>
    <w:rsid w:val="00D516BF"/>
    <w:rsid w:val="00D604C6"/>
    <w:rsid w:val="00D60DC0"/>
    <w:rsid w:val="00D61BA7"/>
    <w:rsid w:val="00D7298D"/>
    <w:rsid w:val="00D76390"/>
    <w:rsid w:val="00D83A8A"/>
    <w:rsid w:val="00D854C8"/>
    <w:rsid w:val="00D939CE"/>
    <w:rsid w:val="00D973FC"/>
    <w:rsid w:val="00DA067C"/>
    <w:rsid w:val="00DA1D76"/>
    <w:rsid w:val="00DA2B6E"/>
    <w:rsid w:val="00DC2AB5"/>
    <w:rsid w:val="00DC60D6"/>
    <w:rsid w:val="00DD1853"/>
    <w:rsid w:val="00DD481A"/>
    <w:rsid w:val="00DD64E7"/>
    <w:rsid w:val="00DE15F9"/>
    <w:rsid w:val="00DE596C"/>
    <w:rsid w:val="00DF2FA0"/>
    <w:rsid w:val="00E00D1B"/>
    <w:rsid w:val="00E02AAB"/>
    <w:rsid w:val="00E063B0"/>
    <w:rsid w:val="00E3140A"/>
    <w:rsid w:val="00E359F9"/>
    <w:rsid w:val="00E36B4E"/>
    <w:rsid w:val="00E463A2"/>
    <w:rsid w:val="00E83815"/>
    <w:rsid w:val="00E851B1"/>
    <w:rsid w:val="00E97A50"/>
    <w:rsid w:val="00E97E32"/>
    <w:rsid w:val="00EA26A7"/>
    <w:rsid w:val="00EA45CC"/>
    <w:rsid w:val="00EA58B9"/>
    <w:rsid w:val="00EA5CA3"/>
    <w:rsid w:val="00EB12FE"/>
    <w:rsid w:val="00EB4519"/>
    <w:rsid w:val="00EB468A"/>
    <w:rsid w:val="00ED36B3"/>
    <w:rsid w:val="00EE25EA"/>
    <w:rsid w:val="00EF57A5"/>
    <w:rsid w:val="00EF5C9F"/>
    <w:rsid w:val="00F041F2"/>
    <w:rsid w:val="00F05C6A"/>
    <w:rsid w:val="00F11FCF"/>
    <w:rsid w:val="00F170CD"/>
    <w:rsid w:val="00F3656F"/>
    <w:rsid w:val="00F36CA0"/>
    <w:rsid w:val="00F61EB3"/>
    <w:rsid w:val="00F66219"/>
    <w:rsid w:val="00F71BCA"/>
    <w:rsid w:val="00F83BE6"/>
    <w:rsid w:val="00F83E83"/>
    <w:rsid w:val="00F8593C"/>
    <w:rsid w:val="00F96A2D"/>
    <w:rsid w:val="00FB070A"/>
    <w:rsid w:val="00FC1B51"/>
    <w:rsid w:val="00FC3012"/>
    <w:rsid w:val="00FC51DF"/>
    <w:rsid w:val="00FC7639"/>
    <w:rsid w:val="00FD262F"/>
    <w:rsid w:val="00FF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E8202"/>
  <w15:chartTrackingRefBased/>
  <w15:docId w15:val="{9C831342-DD8F-4C1D-B0BB-363DDA45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FEA"/>
    <w:rPr>
      <w:color w:val="0563C1" w:themeColor="hyperlink"/>
      <w:u w:val="single"/>
    </w:rPr>
  </w:style>
  <w:style w:type="character" w:customStyle="1" w:styleId="UnresolvedMention1">
    <w:name w:val="Unresolved Mention1"/>
    <w:basedOn w:val="DefaultParagraphFont"/>
    <w:uiPriority w:val="99"/>
    <w:semiHidden/>
    <w:unhideWhenUsed/>
    <w:rsid w:val="00114FEA"/>
    <w:rPr>
      <w:color w:val="808080"/>
      <w:shd w:val="clear" w:color="auto" w:fill="E6E6E6"/>
    </w:rPr>
  </w:style>
  <w:style w:type="paragraph" w:styleId="ListParagraph">
    <w:name w:val="List Paragraph"/>
    <w:basedOn w:val="Normal"/>
    <w:uiPriority w:val="34"/>
    <w:qFormat/>
    <w:rsid w:val="00957BC9"/>
    <w:pPr>
      <w:ind w:left="720"/>
      <w:contextualSpacing/>
    </w:pPr>
  </w:style>
  <w:style w:type="character" w:styleId="FollowedHyperlink">
    <w:name w:val="FollowedHyperlink"/>
    <w:basedOn w:val="DefaultParagraphFont"/>
    <w:uiPriority w:val="99"/>
    <w:semiHidden/>
    <w:unhideWhenUsed/>
    <w:rsid w:val="00BF26AE"/>
    <w:rPr>
      <w:color w:val="954F72" w:themeColor="followedHyperlink"/>
      <w:u w:val="single"/>
    </w:rPr>
  </w:style>
  <w:style w:type="character" w:styleId="CommentReference">
    <w:name w:val="annotation reference"/>
    <w:basedOn w:val="DefaultParagraphFont"/>
    <w:uiPriority w:val="99"/>
    <w:semiHidden/>
    <w:unhideWhenUsed/>
    <w:rsid w:val="00D22B86"/>
    <w:rPr>
      <w:sz w:val="16"/>
      <w:szCs w:val="16"/>
    </w:rPr>
  </w:style>
  <w:style w:type="paragraph" w:styleId="CommentText">
    <w:name w:val="annotation text"/>
    <w:basedOn w:val="Normal"/>
    <w:link w:val="CommentTextChar"/>
    <w:uiPriority w:val="99"/>
    <w:semiHidden/>
    <w:unhideWhenUsed/>
    <w:rsid w:val="00D22B86"/>
    <w:pPr>
      <w:spacing w:line="240" w:lineRule="auto"/>
    </w:pPr>
    <w:rPr>
      <w:sz w:val="20"/>
      <w:szCs w:val="20"/>
    </w:rPr>
  </w:style>
  <w:style w:type="character" w:customStyle="1" w:styleId="CommentTextChar">
    <w:name w:val="Comment Text Char"/>
    <w:basedOn w:val="DefaultParagraphFont"/>
    <w:link w:val="CommentText"/>
    <w:uiPriority w:val="99"/>
    <w:semiHidden/>
    <w:rsid w:val="00D22B86"/>
    <w:rPr>
      <w:sz w:val="20"/>
      <w:szCs w:val="20"/>
    </w:rPr>
  </w:style>
  <w:style w:type="paragraph" w:styleId="CommentSubject">
    <w:name w:val="annotation subject"/>
    <w:basedOn w:val="CommentText"/>
    <w:next w:val="CommentText"/>
    <w:link w:val="CommentSubjectChar"/>
    <w:uiPriority w:val="99"/>
    <w:semiHidden/>
    <w:unhideWhenUsed/>
    <w:rsid w:val="00D22B86"/>
    <w:rPr>
      <w:b/>
      <w:bCs/>
    </w:rPr>
  </w:style>
  <w:style w:type="character" w:customStyle="1" w:styleId="CommentSubjectChar">
    <w:name w:val="Comment Subject Char"/>
    <w:basedOn w:val="CommentTextChar"/>
    <w:link w:val="CommentSubject"/>
    <w:uiPriority w:val="99"/>
    <w:semiHidden/>
    <w:rsid w:val="00D22B86"/>
    <w:rPr>
      <w:b/>
      <w:bCs/>
      <w:sz w:val="20"/>
      <w:szCs w:val="20"/>
    </w:rPr>
  </w:style>
  <w:style w:type="paragraph" w:styleId="BalloonText">
    <w:name w:val="Balloon Text"/>
    <w:basedOn w:val="Normal"/>
    <w:link w:val="BalloonTextChar"/>
    <w:uiPriority w:val="99"/>
    <w:semiHidden/>
    <w:unhideWhenUsed/>
    <w:rsid w:val="00D22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B86"/>
    <w:rPr>
      <w:rFonts w:ascii="Segoe UI" w:hAnsi="Segoe UI" w:cs="Segoe UI"/>
      <w:sz w:val="18"/>
      <w:szCs w:val="18"/>
    </w:rPr>
  </w:style>
  <w:style w:type="paragraph" w:customStyle="1" w:styleId="Default">
    <w:name w:val="Default"/>
    <w:rsid w:val="0076704B"/>
    <w:pPr>
      <w:autoSpaceDE w:val="0"/>
      <w:autoSpaceDN w:val="0"/>
      <w:adjustRightInd w:val="0"/>
      <w:spacing w:after="0" w:line="240" w:lineRule="auto"/>
    </w:pPr>
    <w:rPr>
      <w:rFonts w:ascii="Calibri" w:hAnsi="Calibri" w:cs="Calibri"/>
      <w:color w:val="000000"/>
      <w:sz w:val="24"/>
      <w:szCs w:val="24"/>
      <w:lang w:val="en-GB"/>
    </w:rPr>
  </w:style>
  <w:style w:type="table" w:styleId="TableGrid">
    <w:name w:val="Table Grid"/>
    <w:basedOn w:val="TableNormal"/>
    <w:uiPriority w:val="39"/>
    <w:rsid w:val="007670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76704B"/>
    <w:pPr>
      <w:spacing w:after="120"/>
    </w:pPr>
  </w:style>
  <w:style w:type="character" w:customStyle="1" w:styleId="BodyTextChar">
    <w:name w:val="Body Text Char"/>
    <w:basedOn w:val="DefaultParagraphFont"/>
    <w:link w:val="BodyText"/>
    <w:uiPriority w:val="99"/>
    <w:semiHidden/>
    <w:rsid w:val="0076704B"/>
  </w:style>
  <w:style w:type="paragraph" w:styleId="BodyTextFirstIndent">
    <w:name w:val="Body Text First Indent"/>
    <w:basedOn w:val="BodyText"/>
    <w:link w:val="BodyTextFirstIndentChar"/>
    <w:uiPriority w:val="99"/>
    <w:unhideWhenUsed/>
    <w:rsid w:val="0076704B"/>
    <w:pPr>
      <w:spacing w:line="360" w:lineRule="auto"/>
      <w:ind w:firstLine="360"/>
      <w:jc w:val="both"/>
    </w:pPr>
    <w:rPr>
      <w:rFonts w:ascii="Times New Roman" w:hAnsi="Times New Roman" w:cs="Times New Roman"/>
      <w:sz w:val="24"/>
      <w:szCs w:val="24"/>
      <w:lang w:val="lv-LV"/>
    </w:rPr>
  </w:style>
  <w:style w:type="character" w:customStyle="1" w:styleId="BodyTextFirstIndentChar">
    <w:name w:val="Body Text First Indent Char"/>
    <w:basedOn w:val="BodyTextChar"/>
    <w:link w:val="BodyTextFirstIndent"/>
    <w:uiPriority w:val="99"/>
    <w:rsid w:val="0076704B"/>
    <w:rPr>
      <w:rFonts w:ascii="Times New Roman" w:hAnsi="Times New Roman" w:cs="Times New Roman"/>
      <w:sz w:val="24"/>
      <w:szCs w:val="24"/>
      <w:lang w:val="lv-LV"/>
    </w:rPr>
  </w:style>
  <w:style w:type="paragraph" w:styleId="FootnoteText">
    <w:name w:val="footnote text"/>
    <w:basedOn w:val="Normal"/>
    <w:link w:val="FootnoteTextChar"/>
    <w:uiPriority w:val="99"/>
    <w:unhideWhenUsed/>
    <w:rsid w:val="00C718D1"/>
    <w:pPr>
      <w:spacing w:after="0" w:line="240" w:lineRule="auto"/>
    </w:pPr>
    <w:rPr>
      <w:sz w:val="20"/>
      <w:szCs w:val="20"/>
    </w:rPr>
  </w:style>
  <w:style w:type="character" w:customStyle="1" w:styleId="FootnoteTextChar">
    <w:name w:val="Footnote Text Char"/>
    <w:basedOn w:val="DefaultParagraphFont"/>
    <w:link w:val="FootnoteText"/>
    <w:uiPriority w:val="99"/>
    <w:rsid w:val="00C718D1"/>
    <w:rPr>
      <w:sz w:val="20"/>
      <w:szCs w:val="20"/>
    </w:rPr>
  </w:style>
  <w:style w:type="character" w:styleId="FootnoteReference">
    <w:name w:val="footnote reference"/>
    <w:basedOn w:val="DefaultParagraphFont"/>
    <w:uiPriority w:val="99"/>
    <w:unhideWhenUsed/>
    <w:rsid w:val="00C718D1"/>
    <w:rPr>
      <w:vertAlign w:val="superscript"/>
    </w:rPr>
  </w:style>
  <w:style w:type="paragraph" w:styleId="Header">
    <w:name w:val="header"/>
    <w:basedOn w:val="Normal"/>
    <w:link w:val="HeaderChar"/>
    <w:uiPriority w:val="99"/>
    <w:unhideWhenUsed/>
    <w:rsid w:val="003972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722C"/>
  </w:style>
  <w:style w:type="paragraph" w:styleId="Footer">
    <w:name w:val="footer"/>
    <w:basedOn w:val="Normal"/>
    <w:link w:val="FooterChar"/>
    <w:uiPriority w:val="99"/>
    <w:unhideWhenUsed/>
    <w:rsid w:val="003972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722C"/>
  </w:style>
  <w:style w:type="paragraph" w:styleId="Revision">
    <w:name w:val="Revision"/>
    <w:hidden/>
    <w:uiPriority w:val="99"/>
    <w:semiHidden/>
    <w:rsid w:val="006D0668"/>
    <w:pPr>
      <w:spacing w:after="0" w:line="240" w:lineRule="auto"/>
    </w:pPr>
  </w:style>
  <w:style w:type="character" w:customStyle="1" w:styleId="UnresolvedMention2">
    <w:name w:val="Unresolved Mention2"/>
    <w:basedOn w:val="DefaultParagraphFont"/>
    <w:uiPriority w:val="99"/>
    <w:semiHidden/>
    <w:unhideWhenUsed/>
    <w:rsid w:val="00320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30440">
      <w:bodyDiv w:val="1"/>
      <w:marLeft w:val="0"/>
      <w:marRight w:val="0"/>
      <w:marTop w:val="0"/>
      <w:marBottom w:val="0"/>
      <w:divBdr>
        <w:top w:val="none" w:sz="0" w:space="0" w:color="auto"/>
        <w:left w:val="none" w:sz="0" w:space="0" w:color="auto"/>
        <w:bottom w:val="none" w:sz="0" w:space="0" w:color="auto"/>
        <w:right w:val="none" w:sz="0" w:space="0" w:color="auto"/>
      </w:divBdr>
    </w:div>
    <w:div w:id="362756100">
      <w:bodyDiv w:val="1"/>
      <w:marLeft w:val="0"/>
      <w:marRight w:val="0"/>
      <w:marTop w:val="0"/>
      <w:marBottom w:val="0"/>
      <w:divBdr>
        <w:top w:val="none" w:sz="0" w:space="0" w:color="auto"/>
        <w:left w:val="none" w:sz="0" w:space="0" w:color="auto"/>
        <w:bottom w:val="none" w:sz="0" w:space="0" w:color="auto"/>
        <w:right w:val="none" w:sz="0" w:space="0" w:color="auto"/>
      </w:divBdr>
    </w:div>
    <w:div w:id="364912368">
      <w:bodyDiv w:val="1"/>
      <w:marLeft w:val="0"/>
      <w:marRight w:val="0"/>
      <w:marTop w:val="0"/>
      <w:marBottom w:val="0"/>
      <w:divBdr>
        <w:top w:val="none" w:sz="0" w:space="0" w:color="auto"/>
        <w:left w:val="none" w:sz="0" w:space="0" w:color="auto"/>
        <w:bottom w:val="none" w:sz="0" w:space="0" w:color="auto"/>
        <w:right w:val="none" w:sz="0" w:space="0" w:color="auto"/>
      </w:divBdr>
    </w:div>
    <w:div w:id="433668788">
      <w:bodyDiv w:val="1"/>
      <w:marLeft w:val="0"/>
      <w:marRight w:val="0"/>
      <w:marTop w:val="0"/>
      <w:marBottom w:val="0"/>
      <w:divBdr>
        <w:top w:val="none" w:sz="0" w:space="0" w:color="auto"/>
        <w:left w:val="none" w:sz="0" w:space="0" w:color="auto"/>
        <w:bottom w:val="none" w:sz="0" w:space="0" w:color="auto"/>
        <w:right w:val="none" w:sz="0" w:space="0" w:color="auto"/>
      </w:divBdr>
      <w:divsChild>
        <w:div w:id="1439791859">
          <w:marLeft w:val="0"/>
          <w:marRight w:val="0"/>
          <w:marTop w:val="0"/>
          <w:marBottom w:val="0"/>
          <w:divBdr>
            <w:top w:val="none" w:sz="0" w:space="0" w:color="auto"/>
            <w:left w:val="none" w:sz="0" w:space="0" w:color="auto"/>
            <w:bottom w:val="none" w:sz="0" w:space="0" w:color="auto"/>
            <w:right w:val="none" w:sz="0" w:space="0" w:color="auto"/>
          </w:divBdr>
          <w:divsChild>
            <w:div w:id="982810548">
              <w:marLeft w:val="0"/>
              <w:marRight w:val="0"/>
              <w:marTop w:val="0"/>
              <w:marBottom w:val="0"/>
              <w:divBdr>
                <w:top w:val="none" w:sz="0" w:space="0" w:color="auto"/>
                <w:left w:val="none" w:sz="0" w:space="0" w:color="auto"/>
                <w:bottom w:val="none" w:sz="0" w:space="0" w:color="auto"/>
                <w:right w:val="none" w:sz="0" w:space="0" w:color="auto"/>
              </w:divBdr>
              <w:divsChild>
                <w:div w:id="1590263505">
                  <w:marLeft w:val="0"/>
                  <w:marRight w:val="0"/>
                  <w:marTop w:val="0"/>
                  <w:marBottom w:val="0"/>
                  <w:divBdr>
                    <w:top w:val="none" w:sz="0" w:space="0" w:color="auto"/>
                    <w:left w:val="none" w:sz="0" w:space="0" w:color="auto"/>
                    <w:bottom w:val="none" w:sz="0" w:space="0" w:color="auto"/>
                    <w:right w:val="none" w:sz="0" w:space="0" w:color="auto"/>
                  </w:divBdr>
                  <w:divsChild>
                    <w:div w:id="679621821">
                      <w:marLeft w:val="300"/>
                      <w:marRight w:val="300"/>
                      <w:marTop w:val="0"/>
                      <w:marBottom w:val="0"/>
                      <w:divBdr>
                        <w:top w:val="none" w:sz="0" w:space="0" w:color="auto"/>
                        <w:left w:val="none" w:sz="0" w:space="0" w:color="auto"/>
                        <w:bottom w:val="none" w:sz="0" w:space="0" w:color="auto"/>
                        <w:right w:val="none" w:sz="0" w:space="0" w:color="auto"/>
                      </w:divBdr>
                      <w:divsChild>
                        <w:div w:id="162210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34773">
          <w:marLeft w:val="0"/>
          <w:marRight w:val="0"/>
          <w:marTop w:val="0"/>
          <w:marBottom w:val="0"/>
          <w:divBdr>
            <w:top w:val="none" w:sz="0" w:space="0" w:color="auto"/>
            <w:left w:val="none" w:sz="0" w:space="0" w:color="auto"/>
            <w:bottom w:val="none" w:sz="0" w:space="0" w:color="auto"/>
            <w:right w:val="none" w:sz="0" w:space="0" w:color="auto"/>
          </w:divBdr>
          <w:divsChild>
            <w:div w:id="380053235">
              <w:marLeft w:val="0"/>
              <w:marRight w:val="0"/>
              <w:marTop w:val="0"/>
              <w:marBottom w:val="0"/>
              <w:divBdr>
                <w:top w:val="none" w:sz="0" w:space="0" w:color="auto"/>
                <w:left w:val="none" w:sz="0" w:space="0" w:color="auto"/>
                <w:bottom w:val="none" w:sz="0" w:space="0" w:color="auto"/>
                <w:right w:val="none" w:sz="0" w:space="0" w:color="auto"/>
              </w:divBdr>
              <w:divsChild>
                <w:div w:id="1077944893">
                  <w:marLeft w:val="0"/>
                  <w:marRight w:val="0"/>
                  <w:marTop w:val="0"/>
                  <w:marBottom w:val="0"/>
                  <w:divBdr>
                    <w:top w:val="none" w:sz="0" w:space="0" w:color="auto"/>
                    <w:left w:val="none" w:sz="0" w:space="0" w:color="auto"/>
                    <w:bottom w:val="none" w:sz="0" w:space="0" w:color="auto"/>
                    <w:right w:val="none" w:sz="0" w:space="0" w:color="auto"/>
                  </w:divBdr>
                  <w:divsChild>
                    <w:div w:id="1322126188">
                      <w:marLeft w:val="300"/>
                      <w:marRight w:val="300"/>
                      <w:marTop w:val="0"/>
                      <w:marBottom w:val="0"/>
                      <w:divBdr>
                        <w:top w:val="none" w:sz="0" w:space="0" w:color="auto"/>
                        <w:left w:val="none" w:sz="0" w:space="0" w:color="auto"/>
                        <w:bottom w:val="none" w:sz="0" w:space="0" w:color="auto"/>
                        <w:right w:val="none" w:sz="0" w:space="0" w:color="auto"/>
                      </w:divBdr>
                      <w:divsChild>
                        <w:div w:id="1706715203">
                          <w:marLeft w:val="0"/>
                          <w:marRight w:val="0"/>
                          <w:marTop w:val="0"/>
                          <w:marBottom w:val="0"/>
                          <w:divBdr>
                            <w:top w:val="none" w:sz="0" w:space="0" w:color="auto"/>
                            <w:left w:val="none" w:sz="0" w:space="0" w:color="auto"/>
                            <w:bottom w:val="none" w:sz="0" w:space="0" w:color="auto"/>
                            <w:right w:val="none" w:sz="0" w:space="0" w:color="auto"/>
                          </w:divBdr>
                        </w:div>
                        <w:div w:id="2074158645">
                          <w:marLeft w:val="0"/>
                          <w:marRight w:val="0"/>
                          <w:marTop w:val="0"/>
                          <w:marBottom w:val="0"/>
                          <w:divBdr>
                            <w:top w:val="none" w:sz="0" w:space="0" w:color="auto"/>
                            <w:left w:val="none" w:sz="0" w:space="0" w:color="auto"/>
                            <w:bottom w:val="none" w:sz="0" w:space="0" w:color="auto"/>
                            <w:right w:val="none" w:sz="0" w:space="0" w:color="auto"/>
                          </w:divBdr>
                          <w:divsChild>
                            <w:div w:id="40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29191">
      <w:bodyDiv w:val="1"/>
      <w:marLeft w:val="0"/>
      <w:marRight w:val="0"/>
      <w:marTop w:val="0"/>
      <w:marBottom w:val="0"/>
      <w:divBdr>
        <w:top w:val="none" w:sz="0" w:space="0" w:color="auto"/>
        <w:left w:val="none" w:sz="0" w:space="0" w:color="auto"/>
        <w:bottom w:val="none" w:sz="0" w:space="0" w:color="auto"/>
        <w:right w:val="none" w:sz="0" w:space="0" w:color="auto"/>
      </w:divBdr>
    </w:div>
    <w:div w:id="544025131">
      <w:bodyDiv w:val="1"/>
      <w:marLeft w:val="0"/>
      <w:marRight w:val="0"/>
      <w:marTop w:val="0"/>
      <w:marBottom w:val="0"/>
      <w:divBdr>
        <w:top w:val="none" w:sz="0" w:space="0" w:color="auto"/>
        <w:left w:val="none" w:sz="0" w:space="0" w:color="auto"/>
        <w:bottom w:val="none" w:sz="0" w:space="0" w:color="auto"/>
        <w:right w:val="none" w:sz="0" w:space="0" w:color="auto"/>
      </w:divBdr>
    </w:div>
    <w:div w:id="807363616">
      <w:bodyDiv w:val="1"/>
      <w:marLeft w:val="0"/>
      <w:marRight w:val="0"/>
      <w:marTop w:val="0"/>
      <w:marBottom w:val="0"/>
      <w:divBdr>
        <w:top w:val="none" w:sz="0" w:space="0" w:color="auto"/>
        <w:left w:val="none" w:sz="0" w:space="0" w:color="auto"/>
        <w:bottom w:val="none" w:sz="0" w:space="0" w:color="auto"/>
        <w:right w:val="none" w:sz="0" w:space="0" w:color="auto"/>
      </w:divBdr>
    </w:div>
    <w:div w:id="870070345">
      <w:bodyDiv w:val="1"/>
      <w:marLeft w:val="0"/>
      <w:marRight w:val="0"/>
      <w:marTop w:val="0"/>
      <w:marBottom w:val="0"/>
      <w:divBdr>
        <w:top w:val="none" w:sz="0" w:space="0" w:color="auto"/>
        <w:left w:val="none" w:sz="0" w:space="0" w:color="auto"/>
        <w:bottom w:val="none" w:sz="0" w:space="0" w:color="auto"/>
        <w:right w:val="none" w:sz="0" w:space="0" w:color="auto"/>
      </w:divBdr>
    </w:div>
    <w:div w:id="890964079">
      <w:bodyDiv w:val="1"/>
      <w:marLeft w:val="0"/>
      <w:marRight w:val="0"/>
      <w:marTop w:val="0"/>
      <w:marBottom w:val="0"/>
      <w:divBdr>
        <w:top w:val="none" w:sz="0" w:space="0" w:color="auto"/>
        <w:left w:val="none" w:sz="0" w:space="0" w:color="auto"/>
        <w:bottom w:val="none" w:sz="0" w:space="0" w:color="auto"/>
        <w:right w:val="none" w:sz="0" w:space="0" w:color="auto"/>
      </w:divBdr>
    </w:div>
    <w:div w:id="894008096">
      <w:bodyDiv w:val="1"/>
      <w:marLeft w:val="0"/>
      <w:marRight w:val="0"/>
      <w:marTop w:val="0"/>
      <w:marBottom w:val="0"/>
      <w:divBdr>
        <w:top w:val="none" w:sz="0" w:space="0" w:color="auto"/>
        <w:left w:val="none" w:sz="0" w:space="0" w:color="auto"/>
        <w:bottom w:val="none" w:sz="0" w:space="0" w:color="auto"/>
        <w:right w:val="none" w:sz="0" w:space="0" w:color="auto"/>
      </w:divBdr>
    </w:div>
    <w:div w:id="1158766315">
      <w:bodyDiv w:val="1"/>
      <w:marLeft w:val="0"/>
      <w:marRight w:val="0"/>
      <w:marTop w:val="0"/>
      <w:marBottom w:val="0"/>
      <w:divBdr>
        <w:top w:val="none" w:sz="0" w:space="0" w:color="auto"/>
        <w:left w:val="none" w:sz="0" w:space="0" w:color="auto"/>
        <w:bottom w:val="none" w:sz="0" w:space="0" w:color="auto"/>
        <w:right w:val="none" w:sz="0" w:space="0" w:color="auto"/>
      </w:divBdr>
    </w:div>
    <w:div w:id="1358121109">
      <w:bodyDiv w:val="1"/>
      <w:marLeft w:val="0"/>
      <w:marRight w:val="0"/>
      <w:marTop w:val="0"/>
      <w:marBottom w:val="0"/>
      <w:divBdr>
        <w:top w:val="none" w:sz="0" w:space="0" w:color="auto"/>
        <w:left w:val="none" w:sz="0" w:space="0" w:color="auto"/>
        <w:bottom w:val="none" w:sz="0" w:space="0" w:color="auto"/>
        <w:right w:val="none" w:sz="0" w:space="0" w:color="auto"/>
      </w:divBdr>
    </w:div>
    <w:div w:id="1722240682">
      <w:bodyDiv w:val="1"/>
      <w:marLeft w:val="0"/>
      <w:marRight w:val="0"/>
      <w:marTop w:val="0"/>
      <w:marBottom w:val="0"/>
      <w:divBdr>
        <w:top w:val="none" w:sz="0" w:space="0" w:color="auto"/>
        <w:left w:val="none" w:sz="0" w:space="0" w:color="auto"/>
        <w:bottom w:val="none" w:sz="0" w:space="0" w:color="auto"/>
        <w:right w:val="none" w:sz="0" w:space="0" w:color="auto"/>
      </w:divBdr>
    </w:div>
    <w:div w:id="1882982785">
      <w:bodyDiv w:val="1"/>
      <w:marLeft w:val="0"/>
      <w:marRight w:val="0"/>
      <w:marTop w:val="0"/>
      <w:marBottom w:val="0"/>
      <w:divBdr>
        <w:top w:val="none" w:sz="0" w:space="0" w:color="auto"/>
        <w:left w:val="none" w:sz="0" w:space="0" w:color="auto"/>
        <w:bottom w:val="none" w:sz="0" w:space="0" w:color="auto"/>
        <w:right w:val="none" w:sz="0" w:space="0" w:color="auto"/>
      </w:divBdr>
    </w:div>
    <w:div w:id="211000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gars.ozolins-ozols@e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logs.perficient.com/2016/12/15/how-will-internet-of-things-use-blockchain/" TargetMode="External"/><Relationship Id="rId2" Type="http://schemas.openxmlformats.org/officeDocument/2006/relationships/hyperlink" Target="https://lafpa.lv/content/uploads/2017/02/Fintech_viss-kop%C4%81.pdf" TargetMode="External"/><Relationship Id="rId1" Type="http://schemas.openxmlformats.org/officeDocument/2006/relationships/hyperlink" Target="https://www.steptoe.com/images/content/1/7/v2/171967/LIT-FebMar18-Feature-Blockch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4D82F-E089-41D6-8E18-069E6D9F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1223</TotalTime>
  <Pages>13</Pages>
  <Words>5415</Words>
  <Characters>30870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Ozoliņš-Ozols</dc:creator>
  <cp:keywords/>
  <dc:description/>
  <cp:lastModifiedBy>Edgars Ozoliņš-Ozols</cp:lastModifiedBy>
  <cp:revision>10</cp:revision>
  <dcterms:created xsi:type="dcterms:W3CDTF">2019-01-10T08:17:00Z</dcterms:created>
  <dcterms:modified xsi:type="dcterms:W3CDTF">2019-01-31T07:08:00Z</dcterms:modified>
</cp:coreProperties>
</file>