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451F5C" w:rsidRDefault="00BD23E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451F5C">
        <w:rPr>
          <w:rFonts w:ascii="Times New Roman" w:eastAsia="Times New Roman" w:hAnsi="Times New Roman" w:cs="Times New Roman"/>
          <w:b/>
          <w:bCs/>
          <w:color w:val="414142"/>
          <w:sz w:val="28"/>
          <w:szCs w:val="24"/>
          <w:lang w:eastAsia="lv-LV"/>
        </w:rPr>
        <w:t>Likum</w:t>
      </w:r>
      <w:r w:rsidR="00894C55" w:rsidRPr="00451F5C">
        <w:rPr>
          <w:rFonts w:ascii="Times New Roman" w:eastAsia="Times New Roman" w:hAnsi="Times New Roman" w:cs="Times New Roman"/>
          <w:b/>
          <w:bCs/>
          <w:color w:val="414142"/>
          <w:sz w:val="28"/>
          <w:szCs w:val="24"/>
          <w:lang w:eastAsia="lv-LV"/>
        </w:rPr>
        <w:t>projekta</w:t>
      </w:r>
      <w:r w:rsidRPr="00451F5C">
        <w:rPr>
          <w:rFonts w:ascii="Times New Roman" w:eastAsia="Times New Roman" w:hAnsi="Times New Roman" w:cs="Times New Roman"/>
          <w:b/>
          <w:bCs/>
          <w:color w:val="414142"/>
          <w:sz w:val="28"/>
          <w:szCs w:val="24"/>
          <w:lang w:eastAsia="lv-LV"/>
        </w:rPr>
        <w:t xml:space="preserve"> “Grozījumi Noziedzīgi iegūtu līdzekļu legalizācijas un terorisma finansēšanas </w:t>
      </w:r>
      <w:r w:rsidR="00921C3D" w:rsidRPr="00451F5C">
        <w:rPr>
          <w:rFonts w:ascii="Times New Roman" w:eastAsia="Times New Roman" w:hAnsi="Times New Roman" w:cs="Times New Roman"/>
          <w:b/>
          <w:bCs/>
          <w:color w:val="414142"/>
          <w:sz w:val="28"/>
          <w:szCs w:val="24"/>
          <w:lang w:eastAsia="lv-LV"/>
        </w:rPr>
        <w:t>novēršanas</w:t>
      </w:r>
      <w:r w:rsidRPr="00451F5C">
        <w:rPr>
          <w:rFonts w:ascii="Times New Roman" w:eastAsia="Times New Roman" w:hAnsi="Times New Roman" w:cs="Times New Roman"/>
          <w:b/>
          <w:bCs/>
          <w:color w:val="414142"/>
          <w:sz w:val="28"/>
          <w:szCs w:val="24"/>
          <w:lang w:eastAsia="lv-LV"/>
        </w:rPr>
        <w:t xml:space="preserve"> likumā”</w:t>
      </w:r>
      <w:r w:rsidR="003B0BF9" w:rsidRPr="00451F5C">
        <w:rPr>
          <w:rFonts w:ascii="Times New Roman" w:eastAsia="Times New Roman" w:hAnsi="Times New Roman" w:cs="Times New Roman"/>
          <w:b/>
          <w:bCs/>
          <w:color w:val="414142"/>
          <w:sz w:val="28"/>
          <w:szCs w:val="24"/>
          <w:lang w:eastAsia="lv-LV"/>
        </w:rPr>
        <w:br/>
      </w:r>
      <w:r w:rsidR="00894C55" w:rsidRPr="00451F5C">
        <w:rPr>
          <w:rFonts w:ascii="Times New Roman" w:eastAsia="Times New Roman" w:hAnsi="Times New Roman" w:cs="Times New Roman"/>
          <w:b/>
          <w:bCs/>
          <w:color w:val="414142"/>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1F5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Tiesību akta projekta anotācijas kopsavilkums</w:t>
            </w:r>
          </w:p>
        </w:tc>
      </w:tr>
      <w:tr w:rsidR="00E5323B" w:rsidRPr="00451F5C" w:rsidTr="00674AA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FF2494" w:rsidRPr="00451F5C" w:rsidRDefault="00FF2494" w:rsidP="00EC4AD8">
            <w:pPr>
              <w:spacing w:after="0" w:line="240" w:lineRule="auto"/>
              <w:ind w:firstLine="408"/>
              <w:jc w:val="both"/>
              <w:rPr>
                <w:rFonts w:ascii="Times New Roman" w:hAnsi="Times New Roman" w:cs="Times New Roman"/>
                <w:color w:val="000000" w:themeColor="text1"/>
                <w:sz w:val="24"/>
                <w:szCs w:val="24"/>
                <w:shd w:val="clear" w:color="auto" w:fill="FFFFFF"/>
              </w:rPr>
            </w:pPr>
            <w:r w:rsidRPr="00451F5C">
              <w:rPr>
                <w:rFonts w:ascii="Times New Roman" w:hAnsi="Times New Roman" w:cs="Times New Roman"/>
                <w:color w:val="000000"/>
                <w:sz w:val="24"/>
                <w:szCs w:val="24"/>
                <w:shd w:val="clear" w:color="auto" w:fill="FFFFFF"/>
              </w:rPr>
              <w:t xml:space="preserve">Ņemot vērā jaunās tendences, kuras iezīmējušās noziedzīgi iegūtu līdzekļu legalizācijā un terorisma finansēšanā, efektīvāka atbilstoši jaunajām tendencēm  noziedzīgi iegūtu līdzekļu legalizācijas novēršanas sistēma ir būtiska, lai nodrošinātu cīņu ar </w:t>
            </w:r>
            <w:r w:rsidRPr="00451F5C">
              <w:rPr>
                <w:rFonts w:ascii="Times New Roman" w:hAnsi="Times New Roman" w:cs="Times New Roman"/>
                <w:color w:val="000000" w:themeColor="text1"/>
                <w:sz w:val="24"/>
                <w:szCs w:val="24"/>
                <w:shd w:val="clear" w:color="auto" w:fill="FFFFFF"/>
              </w:rPr>
              <w:t xml:space="preserve">noziedzību, kā arī finanšu  un </w:t>
            </w:r>
            <w:proofErr w:type="spellStart"/>
            <w:r w:rsidRPr="00451F5C">
              <w:rPr>
                <w:rFonts w:ascii="Times New Roman" w:hAnsi="Times New Roman" w:cs="Times New Roman"/>
                <w:color w:val="000000" w:themeColor="text1"/>
                <w:sz w:val="24"/>
                <w:szCs w:val="24"/>
                <w:shd w:val="clear" w:color="auto" w:fill="FFFFFF"/>
              </w:rPr>
              <w:t>nefinanšu</w:t>
            </w:r>
            <w:proofErr w:type="spellEnd"/>
            <w:r w:rsidRPr="00451F5C">
              <w:rPr>
                <w:rFonts w:ascii="Times New Roman" w:hAnsi="Times New Roman" w:cs="Times New Roman"/>
                <w:color w:val="000000" w:themeColor="text1"/>
                <w:sz w:val="24"/>
                <w:szCs w:val="24"/>
                <w:shd w:val="clear" w:color="auto" w:fill="FFFFFF"/>
              </w:rPr>
              <w:t xml:space="preserve"> sektora un valsts reputāciju starptautiskā līmenī, 2018.gada 30.maijā tika publicēta Eiropas Parlamenta un Padomes Direktīva (ES)2018/843 ar ko groza Direktīvu (ES) 2015/849 par to, lai nepieļautu finanšu sistēmas izmantošanu nelikumīgi iegūtu līdzekļu legalizēšanai vai teroristu finansēšanai, un ar ko groza Direktīvas 2009/138/EK un 2013/36/ES (turpmāk – AML V direktīva). AML V direktīvas transponēšanas termiņš ir </w:t>
            </w:r>
            <w:r w:rsidRPr="00451F5C">
              <w:rPr>
                <w:rFonts w:ascii="Times New Roman" w:hAnsi="Times New Roman" w:cs="Times New Roman"/>
                <w:color w:val="000000" w:themeColor="text1"/>
                <w:sz w:val="24"/>
                <w:szCs w:val="24"/>
              </w:rPr>
              <w:t>līdz</w:t>
            </w:r>
            <w:r w:rsidRPr="00451F5C">
              <w:rPr>
                <w:rFonts w:ascii="Times New Roman" w:hAnsi="Times New Roman" w:cs="Times New Roman"/>
                <w:color w:val="000000" w:themeColor="text1"/>
                <w:sz w:val="24"/>
                <w:szCs w:val="24"/>
                <w:shd w:val="clear" w:color="auto" w:fill="FFFFFF"/>
              </w:rPr>
              <w:t xml:space="preserve"> 2020.gada 10.janvārim.</w:t>
            </w:r>
          </w:p>
          <w:p w:rsidR="00FF2494" w:rsidRPr="00451F5C" w:rsidRDefault="00FF2494" w:rsidP="00EC4AD8">
            <w:pPr>
              <w:spacing w:after="0" w:line="240" w:lineRule="auto"/>
              <w:ind w:firstLine="408"/>
              <w:jc w:val="both"/>
              <w:rPr>
                <w:rFonts w:ascii="Times New Roman" w:hAnsi="Times New Roman" w:cs="Times New Roman"/>
                <w:color w:val="000000" w:themeColor="text1"/>
                <w:sz w:val="24"/>
                <w:szCs w:val="24"/>
                <w:shd w:val="clear" w:color="auto" w:fill="FFFFFF"/>
              </w:rPr>
            </w:pPr>
            <w:r w:rsidRPr="00451F5C">
              <w:rPr>
                <w:rFonts w:ascii="Times New Roman" w:hAnsi="Times New Roman" w:cs="Times New Roman"/>
                <w:color w:val="000000" w:themeColor="text1"/>
                <w:sz w:val="24"/>
                <w:szCs w:val="24"/>
                <w:shd w:val="clear" w:color="auto" w:fill="FFFFFF"/>
              </w:rPr>
              <w:t xml:space="preserve">Noziedzīgi iegūtu līdzekļu legalizācijas un terorisma finansēšanas novēršanas likumā (turpmāk -NILLTFNL) ir nepieciešams precizēt nepilnības atbilstoši 2018.gada 4.jūlijā Eiropas Padomes </w:t>
            </w:r>
            <w:proofErr w:type="spellStart"/>
            <w:r w:rsidRPr="00451F5C">
              <w:rPr>
                <w:rFonts w:ascii="Times New Roman" w:hAnsi="Times New Roman" w:cs="Times New Roman"/>
                <w:color w:val="000000" w:themeColor="text1"/>
                <w:sz w:val="24"/>
                <w:szCs w:val="24"/>
                <w:shd w:val="clear" w:color="auto" w:fill="FFFFFF"/>
              </w:rPr>
              <w:t>Moneyval</w:t>
            </w:r>
            <w:proofErr w:type="spellEnd"/>
            <w:r w:rsidRPr="00451F5C">
              <w:rPr>
                <w:rFonts w:ascii="Times New Roman" w:hAnsi="Times New Roman" w:cs="Times New Roman"/>
                <w:color w:val="000000" w:themeColor="text1"/>
                <w:sz w:val="24"/>
                <w:szCs w:val="24"/>
                <w:shd w:val="clear" w:color="auto" w:fill="FFFFFF"/>
              </w:rPr>
              <w:t xml:space="preserve"> komitejas plenārsēdē apstiprinātajam 5.kārtas ziņojuma par Latvijas noziedzīgi iegūtu līdzekļu legalizācijas un terorisma novēršanas sistēmas efektivitāti (turpmāk - </w:t>
            </w:r>
            <w:proofErr w:type="spellStart"/>
            <w:r w:rsidRPr="00451F5C">
              <w:rPr>
                <w:rFonts w:ascii="Times New Roman" w:hAnsi="Times New Roman" w:cs="Times New Roman"/>
                <w:color w:val="000000" w:themeColor="text1"/>
                <w:sz w:val="24"/>
                <w:szCs w:val="24"/>
                <w:shd w:val="clear" w:color="auto" w:fill="FFFFFF"/>
              </w:rPr>
              <w:t>Moneyval</w:t>
            </w:r>
            <w:proofErr w:type="spellEnd"/>
            <w:r w:rsidRPr="00451F5C">
              <w:rPr>
                <w:rFonts w:ascii="Times New Roman" w:hAnsi="Times New Roman" w:cs="Times New Roman"/>
                <w:color w:val="000000" w:themeColor="text1"/>
                <w:sz w:val="24"/>
                <w:szCs w:val="24"/>
                <w:shd w:val="clear" w:color="auto" w:fill="FFFFFF"/>
              </w:rPr>
              <w:t xml:space="preserve"> ziņojums) </w:t>
            </w:r>
            <w:r w:rsidRPr="00451F5C">
              <w:rPr>
                <w:rFonts w:ascii="Times New Roman" w:hAnsi="Times New Roman" w:cs="Times New Roman"/>
                <w:color w:val="000000" w:themeColor="text1"/>
                <w:sz w:val="24"/>
                <w:szCs w:val="24"/>
              </w:rPr>
              <w:t>secinājumiem</w:t>
            </w:r>
            <w:r w:rsidRPr="00451F5C">
              <w:rPr>
                <w:rFonts w:ascii="Times New Roman" w:hAnsi="Times New Roman" w:cs="Times New Roman"/>
                <w:color w:val="000000" w:themeColor="text1"/>
                <w:sz w:val="24"/>
                <w:szCs w:val="24"/>
                <w:shd w:val="clear" w:color="auto" w:fill="FFFFFF"/>
              </w:rPr>
              <w:t xml:space="preserve">, kurš tika publicēts 2018.gada 23.augustā. </w:t>
            </w:r>
          </w:p>
          <w:p w:rsidR="006943D6" w:rsidRPr="00451F5C" w:rsidRDefault="00FF2494" w:rsidP="00EC4AD8">
            <w:pPr>
              <w:spacing w:after="0" w:line="240" w:lineRule="auto"/>
              <w:ind w:firstLine="408"/>
              <w:jc w:val="both"/>
              <w:rPr>
                <w:rFonts w:ascii="Calibri" w:hAnsi="Calibri" w:cs="Calibri"/>
              </w:rPr>
            </w:pPr>
            <w:r w:rsidRPr="00451F5C">
              <w:rPr>
                <w:rFonts w:ascii="Times New Roman" w:hAnsi="Times New Roman" w:cs="Times New Roman"/>
                <w:color w:val="000000" w:themeColor="text1"/>
                <w:sz w:val="24"/>
                <w:szCs w:val="24"/>
                <w:shd w:val="clear" w:color="auto" w:fill="FFFFFF"/>
              </w:rPr>
              <w:t xml:space="preserve">Ņemot vērā </w:t>
            </w:r>
            <w:proofErr w:type="spellStart"/>
            <w:r w:rsidRPr="00451F5C">
              <w:rPr>
                <w:rFonts w:ascii="Times New Roman" w:hAnsi="Times New Roman" w:cs="Times New Roman"/>
                <w:color w:val="000000" w:themeColor="text1"/>
                <w:sz w:val="24"/>
                <w:szCs w:val="24"/>
                <w:shd w:val="clear" w:color="auto" w:fill="FFFFFF"/>
              </w:rPr>
              <w:t>Moneyval</w:t>
            </w:r>
            <w:proofErr w:type="spellEnd"/>
            <w:r w:rsidRPr="00451F5C">
              <w:rPr>
                <w:rFonts w:ascii="Times New Roman" w:hAnsi="Times New Roman" w:cs="Times New Roman"/>
                <w:color w:val="000000" w:themeColor="text1"/>
                <w:sz w:val="24"/>
                <w:szCs w:val="24"/>
                <w:shd w:val="clear" w:color="auto" w:fill="FFFFFF"/>
              </w:rPr>
              <w:t xml:space="preserve"> ziņojumu, kā arī apvienojot</w:t>
            </w:r>
            <w:r w:rsidRPr="00451F5C">
              <w:rPr>
                <w:rFonts w:ascii="Times New Roman" w:hAnsi="Times New Roman" w:cs="Times New Roman"/>
                <w:color w:val="000000" w:themeColor="text1"/>
                <w:sz w:val="24"/>
                <w:szCs w:val="24"/>
              </w:rPr>
              <w:t xml:space="preserve"> vairākus nozīmīgus plānus cīņai ar noziedzīgi iegūtu līdzekļu legalizāciju un terorisma finansēšanu nacionālā </w:t>
            </w:r>
            <w:r w:rsidRPr="00451F5C">
              <w:rPr>
                <w:rFonts w:ascii="Times New Roman" w:hAnsi="Times New Roman" w:cs="Times New Roman"/>
                <w:color w:val="000000" w:themeColor="text1"/>
                <w:sz w:val="24"/>
                <w:szCs w:val="24"/>
                <w:shd w:val="clear" w:color="auto" w:fill="FFFFFF"/>
              </w:rPr>
              <w:t>līmenī, ar 2018</w:t>
            </w:r>
            <w:r w:rsidRPr="00451F5C">
              <w:rPr>
                <w:rFonts w:ascii="Times New Roman" w:hAnsi="Times New Roman" w:cs="Times New Roman"/>
                <w:color w:val="000000" w:themeColor="text1"/>
                <w:sz w:val="24"/>
                <w:szCs w:val="24"/>
              </w:rPr>
              <w:t xml:space="preserve">.gada 11.oktobra Ministru kabineta rīkojumu Nr. 512 tika apstiprināts </w:t>
            </w:r>
            <w:hyperlink r:id="rId8" w:history="1">
              <w:r w:rsidRPr="00095F37">
                <w:rPr>
                  <w:rFonts w:ascii="Times New Roman" w:hAnsi="Times New Roman" w:cs="Times New Roman"/>
                  <w:color w:val="000000" w:themeColor="text1"/>
                  <w:sz w:val="24"/>
                  <w:szCs w:val="24"/>
                </w:rPr>
                <w:t>Pasākumu plāns noziedzīgi iegūtu līdzekļu legalizācijas un terorisma finansēšanas novēršanai laikposmam līdz 2019. gada 31. decembrim</w:t>
              </w:r>
            </w:hyperlink>
            <w:r w:rsidRPr="00451F5C">
              <w:rPr>
                <w:rFonts w:ascii="Times New Roman" w:hAnsi="Times New Roman" w:cs="Times New Roman"/>
                <w:color w:val="000000" w:themeColor="text1"/>
                <w:sz w:val="24"/>
                <w:szCs w:val="24"/>
              </w:rPr>
              <w:t xml:space="preserve"> (</w:t>
            </w:r>
            <w:r w:rsidRPr="00095F37">
              <w:rPr>
                <w:rFonts w:ascii="Times New Roman" w:hAnsi="Times New Roman" w:cs="Times New Roman"/>
                <w:color w:val="000000" w:themeColor="text1"/>
                <w:sz w:val="24"/>
                <w:szCs w:val="24"/>
              </w:rPr>
              <w:t xml:space="preserve">turpmāk </w:t>
            </w:r>
            <w:r w:rsidR="00F675A7" w:rsidRPr="00095F37">
              <w:rPr>
                <w:rFonts w:ascii="Times New Roman" w:hAnsi="Times New Roman" w:cs="Times New Roman"/>
                <w:color w:val="000000" w:themeColor="text1"/>
                <w:sz w:val="24"/>
                <w:szCs w:val="24"/>
              </w:rPr>
              <w:t>– Pasāk</w:t>
            </w:r>
            <w:r w:rsidR="00F675A7" w:rsidRPr="00451F5C">
              <w:rPr>
                <w:rFonts w:ascii="Times New Roman" w:hAnsi="Times New Roman" w:cs="Times New Roman"/>
                <w:sz w:val="24"/>
                <w:szCs w:val="24"/>
              </w:rPr>
              <w:t xml:space="preserve">umu </w:t>
            </w:r>
            <w:r w:rsidRPr="00451F5C">
              <w:rPr>
                <w:rFonts w:ascii="Times New Roman" w:hAnsi="Times New Roman" w:cs="Times New Roman"/>
                <w:sz w:val="24"/>
                <w:szCs w:val="24"/>
              </w:rPr>
              <w:t>plāns).</w:t>
            </w:r>
            <w:r w:rsidRPr="00451F5C">
              <w:rPr>
                <w:rFonts w:ascii="Times New Roman" w:hAnsi="Times New Roman" w:cs="Times New Roman"/>
              </w:rPr>
              <w:t xml:space="preserve"> </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 Tiesību akta projekta izstrādes nepieciešamība</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hAnsi="Times New Roman" w:cs="Times New Roman"/>
              </w:rPr>
            </w:pPr>
            <w:r w:rsidRPr="00451F5C">
              <w:rPr>
                <w:rFonts w:ascii="Times New Roman" w:hAnsi="Times New Roman" w:cs="Times New Roman"/>
              </w:rPr>
              <w:t>Pamatojums</w:t>
            </w:r>
          </w:p>
        </w:tc>
        <w:tc>
          <w:tcPr>
            <w:tcW w:w="2960" w:type="pct"/>
            <w:tcBorders>
              <w:top w:val="outset" w:sz="6" w:space="0" w:color="auto"/>
              <w:left w:val="outset" w:sz="6" w:space="0" w:color="auto"/>
              <w:bottom w:val="outset" w:sz="6" w:space="0" w:color="auto"/>
              <w:right w:val="outset" w:sz="6" w:space="0" w:color="auto"/>
            </w:tcBorders>
          </w:tcPr>
          <w:p w:rsidR="005D3018" w:rsidRPr="00451F5C" w:rsidRDefault="005D3018" w:rsidP="00C31C47">
            <w:pPr>
              <w:pStyle w:val="HTMLPreformatted"/>
              <w:shd w:val="clear" w:color="auto" w:fill="FFFFFF"/>
              <w:ind w:firstLine="284"/>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Efektīva noziedzīgi iegūtu līdzekļu legalizācijas novēršanas sistēma ir būtiska, lai nodrošinātu cīņu ar noziedzību, kā arī finanšu sektora un valsts reputāciju starptautiskā līmenī. 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w:t>
            </w:r>
            <w:r w:rsidRPr="00451F5C">
              <w:rPr>
                <w:rFonts w:ascii="Times New Roman" w:eastAsiaTheme="minorHAnsi" w:hAnsi="Times New Roman" w:cs="Times New Roman"/>
                <w:sz w:val="24"/>
                <w:szCs w:val="24"/>
                <w:lang w:eastAsia="en-US"/>
              </w:rPr>
              <w:lastRenderedPageBreak/>
              <w:t xml:space="preserve">atceļ Eiropas Parlamenta Padomes Direktīvu 2005/60/EK un Komisijas Direktīvu 2006/70/EK (turpmāk – AML IV direktīva). AML IV direktīvas normas tika ieviestas NILLTFNL ar grozījumiem, kas stājās spēkā </w:t>
            </w:r>
            <w:r w:rsidR="00C62B8F" w:rsidRPr="00451F5C">
              <w:rPr>
                <w:rFonts w:ascii="Times New Roman" w:eastAsiaTheme="minorHAnsi" w:hAnsi="Times New Roman" w:cs="Times New Roman"/>
                <w:sz w:val="24"/>
                <w:szCs w:val="24"/>
                <w:lang w:eastAsia="en-US"/>
              </w:rPr>
              <w:t>2017.gada 9.novembrī.</w:t>
            </w:r>
          </w:p>
          <w:p w:rsidR="00C62B8F" w:rsidRPr="00451F5C" w:rsidRDefault="001D66EA" w:rsidP="00C31C47">
            <w:pPr>
              <w:pStyle w:val="HTMLPreformatted"/>
              <w:shd w:val="clear" w:color="auto" w:fill="FFFFFF"/>
              <w:ind w:firstLine="284"/>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Ņemot vērā nepieciešamību steidzami īstenot pasākumus, kas pieņemti ar nolūku stiprināt </w:t>
            </w:r>
            <w:r w:rsidR="00C62B8F" w:rsidRPr="00451F5C">
              <w:rPr>
                <w:rFonts w:ascii="Times New Roman" w:eastAsiaTheme="minorHAnsi" w:hAnsi="Times New Roman" w:cs="Times New Roman"/>
                <w:sz w:val="24"/>
                <w:szCs w:val="24"/>
                <w:lang w:eastAsia="en-US"/>
              </w:rPr>
              <w:t xml:space="preserve">Eiropas </w:t>
            </w:r>
            <w:r w:rsidRPr="00451F5C">
              <w:rPr>
                <w:rFonts w:ascii="Times New Roman" w:eastAsiaTheme="minorHAnsi" w:hAnsi="Times New Roman" w:cs="Times New Roman"/>
                <w:sz w:val="24"/>
                <w:szCs w:val="24"/>
                <w:lang w:eastAsia="en-US"/>
              </w:rPr>
              <w:t xml:space="preserve">Savienībā pastāvošo režīmu attiecībā uz nelikumīgi iegūtu līdzekļu legalizēšanas un teroristu finansēšanas novēršanu, un ņemot vērā dalībvalstu uzņemtās saistības transponēt </w:t>
            </w:r>
            <w:r w:rsidR="00C62B8F" w:rsidRPr="00451F5C">
              <w:rPr>
                <w:rFonts w:ascii="Times New Roman" w:eastAsiaTheme="minorHAnsi" w:hAnsi="Times New Roman" w:cs="Times New Roman"/>
                <w:sz w:val="24"/>
                <w:szCs w:val="24"/>
                <w:lang w:eastAsia="en-US"/>
              </w:rPr>
              <w:t>AML IV direktīvu</w:t>
            </w:r>
            <w:r w:rsidRPr="00451F5C">
              <w:rPr>
                <w:rFonts w:ascii="Times New Roman" w:eastAsiaTheme="minorHAnsi" w:hAnsi="Times New Roman" w:cs="Times New Roman"/>
                <w:sz w:val="24"/>
                <w:szCs w:val="24"/>
                <w:lang w:eastAsia="en-US"/>
              </w:rPr>
              <w:t xml:space="preserve">, </w:t>
            </w:r>
            <w:r w:rsidR="00C62B8F" w:rsidRPr="00451F5C">
              <w:rPr>
                <w:rFonts w:ascii="Times New Roman" w:eastAsiaTheme="minorHAnsi" w:hAnsi="Times New Roman" w:cs="Times New Roman"/>
                <w:sz w:val="24"/>
                <w:szCs w:val="24"/>
                <w:lang w:eastAsia="en-US"/>
              </w:rPr>
              <w:t xml:space="preserve">tika izstrādāti </w:t>
            </w:r>
            <w:r w:rsidRPr="00451F5C">
              <w:rPr>
                <w:rFonts w:ascii="Times New Roman" w:eastAsiaTheme="minorHAnsi" w:hAnsi="Times New Roman" w:cs="Times New Roman"/>
                <w:sz w:val="24"/>
                <w:szCs w:val="24"/>
                <w:lang w:eastAsia="en-US"/>
              </w:rPr>
              <w:t xml:space="preserve">grozījumi </w:t>
            </w:r>
            <w:r w:rsidR="00C62B8F" w:rsidRPr="00451F5C">
              <w:rPr>
                <w:rFonts w:ascii="Times New Roman" w:eastAsiaTheme="minorHAnsi" w:hAnsi="Times New Roman" w:cs="Times New Roman"/>
                <w:sz w:val="24"/>
                <w:szCs w:val="24"/>
                <w:lang w:eastAsia="en-US"/>
              </w:rPr>
              <w:t>AML IV direktīvā (AML V direktīva), kas</w:t>
            </w:r>
            <w:r w:rsidRPr="00451F5C">
              <w:rPr>
                <w:rFonts w:ascii="Times New Roman" w:eastAsiaTheme="minorHAnsi" w:hAnsi="Times New Roman" w:cs="Times New Roman"/>
                <w:sz w:val="24"/>
                <w:szCs w:val="24"/>
                <w:lang w:eastAsia="en-US"/>
              </w:rPr>
              <w:t xml:space="preserve"> būtu jātransponē līdz 2020. gada 10. janvārim. </w:t>
            </w:r>
          </w:p>
          <w:p w:rsidR="00F56F8D" w:rsidRPr="00451F5C" w:rsidRDefault="00F56F8D" w:rsidP="00C31C47">
            <w:pPr>
              <w:pStyle w:val="HTMLPreformatted"/>
              <w:shd w:val="clear" w:color="auto" w:fill="FFFFFF"/>
              <w:ind w:firstLine="391"/>
              <w:jc w:val="both"/>
              <w:rPr>
                <w:rFonts w:ascii="Times New Roman" w:eastAsiaTheme="minorHAnsi" w:hAnsi="Times New Roman" w:cs="Times New Roman"/>
                <w:sz w:val="24"/>
                <w:szCs w:val="24"/>
                <w:lang w:eastAsia="en-US"/>
              </w:rPr>
            </w:pPr>
            <w:proofErr w:type="spellStart"/>
            <w:r w:rsidRPr="00451F5C">
              <w:rPr>
                <w:rFonts w:ascii="Times New Roman" w:eastAsiaTheme="minorHAnsi" w:hAnsi="Times New Roman" w:cs="Times New Roman"/>
                <w:sz w:val="24"/>
                <w:szCs w:val="24"/>
                <w:lang w:eastAsia="en-US"/>
              </w:rPr>
              <w:t>Moneyval</w:t>
            </w:r>
            <w:proofErr w:type="spellEnd"/>
            <w:r w:rsidRPr="00451F5C">
              <w:rPr>
                <w:rFonts w:ascii="Times New Roman" w:eastAsiaTheme="minorHAnsi" w:hAnsi="Times New Roman" w:cs="Times New Roman"/>
                <w:sz w:val="24"/>
                <w:szCs w:val="24"/>
                <w:lang w:eastAsia="en-US"/>
              </w:rPr>
              <w:t xml:space="preserve"> jeb noziedzīgi iegūtu līdzekļu legalizācijas un terorisma finansēšanas novēršanas ekspertu komiteja ir pastāvīga Eiropas Padomes pārraudzības struktūra, kuras uzdevums ir novērtēt atbilstību galvenajiem starptautiskajiem standartiem (FATF – finanšu darījumu darba grupa), lai apkarotu noziedzīgi iegūtu līdzekļu legalizāciju un terorisma finansēšanu, kā arī pārbaudīt efektivitāti šo standartu ieviešanā, kā arī sniegt ieteikumus un uzdevumus sistēmas uzlabošanā. </w:t>
            </w:r>
            <w:proofErr w:type="spellStart"/>
            <w:r w:rsidRPr="00451F5C">
              <w:rPr>
                <w:rFonts w:ascii="Times New Roman" w:eastAsiaTheme="minorHAnsi" w:hAnsi="Times New Roman" w:cs="Times New Roman"/>
                <w:sz w:val="24"/>
                <w:szCs w:val="24"/>
                <w:lang w:eastAsia="en-US"/>
              </w:rPr>
              <w:t>Moneyval</w:t>
            </w:r>
            <w:proofErr w:type="spellEnd"/>
            <w:r w:rsidRPr="00451F5C">
              <w:rPr>
                <w:rFonts w:ascii="Times New Roman" w:eastAsiaTheme="minorHAnsi" w:hAnsi="Times New Roman" w:cs="Times New Roman"/>
                <w:sz w:val="24"/>
                <w:szCs w:val="24"/>
                <w:lang w:eastAsia="en-US"/>
              </w:rPr>
              <w:t xml:space="preserve">, izmantojot dinamisku savstarpējo novērtēšanu, salīdzinošo pārskatīšanu un regulāru turpmāku valstu uzraudzību, cenšas uzlabot valsts spēju efektīvāk cīnīties pret noziedzīgi iegūtu līdzekļu legalizāciju un terorisma finansēšanu. </w:t>
            </w:r>
            <w:proofErr w:type="spellStart"/>
            <w:r w:rsidRPr="00451F5C">
              <w:rPr>
                <w:rFonts w:ascii="Times New Roman" w:eastAsiaTheme="minorHAnsi" w:hAnsi="Times New Roman" w:cs="Times New Roman"/>
                <w:sz w:val="24"/>
                <w:szCs w:val="24"/>
                <w:lang w:eastAsia="en-US"/>
              </w:rPr>
              <w:t>Moneyval</w:t>
            </w:r>
            <w:proofErr w:type="spellEnd"/>
            <w:r w:rsidRPr="00451F5C">
              <w:rPr>
                <w:rFonts w:ascii="Times New Roman" w:eastAsiaTheme="minorHAnsi" w:hAnsi="Times New Roman" w:cs="Times New Roman"/>
                <w:sz w:val="24"/>
                <w:szCs w:val="24"/>
                <w:lang w:eastAsia="en-US"/>
              </w:rPr>
              <w:t xml:space="preserve"> sastāvā ir 47 dalībvalstis, kas tieši ziņo Eiropas Padomes Ministru Komitejai.</w:t>
            </w:r>
          </w:p>
          <w:p w:rsidR="00E6505A" w:rsidRPr="00451F5C" w:rsidRDefault="00F56F8D" w:rsidP="007A7B2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2018. gada 4. jūlijā Eiropas Padomes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komitejas plenārsēdē tika apstiprināts 5. kārtas ziņojums par Latvijas noziedzīgi iegūtu līdzekļu legalizācijas un terorisma novēršanas sistēmas efektivitāti, kurš tika publicēts 2018. gada 23. augustā. Ziņojumā ir ietverta situācijas analīze, balstoties uz to regulējumu un darbības rezultātiem, kādi bija 2017. gada 8. novembrī. 5. kārtas ietvaros pirmo reizi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komitejas dalībvalstis tiek vērtētas ne tikai attiecībā uz to normatīvo aktu atbilstību FATF standartiem, bet arī, vērtējot sistēmas efektivitāti. Tādējādi ziņojums sniedz novērtējumu par Latvijas atbilstību FATF 40. rekomendācijām, kā arī novērtē sistēmas efektivitāti atbilstoši 11 efektivitātes rādītājiem.</w:t>
            </w:r>
          </w:p>
          <w:p w:rsidR="00EE2CDB" w:rsidRPr="00451F5C" w:rsidRDefault="00EE2CD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Ministru kabinets 2018. gada 11.oktobrī ar rīkojumu Nr. 512 ir apstiprinājis pasākumu plānu “Pasākumu plāns noziedzīgi iegūtu līdzekļu legalizācijas un terorisma finansēšanas novēršanai laikposmam līdz 2019. gada 31. decembrim”. Plāna mērķis ir stiprināt spējas cīnīties ar noziedzīgi iegūtu </w:t>
            </w:r>
            <w:r w:rsidRPr="00451F5C">
              <w:rPr>
                <w:rFonts w:ascii="Times New Roman" w:hAnsi="Times New Roman" w:cs="Times New Roman"/>
                <w:sz w:val="24"/>
                <w:szCs w:val="24"/>
              </w:rPr>
              <w:lastRenderedPageBreak/>
              <w:t>līdzekļu legalizāciju, terorisma finansēšanu un masu iznīcināšanas ieroču izplatību (</w:t>
            </w:r>
            <w:proofErr w:type="spellStart"/>
            <w:r w:rsidRPr="00451F5C">
              <w:rPr>
                <w:rFonts w:ascii="Times New Roman" w:hAnsi="Times New Roman" w:cs="Times New Roman"/>
                <w:sz w:val="24"/>
                <w:szCs w:val="24"/>
              </w:rPr>
              <w:t>proliferāciju</w:t>
            </w:r>
            <w:proofErr w:type="spellEnd"/>
            <w:r w:rsidRPr="00451F5C">
              <w:rPr>
                <w:rFonts w:ascii="Times New Roman" w:hAnsi="Times New Roman" w:cs="Times New Roman"/>
                <w:sz w:val="24"/>
                <w:szCs w:val="24"/>
              </w:rPr>
              <w:t xml:space="preserve">) un samazināt vispārējos noziedzīgi iegūtu līdzekļu legalizācijas un terorisma riskus, nodrošinot atbilstību starptautiskajām saistībām un standartiem noziedzīgi iegūtu līdzekļu legalizācijas un terorisma novēršanas jomā un veicinot sabiedrisko drošību, ekonomiskas vides konkurētspēju un uzticamību Latvijas jurisdikcijai. Šis plāns ir strukturēts atbilstoši FATF metodoloģijai, un plāna rīcības virzieni atbilst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novērtējuma sistēmas 11 efektivitātes rādītājiem.</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D013CB" w:rsidRPr="00451F5C" w:rsidRDefault="00D013CB" w:rsidP="00095F3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Lai nodrošinātu AML V direktīvas prasību pārņemšanu, novērstu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ziņojumā konstatētās NILLTFNL nepilnības, kā arī īstenotu Pasākumu plāna sasniedzamos </w:t>
            </w:r>
            <w:proofErr w:type="spellStart"/>
            <w:r w:rsidRPr="00451F5C">
              <w:rPr>
                <w:rFonts w:ascii="Times New Roman" w:hAnsi="Times New Roman" w:cs="Times New Roman"/>
                <w:sz w:val="24"/>
                <w:szCs w:val="24"/>
              </w:rPr>
              <w:t>apakšmērķus</w:t>
            </w:r>
            <w:proofErr w:type="spellEnd"/>
            <w:r w:rsidRPr="00451F5C">
              <w:rPr>
                <w:rFonts w:ascii="Times New Roman" w:hAnsi="Times New Roman" w:cs="Times New Roman"/>
                <w:sz w:val="24"/>
                <w:szCs w:val="24"/>
              </w:rPr>
              <w:t>, tika izstrādāti grozījumi NILLTFNL (turpmāk - likumprojekts).</w:t>
            </w:r>
          </w:p>
          <w:p w:rsidR="0036293C" w:rsidRPr="00451F5C" w:rsidRDefault="00C126B6" w:rsidP="00095F3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Kā jau tika minēts iepriekš</w:t>
            </w:r>
            <w:r w:rsidR="00095F37">
              <w:rPr>
                <w:rFonts w:ascii="Times New Roman" w:hAnsi="Times New Roman" w:cs="Times New Roman"/>
                <w:sz w:val="24"/>
                <w:szCs w:val="24"/>
              </w:rPr>
              <w:t>,</w:t>
            </w:r>
            <w:r w:rsidRPr="00451F5C">
              <w:rPr>
                <w:rFonts w:ascii="Times New Roman" w:hAnsi="Times New Roman" w:cs="Times New Roman"/>
                <w:sz w:val="24"/>
                <w:szCs w:val="24"/>
              </w:rPr>
              <w:t xml:space="preserve">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uzdevums ir novērtēt atbilstību galvenajiem FATF standartiem.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ziņojuma struktūra ir veidota divās daļās </w:t>
            </w:r>
            <w:r w:rsidR="00095F37">
              <w:rPr>
                <w:rFonts w:ascii="Times New Roman" w:hAnsi="Times New Roman" w:cs="Times New Roman"/>
                <w:sz w:val="24"/>
                <w:szCs w:val="24"/>
              </w:rPr>
              <w:t>-</w:t>
            </w:r>
            <w:r w:rsidRPr="00451F5C">
              <w:rPr>
                <w:rFonts w:ascii="Times New Roman" w:hAnsi="Times New Roman" w:cs="Times New Roman"/>
                <w:sz w:val="24"/>
                <w:szCs w:val="24"/>
              </w:rPr>
              <w:t xml:space="preserve"> </w:t>
            </w:r>
            <w:r w:rsidR="00095F37">
              <w:rPr>
                <w:rFonts w:ascii="Times New Roman" w:hAnsi="Times New Roman" w:cs="Times New Roman"/>
                <w:sz w:val="24"/>
                <w:szCs w:val="24"/>
              </w:rPr>
              <w:t>p</w:t>
            </w:r>
            <w:r w:rsidRPr="00451F5C">
              <w:rPr>
                <w:rFonts w:ascii="Times New Roman" w:hAnsi="Times New Roman" w:cs="Times New Roman"/>
                <w:sz w:val="24"/>
                <w:szCs w:val="24"/>
              </w:rPr>
              <w:t>irmā daļa</w:t>
            </w:r>
            <w:r w:rsidR="00095F37">
              <w:rPr>
                <w:rFonts w:ascii="Times New Roman" w:hAnsi="Times New Roman" w:cs="Times New Roman"/>
                <w:sz w:val="24"/>
                <w:szCs w:val="24"/>
              </w:rPr>
              <w:t xml:space="preserve"> - </w:t>
            </w:r>
            <w:r w:rsidRPr="00451F5C">
              <w:rPr>
                <w:rFonts w:ascii="Times New Roman" w:hAnsi="Times New Roman" w:cs="Times New Roman"/>
                <w:sz w:val="24"/>
                <w:szCs w:val="24"/>
              </w:rPr>
              <w:t xml:space="preserve"> efektivitātes atbilstība FATF standartiem (11 </w:t>
            </w:r>
            <w:proofErr w:type="spellStart"/>
            <w:r w:rsidRPr="00095F37">
              <w:rPr>
                <w:rFonts w:ascii="Times New Roman" w:hAnsi="Times New Roman" w:cs="Times New Roman"/>
                <w:i/>
                <w:sz w:val="24"/>
                <w:szCs w:val="24"/>
              </w:rPr>
              <w:t>Immediate</w:t>
            </w:r>
            <w:proofErr w:type="spellEnd"/>
            <w:r w:rsidRPr="00095F37">
              <w:rPr>
                <w:rFonts w:ascii="Times New Roman" w:hAnsi="Times New Roman" w:cs="Times New Roman"/>
                <w:i/>
                <w:sz w:val="24"/>
                <w:szCs w:val="24"/>
              </w:rPr>
              <w:t xml:space="preserve"> </w:t>
            </w:r>
            <w:proofErr w:type="spellStart"/>
            <w:r w:rsidRPr="00095F37">
              <w:rPr>
                <w:rFonts w:ascii="Times New Roman" w:hAnsi="Times New Roman" w:cs="Times New Roman"/>
                <w:i/>
                <w:sz w:val="24"/>
                <w:szCs w:val="24"/>
              </w:rPr>
              <w:t>Outcomes</w:t>
            </w:r>
            <w:proofErr w:type="spellEnd"/>
            <w:r w:rsidRPr="00451F5C">
              <w:rPr>
                <w:rFonts w:ascii="Times New Roman" w:hAnsi="Times New Roman" w:cs="Times New Roman"/>
                <w:sz w:val="24"/>
                <w:szCs w:val="24"/>
              </w:rPr>
              <w:t>) un tehniskā atbilstība FATF standartiem, ņemot vērā FATF 40 rekomendācijas (</w:t>
            </w:r>
            <w:proofErr w:type="spellStart"/>
            <w:r w:rsidRPr="00095F37">
              <w:rPr>
                <w:rFonts w:ascii="Times New Roman" w:hAnsi="Times New Roman" w:cs="Times New Roman"/>
                <w:i/>
                <w:sz w:val="24"/>
                <w:szCs w:val="24"/>
              </w:rPr>
              <w:t>Recommendation</w:t>
            </w:r>
            <w:proofErr w:type="spellEnd"/>
            <w:r w:rsidRPr="00451F5C">
              <w:rPr>
                <w:rFonts w:ascii="Times New Roman" w:hAnsi="Times New Roman" w:cs="Times New Roman"/>
                <w:sz w:val="24"/>
                <w:szCs w:val="24"/>
              </w:rPr>
              <w:t xml:space="preserve"> – turpmāk Rec.), kurām atbilstoši ir izveidota FATF </w:t>
            </w:r>
            <w:proofErr w:type="spellStart"/>
            <w:r w:rsidR="00095F37">
              <w:rPr>
                <w:rFonts w:ascii="Times New Roman" w:hAnsi="Times New Roman" w:cs="Times New Roman"/>
                <w:sz w:val="24"/>
                <w:szCs w:val="24"/>
              </w:rPr>
              <w:t>m</w:t>
            </w:r>
            <w:r w:rsidRPr="00451F5C">
              <w:rPr>
                <w:rFonts w:ascii="Times New Roman" w:hAnsi="Times New Roman" w:cs="Times New Roman"/>
                <w:sz w:val="24"/>
                <w:szCs w:val="24"/>
              </w:rPr>
              <w:t>etedoloģija</w:t>
            </w:r>
            <w:proofErr w:type="spellEnd"/>
            <w:r w:rsidRPr="00451F5C">
              <w:rPr>
                <w:rFonts w:ascii="Times New Roman" w:hAnsi="Times New Roman" w:cs="Times New Roman"/>
                <w:sz w:val="24"/>
                <w:szCs w:val="24"/>
              </w:rPr>
              <w:t xml:space="preserve"> (</w:t>
            </w:r>
            <w:proofErr w:type="spellStart"/>
            <w:r w:rsidRPr="00095F37">
              <w:rPr>
                <w:rFonts w:ascii="Times New Roman" w:hAnsi="Times New Roman" w:cs="Times New Roman"/>
                <w:i/>
                <w:sz w:val="24"/>
                <w:szCs w:val="24"/>
              </w:rPr>
              <w:t>Methodology</w:t>
            </w:r>
            <w:proofErr w:type="spellEnd"/>
            <w:r w:rsidRPr="00451F5C">
              <w:rPr>
                <w:rFonts w:ascii="Times New Roman" w:hAnsi="Times New Roman" w:cs="Times New Roman"/>
                <w:sz w:val="24"/>
                <w:szCs w:val="24"/>
              </w:rPr>
              <w:t xml:space="preserve"> – turpmāk Met.)</w:t>
            </w:r>
            <w:r w:rsidR="000C0BCE" w:rsidRPr="00451F5C">
              <w:rPr>
                <w:rFonts w:ascii="Times New Roman" w:hAnsi="Times New Roman" w:cs="Times New Roman"/>
                <w:sz w:val="24"/>
                <w:szCs w:val="24"/>
              </w:rPr>
              <w:t xml:space="preserve">.Likumprojekts ir izstrādāts, ņemot vērā </w:t>
            </w:r>
            <w:proofErr w:type="spellStart"/>
            <w:r w:rsidR="000C0BCE" w:rsidRPr="00451F5C">
              <w:rPr>
                <w:rFonts w:ascii="Times New Roman" w:hAnsi="Times New Roman" w:cs="Times New Roman"/>
                <w:sz w:val="24"/>
                <w:szCs w:val="24"/>
              </w:rPr>
              <w:t>Moneyval</w:t>
            </w:r>
            <w:proofErr w:type="spellEnd"/>
            <w:r w:rsidR="000C0BCE" w:rsidRPr="00451F5C">
              <w:rPr>
                <w:rFonts w:ascii="Times New Roman" w:hAnsi="Times New Roman" w:cs="Times New Roman"/>
                <w:sz w:val="24"/>
                <w:szCs w:val="24"/>
              </w:rPr>
              <w:t xml:space="preserve"> ziņojumā iekļautās Rec. kritērijus (</w:t>
            </w:r>
            <w:proofErr w:type="spellStart"/>
            <w:r w:rsidR="000C0BCE" w:rsidRPr="00095F37">
              <w:rPr>
                <w:rFonts w:ascii="Times New Roman" w:hAnsi="Times New Roman" w:cs="Times New Roman"/>
                <w:i/>
                <w:sz w:val="24"/>
                <w:szCs w:val="24"/>
              </w:rPr>
              <w:t>Criterion</w:t>
            </w:r>
            <w:proofErr w:type="spellEnd"/>
            <w:r w:rsidR="000C0BCE" w:rsidRPr="00451F5C">
              <w:rPr>
                <w:rFonts w:ascii="Times New Roman" w:hAnsi="Times New Roman" w:cs="Times New Roman"/>
                <w:sz w:val="24"/>
                <w:szCs w:val="24"/>
              </w:rPr>
              <w:t xml:space="preserve"> – turpmāk </w:t>
            </w:r>
            <w:proofErr w:type="spellStart"/>
            <w:r w:rsidR="000C0BCE" w:rsidRPr="00451F5C">
              <w:rPr>
                <w:rFonts w:ascii="Times New Roman" w:hAnsi="Times New Roman" w:cs="Times New Roman"/>
                <w:sz w:val="24"/>
                <w:szCs w:val="24"/>
              </w:rPr>
              <w:t>Cr</w:t>
            </w:r>
            <w:proofErr w:type="spellEnd"/>
            <w:r w:rsidR="000C0BCE" w:rsidRPr="00451F5C">
              <w:rPr>
                <w:rFonts w:ascii="Times New Roman" w:hAnsi="Times New Roman" w:cs="Times New Roman"/>
                <w:sz w:val="24"/>
                <w:szCs w:val="24"/>
              </w:rPr>
              <w:t>.), kuri</w:t>
            </w:r>
            <w:r w:rsidR="009507F0">
              <w:rPr>
                <w:rFonts w:ascii="Times New Roman" w:hAnsi="Times New Roman" w:cs="Times New Roman"/>
                <w:sz w:val="24"/>
                <w:szCs w:val="24"/>
              </w:rPr>
              <w:t>,</w:t>
            </w:r>
            <w:r w:rsidR="000C0BCE" w:rsidRPr="00451F5C">
              <w:rPr>
                <w:rFonts w:ascii="Times New Roman" w:hAnsi="Times New Roman" w:cs="Times New Roman"/>
                <w:sz w:val="24"/>
                <w:szCs w:val="24"/>
              </w:rPr>
              <w:t xml:space="preserve"> savukārt</w:t>
            </w:r>
            <w:r w:rsidR="009507F0">
              <w:rPr>
                <w:rFonts w:ascii="Times New Roman" w:hAnsi="Times New Roman" w:cs="Times New Roman"/>
                <w:sz w:val="24"/>
                <w:szCs w:val="24"/>
              </w:rPr>
              <w:t>,</w:t>
            </w:r>
            <w:r w:rsidR="000C0BCE" w:rsidRPr="00451F5C">
              <w:rPr>
                <w:rFonts w:ascii="Times New Roman" w:hAnsi="Times New Roman" w:cs="Times New Roman"/>
                <w:sz w:val="24"/>
                <w:szCs w:val="24"/>
              </w:rPr>
              <w:t xml:space="preserve"> pēc numerācijas atbilst FATF Met. </w:t>
            </w:r>
            <w:r w:rsidR="00095F37">
              <w:rPr>
                <w:rFonts w:ascii="Times New Roman" w:hAnsi="Times New Roman" w:cs="Times New Roman"/>
                <w:sz w:val="24"/>
                <w:szCs w:val="24"/>
              </w:rPr>
              <w:t>n</w:t>
            </w:r>
            <w:r w:rsidR="000C0BCE" w:rsidRPr="00451F5C">
              <w:rPr>
                <w:rFonts w:ascii="Times New Roman" w:hAnsi="Times New Roman" w:cs="Times New Roman"/>
                <w:sz w:val="24"/>
                <w:szCs w:val="24"/>
              </w:rPr>
              <w:t>umerācijai.</w:t>
            </w:r>
          </w:p>
          <w:p w:rsidR="00B02D61" w:rsidRPr="00451F5C" w:rsidRDefault="00B02D61"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Pasākumu plān</w:t>
            </w:r>
            <w:r w:rsidR="00B57317" w:rsidRPr="00451F5C">
              <w:rPr>
                <w:rFonts w:ascii="Times New Roman" w:hAnsi="Times New Roman" w:cs="Times New Roman"/>
                <w:sz w:val="24"/>
                <w:szCs w:val="24"/>
              </w:rPr>
              <w:t>as sastāv no 4 daļām:</w:t>
            </w:r>
          </w:p>
          <w:p w:rsidR="00B57317" w:rsidRPr="00451F5C" w:rsidRDefault="00B57317"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 galvenā daļa jeb pats plāns un trīs plānam pievienotie pielikumi:</w:t>
            </w:r>
          </w:p>
          <w:p w:rsidR="001042CB" w:rsidRPr="00451F5C" w:rsidRDefault="00B57317" w:rsidP="00C31C47">
            <w:pPr>
              <w:pStyle w:val="ListParagraph"/>
              <w:numPr>
                <w:ilvl w:val="0"/>
                <w:numId w:val="2"/>
              </w:num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Pasākumu plānam noziedzīgi iegūtu līdzekļu legalizācijas un terorisma finansēšanas novēršanai 2019.–2021. gadam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5.kārtas novērtēšanas ziņojumā ietvertās rekomendācijas;</w:t>
            </w:r>
          </w:p>
          <w:p w:rsidR="00996327" w:rsidRPr="00451F5C" w:rsidRDefault="001042CB" w:rsidP="00C31C47">
            <w:pPr>
              <w:pStyle w:val="ListParagraph"/>
              <w:numPr>
                <w:ilvl w:val="0"/>
                <w:numId w:val="2"/>
              </w:num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Pasākumu plānam noziedzīgi iegūtu līdzekļu legalizācijas un terorisma finansēšanas novēršanai 2019.–2021. gadam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5.kārtas novērtēšanas ziņojumā ietvertais novērtējums par Latvijas atbilstību FATF rekomendācijām</w:t>
            </w:r>
            <w:r w:rsidR="00996327" w:rsidRPr="00451F5C">
              <w:rPr>
                <w:rFonts w:ascii="Times New Roman" w:hAnsi="Times New Roman" w:cs="Times New Roman"/>
                <w:sz w:val="24"/>
                <w:szCs w:val="24"/>
              </w:rPr>
              <w:t>;</w:t>
            </w:r>
          </w:p>
          <w:p w:rsidR="0019770C" w:rsidRPr="00451F5C" w:rsidRDefault="00996327" w:rsidP="00C31C47">
            <w:pPr>
              <w:pStyle w:val="ListParagraph"/>
              <w:numPr>
                <w:ilvl w:val="0"/>
                <w:numId w:val="2"/>
              </w:num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plānam noziedzīgi iegūtu līdzekļu legalizācijas un terorisma finansēšanas novēršanai 2019.–2021. gadam Uzraudzības un kontroles iestāžu plānotā kapacitāte un pasākumi.</w:t>
            </w:r>
          </w:p>
          <w:p w:rsidR="00D013CB" w:rsidRPr="00451F5C" w:rsidRDefault="0019770C"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Likumprojekts izstrādāts ņemot vērā Pasākumu plāna 2.pielikumu - Pasākumu plānam noziedzīgi iegūtu </w:t>
            </w:r>
            <w:r w:rsidRPr="00451F5C">
              <w:rPr>
                <w:rFonts w:ascii="Times New Roman" w:hAnsi="Times New Roman" w:cs="Times New Roman"/>
                <w:sz w:val="24"/>
                <w:szCs w:val="24"/>
              </w:rPr>
              <w:lastRenderedPageBreak/>
              <w:t xml:space="preserve">līdzekļu legalizācijas un terorisma finansēšanas novēršanai 2019.–2021. gadam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5.kārtas novērtēšanas ziņojumā ietvertais novērtējums par Latvijas atbilstību FATF rekomendācijām</w:t>
            </w:r>
            <w:r w:rsidR="006301A1" w:rsidRPr="00451F5C">
              <w:rPr>
                <w:rFonts w:ascii="Times New Roman" w:hAnsi="Times New Roman" w:cs="Times New Roman"/>
                <w:sz w:val="24"/>
                <w:szCs w:val="24"/>
              </w:rPr>
              <w:t xml:space="preserve"> (turpmāk – 2.pielikums)</w:t>
            </w:r>
            <w:r w:rsidRPr="00451F5C">
              <w:rPr>
                <w:rFonts w:ascii="Times New Roman" w:hAnsi="Times New Roman" w:cs="Times New Roman"/>
                <w:sz w:val="24"/>
                <w:szCs w:val="24"/>
              </w:rPr>
              <w:t>.</w:t>
            </w:r>
          </w:p>
          <w:p w:rsidR="0045222B" w:rsidRPr="00451F5C" w:rsidRDefault="0045222B" w:rsidP="00C31C47">
            <w:pPr>
              <w:spacing w:after="0" w:line="240" w:lineRule="auto"/>
              <w:jc w:val="both"/>
              <w:rPr>
                <w:rFonts w:ascii="Times New Roman" w:hAnsi="Times New Roman" w:cs="Times New Roman"/>
                <w:sz w:val="24"/>
                <w:szCs w:val="24"/>
              </w:rPr>
            </w:pPr>
          </w:p>
          <w:p w:rsidR="0045222B" w:rsidRPr="00451F5C" w:rsidRDefault="0045222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1.</w:t>
            </w:r>
            <w:r w:rsidR="0095471B" w:rsidRPr="00451F5C">
              <w:rPr>
                <w:rFonts w:ascii="Times New Roman" w:hAnsi="Times New Roman" w:cs="Times New Roman"/>
                <w:sz w:val="24"/>
                <w:szCs w:val="24"/>
                <w:u w:val="single"/>
              </w:rPr>
              <w:t>,</w:t>
            </w:r>
            <w:r w:rsidR="00292AA4" w:rsidRPr="00451F5C">
              <w:rPr>
                <w:rFonts w:ascii="Times New Roman" w:hAnsi="Times New Roman" w:cs="Times New Roman"/>
                <w:sz w:val="24"/>
                <w:szCs w:val="24"/>
                <w:u w:val="single"/>
              </w:rPr>
              <w:t>5.</w:t>
            </w:r>
            <w:r w:rsidR="00BC0A75" w:rsidRPr="00451F5C">
              <w:rPr>
                <w:rFonts w:ascii="Times New Roman" w:hAnsi="Times New Roman" w:cs="Times New Roman"/>
                <w:sz w:val="24"/>
                <w:szCs w:val="24"/>
                <w:u w:val="single"/>
              </w:rPr>
              <w:t>,</w:t>
            </w:r>
            <w:r w:rsidR="0095471B" w:rsidRPr="00451F5C">
              <w:rPr>
                <w:rFonts w:ascii="Times New Roman" w:hAnsi="Times New Roman" w:cs="Times New Roman"/>
                <w:sz w:val="24"/>
                <w:szCs w:val="24"/>
                <w:u w:val="single"/>
              </w:rPr>
              <w:t>34.</w:t>
            </w:r>
            <w:r w:rsidR="005C2206" w:rsidRPr="00451F5C">
              <w:rPr>
                <w:rFonts w:ascii="Times New Roman" w:hAnsi="Times New Roman" w:cs="Times New Roman"/>
                <w:sz w:val="24"/>
                <w:szCs w:val="24"/>
                <w:u w:val="single"/>
              </w:rPr>
              <w:t>,</w:t>
            </w:r>
            <w:r w:rsidR="00BC0A75" w:rsidRPr="00451F5C">
              <w:rPr>
                <w:rFonts w:ascii="Times New Roman" w:hAnsi="Times New Roman" w:cs="Times New Roman"/>
                <w:sz w:val="24"/>
                <w:szCs w:val="24"/>
                <w:u w:val="single"/>
              </w:rPr>
              <w:t>43.</w:t>
            </w:r>
            <w:r w:rsidR="005C2206" w:rsidRPr="00451F5C">
              <w:rPr>
                <w:rFonts w:ascii="Times New Roman" w:hAnsi="Times New Roman" w:cs="Times New Roman"/>
                <w:sz w:val="24"/>
                <w:szCs w:val="24"/>
                <w:u w:val="single"/>
              </w:rPr>
              <w:t xml:space="preserve"> un 52.</w:t>
            </w:r>
            <w:r w:rsidRPr="00451F5C">
              <w:rPr>
                <w:rFonts w:ascii="Times New Roman" w:hAnsi="Times New Roman" w:cs="Times New Roman"/>
                <w:sz w:val="24"/>
                <w:szCs w:val="24"/>
                <w:u w:val="single"/>
              </w:rPr>
              <w:t>pants</w:t>
            </w:r>
            <w:r w:rsidR="005C2206" w:rsidRPr="00451F5C">
              <w:rPr>
                <w:rFonts w:ascii="Times New Roman" w:hAnsi="Times New Roman" w:cs="Times New Roman"/>
                <w:sz w:val="24"/>
                <w:szCs w:val="24"/>
                <w:u w:val="single"/>
              </w:rPr>
              <w:t xml:space="preserve"> (NILLTFNL pārejas noteikumu 51.punkts)</w:t>
            </w:r>
            <w:r w:rsidRPr="00451F5C">
              <w:rPr>
                <w:rFonts w:ascii="Times New Roman" w:hAnsi="Times New Roman" w:cs="Times New Roman"/>
                <w:sz w:val="24"/>
                <w:szCs w:val="24"/>
                <w:u w:val="single"/>
              </w:rPr>
              <w:t>:</w:t>
            </w:r>
          </w:p>
          <w:p w:rsidR="0045222B" w:rsidRPr="00451F5C" w:rsidRDefault="0045222B" w:rsidP="007E5A42">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Ar mērķi nodrošināt vienotu praksi un izpratni starp dalībvalstīm par </w:t>
            </w:r>
            <w:r w:rsidR="008E1ED2" w:rsidRPr="00451F5C">
              <w:rPr>
                <w:rFonts w:ascii="Times New Roman" w:hAnsi="Times New Roman" w:cs="Times New Roman"/>
                <w:sz w:val="24"/>
                <w:szCs w:val="24"/>
              </w:rPr>
              <w:t>Noziedzīgi iegūtu līdzekļu legalizācijas novēršanas dienesta</w:t>
            </w:r>
            <w:r w:rsidR="004A2B89" w:rsidRPr="00451F5C">
              <w:rPr>
                <w:rFonts w:ascii="Times New Roman" w:hAnsi="Times New Roman" w:cs="Times New Roman"/>
                <w:sz w:val="24"/>
                <w:szCs w:val="24"/>
              </w:rPr>
              <w:t xml:space="preserve"> (turpmāk arī – Kontroles dienests)</w:t>
            </w:r>
            <w:r w:rsidR="008E1ED2"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funkcijām, kā arī, lai neradītu nepareizu izpratni par </w:t>
            </w:r>
            <w:r w:rsidR="004A2B89" w:rsidRPr="00451F5C">
              <w:rPr>
                <w:rFonts w:ascii="Times New Roman" w:hAnsi="Times New Roman" w:cs="Times New Roman"/>
                <w:sz w:val="24"/>
                <w:szCs w:val="24"/>
              </w:rPr>
              <w:t>Kontroles</w:t>
            </w:r>
            <w:r w:rsidR="008E1ED2" w:rsidRPr="00451F5C">
              <w:rPr>
                <w:rFonts w:ascii="Times New Roman" w:hAnsi="Times New Roman" w:cs="Times New Roman"/>
                <w:sz w:val="24"/>
                <w:szCs w:val="24"/>
              </w:rPr>
              <w:t xml:space="preserve"> dienesta </w:t>
            </w:r>
            <w:r w:rsidRPr="00451F5C">
              <w:rPr>
                <w:rFonts w:ascii="Times New Roman" w:hAnsi="Times New Roman" w:cs="Times New Roman"/>
                <w:sz w:val="24"/>
                <w:szCs w:val="24"/>
              </w:rPr>
              <w:t xml:space="preserve">funkcijām, līdz ar grozījumiem </w:t>
            </w:r>
            <w:r w:rsidR="00343CD8"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tiek mainīts Noziedzīgi iegūtu līdzekļu legalizācijas novēršanas dienesta nosaukums uz </w:t>
            </w:r>
            <w:r w:rsidR="009507F0">
              <w:rPr>
                <w:rFonts w:ascii="Times New Roman" w:hAnsi="Times New Roman" w:cs="Times New Roman"/>
                <w:sz w:val="24"/>
                <w:szCs w:val="24"/>
              </w:rPr>
              <w:t>“</w:t>
            </w:r>
            <w:r w:rsidRPr="00451F5C">
              <w:rPr>
                <w:rFonts w:ascii="Times New Roman" w:hAnsi="Times New Roman" w:cs="Times New Roman"/>
                <w:sz w:val="24"/>
                <w:szCs w:val="24"/>
              </w:rPr>
              <w:t>Finanšu izlūkošanas dienests</w:t>
            </w:r>
            <w:r w:rsidR="009507F0">
              <w:rPr>
                <w:rFonts w:ascii="Times New Roman" w:hAnsi="Times New Roman" w:cs="Times New Roman"/>
                <w:sz w:val="24"/>
                <w:szCs w:val="24"/>
              </w:rPr>
              <w:t>”</w:t>
            </w:r>
            <w:r w:rsidRPr="00451F5C">
              <w:rPr>
                <w:rFonts w:ascii="Times New Roman" w:hAnsi="Times New Roman" w:cs="Times New Roman"/>
                <w:sz w:val="24"/>
                <w:szCs w:val="24"/>
              </w:rPr>
              <w:t>, nelietojot saīsinājumu “Kontroles dienests”. Norādāms, ka arī starptautiski, tāpat arī ārvalstu institūciju nosaukumos</w:t>
            </w:r>
            <w:r w:rsidR="008E1ED2" w:rsidRPr="00451F5C">
              <w:rPr>
                <w:rFonts w:ascii="Times New Roman" w:hAnsi="Times New Roman" w:cs="Times New Roman"/>
                <w:sz w:val="24"/>
                <w:szCs w:val="24"/>
              </w:rPr>
              <w:t>,</w:t>
            </w:r>
            <w:r w:rsidRPr="00451F5C">
              <w:rPr>
                <w:rFonts w:ascii="Times New Roman" w:hAnsi="Times New Roman" w:cs="Times New Roman"/>
                <w:sz w:val="24"/>
                <w:szCs w:val="24"/>
              </w:rPr>
              <w:t xml:space="preserve"> tiek lietots termins „</w:t>
            </w:r>
            <w:proofErr w:type="spellStart"/>
            <w:r w:rsidRPr="009507F0">
              <w:rPr>
                <w:rFonts w:ascii="Times New Roman" w:hAnsi="Times New Roman" w:cs="Times New Roman"/>
                <w:i/>
                <w:sz w:val="24"/>
                <w:szCs w:val="24"/>
              </w:rPr>
              <w:t>Financial</w:t>
            </w:r>
            <w:proofErr w:type="spellEnd"/>
            <w:r w:rsidRPr="009507F0">
              <w:rPr>
                <w:rFonts w:ascii="Times New Roman" w:hAnsi="Times New Roman" w:cs="Times New Roman"/>
                <w:i/>
                <w:sz w:val="24"/>
                <w:szCs w:val="24"/>
              </w:rPr>
              <w:t xml:space="preserve"> </w:t>
            </w:r>
            <w:proofErr w:type="spellStart"/>
            <w:r w:rsidRPr="009507F0">
              <w:rPr>
                <w:rFonts w:ascii="Times New Roman" w:hAnsi="Times New Roman" w:cs="Times New Roman"/>
                <w:i/>
                <w:sz w:val="24"/>
                <w:szCs w:val="24"/>
              </w:rPr>
              <w:t>Intelligence</w:t>
            </w:r>
            <w:proofErr w:type="spellEnd"/>
            <w:r w:rsidRPr="009507F0">
              <w:rPr>
                <w:rFonts w:ascii="Times New Roman" w:hAnsi="Times New Roman" w:cs="Times New Roman"/>
                <w:i/>
                <w:sz w:val="24"/>
                <w:szCs w:val="24"/>
              </w:rPr>
              <w:t xml:space="preserve"> </w:t>
            </w:r>
            <w:proofErr w:type="spellStart"/>
            <w:r w:rsidRPr="009507F0">
              <w:rPr>
                <w:rFonts w:ascii="Times New Roman" w:hAnsi="Times New Roman" w:cs="Times New Roman"/>
                <w:i/>
                <w:sz w:val="24"/>
                <w:szCs w:val="24"/>
              </w:rPr>
              <w:t>Unit</w:t>
            </w:r>
            <w:proofErr w:type="spellEnd"/>
            <w:r w:rsidRPr="00451F5C">
              <w:rPr>
                <w:rFonts w:ascii="Times New Roman" w:hAnsi="Times New Roman" w:cs="Times New Roman"/>
                <w:sz w:val="24"/>
                <w:szCs w:val="24"/>
              </w:rPr>
              <w:t>”</w:t>
            </w:r>
            <w:r w:rsidR="008E1ED2" w:rsidRPr="00451F5C">
              <w:rPr>
                <w:rFonts w:ascii="Times New Roman" w:hAnsi="Times New Roman" w:cs="Times New Roman"/>
                <w:sz w:val="24"/>
                <w:szCs w:val="24"/>
              </w:rPr>
              <w:t xml:space="preserve"> (tulkojumā -  Finanšu izlūkošanas dienests)</w:t>
            </w:r>
            <w:r w:rsidRPr="00451F5C">
              <w:rPr>
                <w:rFonts w:ascii="Times New Roman" w:hAnsi="Times New Roman" w:cs="Times New Roman"/>
                <w:sz w:val="24"/>
                <w:szCs w:val="24"/>
              </w:rPr>
              <w:t xml:space="preserve">.  </w:t>
            </w:r>
          </w:p>
          <w:p w:rsidR="0045222B" w:rsidRPr="00451F5C" w:rsidRDefault="005C2206" w:rsidP="007E5A42">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iepriekš minēto</w:t>
            </w:r>
            <w:r w:rsidR="009507F0">
              <w:rPr>
                <w:rFonts w:ascii="Times New Roman" w:hAnsi="Times New Roman" w:cs="Times New Roman"/>
                <w:sz w:val="24"/>
                <w:szCs w:val="24"/>
              </w:rPr>
              <w:t>,</w:t>
            </w:r>
            <w:r w:rsidRPr="00451F5C">
              <w:rPr>
                <w:rFonts w:ascii="Times New Roman" w:hAnsi="Times New Roman" w:cs="Times New Roman"/>
                <w:sz w:val="24"/>
                <w:szCs w:val="24"/>
              </w:rPr>
              <w:t xml:space="preserve"> būs nepieciešams izdarīt grozījumus arī citos normatīvajos aktos, līdz ar to, līdz attiecīgu grozījumu veikšanai citos normatīvajos aktos</w:t>
            </w:r>
            <w:r w:rsidR="009507F0">
              <w:rPr>
                <w:rFonts w:ascii="Times New Roman" w:hAnsi="Times New Roman" w:cs="Times New Roman"/>
                <w:sz w:val="24"/>
                <w:szCs w:val="24"/>
              </w:rPr>
              <w:t>,</w:t>
            </w:r>
            <w:r w:rsidRPr="00451F5C">
              <w:rPr>
                <w:rFonts w:ascii="Times New Roman" w:hAnsi="Times New Roman" w:cs="Times New Roman"/>
                <w:sz w:val="24"/>
                <w:szCs w:val="24"/>
              </w:rPr>
              <w:t xml:space="preserve"> tajos lietotais nosaukums “Noziedzīgi iegūtu līdzekļu legalizācijas novēršanas dienests” vai “Kontroles dienests” atbildīs NILLTFNL lietotajam jaunajam nosaukumam “Finanšu izlūkošanas dienests”.</w:t>
            </w:r>
          </w:p>
          <w:p w:rsidR="005C2206" w:rsidRPr="00451F5C" w:rsidRDefault="005C2206" w:rsidP="00C31C47">
            <w:pPr>
              <w:spacing w:after="0" w:line="240" w:lineRule="auto"/>
              <w:jc w:val="both"/>
              <w:rPr>
                <w:rFonts w:ascii="Times New Roman" w:hAnsi="Times New Roman" w:cs="Times New Roman"/>
                <w:sz w:val="24"/>
                <w:szCs w:val="24"/>
              </w:rPr>
            </w:pPr>
          </w:p>
          <w:p w:rsidR="00D013CB" w:rsidRPr="00451F5C" w:rsidRDefault="004104B1"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2</w:t>
            </w:r>
            <w:r w:rsidR="00D013CB" w:rsidRPr="00451F5C">
              <w:rPr>
                <w:rFonts w:ascii="Times New Roman" w:hAnsi="Times New Roman" w:cs="Times New Roman"/>
                <w:sz w:val="24"/>
                <w:szCs w:val="24"/>
                <w:u w:val="single"/>
              </w:rPr>
              <w:t>.pants</w:t>
            </w:r>
            <w:r w:rsidR="005D455F" w:rsidRPr="00451F5C">
              <w:rPr>
                <w:rFonts w:ascii="Times New Roman" w:hAnsi="Times New Roman" w:cs="Times New Roman"/>
                <w:sz w:val="24"/>
                <w:szCs w:val="24"/>
                <w:u w:val="single"/>
              </w:rPr>
              <w:t xml:space="preserve"> (kā arī citi likumprojekta panti</w:t>
            </w:r>
            <w:r w:rsidR="009507F0">
              <w:rPr>
                <w:rFonts w:ascii="Times New Roman" w:hAnsi="Times New Roman" w:cs="Times New Roman"/>
                <w:sz w:val="24"/>
                <w:szCs w:val="24"/>
                <w:u w:val="single"/>
              </w:rPr>
              <w:t>,</w:t>
            </w:r>
            <w:r w:rsidR="005D455F" w:rsidRPr="00451F5C">
              <w:rPr>
                <w:rFonts w:ascii="Times New Roman" w:hAnsi="Times New Roman" w:cs="Times New Roman"/>
                <w:sz w:val="24"/>
                <w:szCs w:val="24"/>
                <w:u w:val="single"/>
              </w:rPr>
              <w:t xml:space="preserve"> uz kuriem likta atsauce tekstā)</w:t>
            </w:r>
            <w:r w:rsidR="00D013CB" w:rsidRPr="00451F5C">
              <w:rPr>
                <w:rFonts w:ascii="Times New Roman" w:hAnsi="Times New Roman" w:cs="Times New Roman"/>
                <w:sz w:val="24"/>
                <w:szCs w:val="24"/>
                <w:u w:val="single"/>
              </w:rPr>
              <w:t>:</w:t>
            </w:r>
          </w:p>
          <w:p w:rsidR="00F24B93" w:rsidRPr="00451F5C" w:rsidRDefault="00F24B93" w:rsidP="00C0679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AML V direktīvas </w:t>
            </w:r>
            <w:r w:rsidR="00FE409E" w:rsidRPr="00451F5C">
              <w:rPr>
                <w:rFonts w:ascii="Times New Roman" w:hAnsi="Times New Roman" w:cs="Times New Roman"/>
                <w:sz w:val="24"/>
                <w:szCs w:val="24"/>
              </w:rPr>
              <w:t>1.panta 1.punkta b) apakšpunkta v) punktam juridiska veidojuma termins tiek precizēts</w:t>
            </w:r>
            <w:r w:rsidR="009507F0">
              <w:rPr>
                <w:rFonts w:ascii="Times New Roman" w:hAnsi="Times New Roman" w:cs="Times New Roman"/>
                <w:sz w:val="24"/>
                <w:szCs w:val="24"/>
              </w:rPr>
              <w:t>,</w:t>
            </w:r>
            <w:r w:rsidR="00FE409E" w:rsidRPr="00451F5C">
              <w:rPr>
                <w:rFonts w:ascii="Times New Roman" w:hAnsi="Times New Roman" w:cs="Times New Roman"/>
                <w:sz w:val="24"/>
                <w:szCs w:val="24"/>
              </w:rPr>
              <w:t xml:space="preserve"> no</w:t>
            </w:r>
            <w:r w:rsidR="009507F0">
              <w:rPr>
                <w:rFonts w:ascii="Times New Roman" w:hAnsi="Times New Roman" w:cs="Times New Roman"/>
                <w:sz w:val="24"/>
                <w:szCs w:val="24"/>
              </w:rPr>
              <w:t>sakot galējo kontroles veidu, ar</w:t>
            </w:r>
            <w:r w:rsidR="00FE409E" w:rsidRPr="00451F5C">
              <w:rPr>
                <w:rFonts w:ascii="Times New Roman" w:hAnsi="Times New Roman" w:cs="Times New Roman"/>
                <w:sz w:val="24"/>
                <w:szCs w:val="24"/>
              </w:rPr>
              <w:t xml:space="preserve"> kuru </w:t>
            </w:r>
            <w:r w:rsidR="00A21C56" w:rsidRPr="00451F5C">
              <w:rPr>
                <w:rFonts w:ascii="Times New Roman" w:hAnsi="Times New Roman" w:cs="Times New Roman"/>
                <w:sz w:val="24"/>
                <w:szCs w:val="24"/>
              </w:rPr>
              <w:t>faktiski īsteno kontroli pār juridisku veidojumu.</w:t>
            </w:r>
          </w:p>
          <w:p w:rsidR="00C06797" w:rsidRPr="00451F5C" w:rsidRDefault="00343CD8" w:rsidP="00664D8A">
            <w:pPr>
              <w:shd w:val="clear" w:color="auto" w:fill="FFFFFF"/>
              <w:spacing w:after="0" w:line="240" w:lineRule="auto"/>
              <w:ind w:firstLine="391"/>
              <w:jc w:val="both"/>
              <w:rPr>
                <w:rFonts w:ascii="Times New Roman" w:eastAsia="Times New Roman" w:hAnsi="Times New Roman" w:cs="Times New Roman"/>
                <w:color w:val="000000"/>
                <w:sz w:val="24"/>
                <w:szCs w:val="24"/>
                <w:lang w:eastAsia="lv-LV"/>
              </w:rPr>
            </w:pPr>
            <w:r w:rsidRPr="00451F5C">
              <w:rPr>
                <w:rFonts w:ascii="Times New Roman" w:hAnsi="Times New Roman" w:cs="Times New Roman"/>
                <w:sz w:val="24"/>
                <w:szCs w:val="24"/>
              </w:rPr>
              <w:t>Līdz ar grozījumiem NILLTFNL t</w:t>
            </w:r>
            <w:r w:rsidR="00D013CB" w:rsidRPr="00451F5C">
              <w:rPr>
                <w:rFonts w:ascii="Times New Roman" w:hAnsi="Times New Roman" w:cs="Times New Roman"/>
                <w:sz w:val="24"/>
                <w:szCs w:val="24"/>
              </w:rPr>
              <w:t xml:space="preserve">iek precizēts </w:t>
            </w:r>
            <w:r w:rsidRPr="00451F5C">
              <w:rPr>
                <w:rFonts w:ascii="Times New Roman" w:hAnsi="Times New Roman" w:cs="Times New Roman"/>
                <w:sz w:val="24"/>
                <w:szCs w:val="24"/>
              </w:rPr>
              <w:t>“čaulas banka”</w:t>
            </w:r>
            <w:r w:rsidR="00D013CB" w:rsidRPr="00451F5C">
              <w:rPr>
                <w:rFonts w:ascii="Times New Roman" w:hAnsi="Times New Roman" w:cs="Times New Roman"/>
                <w:sz w:val="24"/>
                <w:szCs w:val="24"/>
              </w:rPr>
              <w:t xml:space="preserve"> termins atbilstoši  </w:t>
            </w:r>
            <w:proofErr w:type="spellStart"/>
            <w:r w:rsidR="00D013CB" w:rsidRPr="00451F5C">
              <w:rPr>
                <w:rFonts w:ascii="Times New Roman" w:hAnsi="Times New Roman" w:cs="Times New Roman"/>
                <w:sz w:val="24"/>
                <w:szCs w:val="24"/>
              </w:rPr>
              <w:t>Moneyval</w:t>
            </w:r>
            <w:proofErr w:type="spellEnd"/>
            <w:r w:rsidR="00D013CB" w:rsidRPr="00451F5C">
              <w:rPr>
                <w:rFonts w:ascii="Times New Roman" w:hAnsi="Times New Roman" w:cs="Times New Roman"/>
                <w:sz w:val="24"/>
                <w:szCs w:val="24"/>
              </w:rPr>
              <w:t xml:space="preserve"> ziņojumā norādītajam</w:t>
            </w:r>
            <w:r w:rsidRPr="00451F5C">
              <w:rPr>
                <w:rFonts w:ascii="Times New Roman" w:hAnsi="Times New Roman" w:cs="Times New Roman"/>
                <w:sz w:val="24"/>
                <w:szCs w:val="24"/>
              </w:rPr>
              <w:t xml:space="preserve"> -</w:t>
            </w:r>
            <w:r w:rsidR="00D013CB" w:rsidRPr="00451F5C">
              <w:rPr>
                <w:rFonts w:ascii="Times New Roman" w:hAnsi="Times New Roman" w:cs="Times New Roman"/>
                <w:sz w:val="24"/>
                <w:szCs w:val="24"/>
              </w:rPr>
              <w:t xml:space="preserve"> </w:t>
            </w:r>
            <w:r w:rsidR="00750280" w:rsidRPr="00451F5C">
              <w:rPr>
                <w:rFonts w:ascii="Times New Roman" w:hAnsi="Times New Roman" w:cs="Times New Roman"/>
                <w:sz w:val="24"/>
                <w:szCs w:val="24"/>
              </w:rPr>
              <w:t>Rec.13.</w:t>
            </w:r>
            <w:r w:rsidR="00D013CB" w:rsidRPr="00451F5C">
              <w:rPr>
                <w:rFonts w:ascii="Times New Roman" w:hAnsi="Times New Roman" w:cs="Times New Roman"/>
                <w:sz w:val="24"/>
                <w:szCs w:val="24"/>
              </w:rPr>
              <w:t xml:space="preserve"> </w:t>
            </w:r>
            <w:proofErr w:type="spellStart"/>
            <w:r w:rsidR="00D013CB" w:rsidRPr="00451F5C">
              <w:rPr>
                <w:rFonts w:ascii="Times New Roman" w:hAnsi="Times New Roman" w:cs="Times New Roman"/>
                <w:sz w:val="24"/>
                <w:szCs w:val="24"/>
              </w:rPr>
              <w:t>Cr</w:t>
            </w:r>
            <w:proofErr w:type="spellEnd"/>
            <w:r w:rsidR="00552F06" w:rsidRPr="00451F5C">
              <w:rPr>
                <w:rFonts w:ascii="Times New Roman" w:hAnsi="Times New Roman" w:cs="Times New Roman"/>
                <w:sz w:val="24"/>
                <w:szCs w:val="24"/>
              </w:rPr>
              <w:t>.</w:t>
            </w:r>
            <w:r w:rsidR="00D013CB" w:rsidRPr="00451F5C">
              <w:rPr>
                <w:rFonts w:ascii="Times New Roman" w:hAnsi="Times New Roman" w:cs="Times New Roman"/>
                <w:sz w:val="24"/>
                <w:szCs w:val="24"/>
              </w:rPr>
              <w:t xml:space="preserve"> 13.3</w:t>
            </w:r>
            <w:r w:rsidR="00750280" w:rsidRPr="00451F5C">
              <w:rPr>
                <w:rFonts w:ascii="Times New Roman" w:hAnsi="Times New Roman" w:cs="Times New Roman"/>
                <w:sz w:val="24"/>
                <w:szCs w:val="24"/>
              </w:rPr>
              <w:t xml:space="preserve"> (2.pielikums Nr.13.1.)</w:t>
            </w:r>
            <w:r w:rsidRPr="00451F5C">
              <w:rPr>
                <w:rFonts w:ascii="Times New Roman" w:hAnsi="Times New Roman" w:cs="Times New Roman"/>
                <w:sz w:val="24"/>
                <w:szCs w:val="24"/>
              </w:rPr>
              <w:t>. T</w:t>
            </w:r>
            <w:r w:rsidR="00D013CB" w:rsidRPr="00451F5C">
              <w:rPr>
                <w:rFonts w:ascii="Times New Roman" w:hAnsi="Times New Roman" w:cs="Times New Roman"/>
                <w:sz w:val="24"/>
                <w:szCs w:val="24"/>
              </w:rPr>
              <w:t xml:space="preserve">iek aptverts iztrūkstošais elements atbilstoši FATF </w:t>
            </w:r>
            <w:r w:rsidR="00935024" w:rsidRPr="00451F5C">
              <w:rPr>
                <w:rFonts w:ascii="Times New Roman" w:hAnsi="Times New Roman" w:cs="Times New Roman"/>
                <w:sz w:val="24"/>
                <w:szCs w:val="24"/>
              </w:rPr>
              <w:t xml:space="preserve">Met. </w:t>
            </w:r>
            <w:r w:rsidR="00D013CB" w:rsidRPr="00451F5C">
              <w:rPr>
                <w:rFonts w:ascii="Times New Roman" w:hAnsi="Times New Roman" w:cs="Times New Roman"/>
                <w:sz w:val="24"/>
                <w:szCs w:val="24"/>
              </w:rPr>
              <w:t xml:space="preserve">čaulas bankas definīcijai, </w:t>
            </w:r>
            <w:proofErr w:type="spellStart"/>
            <w:r w:rsidR="00D013CB" w:rsidRPr="00451F5C">
              <w:rPr>
                <w:rFonts w:ascii="Times New Roman" w:hAnsi="Times New Roman" w:cs="Times New Roman"/>
                <w:sz w:val="24"/>
                <w:szCs w:val="24"/>
              </w:rPr>
              <w:t>t.i</w:t>
            </w:r>
            <w:proofErr w:type="spellEnd"/>
            <w:r w:rsidR="00D013CB" w:rsidRPr="00451F5C">
              <w:rPr>
                <w:rFonts w:ascii="Times New Roman" w:hAnsi="Times New Roman" w:cs="Times New Roman"/>
                <w:sz w:val="24"/>
                <w:szCs w:val="24"/>
              </w:rPr>
              <w:t xml:space="preserve">, fiziskās klātbūtnes trūkumu valstī, kurā kredītiestāde ir licencēta (nevis tikai reģistrēta), </w:t>
            </w:r>
            <w:r w:rsidRPr="00451F5C">
              <w:rPr>
                <w:rFonts w:ascii="Times New Roman" w:hAnsi="Times New Roman" w:cs="Times New Roman"/>
                <w:sz w:val="24"/>
                <w:szCs w:val="24"/>
              </w:rPr>
              <w:t>kā arī</w:t>
            </w:r>
            <w:r w:rsidR="00D013CB" w:rsidRPr="00451F5C">
              <w:rPr>
                <w:rFonts w:ascii="Times New Roman" w:hAnsi="Times New Roman" w:cs="Times New Roman"/>
                <w:sz w:val="24"/>
                <w:szCs w:val="24"/>
              </w:rPr>
              <w:t xml:space="preserve"> nepietiekamu piederību regulētai kredītiestādei</w:t>
            </w:r>
            <w:r w:rsidR="00AD6965" w:rsidRPr="00451F5C">
              <w:rPr>
                <w:rFonts w:ascii="Times New Roman" w:hAnsi="Times New Roman" w:cs="Times New Roman"/>
                <w:sz w:val="24"/>
                <w:szCs w:val="24"/>
              </w:rPr>
              <w:t>,</w:t>
            </w:r>
            <w:r w:rsidR="00D013CB" w:rsidRPr="00451F5C">
              <w:rPr>
                <w:rFonts w:ascii="Times New Roman" w:hAnsi="Times New Roman" w:cs="Times New Roman"/>
                <w:sz w:val="24"/>
                <w:szCs w:val="24"/>
              </w:rPr>
              <w:t xml:space="preserve"> finanšu grupai, kas ir pakļauta efektīvai konsolidētai uzraudzībai (pretēji tam, ka uz to neattiecas neefektīva un / vai nekonsolidēta uzraudzība).</w:t>
            </w:r>
            <w:r w:rsidR="00B7150E" w:rsidRPr="00451F5C">
              <w:rPr>
                <w:rFonts w:ascii="Times New Roman" w:hAnsi="Times New Roman" w:cs="Times New Roman"/>
                <w:sz w:val="24"/>
                <w:szCs w:val="24"/>
              </w:rPr>
              <w:t xml:space="preserve"> </w:t>
            </w:r>
            <w:r w:rsidR="00712DAE" w:rsidRPr="00451F5C">
              <w:rPr>
                <w:rFonts w:ascii="Times New Roman" w:eastAsia="Times New Roman" w:hAnsi="Times New Roman" w:cs="Times New Roman"/>
                <w:color w:val="000000"/>
                <w:sz w:val="24"/>
                <w:szCs w:val="24"/>
                <w:lang w:eastAsia="lv-LV"/>
              </w:rPr>
              <w:t xml:space="preserve">Ar regulētu, efektīvi konsolidētu uzraudzītu finanšu grupu saprot visaptverošu efektīvu, regulētu pieeju, lai novērtētu visa uzņēmuma spēku grupā, ņemot vērā visus riskus, kas var ietekmēt </w:t>
            </w:r>
            <w:r w:rsidR="00712DAE" w:rsidRPr="00451F5C">
              <w:rPr>
                <w:rFonts w:ascii="Times New Roman" w:eastAsia="Times New Roman" w:hAnsi="Times New Roman" w:cs="Times New Roman"/>
                <w:color w:val="000000"/>
                <w:sz w:val="24"/>
                <w:szCs w:val="24"/>
                <w:lang w:eastAsia="lv-LV"/>
              </w:rPr>
              <w:lastRenderedPageBreak/>
              <w:t>kredītiestādi, neatkarīgi no tā, vai šie riski ir novērtēti kredītiestādē vai saistītās vienībās. Regulēt</w:t>
            </w:r>
            <w:r w:rsidR="009507F0">
              <w:rPr>
                <w:rFonts w:ascii="Times New Roman" w:eastAsia="Times New Roman" w:hAnsi="Times New Roman" w:cs="Times New Roman"/>
                <w:color w:val="000000"/>
                <w:sz w:val="24"/>
                <w:szCs w:val="24"/>
                <w:lang w:eastAsia="lv-LV"/>
              </w:rPr>
              <w:t>a</w:t>
            </w:r>
            <w:r w:rsidR="00712DAE" w:rsidRPr="00451F5C">
              <w:rPr>
                <w:rFonts w:ascii="Times New Roman" w:eastAsia="Times New Roman" w:hAnsi="Times New Roman" w:cs="Times New Roman"/>
                <w:color w:val="000000"/>
                <w:sz w:val="24"/>
                <w:szCs w:val="24"/>
                <w:lang w:eastAsia="lv-LV"/>
              </w:rPr>
              <w:t>, efektīvi konsolidēt</w:t>
            </w:r>
            <w:r w:rsidR="009507F0">
              <w:rPr>
                <w:rFonts w:ascii="Times New Roman" w:eastAsia="Times New Roman" w:hAnsi="Times New Roman" w:cs="Times New Roman"/>
                <w:color w:val="000000"/>
                <w:sz w:val="24"/>
                <w:szCs w:val="24"/>
                <w:lang w:eastAsia="lv-LV"/>
              </w:rPr>
              <w:t>i</w:t>
            </w:r>
            <w:r w:rsidR="00712DAE" w:rsidRPr="00451F5C">
              <w:rPr>
                <w:rFonts w:ascii="Times New Roman" w:eastAsia="Times New Roman" w:hAnsi="Times New Roman" w:cs="Times New Roman"/>
                <w:color w:val="000000"/>
                <w:sz w:val="24"/>
                <w:szCs w:val="24"/>
                <w:lang w:eastAsia="lv-LV"/>
              </w:rPr>
              <w:t xml:space="preserve"> uzraudzīt</w:t>
            </w:r>
            <w:r w:rsidR="009507F0">
              <w:rPr>
                <w:rFonts w:ascii="Times New Roman" w:eastAsia="Times New Roman" w:hAnsi="Times New Roman" w:cs="Times New Roman"/>
                <w:color w:val="000000"/>
                <w:sz w:val="24"/>
                <w:szCs w:val="24"/>
                <w:lang w:eastAsia="lv-LV"/>
              </w:rPr>
              <w:t>a</w:t>
            </w:r>
            <w:r w:rsidR="00712DAE" w:rsidRPr="00451F5C">
              <w:rPr>
                <w:rFonts w:ascii="Times New Roman" w:eastAsia="Times New Roman" w:hAnsi="Times New Roman" w:cs="Times New Roman"/>
                <w:color w:val="000000"/>
                <w:sz w:val="24"/>
                <w:szCs w:val="24"/>
                <w:lang w:eastAsia="lv-LV"/>
              </w:rPr>
              <w:t xml:space="preserve"> finanšu grupa ir nepieciešama, ja kredītiestādes ir saistītas ar plašāku grupu, tās ir pakļautas si</w:t>
            </w:r>
            <w:r w:rsidR="00451F5C">
              <w:rPr>
                <w:rFonts w:ascii="Times New Roman" w:eastAsia="Times New Roman" w:hAnsi="Times New Roman" w:cs="Times New Roman"/>
                <w:color w:val="000000"/>
                <w:sz w:val="24"/>
                <w:szCs w:val="24"/>
                <w:lang w:eastAsia="lv-LV"/>
              </w:rPr>
              <w:t>s</w:t>
            </w:r>
            <w:r w:rsidR="00712DAE" w:rsidRPr="00451F5C">
              <w:rPr>
                <w:rFonts w:ascii="Times New Roman" w:eastAsia="Times New Roman" w:hAnsi="Times New Roman" w:cs="Times New Roman"/>
                <w:color w:val="000000"/>
                <w:sz w:val="24"/>
                <w:szCs w:val="24"/>
                <w:lang w:eastAsia="lv-LV"/>
              </w:rPr>
              <w:t>tēm</w:t>
            </w:r>
            <w:r w:rsidR="009507F0">
              <w:rPr>
                <w:rFonts w:ascii="Times New Roman" w:eastAsia="Times New Roman" w:hAnsi="Times New Roman" w:cs="Times New Roman"/>
                <w:color w:val="000000"/>
                <w:sz w:val="24"/>
                <w:szCs w:val="24"/>
                <w:lang w:eastAsia="lv-LV"/>
              </w:rPr>
              <w:t>iskam</w:t>
            </w:r>
            <w:r w:rsidR="00712DAE" w:rsidRPr="00451F5C">
              <w:rPr>
                <w:rFonts w:ascii="Times New Roman" w:eastAsia="Times New Roman" w:hAnsi="Times New Roman" w:cs="Times New Roman"/>
                <w:color w:val="000000"/>
                <w:sz w:val="24"/>
                <w:szCs w:val="24"/>
                <w:lang w:eastAsia="lv-LV"/>
              </w:rPr>
              <w:t xml:space="preserve"> riskam. Šie grupas riski, ko sauc arī par </w:t>
            </w:r>
            <w:proofErr w:type="spellStart"/>
            <w:r w:rsidR="00712DAE" w:rsidRPr="00451F5C">
              <w:rPr>
                <w:rFonts w:ascii="Times New Roman" w:eastAsia="Times New Roman" w:hAnsi="Times New Roman" w:cs="Times New Roman"/>
                <w:color w:val="000000"/>
                <w:sz w:val="24"/>
                <w:szCs w:val="24"/>
                <w:lang w:eastAsia="lv-LV"/>
              </w:rPr>
              <w:t>konglomerācijas</w:t>
            </w:r>
            <w:proofErr w:type="spellEnd"/>
            <w:r w:rsidR="00712DAE" w:rsidRPr="00451F5C">
              <w:rPr>
                <w:rFonts w:ascii="Times New Roman" w:eastAsia="Times New Roman" w:hAnsi="Times New Roman" w:cs="Times New Roman"/>
                <w:color w:val="000000"/>
                <w:sz w:val="24"/>
                <w:szCs w:val="24"/>
                <w:lang w:eastAsia="lv-LV"/>
              </w:rPr>
              <w:t xml:space="preserve"> riskiem, izriet no kredītiestādes finanšu un </w:t>
            </w:r>
            <w:proofErr w:type="spellStart"/>
            <w:r w:rsidR="00712DAE" w:rsidRPr="00451F5C">
              <w:rPr>
                <w:rFonts w:ascii="Times New Roman" w:eastAsia="Times New Roman" w:hAnsi="Times New Roman" w:cs="Times New Roman"/>
                <w:color w:val="000000"/>
                <w:sz w:val="24"/>
                <w:szCs w:val="24"/>
                <w:lang w:eastAsia="lv-LV"/>
              </w:rPr>
              <w:t>nefinanšu</w:t>
            </w:r>
            <w:proofErr w:type="spellEnd"/>
            <w:r w:rsidR="00712DAE" w:rsidRPr="00451F5C">
              <w:rPr>
                <w:rFonts w:ascii="Times New Roman" w:eastAsia="Times New Roman" w:hAnsi="Times New Roman" w:cs="Times New Roman"/>
                <w:color w:val="000000"/>
                <w:sz w:val="24"/>
                <w:szCs w:val="24"/>
                <w:lang w:eastAsia="lv-LV"/>
              </w:rPr>
              <w:t xml:space="preserve"> attiecībām ar pusēm, kas veido tās plašāku grupu. Jauktas darbības aktivitāšu grupas, kas ietver gan finanšu, gan </w:t>
            </w:r>
            <w:proofErr w:type="spellStart"/>
            <w:r w:rsidR="00712DAE" w:rsidRPr="00451F5C">
              <w:rPr>
                <w:rFonts w:ascii="Times New Roman" w:eastAsia="Times New Roman" w:hAnsi="Times New Roman" w:cs="Times New Roman"/>
                <w:color w:val="000000"/>
                <w:sz w:val="24"/>
                <w:szCs w:val="24"/>
                <w:lang w:eastAsia="lv-LV"/>
              </w:rPr>
              <w:t>nefinanšu</w:t>
            </w:r>
            <w:proofErr w:type="spellEnd"/>
            <w:r w:rsidR="00712DAE" w:rsidRPr="00451F5C">
              <w:rPr>
                <w:rFonts w:ascii="Times New Roman" w:eastAsia="Times New Roman" w:hAnsi="Times New Roman" w:cs="Times New Roman"/>
                <w:color w:val="000000"/>
                <w:sz w:val="24"/>
                <w:szCs w:val="24"/>
                <w:lang w:eastAsia="lv-LV"/>
              </w:rPr>
              <w:t xml:space="preserve"> darbību, ir īpašs gadījums</w:t>
            </w:r>
            <w:r w:rsidR="00C06797" w:rsidRPr="00451F5C">
              <w:rPr>
                <w:rFonts w:ascii="Times New Roman" w:eastAsia="Times New Roman" w:hAnsi="Times New Roman" w:cs="Times New Roman"/>
                <w:color w:val="000000"/>
                <w:sz w:val="24"/>
                <w:szCs w:val="24"/>
                <w:lang w:eastAsia="lv-LV"/>
              </w:rPr>
              <w:t>, kad šie riski tiek akcentēti.</w:t>
            </w:r>
          </w:p>
          <w:p w:rsidR="00C06797" w:rsidRPr="00451F5C" w:rsidRDefault="00E13267" w:rsidP="00664D8A">
            <w:pPr>
              <w:shd w:val="clear" w:color="auto" w:fill="FFFFFF"/>
              <w:spacing w:after="0" w:line="240" w:lineRule="auto"/>
              <w:ind w:firstLine="391"/>
              <w:jc w:val="both"/>
              <w:rPr>
                <w:rFonts w:ascii="Calibri" w:eastAsia="Times New Roman" w:hAnsi="Calibri" w:cs="Calibri"/>
                <w:color w:val="000000"/>
                <w:sz w:val="24"/>
                <w:szCs w:val="24"/>
                <w:lang w:eastAsia="lv-LV"/>
              </w:rPr>
            </w:pPr>
            <w:r w:rsidRPr="00451F5C">
              <w:rPr>
                <w:rFonts w:ascii="Times New Roman" w:hAnsi="Times New Roman" w:cs="Times New Roman"/>
                <w:sz w:val="24"/>
                <w:szCs w:val="24"/>
              </w:rPr>
              <w:t xml:space="preserve">Šobrīd NILLTFNL nosaka likuma subjektu pienākumu ziņot par aizdomīgiem un neparastiem darījumiem. </w:t>
            </w:r>
            <w:r w:rsidR="00DC5B3F"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IV nodaļa paredz ziņojuma iesniegšanu </w:t>
            </w:r>
            <w:r w:rsidR="00DC5B3F" w:rsidRPr="00451F5C">
              <w:rPr>
                <w:rFonts w:ascii="Times New Roman" w:hAnsi="Times New Roman" w:cs="Times New Roman"/>
                <w:sz w:val="24"/>
                <w:szCs w:val="24"/>
              </w:rPr>
              <w:t xml:space="preserve">Noziedzīgi iegūtu līdzekļu legalizācijas novēršanas dienestam </w:t>
            </w:r>
            <w:r w:rsidRPr="00451F5C">
              <w:rPr>
                <w:rFonts w:ascii="Times New Roman" w:hAnsi="Times New Roman" w:cs="Times New Roman"/>
                <w:sz w:val="24"/>
                <w:szCs w:val="24"/>
              </w:rPr>
              <w:t xml:space="preserve">attiecībā uz abiem iepriekš minētajiem darījumiem. </w:t>
            </w:r>
          </w:p>
          <w:p w:rsidR="00C06797" w:rsidRPr="00451F5C" w:rsidRDefault="00C871D3" w:rsidP="00664D8A">
            <w:pPr>
              <w:shd w:val="clear" w:color="auto" w:fill="FFFFFF"/>
              <w:spacing w:after="0" w:line="240" w:lineRule="auto"/>
              <w:ind w:firstLine="391"/>
              <w:jc w:val="both"/>
              <w:rPr>
                <w:rFonts w:ascii="Times New Roman" w:hAnsi="Times New Roman" w:cs="Times New Roman"/>
                <w:sz w:val="24"/>
                <w:szCs w:val="24"/>
              </w:rPr>
            </w:pP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ziņojumā</w:t>
            </w:r>
            <w:r w:rsidR="00E13267" w:rsidRPr="00451F5C">
              <w:rPr>
                <w:rFonts w:ascii="Times New Roman" w:hAnsi="Times New Roman" w:cs="Times New Roman"/>
                <w:sz w:val="24"/>
                <w:szCs w:val="24"/>
              </w:rPr>
              <w:t xml:space="preserve">  norādīts un arī praksē secināts, ka līdzšinējās neskaidrības </w:t>
            </w:r>
            <w:r w:rsidRPr="00451F5C">
              <w:rPr>
                <w:rFonts w:ascii="Times New Roman" w:hAnsi="Times New Roman" w:cs="Times New Roman"/>
                <w:sz w:val="24"/>
                <w:szCs w:val="24"/>
              </w:rPr>
              <w:t>NILLTFNL</w:t>
            </w:r>
            <w:r w:rsidR="00E13267" w:rsidRPr="00451F5C">
              <w:rPr>
                <w:rFonts w:ascii="Times New Roman" w:hAnsi="Times New Roman" w:cs="Times New Roman"/>
                <w:sz w:val="24"/>
                <w:szCs w:val="24"/>
              </w:rPr>
              <w:t xml:space="preserve"> subjektu starpā par aizdomīga un neparasta darījuma nošķiršanu neveicina iesniegto ziņojumu kvalitāti, un vairāk tiek izmantota ziņošana par neparastiem darījumiem, nevis aizdomīgiem darījumiem, kas prasa papildus info</w:t>
            </w:r>
            <w:r w:rsidRPr="00451F5C">
              <w:rPr>
                <w:rFonts w:ascii="Times New Roman" w:hAnsi="Times New Roman" w:cs="Times New Roman"/>
                <w:sz w:val="24"/>
                <w:szCs w:val="24"/>
              </w:rPr>
              <w:t xml:space="preserve">rmācijas analīzi. Attiecīgi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ziņojumā tika norādīts, ka </w:t>
            </w:r>
            <w:r w:rsidR="00E13267" w:rsidRPr="00451F5C">
              <w:rPr>
                <w:rFonts w:ascii="Times New Roman" w:hAnsi="Times New Roman" w:cs="Times New Roman"/>
                <w:sz w:val="24"/>
                <w:szCs w:val="24"/>
              </w:rPr>
              <w:t xml:space="preserve">ir nepieciešamība pārskatīt aizdomīgu un neparastu darījumu ziņošanas kārtību, tādā veidā pilnveidojot ziņojumu iesniegšanu par aizdomīgiem darījumiem. </w:t>
            </w:r>
          </w:p>
          <w:p w:rsidR="00861C90" w:rsidRDefault="00E13267" w:rsidP="00861C90">
            <w:pPr>
              <w:shd w:val="clear" w:color="auto" w:fill="FFFFFF"/>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Kā tas norādīts </w:t>
            </w:r>
            <w:r w:rsidR="00C871D3" w:rsidRPr="00451F5C">
              <w:rPr>
                <w:rFonts w:ascii="Times New Roman" w:hAnsi="Times New Roman" w:cs="Times New Roman"/>
                <w:sz w:val="24"/>
                <w:szCs w:val="24"/>
              </w:rPr>
              <w:t>FATF</w:t>
            </w:r>
            <w:r w:rsidRPr="00451F5C">
              <w:rPr>
                <w:rFonts w:ascii="Times New Roman" w:hAnsi="Times New Roman" w:cs="Times New Roman"/>
                <w:sz w:val="24"/>
                <w:szCs w:val="24"/>
              </w:rPr>
              <w:t xml:space="preserve"> rekomendācijās (29.rekomendācija), </w:t>
            </w:r>
            <w:r w:rsidR="00BD2C7D" w:rsidRPr="00451F5C">
              <w:rPr>
                <w:rFonts w:ascii="Times New Roman" w:hAnsi="Times New Roman" w:cs="Times New Roman"/>
                <w:sz w:val="24"/>
                <w:szCs w:val="24"/>
              </w:rPr>
              <w:t>Noziedzīgi iegūtu līdzekļu legalizācijas novēršanas dienests</w:t>
            </w:r>
            <w:r w:rsidRPr="00451F5C">
              <w:rPr>
                <w:rFonts w:ascii="Times New Roman" w:hAnsi="Times New Roman" w:cs="Times New Roman"/>
                <w:sz w:val="24"/>
                <w:szCs w:val="24"/>
              </w:rPr>
              <w:t xml:space="preserve"> darbojas kā centrālā iestāde, kas saņem ziņojumus par aizdomīgiem darījumiem atbilstoši FATF 20. un 23.rekomendācijai, kā arī citu nacionālajos normatīvajos aktos paredzēto informācij</w:t>
            </w:r>
            <w:r w:rsidR="00BD2C7D" w:rsidRPr="00451F5C">
              <w:rPr>
                <w:rFonts w:ascii="Times New Roman" w:hAnsi="Times New Roman" w:cs="Times New Roman"/>
                <w:sz w:val="24"/>
                <w:szCs w:val="24"/>
              </w:rPr>
              <w:t>u  (piemēram, informāciju</w:t>
            </w:r>
            <w:r w:rsidRPr="00451F5C">
              <w:rPr>
                <w:rFonts w:ascii="Times New Roman" w:hAnsi="Times New Roman" w:cs="Times New Roman"/>
                <w:sz w:val="24"/>
                <w:szCs w:val="24"/>
              </w:rPr>
              <w:t xml:space="preserve"> par skaidras naudas darījumiem, elektroniskajiem paskaitījumiem un cita veida deklarācijas par darījumiem, kas sasniedz noteiktu robežvērtību). Tādējādi primāri dalībvalstīm ir jānodrošina ziņojumu par aizdomīgiem darījumiem iesniegšana</w:t>
            </w:r>
            <w:r w:rsidR="00BD2C7D" w:rsidRPr="00451F5C">
              <w:rPr>
                <w:rFonts w:ascii="Times New Roman" w:hAnsi="Times New Roman" w:cs="Times New Roman"/>
                <w:sz w:val="24"/>
                <w:szCs w:val="24"/>
              </w:rPr>
              <w:t xml:space="preserve"> Finanšu izlūkošanas dienestā</w:t>
            </w:r>
            <w:r w:rsidRPr="00451F5C">
              <w:rPr>
                <w:rFonts w:ascii="Times New Roman" w:hAnsi="Times New Roman" w:cs="Times New Roman"/>
                <w:sz w:val="24"/>
                <w:szCs w:val="24"/>
              </w:rPr>
              <w:t xml:space="preserve"> </w:t>
            </w:r>
            <w:r w:rsidR="00BD2C7D" w:rsidRPr="00451F5C">
              <w:rPr>
                <w:rFonts w:ascii="Times New Roman" w:hAnsi="Times New Roman" w:cs="Times New Roman"/>
                <w:sz w:val="24"/>
                <w:szCs w:val="24"/>
              </w:rPr>
              <w:t>(</w:t>
            </w:r>
            <w:proofErr w:type="spellStart"/>
            <w:r w:rsidR="00BD2C7D" w:rsidRPr="005425E4">
              <w:rPr>
                <w:rFonts w:ascii="Times New Roman" w:hAnsi="Times New Roman" w:cs="Times New Roman"/>
                <w:i/>
                <w:sz w:val="24"/>
                <w:szCs w:val="24"/>
              </w:rPr>
              <w:t>Financial</w:t>
            </w:r>
            <w:proofErr w:type="spellEnd"/>
            <w:r w:rsidR="00BD2C7D" w:rsidRPr="005425E4">
              <w:rPr>
                <w:rFonts w:ascii="Times New Roman" w:hAnsi="Times New Roman" w:cs="Times New Roman"/>
                <w:i/>
                <w:sz w:val="24"/>
                <w:szCs w:val="24"/>
              </w:rPr>
              <w:t xml:space="preserve"> </w:t>
            </w:r>
            <w:proofErr w:type="spellStart"/>
            <w:r w:rsidR="00BD2C7D" w:rsidRPr="005425E4">
              <w:rPr>
                <w:rFonts w:ascii="Times New Roman" w:hAnsi="Times New Roman" w:cs="Times New Roman"/>
                <w:i/>
                <w:sz w:val="24"/>
                <w:szCs w:val="24"/>
              </w:rPr>
              <w:t>Intelligence</w:t>
            </w:r>
            <w:proofErr w:type="spellEnd"/>
            <w:r w:rsidR="00BD2C7D" w:rsidRPr="005425E4">
              <w:rPr>
                <w:rFonts w:ascii="Times New Roman" w:hAnsi="Times New Roman" w:cs="Times New Roman"/>
                <w:i/>
                <w:sz w:val="24"/>
                <w:szCs w:val="24"/>
              </w:rPr>
              <w:t xml:space="preserve"> </w:t>
            </w:r>
            <w:proofErr w:type="spellStart"/>
            <w:r w:rsidR="00BD2C7D" w:rsidRPr="005425E4">
              <w:rPr>
                <w:rFonts w:ascii="Times New Roman" w:hAnsi="Times New Roman" w:cs="Times New Roman"/>
                <w:i/>
                <w:sz w:val="24"/>
                <w:szCs w:val="24"/>
              </w:rPr>
              <w:t>Unit</w:t>
            </w:r>
            <w:proofErr w:type="spellEnd"/>
            <w:r w:rsidR="00BD2C7D" w:rsidRPr="00451F5C">
              <w:rPr>
                <w:rFonts w:ascii="Times New Roman" w:hAnsi="Times New Roman" w:cs="Times New Roman"/>
                <w:sz w:val="24"/>
                <w:szCs w:val="24"/>
              </w:rPr>
              <w:t>)</w:t>
            </w:r>
            <w:r w:rsidRPr="00451F5C">
              <w:rPr>
                <w:rFonts w:ascii="Times New Roman" w:hAnsi="Times New Roman" w:cs="Times New Roman"/>
                <w:sz w:val="24"/>
                <w:szCs w:val="24"/>
              </w:rPr>
              <w:t xml:space="preserve">, taču nacionālajos </w:t>
            </w:r>
            <w:r w:rsidR="00BD2C7D" w:rsidRPr="00451F5C">
              <w:rPr>
                <w:rFonts w:ascii="Times New Roman" w:hAnsi="Times New Roman" w:cs="Times New Roman"/>
                <w:sz w:val="24"/>
                <w:szCs w:val="24"/>
              </w:rPr>
              <w:t xml:space="preserve">normatīvajos </w:t>
            </w:r>
            <w:r w:rsidRPr="00451F5C">
              <w:rPr>
                <w:rFonts w:ascii="Times New Roman" w:hAnsi="Times New Roman" w:cs="Times New Roman"/>
                <w:sz w:val="24"/>
                <w:szCs w:val="24"/>
              </w:rPr>
              <w:t>aktos var tikt noteikts cits informācijas veids, kas ir iesniedzams.</w:t>
            </w:r>
          </w:p>
          <w:p w:rsidR="00310C68" w:rsidRPr="00451F5C" w:rsidRDefault="00310C68" w:rsidP="00310C6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ziņojuma Rec.20. Cr.20.1. (2.pielikums Nr.20.1) norādītajam trūkuma</w:t>
            </w:r>
            <w:r w:rsidR="005425E4">
              <w:rPr>
                <w:rFonts w:ascii="Times New Roman" w:hAnsi="Times New Roman" w:cs="Times New Roman"/>
                <w:sz w:val="24"/>
                <w:szCs w:val="24"/>
              </w:rPr>
              <w:t>m</w:t>
            </w:r>
            <w:r w:rsidRPr="00451F5C">
              <w:rPr>
                <w:rFonts w:ascii="Times New Roman" w:hAnsi="Times New Roman" w:cs="Times New Roman"/>
                <w:sz w:val="24"/>
                <w:szCs w:val="24"/>
              </w:rPr>
              <w:t xml:space="preserve"> NILLTFNL, ka ziņošanas pienākums nepatver gadījumus, kad ir bijušas pietiekamas aizdomas, bet nolaidības vai neuzmanības dēļ ziņojums nav iesniegts finanšu izlūkošanas vienībai</w:t>
            </w:r>
            <w:r w:rsidR="005425E4">
              <w:rPr>
                <w:rFonts w:ascii="Times New Roman" w:hAnsi="Times New Roman" w:cs="Times New Roman"/>
                <w:sz w:val="24"/>
                <w:szCs w:val="24"/>
              </w:rPr>
              <w:t>, ir veikts precizējums, paredzot ziņošanas pienākumu NILLTFNL subjektiem šādos gadījumos.</w:t>
            </w:r>
          </w:p>
          <w:p w:rsidR="00E13267" w:rsidRPr="00451F5C" w:rsidRDefault="00E13267" w:rsidP="00D868A6">
            <w:pPr>
              <w:shd w:val="clear" w:color="auto" w:fill="FFFFFF"/>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 xml:space="preserve">Ievērojot minēto, līdz ar grozījumiem </w:t>
            </w:r>
            <w:r w:rsidR="008C673F" w:rsidRPr="00451F5C">
              <w:rPr>
                <w:rFonts w:ascii="Times New Roman" w:hAnsi="Times New Roman" w:cs="Times New Roman"/>
                <w:sz w:val="24"/>
                <w:szCs w:val="24"/>
              </w:rPr>
              <w:t xml:space="preserve">NILLTFNL </w:t>
            </w:r>
            <w:r w:rsidRPr="00451F5C">
              <w:rPr>
                <w:rFonts w:ascii="Times New Roman" w:hAnsi="Times New Roman" w:cs="Times New Roman"/>
                <w:sz w:val="24"/>
                <w:szCs w:val="24"/>
              </w:rPr>
              <w:t xml:space="preserve">konceptuāli tiek mainīta </w:t>
            </w:r>
            <w:r w:rsidR="008C673F" w:rsidRPr="00451F5C">
              <w:rPr>
                <w:rFonts w:ascii="Times New Roman" w:hAnsi="Times New Roman" w:cs="Times New Roman"/>
                <w:sz w:val="24"/>
                <w:szCs w:val="24"/>
              </w:rPr>
              <w:t xml:space="preserve">Noziedzīgi iegūtu līdzekļu legalizācijas novēršanas dienestam </w:t>
            </w:r>
            <w:r w:rsidRPr="00451F5C">
              <w:rPr>
                <w:rFonts w:ascii="Times New Roman" w:hAnsi="Times New Roman" w:cs="Times New Roman"/>
                <w:sz w:val="24"/>
                <w:szCs w:val="24"/>
              </w:rPr>
              <w:t>sniegto ziņojumu kārtība</w:t>
            </w:r>
            <w:r w:rsidR="005425E4">
              <w:rPr>
                <w:rFonts w:ascii="Times New Roman" w:hAnsi="Times New Roman" w:cs="Times New Roman"/>
                <w:sz w:val="24"/>
                <w:szCs w:val="24"/>
              </w:rPr>
              <w:t>,</w:t>
            </w:r>
            <w:r w:rsidRPr="00451F5C">
              <w:rPr>
                <w:rFonts w:ascii="Times New Roman" w:hAnsi="Times New Roman" w:cs="Times New Roman"/>
                <w:sz w:val="24"/>
                <w:szCs w:val="24"/>
              </w:rPr>
              <w:t xml:space="preserve"> un paredzēts atteikties no neparasta darījuma jēdziena, paredzot ziņojumu iesniegšanu tikai par aizdomīgiem darījumiem. Vienlaikus tiek paredzēts pienākums likuma subjektiem iesniegt citu informāciju - informāciju par sliekšņa deklarācijām, kas tiek uzglabātas </w:t>
            </w:r>
            <w:r w:rsidR="008C673F" w:rsidRPr="00451F5C">
              <w:rPr>
                <w:rFonts w:ascii="Times New Roman" w:hAnsi="Times New Roman" w:cs="Times New Roman"/>
                <w:sz w:val="24"/>
                <w:szCs w:val="24"/>
              </w:rPr>
              <w:t xml:space="preserve">Noziedzīgi iegūtu līdzekļu legalizācijas novēršanas dienestā </w:t>
            </w:r>
            <w:r w:rsidRPr="00451F5C">
              <w:rPr>
                <w:rFonts w:ascii="Times New Roman" w:hAnsi="Times New Roman" w:cs="Times New Roman"/>
                <w:sz w:val="24"/>
                <w:szCs w:val="24"/>
              </w:rPr>
              <w:t xml:space="preserve">un izmantotas, veicot turpmāku </w:t>
            </w:r>
            <w:r w:rsidR="008C673F" w:rsidRPr="00451F5C">
              <w:rPr>
                <w:rFonts w:ascii="Times New Roman" w:hAnsi="Times New Roman" w:cs="Times New Roman"/>
                <w:sz w:val="24"/>
                <w:szCs w:val="24"/>
              </w:rPr>
              <w:t xml:space="preserve">Noziedzīgi iegūtu līdzekļu legalizācijas novēršanas dienesta </w:t>
            </w:r>
            <w:r w:rsidRPr="00451F5C">
              <w:rPr>
                <w:rFonts w:ascii="Times New Roman" w:hAnsi="Times New Roman" w:cs="Times New Roman"/>
                <w:sz w:val="24"/>
                <w:szCs w:val="24"/>
              </w:rPr>
              <w:t xml:space="preserve">rīcībā esošo darījumu apstrādi un analīzi. Papildus norādāms, ka jēdziens “slieksnis” tiek izmantots arī citos </w:t>
            </w:r>
            <w:r w:rsidR="008C673F" w:rsidRPr="00451F5C">
              <w:rPr>
                <w:rFonts w:ascii="Times New Roman" w:hAnsi="Times New Roman" w:cs="Times New Roman"/>
                <w:sz w:val="24"/>
                <w:szCs w:val="24"/>
              </w:rPr>
              <w:t>normatīvajos aktos</w:t>
            </w:r>
            <w:r w:rsidRPr="00451F5C">
              <w:rPr>
                <w:rFonts w:ascii="Times New Roman" w:hAnsi="Times New Roman" w:cs="Times New Roman"/>
                <w:sz w:val="24"/>
                <w:szCs w:val="24"/>
              </w:rPr>
              <w:t>, piemēram, likumā “Par iedzīvotāju ienākuma nodokli”, Ministru kabineta 2014.gada 30.oktobra rīkojumā Nr.619 „Par koncepciju "Par minimālā ienākuma līmeņa noteikšanu", Ministru kabineta 2</w:t>
            </w:r>
            <w:r w:rsidR="005425E4">
              <w:rPr>
                <w:rFonts w:ascii="Times New Roman" w:hAnsi="Times New Roman" w:cs="Times New Roman"/>
                <w:sz w:val="24"/>
                <w:szCs w:val="24"/>
              </w:rPr>
              <w:t xml:space="preserve">014.gada 25.novembra noteikumos </w:t>
            </w:r>
            <w:r w:rsidRPr="00451F5C">
              <w:rPr>
                <w:rFonts w:ascii="Times New Roman" w:hAnsi="Times New Roman" w:cs="Times New Roman"/>
                <w:sz w:val="24"/>
                <w:szCs w:val="24"/>
              </w:rPr>
              <w:t>Nr.724 „Noteikumi par piesārņojošas darbības izraisīto smaku noteikšanas metodēm, kā arī kārtību, kādā ierobežo šo smaku izplatīšanos” un citos</w:t>
            </w:r>
            <w:r w:rsidR="005425E4">
              <w:rPr>
                <w:rFonts w:ascii="Times New Roman" w:hAnsi="Times New Roman" w:cs="Times New Roman"/>
                <w:sz w:val="24"/>
                <w:szCs w:val="24"/>
              </w:rPr>
              <w:t xml:space="preserve"> normatīvajos aktos. </w:t>
            </w:r>
          </w:p>
          <w:p w:rsidR="00E13267" w:rsidRPr="00451F5C" w:rsidRDefault="00E13267" w:rsidP="00E13267">
            <w:pPr>
              <w:pStyle w:val="Bodytext1"/>
              <w:shd w:val="clear" w:color="auto" w:fill="auto"/>
              <w:tabs>
                <w:tab w:val="left" w:pos="577"/>
              </w:tabs>
              <w:spacing w:before="0" w:line="240" w:lineRule="auto"/>
              <w:ind w:firstLine="0"/>
              <w:jc w:val="both"/>
              <w:rPr>
                <w:rFonts w:eastAsiaTheme="minorHAnsi"/>
                <w:snapToGrid/>
                <w:sz w:val="24"/>
                <w:szCs w:val="24"/>
                <w:u w:val="single"/>
                <w:lang w:eastAsia="en-US"/>
              </w:rPr>
            </w:pPr>
            <w:r w:rsidRPr="00451F5C">
              <w:rPr>
                <w:rFonts w:eastAsiaTheme="minorHAnsi"/>
                <w:snapToGrid/>
                <w:sz w:val="24"/>
                <w:szCs w:val="24"/>
                <w:u w:val="single"/>
                <w:lang w:eastAsia="en-US"/>
              </w:rPr>
              <w:t xml:space="preserve">Attiecīgi grozījumi </w:t>
            </w:r>
            <w:r w:rsidR="008C673F" w:rsidRPr="00451F5C">
              <w:rPr>
                <w:rFonts w:eastAsiaTheme="minorHAnsi"/>
                <w:snapToGrid/>
                <w:sz w:val="24"/>
                <w:szCs w:val="24"/>
                <w:u w:val="single"/>
                <w:lang w:eastAsia="en-US"/>
              </w:rPr>
              <w:t>NILLTFNL</w:t>
            </w:r>
            <w:r w:rsidRPr="00451F5C">
              <w:rPr>
                <w:rFonts w:eastAsiaTheme="minorHAnsi"/>
                <w:snapToGrid/>
                <w:sz w:val="24"/>
                <w:szCs w:val="24"/>
                <w:u w:val="single"/>
                <w:lang w:eastAsia="en-US"/>
              </w:rPr>
              <w:t xml:space="preserve"> paredz:</w:t>
            </w:r>
          </w:p>
          <w:p w:rsidR="00E13267" w:rsidRPr="00451F5C" w:rsidRDefault="00E13267" w:rsidP="00E13267">
            <w:pPr>
              <w:pStyle w:val="ListParagraph"/>
              <w:numPr>
                <w:ilvl w:val="0"/>
                <w:numId w:val="8"/>
              </w:numPr>
              <w:tabs>
                <w:tab w:val="left" w:pos="850"/>
                <w:tab w:val="left" w:pos="1191"/>
                <w:tab w:val="left" w:pos="1531"/>
              </w:tabs>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 noteikt viena veida ziņojuma iesniegšanu </w:t>
            </w:r>
            <w:r w:rsidR="008C673F" w:rsidRPr="00451F5C">
              <w:rPr>
                <w:rFonts w:ascii="Times New Roman" w:hAnsi="Times New Roman" w:cs="Times New Roman"/>
                <w:sz w:val="24"/>
                <w:szCs w:val="24"/>
              </w:rPr>
              <w:t xml:space="preserve">Noziedzīgi iegūtu līdzekļu legalizācijas novēršanas dienestam </w:t>
            </w:r>
            <w:r w:rsidRPr="00451F5C">
              <w:rPr>
                <w:rFonts w:ascii="Times New Roman" w:hAnsi="Times New Roman" w:cs="Times New Roman"/>
                <w:sz w:val="24"/>
                <w:szCs w:val="24"/>
              </w:rPr>
              <w:t>– ziņojumu par aizdomīgiem darījumiem. Likuma IV nodaļa attiecināta tikai uz ziņojumiem par aizdomīgiem darījumiem, vienlaikus precizējot informācijas saņemšanas un apstrādes kārtību</w:t>
            </w:r>
            <w:r w:rsidR="008C673F" w:rsidRPr="00451F5C">
              <w:rPr>
                <w:rFonts w:ascii="Times New Roman" w:hAnsi="Times New Roman" w:cs="Times New Roman"/>
                <w:sz w:val="24"/>
                <w:szCs w:val="24"/>
              </w:rPr>
              <w:t xml:space="preserve"> (likumprojekta 31.pants)</w:t>
            </w:r>
            <w:r w:rsidRPr="00451F5C">
              <w:rPr>
                <w:rFonts w:ascii="Times New Roman" w:hAnsi="Times New Roman" w:cs="Times New Roman"/>
                <w:sz w:val="24"/>
                <w:szCs w:val="24"/>
              </w:rPr>
              <w:t xml:space="preserve">. </w:t>
            </w:r>
          </w:p>
          <w:p w:rsidR="00E13267" w:rsidRPr="00451F5C" w:rsidRDefault="008C673F" w:rsidP="00E13267">
            <w:pPr>
              <w:pStyle w:val="ListParagraph"/>
              <w:numPr>
                <w:ilvl w:val="0"/>
                <w:numId w:val="8"/>
              </w:numPr>
              <w:tabs>
                <w:tab w:val="left" w:pos="850"/>
                <w:tab w:val="left" w:pos="1191"/>
                <w:tab w:val="left" w:pos="1531"/>
              </w:tabs>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NILLTFNL</w:t>
            </w:r>
            <w:r w:rsidR="00E13267" w:rsidRPr="00451F5C">
              <w:rPr>
                <w:rFonts w:ascii="Times New Roman" w:hAnsi="Times New Roman" w:cs="Times New Roman"/>
                <w:sz w:val="24"/>
                <w:szCs w:val="24"/>
              </w:rPr>
              <w:t xml:space="preserve"> papildināt ar jaunu nodaļu</w:t>
            </w:r>
            <w:r w:rsidRPr="00451F5C">
              <w:rPr>
                <w:rFonts w:ascii="Times New Roman" w:hAnsi="Times New Roman" w:cs="Times New Roman"/>
                <w:sz w:val="24"/>
                <w:szCs w:val="24"/>
              </w:rPr>
              <w:t xml:space="preserve"> (likumprojekta 32.pants)</w:t>
            </w:r>
            <w:r w:rsidR="00E13267" w:rsidRPr="00451F5C">
              <w:rPr>
                <w:rFonts w:ascii="Times New Roman" w:hAnsi="Times New Roman" w:cs="Times New Roman"/>
                <w:sz w:val="24"/>
                <w:szCs w:val="24"/>
              </w:rPr>
              <w:t xml:space="preserve">, kas nosaka informācijas iesniegšanu </w:t>
            </w:r>
            <w:r w:rsidRPr="00451F5C">
              <w:rPr>
                <w:rFonts w:ascii="Times New Roman" w:hAnsi="Times New Roman" w:cs="Times New Roman"/>
                <w:sz w:val="24"/>
                <w:szCs w:val="24"/>
              </w:rPr>
              <w:t>Noziedzīgi iegūtu līdzekļu legalizācijas novēršanas dienestam</w:t>
            </w:r>
            <w:r w:rsidR="00E13267" w:rsidRPr="00451F5C">
              <w:rPr>
                <w:rFonts w:ascii="Times New Roman" w:hAnsi="Times New Roman" w:cs="Times New Roman"/>
                <w:sz w:val="24"/>
                <w:szCs w:val="24"/>
              </w:rPr>
              <w:t xml:space="preserve"> par sliekšņa deklarācijām;</w:t>
            </w:r>
          </w:p>
          <w:p w:rsidR="00E13267" w:rsidRPr="00451F5C" w:rsidRDefault="00E13267" w:rsidP="00E13267">
            <w:pPr>
              <w:pStyle w:val="Bodytext1"/>
              <w:numPr>
                <w:ilvl w:val="0"/>
                <w:numId w:val="8"/>
              </w:numPr>
              <w:shd w:val="clear" w:color="auto" w:fill="auto"/>
              <w:tabs>
                <w:tab w:val="left" w:pos="577"/>
              </w:tabs>
              <w:spacing w:before="0" w:line="240" w:lineRule="auto"/>
              <w:jc w:val="both"/>
              <w:rPr>
                <w:rFonts w:eastAsiaTheme="minorHAnsi"/>
                <w:snapToGrid/>
                <w:sz w:val="24"/>
                <w:szCs w:val="24"/>
                <w:lang w:eastAsia="en-US"/>
              </w:rPr>
            </w:pPr>
            <w:r w:rsidRPr="00451F5C">
              <w:rPr>
                <w:rFonts w:eastAsiaTheme="minorHAnsi"/>
                <w:snapToGrid/>
                <w:sz w:val="24"/>
                <w:szCs w:val="24"/>
                <w:lang w:eastAsia="en-US"/>
              </w:rPr>
              <w:t xml:space="preserve">  aizstāt jēdzienu “neparasts darījums” ar vārdiem “sliekšņa deklarācija”</w:t>
            </w:r>
            <w:r w:rsidR="00325934" w:rsidRPr="00451F5C">
              <w:rPr>
                <w:rFonts w:eastAsiaTheme="minorHAnsi"/>
                <w:snapToGrid/>
                <w:sz w:val="24"/>
                <w:szCs w:val="24"/>
                <w:lang w:eastAsia="en-US"/>
              </w:rPr>
              <w:t xml:space="preserve"> (likumprojekta 2.</w:t>
            </w:r>
            <w:r w:rsidR="00ED0B66" w:rsidRPr="00451F5C">
              <w:rPr>
                <w:rFonts w:eastAsiaTheme="minorHAnsi"/>
                <w:snapToGrid/>
                <w:sz w:val="24"/>
                <w:szCs w:val="24"/>
                <w:lang w:eastAsia="en-US"/>
              </w:rPr>
              <w:t>, 9.</w:t>
            </w:r>
            <w:r w:rsidR="00451B89" w:rsidRPr="00451F5C">
              <w:rPr>
                <w:rFonts w:eastAsiaTheme="minorHAnsi"/>
                <w:snapToGrid/>
                <w:sz w:val="24"/>
                <w:szCs w:val="24"/>
                <w:lang w:eastAsia="en-US"/>
              </w:rPr>
              <w:t>, 43.</w:t>
            </w:r>
            <w:r w:rsidR="00647D2A" w:rsidRPr="00451F5C">
              <w:rPr>
                <w:rFonts w:eastAsiaTheme="minorHAnsi"/>
                <w:snapToGrid/>
                <w:sz w:val="24"/>
                <w:szCs w:val="24"/>
                <w:lang w:eastAsia="en-US"/>
              </w:rPr>
              <w:t>, 47.</w:t>
            </w:r>
            <w:r w:rsidR="00325934" w:rsidRPr="00451F5C">
              <w:rPr>
                <w:rFonts w:eastAsiaTheme="minorHAnsi"/>
                <w:snapToGrid/>
                <w:sz w:val="24"/>
                <w:szCs w:val="24"/>
                <w:lang w:eastAsia="en-US"/>
              </w:rPr>
              <w:t>pants)</w:t>
            </w:r>
            <w:r w:rsidRPr="00451F5C">
              <w:rPr>
                <w:rFonts w:eastAsiaTheme="minorHAnsi"/>
                <w:snapToGrid/>
                <w:sz w:val="24"/>
                <w:szCs w:val="24"/>
                <w:lang w:eastAsia="en-US"/>
              </w:rPr>
              <w:t xml:space="preserve">, nosakot, ka sliekšņa deklarācija </w:t>
            </w:r>
            <w:r w:rsidR="00AD00EB" w:rsidRPr="00451F5C">
              <w:rPr>
                <w:rFonts w:eastAsiaTheme="minorHAnsi"/>
                <w:snapToGrid/>
                <w:sz w:val="24"/>
                <w:szCs w:val="24"/>
                <w:lang w:eastAsia="en-US"/>
              </w:rPr>
              <w:t xml:space="preserve"> ir </w:t>
            </w:r>
            <w:r w:rsidRPr="00451F5C">
              <w:rPr>
                <w:rFonts w:eastAsiaTheme="minorHAnsi"/>
                <w:snapToGrid/>
                <w:sz w:val="24"/>
                <w:szCs w:val="24"/>
                <w:lang w:eastAsia="en-US"/>
              </w:rPr>
              <w:t>deklarācija par darījumu, kura apjoms atbilst normatīvajos aktos noteiktajiem limitiem. Limiti un sliekšņa deklarācijas saturs, kā arī kārtība, kādā tā iesniedzama</w:t>
            </w:r>
            <w:r w:rsidR="005425E4">
              <w:rPr>
                <w:rFonts w:eastAsiaTheme="minorHAnsi"/>
                <w:snapToGrid/>
                <w:sz w:val="24"/>
                <w:szCs w:val="24"/>
                <w:lang w:eastAsia="en-US"/>
              </w:rPr>
              <w:t>,</w:t>
            </w:r>
            <w:r w:rsidRPr="00451F5C">
              <w:rPr>
                <w:rFonts w:eastAsiaTheme="minorHAnsi"/>
                <w:snapToGrid/>
                <w:sz w:val="24"/>
                <w:szCs w:val="24"/>
                <w:lang w:eastAsia="en-US"/>
              </w:rPr>
              <w:t xml:space="preserve"> tiks noteikta </w:t>
            </w:r>
            <w:r w:rsidR="005425E4">
              <w:rPr>
                <w:rFonts w:eastAsiaTheme="minorHAnsi"/>
                <w:snapToGrid/>
                <w:sz w:val="24"/>
                <w:szCs w:val="24"/>
                <w:lang w:eastAsia="en-US"/>
              </w:rPr>
              <w:t>M</w:t>
            </w:r>
            <w:r w:rsidRPr="00451F5C">
              <w:rPr>
                <w:rFonts w:eastAsiaTheme="minorHAnsi"/>
                <w:snapToGrid/>
                <w:sz w:val="24"/>
                <w:szCs w:val="24"/>
                <w:lang w:eastAsia="en-US"/>
              </w:rPr>
              <w:t>inistru kabineta noteikumos</w:t>
            </w:r>
            <w:r w:rsidR="00FB5BA8" w:rsidRPr="00451F5C">
              <w:rPr>
                <w:rFonts w:eastAsiaTheme="minorHAnsi"/>
                <w:snapToGrid/>
                <w:sz w:val="24"/>
                <w:szCs w:val="24"/>
                <w:lang w:eastAsia="en-US"/>
              </w:rPr>
              <w:t xml:space="preserve"> (likumprojekta 32.pants)</w:t>
            </w:r>
            <w:r w:rsidRPr="00451F5C">
              <w:rPr>
                <w:rFonts w:eastAsiaTheme="minorHAnsi"/>
                <w:snapToGrid/>
                <w:sz w:val="24"/>
                <w:szCs w:val="24"/>
                <w:lang w:eastAsia="en-US"/>
              </w:rPr>
              <w:t>, kuru izstrāde līdz ar pārejas noteikumu</w:t>
            </w:r>
            <w:r w:rsidR="005354A0" w:rsidRPr="00451F5C">
              <w:rPr>
                <w:rFonts w:eastAsiaTheme="minorHAnsi"/>
                <w:snapToGrid/>
                <w:sz w:val="24"/>
                <w:szCs w:val="24"/>
                <w:lang w:eastAsia="en-US"/>
              </w:rPr>
              <w:t xml:space="preserve"> (likumprojekta 52.pants) 40</w:t>
            </w:r>
            <w:r w:rsidRPr="00451F5C">
              <w:rPr>
                <w:rFonts w:eastAsiaTheme="minorHAnsi"/>
                <w:snapToGrid/>
                <w:sz w:val="24"/>
                <w:szCs w:val="24"/>
                <w:lang w:eastAsia="en-US"/>
              </w:rPr>
              <w:t xml:space="preserve">.punktu ir paredzēta līdz 2019.gada </w:t>
            </w:r>
            <w:r w:rsidR="00AD00EB" w:rsidRPr="00451F5C">
              <w:rPr>
                <w:rFonts w:eastAsiaTheme="minorHAnsi"/>
                <w:snapToGrid/>
                <w:sz w:val="24"/>
                <w:szCs w:val="24"/>
                <w:lang w:eastAsia="en-US"/>
              </w:rPr>
              <w:t>17</w:t>
            </w:r>
            <w:r w:rsidRPr="00451F5C">
              <w:rPr>
                <w:rFonts w:eastAsiaTheme="minorHAnsi"/>
                <w:snapToGrid/>
                <w:sz w:val="24"/>
                <w:szCs w:val="24"/>
                <w:lang w:eastAsia="en-US"/>
              </w:rPr>
              <w:t xml:space="preserve">.decembrim. </w:t>
            </w:r>
          </w:p>
          <w:p w:rsidR="00E13267" w:rsidRPr="00451F5C" w:rsidRDefault="00AD00EB" w:rsidP="00E13267">
            <w:pPr>
              <w:pStyle w:val="ListParagraph"/>
              <w:numPr>
                <w:ilvl w:val="0"/>
                <w:numId w:val="8"/>
              </w:numPr>
              <w:tabs>
                <w:tab w:val="left" w:pos="850"/>
                <w:tab w:val="left" w:pos="1191"/>
                <w:tab w:val="left" w:pos="1531"/>
              </w:tabs>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NILLTFNL</w:t>
            </w:r>
            <w:r w:rsidR="00E13267" w:rsidRPr="00451F5C">
              <w:rPr>
                <w:rFonts w:ascii="Times New Roman" w:hAnsi="Times New Roman" w:cs="Times New Roman"/>
                <w:sz w:val="24"/>
                <w:szCs w:val="24"/>
              </w:rPr>
              <w:t xml:space="preserve"> papildināt ar jaunu 7.panta pirmās daļas 6.</w:t>
            </w:r>
            <w:r w:rsidR="00E13267" w:rsidRPr="00451F5C">
              <w:rPr>
                <w:rFonts w:ascii="Times New Roman" w:hAnsi="Times New Roman" w:cs="Times New Roman"/>
                <w:sz w:val="24"/>
                <w:szCs w:val="24"/>
                <w:vertAlign w:val="superscript"/>
              </w:rPr>
              <w:t>1</w:t>
            </w:r>
            <w:r w:rsidR="00E13267" w:rsidRPr="00451F5C">
              <w:rPr>
                <w:rFonts w:ascii="Times New Roman" w:hAnsi="Times New Roman" w:cs="Times New Roman"/>
                <w:sz w:val="24"/>
                <w:szCs w:val="24"/>
              </w:rPr>
              <w:t xml:space="preserve"> punktu</w:t>
            </w:r>
            <w:r w:rsidRPr="00451F5C">
              <w:rPr>
                <w:rFonts w:ascii="Times New Roman" w:hAnsi="Times New Roman" w:cs="Times New Roman"/>
                <w:sz w:val="24"/>
                <w:szCs w:val="24"/>
              </w:rPr>
              <w:t xml:space="preserve"> (likumprojekta 9.pants)</w:t>
            </w:r>
            <w:r w:rsidR="00E13267" w:rsidRPr="00451F5C">
              <w:rPr>
                <w:rFonts w:ascii="Times New Roman" w:hAnsi="Times New Roman" w:cs="Times New Roman"/>
                <w:sz w:val="24"/>
                <w:szCs w:val="24"/>
              </w:rPr>
              <w:t xml:space="preserve">, kas paredz pienākumu </w:t>
            </w:r>
            <w:r w:rsidRPr="00451F5C">
              <w:rPr>
                <w:rFonts w:ascii="Times New Roman" w:hAnsi="Times New Roman" w:cs="Times New Roman"/>
                <w:sz w:val="24"/>
                <w:szCs w:val="24"/>
              </w:rPr>
              <w:t xml:space="preserve">NILLTFNL </w:t>
            </w:r>
            <w:r w:rsidR="00E13267" w:rsidRPr="00451F5C">
              <w:rPr>
                <w:rFonts w:ascii="Times New Roman" w:hAnsi="Times New Roman" w:cs="Times New Roman"/>
                <w:sz w:val="24"/>
                <w:szCs w:val="24"/>
              </w:rPr>
              <w:t xml:space="preserve">subjektam </w:t>
            </w:r>
            <w:r w:rsidR="00E13267" w:rsidRPr="00451F5C">
              <w:rPr>
                <w:rFonts w:ascii="Times New Roman" w:hAnsi="Times New Roman" w:cs="Times New Roman"/>
                <w:sz w:val="24"/>
                <w:szCs w:val="24"/>
              </w:rPr>
              <w:lastRenderedPageBreak/>
              <w:t xml:space="preserve">izveidojot iekšējās kontroles sistēmu, par kārtību, kādā </w:t>
            </w:r>
            <w:r w:rsidRPr="00451F5C">
              <w:rPr>
                <w:rFonts w:ascii="Times New Roman" w:hAnsi="Times New Roman" w:cs="Times New Roman"/>
                <w:sz w:val="24"/>
                <w:szCs w:val="24"/>
              </w:rPr>
              <w:t xml:space="preserve">Noziedzīgi iegūtu līdzekļu legalizācijas novēršanas dienestam </w:t>
            </w:r>
            <w:r w:rsidR="00E13267" w:rsidRPr="00451F5C">
              <w:rPr>
                <w:rFonts w:ascii="Times New Roman" w:hAnsi="Times New Roman" w:cs="Times New Roman"/>
                <w:sz w:val="24"/>
                <w:szCs w:val="24"/>
              </w:rPr>
              <w:t>tiek iesniegta informācija par sliekšņa deklarāciju;</w:t>
            </w:r>
          </w:p>
          <w:p w:rsidR="00E13267" w:rsidRPr="00451F5C" w:rsidRDefault="00E13267" w:rsidP="00E13267">
            <w:pPr>
              <w:pStyle w:val="ListParagraph"/>
              <w:numPr>
                <w:ilvl w:val="0"/>
                <w:numId w:val="8"/>
              </w:numPr>
              <w:tabs>
                <w:tab w:val="left" w:pos="850"/>
                <w:tab w:val="left" w:pos="1191"/>
                <w:tab w:val="left" w:pos="1531"/>
              </w:tabs>
              <w:spacing w:after="0" w:line="240" w:lineRule="auto"/>
              <w:jc w:val="both"/>
            </w:pPr>
            <w:r w:rsidRPr="00451F5C">
              <w:rPr>
                <w:rFonts w:ascii="Times New Roman" w:hAnsi="Times New Roman" w:cs="Times New Roman"/>
                <w:sz w:val="24"/>
                <w:szCs w:val="24"/>
              </w:rPr>
              <w:t>vis</w:t>
            </w:r>
            <w:r w:rsidR="005425E4">
              <w:rPr>
                <w:rFonts w:ascii="Times New Roman" w:hAnsi="Times New Roman" w:cs="Times New Roman"/>
                <w:sz w:val="24"/>
                <w:szCs w:val="24"/>
              </w:rPr>
              <w:t>ā</w:t>
            </w:r>
            <w:r w:rsidRPr="00451F5C">
              <w:rPr>
                <w:rFonts w:ascii="Times New Roman" w:hAnsi="Times New Roman" w:cs="Times New Roman"/>
                <w:sz w:val="24"/>
                <w:szCs w:val="24"/>
              </w:rPr>
              <w:t xml:space="preserve"> </w:t>
            </w:r>
            <w:r w:rsidR="00BF54B9"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tekstā precizēt atsauces uz “neparastiem darījumiem”</w:t>
            </w:r>
            <w:r w:rsidR="00BF54B9" w:rsidRPr="00451F5C">
              <w:rPr>
                <w:rFonts w:ascii="Times New Roman" w:hAnsi="Times New Roman" w:cs="Times New Roman"/>
                <w:sz w:val="24"/>
                <w:szCs w:val="24"/>
              </w:rPr>
              <w:t xml:space="preserve"> (likumprojekta </w:t>
            </w:r>
            <w:r w:rsidR="00456D01" w:rsidRPr="00451F5C">
              <w:rPr>
                <w:rFonts w:ascii="Times New Roman" w:hAnsi="Times New Roman" w:cs="Times New Roman"/>
                <w:sz w:val="24"/>
                <w:szCs w:val="24"/>
              </w:rPr>
              <w:t xml:space="preserve">9., 11., 14., </w:t>
            </w:r>
            <w:r w:rsidR="00B70185" w:rsidRPr="00451F5C">
              <w:rPr>
                <w:rFonts w:ascii="Times New Roman" w:hAnsi="Times New Roman" w:cs="Times New Roman"/>
                <w:sz w:val="24"/>
                <w:szCs w:val="24"/>
              </w:rPr>
              <w:t>23.,</w:t>
            </w:r>
            <w:r w:rsidR="003061EA">
              <w:rPr>
                <w:rFonts w:ascii="Times New Roman" w:hAnsi="Times New Roman" w:cs="Times New Roman"/>
                <w:sz w:val="24"/>
                <w:szCs w:val="24"/>
              </w:rPr>
              <w:t xml:space="preserve">27., </w:t>
            </w:r>
            <w:r w:rsidR="00456D01" w:rsidRPr="00451F5C">
              <w:rPr>
                <w:rFonts w:ascii="Times New Roman" w:hAnsi="Times New Roman" w:cs="Times New Roman"/>
                <w:sz w:val="24"/>
                <w:szCs w:val="24"/>
              </w:rPr>
              <w:t xml:space="preserve">28., </w:t>
            </w:r>
            <w:r w:rsidR="00B70185" w:rsidRPr="00451F5C">
              <w:rPr>
                <w:rFonts w:ascii="Times New Roman" w:hAnsi="Times New Roman" w:cs="Times New Roman"/>
                <w:sz w:val="24"/>
                <w:szCs w:val="24"/>
              </w:rPr>
              <w:t>31.,</w:t>
            </w:r>
            <w:r w:rsidR="005F6EDF" w:rsidRPr="00451F5C">
              <w:rPr>
                <w:rFonts w:ascii="Times New Roman" w:hAnsi="Times New Roman" w:cs="Times New Roman"/>
                <w:sz w:val="24"/>
                <w:szCs w:val="24"/>
              </w:rPr>
              <w:t>39., 42., 43., 44.,</w:t>
            </w:r>
            <w:r w:rsidR="009B245D" w:rsidRPr="00451F5C">
              <w:rPr>
                <w:rFonts w:ascii="Times New Roman" w:hAnsi="Times New Roman" w:cs="Times New Roman"/>
                <w:sz w:val="24"/>
                <w:szCs w:val="24"/>
              </w:rPr>
              <w:t>45.,</w:t>
            </w:r>
            <w:r w:rsidR="005F6EDF" w:rsidRPr="00451F5C">
              <w:rPr>
                <w:rFonts w:ascii="Times New Roman" w:hAnsi="Times New Roman" w:cs="Times New Roman"/>
                <w:sz w:val="24"/>
                <w:szCs w:val="24"/>
              </w:rPr>
              <w:t xml:space="preserve"> 46., 47.,48.,50.</w:t>
            </w:r>
            <w:r w:rsidR="00BF54B9" w:rsidRPr="00451F5C">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p>
          <w:p w:rsidR="00F343B7" w:rsidRPr="00451F5C" w:rsidRDefault="00F343B7"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3</w:t>
            </w:r>
            <w:r w:rsidR="00D013CB" w:rsidRPr="00451F5C">
              <w:rPr>
                <w:rFonts w:ascii="Times New Roman" w:hAnsi="Times New Roman" w:cs="Times New Roman"/>
                <w:sz w:val="24"/>
                <w:szCs w:val="24"/>
                <w:u w:val="single"/>
              </w:rPr>
              <w:t>.</w:t>
            </w:r>
            <w:r w:rsidR="005239AE">
              <w:rPr>
                <w:rFonts w:ascii="Times New Roman" w:hAnsi="Times New Roman" w:cs="Times New Roman"/>
                <w:sz w:val="24"/>
                <w:szCs w:val="24"/>
                <w:u w:val="single"/>
              </w:rPr>
              <w:t>,</w:t>
            </w:r>
            <w:r w:rsidR="00D013CB" w:rsidRPr="00451F5C">
              <w:rPr>
                <w:rFonts w:ascii="Times New Roman" w:hAnsi="Times New Roman" w:cs="Times New Roman"/>
                <w:sz w:val="24"/>
                <w:szCs w:val="24"/>
                <w:u w:val="single"/>
              </w:rPr>
              <w:t xml:space="preserve"> 3</w:t>
            </w:r>
            <w:r w:rsidRPr="00451F5C">
              <w:rPr>
                <w:rFonts w:ascii="Times New Roman" w:hAnsi="Times New Roman" w:cs="Times New Roman"/>
                <w:sz w:val="24"/>
                <w:szCs w:val="24"/>
                <w:u w:val="single"/>
              </w:rPr>
              <w:t>8</w:t>
            </w:r>
            <w:r w:rsidR="00AA79F5" w:rsidRPr="00451F5C">
              <w:rPr>
                <w:rFonts w:ascii="Times New Roman" w:hAnsi="Times New Roman" w:cs="Times New Roman"/>
                <w:sz w:val="24"/>
                <w:szCs w:val="24"/>
                <w:u w:val="single"/>
              </w:rPr>
              <w:t>.</w:t>
            </w:r>
            <w:r w:rsidR="005239AE">
              <w:rPr>
                <w:rFonts w:ascii="Times New Roman" w:hAnsi="Times New Roman" w:cs="Times New Roman"/>
                <w:sz w:val="24"/>
                <w:szCs w:val="24"/>
                <w:u w:val="single"/>
              </w:rPr>
              <w:t xml:space="preserve">, 39. un 49. </w:t>
            </w:r>
            <w:r w:rsidR="00AA79F5" w:rsidRPr="00451F5C">
              <w:rPr>
                <w:rFonts w:ascii="Times New Roman" w:hAnsi="Times New Roman" w:cs="Times New Roman"/>
                <w:sz w:val="24"/>
                <w:szCs w:val="24"/>
                <w:u w:val="single"/>
              </w:rPr>
              <w:t>pants:</w:t>
            </w:r>
          </w:p>
          <w:p w:rsidR="00453403" w:rsidRDefault="00D013CB" w:rsidP="00AA79F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AML V direktīva</w:t>
            </w:r>
            <w:r w:rsidR="00453403" w:rsidRPr="00451F5C">
              <w:rPr>
                <w:rFonts w:ascii="Times New Roman" w:hAnsi="Times New Roman" w:cs="Times New Roman"/>
                <w:sz w:val="24"/>
                <w:szCs w:val="24"/>
              </w:rPr>
              <w:t>s 1.p</w:t>
            </w:r>
            <w:r w:rsidR="0049393B" w:rsidRPr="00451F5C">
              <w:rPr>
                <w:rFonts w:ascii="Times New Roman" w:hAnsi="Times New Roman" w:cs="Times New Roman"/>
                <w:sz w:val="24"/>
                <w:szCs w:val="24"/>
              </w:rPr>
              <w:t>anta 1.punkts a), b)</w:t>
            </w:r>
            <w:r w:rsidR="00453403" w:rsidRPr="00451F5C">
              <w:rPr>
                <w:rFonts w:ascii="Times New Roman" w:hAnsi="Times New Roman" w:cs="Times New Roman"/>
                <w:sz w:val="24"/>
                <w:szCs w:val="24"/>
              </w:rPr>
              <w:t>, c</w:t>
            </w:r>
            <w:r w:rsidR="0049393B" w:rsidRPr="00451F5C">
              <w:rPr>
                <w:rFonts w:ascii="Times New Roman" w:hAnsi="Times New Roman" w:cs="Times New Roman"/>
                <w:sz w:val="24"/>
                <w:szCs w:val="24"/>
              </w:rPr>
              <w:t>)</w:t>
            </w:r>
            <w:r w:rsidR="00453403" w:rsidRPr="00451F5C">
              <w:rPr>
                <w:rFonts w:ascii="Times New Roman" w:hAnsi="Times New Roman" w:cs="Times New Roman"/>
                <w:sz w:val="24"/>
                <w:szCs w:val="24"/>
              </w:rPr>
              <w:t>. apakšpunktos</w:t>
            </w:r>
            <w:r w:rsidRPr="00451F5C">
              <w:rPr>
                <w:rFonts w:ascii="Times New Roman" w:hAnsi="Times New Roman" w:cs="Times New Roman"/>
                <w:sz w:val="24"/>
                <w:szCs w:val="24"/>
              </w:rPr>
              <w:t xml:space="preserve"> </w:t>
            </w:r>
            <w:r w:rsidR="00453403" w:rsidRPr="00451F5C">
              <w:rPr>
                <w:rFonts w:ascii="Times New Roman" w:hAnsi="Times New Roman" w:cs="Times New Roman"/>
                <w:sz w:val="24"/>
                <w:szCs w:val="24"/>
              </w:rPr>
              <w:t xml:space="preserve">ir </w:t>
            </w:r>
            <w:r w:rsidRPr="00451F5C">
              <w:rPr>
                <w:rFonts w:ascii="Times New Roman" w:hAnsi="Times New Roman" w:cs="Times New Roman"/>
                <w:sz w:val="24"/>
                <w:szCs w:val="24"/>
              </w:rPr>
              <w:t>paredz</w:t>
            </w:r>
            <w:r w:rsidR="00453403" w:rsidRPr="00451F5C">
              <w:rPr>
                <w:rFonts w:ascii="Times New Roman" w:hAnsi="Times New Roman" w:cs="Times New Roman"/>
                <w:sz w:val="24"/>
                <w:szCs w:val="24"/>
              </w:rPr>
              <w:t>ēts</w:t>
            </w:r>
            <w:r w:rsidRPr="00451F5C">
              <w:rPr>
                <w:rFonts w:ascii="Times New Roman" w:hAnsi="Times New Roman" w:cs="Times New Roman"/>
                <w:sz w:val="24"/>
                <w:szCs w:val="24"/>
              </w:rPr>
              <w:t xml:space="preserve"> paplašināt atbildīgo subjektu loku</w:t>
            </w:r>
            <w:r w:rsidR="00453403" w:rsidRPr="00451F5C">
              <w:rPr>
                <w:rFonts w:ascii="Times New Roman" w:hAnsi="Times New Roman" w:cs="Times New Roman"/>
                <w:sz w:val="24"/>
                <w:szCs w:val="24"/>
              </w:rPr>
              <w:t>, līdz ar to tiek izdarīti grozījumi NILLT</w:t>
            </w:r>
            <w:r w:rsidR="0049393B" w:rsidRPr="00451F5C">
              <w:rPr>
                <w:rFonts w:ascii="Times New Roman" w:hAnsi="Times New Roman" w:cs="Times New Roman"/>
                <w:sz w:val="24"/>
                <w:szCs w:val="24"/>
              </w:rPr>
              <w:t>FNL</w:t>
            </w:r>
            <w:r w:rsidR="00453403" w:rsidRPr="00451F5C">
              <w:rPr>
                <w:rFonts w:ascii="Times New Roman" w:hAnsi="Times New Roman" w:cs="Times New Roman"/>
                <w:sz w:val="24"/>
                <w:szCs w:val="24"/>
              </w:rPr>
              <w:t xml:space="preserve"> 3.pantā un 45.pantā</w:t>
            </w:r>
            <w:r w:rsidR="0049393B" w:rsidRPr="00451F5C">
              <w:rPr>
                <w:rFonts w:ascii="Times New Roman" w:hAnsi="Times New Roman" w:cs="Times New Roman"/>
                <w:sz w:val="24"/>
                <w:szCs w:val="24"/>
              </w:rPr>
              <w:t xml:space="preserve"> (nosakot uzraudzības un kontroles institūcijām uzraudzīt un kontrolēt attiecīgos likuma subjektus)</w:t>
            </w:r>
            <w:r w:rsidR="00453403" w:rsidRPr="00451F5C">
              <w:rPr>
                <w:rFonts w:ascii="Times New Roman" w:hAnsi="Times New Roman" w:cs="Times New Roman"/>
                <w:sz w:val="24"/>
                <w:szCs w:val="24"/>
              </w:rPr>
              <w:t>.</w:t>
            </w:r>
          </w:p>
          <w:p w:rsidR="00125876" w:rsidRPr="00451F5C" w:rsidRDefault="008C68A8" w:rsidP="008C68A8">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Kā viena no b</w:t>
            </w:r>
            <w:r w:rsidR="00125876">
              <w:rPr>
                <w:rFonts w:ascii="Times New Roman" w:hAnsi="Times New Roman" w:cs="Times New Roman"/>
                <w:sz w:val="24"/>
                <w:szCs w:val="24"/>
              </w:rPr>
              <w:t>rīvostas darb</w:t>
            </w:r>
            <w:r>
              <w:rPr>
                <w:rFonts w:ascii="Times New Roman" w:hAnsi="Times New Roman" w:cs="Times New Roman"/>
                <w:sz w:val="24"/>
                <w:szCs w:val="24"/>
              </w:rPr>
              <w:t xml:space="preserve">ībām var būt </w:t>
            </w:r>
            <w:r w:rsidR="00125876">
              <w:rPr>
                <w:rFonts w:ascii="Times New Roman" w:hAnsi="Times New Roman" w:cs="Times New Roman"/>
                <w:sz w:val="24"/>
                <w:szCs w:val="24"/>
              </w:rPr>
              <w:t xml:space="preserve"> </w:t>
            </w:r>
            <w:r>
              <w:rPr>
                <w:rFonts w:ascii="Times New Roman" w:hAnsi="Times New Roman" w:cs="Times New Roman"/>
                <w:sz w:val="24"/>
                <w:szCs w:val="24"/>
              </w:rPr>
              <w:t>atsevišķu noliktavu kompleksu veidošana noteiktu priekšmetu glabāšanai, kā</w:t>
            </w:r>
            <w:r w:rsidR="005425E4">
              <w:rPr>
                <w:rFonts w:ascii="Times New Roman" w:hAnsi="Times New Roman" w:cs="Times New Roman"/>
                <w:sz w:val="24"/>
                <w:szCs w:val="24"/>
              </w:rPr>
              <w:t>,</w:t>
            </w:r>
            <w:r>
              <w:rPr>
                <w:rFonts w:ascii="Times New Roman" w:hAnsi="Times New Roman" w:cs="Times New Roman"/>
                <w:sz w:val="24"/>
                <w:szCs w:val="24"/>
              </w:rPr>
              <w:t xml:space="preserve"> piemēram</w:t>
            </w:r>
            <w:r w:rsidR="005425E4">
              <w:rPr>
                <w:rFonts w:ascii="Times New Roman" w:hAnsi="Times New Roman" w:cs="Times New Roman"/>
                <w:sz w:val="24"/>
                <w:szCs w:val="24"/>
              </w:rPr>
              <w:t>,</w:t>
            </w:r>
            <w:r>
              <w:rPr>
                <w:rFonts w:ascii="Times New Roman" w:hAnsi="Times New Roman" w:cs="Times New Roman"/>
                <w:sz w:val="24"/>
                <w:szCs w:val="24"/>
              </w:rPr>
              <w:t xml:space="preserve"> </w:t>
            </w:r>
            <w:r w:rsidR="00125876" w:rsidRPr="00125876">
              <w:rPr>
                <w:rFonts w:ascii="Times New Roman" w:hAnsi="Times New Roman" w:cs="Times New Roman"/>
                <w:sz w:val="24"/>
                <w:szCs w:val="24"/>
              </w:rPr>
              <w:t>Ženēvas brīvostā ir noliktavu komplekss mākslas un citu vērtslietu un kolekcionējamu priekšmetu glabāšanai</w:t>
            </w:r>
            <w:r>
              <w:rPr>
                <w:rFonts w:ascii="Times New Roman" w:hAnsi="Times New Roman" w:cs="Times New Roman"/>
                <w:sz w:val="24"/>
                <w:szCs w:val="24"/>
              </w:rPr>
              <w:t>. Atbilstoši  AML V direktīvas 1.panta 1.punkta c) apakšpunkta j) punktam</w:t>
            </w:r>
            <w:r w:rsidR="005425E4">
              <w:rPr>
                <w:rFonts w:ascii="Times New Roman" w:hAnsi="Times New Roman" w:cs="Times New Roman"/>
                <w:sz w:val="24"/>
                <w:szCs w:val="24"/>
              </w:rPr>
              <w:t>,</w:t>
            </w:r>
            <w:r>
              <w:rPr>
                <w:rFonts w:ascii="Times New Roman" w:hAnsi="Times New Roman" w:cs="Times New Roman"/>
                <w:sz w:val="24"/>
                <w:szCs w:val="24"/>
              </w:rPr>
              <w:t xml:space="preserve"> kā arī neizslēdzot gadījumus, ka arī Latvijas brīvostas (Rīgas vai Ventspils brīvosta) varētu nodarboties ar mākslas darbu glabāšanas nodrošināšanu, NILLTFNL papildināts ar attiecīgo subjektu.</w:t>
            </w:r>
          </w:p>
          <w:p w:rsidR="00D31FC3" w:rsidRPr="00451F5C" w:rsidRDefault="00E745B1" w:rsidP="00D31FC3">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NILLTFNL subjektu loku paplašināšanu ar </w:t>
            </w:r>
            <w:r w:rsidR="00453403"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maksātnespējas administratoriem (turpmāk administrators) ir norādāms sekojošais. </w:t>
            </w:r>
            <w:r w:rsidR="00B35285" w:rsidRPr="00451F5C">
              <w:rPr>
                <w:rFonts w:ascii="Times New Roman" w:hAnsi="Times New Roman" w:cs="Times New Roman"/>
                <w:sz w:val="24"/>
                <w:szCs w:val="24"/>
              </w:rPr>
              <w:t>Administratoram pēc maksātnespējas procesa pasludināšanas ir ļoti plašs pienākumu un tiesību loks (skatīt Maksātnespējas likuma 65., 67., 137., 138.pantu.)</w:t>
            </w:r>
            <w:r w:rsidR="002B54DE" w:rsidRPr="00451F5C">
              <w:rPr>
                <w:rFonts w:ascii="Times New Roman" w:hAnsi="Times New Roman" w:cs="Times New Roman"/>
                <w:sz w:val="24"/>
                <w:szCs w:val="24"/>
              </w:rPr>
              <w:t>. Vēl</w:t>
            </w:r>
            <w:r w:rsidR="005425E4">
              <w:rPr>
                <w:rFonts w:ascii="Times New Roman" w:hAnsi="Times New Roman" w:cs="Times New Roman"/>
                <w:sz w:val="24"/>
                <w:szCs w:val="24"/>
              </w:rPr>
              <w:t xml:space="preserve"> </w:t>
            </w:r>
            <w:r w:rsidR="002B54DE" w:rsidRPr="00451F5C">
              <w:rPr>
                <w:rFonts w:ascii="Times New Roman" w:hAnsi="Times New Roman" w:cs="Times New Roman"/>
                <w:sz w:val="24"/>
                <w:szCs w:val="24"/>
              </w:rPr>
              <w:t xml:space="preserve">jo vairāk – juridiskās personas maksātnespējas procesā </w:t>
            </w:r>
            <w:r w:rsidR="002202EE" w:rsidRPr="00451F5C">
              <w:rPr>
                <w:rFonts w:ascii="Times New Roman" w:hAnsi="Times New Roman" w:cs="Times New Roman"/>
                <w:sz w:val="24"/>
                <w:szCs w:val="24"/>
              </w:rPr>
              <w:t>administrators vienmēr pārņem parādnieka izpildinstit</w:t>
            </w:r>
            <w:r w:rsidR="001472C9" w:rsidRPr="00451F5C">
              <w:rPr>
                <w:rFonts w:ascii="Times New Roman" w:hAnsi="Times New Roman" w:cs="Times New Roman"/>
                <w:sz w:val="24"/>
                <w:szCs w:val="24"/>
              </w:rPr>
              <w:t>ūcijas funkcijas (skatīt Maksātnespējas likuma 64.panta pirmās daļas 1.punkt</w:t>
            </w:r>
            <w:r w:rsidR="005425E4">
              <w:rPr>
                <w:rFonts w:ascii="Times New Roman" w:hAnsi="Times New Roman" w:cs="Times New Roman"/>
                <w:sz w:val="24"/>
                <w:szCs w:val="24"/>
              </w:rPr>
              <w:t>u</w:t>
            </w:r>
            <w:r w:rsidR="001472C9" w:rsidRPr="00451F5C">
              <w:rPr>
                <w:rFonts w:ascii="Times New Roman" w:hAnsi="Times New Roman" w:cs="Times New Roman"/>
                <w:sz w:val="24"/>
                <w:szCs w:val="24"/>
              </w:rPr>
              <w:t xml:space="preserve">), savukārt </w:t>
            </w:r>
            <w:r w:rsidR="00EA0478" w:rsidRPr="00451F5C">
              <w:rPr>
                <w:rFonts w:ascii="Times New Roman" w:hAnsi="Times New Roman" w:cs="Times New Roman"/>
                <w:sz w:val="24"/>
                <w:szCs w:val="24"/>
              </w:rPr>
              <w:t>fiziskās personas maksātnespējas procesā administrators nepieciešamības gadījumā ņem vērā savā pārvaldījumā parādnieka naudas līdzekļus un mantu (skatīt Maksātnespējas likuma 137.panta 1. un 6.punktu)</w:t>
            </w:r>
            <w:r w:rsidR="005B0287" w:rsidRPr="00451F5C">
              <w:rPr>
                <w:rFonts w:ascii="Times New Roman" w:hAnsi="Times New Roman" w:cs="Times New Roman"/>
                <w:sz w:val="24"/>
                <w:szCs w:val="24"/>
              </w:rPr>
              <w:t xml:space="preserve">. </w:t>
            </w:r>
          </w:p>
          <w:p w:rsidR="00FE4731" w:rsidRPr="00451F5C" w:rsidRDefault="005B0287" w:rsidP="00FE473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Gan fiziskās personas, gan juridiskās personas maksātnespējas procesā viena no pirmajām veicamajām </w:t>
            </w:r>
            <w:r w:rsidR="004E1200" w:rsidRPr="00451F5C">
              <w:rPr>
                <w:rFonts w:ascii="Times New Roman" w:hAnsi="Times New Roman" w:cs="Times New Roman"/>
                <w:sz w:val="24"/>
                <w:szCs w:val="24"/>
              </w:rPr>
              <w:t>darbībām ir parādnieka dokumentu un mantas pilna inventarizācija</w:t>
            </w:r>
            <w:r w:rsidR="00935C49" w:rsidRPr="00451F5C">
              <w:rPr>
                <w:rFonts w:ascii="Times New Roman" w:hAnsi="Times New Roman" w:cs="Times New Roman"/>
                <w:sz w:val="24"/>
                <w:szCs w:val="24"/>
              </w:rPr>
              <w:t>. Konstatējot, ka parādniekam ir manta, vai arī to atgūstot, seko parādnieka mantas atsavināšana neatkarīgi no tā, kādā veidā manta ir atsavināma (ar izsoli vai bez tās)</w:t>
            </w:r>
            <w:r w:rsidR="00DB0171" w:rsidRPr="00451F5C">
              <w:rPr>
                <w:rFonts w:ascii="Times New Roman" w:hAnsi="Times New Roman" w:cs="Times New Roman"/>
                <w:sz w:val="24"/>
                <w:szCs w:val="24"/>
              </w:rPr>
              <w:t xml:space="preserve">. Tomēr neviens maksātnespējas jomu regulējošais tiesību akts </w:t>
            </w:r>
            <w:r w:rsidR="00DB0171" w:rsidRPr="00451F5C">
              <w:rPr>
                <w:rFonts w:ascii="Times New Roman" w:hAnsi="Times New Roman" w:cs="Times New Roman"/>
                <w:sz w:val="24"/>
                <w:szCs w:val="24"/>
              </w:rPr>
              <w:lastRenderedPageBreak/>
              <w:t xml:space="preserve">neparedz tādus kritērijus vai pienākumus parādnieka mantas atsavināšanas rezultātā, </w:t>
            </w:r>
            <w:r w:rsidR="005425E4">
              <w:rPr>
                <w:rFonts w:ascii="Times New Roman" w:hAnsi="Times New Roman" w:cs="Times New Roman"/>
                <w:sz w:val="24"/>
                <w:szCs w:val="24"/>
              </w:rPr>
              <w:t xml:space="preserve">lai </w:t>
            </w:r>
            <w:r w:rsidR="00DB0171" w:rsidRPr="00451F5C">
              <w:rPr>
                <w:rFonts w:ascii="Times New Roman" w:hAnsi="Times New Roman" w:cs="Times New Roman"/>
                <w:sz w:val="24"/>
                <w:szCs w:val="24"/>
              </w:rPr>
              <w:t xml:space="preserve">nešaubīgi </w:t>
            </w:r>
            <w:r w:rsidR="005425E4">
              <w:rPr>
                <w:rFonts w:ascii="Times New Roman" w:hAnsi="Times New Roman" w:cs="Times New Roman"/>
                <w:sz w:val="24"/>
                <w:szCs w:val="24"/>
              </w:rPr>
              <w:t xml:space="preserve">pārliecinātos par mantas izcelsmes </w:t>
            </w:r>
            <w:proofErr w:type="spellStart"/>
            <w:r w:rsidR="00DB0171" w:rsidRPr="00451F5C">
              <w:rPr>
                <w:rFonts w:ascii="Times New Roman" w:hAnsi="Times New Roman" w:cs="Times New Roman"/>
                <w:sz w:val="24"/>
                <w:szCs w:val="24"/>
              </w:rPr>
              <w:t>legl</w:t>
            </w:r>
            <w:r w:rsidR="005425E4">
              <w:rPr>
                <w:rFonts w:ascii="Times New Roman" w:hAnsi="Times New Roman" w:cs="Times New Roman"/>
                <w:sz w:val="24"/>
                <w:szCs w:val="24"/>
              </w:rPr>
              <w:t>itāti</w:t>
            </w:r>
            <w:proofErr w:type="spellEnd"/>
            <w:r w:rsidR="00DB0171" w:rsidRPr="00451F5C">
              <w:rPr>
                <w:rFonts w:ascii="Times New Roman" w:hAnsi="Times New Roman" w:cs="Times New Roman"/>
                <w:sz w:val="24"/>
                <w:szCs w:val="24"/>
              </w:rPr>
              <w:t xml:space="preserve">. </w:t>
            </w:r>
          </w:p>
          <w:p w:rsidR="005B0287" w:rsidRPr="00451F5C" w:rsidRDefault="00CC0436" w:rsidP="00FE473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administratora funkcijas maksātnespējas procesā</w:t>
            </w:r>
            <w:r w:rsidR="005425E4">
              <w:rPr>
                <w:rFonts w:ascii="Times New Roman" w:hAnsi="Times New Roman" w:cs="Times New Roman"/>
                <w:sz w:val="24"/>
                <w:szCs w:val="24"/>
              </w:rPr>
              <w:t>,</w:t>
            </w:r>
            <w:r w:rsidRPr="00451F5C">
              <w:rPr>
                <w:rFonts w:ascii="Times New Roman" w:hAnsi="Times New Roman" w:cs="Times New Roman"/>
                <w:sz w:val="24"/>
                <w:szCs w:val="24"/>
              </w:rPr>
              <w:t xml:space="preserve"> ir samērīgi </w:t>
            </w:r>
            <w:r w:rsidR="004E1200"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un pamatoti noteikt, ka administratori ir NILLTFNL subjekti, </w:t>
            </w:r>
            <w:r w:rsidR="00FE4731" w:rsidRPr="00451F5C">
              <w:rPr>
                <w:rFonts w:ascii="Times New Roman" w:hAnsi="Times New Roman" w:cs="Times New Roman"/>
                <w:sz w:val="24"/>
                <w:szCs w:val="24"/>
              </w:rPr>
              <w:t>lai</w:t>
            </w:r>
            <w:r w:rsidRPr="00451F5C">
              <w:rPr>
                <w:rFonts w:ascii="Times New Roman" w:hAnsi="Times New Roman" w:cs="Times New Roman"/>
                <w:sz w:val="24"/>
                <w:szCs w:val="24"/>
              </w:rPr>
              <w:t xml:space="preserve"> nodrošinātu, ka ar maksātnespējas procesa starpniecību netiek legalizēti noziedzīgi iegūti līdzekļi.</w:t>
            </w:r>
          </w:p>
          <w:p w:rsidR="00EC137C" w:rsidRPr="00451F5C" w:rsidRDefault="009727F4"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Par uzraudzības un kontroles institūciju administratoriem </w:t>
            </w:r>
            <w:r w:rsidR="000858A2" w:rsidRPr="00451F5C">
              <w:rPr>
                <w:rFonts w:ascii="Times New Roman" w:hAnsi="Times New Roman" w:cs="Times New Roman"/>
                <w:sz w:val="24"/>
                <w:szCs w:val="24"/>
              </w:rPr>
              <w:t>ir nosakāma biedrība “Latvijas Sertificēto maksātnespējas procesa administratoru asoci</w:t>
            </w:r>
            <w:r w:rsidR="00117BBB" w:rsidRPr="00451F5C">
              <w:rPr>
                <w:rFonts w:ascii="Times New Roman" w:hAnsi="Times New Roman" w:cs="Times New Roman"/>
                <w:sz w:val="24"/>
                <w:szCs w:val="24"/>
              </w:rPr>
              <w:t>ācija</w:t>
            </w:r>
            <w:r w:rsidR="000858A2" w:rsidRPr="00451F5C">
              <w:rPr>
                <w:rFonts w:ascii="Times New Roman" w:hAnsi="Times New Roman" w:cs="Times New Roman"/>
                <w:sz w:val="24"/>
                <w:szCs w:val="24"/>
              </w:rPr>
              <w:t>”</w:t>
            </w:r>
            <w:r w:rsidR="00117BBB" w:rsidRPr="00451F5C">
              <w:rPr>
                <w:rFonts w:ascii="Times New Roman" w:hAnsi="Times New Roman" w:cs="Times New Roman"/>
                <w:sz w:val="24"/>
                <w:szCs w:val="24"/>
              </w:rPr>
              <w:t>.</w:t>
            </w:r>
            <w:r w:rsidR="00104CA7" w:rsidRPr="00451F5C">
              <w:rPr>
                <w:rFonts w:ascii="Times New Roman" w:hAnsi="Times New Roman" w:cs="Times New Roman"/>
                <w:sz w:val="24"/>
                <w:szCs w:val="24"/>
              </w:rPr>
              <w:t xml:space="preserve"> Saskaņā ar Maksātnespējas likuma 14.panta pirmajā daļā noteikto</w:t>
            </w:r>
            <w:r w:rsidR="00AB5DF0">
              <w:rPr>
                <w:rFonts w:ascii="Times New Roman" w:hAnsi="Times New Roman" w:cs="Times New Roman"/>
                <w:sz w:val="24"/>
                <w:szCs w:val="24"/>
              </w:rPr>
              <w:t>,</w:t>
            </w:r>
            <w:r w:rsidR="00104CA7" w:rsidRPr="00451F5C">
              <w:rPr>
                <w:rFonts w:ascii="Times New Roman" w:hAnsi="Times New Roman" w:cs="Times New Roman"/>
                <w:sz w:val="24"/>
                <w:szCs w:val="24"/>
              </w:rPr>
              <w:t xml:space="preserve"> minētā biedrība īsteno administratoru profesionālās organizācijas funkcijas un tajā pēc profesionālās darbības principa ir apvienoti visi Latvijas Republikas administratori. </w:t>
            </w:r>
          </w:p>
          <w:p w:rsidR="00451F5C" w:rsidRDefault="00EC137C"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Būtiski uzsvērt, ka iepriekšminētā biedrība nav tiesīga lemt par personas iecelšanu</w:t>
            </w:r>
            <w:r w:rsidR="003E61F3" w:rsidRPr="00451F5C">
              <w:rPr>
                <w:rFonts w:ascii="Times New Roman" w:hAnsi="Times New Roman" w:cs="Times New Roman"/>
                <w:sz w:val="24"/>
                <w:szCs w:val="24"/>
              </w:rPr>
              <w:t xml:space="preserve"> administratora amatā </w:t>
            </w:r>
            <w:r w:rsidR="00BF672C" w:rsidRPr="00451F5C">
              <w:rPr>
                <w:rFonts w:ascii="Times New Roman" w:hAnsi="Times New Roman" w:cs="Times New Roman"/>
                <w:sz w:val="24"/>
                <w:szCs w:val="24"/>
              </w:rPr>
              <w:t xml:space="preserve">vai par administratora atbrīvošanu vai atcelšanu no tā, atstādināšanu no administratora amata darbības veikšanas vai administratora </w:t>
            </w:r>
            <w:r w:rsidR="00165513" w:rsidRPr="00451F5C">
              <w:rPr>
                <w:rFonts w:ascii="Times New Roman" w:hAnsi="Times New Roman" w:cs="Times New Roman"/>
                <w:sz w:val="24"/>
                <w:szCs w:val="24"/>
              </w:rPr>
              <w:t>amata darbības apturēšanu (skatīt Maksātnespējas likuma 13.</w:t>
            </w:r>
            <w:r w:rsidR="00165513" w:rsidRPr="00451F5C">
              <w:rPr>
                <w:rFonts w:ascii="Times New Roman" w:hAnsi="Times New Roman" w:cs="Times New Roman"/>
                <w:sz w:val="24"/>
                <w:szCs w:val="24"/>
                <w:vertAlign w:val="superscript"/>
              </w:rPr>
              <w:t>1</w:t>
            </w:r>
            <w:r w:rsidR="00165513" w:rsidRPr="00451F5C">
              <w:rPr>
                <w:rFonts w:ascii="Times New Roman" w:hAnsi="Times New Roman" w:cs="Times New Roman"/>
                <w:sz w:val="24"/>
                <w:szCs w:val="24"/>
              </w:rPr>
              <w:t xml:space="preserve"> panta pirmās daļa, 17.</w:t>
            </w:r>
            <w:r w:rsidR="00165513" w:rsidRPr="00451F5C">
              <w:rPr>
                <w:rFonts w:ascii="Times New Roman" w:hAnsi="Times New Roman" w:cs="Times New Roman"/>
                <w:sz w:val="24"/>
                <w:szCs w:val="24"/>
                <w:vertAlign w:val="superscript"/>
              </w:rPr>
              <w:t>1</w:t>
            </w:r>
            <w:r w:rsidR="00165513" w:rsidRPr="00451F5C">
              <w:rPr>
                <w:rFonts w:ascii="Times New Roman" w:hAnsi="Times New Roman" w:cs="Times New Roman"/>
                <w:sz w:val="24"/>
                <w:szCs w:val="24"/>
              </w:rPr>
              <w:t xml:space="preserve"> panta pirmā daļa, 17.</w:t>
            </w:r>
            <w:r w:rsidR="00165513" w:rsidRPr="00451F5C">
              <w:rPr>
                <w:rFonts w:ascii="Times New Roman" w:hAnsi="Times New Roman" w:cs="Times New Roman"/>
                <w:sz w:val="24"/>
                <w:szCs w:val="24"/>
                <w:vertAlign w:val="superscript"/>
              </w:rPr>
              <w:t>2</w:t>
            </w:r>
            <w:r w:rsidR="00165513" w:rsidRPr="00451F5C">
              <w:rPr>
                <w:rFonts w:ascii="Times New Roman" w:hAnsi="Times New Roman" w:cs="Times New Roman"/>
                <w:sz w:val="24"/>
                <w:szCs w:val="24"/>
              </w:rPr>
              <w:t xml:space="preserve"> panta pirmā daļa un 17.</w:t>
            </w:r>
            <w:r w:rsidR="00165513" w:rsidRPr="00451F5C">
              <w:rPr>
                <w:rFonts w:ascii="Times New Roman" w:hAnsi="Times New Roman" w:cs="Times New Roman"/>
                <w:sz w:val="24"/>
                <w:szCs w:val="24"/>
                <w:vertAlign w:val="superscript"/>
              </w:rPr>
              <w:t>4</w:t>
            </w:r>
            <w:r w:rsidR="005C015B" w:rsidRPr="00451F5C">
              <w:rPr>
                <w:rFonts w:ascii="Times New Roman" w:hAnsi="Times New Roman" w:cs="Times New Roman"/>
                <w:sz w:val="24"/>
                <w:szCs w:val="24"/>
                <w:vertAlign w:val="superscript"/>
              </w:rPr>
              <w:t xml:space="preserve"> </w:t>
            </w:r>
            <w:r w:rsidR="00165513" w:rsidRPr="00451F5C">
              <w:rPr>
                <w:rFonts w:ascii="Times New Roman" w:hAnsi="Times New Roman" w:cs="Times New Roman"/>
                <w:sz w:val="24"/>
                <w:szCs w:val="24"/>
              </w:rPr>
              <w:t xml:space="preserve">panta pirmā daļa ). </w:t>
            </w:r>
          </w:p>
          <w:p w:rsidR="00357F1D" w:rsidRPr="00451F5C" w:rsidRDefault="005C015B" w:rsidP="00451F5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iepriekš minēto</w:t>
            </w:r>
            <w:r w:rsidR="00AB5DF0">
              <w:rPr>
                <w:rFonts w:ascii="Times New Roman" w:hAnsi="Times New Roman" w:cs="Times New Roman"/>
                <w:sz w:val="24"/>
                <w:szCs w:val="24"/>
              </w:rPr>
              <w:t>,</w:t>
            </w:r>
            <w:r w:rsidRPr="00451F5C">
              <w:rPr>
                <w:rFonts w:ascii="Times New Roman" w:hAnsi="Times New Roman" w:cs="Times New Roman"/>
                <w:sz w:val="24"/>
                <w:szCs w:val="24"/>
              </w:rPr>
              <w:t xml:space="preserve"> lai nodrošinātu NILLTFNL prasību izpildi, kā arī sankciju piemērošanu mehānismu administratoriem, NILLTFNL 45.panta pirmā daļa tiek papildināta ar jaunu 10.punktu, nosakot uzraudzības un kontroles institūcijas pienākumus biedrībai “Latvijas Sertificēto maksātnespējas procesa administratoru asociācija”, savukārt sankciju piemērošanu pret administratoriem </w:t>
            </w:r>
            <w:r w:rsidR="00AB5DF0">
              <w:rPr>
                <w:rFonts w:ascii="Times New Roman" w:hAnsi="Times New Roman" w:cs="Times New Roman"/>
                <w:sz w:val="24"/>
                <w:szCs w:val="24"/>
              </w:rPr>
              <w:t>veiks</w:t>
            </w:r>
            <w:r w:rsidRPr="00451F5C">
              <w:rPr>
                <w:rFonts w:ascii="Times New Roman" w:hAnsi="Times New Roman" w:cs="Times New Roman"/>
                <w:sz w:val="24"/>
                <w:szCs w:val="24"/>
              </w:rPr>
              <w:t xml:space="preserve"> Maksātnespējas kontroles dienests.</w:t>
            </w:r>
            <w:r w:rsidR="000A3248" w:rsidRPr="00451F5C">
              <w:rPr>
                <w:rFonts w:ascii="Times New Roman" w:hAnsi="Times New Roman" w:cs="Times New Roman"/>
                <w:sz w:val="24"/>
                <w:szCs w:val="24"/>
              </w:rPr>
              <w:t xml:space="preserve"> Funkciju pilnvērtīgai izpildei tiek papildināt</w:t>
            </w:r>
            <w:r w:rsidR="00AB5DF0">
              <w:rPr>
                <w:rFonts w:ascii="Times New Roman" w:hAnsi="Times New Roman" w:cs="Times New Roman"/>
                <w:sz w:val="24"/>
                <w:szCs w:val="24"/>
              </w:rPr>
              <w:t>i</w:t>
            </w:r>
            <w:r w:rsidR="000A3248" w:rsidRPr="00451F5C">
              <w:rPr>
                <w:rFonts w:ascii="Times New Roman" w:hAnsi="Times New Roman" w:cs="Times New Roman"/>
                <w:sz w:val="24"/>
                <w:szCs w:val="24"/>
              </w:rPr>
              <w:t xml:space="preserve"> NILLTFNL </w:t>
            </w:r>
            <w:r w:rsidR="00C4221C" w:rsidRPr="00451F5C">
              <w:rPr>
                <w:rFonts w:ascii="Times New Roman" w:hAnsi="Times New Roman" w:cs="Times New Roman"/>
                <w:sz w:val="24"/>
                <w:szCs w:val="24"/>
              </w:rPr>
              <w:t>46.panta otrā daļa un 77.panta pirmā daļa (likumprojekta 39. un 49.pants).</w:t>
            </w:r>
          </w:p>
          <w:p w:rsidR="00357F1D" w:rsidRPr="00451F5C" w:rsidRDefault="00357F1D" w:rsidP="00451F5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NILLTFNL 3.panta ceturtā daļa tiek izslēgta, ņemot vērā NILLTFNL papildināšanu ar jaunu 3.</w:t>
            </w:r>
            <w:r w:rsidRPr="00451F5C">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pantu.</w:t>
            </w:r>
          </w:p>
          <w:p w:rsidR="00D013CB" w:rsidRPr="00451F5C" w:rsidRDefault="00D013CB" w:rsidP="00451F5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Attiecībā uz NILLTFNL 3.panta papildināšanu ar piekto daļu:</w:t>
            </w:r>
          </w:p>
          <w:p w:rsidR="00D013CB" w:rsidRPr="00451F5C" w:rsidRDefault="009A0BC9"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Eiropas Parlamenta un Padomes 2015. gada 20. maija Regulas (ES) Nr. 2015/847 par līdzekļu pārvedumiem pievienoto informāciju un ar ko atceļ Regulu (EK) Nr. 1781/2006</w:t>
            </w:r>
            <w:r w:rsidR="00D013CB" w:rsidRPr="00451F5C">
              <w:rPr>
                <w:rFonts w:ascii="Times New Roman" w:hAnsi="Times New Roman" w:cs="Times New Roman"/>
                <w:sz w:val="24"/>
                <w:szCs w:val="24"/>
              </w:rPr>
              <w:t xml:space="preserve"> paredz, ka ir iespējams nepiemērot tās prasības dalībvalsts tās teritorijā veiktiem līdzekļu pārvedumiem uz maksājuma saņēmēja maksājumu kontu, atļaujot maksājumu tikai par preču piegādi vai pakalpojumu sniegšanu, ja ir izpildīti visi turpmāk minētie nosacījumi:</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lastRenderedPageBreak/>
              <w:t xml:space="preserve">a) uz maksājuma saņēmēja maksājumu pakalpojumu sniedzēju attiecas </w:t>
            </w:r>
            <w:r w:rsidR="00C03570" w:rsidRPr="00451F5C">
              <w:rPr>
                <w:rFonts w:ascii="Times New Roman" w:hAnsi="Times New Roman" w:cs="Times New Roman"/>
                <w:sz w:val="24"/>
                <w:szCs w:val="24"/>
              </w:rPr>
              <w:t>AML IV direktīva</w:t>
            </w:r>
            <w:r w:rsidRPr="00451F5C">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b) maksājuma saņēmēja maksājumu pakalpojumu sniedzējs, izmantojot pārvedumam pievienoto unikālo darījuma identifikatoru, ar maksājuma saņēmēja starpniecību spēj izsekot līdzekļu pārvedumam no personas, kurai ar maksājuma saņēmēju ir vienošanās par preču piegādi vai pakalpojumu sniegšanu;</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c) līdzekļu pārveduma summa nepārsniedz EUR 1 000.</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Šobrīd Latvijas Republikā darbojas maksājumu iestādes, kuru sniegtie maksājumu pakalpojumi saskaņā ar Komisijas rīcībā esošo informāciju atbilst Regulas izņēmuma nosacījumiem, proti:</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1) maksājumu iestādes ir NILLTFN</w:t>
            </w:r>
            <w:r w:rsidR="009A0BC9" w:rsidRPr="00451F5C">
              <w:rPr>
                <w:rFonts w:ascii="Times New Roman" w:hAnsi="Times New Roman" w:cs="Times New Roman"/>
                <w:sz w:val="24"/>
                <w:szCs w:val="24"/>
              </w:rPr>
              <w:t>L</w:t>
            </w:r>
            <w:r w:rsidRPr="00451F5C">
              <w:rPr>
                <w:rFonts w:ascii="Times New Roman" w:hAnsi="Times New Roman" w:cs="Times New Roman"/>
                <w:sz w:val="24"/>
                <w:szCs w:val="24"/>
              </w:rPr>
              <w:t xml:space="preserve"> subjekti;</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2) maksājumu saņēmēju apkalpojošās maksājumu iestādes, izmantojot pārvedumam pievienoto unikālo darījuma identifikatoru, ar maksājumu saņēmēja starpniecību spēj izsekot līdzekļu pārvedumam no personas, kurai ar maksājuma saņēmēju ir vienošanās par preču piegādi vai pakalpojumu sniegšanu;</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3) līdzekļu pārvedumu summa nepārsniedz 1000 EUR.</w:t>
            </w:r>
          </w:p>
          <w:p w:rsidR="00E968B8"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Šādu maksājumu iestāžu sniegto pakalpojuma izmantošana ir teritoriāli ierobežota, proti, pakalpojuma izmantotāji (Maksātāji) maksājumu iestāžu klientu (Maksājumu saņēmēju) izrakstītus rēķinus var apmaksāt tikai maksājumu iestāžu pārstāvju tirdzniecības vietās Latvijā. Minētās maksājumu iestādes piedāvā daudzu pakalpojumu sniedzēju un preču tirgotāju rēķinu apmaksu, un lielākoties tā ir zināmu pakalpojumu sniedzēju komunālo pakalpojumu apmaksa, apsaimniekošanas, telekomunikāciju, preses abonēšanas apmaksa. Minētās maksājumu iestādes ar klientu saskaņo svītru kodus, kuru Maksājumu saņēmējam jānorāda tā izrakstītajos rēķinos. Svītru kods ļauj atpazīt rēķina adresātu, klientu un maksājuma summu. Lielākoties Maksājumu saņēmēju izrakstītos preču vai pakalpojumu rēķinus var apmaksāt pie maksājumu iestāžu pārstāvjiem, kas ir nereti tirdzniecības vietas, un pārstāvis ar kases sistēmu/īpaši izveidotu uzskaites sistēmu noskenē uz rēķina atainoto svītru kodu un Maksātājs veic rēķina apmaksu skaidrā naudā vai ar maksājumu karti caur Pārstāvja POS terminālu. Atsevišķa Maksātāju identificējoša informācija līdzekļu pārvedumam lielākoties netiek pievienota, un Maksājums tiek izpildīts uz minētā unikālā svītru koda pamata, proti, Maksājumu saņēmējs uz tā pamata spēj identificēt personu, ar kuru tai ir noslēgts līgums par preču pie</w:t>
            </w:r>
            <w:r w:rsidR="00E968B8">
              <w:rPr>
                <w:rFonts w:ascii="Times New Roman" w:hAnsi="Times New Roman" w:cs="Times New Roman"/>
                <w:sz w:val="24"/>
                <w:szCs w:val="24"/>
              </w:rPr>
              <w:t>gādi vai pakalpojuma sniegšanu.</w:t>
            </w:r>
          </w:p>
          <w:p w:rsidR="00D013CB" w:rsidRPr="00451F5C" w:rsidRDefault="00D21F6C"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 xml:space="preserve">Eiropas Parlamenta un Padomes 2015. gada 20. maija Regulas (ES) Nr. 2015/847 par līdzekļu pārvedumiem pievienoto informāciju un ar ko atceļ Regulu (EK) Nr. 1781/2006 </w:t>
            </w:r>
            <w:r w:rsidR="00D013CB" w:rsidRPr="00451F5C">
              <w:rPr>
                <w:rFonts w:ascii="Times New Roman" w:hAnsi="Times New Roman" w:cs="Times New Roman"/>
                <w:sz w:val="24"/>
                <w:szCs w:val="24"/>
              </w:rPr>
              <w:t xml:space="preserve"> prasības nosaka, ka, ja pārvedamie līdzekļi ir saņemti skaidrā naudā vai kā anonīma elektroniskā nauda (Regulas 5. panta 3. punkts), tad, neatkarīgi no maksājuma summas, maksājumu iestādei ir jāverificē informācija par maksātāju, proti, </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a) maksātāja vārds/nosaukums;</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b) maksātāja maksājumu konta numurs; un</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c) maksātāja adrese, oficiāla personas dokumenta numurs, klienta identifikācijas numurs vai dzimšanas datums un vieta. </w:t>
            </w:r>
          </w:p>
          <w:p w:rsidR="00D013CB" w:rsidRPr="00451F5C" w:rsidRDefault="00D013CB"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Verifikāciju uzskata par izpildītu, ja Maksātāja identitāte ir verificēta saskaņā ar </w:t>
            </w:r>
            <w:r w:rsidR="00D21F6C" w:rsidRPr="00451F5C">
              <w:rPr>
                <w:rFonts w:ascii="Times New Roman" w:hAnsi="Times New Roman" w:cs="Times New Roman"/>
                <w:sz w:val="24"/>
                <w:szCs w:val="24"/>
              </w:rPr>
              <w:t>AML IV direktīvas</w:t>
            </w:r>
            <w:r w:rsidRPr="00451F5C">
              <w:rPr>
                <w:rFonts w:ascii="Times New Roman" w:hAnsi="Times New Roman" w:cs="Times New Roman"/>
                <w:sz w:val="24"/>
                <w:szCs w:val="24"/>
              </w:rPr>
              <w:t>. pantu (NILLTFNL  11.</w:t>
            </w:r>
            <w:r w:rsidR="00C21CD7">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panta pirmās daļas 1. punkts) un minētajā verifikācijā iegūtā informācija ir uzglabāta saskaņā ar </w:t>
            </w:r>
            <w:r w:rsidR="00D21F6C" w:rsidRPr="00451F5C">
              <w:rPr>
                <w:rFonts w:ascii="Times New Roman" w:hAnsi="Times New Roman" w:cs="Times New Roman"/>
                <w:sz w:val="24"/>
                <w:szCs w:val="24"/>
              </w:rPr>
              <w:t>AML IV direktīva</w:t>
            </w:r>
            <w:r w:rsidRPr="00451F5C">
              <w:rPr>
                <w:rFonts w:ascii="Times New Roman" w:hAnsi="Times New Roman" w:cs="Times New Roman"/>
                <w:sz w:val="24"/>
                <w:szCs w:val="24"/>
              </w:rPr>
              <w:t>s/NILLTFNL prasībām.</w:t>
            </w:r>
          </w:p>
          <w:p w:rsidR="00D013CB" w:rsidRPr="00451F5C" w:rsidRDefault="00D013CB"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Minētais praksē nozīmē to, ka Pārstāvim, saņemot skaidrā naudā līdzekļus par rēķina apmaksu, būtu ne tikai maksājumam jāpievieno detalizēta informācija par maksātāju, tā adresi, dokumenta numuru u.tml. (sk. iepriekš minēto info</w:t>
            </w:r>
            <w:r w:rsidR="00B54505">
              <w:rPr>
                <w:rFonts w:ascii="Times New Roman" w:hAnsi="Times New Roman" w:cs="Times New Roman"/>
                <w:sz w:val="24"/>
                <w:szCs w:val="24"/>
              </w:rPr>
              <w:t>rmācijas</w:t>
            </w:r>
            <w:r w:rsidRPr="00451F5C">
              <w:rPr>
                <w:rFonts w:ascii="Times New Roman" w:hAnsi="Times New Roman" w:cs="Times New Roman"/>
                <w:sz w:val="24"/>
                <w:szCs w:val="24"/>
              </w:rPr>
              <w:t xml:space="preserve"> apjomu), bet arī jāveic šīs informācijas pārbaude un iegūto dokumentu uzglabāšanas nodrošināšana, turklāt pārsvarā šādu rēķinu apmaksa notiek skaidrā naudā, un vidējais maksājumu apjoms ir salīdzinoši neliels. Taču, ievērojot šiem pakalpojumiem piemītošo salīdzinoši zemo risku, kuru ir iespējams ar attiecīgi izveidotu kontroles mehānismu palīdzību viegli pārvaldīt un padarīt nepievilcīgu noziedzīgi iegūtu līdzekļu legalizācijai vai terorisma finansēšanai, regulas prasību izpilde par maksātāja informācijas iegūšanu un verificēšanu, saņemot apmaksu skaidrā naudā, uzliktu nesamērīgu slogu šādam maksājumu pakalpojumu sniedzējam, radot pārmērīgi augstas izmaksas attiecībā pret pakalpojumam piemītošo riska līmeni.</w:t>
            </w:r>
          </w:p>
          <w:p w:rsidR="00D013CB" w:rsidRPr="00451F5C" w:rsidRDefault="00D013CB"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minēto, piemēro</w:t>
            </w:r>
            <w:r w:rsidR="00B54505">
              <w:rPr>
                <w:rFonts w:ascii="Times New Roman" w:hAnsi="Times New Roman" w:cs="Times New Roman"/>
                <w:sz w:val="24"/>
                <w:szCs w:val="24"/>
              </w:rPr>
              <w:t>jot</w:t>
            </w:r>
            <w:r w:rsidRPr="00451F5C">
              <w:rPr>
                <w:rFonts w:ascii="Times New Roman" w:hAnsi="Times New Roman" w:cs="Times New Roman"/>
                <w:sz w:val="24"/>
                <w:szCs w:val="24"/>
              </w:rPr>
              <w:t xml:space="preserve"> </w:t>
            </w:r>
            <w:r w:rsidR="005E2E1E" w:rsidRPr="00451F5C">
              <w:rPr>
                <w:rFonts w:ascii="Times New Roman" w:hAnsi="Times New Roman" w:cs="Times New Roman"/>
                <w:sz w:val="24"/>
                <w:szCs w:val="24"/>
              </w:rPr>
              <w:t xml:space="preserve">Eiropas Parlamenta un Padomes 2015. gada 20. maija Regulas (ES) Nr. 2015/847 </w:t>
            </w:r>
            <w:r w:rsidR="00B54505">
              <w:rPr>
                <w:rFonts w:ascii="Times New Roman" w:hAnsi="Times New Roman" w:cs="Times New Roman"/>
                <w:sz w:val="24"/>
                <w:szCs w:val="24"/>
              </w:rPr>
              <w:t>“P</w:t>
            </w:r>
            <w:r w:rsidR="005E2E1E" w:rsidRPr="00451F5C">
              <w:rPr>
                <w:rFonts w:ascii="Times New Roman" w:hAnsi="Times New Roman" w:cs="Times New Roman"/>
                <w:sz w:val="24"/>
                <w:szCs w:val="24"/>
              </w:rPr>
              <w:t>ar līdzekļu pārvedumiem pievienoto informāciju</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un ar ko atceļ Regulu (EK) Nr. 1781/2006</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 izņēmumus uz Latvijā veiktiem līdzekļu pārvedumiem uz maksājuma saņēmēja maksājumu kontu, ja tiek veikts maksājums par Latvijā iegādātām precēm vai Latvijā saņemtiem pakalpojumiem</w:t>
            </w:r>
            <w:r w:rsidR="00B54505">
              <w:rPr>
                <w:rFonts w:ascii="Times New Roman" w:hAnsi="Times New Roman" w:cs="Times New Roman"/>
                <w:sz w:val="24"/>
                <w:szCs w:val="24"/>
              </w:rPr>
              <w:t>,</w:t>
            </w:r>
            <w:r w:rsidRPr="00451F5C">
              <w:rPr>
                <w:rFonts w:ascii="Times New Roman" w:hAnsi="Times New Roman" w:cs="Times New Roman"/>
                <w:sz w:val="24"/>
                <w:szCs w:val="24"/>
              </w:rPr>
              <w:t xml:space="preserve"> ir izpildīti visi </w:t>
            </w:r>
            <w:r w:rsidR="005E2E1E" w:rsidRPr="00451F5C">
              <w:rPr>
                <w:rFonts w:ascii="Times New Roman" w:hAnsi="Times New Roman" w:cs="Times New Roman"/>
                <w:sz w:val="24"/>
                <w:szCs w:val="24"/>
              </w:rPr>
              <w:t xml:space="preserve">Eiropas Parlamenta un Padomes 2015. gada 20. maija Regulas (ES) Nr. 2015/847 </w:t>
            </w:r>
            <w:r w:rsidR="00B54505">
              <w:rPr>
                <w:rFonts w:ascii="Times New Roman" w:hAnsi="Times New Roman" w:cs="Times New Roman"/>
                <w:sz w:val="24"/>
                <w:szCs w:val="24"/>
              </w:rPr>
              <w:t>“P</w:t>
            </w:r>
            <w:r w:rsidR="005E2E1E" w:rsidRPr="00451F5C">
              <w:rPr>
                <w:rFonts w:ascii="Times New Roman" w:hAnsi="Times New Roman" w:cs="Times New Roman"/>
                <w:sz w:val="24"/>
                <w:szCs w:val="24"/>
              </w:rPr>
              <w:t>ar līdzekļu pārvedumiem pievienoto informāciju</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un ar ko </w:t>
            </w:r>
            <w:r w:rsidR="005E2E1E" w:rsidRPr="00451F5C">
              <w:rPr>
                <w:rFonts w:ascii="Times New Roman" w:hAnsi="Times New Roman" w:cs="Times New Roman"/>
                <w:sz w:val="24"/>
                <w:szCs w:val="24"/>
              </w:rPr>
              <w:lastRenderedPageBreak/>
              <w:t>atceļ Regulu (EK) Nr. 1781/2006</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w:t>
            </w:r>
            <w:r w:rsidRPr="00451F5C">
              <w:rPr>
                <w:rFonts w:ascii="Times New Roman" w:hAnsi="Times New Roman" w:cs="Times New Roman"/>
                <w:sz w:val="24"/>
                <w:szCs w:val="24"/>
              </w:rPr>
              <w:t>2. panta 5. punktā minētie nosacījumi.</w:t>
            </w:r>
          </w:p>
          <w:p w:rsidR="00AE5068" w:rsidRPr="00451F5C" w:rsidRDefault="00AE5068" w:rsidP="00C31C47">
            <w:pPr>
              <w:spacing w:after="0" w:line="240" w:lineRule="auto"/>
              <w:jc w:val="both"/>
              <w:rPr>
                <w:rFonts w:ascii="Times New Roman" w:hAnsi="Times New Roman" w:cs="Times New Roman"/>
                <w:sz w:val="24"/>
                <w:szCs w:val="24"/>
              </w:rPr>
            </w:pPr>
          </w:p>
          <w:p w:rsidR="00AE5068" w:rsidRPr="00042B65" w:rsidRDefault="00AE5068" w:rsidP="00C31C47">
            <w:pPr>
              <w:spacing w:after="0" w:line="240" w:lineRule="auto"/>
              <w:jc w:val="both"/>
              <w:rPr>
                <w:rFonts w:ascii="Times New Roman" w:hAnsi="Times New Roman" w:cs="Times New Roman"/>
                <w:sz w:val="24"/>
                <w:szCs w:val="24"/>
                <w:u w:val="single"/>
              </w:rPr>
            </w:pPr>
            <w:r w:rsidRPr="00042B65">
              <w:rPr>
                <w:rFonts w:ascii="Times New Roman" w:hAnsi="Times New Roman" w:cs="Times New Roman"/>
                <w:sz w:val="24"/>
                <w:szCs w:val="24"/>
                <w:u w:val="single"/>
              </w:rPr>
              <w:t>Likumprojekta 4.pants:</w:t>
            </w:r>
          </w:p>
          <w:p w:rsidR="00AE5068" w:rsidRPr="00451F5C" w:rsidRDefault="00AE5068" w:rsidP="0040548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Ar mērķi nošķirt NILLTFNL ietvertos subjektus no citām personām, uz kurām neattiecas NILLTFNL uzskaitītie pienākumi NILLTFNL subjektiem, kā arī </w:t>
            </w:r>
            <w:r w:rsidR="003821D6">
              <w:rPr>
                <w:rFonts w:ascii="Times New Roman" w:hAnsi="Times New Roman" w:cs="Times New Roman"/>
                <w:sz w:val="24"/>
                <w:szCs w:val="24"/>
              </w:rPr>
              <w:t xml:space="preserve">tiem, kuriem </w:t>
            </w:r>
            <w:r w:rsidRPr="00451F5C">
              <w:rPr>
                <w:rFonts w:ascii="Times New Roman" w:hAnsi="Times New Roman" w:cs="Times New Roman"/>
                <w:sz w:val="24"/>
                <w:szCs w:val="24"/>
              </w:rPr>
              <w:t>nav noteiktas uzraudzības un kontroles institūcijas</w:t>
            </w:r>
            <w:r w:rsidR="003821D6">
              <w:rPr>
                <w:rFonts w:ascii="Times New Roman" w:hAnsi="Times New Roman" w:cs="Times New Roman"/>
                <w:sz w:val="24"/>
                <w:szCs w:val="24"/>
              </w:rPr>
              <w:t>,</w:t>
            </w:r>
            <w:r w:rsidRPr="00451F5C">
              <w:rPr>
                <w:rFonts w:ascii="Times New Roman" w:hAnsi="Times New Roman" w:cs="Times New Roman"/>
                <w:sz w:val="24"/>
                <w:szCs w:val="24"/>
              </w:rPr>
              <w:t xml:space="preserve"> NILLTFNL 3.panta ceturtā daļa tiek svītrota un izteikta kā jauns 3.</w:t>
            </w:r>
            <w:r w:rsidRPr="00042B65">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pants “Citu personu pienākums attiecībā uz ziņu sniegšanu par aizdomīgiem darījumiem un sliekšņa deklarāciju”.</w:t>
            </w:r>
          </w:p>
          <w:p w:rsidR="00AE5068" w:rsidRPr="00451F5C" w:rsidRDefault="00AE5068" w:rsidP="00C31C47">
            <w:pPr>
              <w:spacing w:after="0" w:line="240" w:lineRule="auto"/>
              <w:jc w:val="both"/>
              <w:rPr>
                <w:rFonts w:ascii="Times New Roman" w:hAnsi="Times New Roman" w:cs="Times New Roman"/>
                <w:sz w:val="24"/>
                <w:szCs w:val="24"/>
              </w:rPr>
            </w:pPr>
          </w:p>
          <w:p w:rsidR="008E1E16" w:rsidRPr="00451F5C" w:rsidRDefault="00E44ED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6</w:t>
            </w:r>
            <w:r w:rsidR="00D013CB" w:rsidRPr="00451F5C">
              <w:rPr>
                <w:rFonts w:ascii="Times New Roman" w:hAnsi="Times New Roman" w:cs="Times New Roman"/>
                <w:sz w:val="24"/>
                <w:szCs w:val="24"/>
                <w:u w:val="single"/>
              </w:rPr>
              <w:t>.pants:</w:t>
            </w:r>
          </w:p>
          <w:p w:rsidR="00D013CB" w:rsidRPr="00451F5C" w:rsidRDefault="007055E1"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novērstu abpusējo sodāmību</w:t>
            </w:r>
            <w:r w:rsidR="003821D6">
              <w:rPr>
                <w:rFonts w:ascii="Times New Roman" w:hAnsi="Times New Roman" w:cs="Times New Roman"/>
                <w:sz w:val="24"/>
                <w:szCs w:val="24"/>
              </w:rPr>
              <w:t>,</w:t>
            </w:r>
            <w:r w:rsidRPr="00451F5C">
              <w:rPr>
                <w:rFonts w:ascii="Times New Roman" w:hAnsi="Times New Roman" w:cs="Times New Roman"/>
                <w:sz w:val="24"/>
                <w:szCs w:val="24"/>
              </w:rPr>
              <w:t xml:space="preserve"> tiek izdarīti grozījumi NILTLFNL 5.panta otrajā daļā</w:t>
            </w:r>
            <w:r w:rsidR="00512E19" w:rsidRPr="00451F5C">
              <w:rPr>
                <w:rFonts w:ascii="Times New Roman" w:hAnsi="Times New Roman" w:cs="Times New Roman"/>
                <w:sz w:val="24"/>
                <w:szCs w:val="24"/>
              </w:rPr>
              <w:t xml:space="preserve"> atbilstoši Eiropas Parlamenta un Padomes Direktīvas (ES) 2018/1673 (2018. gada 23. oktobris) </w:t>
            </w:r>
            <w:r w:rsidR="003821D6">
              <w:rPr>
                <w:rFonts w:ascii="Times New Roman" w:hAnsi="Times New Roman" w:cs="Times New Roman"/>
                <w:sz w:val="24"/>
                <w:szCs w:val="24"/>
              </w:rPr>
              <w:t>“P</w:t>
            </w:r>
            <w:r w:rsidR="00512E19" w:rsidRPr="00451F5C">
              <w:rPr>
                <w:rFonts w:ascii="Times New Roman" w:hAnsi="Times New Roman" w:cs="Times New Roman"/>
                <w:sz w:val="24"/>
                <w:szCs w:val="24"/>
              </w:rPr>
              <w:t>ar nelikumīgi iegūtu līdzekļu legalizācijas</w:t>
            </w:r>
            <w:r w:rsidR="003821D6">
              <w:rPr>
                <w:rFonts w:ascii="Times New Roman" w:hAnsi="Times New Roman" w:cs="Times New Roman"/>
                <w:sz w:val="24"/>
                <w:szCs w:val="24"/>
              </w:rPr>
              <w:t xml:space="preserve"> apkarošanu ar krimināltiesībām” </w:t>
            </w:r>
            <w:r w:rsidR="00512E19" w:rsidRPr="00451F5C">
              <w:rPr>
                <w:rFonts w:ascii="Times New Roman" w:hAnsi="Times New Roman" w:cs="Times New Roman"/>
                <w:sz w:val="24"/>
                <w:szCs w:val="24"/>
              </w:rPr>
              <w:t xml:space="preserve">3.panta otrās daļas c) apakšpunktam. </w:t>
            </w:r>
          </w:p>
          <w:p w:rsidR="00267A8C" w:rsidRPr="00451F5C" w:rsidRDefault="00267A8C" w:rsidP="00C31C47">
            <w:pPr>
              <w:spacing w:after="0" w:line="240" w:lineRule="auto"/>
              <w:jc w:val="both"/>
              <w:rPr>
                <w:rFonts w:ascii="Times New Roman" w:hAnsi="Times New Roman" w:cs="Times New Roman"/>
                <w:sz w:val="24"/>
                <w:szCs w:val="24"/>
              </w:rPr>
            </w:pPr>
          </w:p>
          <w:p w:rsidR="00102AB2" w:rsidRPr="0093372C" w:rsidRDefault="00E74F5B" w:rsidP="0093372C">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7</w:t>
            </w:r>
            <w:r w:rsidR="0093372C">
              <w:rPr>
                <w:rFonts w:ascii="Times New Roman" w:hAnsi="Times New Roman" w:cs="Times New Roman"/>
                <w:sz w:val="24"/>
                <w:szCs w:val="24"/>
                <w:u w:val="single"/>
              </w:rPr>
              <w:t>.pants:</w:t>
            </w:r>
          </w:p>
          <w:p w:rsidR="0093372C" w:rsidRDefault="00445B16" w:rsidP="0093372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Esošā NILLTFNL 5.</w:t>
            </w:r>
            <w:r w:rsidRPr="00451F5C">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panta redakcija tiek izteikta jaunā</w:t>
            </w:r>
            <w:r w:rsidR="00A175CF" w:rsidRPr="00451F5C">
              <w:rPr>
                <w:rFonts w:ascii="Times New Roman" w:hAnsi="Times New Roman" w:cs="Times New Roman"/>
                <w:sz w:val="24"/>
                <w:szCs w:val="24"/>
              </w:rPr>
              <w:t xml:space="preserve"> redakcijā. Pirmā daļa ietver esošās redakcijas ietvaru, mainot </w:t>
            </w:r>
            <w:r w:rsidR="00176A43" w:rsidRPr="00451F5C">
              <w:rPr>
                <w:rFonts w:ascii="Times New Roman" w:hAnsi="Times New Roman" w:cs="Times New Roman"/>
                <w:sz w:val="24"/>
                <w:szCs w:val="24"/>
              </w:rPr>
              <w:t xml:space="preserve">to, ka </w:t>
            </w:r>
            <w:r w:rsidR="003821D6">
              <w:rPr>
                <w:rFonts w:ascii="Times New Roman" w:hAnsi="Times New Roman" w:cs="Times New Roman"/>
                <w:sz w:val="24"/>
                <w:szCs w:val="24"/>
              </w:rPr>
              <w:t xml:space="preserve">Latvijas Republikas </w:t>
            </w:r>
            <w:r w:rsidR="00176A43" w:rsidRPr="00451F5C">
              <w:rPr>
                <w:rFonts w:ascii="Times New Roman" w:hAnsi="Times New Roman" w:cs="Times New Roman"/>
                <w:sz w:val="24"/>
                <w:szCs w:val="24"/>
              </w:rPr>
              <w:t xml:space="preserve">Uzņēmumu reģistrs turpmāk NILLTFNL </w:t>
            </w:r>
            <w:r w:rsidR="00A73DBE" w:rsidRPr="00451F5C">
              <w:rPr>
                <w:rFonts w:ascii="Times New Roman" w:hAnsi="Times New Roman" w:cs="Times New Roman"/>
                <w:sz w:val="24"/>
                <w:szCs w:val="24"/>
              </w:rPr>
              <w:t>noteikto</w:t>
            </w:r>
            <w:r w:rsidR="00176A43" w:rsidRPr="00451F5C">
              <w:rPr>
                <w:rFonts w:ascii="Times New Roman" w:hAnsi="Times New Roman" w:cs="Times New Roman"/>
                <w:sz w:val="24"/>
                <w:szCs w:val="24"/>
              </w:rPr>
              <w:t xml:space="preserve"> pienākumu izpildei ierakstus un ziņas par dalībniekiem un patiesajiem labuma guvējiem snie</w:t>
            </w:r>
            <w:r w:rsidR="00A73DBE" w:rsidRPr="00451F5C">
              <w:rPr>
                <w:rFonts w:ascii="Times New Roman" w:hAnsi="Times New Roman" w:cs="Times New Roman"/>
                <w:sz w:val="24"/>
                <w:szCs w:val="24"/>
              </w:rPr>
              <w:t xml:space="preserve">dz bezmaksas tiešsaistes formā. </w:t>
            </w:r>
            <w:r w:rsidR="00A175CF" w:rsidRPr="00451F5C">
              <w:rPr>
                <w:rFonts w:ascii="Times New Roman" w:hAnsi="Times New Roman" w:cs="Times New Roman"/>
                <w:sz w:val="24"/>
                <w:szCs w:val="24"/>
              </w:rPr>
              <w:t>Kā arī redakcija tiek pielāgota nevis no</w:t>
            </w:r>
            <w:r w:rsidR="00D013CB" w:rsidRPr="00451F5C">
              <w:rPr>
                <w:rFonts w:ascii="Times New Roman" w:hAnsi="Times New Roman" w:cs="Times New Roman"/>
                <w:sz w:val="24"/>
                <w:szCs w:val="24"/>
              </w:rPr>
              <w:t xml:space="preserve"> Latvijas Republikas Uzņēmumu reģistrā (turpmāk – Uzņēmumu reģistrs) esošās informācijas izsniegšanas viedokļa, </w:t>
            </w:r>
            <w:r w:rsidR="00A175CF" w:rsidRPr="00451F5C">
              <w:rPr>
                <w:rFonts w:ascii="Times New Roman" w:hAnsi="Times New Roman" w:cs="Times New Roman"/>
                <w:sz w:val="24"/>
                <w:szCs w:val="24"/>
              </w:rPr>
              <w:t xml:space="preserve">bet gan samērīgi, ņemot vērā  </w:t>
            </w:r>
            <w:r w:rsidR="00D013CB" w:rsidRPr="00451F5C">
              <w:rPr>
                <w:rFonts w:ascii="Times New Roman" w:hAnsi="Times New Roman" w:cs="Times New Roman"/>
                <w:sz w:val="24"/>
                <w:szCs w:val="24"/>
              </w:rPr>
              <w:t xml:space="preserve">NILLTFNL </w:t>
            </w:r>
            <w:r w:rsidR="00886047" w:rsidRPr="00451F5C">
              <w:rPr>
                <w:rFonts w:ascii="Times New Roman" w:hAnsi="Times New Roman" w:cs="Times New Roman"/>
                <w:sz w:val="24"/>
                <w:szCs w:val="24"/>
              </w:rPr>
              <w:t>subjekt</w:t>
            </w:r>
            <w:r w:rsidR="00A175CF" w:rsidRPr="00451F5C">
              <w:rPr>
                <w:rFonts w:ascii="Times New Roman" w:hAnsi="Times New Roman" w:cs="Times New Roman"/>
                <w:sz w:val="24"/>
                <w:szCs w:val="24"/>
              </w:rPr>
              <w:t>a nepieciešamību</w:t>
            </w:r>
            <w:r w:rsidR="00886047" w:rsidRPr="00451F5C">
              <w:rPr>
                <w:rFonts w:ascii="Times New Roman" w:hAnsi="Times New Roman" w:cs="Times New Roman"/>
                <w:sz w:val="24"/>
                <w:szCs w:val="24"/>
              </w:rPr>
              <w:t xml:space="preserve"> </w:t>
            </w:r>
            <w:r w:rsidR="00A175CF" w:rsidRPr="00451F5C">
              <w:rPr>
                <w:rFonts w:ascii="Times New Roman" w:hAnsi="Times New Roman" w:cs="Times New Roman"/>
                <w:sz w:val="24"/>
                <w:szCs w:val="24"/>
              </w:rPr>
              <w:t>pamatot</w:t>
            </w:r>
            <w:r w:rsidR="00E772C6" w:rsidRPr="00451F5C">
              <w:rPr>
                <w:rFonts w:ascii="Times New Roman" w:hAnsi="Times New Roman" w:cs="Times New Roman"/>
                <w:sz w:val="24"/>
                <w:szCs w:val="24"/>
              </w:rPr>
              <w:t xml:space="preserve"> klienta izpētes rezultātā veiktās darbības</w:t>
            </w:r>
            <w:r w:rsidR="00886047" w:rsidRPr="00451F5C">
              <w:rPr>
                <w:rFonts w:ascii="Times New Roman" w:hAnsi="Times New Roman" w:cs="Times New Roman"/>
                <w:sz w:val="24"/>
                <w:szCs w:val="24"/>
              </w:rPr>
              <w:t xml:space="preserve">, </w:t>
            </w:r>
            <w:r w:rsidR="00E772C6" w:rsidRPr="00451F5C">
              <w:rPr>
                <w:rFonts w:ascii="Times New Roman" w:hAnsi="Times New Roman" w:cs="Times New Roman"/>
                <w:sz w:val="24"/>
                <w:szCs w:val="24"/>
              </w:rPr>
              <w:t>tai skaitā</w:t>
            </w:r>
            <w:r w:rsidR="003821D6">
              <w:rPr>
                <w:rFonts w:ascii="Times New Roman" w:hAnsi="Times New Roman" w:cs="Times New Roman"/>
                <w:sz w:val="24"/>
                <w:szCs w:val="24"/>
              </w:rPr>
              <w:t>,</w:t>
            </w:r>
            <w:r w:rsidR="00D013CB" w:rsidRPr="00451F5C">
              <w:rPr>
                <w:rFonts w:ascii="Times New Roman" w:hAnsi="Times New Roman" w:cs="Times New Roman"/>
                <w:sz w:val="24"/>
                <w:szCs w:val="24"/>
              </w:rPr>
              <w:t xml:space="preserve"> </w:t>
            </w:r>
            <w:r w:rsidR="00E772C6" w:rsidRPr="00451F5C">
              <w:rPr>
                <w:rFonts w:ascii="Times New Roman" w:hAnsi="Times New Roman" w:cs="Times New Roman"/>
                <w:sz w:val="24"/>
                <w:szCs w:val="24"/>
              </w:rPr>
              <w:t>informācijas</w:t>
            </w:r>
            <w:r w:rsidR="00D013CB" w:rsidRPr="00451F5C">
              <w:rPr>
                <w:rFonts w:ascii="Times New Roman" w:hAnsi="Times New Roman" w:cs="Times New Roman"/>
                <w:sz w:val="24"/>
                <w:szCs w:val="24"/>
              </w:rPr>
              <w:t xml:space="preserve"> glabā</w:t>
            </w:r>
            <w:r w:rsidR="00E772C6" w:rsidRPr="00451F5C">
              <w:rPr>
                <w:rFonts w:ascii="Times New Roman" w:hAnsi="Times New Roman" w:cs="Times New Roman"/>
                <w:sz w:val="24"/>
                <w:szCs w:val="24"/>
              </w:rPr>
              <w:t>šanu</w:t>
            </w:r>
            <w:r w:rsidR="00D013CB" w:rsidRPr="00451F5C">
              <w:rPr>
                <w:rFonts w:ascii="Times New Roman" w:hAnsi="Times New Roman" w:cs="Times New Roman"/>
                <w:sz w:val="24"/>
                <w:szCs w:val="24"/>
              </w:rPr>
              <w:t xml:space="preserve"> un </w:t>
            </w:r>
            <w:r w:rsidR="00E772C6" w:rsidRPr="00451F5C">
              <w:rPr>
                <w:rFonts w:ascii="Times New Roman" w:hAnsi="Times New Roman" w:cs="Times New Roman"/>
                <w:sz w:val="24"/>
                <w:szCs w:val="24"/>
              </w:rPr>
              <w:t>apstrādi</w:t>
            </w:r>
            <w:r w:rsidR="00724D42" w:rsidRPr="00451F5C">
              <w:rPr>
                <w:rFonts w:ascii="Times New Roman" w:hAnsi="Times New Roman" w:cs="Times New Roman"/>
                <w:sz w:val="24"/>
                <w:szCs w:val="24"/>
              </w:rPr>
              <w:t>,</w:t>
            </w:r>
            <w:r w:rsidR="00D013CB" w:rsidRPr="00451F5C">
              <w:rPr>
                <w:rFonts w:ascii="Times New Roman" w:hAnsi="Times New Roman" w:cs="Times New Roman"/>
                <w:sz w:val="24"/>
                <w:szCs w:val="24"/>
              </w:rPr>
              <w:t xml:space="preserve"> atbilstoši </w:t>
            </w:r>
            <w:r w:rsidR="00C33A80" w:rsidRPr="00451F5C">
              <w:rPr>
                <w:rFonts w:ascii="Times New Roman" w:hAnsi="Times New Roman" w:cs="Times New Roman"/>
                <w:sz w:val="24"/>
                <w:szCs w:val="24"/>
              </w:rPr>
              <w:t xml:space="preserve">Eiropas Parlamenta un Padomes Regulā (ES) 2016/679 </w:t>
            </w:r>
            <w:r w:rsidR="003821D6">
              <w:rPr>
                <w:rFonts w:ascii="Times New Roman" w:hAnsi="Times New Roman" w:cs="Times New Roman"/>
                <w:sz w:val="24"/>
                <w:szCs w:val="24"/>
              </w:rPr>
              <w:t>“</w:t>
            </w:r>
            <w:r w:rsidR="00C33A80" w:rsidRPr="00451F5C">
              <w:rPr>
                <w:rFonts w:ascii="Times New Roman" w:hAnsi="Times New Roman" w:cs="Times New Roman"/>
                <w:sz w:val="24"/>
                <w:szCs w:val="24"/>
              </w:rPr>
              <w:t>Par fizisku personu datu aizsardzību attiecībā uz personas datu apstrādi un šādu datu brīvu apriti un ar ko atceļ Direktīvu 95/46/EK (Vispārīgā datu aizsardzības regula)</w:t>
            </w:r>
            <w:r w:rsidR="003821D6">
              <w:rPr>
                <w:rFonts w:ascii="Times New Roman" w:hAnsi="Times New Roman" w:cs="Times New Roman"/>
                <w:sz w:val="24"/>
                <w:szCs w:val="24"/>
              </w:rPr>
              <w:t>” prasībām</w:t>
            </w:r>
            <w:r w:rsidR="00D013CB" w:rsidRPr="00451F5C">
              <w:rPr>
                <w:rFonts w:ascii="Times New Roman" w:hAnsi="Times New Roman" w:cs="Times New Roman"/>
                <w:sz w:val="24"/>
                <w:szCs w:val="24"/>
              </w:rPr>
              <w:t>.</w:t>
            </w:r>
            <w:r w:rsidR="00C33A80" w:rsidRPr="00451F5C">
              <w:rPr>
                <w:rFonts w:ascii="Times New Roman" w:hAnsi="Times New Roman" w:cs="Times New Roman"/>
                <w:sz w:val="24"/>
                <w:szCs w:val="24"/>
              </w:rPr>
              <w:t xml:space="preserve"> </w:t>
            </w:r>
            <w:r w:rsidR="009566AE" w:rsidRPr="00451F5C">
              <w:rPr>
                <w:rFonts w:ascii="Times New Roman" w:hAnsi="Times New Roman" w:cs="Times New Roman"/>
                <w:sz w:val="24"/>
                <w:szCs w:val="24"/>
              </w:rPr>
              <w:t xml:space="preserve">Jāņem vērā tas, ka </w:t>
            </w:r>
            <w:r w:rsidR="0080771B" w:rsidRPr="00451F5C">
              <w:rPr>
                <w:rFonts w:ascii="Times New Roman" w:hAnsi="Times New Roman" w:cs="Times New Roman"/>
                <w:sz w:val="24"/>
                <w:szCs w:val="24"/>
              </w:rPr>
              <w:t xml:space="preserve">jau </w:t>
            </w:r>
            <w:r w:rsidR="009566AE" w:rsidRPr="00451F5C">
              <w:rPr>
                <w:rFonts w:ascii="Times New Roman" w:hAnsi="Times New Roman" w:cs="Times New Roman"/>
                <w:sz w:val="24"/>
                <w:szCs w:val="24"/>
              </w:rPr>
              <w:t xml:space="preserve">šobrīd </w:t>
            </w:r>
            <w:r w:rsidR="0080771B" w:rsidRPr="00451F5C">
              <w:rPr>
                <w:rFonts w:ascii="Times New Roman" w:hAnsi="Times New Roman" w:cs="Times New Roman"/>
                <w:sz w:val="24"/>
                <w:szCs w:val="24"/>
              </w:rPr>
              <w:t xml:space="preserve">NILLTFNL 37.panta otrā daļa paredz to, ka visu klienta izpētes ietvaros gūto informāciju NILLTFNL subjekts glabā </w:t>
            </w:r>
            <w:r w:rsidR="003821D6">
              <w:rPr>
                <w:rFonts w:ascii="Times New Roman" w:hAnsi="Times New Roman" w:cs="Times New Roman"/>
                <w:sz w:val="24"/>
                <w:szCs w:val="24"/>
              </w:rPr>
              <w:t>piecus</w:t>
            </w:r>
            <w:r w:rsidR="0080771B" w:rsidRPr="00451F5C">
              <w:rPr>
                <w:rFonts w:ascii="Times New Roman" w:hAnsi="Times New Roman" w:cs="Times New Roman"/>
                <w:sz w:val="24"/>
                <w:szCs w:val="24"/>
              </w:rPr>
              <w:t xml:space="preserve"> gadus un papildu </w:t>
            </w:r>
            <w:r w:rsidR="003821D6">
              <w:rPr>
                <w:rFonts w:ascii="Times New Roman" w:hAnsi="Times New Roman" w:cs="Times New Roman"/>
                <w:sz w:val="24"/>
                <w:szCs w:val="24"/>
              </w:rPr>
              <w:t>piecus</w:t>
            </w:r>
            <w:r w:rsidR="0080771B" w:rsidRPr="00451F5C">
              <w:rPr>
                <w:rFonts w:ascii="Times New Roman" w:hAnsi="Times New Roman" w:cs="Times New Roman"/>
                <w:sz w:val="24"/>
                <w:szCs w:val="24"/>
              </w:rPr>
              <w:t xml:space="preserve"> gadus</w:t>
            </w:r>
            <w:r w:rsidR="003821D6">
              <w:rPr>
                <w:rFonts w:ascii="Times New Roman" w:hAnsi="Times New Roman" w:cs="Times New Roman"/>
                <w:sz w:val="24"/>
                <w:szCs w:val="24"/>
              </w:rPr>
              <w:t>,</w:t>
            </w:r>
            <w:r w:rsidR="0080771B" w:rsidRPr="00451F5C">
              <w:rPr>
                <w:rFonts w:ascii="Times New Roman" w:hAnsi="Times New Roman" w:cs="Times New Roman"/>
                <w:sz w:val="24"/>
                <w:szCs w:val="24"/>
              </w:rPr>
              <w:t xml:space="preserve"> kā minēts NILLTFNL 37.panta treš</w:t>
            </w:r>
            <w:r w:rsidR="003821D6">
              <w:rPr>
                <w:rFonts w:ascii="Times New Roman" w:hAnsi="Times New Roman" w:cs="Times New Roman"/>
                <w:sz w:val="24"/>
                <w:szCs w:val="24"/>
              </w:rPr>
              <w:t>aj</w:t>
            </w:r>
            <w:r w:rsidR="0080771B" w:rsidRPr="00451F5C">
              <w:rPr>
                <w:rFonts w:ascii="Times New Roman" w:hAnsi="Times New Roman" w:cs="Times New Roman"/>
                <w:sz w:val="24"/>
                <w:szCs w:val="24"/>
              </w:rPr>
              <w:t>ā daļ</w:t>
            </w:r>
            <w:r w:rsidR="003821D6">
              <w:rPr>
                <w:rFonts w:ascii="Times New Roman" w:hAnsi="Times New Roman" w:cs="Times New Roman"/>
                <w:sz w:val="24"/>
                <w:szCs w:val="24"/>
              </w:rPr>
              <w:t>ā</w:t>
            </w:r>
            <w:r w:rsidR="0080771B" w:rsidRPr="00451F5C">
              <w:rPr>
                <w:rFonts w:ascii="Times New Roman" w:hAnsi="Times New Roman" w:cs="Times New Roman"/>
                <w:sz w:val="24"/>
                <w:szCs w:val="24"/>
              </w:rPr>
              <w:t>.</w:t>
            </w:r>
            <w:r w:rsidR="00AA5E24" w:rsidRPr="00451F5C">
              <w:rPr>
                <w:rFonts w:ascii="Times New Roman" w:hAnsi="Times New Roman" w:cs="Times New Roman"/>
                <w:sz w:val="24"/>
                <w:szCs w:val="24"/>
              </w:rPr>
              <w:t xml:space="preserve"> Līdz ar to, datu glabāšanas samērīgums šeit nav vērtējams</w:t>
            </w:r>
            <w:r w:rsidR="00A73DBE" w:rsidRPr="00451F5C">
              <w:rPr>
                <w:rFonts w:ascii="Times New Roman" w:hAnsi="Times New Roman" w:cs="Times New Roman"/>
                <w:sz w:val="24"/>
                <w:szCs w:val="24"/>
              </w:rPr>
              <w:t>, ja likums jau ir noteicis par pienākumu noteiktu laiku glabāt iegūto informāciju.</w:t>
            </w:r>
          </w:p>
          <w:p w:rsidR="0093372C" w:rsidRDefault="00307EDD" w:rsidP="0093372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Šobrīd esošais NILLTFNL 41.pants </w:t>
            </w:r>
            <w:r w:rsidR="002D4536" w:rsidRPr="00451F5C">
              <w:rPr>
                <w:rFonts w:ascii="Times New Roman" w:hAnsi="Times New Roman" w:cs="Times New Roman"/>
                <w:sz w:val="24"/>
                <w:szCs w:val="24"/>
              </w:rPr>
              <w:t xml:space="preserve">nosaka likuma prasību izpildei nepieciešamās informācijas pieejamību kredītiestādēm un apdrošināšanas komersantiem, ciktāl tie veic dzīvības apdrošināšanas vai citas ar līdzekļu </w:t>
            </w:r>
            <w:r w:rsidR="002D4536" w:rsidRPr="00451F5C">
              <w:rPr>
                <w:rFonts w:ascii="Times New Roman" w:hAnsi="Times New Roman" w:cs="Times New Roman"/>
                <w:sz w:val="24"/>
                <w:szCs w:val="24"/>
              </w:rPr>
              <w:lastRenderedPageBreak/>
              <w:t xml:space="preserve">uzkrāšanu saistītās apdrošināšanas darbības, saņemot bezmaksas informāciju no  Valsts ieņēmumu reģistra, Nederīgo dokumentu reģistra, Sodu reģistra, Valsts vienotās datorizētās zemesgrāmatas, Transportlīdzekļu </w:t>
            </w:r>
            <w:r w:rsidR="008139E0" w:rsidRPr="00451F5C">
              <w:rPr>
                <w:rFonts w:ascii="Times New Roman" w:hAnsi="Times New Roman" w:cs="Times New Roman"/>
                <w:sz w:val="24"/>
                <w:szCs w:val="24"/>
              </w:rPr>
              <w:t>un to vadītāju</w:t>
            </w:r>
            <w:r w:rsidR="00F6617B" w:rsidRPr="00451F5C">
              <w:rPr>
                <w:rFonts w:ascii="Times New Roman" w:hAnsi="Times New Roman" w:cs="Times New Roman"/>
                <w:sz w:val="24"/>
                <w:szCs w:val="24"/>
              </w:rPr>
              <w:t xml:space="preserve"> valsts reģistra</w:t>
            </w:r>
            <w:r w:rsidR="000E3989" w:rsidRPr="00451F5C">
              <w:rPr>
                <w:rFonts w:ascii="Times New Roman" w:hAnsi="Times New Roman" w:cs="Times New Roman"/>
                <w:sz w:val="24"/>
                <w:szCs w:val="24"/>
              </w:rPr>
              <w:t>,</w:t>
            </w:r>
            <w:r w:rsidR="00F6617B" w:rsidRPr="00451F5C">
              <w:rPr>
                <w:rFonts w:ascii="Times New Roman" w:hAnsi="Times New Roman" w:cs="Times New Roman"/>
                <w:sz w:val="24"/>
                <w:szCs w:val="24"/>
              </w:rPr>
              <w:t xml:space="preserve"> Iedzīvotāju reģistra</w:t>
            </w:r>
            <w:r w:rsidR="003821D6">
              <w:rPr>
                <w:rFonts w:ascii="Times New Roman" w:hAnsi="Times New Roman" w:cs="Times New Roman"/>
                <w:sz w:val="24"/>
                <w:szCs w:val="24"/>
              </w:rPr>
              <w:t>,</w:t>
            </w:r>
            <w:r w:rsidR="000E3989" w:rsidRPr="00451F5C">
              <w:rPr>
                <w:rFonts w:ascii="Times New Roman" w:hAnsi="Times New Roman" w:cs="Times New Roman"/>
                <w:sz w:val="24"/>
                <w:szCs w:val="24"/>
              </w:rPr>
              <w:t xml:space="preserve"> </w:t>
            </w:r>
            <w:r w:rsidR="00B905FD" w:rsidRPr="00451F5C">
              <w:rPr>
                <w:rFonts w:ascii="Times New Roman" w:hAnsi="Times New Roman" w:cs="Times New Roman"/>
                <w:sz w:val="24"/>
                <w:szCs w:val="24"/>
              </w:rPr>
              <w:t>kā arī izsniedzamo zi</w:t>
            </w:r>
            <w:r w:rsidR="00F00E61" w:rsidRPr="00451F5C">
              <w:rPr>
                <w:rFonts w:ascii="Times New Roman" w:hAnsi="Times New Roman" w:cs="Times New Roman"/>
                <w:sz w:val="24"/>
                <w:szCs w:val="24"/>
              </w:rPr>
              <w:t>ņu apjomu. P</w:t>
            </w:r>
            <w:r w:rsidR="00B905FD" w:rsidRPr="00451F5C">
              <w:rPr>
                <w:rFonts w:ascii="Times New Roman" w:hAnsi="Times New Roman" w:cs="Times New Roman"/>
                <w:sz w:val="24"/>
                <w:szCs w:val="24"/>
              </w:rPr>
              <w:t xml:space="preserve">ārējiem NILLTFNL subjektiem ietvertais informācijas apjoms </w:t>
            </w:r>
            <w:r w:rsidR="00F00E61" w:rsidRPr="00451F5C">
              <w:rPr>
                <w:rFonts w:ascii="Times New Roman" w:hAnsi="Times New Roman" w:cs="Times New Roman"/>
                <w:sz w:val="24"/>
                <w:szCs w:val="24"/>
              </w:rPr>
              <w:t xml:space="preserve">41.panta otrajā daļā </w:t>
            </w:r>
            <w:r w:rsidR="00B905FD" w:rsidRPr="00451F5C">
              <w:rPr>
                <w:rFonts w:ascii="Times New Roman" w:hAnsi="Times New Roman" w:cs="Times New Roman"/>
                <w:sz w:val="24"/>
                <w:szCs w:val="24"/>
              </w:rPr>
              <w:t xml:space="preserve">no </w:t>
            </w:r>
            <w:r w:rsidR="00F00E61" w:rsidRPr="00451F5C">
              <w:rPr>
                <w:rFonts w:ascii="Times New Roman" w:hAnsi="Times New Roman" w:cs="Times New Roman"/>
                <w:sz w:val="24"/>
                <w:szCs w:val="24"/>
              </w:rPr>
              <w:t xml:space="preserve">iepriekš </w:t>
            </w:r>
            <w:r w:rsidR="00B905FD" w:rsidRPr="00451F5C">
              <w:rPr>
                <w:rFonts w:ascii="Times New Roman" w:hAnsi="Times New Roman" w:cs="Times New Roman"/>
                <w:sz w:val="24"/>
                <w:szCs w:val="24"/>
              </w:rPr>
              <w:t xml:space="preserve">minētajām </w:t>
            </w:r>
            <w:r w:rsidR="00F00E61" w:rsidRPr="00451F5C">
              <w:rPr>
                <w:rFonts w:ascii="Times New Roman" w:hAnsi="Times New Roman" w:cs="Times New Roman"/>
                <w:sz w:val="24"/>
                <w:szCs w:val="24"/>
              </w:rPr>
              <w:t xml:space="preserve">informācijas sistēmām tiek </w:t>
            </w:r>
            <w:r w:rsidR="009A5E1F" w:rsidRPr="00451F5C">
              <w:rPr>
                <w:rFonts w:ascii="Times New Roman" w:hAnsi="Times New Roman" w:cs="Times New Roman"/>
                <w:sz w:val="24"/>
                <w:szCs w:val="24"/>
              </w:rPr>
              <w:t>sniegts</w:t>
            </w:r>
            <w:r w:rsidR="00F00E61" w:rsidRPr="00451F5C">
              <w:rPr>
                <w:rFonts w:ascii="Times New Roman" w:hAnsi="Times New Roman" w:cs="Times New Roman"/>
                <w:sz w:val="24"/>
                <w:szCs w:val="24"/>
              </w:rPr>
              <w:t xml:space="preserve"> par maksu. Ņemot vērā AML IV un AML V direktīvas ietvaru </w:t>
            </w:r>
            <w:r w:rsidR="00047B7E" w:rsidRPr="00451F5C">
              <w:rPr>
                <w:rFonts w:ascii="Times New Roman" w:hAnsi="Times New Roman" w:cs="Times New Roman"/>
                <w:sz w:val="24"/>
                <w:szCs w:val="24"/>
              </w:rPr>
              <w:t>(skatīt AML IV direktīvas 30.panta 5.punkta trešo daļu, AML V direktīvas 1.panta 15.punkt</w:t>
            </w:r>
            <w:r w:rsidR="003821D6">
              <w:rPr>
                <w:rFonts w:ascii="Times New Roman" w:hAnsi="Times New Roman" w:cs="Times New Roman"/>
                <w:sz w:val="24"/>
                <w:szCs w:val="24"/>
              </w:rPr>
              <w:t>a</w:t>
            </w:r>
            <w:r w:rsidR="00047B7E" w:rsidRPr="00451F5C">
              <w:rPr>
                <w:rFonts w:ascii="Times New Roman" w:hAnsi="Times New Roman" w:cs="Times New Roman"/>
                <w:sz w:val="24"/>
                <w:szCs w:val="24"/>
              </w:rPr>
              <w:t xml:space="preserve"> d) apakšpunkt</w:t>
            </w:r>
            <w:r w:rsidR="003821D6">
              <w:rPr>
                <w:rFonts w:ascii="Times New Roman" w:hAnsi="Times New Roman" w:cs="Times New Roman"/>
                <w:sz w:val="24"/>
                <w:szCs w:val="24"/>
              </w:rPr>
              <w:t>u</w:t>
            </w:r>
            <w:r w:rsidR="00047B7E" w:rsidRPr="00451F5C">
              <w:rPr>
                <w:rFonts w:ascii="Times New Roman" w:hAnsi="Times New Roman" w:cs="Times New Roman"/>
                <w:sz w:val="24"/>
                <w:szCs w:val="24"/>
              </w:rPr>
              <w:t>,</w:t>
            </w:r>
            <w:r w:rsidR="009A5E1F" w:rsidRPr="00451F5C">
              <w:rPr>
                <w:rFonts w:ascii="Times New Roman" w:hAnsi="Times New Roman" w:cs="Times New Roman"/>
                <w:sz w:val="24"/>
                <w:szCs w:val="24"/>
              </w:rPr>
              <w:t xml:space="preserve"> AMLV direktīvas</w:t>
            </w:r>
            <w:r w:rsidR="00A1002C" w:rsidRPr="00451F5C">
              <w:rPr>
                <w:rFonts w:ascii="Times New Roman" w:hAnsi="Times New Roman" w:cs="Times New Roman"/>
                <w:sz w:val="24"/>
                <w:szCs w:val="24"/>
              </w:rPr>
              <w:t xml:space="preserve"> 1.panta 16.punkt</w:t>
            </w:r>
            <w:r w:rsidR="003821D6">
              <w:rPr>
                <w:rFonts w:ascii="Times New Roman" w:hAnsi="Times New Roman" w:cs="Times New Roman"/>
                <w:sz w:val="24"/>
                <w:szCs w:val="24"/>
              </w:rPr>
              <w:t>a</w:t>
            </w:r>
            <w:r w:rsidR="00A1002C" w:rsidRPr="00451F5C">
              <w:rPr>
                <w:rFonts w:ascii="Times New Roman" w:hAnsi="Times New Roman" w:cs="Times New Roman"/>
                <w:sz w:val="24"/>
                <w:szCs w:val="24"/>
              </w:rPr>
              <w:t xml:space="preserve"> e) apakšpunkt</w:t>
            </w:r>
            <w:r w:rsidR="003821D6">
              <w:rPr>
                <w:rFonts w:ascii="Times New Roman" w:hAnsi="Times New Roman" w:cs="Times New Roman"/>
                <w:sz w:val="24"/>
                <w:szCs w:val="24"/>
              </w:rPr>
              <w:t>u</w:t>
            </w:r>
            <w:r w:rsidR="00047B7E" w:rsidRPr="00451F5C">
              <w:rPr>
                <w:rFonts w:ascii="Times New Roman" w:hAnsi="Times New Roman" w:cs="Times New Roman"/>
                <w:sz w:val="24"/>
                <w:szCs w:val="24"/>
              </w:rPr>
              <w:t xml:space="preserve">) </w:t>
            </w:r>
            <w:r w:rsidR="00F00E61" w:rsidRPr="00451F5C">
              <w:rPr>
                <w:rFonts w:ascii="Times New Roman" w:hAnsi="Times New Roman" w:cs="Times New Roman"/>
                <w:sz w:val="24"/>
                <w:szCs w:val="24"/>
              </w:rPr>
              <w:t xml:space="preserve">par informācijas </w:t>
            </w:r>
            <w:r w:rsidR="00047B7E" w:rsidRPr="00451F5C">
              <w:rPr>
                <w:rFonts w:ascii="Times New Roman" w:hAnsi="Times New Roman" w:cs="Times New Roman"/>
                <w:sz w:val="24"/>
                <w:szCs w:val="24"/>
              </w:rPr>
              <w:t>sniegšanu par maksu, kas nepārsniedz informācijas pieejamības nodrošināšanai nepieciešamās administratīvās izmaksas</w:t>
            </w:r>
            <w:r w:rsidR="00C91632" w:rsidRPr="00451F5C">
              <w:rPr>
                <w:rFonts w:ascii="Times New Roman" w:hAnsi="Times New Roman" w:cs="Times New Roman"/>
                <w:sz w:val="24"/>
                <w:szCs w:val="24"/>
              </w:rPr>
              <w:t>, tostarp</w:t>
            </w:r>
            <w:r w:rsidR="003821D6">
              <w:rPr>
                <w:rFonts w:ascii="Times New Roman" w:hAnsi="Times New Roman" w:cs="Times New Roman"/>
                <w:sz w:val="24"/>
                <w:szCs w:val="24"/>
              </w:rPr>
              <w:t>,</w:t>
            </w:r>
            <w:r w:rsidR="00C91632" w:rsidRPr="00451F5C">
              <w:rPr>
                <w:rFonts w:ascii="Times New Roman" w:hAnsi="Times New Roman" w:cs="Times New Roman"/>
                <w:sz w:val="24"/>
                <w:szCs w:val="24"/>
              </w:rPr>
              <w:t xml:space="preserve"> informācijas sistēmas uzturēšanas un pilnveido</w:t>
            </w:r>
            <w:r w:rsidR="009A5E1F" w:rsidRPr="00451F5C">
              <w:rPr>
                <w:rFonts w:ascii="Times New Roman" w:hAnsi="Times New Roman" w:cs="Times New Roman"/>
                <w:sz w:val="24"/>
                <w:szCs w:val="24"/>
              </w:rPr>
              <w:t>šanas izmaksas, tiek attiecīgi veikti likuma grozījumi (</w:t>
            </w:r>
            <w:r w:rsidR="00006CA4" w:rsidRPr="00451F5C">
              <w:rPr>
                <w:rFonts w:ascii="Times New Roman" w:hAnsi="Times New Roman" w:cs="Times New Roman"/>
                <w:sz w:val="24"/>
                <w:szCs w:val="24"/>
              </w:rPr>
              <w:t xml:space="preserve">likumprojektā ietvertā </w:t>
            </w:r>
            <w:r w:rsidR="009A5E1F" w:rsidRPr="00451F5C">
              <w:rPr>
                <w:rFonts w:ascii="Times New Roman" w:hAnsi="Times New Roman" w:cs="Times New Roman"/>
                <w:sz w:val="24"/>
                <w:szCs w:val="24"/>
              </w:rPr>
              <w:t>NILLTFNL 5.</w:t>
            </w:r>
            <w:r w:rsidR="009A5E1F" w:rsidRPr="00451F5C">
              <w:rPr>
                <w:rFonts w:ascii="Times New Roman" w:hAnsi="Times New Roman" w:cs="Times New Roman"/>
                <w:sz w:val="24"/>
                <w:szCs w:val="24"/>
                <w:vertAlign w:val="superscript"/>
              </w:rPr>
              <w:t>1</w:t>
            </w:r>
            <w:r w:rsidR="009A5E1F" w:rsidRPr="00451F5C">
              <w:rPr>
                <w:rFonts w:ascii="Times New Roman" w:hAnsi="Times New Roman" w:cs="Times New Roman"/>
                <w:sz w:val="24"/>
                <w:szCs w:val="24"/>
              </w:rPr>
              <w:t xml:space="preserve"> panta otrā daļa).</w:t>
            </w:r>
          </w:p>
          <w:p w:rsidR="00D013CB" w:rsidRPr="00451F5C" w:rsidRDefault="00D013CB" w:rsidP="0093372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NILLTFNL subjekts</w:t>
            </w:r>
            <w:r w:rsidR="00604078" w:rsidRPr="00451F5C">
              <w:rPr>
                <w:rFonts w:ascii="Times New Roman" w:hAnsi="Times New Roman" w:cs="Times New Roman"/>
                <w:sz w:val="24"/>
                <w:szCs w:val="24"/>
              </w:rPr>
              <w:t>, kā arī uzraudzības un kontroles institūcijas ir atbildīgi</w:t>
            </w:r>
            <w:r w:rsidRPr="00451F5C">
              <w:rPr>
                <w:rFonts w:ascii="Times New Roman" w:hAnsi="Times New Roman" w:cs="Times New Roman"/>
                <w:sz w:val="24"/>
                <w:szCs w:val="24"/>
              </w:rPr>
              <w:t xml:space="preserve"> par Latvijas Republikas informācijas si</w:t>
            </w:r>
            <w:r w:rsidR="00272675" w:rsidRPr="00451F5C">
              <w:rPr>
                <w:rFonts w:ascii="Times New Roman" w:hAnsi="Times New Roman" w:cs="Times New Roman"/>
                <w:sz w:val="24"/>
                <w:szCs w:val="24"/>
              </w:rPr>
              <w:t>s</w:t>
            </w:r>
            <w:r w:rsidRPr="00451F5C">
              <w:rPr>
                <w:rFonts w:ascii="Times New Roman" w:hAnsi="Times New Roman" w:cs="Times New Roman"/>
                <w:sz w:val="24"/>
                <w:szCs w:val="24"/>
              </w:rPr>
              <w:t>tēmu izmantošanu</w:t>
            </w:r>
            <w:r w:rsidR="00006CA4" w:rsidRPr="00451F5C">
              <w:rPr>
                <w:rFonts w:ascii="Times New Roman" w:hAnsi="Times New Roman" w:cs="Times New Roman"/>
                <w:sz w:val="24"/>
                <w:szCs w:val="24"/>
              </w:rPr>
              <w:t xml:space="preserve"> (likumprojektā ietvertā NILLTFNL 5.</w:t>
            </w:r>
            <w:r w:rsidR="00006CA4" w:rsidRPr="00451F5C">
              <w:rPr>
                <w:rFonts w:ascii="Times New Roman" w:hAnsi="Times New Roman" w:cs="Times New Roman"/>
                <w:sz w:val="24"/>
                <w:szCs w:val="24"/>
                <w:vertAlign w:val="superscript"/>
              </w:rPr>
              <w:t>1</w:t>
            </w:r>
            <w:r w:rsidR="00006CA4" w:rsidRPr="00451F5C">
              <w:rPr>
                <w:rFonts w:ascii="Times New Roman" w:hAnsi="Times New Roman" w:cs="Times New Roman"/>
                <w:sz w:val="24"/>
                <w:szCs w:val="24"/>
              </w:rPr>
              <w:t xml:space="preserve"> panta trešā daļa)</w:t>
            </w:r>
            <w:r w:rsidRPr="00451F5C">
              <w:rPr>
                <w:rFonts w:ascii="Times New Roman" w:hAnsi="Times New Roman" w:cs="Times New Roman"/>
                <w:sz w:val="24"/>
                <w:szCs w:val="24"/>
              </w:rPr>
              <w:t xml:space="preserve"> </w:t>
            </w:r>
            <w:r w:rsidR="003821D6">
              <w:rPr>
                <w:rFonts w:ascii="Times New Roman" w:hAnsi="Times New Roman" w:cs="Times New Roman"/>
                <w:sz w:val="24"/>
                <w:szCs w:val="24"/>
              </w:rPr>
              <w:t xml:space="preserve">tikai NILLTFNL noteiktajiem mērķiem, </w:t>
            </w:r>
            <w:r w:rsidRPr="00451F5C">
              <w:rPr>
                <w:rFonts w:ascii="Times New Roman" w:hAnsi="Times New Roman" w:cs="Times New Roman"/>
                <w:sz w:val="24"/>
                <w:szCs w:val="24"/>
              </w:rPr>
              <w:t xml:space="preserve">un, lai novērstu gadījumus, kad attiecīgās Latvijas Republikas informācijas sistēmas tiek </w:t>
            </w:r>
            <w:r w:rsidR="00272675" w:rsidRPr="00451F5C">
              <w:rPr>
                <w:rFonts w:ascii="Times New Roman" w:hAnsi="Times New Roman" w:cs="Times New Roman"/>
                <w:sz w:val="24"/>
                <w:szCs w:val="24"/>
              </w:rPr>
              <w:t>izmantotas</w:t>
            </w:r>
            <w:r w:rsidRPr="00451F5C">
              <w:rPr>
                <w:rFonts w:ascii="Times New Roman" w:hAnsi="Times New Roman" w:cs="Times New Roman"/>
                <w:sz w:val="24"/>
                <w:szCs w:val="24"/>
              </w:rPr>
              <w:t xml:space="preserve"> NILLTFNL neparedzētiem mērķiem</w:t>
            </w:r>
            <w:r w:rsidR="003821D6">
              <w:rPr>
                <w:rFonts w:ascii="Times New Roman" w:hAnsi="Times New Roman" w:cs="Times New Roman"/>
                <w:sz w:val="24"/>
                <w:szCs w:val="24"/>
              </w:rPr>
              <w:t>,</w:t>
            </w:r>
            <w:r w:rsidRPr="00451F5C">
              <w:rPr>
                <w:rFonts w:ascii="Times New Roman" w:hAnsi="Times New Roman" w:cs="Times New Roman"/>
                <w:sz w:val="24"/>
                <w:szCs w:val="24"/>
              </w:rPr>
              <w:t xml:space="preserve"> NILLTFNL </w:t>
            </w:r>
            <w:r w:rsidR="00604078" w:rsidRPr="00451F5C">
              <w:rPr>
                <w:rFonts w:ascii="Times New Roman" w:hAnsi="Times New Roman" w:cs="Times New Roman"/>
                <w:sz w:val="24"/>
                <w:szCs w:val="24"/>
              </w:rPr>
              <w:t>subjekta un uzraudzības un kontroles institūcijām ir</w:t>
            </w:r>
            <w:r w:rsidR="00272675"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pienākums </w:t>
            </w:r>
            <w:r w:rsidR="00FB31A4" w:rsidRPr="00451F5C">
              <w:rPr>
                <w:rFonts w:ascii="Times New Roman" w:hAnsi="Times New Roman" w:cs="Times New Roman"/>
                <w:sz w:val="24"/>
                <w:szCs w:val="24"/>
              </w:rPr>
              <w:t>dokumentēt veikto pieprasījuma un saņemtās informācijas</w:t>
            </w:r>
            <w:r w:rsidRPr="00451F5C">
              <w:rPr>
                <w:rFonts w:ascii="Times New Roman" w:hAnsi="Times New Roman" w:cs="Times New Roman"/>
                <w:sz w:val="24"/>
                <w:szCs w:val="24"/>
              </w:rPr>
              <w:t xml:space="preserve"> </w:t>
            </w:r>
            <w:r w:rsidR="008041B3" w:rsidRPr="00451F5C">
              <w:rPr>
                <w:rFonts w:ascii="Times New Roman" w:hAnsi="Times New Roman" w:cs="Times New Roman"/>
                <w:sz w:val="24"/>
                <w:szCs w:val="24"/>
              </w:rPr>
              <w:t>faktu</w:t>
            </w:r>
            <w:r w:rsidR="00006CA4" w:rsidRPr="00451F5C">
              <w:rPr>
                <w:rFonts w:ascii="Times New Roman" w:hAnsi="Times New Roman" w:cs="Times New Roman"/>
                <w:sz w:val="24"/>
                <w:szCs w:val="24"/>
              </w:rPr>
              <w:t xml:space="preserve"> (likumprojektā ietvertā NILLTFNL 5.</w:t>
            </w:r>
            <w:r w:rsidR="00006CA4" w:rsidRPr="00451F5C">
              <w:rPr>
                <w:rFonts w:ascii="Times New Roman" w:hAnsi="Times New Roman" w:cs="Times New Roman"/>
                <w:sz w:val="24"/>
                <w:szCs w:val="24"/>
                <w:vertAlign w:val="superscript"/>
              </w:rPr>
              <w:t>1</w:t>
            </w:r>
            <w:r w:rsidR="00006CA4" w:rsidRPr="00451F5C">
              <w:rPr>
                <w:rFonts w:ascii="Times New Roman" w:hAnsi="Times New Roman" w:cs="Times New Roman"/>
                <w:sz w:val="24"/>
                <w:szCs w:val="24"/>
              </w:rPr>
              <w:t xml:space="preserve"> panta ceturtā daļa)</w:t>
            </w:r>
            <w:r w:rsidRPr="00451F5C">
              <w:rPr>
                <w:rFonts w:ascii="Times New Roman" w:hAnsi="Times New Roman" w:cs="Times New Roman"/>
                <w:sz w:val="24"/>
                <w:szCs w:val="24"/>
              </w:rPr>
              <w:t>.</w:t>
            </w:r>
            <w:r w:rsidR="008041B3" w:rsidRPr="00451F5C">
              <w:rPr>
                <w:rFonts w:ascii="Times New Roman" w:hAnsi="Times New Roman" w:cs="Times New Roman"/>
                <w:sz w:val="24"/>
                <w:szCs w:val="24"/>
              </w:rPr>
              <w:t xml:space="preserve"> </w:t>
            </w:r>
            <w:r w:rsidR="0093372C">
              <w:rPr>
                <w:rFonts w:ascii="Times New Roman" w:hAnsi="Times New Roman" w:cs="Times New Roman"/>
                <w:sz w:val="24"/>
                <w:szCs w:val="24"/>
              </w:rPr>
              <w:t>NILLTFNL subjektam j</w:t>
            </w:r>
            <w:r w:rsidR="008041B3" w:rsidRPr="00451F5C">
              <w:rPr>
                <w:rFonts w:ascii="Times New Roman" w:hAnsi="Times New Roman" w:cs="Times New Roman"/>
                <w:sz w:val="24"/>
                <w:szCs w:val="24"/>
              </w:rPr>
              <w:t>aunas datu apstrādes reģistrs nav jāveido, ir pietiekami, ja tiek glabāta izdruka klienta lietā vai citos ar lietvedības iekšējo noteikumu</w:t>
            </w:r>
            <w:r w:rsidR="003821D6">
              <w:rPr>
                <w:rFonts w:ascii="Times New Roman" w:hAnsi="Times New Roman" w:cs="Times New Roman"/>
                <w:sz w:val="24"/>
                <w:szCs w:val="24"/>
              </w:rPr>
              <w:t xml:space="preserve"> prasībām </w:t>
            </w:r>
            <w:r w:rsidR="008041B3" w:rsidRPr="00451F5C">
              <w:rPr>
                <w:rFonts w:ascii="Times New Roman" w:hAnsi="Times New Roman" w:cs="Times New Roman"/>
                <w:sz w:val="24"/>
                <w:szCs w:val="24"/>
              </w:rPr>
              <w:t>noteiktās vietās.</w:t>
            </w:r>
          </w:p>
          <w:p w:rsidR="00D013CB" w:rsidRPr="00451F5C" w:rsidRDefault="00D013CB" w:rsidP="00C31C47">
            <w:pPr>
              <w:spacing w:after="0" w:line="240" w:lineRule="auto"/>
              <w:jc w:val="both"/>
              <w:rPr>
                <w:rFonts w:ascii="Times New Roman" w:hAnsi="Times New Roman" w:cs="Times New Roman"/>
                <w:sz w:val="24"/>
                <w:szCs w:val="24"/>
              </w:rPr>
            </w:pPr>
          </w:p>
          <w:p w:rsidR="000503C2" w:rsidRPr="000A2342" w:rsidRDefault="000503C2" w:rsidP="000A2342">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8</w:t>
            </w:r>
            <w:r w:rsidR="000A2342">
              <w:rPr>
                <w:rFonts w:ascii="Times New Roman" w:hAnsi="Times New Roman" w:cs="Times New Roman"/>
                <w:sz w:val="24"/>
                <w:szCs w:val="24"/>
                <w:u w:val="single"/>
              </w:rPr>
              <w:t>.pants:</w:t>
            </w:r>
          </w:p>
          <w:p w:rsidR="00A92434" w:rsidRPr="00451F5C" w:rsidRDefault="00A92434" w:rsidP="000A2342">
            <w:pPr>
              <w:spacing w:after="0" w:line="240" w:lineRule="auto"/>
              <w:ind w:right="54" w:firstLine="391"/>
              <w:jc w:val="both"/>
              <w:rPr>
                <w:rFonts w:ascii="Times New Roman" w:hAnsi="Times New Roman" w:cs="Times New Roman"/>
                <w:sz w:val="24"/>
                <w:szCs w:val="24"/>
              </w:rPr>
            </w:pPr>
            <w:r w:rsidRPr="00451F5C">
              <w:rPr>
                <w:rFonts w:ascii="Times New Roman" w:hAnsi="Times New Roman" w:cs="Times New Roman"/>
                <w:sz w:val="24"/>
                <w:szCs w:val="24"/>
              </w:rPr>
              <w:t>AML V direktīvas preambulas 38.punkt</w:t>
            </w:r>
            <w:r w:rsidR="000503C2" w:rsidRPr="00451F5C">
              <w:rPr>
                <w:rFonts w:ascii="Times New Roman" w:hAnsi="Times New Roman" w:cs="Times New Roman"/>
                <w:sz w:val="24"/>
                <w:szCs w:val="24"/>
              </w:rPr>
              <w:t>s nosaka, ka “</w:t>
            </w:r>
            <w:r w:rsidR="00FA53D6" w:rsidRPr="00451F5C">
              <w:rPr>
                <w:rFonts w:ascii="Times New Roman" w:hAnsi="Times New Roman" w:cs="Times New Roman"/>
                <w:sz w:val="24"/>
                <w:szCs w:val="24"/>
              </w:rPr>
              <w:t>Uz personas datu apstrādi saskaņā ar šo direktīvu attiecas Eiropas Parlamenta un Padomes Regula (ES) 2016/679</w:t>
            </w:r>
            <w:r w:rsidR="00FA53D6" w:rsidRPr="00451F5C">
              <w:rPr>
                <w:vertAlign w:val="superscript"/>
              </w:rPr>
              <w:footnoteReference w:id="1"/>
            </w:r>
            <w:r w:rsidR="000503C2" w:rsidRPr="00451F5C">
              <w:rPr>
                <w:rFonts w:ascii="Times New Roman" w:hAnsi="Times New Roman" w:cs="Times New Roman"/>
                <w:sz w:val="24"/>
                <w:szCs w:val="24"/>
              </w:rPr>
              <w:t>.</w:t>
            </w:r>
            <w:r w:rsidR="00FA53D6" w:rsidRPr="00451F5C">
              <w:rPr>
                <w:rFonts w:ascii="Times New Roman" w:hAnsi="Times New Roman" w:cs="Times New Roman"/>
                <w:sz w:val="24"/>
                <w:szCs w:val="24"/>
              </w:rPr>
              <w:t xml:space="preserve"> Līdz ar to būtu attiecīgi jāinformē fiziskas personas, kuru personas dati tiek glabāti valstu reģistros</w:t>
            </w:r>
            <w:r w:rsidR="003821D6">
              <w:rPr>
                <w:rFonts w:ascii="Times New Roman" w:hAnsi="Times New Roman" w:cs="Times New Roman"/>
                <w:sz w:val="24"/>
                <w:szCs w:val="24"/>
              </w:rPr>
              <w:t xml:space="preserve">, piemēram, </w:t>
            </w:r>
            <w:r w:rsidR="00FA53D6" w:rsidRPr="00451F5C">
              <w:rPr>
                <w:rFonts w:ascii="Times New Roman" w:hAnsi="Times New Roman" w:cs="Times New Roman"/>
                <w:sz w:val="24"/>
                <w:szCs w:val="24"/>
              </w:rPr>
              <w:t xml:space="preserve">kā par patiesajiem labuma guvējiem. Turklāt būtu jādara pieejami tikai aktualizēti personas dati, kas atbilst aktuālajiem patiesajam labuma guvējam, un patiesie labuma guvēji būtu jāinformē par viņu tiesībām saskaņā ar pašreizējo Eiropas Savienības tiesisko regulējumu datu aizsardzības jomā, kas noteikts Eiropas Parlamenta un </w:t>
            </w:r>
            <w:r w:rsidR="00FA53D6" w:rsidRPr="00451F5C">
              <w:rPr>
                <w:rFonts w:ascii="Times New Roman" w:hAnsi="Times New Roman" w:cs="Times New Roman"/>
                <w:sz w:val="24"/>
                <w:szCs w:val="24"/>
              </w:rPr>
              <w:lastRenderedPageBreak/>
              <w:t>Padomes Regulā (ES) 2016/679 un</w:t>
            </w:r>
            <w:r w:rsidR="00E55FA2" w:rsidRPr="00451F5C">
              <w:rPr>
                <w:rFonts w:ascii="Times New Roman" w:hAnsi="Times New Roman" w:cs="Times New Roman"/>
                <w:sz w:val="24"/>
                <w:szCs w:val="24"/>
              </w:rPr>
              <w:t xml:space="preserve"> </w:t>
            </w:r>
            <w:r w:rsidR="00FA53D6" w:rsidRPr="00451F5C">
              <w:rPr>
                <w:rFonts w:ascii="Times New Roman" w:hAnsi="Times New Roman" w:cs="Times New Roman"/>
                <w:sz w:val="24"/>
                <w:szCs w:val="24"/>
              </w:rPr>
              <w:t xml:space="preserve">Direktīvā (ES) 2016/680 </w:t>
            </w:r>
            <w:r w:rsidR="00FA53D6" w:rsidRPr="003821D6">
              <w:rPr>
                <w:rFonts w:ascii="Times New Roman" w:hAnsi="Times New Roman" w:cs="Times New Roman"/>
                <w:sz w:val="24"/>
                <w:szCs w:val="24"/>
                <w:vertAlign w:val="superscript"/>
              </w:rPr>
              <w:footnoteReference w:id="2"/>
            </w:r>
            <w:r w:rsidR="00FA53D6" w:rsidRPr="00451F5C">
              <w:rPr>
                <w:rFonts w:ascii="Times New Roman" w:hAnsi="Times New Roman" w:cs="Times New Roman"/>
                <w:sz w:val="24"/>
                <w:szCs w:val="24"/>
              </w:rPr>
              <w:t>, un par procedūrām, kādas piemērojamas minēto tiesību īstenošanai. Turklāt, lai nepieļautu reģistros iekļautās informācijas ļaunprātīgu izmantošanu</w:t>
            </w:r>
            <w:r w:rsidR="00D4280E">
              <w:rPr>
                <w:rFonts w:ascii="Times New Roman" w:hAnsi="Times New Roman" w:cs="Times New Roman"/>
                <w:sz w:val="24"/>
                <w:szCs w:val="24"/>
              </w:rPr>
              <w:t>,</w:t>
            </w:r>
            <w:r w:rsidR="00FA53D6" w:rsidRPr="00451F5C">
              <w:rPr>
                <w:rFonts w:ascii="Times New Roman" w:hAnsi="Times New Roman" w:cs="Times New Roman"/>
                <w:sz w:val="24"/>
                <w:szCs w:val="24"/>
              </w:rPr>
              <w:t xml:space="preserve"> un</w:t>
            </w:r>
            <w:r w:rsidR="00D4280E">
              <w:rPr>
                <w:rFonts w:ascii="Times New Roman" w:hAnsi="Times New Roman" w:cs="Times New Roman"/>
                <w:sz w:val="24"/>
                <w:szCs w:val="24"/>
              </w:rPr>
              <w:t>,</w:t>
            </w:r>
            <w:r w:rsidR="00FA53D6" w:rsidRPr="00451F5C">
              <w:rPr>
                <w:rFonts w:ascii="Times New Roman" w:hAnsi="Times New Roman" w:cs="Times New Roman"/>
                <w:sz w:val="24"/>
                <w:szCs w:val="24"/>
              </w:rPr>
              <w:t xml:space="preserve"> lai līdzsvarotu </w:t>
            </w:r>
            <w:r w:rsidR="00E55FA2" w:rsidRPr="00451F5C">
              <w:rPr>
                <w:rFonts w:ascii="Times New Roman" w:hAnsi="Times New Roman" w:cs="Times New Roman"/>
                <w:sz w:val="24"/>
                <w:szCs w:val="24"/>
              </w:rPr>
              <w:t>patieso labuma guvēju</w:t>
            </w:r>
            <w:r w:rsidR="00FA53D6" w:rsidRPr="00451F5C">
              <w:rPr>
                <w:rFonts w:ascii="Times New Roman" w:hAnsi="Times New Roman" w:cs="Times New Roman"/>
                <w:sz w:val="24"/>
                <w:szCs w:val="24"/>
              </w:rPr>
              <w:t xml:space="preserve"> īpašnieku tiesības, dalībvalstis varētu uzskatīt par atbilstīgu apsvērt, vai faktiskajam īpašniekam darīt zināmu informāciju par personu, kas ir pieprasījusi informāciju, un pieprasījuma juridisko pamatu.</w:t>
            </w:r>
            <w:r w:rsidR="000503C2" w:rsidRPr="00451F5C">
              <w:rPr>
                <w:rFonts w:ascii="Times New Roman" w:hAnsi="Times New Roman" w:cs="Times New Roman"/>
                <w:sz w:val="24"/>
                <w:szCs w:val="24"/>
              </w:rPr>
              <w:t>”</w:t>
            </w:r>
          </w:p>
          <w:p w:rsidR="00D86A56" w:rsidRPr="00451F5C" w:rsidRDefault="00B05A56" w:rsidP="00D86A56">
            <w:pPr>
              <w:pStyle w:val="tv213"/>
              <w:shd w:val="clear" w:color="auto" w:fill="FFFFFF"/>
              <w:spacing w:before="0" w:beforeAutospacing="0" w:after="0" w:afterAutospacing="0"/>
              <w:ind w:firstLine="300"/>
              <w:jc w:val="both"/>
              <w:rPr>
                <w:rFonts w:eastAsiaTheme="minorHAnsi"/>
                <w:lang w:eastAsia="en-US"/>
              </w:rPr>
            </w:pPr>
            <w:r w:rsidRPr="00451F5C">
              <w:rPr>
                <w:rFonts w:eastAsiaTheme="minorHAnsi"/>
                <w:lang w:eastAsia="en-US"/>
              </w:rPr>
              <w:t xml:space="preserve">Šobrīd nacionālajā regulējumā </w:t>
            </w:r>
            <w:r w:rsidR="00587E16" w:rsidRPr="00451F5C">
              <w:rPr>
                <w:rFonts w:eastAsiaTheme="minorHAnsi"/>
                <w:lang w:eastAsia="en-US"/>
              </w:rPr>
              <w:t xml:space="preserve">Fizisko personu datu apstrādes likuma </w:t>
            </w:r>
            <w:r w:rsidR="00004C6C" w:rsidRPr="00451F5C">
              <w:rPr>
                <w:rFonts w:eastAsiaTheme="minorHAnsi"/>
                <w:lang w:eastAsia="en-US"/>
              </w:rPr>
              <w:t>27. pant</w:t>
            </w:r>
            <w:r w:rsidR="00D4280E">
              <w:rPr>
                <w:rFonts w:eastAsiaTheme="minorHAnsi"/>
                <w:lang w:eastAsia="en-US"/>
              </w:rPr>
              <w:t>a</w:t>
            </w:r>
            <w:r w:rsidR="00004C6C" w:rsidRPr="00451F5C">
              <w:rPr>
                <w:rFonts w:eastAsiaTheme="minorHAnsi"/>
                <w:lang w:eastAsia="en-US"/>
              </w:rPr>
              <w:t xml:space="preserve"> </w:t>
            </w:r>
            <w:r w:rsidR="00D4280E">
              <w:rPr>
                <w:rFonts w:eastAsiaTheme="minorHAnsi"/>
                <w:lang w:eastAsia="en-US"/>
              </w:rPr>
              <w:t>“</w:t>
            </w:r>
            <w:r w:rsidR="00004C6C" w:rsidRPr="00451F5C">
              <w:rPr>
                <w:rFonts w:eastAsiaTheme="minorHAnsi"/>
                <w:lang w:eastAsia="en-US"/>
              </w:rPr>
              <w:t>Datu subjekta piekļuves tiesību ierobežojums</w:t>
            </w:r>
            <w:r w:rsidR="00D4280E">
              <w:rPr>
                <w:rFonts w:eastAsiaTheme="minorHAnsi"/>
                <w:lang w:eastAsia="en-US"/>
              </w:rPr>
              <w:t xml:space="preserve">” </w:t>
            </w:r>
            <w:r w:rsidR="00004C6C" w:rsidRPr="00451F5C">
              <w:rPr>
                <w:rFonts w:eastAsiaTheme="minorHAnsi"/>
                <w:lang w:eastAsia="en-US"/>
              </w:rPr>
              <w:t>pirmā daļa nosaka, ka datu subjektam nav tiesību saņemt datu regulas (Eiropas Parlamenta un Padomes Regula (ES) 2016/679) 15. pantā norādīto informāciju, ja šo informāciju aizliegts izpaust saskaņā ar normatīvajiem aktiem nacionālās drošības, valsts aizsardzības, sabiedrības drošības un krimināltiesību jomā, kā arī tādēļ, lai nodrošinātu sabiedrības finansiālās intereses nodokļu aizsardzības, noziedzīgi iegūtu līdzekļu legalizācijas un terorisma finansēšanas novēršanas jomā vai finanšu tirgus dalībnieku uzraudzību un to garantiju sistēmu darbību, noregulējuma piemērošanu un makroekonomisko analīzi.</w:t>
            </w:r>
          </w:p>
          <w:p w:rsidR="00004C6C" w:rsidRPr="00451F5C" w:rsidRDefault="00004C6C" w:rsidP="00C31C47">
            <w:pPr>
              <w:pStyle w:val="tv213"/>
              <w:shd w:val="clear" w:color="auto" w:fill="FFFFFF"/>
              <w:spacing w:before="0" w:beforeAutospacing="0" w:after="0" w:afterAutospacing="0"/>
              <w:ind w:firstLine="300"/>
              <w:jc w:val="both"/>
              <w:rPr>
                <w:rFonts w:eastAsiaTheme="minorHAnsi"/>
                <w:lang w:eastAsia="en-US"/>
              </w:rPr>
            </w:pPr>
            <w:r w:rsidRPr="00451F5C">
              <w:rPr>
                <w:rFonts w:eastAsiaTheme="minorHAnsi"/>
                <w:lang w:eastAsia="en-US"/>
              </w:rPr>
              <w:t>Atbilstoši iepriekš minētajam</w:t>
            </w:r>
            <w:r w:rsidR="00D4280E">
              <w:rPr>
                <w:rFonts w:eastAsiaTheme="minorHAnsi"/>
                <w:lang w:eastAsia="en-US"/>
              </w:rPr>
              <w:t>,</w:t>
            </w:r>
            <w:r w:rsidRPr="00451F5C">
              <w:rPr>
                <w:rFonts w:eastAsiaTheme="minorHAnsi"/>
                <w:lang w:eastAsia="en-US"/>
              </w:rPr>
              <w:t xml:space="preserve"> NILLTFNL tiek papildināts ar jaunu 5.</w:t>
            </w:r>
            <w:r w:rsidRPr="00451F5C">
              <w:rPr>
                <w:rFonts w:eastAsiaTheme="minorHAnsi"/>
                <w:vertAlign w:val="superscript"/>
                <w:lang w:eastAsia="en-US"/>
              </w:rPr>
              <w:t>2</w:t>
            </w:r>
            <w:r w:rsidRPr="00451F5C">
              <w:rPr>
                <w:rFonts w:eastAsiaTheme="minorHAnsi"/>
                <w:lang w:eastAsia="en-US"/>
              </w:rPr>
              <w:t xml:space="preserve"> </w:t>
            </w:r>
            <w:r w:rsidR="00D86A56" w:rsidRPr="00451F5C">
              <w:rPr>
                <w:rFonts w:eastAsiaTheme="minorHAnsi"/>
                <w:lang w:eastAsia="en-US"/>
              </w:rPr>
              <w:t>pantu.</w:t>
            </w:r>
          </w:p>
          <w:p w:rsidR="00D86A56" w:rsidRPr="00451F5C" w:rsidRDefault="00D4280E" w:rsidP="00D86A56">
            <w:pPr>
              <w:pStyle w:val="tv213"/>
              <w:shd w:val="clear" w:color="auto" w:fill="FFFFFF"/>
              <w:spacing w:before="0" w:beforeAutospacing="0" w:after="0" w:afterAutospacing="0"/>
              <w:ind w:firstLine="300"/>
              <w:jc w:val="both"/>
              <w:rPr>
                <w:rFonts w:eastAsia="Calibri"/>
                <w:bCs/>
              </w:rPr>
            </w:pPr>
            <w:r>
              <w:rPr>
                <w:rFonts w:eastAsia="Calibri"/>
                <w:bCs/>
              </w:rPr>
              <w:t>Izvērtē</w:t>
            </w:r>
            <w:r w:rsidR="00D86A56" w:rsidRPr="00451F5C">
              <w:rPr>
                <w:rFonts w:eastAsia="Calibri"/>
                <w:bCs/>
              </w:rPr>
              <w:t xml:space="preserve">jot personas </w:t>
            </w:r>
            <w:proofErr w:type="spellStart"/>
            <w:r w:rsidR="00D86A56" w:rsidRPr="00451F5C">
              <w:rPr>
                <w:rFonts w:eastAsia="Calibri"/>
                <w:bCs/>
              </w:rPr>
              <w:t>pamattiesību</w:t>
            </w:r>
            <w:proofErr w:type="spellEnd"/>
            <w:r w:rsidR="00D86A56" w:rsidRPr="00451F5C">
              <w:rPr>
                <w:rFonts w:eastAsia="Calibri"/>
                <w:bCs/>
              </w:rPr>
              <w:t xml:space="preserve"> ierobežojuma samērīgumu, ir secināms, ka:</w:t>
            </w:r>
          </w:p>
          <w:p w:rsidR="00D86A56" w:rsidRPr="00451F5C" w:rsidRDefault="00D86A56" w:rsidP="00D86A56">
            <w:pPr>
              <w:pStyle w:val="tv213"/>
              <w:numPr>
                <w:ilvl w:val="0"/>
                <w:numId w:val="10"/>
              </w:numPr>
              <w:shd w:val="clear" w:color="auto" w:fill="FFFFFF"/>
              <w:spacing w:before="0" w:beforeAutospacing="0" w:after="0" w:afterAutospacing="0"/>
              <w:ind w:left="0" w:firstLine="300"/>
              <w:jc w:val="both"/>
              <w:rPr>
                <w:rFonts w:eastAsia="Calibri"/>
                <w:bCs/>
              </w:rPr>
            </w:pPr>
            <w:r w:rsidRPr="00451F5C">
              <w:t xml:space="preserve"> savāktus personas datus apstrādā vienam mērķim</w:t>
            </w:r>
            <w:r w:rsidR="00D4280E">
              <w:t xml:space="preserve">, </w:t>
            </w:r>
            <w:r w:rsidRPr="00451F5C">
              <w:t>t</w:t>
            </w:r>
            <w:r w:rsidR="00D4280E">
              <w:t xml:space="preserve">as </w:t>
            </w:r>
            <w:r w:rsidRPr="00451F5C">
              <w:t>i</w:t>
            </w:r>
            <w:r w:rsidR="00D4280E">
              <w:t>r,</w:t>
            </w:r>
            <w:r w:rsidRPr="00451F5C">
              <w:t xml:space="preserve"> novērst noziedzīgi iegūtu līdzekļu legalizāciju un terorisma finansēšanu, tādējādi netiek pārkāpts datu aizsardzības nolūkā piemērojamais mērķa ierobežojuma princips un netiek apdraudēta samērīguma principa īstenošana.</w:t>
            </w:r>
            <w:r w:rsidR="00C74C58" w:rsidRPr="00451F5C">
              <w:t xml:space="preserve"> Attiecībā uz samērīgumu arī jānorāda, ka šajos grozījumos nav paredzēta atkāpe no pieejas, kas balstīta uz riska </w:t>
            </w:r>
            <w:proofErr w:type="spellStart"/>
            <w:r w:rsidR="00C74C58" w:rsidRPr="00451F5C">
              <w:t>i</w:t>
            </w:r>
            <w:r w:rsidR="00D4280E">
              <w:t>zvērtējumu</w:t>
            </w:r>
            <w:proofErr w:type="spellEnd"/>
            <w:r w:rsidR="00C74C58" w:rsidRPr="00451F5C">
              <w:t>;</w:t>
            </w:r>
          </w:p>
          <w:p w:rsidR="00C74C58" w:rsidRPr="00451F5C" w:rsidRDefault="00C74C58" w:rsidP="00D86A56">
            <w:pPr>
              <w:pStyle w:val="tv213"/>
              <w:numPr>
                <w:ilvl w:val="0"/>
                <w:numId w:val="10"/>
              </w:numPr>
              <w:shd w:val="clear" w:color="auto" w:fill="FFFFFF"/>
              <w:spacing w:before="0" w:beforeAutospacing="0" w:after="0" w:afterAutospacing="0"/>
              <w:ind w:left="0" w:firstLine="300"/>
              <w:jc w:val="both"/>
              <w:rPr>
                <w:rFonts w:eastAsia="Calibri"/>
                <w:bCs/>
              </w:rPr>
            </w:pPr>
            <w:r w:rsidRPr="00451F5C">
              <w:t xml:space="preserve">likumprojekta mērķis ir </w:t>
            </w:r>
            <w:r w:rsidR="000D030D" w:rsidRPr="00451F5C">
              <w:t xml:space="preserve">stiprināt cīņu ar noziedzīgi iegūtu līdzekļu legalizāciju un terorisma finansēšanu līdz ar to, tas ir visas sabiedrības interesēs, jo ietekmē gan katras personas </w:t>
            </w:r>
            <w:r w:rsidR="00560910" w:rsidRPr="00451F5C">
              <w:t>materiālo (</w:t>
            </w:r>
            <w:r w:rsidR="000D030D" w:rsidRPr="00451F5C">
              <w:rPr>
                <w:rFonts w:eastAsiaTheme="minorHAnsi"/>
                <w:lang w:eastAsia="en-US"/>
              </w:rPr>
              <w:t>finansiālo</w:t>
            </w:r>
            <w:r w:rsidR="00560910" w:rsidRPr="00451F5C">
              <w:rPr>
                <w:rFonts w:eastAsiaTheme="minorHAnsi"/>
                <w:lang w:eastAsia="en-US"/>
              </w:rPr>
              <w:t>)</w:t>
            </w:r>
            <w:r w:rsidR="000D030D" w:rsidRPr="00451F5C">
              <w:rPr>
                <w:rFonts w:eastAsiaTheme="minorHAnsi"/>
                <w:lang w:eastAsia="en-US"/>
              </w:rPr>
              <w:t xml:space="preserve"> stāvokli</w:t>
            </w:r>
            <w:r w:rsidR="00560910" w:rsidRPr="00451F5C">
              <w:rPr>
                <w:rFonts w:eastAsiaTheme="minorHAnsi"/>
                <w:lang w:eastAsia="en-US"/>
              </w:rPr>
              <w:t>,</w:t>
            </w:r>
            <w:r w:rsidR="000D030D" w:rsidRPr="00451F5C">
              <w:rPr>
                <w:rFonts w:eastAsiaTheme="minorHAnsi"/>
                <w:lang w:eastAsia="en-US"/>
              </w:rPr>
              <w:t xml:space="preserve"> kā </w:t>
            </w:r>
            <w:r w:rsidR="00D4280E">
              <w:rPr>
                <w:rFonts w:eastAsiaTheme="minorHAnsi"/>
                <w:lang w:eastAsia="en-US"/>
              </w:rPr>
              <w:t xml:space="preserve">arī </w:t>
            </w:r>
            <w:r w:rsidR="000D030D" w:rsidRPr="00451F5C">
              <w:rPr>
                <w:rFonts w:eastAsiaTheme="minorHAnsi"/>
                <w:lang w:eastAsia="en-US"/>
              </w:rPr>
              <w:t>pastiprina dzīvības apdraudējumu.</w:t>
            </w:r>
          </w:p>
          <w:p w:rsidR="00D86A56" w:rsidRPr="00451F5C" w:rsidRDefault="00D86A56" w:rsidP="00D86A56">
            <w:pPr>
              <w:pStyle w:val="tv213"/>
              <w:shd w:val="clear" w:color="auto" w:fill="FFFFFF"/>
              <w:spacing w:before="0" w:beforeAutospacing="0" w:after="0" w:afterAutospacing="0"/>
              <w:ind w:firstLine="300"/>
              <w:jc w:val="both"/>
              <w:rPr>
                <w:rFonts w:eastAsia="Calibri"/>
                <w:bCs/>
              </w:rPr>
            </w:pPr>
          </w:p>
          <w:p w:rsidR="0012150B" w:rsidRPr="00451F5C" w:rsidRDefault="0012150B" w:rsidP="0012150B">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9.pants:</w:t>
            </w:r>
          </w:p>
          <w:p w:rsidR="0012150B" w:rsidRPr="00451F5C" w:rsidRDefault="0012150B" w:rsidP="0012150B">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ziņojuma Rec.18.Cr.18.1. (2.pielikums Nr.18.3.).</w:t>
            </w:r>
          </w:p>
          <w:p w:rsidR="00F65327" w:rsidRPr="00451F5C" w:rsidRDefault="0012150B" w:rsidP="0012150B">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Esošais NILLTFNL 7.panta pirmās daļas 10.punkts neatbilst FATF Met. Rec.18.1., kur audita funkcija nav </w:t>
            </w:r>
            <w:r w:rsidRPr="00451F5C">
              <w:rPr>
                <w:rFonts w:ascii="Times New Roman" w:hAnsi="Times New Roman" w:cs="Times New Roman"/>
                <w:sz w:val="24"/>
                <w:szCs w:val="24"/>
              </w:rPr>
              <w:lastRenderedPageBreak/>
              <w:t>izdalīta iekšējā vai ārējā</w:t>
            </w:r>
            <w:r w:rsidR="00D4280E">
              <w:rPr>
                <w:rFonts w:ascii="Times New Roman" w:hAnsi="Times New Roman" w:cs="Times New Roman"/>
                <w:sz w:val="24"/>
                <w:szCs w:val="24"/>
              </w:rPr>
              <w:t>,</w:t>
            </w:r>
            <w:r w:rsidRPr="00451F5C">
              <w:rPr>
                <w:rFonts w:ascii="Times New Roman" w:hAnsi="Times New Roman" w:cs="Times New Roman"/>
                <w:sz w:val="24"/>
                <w:szCs w:val="24"/>
              </w:rPr>
              <w:t xml:space="preserve"> un to ir nepieciešamas veikt</w:t>
            </w:r>
            <w:r w:rsidR="00BC5EE1" w:rsidRPr="00451F5C">
              <w:rPr>
                <w:rFonts w:ascii="Times New Roman" w:hAnsi="Times New Roman" w:cs="Times New Roman"/>
                <w:sz w:val="24"/>
                <w:szCs w:val="24"/>
              </w:rPr>
              <w:t xml:space="preserve">, ņemot vērā </w:t>
            </w:r>
            <w:r w:rsidR="00DD4D80" w:rsidRPr="00451F5C">
              <w:rPr>
                <w:rFonts w:ascii="Times New Roman" w:hAnsi="Times New Roman" w:cs="Times New Roman"/>
                <w:sz w:val="24"/>
                <w:szCs w:val="24"/>
              </w:rPr>
              <w:t>noziedzīgi iegūtu līdzekļu legalizācijas un terorisma finansēšanas risku un saimnieciskās darbības apmēru (</w:t>
            </w:r>
            <w:proofErr w:type="spellStart"/>
            <w:r w:rsidR="00DD4D80" w:rsidRPr="00D4280E">
              <w:rPr>
                <w:rFonts w:ascii="Times New Roman" w:hAnsi="Times New Roman" w:cs="Times New Roman"/>
                <w:i/>
                <w:sz w:val="24"/>
                <w:szCs w:val="24"/>
              </w:rPr>
              <w:t>business</w:t>
            </w:r>
            <w:proofErr w:type="spellEnd"/>
            <w:r w:rsidR="00DD4D80" w:rsidRPr="00D4280E">
              <w:rPr>
                <w:rFonts w:ascii="Times New Roman" w:hAnsi="Times New Roman" w:cs="Times New Roman"/>
                <w:i/>
                <w:sz w:val="24"/>
                <w:szCs w:val="24"/>
              </w:rPr>
              <w:t xml:space="preserve"> </w:t>
            </w:r>
            <w:proofErr w:type="spellStart"/>
            <w:r w:rsidR="00DD4D80" w:rsidRPr="00D4280E">
              <w:rPr>
                <w:rFonts w:ascii="Times New Roman" w:hAnsi="Times New Roman" w:cs="Times New Roman"/>
                <w:i/>
                <w:sz w:val="24"/>
                <w:szCs w:val="24"/>
              </w:rPr>
              <w:t>size</w:t>
            </w:r>
            <w:proofErr w:type="spellEnd"/>
            <w:r w:rsidR="00DD4D80" w:rsidRPr="00451F5C">
              <w:rPr>
                <w:rFonts w:ascii="Times New Roman" w:hAnsi="Times New Roman" w:cs="Times New Roman"/>
                <w:sz w:val="24"/>
                <w:szCs w:val="24"/>
              </w:rPr>
              <w:t>), tātad</w:t>
            </w:r>
            <w:r w:rsidR="00D4280E">
              <w:rPr>
                <w:rFonts w:ascii="Times New Roman" w:hAnsi="Times New Roman" w:cs="Times New Roman"/>
                <w:sz w:val="24"/>
                <w:szCs w:val="24"/>
              </w:rPr>
              <w:t>,</w:t>
            </w:r>
            <w:r w:rsidR="00DD4D80" w:rsidRPr="00451F5C">
              <w:rPr>
                <w:rFonts w:ascii="Times New Roman" w:hAnsi="Times New Roman" w:cs="Times New Roman"/>
                <w:sz w:val="24"/>
                <w:szCs w:val="24"/>
              </w:rPr>
              <w:t xml:space="preserve"> </w:t>
            </w:r>
            <w:r w:rsidRPr="00451F5C">
              <w:rPr>
                <w:rFonts w:ascii="Times New Roman" w:hAnsi="Times New Roman" w:cs="Times New Roman"/>
                <w:sz w:val="24"/>
                <w:szCs w:val="24"/>
              </w:rPr>
              <w:t>neatkar</w:t>
            </w:r>
            <w:r w:rsidR="00DD4D80" w:rsidRPr="00451F5C">
              <w:rPr>
                <w:rFonts w:ascii="Times New Roman" w:hAnsi="Times New Roman" w:cs="Times New Roman"/>
                <w:sz w:val="24"/>
                <w:szCs w:val="24"/>
              </w:rPr>
              <w:t xml:space="preserve">īgi no darbinieku skaita, kā </w:t>
            </w:r>
            <w:r w:rsidR="00D4280E">
              <w:rPr>
                <w:rFonts w:ascii="Times New Roman" w:hAnsi="Times New Roman" w:cs="Times New Roman"/>
                <w:sz w:val="24"/>
                <w:szCs w:val="24"/>
              </w:rPr>
              <w:t xml:space="preserve">to </w:t>
            </w:r>
            <w:r w:rsidR="00DD4D80" w:rsidRPr="00451F5C">
              <w:rPr>
                <w:rFonts w:ascii="Times New Roman" w:hAnsi="Times New Roman" w:cs="Times New Roman"/>
                <w:sz w:val="24"/>
                <w:szCs w:val="24"/>
              </w:rPr>
              <w:t>patreiz paredz NILLTFNL.</w:t>
            </w:r>
          </w:p>
          <w:p w:rsidR="00F27F85" w:rsidRPr="00451F5C" w:rsidRDefault="00F27F85" w:rsidP="0012150B">
            <w:pPr>
              <w:spacing w:after="0" w:line="240" w:lineRule="auto"/>
              <w:jc w:val="both"/>
              <w:rPr>
                <w:rFonts w:ascii="Times New Roman" w:hAnsi="Times New Roman" w:cs="Times New Roman"/>
                <w:sz w:val="24"/>
                <w:szCs w:val="24"/>
              </w:rPr>
            </w:pPr>
          </w:p>
          <w:p w:rsidR="00F27F85" w:rsidRPr="00451F5C" w:rsidRDefault="00F27F85" w:rsidP="0012150B">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10.pants:</w:t>
            </w:r>
          </w:p>
          <w:p w:rsidR="00F27F85" w:rsidRPr="00451F5C" w:rsidRDefault="00F27F85" w:rsidP="00F27F8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Lai NILLTFNL uzraudzības un kontroles iestādēm nodrošinātu iespēju pārliecināties par NILLTFNL subjektu veikto efektivitātes </w:t>
            </w:r>
            <w:proofErr w:type="spellStart"/>
            <w:r w:rsidRPr="00451F5C">
              <w:rPr>
                <w:rFonts w:ascii="Times New Roman" w:hAnsi="Times New Roman" w:cs="Times New Roman"/>
                <w:sz w:val="24"/>
                <w:szCs w:val="24"/>
              </w:rPr>
              <w:t>izvērtējumu</w:t>
            </w:r>
            <w:proofErr w:type="spellEnd"/>
            <w:r w:rsidRPr="00451F5C">
              <w:rPr>
                <w:rFonts w:ascii="Times New Roman" w:hAnsi="Times New Roman" w:cs="Times New Roman"/>
                <w:sz w:val="24"/>
                <w:szCs w:val="24"/>
              </w:rPr>
              <w:t>, tādējādi mazinot NILLTFNL subjekta risku, tiek veikti grozījumi NILLTFNL 8.panta otrajā daļā</w:t>
            </w:r>
            <w:r w:rsidR="00D4280E">
              <w:rPr>
                <w:rFonts w:ascii="Times New Roman" w:hAnsi="Times New Roman" w:cs="Times New Roman"/>
                <w:sz w:val="24"/>
                <w:szCs w:val="24"/>
              </w:rPr>
              <w:t>, nosakot</w:t>
            </w:r>
            <w:r w:rsidRPr="00451F5C">
              <w:rPr>
                <w:rFonts w:ascii="Times New Roman" w:hAnsi="Times New Roman" w:cs="Times New Roman"/>
                <w:sz w:val="24"/>
                <w:szCs w:val="24"/>
              </w:rPr>
              <w:t xml:space="preserve"> norādīto NILLTFNL subjekta pienākumu izvērtēt iekšējās kontroles sistēmas darbības efektivitāti, nosakot pienākumu dokumentēt iekšējās kontroles sistēmas darbības efektivitātes </w:t>
            </w:r>
            <w:proofErr w:type="spellStart"/>
            <w:r w:rsidRPr="00451F5C">
              <w:rPr>
                <w:rFonts w:ascii="Times New Roman" w:hAnsi="Times New Roman" w:cs="Times New Roman"/>
                <w:sz w:val="24"/>
                <w:szCs w:val="24"/>
              </w:rPr>
              <w:t>izvērtējumu</w:t>
            </w:r>
            <w:proofErr w:type="spellEnd"/>
            <w:r w:rsidRPr="00451F5C">
              <w:rPr>
                <w:rFonts w:ascii="Times New Roman" w:hAnsi="Times New Roman" w:cs="Times New Roman"/>
                <w:sz w:val="24"/>
                <w:szCs w:val="24"/>
              </w:rPr>
              <w:t>.</w:t>
            </w:r>
          </w:p>
          <w:p w:rsidR="00F65327" w:rsidRPr="00451F5C" w:rsidRDefault="00F65327" w:rsidP="0012150B">
            <w:pPr>
              <w:spacing w:after="0" w:line="240" w:lineRule="auto"/>
              <w:jc w:val="both"/>
              <w:rPr>
                <w:rFonts w:ascii="Times New Roman" w:hAnsi="Times New Roman" w:cs="Times New Roman"/>
                <w:sz w:val="24"/>
                <w:szCs w:val="24"/>
              </w:rPr>
            </w:pPr>
          </w:p>
          <w:p w:rsidR="00F65327" w:rsidRPr="00451F5C" w:rsidRDefault="00F65327" w:rsidP="0012150B">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w:t>
            </w:r>
            <w:r w:rsidR="000B01C6" w:rsidRPr="00451F5C">
              <w:rPr>
                <w:rFonts w:ascii="Times New Roman" w:hAnsi="Times New Roman" w:cs="Times New Roman"/>
                <w:sz w:val="24"/>
                <w:szCs w:val="24"/>
                <w:u w:val="single"/>
              </w:rPr>
              <w:t>ikumprojekta 12. un 13.pants:</w:t>
            </w:r>
          </w:p>
          <w:p w:rsidR="00E20643" w:rsidRPr="00451F5C" w:rsidRDefault="00E20643" w:rsidP="00E20643">
            <w:pPr>
              <w:pStyle w:val="HTMLPreformatted"/>
              <w:shd w:val="clear" w:color="auto" w:fill="FFFFFF"/>
              <w:ind w:firstLine="391"/>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Lai novērstu trūkumus atbilstoši </w:t>
            </w:r>
            <w:proofErr w:type="spellStart"/>
            <w:r w:rsidRPr="00451F5C">
              <w:rPr>
                <w:rFonts w:ascii="Times New Roman" w:eastAsiaTheme="minorHAnsi" w:hAnsi="Times New Roman" w:cs="Times New Roman"/>
                <w:sz w:val="24"/>
                <w:szCs w:val="24"/>
                <w:lang w:eastAsia="en-US"/>
              </w:rPr>
              <w:t>Moneyval</w:t>
            </w:r>
            <w:proofErr w:type="spellEnd"/>
            <w:r w:rsidRPr="00451F5C">
              <w:rPr>
                <w:rFonts w:ascii="Times New Roman" w:eastAsiaTheme="minorHAnsi" w:hAnsi="Times New Roman" w:cs="Times New Roman"/>
                <w:sz w:val="24"/>
                <w:szCs w:val="24"/>
                <w:lang w:eastAsia="en-US"/>
              </w:rPr>
              <w:t xml:space="preserve"> ziņojuma</w:t>
            </w:r>
            <w:r w:rsidR="00D4280E">
              <w:rPr>
                <w:rFonts w:ascii="Times New Roman" w:eastAsiaTheme="minorHAnsi" w:hAnsi="Times New Roman" w:cs="Times New Roman"/>
                <w:sz w:val="24"/>
                <w:szCs w:val="24"/>
                <w:lang w:eastAsia="en-US"/>
              </w:rPr>
              <w:t>m</w:t>
            </w:r>
            <w:r w:rsidRPr="00451F5C">
              <w:rPr>
                <w:rFonts w:ascii="Times New Roman" w:eastAsiaTheme="minorHAnsi" w:hAnsi="Times New Roman" w:cs="Times New Roman"/>
                <w:sz w:val="24"/>
                <w:szCs w:val="24"/>
                <w:lang w:eastAsia="en-US"/>
              </w:rPr>
              <w:t>:</w:t>
            </w:r>
          </w:p>
          <w:p w:rsidR="00E20643" w:rsidRPr="00451F5C" w:rsidRDefault="00E20643" w:rsidP="00E20643">
            <w:pPr>
              <w:pStyle w:val="HTMLPreformatted"/>
              <w:numPr>
                <w:ilvl w:val="0"/>
                <w:numId w:val="4"/>
              </w:numPr>
              <w:shd w:val="clear" w:color="auto" w:fill="FFFFFF"/>
              <w:ind w:left="0" w:firstLine="360"/>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Rec.18.Cr.18.1 a) (2.pielikums Nr.18.1.) -NILLTFNL, ņemot vērā attiecīgās pilnvaras un pienākumus, valdes locekļa amats neatbilst atbilstības amatpersonai, kas iecelta vadības līmenī, kā to pieprasa FATF standarts;</w:t>
            </w:r>
          </w:p>
          <w:p w:rsidR="00E20643" w:rsidRPr="00451F5C" w:rsidRDefault="00E20643" w:rsidP="00E20643">
            <w:pPr>
              <w:pStyle w:val="HTMLPreformatted"/>
              <w:numPr>
                <w:ilvl w:val="0"/>
                <w:numId w:val="4"/>
              </w:numPr>
              <w:shd w:val="clear" w:color="auto" w:fill="FFFFFF"/>
              <w:ind w:left="0" w:firstLine="360"/>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Rec.18.Cr.18.1 b) (2.pielikums Nr.18.2)- darbinieku pārbaudei ir jāizstrādā atbilstības amatpersonu un atbildīgā valdes locekļa piemērotības politika</w:t>
            </w:r>
            <w:r w:rsidR="00D4280E">
              <w:rPr>
                <w:rFonts w:ascii="Times New Roman" w:eastAsiaTheme="minorHAnsi" w:hAnsi="Times New Roman" w:cs="Times New Roman"/>
                <w:sz w:val="24"/>
                <w:szCs w:val="24"/>
                <w:lang w:eastAsia="en-US"/>
              </w:rPr>
              <w:t>, jo pašreiz</w:t>
            </w:r>
            <w:r w:rsidRPr="00451F5C">
              <w:rPr>
                <w:rFonts w:ascii="Times New Roman" w:eastAsiaTheme="minorHAnsi" w:hAnsi="Times New Roman" w:cs="Times New Roman"/>
                <w:sz w:val="24"/>
                <w:szCs w:val="24"/>
                <w:lang w:eastAsia="en-US"/>
              </w:rPr>
              <w:t xml:space="preserve"> NILLTFNL 10.panta 2.</w:t>
            </w:r>
            <w:r w:rsidRPr="00451F5C">
              <w:rPr>
                <w:rFonts w:ascii="Times New Roman" w:eastAsiaTheme="minorHAnsi" w:hAnsi="Times New Roman" w:cs="Times New Roman"/>
                <w:sz w:val="24"/>
                <w:szCs w:val="24"/>
                <w:vertAlign w:val="superscript"/>
                <w:lang w:eastAsia="en-US"/>
              </w:rPr>
              <w:t>1</w:t>
            </w:r>
            <w:r w:rsidRPr="00451F5C">
              <w:rPr>
                <w:rFonts w:ascii="Times New Roman" w:eastAsiaTheme="minorHAnsi" w:hAnsi="Times New Roman" w:cs="Times New Roman"/>
                <w:sz w:val="24"/>
                <w:szCs w:val="24"/>
                <w:lang w:eastAsia="en-US"/>
              </w:rPr>
              <w:t xml:space="preserve"> daļā attiecas tikai uz noteiktiem NILLTNFL subjektiem;</w:t>
            </w:r>
          </w:p>
          <w:p w:rsidR="00E20643" w:rsidRPr="00451F5C" w:rsidRDefault="00E20643" w:rsidP="00E20643">
            <w:pPr>
              <w:pStyle w:val="HTMLPreformatted"/>
              <w:numPr>
                <w:ilvl w:val="0"/>
                <w:numId w:val="4"/>
              </w:numPr>
              <w:shd w:val="clear" w:color="auto" w:fill="FFFFFF"/>
              <w:ind w:left="0" w:firstLine="360"/>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Rec.23.Cr.23.2 (2.pielikums 23.2.) – prasība veikt darbinieku pārbaudi atbilstībai noziedzīgi iegūtu līdzekļu legalizācijas un terorisma finansēšanas novēršanas prasībām pirms pieņemšanas darbā nav vispār attiecināma uz </w:t>
            </w:r>
            <w:proofErr w:type="spellStart"/>
            <w:r w:rsidRPr="00451F5C">
              <w:rPr>
                <w:rFonts w:ascii="Times New Roman" w:eastAsiaTheme="minorHAnsi" w:hAnsi="Times New Roman" w:cs="Times New Roman"/>
                <w:sz w:val="24"/>
                <w:szCs w:val="24"/>
                <w:lang w:eastAsia="en-US"/>
              </w:rPr>
              <w:t>nefinanšu</w:t>
            </w:r>
            <w:proofErr w:type="spellEnd"/>
            <w:r w:rsidRPr="00451F5C">
              <w:rPr>
                <w:rFonts w:ascii="Times New Roman" w:eastAsiaTheme="minorHAnsi" w:hAnsi="Times New Roman" w:cs="Times New Roman"/>
                <w:sz w:val="24"/>
                <w:szCs w:val="24"/>
                <w:lang w:eastAsia="en-US"/>
              </w:rPr>
              <w:t xml:space="preserve"> sektoru.</w:t>
            </w:r>
          </w:p>
          <w:p w:rsidR="00F958B6" w:rsidRDefault="00E20643" w:rsidP="00F958B6">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Grozījumi ir veikti ņemot vērā Kredītiestāžu likuma 34.</w:t>
            </w:r>
            <w:r w:rsidRPr="00F958B6">
              <w:rPr>
                <w:rFonts w:ascii="Times New Roman" w:hAnsi="Times New Roman" w:cs="Times New Roman"/>
                <w:sz w:val="24"/>
                <w:szCs w:val="24"/>
                <w:vertAlign w:val="superscript"/>
              </w:rPr>
              <w:t>5</w:t>
            </w:r>
            <w:r w:rsidRPr="00451F5C">
              <w:rPr>
                <w:rFonts w:ascii="Times New Roman" w:hAnsi="Times New Roman" w:cs="Times New Roman"/>
                <w:sz w:val="24"/>
                <w:szCs w:val="24"/>
              </w:rPr>
              <w:t> panta analoģiju</w:t>
            </w:r>
            <w:r w:rsidR="00D4280E">
              <w:rPr>
                <w:rFonts w:ascii="Times New Roman" w:hAnsi="Times New Roman" w:cs="Times New Roman"/>
                <w:sz w:val="24"/>
                <w:szCs w:val="24"/>
              </w:rPr>
              <w:t>,</w:t>
            </w:r>
            <w:r w:rsidRPr="00451F5C">
              <w:rPr>
                <w:rFonts w:ascii="Times New Roman" w:hAnsi="Times New Roman" w:cs="Times New Roman"/>
                <w:sz w:val="24"/>
                <w:szCs w:val="24"/>
              </w:rPr>
              <w:t xml:space="preserve"> balstoties uz 2018.gada 14.novembra </w:t>
            </w:r>
            <w:r w:rsidR="00D4280E">
              <w:rPr>
                <w:rFonts w:ascii="Times New Roman" w:hAnsi="Times New Roman" w:cs="Times New Roman"/>
                <w:sz w:val="24"/>
                <w:szCs w:val="24"/>
              </w:rPr>
              <w:t xml:space="preserve">veiktajiem </w:t>
            </w:r>
            <w:r w:rsidRPr="00451F5C">
              <w:rPr>
                <w:rFonts w:ascii="Times New Roman" w:hAnsi="Times New Roman" w:cs="Times New Roman"/>
                <w:sz w:val="24"/>
                <w:szCs w:val="24"/>
              </w:rPr>
              <w:t>grozījumu Kredītiestāžu likum</w:t>
            </w:r>
            <w:r w:rsidR="00D4280E">
              <w:rPr>
                <w:rFonts w:ascii="Times New Roman" w:hAnsi="Times New Roman" w:cs="Times New Roman"/>
                <w:sz w:val="24"/>
                <w:szCs w:val="24"/>
              </w:rPr>
              <w:t>ā</w:t>
            </w:r>
            <w:r w:rsidRPr="00451F5C">
              <w:rPr>
                <w:rFonts w:ascii="Times New Roman" w:hAnsi="Times New Roman" w:cs="Times New Roman"/>
                <w:sz w:val="24"/>
                <w:szCs w:val="24"/>
              </w:rPr>
              <w:t>.</w:t>
            </w:r>
          </w:p>
          <w:p w:rsidR="00F958B6" w:rsidRPr="00F958B6" w:rsidRDefault="00F958B6" w:rsidP="00F958B6">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Jaunais NILLTFNL 10.</w:t>
            </w:r>
            <w:r>
              <w:rPr>
                <w:rFonts w:ascii="Times New Roman" w:hAnsi="Times New Roman" w:cs="Times New Roman"/>
                <w:sz w:val="24"/>
                <w:szCs w:val="24"/>
                <w:vertAlign w:val="superscript"/>
              </w:rPr>
              <w:t xml:space="preserve">1 </w:t>
            </w:r>
            <w:r>
              <w:rPr>
                <w:rFonts w:ascii="Times New Roman" w:hAnsi="Times New Roman" w:cs="Times New Roman"/>
                <w:sz w:val="24"/>
                <w:szCs w:val="24"/>
              </w:rPr>
              <w:t>pants attiecas uz NILLTFNL neregulētajiem subjektiem</w:t>
            </w:r>
            <w:r w:rsidR="00D4280E">
              <w:rPr>
                <w:rFonts w:ascii="Times New Roman" w:hAnsi="Times New Roman" w:cs="Times New Roman"/>
                <w:sz w:val="24"/>
                <w:szCs w:val="24"/>
              </w:rPr>
              <w:t xml:space="preserve">, un </w:t>
            </w:r>
            <w:r>
              <w:rPr>
                <w:rFonts w:ascii="Times New Roman" w:hAnsi="Times New Roman" w:cs="Times New Roman"/>
                <w:sz w:val="24"/>
                <w:szCs w:val="24"/>
              </w:rPr>
              <w:t xml:space="preserve">panta nosaukumā ietverta atsauce “…, ja attiecīgās jomas speciālie normatīvie akti nenosaka atsevišķus stingrākus nosacījumus” </w:t>
            </w:r>
            <w:r w:rsidR="00A75FF0">
              <w:rPr>
                <w:rFonts w:ascii="Times New Roman" w:hAnsi="Times New Roman" w:cs="Times New Roman"/>
                <w:sz w:val="24"/>
                <w:szCs w:val="24"/>
              </w:rPr>
              <w:t>t</w:t>
            </w:r>
            <w:r w:rsidR="00D4280E">
              <w:rPr>
                <w:rFonts w:ascii="Times New Roman" w:hAnsi="Times New Roman" w:cs="Times New Roman"/>
                <w:sz w:val="24"/>
                <w:szCs w:val="24"/>
              </w:rPr>
              <w:t xml:space="preserve">as </w:t>
            </w:r>
            <w:r w:rsidR="00A75FF0">
              <w:rPr>
                <w:rFonts w:ascii="Times New Roman" w:hAnsi="Times New Roman" w:cs="Times New Roman"/>
                <w:sz w:val="24"/>
                <w:szCs w:val="24"/>
              </w:rPr>
              <w:t>i</w:t>
            </w:r>
            <w:r w:rsidR="00D4280E">
              <w:rPr>
                <w:rFonts w:ascii="Times New Roman" w:hAnsi="Times New Roman" w:cs="Times New Roman"/>
                <w:sz w:val="24"/>
                <w:szCs w:val="24"/>
              </w:rPr>
              <w:t xml:space="preserve">r, </w:t>
            </w:r>
            <w:r w:rsidR="00A75FF0">
              <w:rPr>
                <w:rFonts w:ascii="Times New Roman" w:hAnsi="Times New Roman" w:cs="Times New Roman"/>
                <w:sz w:val="24"/>
                <w:szCs w:val="24"/>
              </w:rPr>
              <w:t>minimum</w:t>
            </w:r>
            <w:r w:rsidR="00D4280E">
              <w:rPr>
                <w:rFonts w:ascii="Times New Roman" w:hAnsi="Times New Roman" w:cs="Times New Roman"/>
                <w:sz w:val="24"/>
                <w:szCs w:val="24"/>
              </w:rPr>
              <w:t>u</w:t>
            </w:r>
            <w:r w:rsidR="00A75FF0">
              <w:rPr>
                <w:rFonts w:ascii="Times New Roman" w:hAnsi="Times New Roman" w:cs="Times New Roman"/>
                <w:sz w:val="24"/>
                <w:szCs w:val="24"/>
              </w:rPr>
              <w:t>, kas ir jāizpilda attiecībā uz NILLTFNL prasību izpildi atbildīgo darbinieku (tai skaitā no augstākās vadības) piemērotībai (atbilstībai).</w:t>
            </w:r>
          </w:p>
          <w:p w:rsidR="002A635B" w:rsidRDefault="00FA0D49" w:rsidP="00F958B6">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color w:val="212121"/>
                <w:sz w:val="24"/>
                <w:szCs w:val="24"/>
              </w:rPr>
              <w:t xml:space="preserve">Reputācijas riska pārvaldība sākas ar atzīšanu, ka reputācija ir uztveres jautājums. Uzņēmuma vispārējā reputācija ir tās reputācijas funkcija starp dažādām </w:t>
            </w:r>
            <w:r w:rsidRPr="00451F5C">
              <w:rPr>
                <w:rFonts w:ascii="Times New Roman" w:hAnsi="Times New Roman" w:cs="Times New Roman"/>
                <w:color w:val="212121"/>
                <w:sz w:val="24"/>
                <w:szCs w:val="24"/>
              </w:rPr>
              <w:lastRenderedPageBreak/>
              <w:t>ieinteresētajām personām (ieguldītājiem, klientiem, piegādātājiem, darbiniekiem, regulatoriem, politiķiem, nevalstiskajām organizācijām, kopienām, kurās uzņēmums darbojas) konkrētās kategorijās (produktu kvalitāte, korporatīvā pārvaldība, darbinieku attiecības</w:t>
            </w:r>
            <w:r w:rsidR="00D4280E">
              <w:rPr>
                <w:rFonts w:ascii="Times New Roman" w:hAnsi="Times New Roman" w:cs="Times New Roman"/>
                <w:color w:val="212121"/>
                <w:sz w:val="24"/>
                <w:szCs w:val="24"/>
              </w:rPr>
              <w:t>, kā arī</w:t>
            </w:r>
            <w:r w:rsidRPr="00451F5C">
              <w:rPr>
                <w:rFonts w:ascii="Times New Roman" w:hAnsi="Times New Roman" w:cs="Times New Roman"/>
                <w:color w:val="212121"/>
                <w:sz w:val="24"/>
                <w:szCs w:val="24"/>
              </w:rPr>
              <w:t xml:space="preserve"> </w:t>
            </w:r>
            <w:r w:rsidR="00D4280E">
              <w:rPr>
                <w:rFonts w:ascii="Times New Roman" w:hAnsi="Times New Roman" w:cs="Times New Roman"/>
                <w:color w:val="212121"/>
                <w:sz w:val="24"/>
                <w:szCs w:val="24"/>
              </w:rPr>
              <w:t>k</w:t>
            </w:r>
            <w:r w:rsidRPr="00451F5C">
              <w:rPr>
                <w:rFonts w:ascii="Times New Roman" w:hAnsi="Times New Roman" w:cs="Times New Roman"/>
                <w:color w:val="212121"/>
                <w:sz w:val="24"/>
                <w:szCs w:val="24"/>
              </w:rPr>
              <w:t>lientu apkalpošana, intelektuālais kapitāls, finanšu rezultāti, vides un sociālo jautājumu risināšana). Spēcīga, nevainojama reputācija starp ieinteresētajām personām vairākās kategorijās rada uzņēmuma pozitīvu reputāciju kopumā. No iepriekš minētā secin</w:t>
            </w:r>
            <w:r w:rsidR="007A4B2D" w:rsidRPr="00451F5C">
              <w:rPr>
                <w:rFonts w:ascii="Times New Roman" w:hAnsi="Times New Roman" w:cs="Times New Roman"/>
                <w:color w:val="212121"/>
                <w:sz w:val="24"/>
                <w:szCs w:val="24"/>
              </w:rPr>
              <w:t xml:space="preserve">āms, </w:t>
            </w:r>
            <w:r w:rsidR="007A4B2D" w:rsidRPr="00451F5C">
              <w:rPr>
                <w:rFonts w:ascii="Times New Roman" w:hAnsi="Times New Roman" w:cs="Times New Roman"/>
                <w:sz w:val="24"/>
                <w:szCs w:val="24"/>
              </w:rPr>
              <w:t>ka nevainojama reputācija ir nenoteikta satura jēdziens un piemērot vienādus reputācijas noteikšanas kritērijus visiem NILLTFNL subjektiem nozīmētu neievērot</w:t>
            </w:r>
            <w:r w:rsidR="00217FF6">
              <w:rPr>
                <w:rFonts w:ascii="Times New Roman" w:hAnsi="Times New Roman" w:cs="Times New Roman"/>
                <w:sz w:val="24"/>
                <w:szCs w:val="24"/>
              </w:rPr>
              <w:t xml:space="preserve"> </w:t>
            </w:r>
            <w:r w:rsidR="007A4B2D" w:rsidRPr="00451F5C">
              <w:rPr>
                <w:rFonts w:ascii="Times New Roman" w:hAnsi="Times New Roman" w:cs="Times New Roman"/>
                <w:sz w:val="24"/>
                <w:szCs w:val="24"/>
              </w:rPr>
              <w:t xml:space="preserve">katra NILLTFNL subjekta saimnieciskās darbības būtību un </w:t>
            </w:r>
            <w:proofErr w:type="spellStart"/>
            <w:r w:rsidR="007A4B2D" w:rsidRPr="00451F5C">
              <w:rPr>
                <w:rFonts w:ascii="Times New Roman" w:hAnsi="Times New Roman" w:cs="Times New Roman"/>
                <w:sz w:val="24"/>
                <w:szCs w:val="24"/>
              </w:rPr>
              <w:t>prezumēt</w:t>
            </w:r>
            <w:proofErr w:type="spellEnd"/>
            <w:r w:rsidR="007A4B2D" w:rsidRPr="00451F5C">
              <w:rPr>
                <w:rFonts w:ascii="Times New Roman" w:hAnsi="Times New Roman" w:cs="Times New Roman"/>
                <w:sz w:val="24"/>
                <w:szCs w:val="24"/>
              </w:rPr>
              <w:t xml:space="preserve"> to, ka noziedzīgi iegūtu līdzekļu legalizācijas un terorisma finansēšanas pārvaldības riski ir vien</w:t>
            </w:r>
            <w:r w:rsidR="00D54943" w:rsidRPr="00451F5C">
              <w:rPr>
                <w:rFonts w:ascii="Times New Roman" w:hAnsi="Times New Roman" w:cs="Times New Roman"/>
                <w:sz w:val="24"/>
                <w:szCs w:val="24"/>
              </w:rPr>
              <w:t>ādi.</w:t>
            </w:r>
            <w:r w:rsidR="007A4B2D" w:rsidRPr="00451F5C">
              <w:rPr>
                <w:rFonts w:ascii="Times New Roman" w:hAnsi="Times New Roman" w:cs="Times New Roman"/>
                <w:sz w:val="24"/>
                <w:szCs w:val="24"/>
              </w:rPr>
              <w:t xml:space="preserve"> Likumprojekts neparedz augstākās vadības reputācijas vērtēšanas kritērijus</w:t>
            </w:r>
            <w:r w:rsidR="00217FF6">
              <w:rPr>
                <w:rFonts w:ascii="Times New Roman" w:hAnsi="Times New Roman" w:cs="Times New Roman"/>
                <w:sz w:val="24"/>
                <w:szCs w:val="24"/>
              </w:rPr>
              <w:t>, bet</w:t>
            </w:r>
            <w:r w:rsidR="007A4B2D" w:rsidRPr="00451F5C">
              <w:rPr>
                <w:rFonts w:ascii="Times New Roman" w:hAnsi="Times New Roman" w:cs="Times New Roman"/>
                <w:sz w:val="24"/>
                <w:szCs w:val="24"/>
              </w:rPr>
              <w:t xml:space="preserve"> nosaka, ka persona</w:t>
            </w:r>
            <w:r w:rsidR="00217FF6">
              <w:rPr>
                <w:rFonts w:ascii="Times New Roman" w:hAnsi="Times New Roman" w:cs="Times New Roman"/>
                <w:sz w:val="24"/>
                <w:szCs w:val="24"/>
              </w:rPr>
              <w:t>,</w:t>
            </w:r>
            <w:r w:rsidR="007A4B2D" w:rsidRPr="00451F5C">
              <w:rPr>
                <w:rFonts w:ascii="Times New Roman" w:hAnsi="Times New Roman" w:cs="Times New Roman"/>
                <w:sz w:val="24"/>
                <w:szCs w:val="24"/>
              </w:rPr>
              <w:t xml:space="preserve"> kurai nav nevainojama reputācija</w:t>
            </w:r>
            <w:r w:rsidR="00217FF6">
              <w:rPr>
                <w:rFonts w:ascii="Times New Roman" w:hAnsi="Times New Roman" w:cs="Times New Roman"/>
                <w:sz w:val="24"/>
                <w:szCs w:val="24"/>
              </w:rPr>
              <w:t>,</w:t>
            </w:r>
            <w:r w:rsidR="007A4B2D" w:rsidRPr="00451F5C">
              <w:rPr>
                <w:rFonts w:ascii="Times New Roman" w:hAnsi="Times New Roman" w:cs="Times New Roman"/>
                <w:sz w:val="24"/>
                <w:szCs w:val="24"/>
              </w:rPr>
              <w:t xml:space="preserve"> nevar būt par augstākās vadības locekli</w:t>
            </w:r>
            <w:r w:rsidR="00217FF6">
              <w:rPr>
                <w:rFonts w:ascii="Times New Roman" w:hAnsi="Times New Roman" w:cs="Times New Roman"/>
                <w:sz w:val="24"/>
                <w:szCs w:val="24"/>
              </w:rPr>
              <w:t xml:space="preserve"> NILLTFNL subjektā</w:t>
            </w:r>
            <w:r w:rsidR="007A4B2D" w:rsidRPr="00451F5C">
              <w:rPr>
                <w:rFonts w:ascii="Times New Roman" w:hAnsi="Times New Roman" w:cs="Times New Roman"/>
                <w:sz w:val="24"/>
                <w:szCs w:val="24"/>
              </w:rPr>
              <w:t>.</w:t>
            </w:r>
          </w:p>
          <w:p w:rsidR="000622B3" w:rsidRDefault="000622B3" w:rsidP="000622B3">
            <w:pPr>
              <w:spacing w:after="0" w:line="240" w:lineRule="auto"/>
              <w:jc w:val="both"/>
              <w:rPr>
                <w:rFonts w:ascii="Times New Roman" w:hAnsi="Times New Roman" w:cs="Times New Roman"/>
                <w:sz w:val="24"/>
                <w:szCs w:val="24"/>
              </w:rPr>
            </w:pPr>
          </w:p>
          <w:p w:rsidR="000622B3" w:rsidRPr="000622B3" w:rsidRDefault="000622B3" w:rsidP="000622B3">
            <w:pPr>
              <w:spacing w:after="0" w:line="240" w:lineRule="auto"/>
              <w:jc w:val="both"/>
              <w:rPr>
                <w:rFonts w:ascii="Times New Roman" w:hAnsi="Times New Roman" w:cs="Times New Roman"/>
                <w:sz w:val="24"/>
                <w:szCs w:val="24"/>
                <w:u w:val="single"/>
              </w:rPr>
            </w:pPr>
            <w:r w:rsidRPr="000622B3">
              <w:rPr>
                <w:rFonts w:ascii="Times New Roman" w:hAnsi="Times New Roman" w:cs="Times New Roman"/>
                <w:sz w:val="24"/>
                <w:szCs w:val="24"/>
                <w:u w:val="single"/>
              </w:rPr>
              <w:t>Likumprojekta 14.pants:</w:t>
            </w:r>
          </w:p>
          <w:p w:rsidR="000622B3" w:rsidRDefault="00727030" w:rsidP="001807E9">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Atbilstoši </w:t>
            </w:r>
            <w:proofErr w:type="spellStart"/>
            <w:r>
              <w:rPr>
                <w:rFonts w:ascii="Times New Roman" w:hAnsi="Times New Roman" w:cs="Times New Roman"/>
                <w:sz w:val="24"/>
                <w:szCs w:val="24"/>
              </w:rPr>
              <w:t>Moneyval</w:t>
            </w:r>
            <w:proofErr w:type="spellEnd"/>
            <w:r>
              <w:rPr>
                <w:rFonts w:ascii="Times New Roman" w:hAnsi="Times New Roman" w:cs="Times New Roman"/>
                <w:sz w:val="24"/>
                <w:szCs w:val="24"/>
              </w:rPr>
              <w:t xml:space="preserve"> ziņojuma </w:t>
            </w:r>
            <w:r w:rsidRPr="00451F5C">
              <w:rPr>
                <w:rFonts w:ascii="Times New Roman" w:hAnsi="Times New Roman" w:cs="Times New Roman"/>
                <w:sz w:val="24"/>
                <w:szCs w:val="24"/>
              </w:rPr>
              <w:t>Rec.</w:t>
            </w:r>
            <w:r>
              <w:rPr>
                <w:rFonts w:ascii="Times New Roman" w:hAnsi="Times New Roman" w:cs="Times New Roman"/>
                <w:sz w:val="24"/>
                <w:szCs w:val="24"/>
              </w:rPr>
              <w:t>10</w:t>
            </w:r>
            <w:r w:rsidRPr="00451F5C">
              <w:rPr>
                <w:rFonts w:ascii="Times New Roman" w:hAnsi="Times New Roman" w:cs="Times New Roman"/>
                <w:sz w:val="24"/>
                <w:szCs w:val="24"/>
              </w:rPr>
              <w:t>.Cr.</w:t>
            </w:r>
            <w:r>
              <w:rPr>
                <w:rFonts w:ascii="Times New Roman" w:hAnsi="Times New Roman" w:cs="Times New Roman"/>
                <w:sz w:val="24"/>
                <w:szCs w:val="24"/>
              </w:rPr>
              <w:t>10</w:t>
            </w:r>
            <w:r w:rsidRPr="00451F5C">
              <w:rPr>
                <w:rFonts w:ascii="Times New Roman" w:hAnsi="Times New Roman" w:cs="Times New Roman"/>
                <w:sz w:val="24"/>
                <w:szCs w:val="24"/>
              </w:rPr>
              <w:t xml:space="preserve">.2 (2.pielikums </w:t>
            </w:r>
            <w:r>
              <w:rPr>
                <w:rFonts w:ascii="Times New Roman" w:hAnsi="Times New Roman" w:cs="Times New Roman"/>
                <w:sz w:val="24"/>
                <w:szCs w:val="24"/>
              </w:rPr>
              <w:t>10.1</w:t>
            </w:r>
            <w:r w:rsidRPr="00451F5C">
              <w:rPr>
                <w:rFonts w:ascii="Times New Roman" w:hAnsi="Times New Roman" w:cs="Times New Roman"/>
                <w:sz w:val="24"/>
                <w:szCs w:val="24"/>
              </w:rPr>
              <w:t>.)</w:t>
            </w:r>
            <w:r>
              <w:rPr>
                <w:rFonts w:ascii="Times New Roman" w:hAnsi="Times New Roman" w:cs="Times New Roman"/>
                <w:sz w:val="24"/>
                <w:szCs w:val="24"/>
              </w:rPr>
              <w:t>.</w:t>
            </w:r>
          </w:p>
          <w:p w:rsidR="00D577A1" w:rsidRDefault="00253FDF" w:rsidP="008F12B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Lai nodrošinātu efektīvu NILLTFNL risku identificēšanu, novēršanu un ēnu ekonomikas samazināšanu</w:t>
            </w:r>
            <w:r w:rsidR="00217FF6">
              <w:rPr>
                <w:rFonts w:ascii="Times New Roman" w:hAnsi="Times New Roman" w:cs="Times New Roman"/>
                <w:sz w:val="24"/>
                <w:szCs w:val="24"/>
              </w:rPr>
              <w:t>,</w:t>
            </w:r>
            <w:r>
              <w:rPr>
                <w:rFonts w:ascii="Times New Roman" w:hAnsi="Times New Roman" w:cs="Times New Roman"/>
                <w:sz w:val="24"/>
                <w:szCs w:val="24"/>
              </w:rPr>
              <w:t xml:space="preserve"> ir iekļauti grozījumi NILLTFNL 11.pantā</w:t>
            </w:r>
            <w:r w:rsidR="00217FF6">
              <w:rPr>
                <w:rFonts w:ascii="Times New Roman" w:hAnsi="Times New Roman" w:cs="Times New Roman"/>
                <w:sz w:val="24"/>
                <w:szCs w:val="24"/>
              </w:rPr>
              <w:t>,</w:t>
            </w:r>
            <w:r>
              <w:rPr>
                <w:rFonts w:ascii="Times New Roman" w:hAnsi="Times New Roman" w:cs="Times New Roman"/>
                <w:sz w:val="24"/>
                <w:szCs w:val="24"/>
              </w:rPr>
              <w:t xml:space="preserve"> papildinot </w:t>
            </w:r>
            <w:r w:rsidR="00217FF6">
              <w:rPr>
                <w:rFonts w:ascii="Times New Roman" w:hAnsi="Times New Roman" w:cs="Times New Roman"/>
                <w:sz w:val="24"/>
                <w:szCs w:val="24"/>
              </w:rPr>
              <w:t xml:space="preserve">to </w:t>
            </w:r>
            <w:r>
              <w:rPr>
                <w:rFonts w:ascii="Times New Roman" w:hAnsi="Times New Roman" w:cs="Times New Roman"/>
                <w:sz w:val="24"/>
                <w:szCs w:val="24"/>
              </w:rPr>
              <w:t>ar darījumiem vai gadījuma rakstura darījumiem, kuros tiek izmatota virtuālā valūta.</w:t>
            </w:r>
          </w:p>
          <w:p w:rsidR="00C63A9C" w:rsidRDefault="00905BB4" w:rsidP="008F12B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Tiek izdarīti grozījumi NILLTFNL 11.panta septītajā daļā, a</w:t>
            </w:r>
            <w:r w:rsidR="006A7540">
              <w:rPr>
                <w:rFonts w:ascii="Times New Roman" w:hAnsi="Times New Roman" w:cs="Times New Roman"/>
                <w:sz w:val="24"/>
                <w:szCs w:val="24"/>
              </w:rPr>
              <w:t xml:space="preserve">tbilstoši </w:t>
            </w:r>
            <w:proofErr w:type="spellStart"/>
            <w:r w:rsidR="006A7540">
              <w:rPr>
                <w:rFonts w:ascii="Times New Roman" w:hAnsi="Times New Roman" w:cs="Times New Roman"/>
                <w:sz w:val="24"/>
                <w:szCs w:val="24"/>
              </w:rPr>
              <w:t>Moneyval</w:t>
            </w:r>
            <w:proofErr w:type="spellEnd"/>
            <w:r w:rsidR="006A7540">
              <w:rPr>
                <w:rFonts w:ascii="Times New Roman" w:hAnsi="Times New Roman" w:cs="Times New Roman"/>
                <w:sz w:val="24"/>
                <w:szCs w:val="24"/>
              </w:rPr>
              <w:t xml:space="preserve"> ziņojuma </w:t>
            </w:r>
            <w:r w:rsidR="000B3E79" w:rsidRPr="00451F5C">
              <w:rPr>
                <w:rFonts w:ascii="Times New Roman" w:hAnsi="Times New Roman" w:cs="Times New Roman"/>
                <w:sz w:val="24"/>
                <w:szCs w:val="24"/>
              </w:rPr>
              <w:t>Rec.</w:t>
            </w:r>
            <w:r w:rsidR="000B3E79">
              <w:rPr>
                <w:rFonts w:ascii="Times New Roman" w:hAnsi="Times New Roman" w:cs="Times New Roman"/>
                <w:sz w:val="24"/>
                <w:szCs w:val="24"/>
              </w:rPr>
              <w:t>10</w:t>
            </w:r>
            <w:r w:rsidR="000B3E79" w:rsidRPr="00451F5C">
              <w:rPr>
                <w:rFonts w:ascii="Times New Roman" w:hAnsi="Times New Roman" w:cs="Times New Roman"/>
                <w:sz w:val="24"/>
                <w:szCs w:val="24"/>
              </w:rPr>
              <w:t>.Cr.</w:t>
            </w:r>
            <w:r w:rsidR="000B3E79">
              <w:rPr>
                <w:rFonts w:ascii="Times New Roman" w:hAnsi="Times New Roman" w:cs="Times New Roman"/>
                <w:sz w:val="24"/>
                <w:szCs w:val="24"/>
              </w:rPr>
              <w:t>10</w:t>
            </w:r>
            <w:r w:rsidR="000B3E79" w:rsidRPr="00451F5C">
              <w:rPr>
                <w:rFonts w:ascii="Times New Roman" w:hAnsi="Times New Roman" w:cs="Times New Roman"/>
                <w:sz w:val="24"/>
                <w:szCs w:val="24"/>
              </w:rPr>
              <w:t xml:space="preserve">.2 (2.pielikums </w:t>
            </w:r>
            <w:r w:rsidR="000B3E79">
              <w:rPr>
                <w:rFonts w:ascii="Times New Roman" w:hAnsi="Times New Roman" w:cs="Times New Roman"/>
                <w:sz w:val="24"/>
                <w:szCs w:val="24"/>
              </w:rPr>
              <w:t>10.4</w:t>
            </w:r>
            <w:r w:rsidR="000B3E79" w:rsidRPr="00451F5C">
              <w:rPr>
                <w:rFonts w:ascii="Times New Roman" w:hAnsi="Times New Roman" w:cs="Times New Roman"/>
                <w:sz w:val="24"/>
                <w:szCs w:val="24"/>
              </w:rPr>
              <w:t>.)</w:t>
            </w:r>
            <w:r>
              <w:rPr>
                <w:rFonts w:ascii="Times New Roman" w:hAnsi="Times New Roman" w:cs="Times New Roman"/>
                <w:sz w:val="24"/>
                <w:szCs w:val="24"/>
              </w:rPr>
              <w:t xml:space="preserve"> par to, ka NILLTFNL subjektiem nav uzlikts par pienākumu atturēties no konta atvēršanas, darījuma attiecību uzsākšanas vai izbeigt darījuma attiecības gadījumos, kad nav iespējams nodrošināt visu klienta izpētes pasākumu veikšanu. </w:t>
            </w:r>
          </w:p>
          <w:p w:rsidR="00905BB4" w:rsidRDefault="00905BB4" w:rsidP="008F12B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NILLTFNL 11.pants tiek papildināts ar jaunu devīto daļu, atbilstoši </w:t>
            </w:r>
            <w:r w:rsidR="00FF4ED7" w:rsidRPr="00451F5C">
              <w:rPr>
                <w:rFonts w:ascii="Times New Roman" w:hAnsi="Times New Roman" w:cs="Times New Roman"/>
                <w:sz w:val="24"/>
                <w:szCs w:val="24"/>
              </w:rPr>
              <w:t>Rec.</w:t>
            </w:r>
            <w:r w:rsidR="00FF4ED7">
              <w:rPr>
                <w:rFonts w:ascii="Times New Roman" w:hAnsi="Times New Roman" w:cs="Times New Roman"/>
                <w:sz w:val="24"/>
                <w:szCs w:val="24"/>
              </w:rPr>
              <w:t>22</w:t>
            </w:r>
            <w:r w:rsidR="00FF4ED7" w:rsidRPr="00451F5C">
              <w:rPr>
                <w:rFonts w:ascii="Times New Roman" w:hAnsi="Times New Roman" w:cs="Times New Roman"/>
                <w:sz w:val="24"/>
                <w:szCs w:val="24"/>
              </w:rPr>
              <w:t>.Cr.</w:t>
            </w:r>
            <w:r w:rsidR="00FF4ED7">
              <w:rPr>
                <w:rFonts w:ascii="Times New Roman" w:hAnsi="Times New Roman" w:cs="Times New Roman"/>
                <w:sz w:val="24"/>
                <w:szCs w:val="24"/>
              </w:rPr>
              <w:t>22.1</w:t>
            </w:r>
            <w:r w:rsidR="00FF4ED7" w:rsidRPr="00451F5C">
              <w:rPr>
                <w:rFonts w:ascii="Times New Roman" w:hAnsi="Times New Roman" w:cs="Times New Roman"/>
                <w:sz w:val="24"/>
                <w:szCs w:val="24"/>
              </w:rPr>
              <w:t xml:space="preserve"> (2.pielikums </w:t>
            </w:r>
            <w:r w:rsidR="00FF4ED7">
              <w:rPr>
                <w:rFonts w:ascii="Times New Roman" w:hAnsi="Times New Roman" w:cs="Times New Roman"/>
                <w:sz w:val="24"/>
                <w:szCs w:val="24"/>
              </w:rPr>
              <w:t>22</w:t>
            </w:r>
            <w:r w:rsidR="00FF4ED7" w:rsidRPr="00451F5C">
              <w:rPr>
                <w:rFonts w:ascii="Times New Roman" w:hAnsi="Times New Roman" w:cs="Times New Roman"/>
                <w:sz w:val="24"/>
                <w:szCs w:val="24"/>
              </w:rPr>
              <w:t>.</w:t>
            </w:r>
            <w:r w:rsidR="00FF4ED7">
              <w:rPr>
                <w:rFonts w:ascii="Times New Roman" w:hAnsi="Times New Roman" w:cs="Times New Roman"/>
                <w:sz w:val="24"/>
                <w:szCs w:val="24"/>
              </w:rPr>
              <w:t>2</w:t>
            </w:r>
            <w:r w:rsidR="00FF4ED7" w:rsidRPr="00451F5C">
              <w:rPr>
                <w:rFonts w:ascii="Times New Roman" w:hAnsi="Times New Roman" w:cs="Times New Roman"/>
                <w:sz w:val="24"/>
                <w:szCs w:val="24"/>
              </w:rPr>
              <w:t>)</w:t>
            </w:r>
            <w:r w:rsidR="00217FF6">
              <w:rPr>
                <w:rFonts w:ascii="Times New Roman" w:hAnsi="Times New Roman" w:cs="Times New Roman"/>
                <w:sz w:val="24"/>
                <w:szCs w:val="24"/>
              </w:rPr>
              <w:t xml:space="preserve">, par to, ka </w:t>
            </w:r>
            <w:r w:rsidR="000D57FC">
              <w:rPr>
                <w:rFonts w:ascii="Times New Roman" w:hAnsi="Times New Roman" w:cs="Times New Roman"/>
                <w:sz w:val="24"/>
                <w:szCs w:val="24"/>
              </w:rPr>
              <w:t xml:space="preserve">nekustamā īpašuma aģentiem </w:t>
            </w:r>
            <w:r w:rsidR="00217FF6">
              <w:rPr>
                <w:rFonts w:ascii="Times New Roman" w:hAnsi="Times New Roman" w:cs="Times New Roman"/>
                <w:sz w:val="24"/>
                <w:szCs w:val="24"/>
              </w:rPr>
              <w:t xml:space="preserve">nepieciešams </w:t>
            </w:r>
            <w:r w:rsidR="000D57FC">
              <w:rPr>
                <w:rFonts w:ascii="Times New Roman" w:hAnsi="Times New Roman" w:cs="Times New Roman"/>
                <w:sz w:val="24"/>
                <w:szCs w:val="24"/>
              </w:rPr>
              <w:t>izpildīt klienta izpētes prasības attiecībā uz nekustamā īpašuma pircējiem un pārdevējiem.</w:t>
            </w:r>
          </w:p>
          <w:p w:rsidR="008F12B7" w:rsidRPr="00451F5C" w:rsidRDefault="008F12B7" w:rsidP="008F12B7">
            <w:pPr>
              <w:spacing w:after="0" w:line="240" w:lineRule="auto"/>
              <w:ind w:firstLine="391"/>
              <w:jc w:val="both"/>
              <w:rPr>
                <w:rFonts w:ascii="Times New Roman" w:hAnsi="Times New Roman" w:cs="Times New Roman"/>
                <w:sz w:val="24"/>
                <w:szCs w:val="24"/>
              </w:rPr>
            </w:pPr>
          </w:p>
          <w:p w:rsidR="00D013CB" w:rsidRPr="000622B3" w:rsidRDefault="00074EDF" w:rsidP="00C31C47">
            <w:pPr>
              <w:spacing w:after="0" w:line="240" w:lineRule="auto"/>
              <w:jc w:val="both"/>
              <w:rPr>
                <w:rFonts w:ascii="Times New Roman" w:hAnsi="Times New Roman" w:cs="Times New Roman"/>
                <w:sz w:val="24"/>
                <w:szCs w:val="24"/>
                <w:u w:val="single"/>
              </w:rPr>
            </w:pPr>
            <w:r w:rsidRPr="000622B3">
              <w:rPr>
                <w:rFonts w:ascii="Times New Roman" w:hAnsi="Times New Roman" w:cs="Times New Roman"/>
                <w:sz w:val="24"/>
                <w:szCs w:val="24"/>
                <w:u w:val="single"/>
              </w:rPr>
              <w:t>Likumprojekta 15</w:t>
            </w:r>
            <w:r w:rsidR="00D013CB" w:rsidRPr="000622B3">
              <w:rPr>
                <w:rFonts w:ascii="Times New Roman" w:hAnsi="Times New Roman" w:cs="Times New Roman"/>
                <w:sz w:val="24"/>
                <w:szCs w:val="24"/>
                <w:u w:val="single"/>
              </w:rPr>
              <w:t>.pants:</w:t>
            </w:r>
          </w:p>
          <w:p w:rsidR="00D013CB" w:rsidRPr="00451F5C" w:rsidRDefault="00353B96"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w:t>
            </w:r>
            <w:r w:rsidR="00217FF6">
              <w:rPr>
                <w:rFonts w:ascii="Times New Roman" w:hAnsi="Times New Roman" w:cs="Times New Roman"/>
                <w:sz w:val="24"/>
                <w:szCs w:val="24"/>
              </w:rPr>
              <w:t xml:space="preserve">tiek transponēts </w:t>
            </w:r>
            <w:r w:rsidRPr="00451F5C">
              <w:rPr>
                <w:rFonts w:ascii="Times New Roman" w:hAnsi="Times New Roman" w:cs="Times New Roman"/>
                <w:sz w:val="24"/>
                <w:szCs w:val="24"/>
              </w:rPr>
              <w:t>AML</w:t>
            </w:r>
            <w:r w:rsidR="000676AC">
              <w:rPr>
                <w:rFonts w:ascii="Times New Roman" w:hAnsi="Times New Roman" w:cs="Times New Roman"/>
                <w:sz w:val="24"/>
                <w:szCs w:val="24"/>
              </w:rPr>
              <w:t xml:space="preserve"> </w:t>
            </w:r>
            <w:r w:rsidRPr="00451F5C">
              <w:rPr>
                <w:rFonts w:ascii="Times New Roman" w:hAnsi="Times New Roman" w:cs="Times New Roman"/>
                <w:sz w:val="24"/>
                <w:szCs w:val="24"/>
              </w:rPr>
              <w:t>V direktīvas  9.punkta b) apakšpunkt</w:t>
            </w:r>
            <w:r w:rsidR="00217FF6">
              <w:rPr>
                <w:rFonts w:ascii="Times New Roman" w:hAnsi="Times New Roman" w:cs="Times New Roman"/>
                <w:sz w:val="24"/>
                <w:szCs w:val="24"/>
              </w:rPr>
              <w:t>s</w:t>
            </w:r>
            <w:r w:rsidRPr="00451F5C">
              <w:rPr>
                <w:rFonts w:ascii="Times New Roman" w:hAnsi="Times New Roman" w:cs="Times New Roman"/>
                <w:sz w:val="24"/>
                <w:szCs w:val="24"/>
              </w:rPr>
              <w:t>.</w:t>
            </w:r>
          </w:p>
          <w:p w:rsidR="00FA0B61" w:rsidRPr="00451F5C" w:rsidRDefault="00FA0B61" w:rsidP="00C31C47">
            <w:pPr>
              <w:spacing w:after="0" w:line="240" w:lineRule="auto"/>
              <w:jc w:val="both"/>
              <w:rPr>
                <w:rFonts w:ascii="Times New Roman" w:hAnsi="Times New Roman" w:cs="Times New Roman"/>
                <w:sz w:val="24"/>
                <w:szCs w:val="24"/>
              </w:rPr>
            </w:pPr>
          </w:p>
          <w:p w:rsidR="00D013CB" w:rsidRPr="00144888" w:rsidRDefault="005C3BCA" w:rsidP="00C31C47">
            <w:pPr>
              <w:spacing w:after="0" w:line="240" w:lineRule="auto"/>
              <w:jc w:val="both"/>
              <w:rPr>
                <w:rFonts w:ascii="Times New Roman" w:hAnsi="Times New Roman" w:cs="Times New Roman"/>
                <w:sz w:val="24"/>
                <w:szCs w:val="24"/>
                <w:u w:val="single"/>
              </w:rPr>
            </w:pPr>
            <w:r w:rsidRPr="00144888">
              <w:rPr>
                <w:rFonts w:ascii="Times New Roman" w:hAnsi="Times New Roman" w:cs="Times New Roman"/>
                <w:sz w:val="24"/>
                <w:szCs w:val="24"/>
                <w:u w:val="single"/>
              </w:rPr>
              <w:t>Likumprojekta 16</w:t>
            </w:r>
            <w:r w:rsidR="00D013CB" w:rsidRPr="00144888">
              <w:rPr>
                <w:rFonts w:ascii="Times New Roman" w:hAnsi="Times New Roman" w:cs="Times New Roman"/>
                <w:sz w:val="24"/>
                <w:szCs w:val="24"/>
                <w:u w:val="single"/>
              </w:rPr>
              <w:t>.pants:</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144888">
              <w:rPr>
                <w:rFonts w:ascii="Times New Roman" w:hAnsi="Times New Roman" w:cs="Times New Roman"/>
                <w:sz w:val="24"/>
                <w:szCs w:val="24"/>
              </w:rPr>
              <w:lastRenderedPageBreak/>
              <w:t>Atbilstoši AML V direktīvas 16.punktam c) apakšpunktā noteiktajam</w:t>
            </w:r>
            <w:r w:rsidR="00144888">
              <w:rPr>
                <w:rFonts w:ascii="Times New Roman" w:hAnsi="Times New Roman" w:cs="Times New Roman"/>
                <w:sz w:val="24"/>
                <w:szCs w:val="24"/>
              </w:rPr>
              <w:t>, transponēta prasība</w:t>
            </w:r>
            <w:r w:rsidRPr="00451F5C">
              <w:rPr>
                <w:rFonts w:ascii="Times New Roman" w:hAnsi="Times New Roman" w:cs="Times New Roman"/>
                <w:sz w:val="24"/>
                <w:szCs w:val="24"/>
              </w:rPr>
              <w:t xml:space="preserve"> juridiska veidojuma identificēšanai attiecībā uz informācijas iegūšanu par juridiskā veidojuma pilnvarotās personas vai personas, kam ir līdzvērtīgs amats</w:t>
            </w:r>
            <w:r w:rsidR="00144888">
              <w:rPr>
                <w:rFonts w:ascii="Times New Roman" w:hAnsi="Times New Roman" w:cs="Times New Roman"/>
                <w:sz w:val="24"/>
                <w:szCs w:val="24"/>
              </w:rPr>
              <w:t>,</w:t>
            </w:r>
            <w:r w:rsidRPr="00451F5C">
              <w:rPr>
                <w:rFonts w:ascii="Times New Roman" w:hAnsi="Times New Roman" w:cs="Times New Roman"/>
                <w:sz w:val="24"/>
                <w:szCs w:val="24"/>
              </w:rPr>
              <w:t xml:space="preserve"> iegūšanu.</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012328" w:rsidRDefault="00D013CB" w:rsidP="00C31C47">
            <w:pPr>
              <w:spacing w:after="0" w:line="240" w:lineRule="auto"/>
              <w:jc w:val="both"/>
              <w:rPr>
                <w:rFonts w:ascii="Times New Roman" w:hAnsi="Times New Roman" w:cs="Times New Roman"/>
                <w:sz w:val="24"/>
                <w:szCs w:val="24"/>
                <w:u w:val="single"/>
              </w:rPr>
            </w:pPr>
            <w:r w:rsidRPr="00012328">
              <w:rPr>
                <w:rFonts w:ascii="Times New Roman" w:hAnsi="Times New Roman" w:cs="Times New Roman"/>
                <w:sz w:val="24"/>
                <w:szCs w:val="24"/>
                <w:u w:val="single"/>
              </w:rPr>
              <w:t>Likumprojekta 1</w:t>
            </w:r>
            <w:r w:rsidR="00AE3453" w:rsidRPr="00012328">
              <w:rPr>
                <w:rFonts w:ascii="Times New Roman" w:hAnsi="Times New Roman" w:cs="Times New Roman"/>
                <w:sz w:val="24"/>
                <w:szCs w:val="24"/>
                <w:u w:val="single"/>
              </w:rPr>
              <w:t>7</w:t>
            </w:r>
            <w:r w:rsidRPr="00012328">
              <w:rPr>
                <w:rFonts w:ascii="Times New Roman" w:hAnsi="Times New Roman" w:cs="Times New Roman"/>
                <w:sz w:val="24"/>
                <w:szCs w:val="24"/>
                <w:u w:val="single"/>
              </w:rPr>
              <w:t>.pants:</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Visiem NILLTFNL subjektiem tiek paredzēta personu identificējošo dokumentu kopiju izgatavošana (skenēšana), kas nodrošina arī pierādījumus klienta klātienes identifikācijai. Tiek ņemts vērā, ka NILLTFNL subjekti drīkst veikt klientu neklātienes identifikāciju, un to nav iespējams veikt bez personas apliecinoša dokumenta elektroniska attēla – kopijas – izgatavošanas (2018. gada 3. jūlija Ministru kabineta noteikum</w:t>
            </w:r>
            <w:r w:rsidR="00144888">
              <w:rPr>
                <w:rFonts w:ascii="Times New Roman" w:hAnsi="Times New Roman" w:cs="Times New Roman"/>
                <w:sz w:val="24"/>
                <w:szCs w:val="24"/>
              </w:rPr>
              <w:t>i</w:t>
            </w:r>
            <w:r w:rsidRPr="00451F5C">
              <w:rPr>
                <w:rFonts w:ascii="Times New Roman" w:hAnsi="Times New Roman" w:cs="Times New Roman"/>
                <w:sz w:val="24"/>
                <w:szCs w:val="24"/>
              </w:rPr>
              <w:t xml:space="preserve"> Nr. 392 ‘’Kārtība, kādā Noziedzīgi iegūtu līdzekļu legalizācijas un terorisma finansēšanas subjekts veic klienta neklātienes identifikāciju’’</w:t>
            </w:r>
            <w:r w:rsidRPr="00012328">
              <w:rPr>
                <w:vertAlign w:val="superscript"/>
              </w:rPr>
              <w:footnoteReference w:id="3"/>
            </w:r>
            <w:r w:rsidRPr="00451F5C">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5C3BCA" w:rsidRDefault="00D013CB" w:rsidP="00C31C47">
            <w:pPr>
              <w:spacing w:after="0" w:line="240" w:lineRule="auto"/>
              <w:jc w:val="both"/>
              <w:rPr>
                <w:rFonts w:ascii="Times New Roman" w:hAnsi="Times New Roman" w:cs="Times New Roman"/>
                <w:sz w:val="24"/>
                <w:szCs w:val="24"/>
                <w:u w:val="single"/>
              </w:rPr>
            </w:pPr>
            <w:r w:rsidRPr="005C3BCA">
              <w:rPr>
                <w:rFonts w:ascii="Times New Roman" w:hAnsi="Times New Roman" w:cs="Times New Roman"/>
                <w:sz w:val="24"/>
                <w:szCs w:val="24"/>
                <w:u w:val="single"/>
              </w:rPr>
              <w:t>Likumprojekta</w:t>
            </w:r>
            <w:r w:rsidR="00C7523C" w:rsidRPr="005C3BCA">
              <w:rPr>
                <w:rFonts w:ascii="Times New Roman" w:hAnsi="Times New Roman" w:cs="Times New Roman"/>
                <w:sz w:val="24"/>
                <w:szCs w:val="24"/>
                <w:u w:val="single"/>
              </w:rPr>
              <w:t xml:space="preserve"> 18</w:t>
            </w:r>
            <w:r w:rsidRPr="005C3BCA">
              <w:rPr>
                <w:rFonts w:ascii="Times New Roman" w:hAnsi="Times New Roman" w:cs="Times New Roman"/>
                <w:sz w:val="24"/>
                <w:szCs w:val="24"/>
                <w:u w:val="single"/>
              </w:rPr>
              <w:t>.pants:</w:t>
            </w:r>
          </w:p>
          <w:p w:rsidR="00D013CB" w:rsidRPr="00451F5C" w:rsidRDefault="00EF25D5"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Individuālo</w:t>
            </w:r>
            <w:r w:rsidR="00D013CB" w:rsidRPr="00451F5C">
              <w:rPr>
                <w:rFonts w:ascii="Times New Roman" w:hAnsi="Times New Roman" w:cs="Times New Roman"/>
                <w:sz w:val="24"/>
                <w:szCs w:val="24"/>
              </w:rPr>
              <w:t xml:space="preserve"> seifu, jo īpaši</w:t>
            </w:r>
            <w:r w:rsidR="00144888">
              <w:rPr>
                <w:rFonts w:ascii="Times New Roman" w:hAnsi="Times New Roman" w:cs="Times New Roman"/>
                <w:sz w:val="24"/>
                <w:szCs w:val="24"/>
              </w:rPr>
              <w:t>,</w:t>
            </w:r>
            <w:r w:rsidR="00D013CB" w:rsidRPr="00451F5C">
              <w:rPr>
                <w:rFonts w:ascii="Times New Roman" w:hAnsi="Times New Roman" w:cs="Times New Roman"/>
                <w:sz w:val="24"/>
                <w:szCs w:val="24"/>
              </w:rPr>
              <w:t xml:space="preserve"> anonīmu turētāju identitāte traucē finanšu izlūkošanas dienestu un uzraudzības un kontroles iestāžu piekļuvi informācijai ar terorismu </w:t>
            </w:r>
            <w:r w:rsidRPr="00451F5C">
              <w:rPr>
                <w:rFonts w:ascii="Times New Roman" w:hAnsi="Times New Roman" w:cs="Times New Roman"/>
                <w:sz w:val="24"/>
                <w:szCs w:val="24"/>
              </w:rPr>
              <w:t>saistīto</w:t>
            </w:r>
            <w:r w:rsidR="00D013CB" w:rsidRPr="00451F5C">
              <w:rPr>
                <w:rFonts w:ascii="Times New Roman" w:hAnsi="Times New Roman" w:cs="Times New Roman"/>
                <w:sz w:val="24"/>
                <w:szCs w:val="24"/>
              </w:rPr>
              <w:t xml:space="preserve"> līdzekļu pārvedumu atklāšanai. Lai efektīvi cīnītos un mazinātu noziedzīgi iegūtu līdzekļu legalizācijas un terorisma </w:t>
            </w:r>
            <w:r w:rsidRPr="00451F5C">
              <w:rPr>
                <w:rFonts w:ascii="Times New Roman" w:hAnsi="Times New Roman" w:cs="Times New Roman"/>
                <w:sz w:val="24"/>
                <w:szCs w:val="24"/>
              </w:rPr>
              <w:t>finansēšanas</w:t>
            </w:r>
            <w:r w:rsidR="00D013CB" w:rsidRPr="00451F5C">
              <w:rPr>
                <w:rFonts w:ascii="Times New Roman" w:hAnsi="Times New Roman" w:cs="Times New Roman"/>
                <w:sz w:val="24"/>
                <w:szCs w:val="24"/>
              </w:rPr>
              <w:t xml:space="preserve"> riskus</w:t>
            </w:r>
            <w:r w:rsidR="00144888">
              <w:rPr>
                <w:rFonts w:ascii="Times New Roman" w:hAnsi="Times New Roman" w:cs="Times New Roman"/>
                <w:sz w:val="24"/>
                <w:szCs w:val="24"/>
              </w:rPr>
              <w:t>,</w:t>
            </w:r>
            <w:r w:rsidR="00D013CB" w:rsidRPr="00451F5C">
              <w:rPr>
                <w:rFonts w:ascii="Times New Roman" w:hAnsi="Times New Roman" w:cs="Times New Roman"/>
                <w:sz w:val="24"/>
                <w:szCs w:val="24"/>
              </w:rPr>
              <w:t xml:space="preserve"> ir noteikts aizliegums kredītiestādēm un </w:t>
            </w:r>
            <w:r w:rsidRPr="00451F5C">
              <w:rPr>
                <w:rFonts w:ascii="Times New Roman" w:hAnsi="Times New Roman" w:cs="Times New Roman"/>
                <w:sz w:val="24"/>
                <w:szCs w:val="24"/>
              </w:rPr>
              <w:t>finanšu</w:t>
            </w:r>
            <w:r w:rsidR="00D013CB" w:rsidRPr="00451F5C">
              <w:rPr>
                <w:rFonts w:ascii="Times New Roman" w:hAnsi="Times New Roman" w:cs="Times New Roman"/>
                <w:sz w:val="24"/>
                <w:szCs w:val="24"/>
              </w:rPr>
              <w:t xml:space="preserve"> iestādēm uzturēt anonīmus individuālos seifus.</w:t>
            </w:r>
          </w:p>
          <w:p w:rsidR="00D013CB" w:rsidRPr="00451F5C" w:rsidRDefault="00D013CB" w:rsidP="00C31C47">
            <w:pPr>
              <w:spacing w:after="0" w:line="240" w:lineRule="auto"/>
              <w:jc w:val="both"/>
              <w:rPr>
                <w:rFonts w:ascii="Times New Roman" w:hAnsi="Times New Roman" w:cs="Times New Roman"/>
                <w:sz w:val="24"/>
                <w:szCs w:val="24"/>
              </w:rPr>
            </w:pPr>
          </w:p>
          <w:p w:rsidR="00D013CB" w:rsidRDefault="002F57D0" w:rsidP="00C31C47">
            <w:pPr>
              <w:spacing w:after="0" w:line="240" w:lineRule="auto"/>
              <w:jc w:val="both"/>
              <w:rPr>
                <w:rFonts w:ascii="Times New Roman" w:hAnsi="Times New Roman" w:cs="Times New Roman"/>
                <w:sz w:val="24"/>
                <w:szCs w:val="24"/>
                <w:u w:val="single"/>
              </w:rPr>
            </w:pPr>
            <w:r w:rsidRPr="00DC5CDE">
              <w:rPr>
                <w:rFonts w:ascii="Times New Roman" w:hAnsi="Times New Roman" w:cs="Times New Roman"/>
                <w:sz w:val="24"/>
                <w:szCs w:val="24"/>
                <w:u w:val="single"/>
              </w:rPr>
              <w:t>Likumprojekta 19</w:t>
            </w:r>
            <w:r w:rsidR="00F82D3F" w:rsidRPr="00DC5CDE">
              <w:rPr>
                <w:rFonts w:ascii="Times New Roman" w:hAnsi="Times New Roman" w:cs="Times New Roman"/>
                <w:sz w:val="24"/>
                <w:szCs w:val="24"/>
                <w:u w:val="single"/>
              </w:rPr>
              <w:t>.pants – 22</w:t>
            </w:r>
            <w:r w:rsidR="00D013CB" w:rsidRPr="00DC5CDE">
              <w:rPr>
                <w:rFonts w:ascii="Times New Roman" w:hAnsi="Times New Roman" w:cs="Times New Roman"/>
                <w:sz w:val="24"/>
                <w:szCs w:val="24"/>
                <w:u w:val="single"/>
              </w:rPr>
              <w:t xml:space="preserve">.pants, kā arī </w:t>
            </w:r>
            <w:r w:rsidR="00524DFA">
              <w:rPr>
                <w:rFonts w:ascii="Times New Roman" w:hAnsi="Times New Roman" w:cs="Times New Roman"/>
                <w:sz w:val="24"/>
                <w:szCs w:val="24"/>
                <w:u w:val="single"/>
              </w:rPr>
              <w:t>52</w:t>
            </w:r>
            <w:r w:rsidR="00D013CB" w:rsidRPr="00DC5CDE">
              <w:rPr>
                <w:rFonts w:ascii="Times New Roman" w:hAnsi="Times New Roman" w:cs="Times New Roman"/>
                <w:sz w:val="24"/>
                <w:szCs w:val="24"/>
                <w:u w:val="single"/>
              </w:rPr>
              <w:t>.pants:</w:t>
            </w:r>
          </w:p>
          <w:p w:rsidR="00331268" w:rsidRDefault="00331268" w:rsidP="00C31C47">
            <w:pPr>
              <w:spacing w:after="0" w:line="240" w:lineRule="auto"/>
              <w:jc w:val="both"/>
              <w:rPr>
                <w:rFonts w:ascii="Times New Roman" w:hAnsi="Times New Roman" w:cs="Times New Roman"/>
                <w:sz w:val="24"/>
                <w:szCs w:val="24"/>
                <w:u w:val="single"/>
              </w:rPr>
            </w:pPr>
          </w:p>
          <w:p w:rsidR="00331268" w:rsidRPr="00A0096D" w:rsidRDefault="00331268" w:rsidP="00331268">
            <w:pPr>
              <w:spacing w:after="0" w:line="240" w:lineRule="auto"/>
              <w:ind w:firstLine="391"/>
              <w:jc w:val="both"/>
              <w:rPr>
                <w:rFonts w:ascii="Times New Roman" w:hAnsi="Times New Roman" w:cs="Times New Roman"/>
                <w:sz w:val="24"/>
                <w:szCs w:val="24"/>
              </w:rPr>
            </w:pPr>
            <w:r w:rsidRPr="00331268">
              <w:rPr>
                <w:rFonts w:ascii="Times New Roman" w:hAnsi="Times New Roman" w:cs="Times New Roman"/>
                <w:sz w:val="24"/>
                <w:szCs w:val="24"/>
              </w:rPr>
              <w:t xml:space="preserve">Attiecībā uz </w:t>
            </w:r>
            <w:r w:rsidR="00A0096D">
              <w:rPr>
                <w:rFonts w:ascii="Times New Roman" w:hAnsi="Times New Roman" w:cs="Times New Roman"/>
                <w:sz w:val="24"/>
                <w:szCs w:val="24"/>
              </w:rPr>
              <w:t>NILLTFNL 18.panta papildināšanu ar 7.</w:t>
            </w:r>
            <w:r w:rsidR="00A0096D">
              <w:rPr>
                <w:rFonts w:ascii="Times New Roman" w:hAnsi="Times New Roman" w:cs="Times New Roman"/>
                <w:sz w:val="24"/>
                <w:szCs w:val="24"/>
                <w:vertAlign w:val="superscript"/>
              </w:rPr>
              <w:t xml:space="preserve">1 </w:t>
            </w:r>
            <w:r w:rsidR="00A0096D">
              <w:rPr>
                <w:rFonts w:ascii="Times New Roman" w:hAnsi="Times New Roman" w:cs="Times New Roman"/>
                <w:sz w:val="24"/>
                <w:szCs w:val="24"/>
              </w:rPr>
              <w:t>daļu</w:t>
            </w:r>
            <w:r w:rsidR="001D63B5">
              <w:rPr>
                <w:rFonts w:ascii="Times New Roman" w:hAnsi="Times New Roman" w:cs="Times New Roman"/>
                <w:sz w:val="24"/>
                <w:szCs w:val="24"/>
              </w:rPr>
              <w:t xml:space="preserve"> – </w:t>
            </w:r>
            <w:r w:rsidR="00F5026F">
              <w:rPr>
                <w:rFonts w:ascii="Times New Roman" w:eastAsia="Calibri" w:hAnsi="Times New Roman" w:cs="Times New Roman"/>
                <w:sz w:val="24"/>
                <w:szCs w:val="24"/>
              </w:rPr>
              <w:t>Saskaņā ar NILLTFNL 18. panta septīto daļu</w:t>
            </w:r>
            <w:r w:rsidR="00144888">
              <w:rPr>
                <w:rFonts w:ascii="Times New Roman" w:eastAsia="Calibri" w:hAnsi="Times New Roman" w:cs="Times New Roman"/>
                <w:sz w:val="24"/>
                <w:szCs w:val="24"/>
              </w:rPr>
              <w:t>,</w:t>
            </w:r>
            <w:r w:rsidR="00F5026F">
              <w:rPr>
                <w:rFonts w:ascii="Times New Roman" w:eastAsia="Calibri" w:hAnsi="Times New Roman" w:cs="Times New Roman"/>
                <w:sz w:val="24"/>
                <w:szCs w:val="24"/>
              </w:rPr>
              <w:t xml:space="preserve"> NILLTFNL</w:t>
            </w:r>
            <w:r w:rsidR="00F5026F" w:rsidRPr="000B6CEC">
              <w:rPr>
                <w:rFonts w:ascii="Times New Roman" w:eastAsia="Calibri" w:hAnsi="Times New Roman" w:cs="Times New Roman"/>
                <w:sz w:val="24"/>
                <w:szCs w:val="24"/>
              </w:rPr>
              <w:t xml:space="preserve"> subjekts, atbilstoši pamatojot un dokumentējot darbības, kas veiktas, lai noskaidrotu patieso labuma guvēju, par juridiskās personas vai juridiska veidojuma patieso labuma guvēju var uzskatīt personu, kura ieņem augstākās pārvaldības institūcijā amatu šajā juridiskajā personā vai juridiskā veidojumā, ja ir izmantoti visi iespējamie noskaidrošanas līdzekļi un nav iespējams noskaidrot nevienu fizisko personu — patieso labuma guvēju šā likuma 1. panta 5. punkta izpratnē, kā arī izslēgtas šaubas, ka juridiskajai personai vai juridiskam veidojumam ir cits patiesais labuma guvējs.</w:t>
            </w:r>
            <w:r w:rsidR="00F5026F">
              <w:rPr>
                <w:rFonts w:ascii="Times New Roman" w:eastAsia="Calibri" w:hAnsi="Times New Roman" w:cs="Times New Roman"/>
                <w:sz w:val="24"/>
                <w:szCs w:val="24"/>
              </w:rPr>
              <w:t xml:space="preserve"> Ievērojot minēto, gadījumos, kuros izpildās iepriekš minētās prasības un attiecīgajā brīdī augstākās pārvaldības institūcijas amatu juridiskajā personā vai veidojumā ieņem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lastRenderedPageBreak/>
              <w:t xml:space="preserve">administrators, par patieso labuma guvēju var tikt uzskatīts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 xml:space="preserve">administrators. Norādāms, ka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administrators augstākās pārvaldības institūcijas amatu ieņem</w:t>
            </w:r>
            <w:r w:rsidR="00144888">
              <w:rPr>
                <w:rFonts w:ascii="Times New Roman" w:eastAsia="Calibri" w:hAnsi="Times New Roman" w:cs="Times New Roman"/>
                <w:sz w:val="24"/>
                <w:szCs w:val="24"/>
              </w:rPr>
              <w:t>,</w:t>
            </w:r>
            <w:r w:rsidR="00F5026F">
              <w:rPr>
                <w:rFonts w:ascii="Times New Roman" w:eastAsia="Calibri" w:hAnsi="Times New Roman" w:cs="Times New Roman"/>
                <w:sz w:val="24"/>
                <w:szCs w:val="24"/>
              </w:rPr>
              <w:t xml:space="preserve"> pamatojoties uz likumu un attiecīgā maksātnespējas procesa ietvaros pieņemtajiem lēmumiem. </w:t>
            </w:r>
            <w:r w:rsidR="00144888">
              <w:rPr>
                <w:rFonts w:ascii="Times New Roman" w:eastAsia="Calibri" w:hAnsi="Times New Roman" w:cs="Times New Roman"/>
                <w:sz w:val="24"/>
                <w:szCs w:val="24"/>
              </w:rPr>
              <w:t>Maksātnespējas a</w:t>
            </w:r>
            <w:r w:rsidR="00F5026F">
              <w:rPr>
                <w:rFonts w:ascii="Times New Roman" w:eastAsia="Calibri" w:hAnsi="Times New Roman" w:cs="Times New Roman"/>
                <w:sz w:val="24"/>
                <w:szCs w:val="24"/>
              </w:rPr>
              <w:t xml:space="preserve">dministratora amata darbības ietvaros </w:t>
            </w:r>
            <w:r w:rsidR="00144888">
              <w:rPr>
                <w:rFonts w:ascii="Times New Roman" w:eastAsia="Calibri" w:hAnsi="Times New Roman" w:cs="Times New Roman"/>
                <w:sz w:val="24"/>
                <w:szCs w:val="24"/>
              </w:rPr>
              <w:t xml:space="preserve">maksātnespējas </w:t>
            </w:r>
            <w:r w:rsidR="00F5026F" w:rsidRPr="00E727E3">
              <w:rPr>
                <w:rFonts w:ascii="Times New Roman" w:eastAsia="Calibri" w:hAnsi="Times New Roman" w:cs="Times New Roman"/>
                <w:sz w:val="24"/>
                <w:szCs w:val="24"/>
              </w:rPr>
              <w:t>administratori ir pielīdzināti valsts amatpersonām.</w:t>
            </w:r>
            <w:r w:rsidR="00F5026F">
              <w:rPr>
                <w:rFonts w:ascii="Times New Roman" w:eastAsia="Calibri" w:hAnsi="Times New Roman" w:cs="Times New Roman"/>
                <w:sz w:val="24"/>
                <w:szCs w:val="24"/>
              </w:rPr>
              <w:t xml:space="preserve"> Personas darbība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 xml:space="preserve">administratora amata ietvaros tiek nošķirta no personas kā privātpersonas darbības. Minēto būtu nozīmīgi ņemt vērā arī veicot NILLTFNL 18. panta septītajā daļā noteikto prezumpciju, nodrošinot, ka tajos gadījumos, kuros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administrators rīkojas amata ietvaros, viņa statuss tiktu nošķirts no viņa kā privātpersonas statusa.</w:t>
            </w:r>
          </w:p>
          <w:p w:rsidR="00D013CB" w:rsidRPr="00451F5C" w:rsidRDefault="00854E42" w:rsidP="00854E42">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w:t>
            </w:r>
            <w:r>
              <w:rPr>
                <w:rFonts w:ascii="Times New Roman" w:hAnsi="Times New Roman" w:cs="Times New Roman"/>
                <w:sz w:val="24"/>
                <w:szCs w:val="24"/>
              </w:rPr>
              <w:t xml:space="preserve"> 5.2. uzdevuma ieviešana ir saistīta ar m</w:t>
            </w:r>
            <w:r w:rsidR="00D013CB" w:rsidRPr="00451F5C">
              <w:rPr>
                <w:rFonts w:ascii="Times New Roman" w:hAnsi="Times New Roman" w:cs="Times New Roman"/>
                <w:sz w:val="24"/>
                <w:szCs w:val="24"/>
              </w:rPr>
              <w:t>ehānism</w:t>
            </w:r>
            <w:r>
              <w:rPr>
                <w:rFonts w:ascii="Times New Roman" w:hAnsi="Times New Roman" w:cs="Times New Roman"/>
                <w:sz w:val="24"/>
                <w:szCs w:val="24"/>
              </w:rPr>
              <w:t>u</w:t>
            </w:r>
            <w:r w:rsidR="00D013CB" w:rsidRPr="00451F5C">
              <w:rPr>
                <w:rFonts w:ascii="Times New Roman" w:hAnsi="Times New Roman" w:cs="Times New Roman"/>
                <w:sz w:val="24"/>
                <w:szCs w:val="24"/>
              </w:rPr>
              <w:t>, lai nodrošinātu, ka Uzņēmumu reģistra vestajos reģistros informācija par patiesajiem labuma guvējiem (turpmāk – PLG) ir aktuāla, adekvāta un savlaicīgi aktualizēta (</w:t>
            </w:r>
            <w:r>
              <w:rPr>
                <w:rFonts w:ascii="Times New Roman" w:hAnsi="Times New Roman" w:cs="Times New Roman"/>
                <w:sz w:val="24"/>
                <w:szCs w:val="24"/>
              </w:rPr>
              <w:t xml:space="preserve">šī prasība noteikta arī atbilstoši </w:t>
            </w:r>
            <w:r w:rsidR="00D013CB" w:rsidRPr="00451F5C">
              <w:rPr>
                <w:rFonts w:ascii="Times New Roman" w:hAnsi="Times New Roman" w:cs="Times New Roman"/>
                <w:sz w:val="24"/>
                <w:szCs w:val="24"/>
              </w:rPr>
              <w:t>AML V direktīva</w:t>
            </w:r>
            <w:r>
              <w:rPr>
                <w:rFonts w:ascii="Times New Roman" w:hAnsi="Times New Roman" w:cs="Times New Roman"/>
                <w:sz w:val="24"/>
                <w:szCs w:val="24"/>
              </w:rPr>
              <w:t>s 30. panta 1. punkta otrajai daļai</w:t>
            </w:r>
            <w:r w:rsidR="00D013CB" w:rsidRPr="00451F5C">
              <w:rPr>
                <w:rFonts w:ascii="Times New Roman" w:hAnsi="Times New Roman" w:cs="Times New Roman"/>
                <w:sz w:val="24"/>
                <w:szCs w:val="24"/>
              </w:rPr>
              <w:t>).</w:t>
            </w:r>
          </w:p>
          <w:p w:rsidR="00D013CB" w:rsidRPr="00854E42" w:rsidRDefault="00D013CB" w:rsidP="00854E42">
            <w:pPr>
              <w:spacing w:after="0" w:line="240" w:lineRule="auto"/>
              <w:jc w:val="both"/>
              <w:rPr>
                <w:rFonts w:ascii="Times New Roman" w:hAnsi="Times New Roman" w:cs="Times New Roman"/>
                <w:sz w:val="24"/>
                <w:szCs w:val="24"/>
                <w:u w:val="single"/>
              </w:rPr>
            </w:pPr>
            <w:r w:rsidRPr="00854E42">
              <w:rPr>
                <w:rFonts w:ascii="Times New Roman" w:hAnsi="Times New Roman" w:cs="Times New Roman"/>
                <w:sz w:val="24"/>
                <w:szCs w:val="24"/>
                <w:u w:val="single"/>
              </w:rPr>
              <w:t>Riskos balstītās pieejas ieviešana Uzņēmumu reģistrā, izvērtējot reģistrācijai iesniegto informāciju par juridisko personu PLG.</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AML V </w:t>
            </w:r>
            <w:r w:rsidR="00854E42">
              <w:rPr>
                <w:rFonts w:ascii="Times New Roman" w:hAnsi="Times New Roman" w:cs="Times New Roman"/>
                <w:sz w:val="24"/>
                <w:szCs w:val="24"/>
              </w:rPr>
              <w:t>d</w:t>
            </w:r>
            <w:r w:rsidRPr="00451F5C">
              <w:rPr>
                <w:rFonts w:ascii="Times New Roman" w:hAnsi="Times New Roman" w:cs="Times New Roman"/>
                <w:sz w:val="24"/>
                <w:szCs w:val="24"/>
              </w:rPr>
              <w:t xml:space="preserve">irektīvas 15. punkts izsaka </w:t>
            </w:r>
            <w:r w:rsidR="007B051C"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30. panta 4. punktu jaunā redakcijā, paredzot, </w:t>
            </w:r>
            <w:r w:rsidR="00854E42">
              <w:rPr>
                <w:rFonts w:ascii="Times New Roman" w:hAnsi="Times New Roman" w:cs="Times New Roman"/>
                <w:sz w:val="24"/>
                <w:szCs w:val="24"/>
              </w:rPr>
              <w:t xml:space="preserve">ka </w:t>
            </w:r>
            <w:r w:rsidRPr="00451F5C">
              <w:rPr>
                <w:rFonts w:ascii="Times New Roman" w:hAnsi="Times New Roman" w:cs="Times New Roman"/>
                <w:sz w:val="24"/>
                <w:szCs w:val="24"/>
              </w:rPr>
              <w:t>dalībvalstīm, lai nodrošinātu informācijas par PLG adekvātumu, pareizību un aktualitāti</w:t>
            </w:r>
            <w:r w:rsidR="00854E42">
              <w:rPr>
                <w:rFonts w:ascii="Times New Roman" w:hAnsi="Times New Roman" w:cs="Times New Roman"/>
                <w:sz w:val="24"/>
                <w:szCs w:val="24"/>
              </w:rPr>
              <w:t>,</w:t>
            </w:r>
            <w:r w:rsidRPr="00451F5C">
              <w:rPr>
                <w:rFonts w:ascii="Times New Roman" w:hAnsi="Times New Roman" w:cs="Times New Roman"/>
                <w:sz w:val="24"/>
                <w:szCs w:val="24"/>
              </w:rPr>
              <w:t xml:space="preserve"> centrālajā reģistrā jāievieš mehānismi šajā nolūkā.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Jāuzsver, ka minētais nozīmē efektīvas sistēmas izveidi, adekvātas, pareizas un aktuālas informācijas par PLG nodrošināšanai centrālajā reģistrā, nevis paredz centrālā reģistra jau noteikto funkciju izmaiņas. Šobrīd Uzņēmumu reģistrs, savas kompetences ietvaros, pārliecinās par iesniegtās informācijas par PLG atbilstību, salīdzinot informāciju ar nacionālajā līmenī publiski pieejamajiem reģistriem, piemēram, pārliecinās par personas ar Latvijas Republikas personas kodu iesniegto datu atbilstību Iedzīvotāju reģistra informācijai, kā arī paša Uzņēmumu reģistra vestajā komercreģistrā jau reģistrēto informāciju par sabiedrību ar ierobežotu atbildību (turpmāk – SIA) dalībnieku informācijas atbilstību iesniegtajai informācijai par attiecīgās juridiskās personas PLG. Vienlaikus jāņem vērā, ka Uzņēmumu reģistram šobrīd nav iespējas pārliecināties par iesniegtās informācijas par PLG atbilstību gadījumos, kuros informācija par PLG, sabiedrību ar ierobežotu atbildību dalībniekiem u.c. personām, to īpašumtiesībām, īstenotās kontroles </w:t>
            </w:r>
            <w:r w:rsidRPr="00451F5C">
              <w:rPr>
                <w:rFonts w:ascii="Times New Roman" w:hAnsi="Times New Roman" w:cs="Times New Roman"/>
                <w:sz w:val="24"/>
                <w:szCs w:val="24"/>
              </w:rPr>
              <w:lastRenderedPageBreak/>
              <w:t xml:space="preserve">pamatotību, sniedzas ārpus Latvijas robežām. Minētā problemātika ir īpaši būtiska, ņemot vērā </w:t>
            </w:r>
            <w:proofErr w:type="spellStart"/>
            <w:r w:rsidRPr="00451F5C">
              <w:rPr>
                <w:rFonts w:ascii="Times New Roman" w:hAnsi="Times New Roman" w:cs="Times New Roman"/>
                <w:sz w:val="24"/>
                <w:szCs w:val="24"/>
              </w:rPr>
              <w:t>M</w:t>
            </w:r>
            <w:r w:rsidR="007B051C" w:rsidRPr="00451F5C">
              <w:rPr>
                <w:rFonts w:ascii="Times New Roman" w:hAnsi="Times New Roman" w:cs="Times New Roman"/>
                <w:sz w:val="24"/>
                <w:szCs w:val="24"/>
              </w:rPr>
              <w:t>oneyval</w:t>
            </w:r>
            <w:proofErr w:type="spellEnd"/>
            <w:r w:rsidR="007B051C" w:rsidRPr="00451F5C">
              <w:rPr>
                <w:rFonts w:ascii="Times New Roman" w:hAnsi="Times New Roman" w:cs="Times New Roman"/>
                <w:sz w:val="24"/>
                <w:szCs w:val="24"/>
              </w:rPr>
              <w:t xml:space="preserve"> z</w:t>
            </w:r>
            <w:r w:rsidRPr="00451F5C">
              <w:rPr>
                <w:rFonts w:ascii="Times New Roman" w:hAnsi="Times New Roman" w:cs="Times New Roman"/>
                <w:sz w:val="24"/>
                <w:szCs w:val="24"/>
              </w:rPr>
              <w:t>iņojumā norādīto nepieciešamību prioritāri novērst tieši Latvijas uzņēmumu ar vismaz vienu dalībnieku, kas ir nerezidents vai čaulas kompānija, izmantošanu neatbilstošiem mērķiem.</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Lai nodrošinātu, ka informācijai par PLG centrālajā reģistrā būtu adekvāta, pareiza un aktuāla, vienlaikus ar Uzņēmumu reģistra vesto reģistru modernizāciju, Uzņēmumu reģistram būtu jāizstrādā riskos balstītā pieeja Uzņēmumu reģistrā attiecībā uz PLG informācijas pārbaudi. Atbilstoši FATF metodoloģijai riskos balstītā pieeja nozīmē attiecīgu pasākumu veikšanu risku mazināšanai atbilstoši risku līmenim. Ievērojot minēto, tātad, atbilstoši identificētajiem </w:t>
            </w:r>
            <w:r w:rsidR="00EF25D5"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riski</w:t>
            </w:r>
            <w:r w:rsidR="00CE7537">
              <w:rPr>
                <w:rFonts w:ascii="Times New Roman" w:hAnsi="Times New Roman" w:cs="Times New Roman"/>
                <w:sz w:val="24"/>
                <w:szCs w:val="24"/>
              </w:rPr>
              <w:t>em</w:t>
            </w:r>
            <w:r w:rsidRPr="00451F5C">
              <w:rPr>
                <w:rFonts w:ascii="Times New Roman" w:hAnsi="Times New Roman" w:cs="Times New Roman"/>
                <w:sz w:val="24"/>
                <w:szCs w:val="24"/>
              </w:rPr>
              <w:t>, kuriem ir pakļauts Uzņēmumu reģistrs un pēcāk atbilstoši identificētajiem riskiem, to līmenim</w:t>
            </w:r>
            <w:r w:rsidR="00CE7537">
              <w:rPr>
                <w:rFonts w:ascii="Times New Roman" w:hAnsi="Times New Roman" w:cs="Times New Roman"/>
                <w:sz w:val="24"/>
                <w:szCs w:val="24"/>
              </w:rPr>
              <w:t>,</w:t>
            </w:r>
            <w:r w:rsidRPr="00451F5C">
              <w:rPr>
                <w:rFonts w:ascii="Times New Roman" w:hAnsi="Times New Roman" w:cs="Times New Roman"/>
                <w:sz w:val="24"/>
                <w:szCs w:val="24"/>
              </w:rPr>
              <w:t xml:space="preserve"> nosakāmi pasākumi to mazināšanai. Konkrēti </w:t>
            </w:r>
            <w:r w:rsidR="00EF25D5"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riski secināmi</w:t>
            </w:r>
            <w:r w:rsidR="00CE7537">
              <w:rPr>
                <w:rFonts w:ascii="Times New Roman" w:hAnsi="Times New Roman" w:cs="Times New Roman"/>
                <w:sz w:val="24"/>
                <w:szCs w:val="24"/>
              </w:rPr>
              <w:t>,</w:t>
            </w:r>
            <w:r w:rsidRPr="00451F5C">
              <w:rPr>
                <w:rFonts w:ascii="Times New Roman" w:hAnsi="Times New Roman" w:cs="Times New Roman"/>
                <w:sz w:val="24"/>
                <w:szCs w:val="24"/>
              </w:rPr>
              <w:t xml:space="preserve"> Uzņēmumu reģistram veicot padziļinātu </w:t>
            </w:r>
            <w:proofErr w:type="spellStart"/>
            <w:r w:rsidRPr="00451F5C">
              <w:rPr>
                <w:rFonts w:ascii="Times New Roman" w:hAnsi="Times New Roman" w:cs="Times New Roman"/>
                <w:sz w:val="24"/>
                <w:szCs w:val="24"/>
              </w:rPr>
              <w:t>izvērtējumu</w:t>
            </w:r>
            <w:proofErr w:type="spellEnd"/>
            <w:r w:rsidRPr="00451F5C">
              <w:rPr>
                <w:rFonts w:ascii="Times New Roman" w:hAnsi="Times New Roman" w:cs="Times New Roman"/>
                <w:sz w:val="24"/>
                <w:szCs w:val="24"/>
              </w:rPr>
              <w:t xml:space="preserve">. Minētais process ir Uzņēmumu reģistra iekšējo procedūru jautājums.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Vienlaikus jau šobrīd, atbilstoši kā Nacionālajam risku ziņojumam, tā </w:t>
            </w:r>
            <w:proofErr w:type="spellStart"/>
            <w:r w:rsidRPr="00451F5C">
              <w:rPr>
                <w:rFonts w:ascii="Times New Roman" w:hAnsi="Times New Roman" w:cs="Times New Roman"/>
                <w:sz w:val="24"/>
                <w:szCs w:val="24"/>
              </w:rPr>
              <w:t>M</w:t>
            </w:r>
            <w:r w:rsidR="00EF25D5" w:rsidRPr="00451F5C">
              <w:rPr>
                <w:rFonts w:ascii="Times New Roman" w:hAnsi="Times New Roman" w:cs="Times New Roman"/>
                <w:sz w:val="24"/>
                <w:szCs w:val="24"/>
              </w:rPr>
              <w:t>oneyval</w:t>
            </w:r>
            <w:proofErr w:type="spellEnd"/>
            <w:r w:rsidR="00EF25D5" w:rsidRPr="00451F5C">
              <w:rPr>
                <w:rFonts w:ascii="Times New Roman" w:hAnsi="Times New Roman" w:cs="Times New Roman"/>
                <w:sz w:val="24"/>
                <w:szCs w:val="24"/>
              </w:rPr>
              <w:t xml:space="preserve"> z</w:t>
            </w:r>
            <w:r w:rsidRPr="00451F5C">
              <w:rPr>
                <w:rFonts w:ascii="Times New Roman" w:hAnsi="Times New Roman" w:cs="Times New Roman"/>
                <w:sz w:val="24"/>
                <w:szCs w:val="24"/>
              </w:rPr>
              <w:t>iņojumā secinātajam, iespējams identificēt augstam NILLTF riskam pakļautās juridiskās personas, kuru reģistrāciju nodrošina Uzņēmumu reģistrs – SIA ar dalībniekiem</w:t>
            </w:r>
            <w:r w:rsidR="00CE7537">
              <w:rPr>
                <w:rFonts w:ascii="Times New Roman" w:hAnsi="Times New Roman" w:cs="Times New Roman"/>
                <w:sz w:val="24"/>
                <w:szCs w:val="24"/>
              </w:rPr>
              <w:t>-</w:t>
            </w:r>
            <w:r w:rsidRPr="00451F5C">
              <w:rPr>
                <w:rFonts w:ascii="Times New Roman" w:hAnsi="Times New Roman" w:cs="Times New Roman"/>
                <w:sz w:val="24"/>
                <w:szCs w:val="24"/>
              </w:rPr>
              <w:t xml:space="preserve"> ārvalstu juridiskajām personām, informāciju par kuru PLG īstenotās kontroles dokumentāro pamatojumu Uzņēmumu reģistram šobrīd ne visos gadījumos ir iespēja iegūt. Ievērojot minēto, šobrīd Uzņēmumu reģistrā iesniegtās informācijas apjoms par PLG var būt nepietiekams, lai Uzņēmumu reģistrs kvalitatīvi varētu izvērtēt informācijas par PLG atbilstību, jo īpaši gadījumos, kuros PLG kontroli īsteno ar ārvalstīs reģistrētu juridisko personu starpniecību. Lai pārliecinātos par minēto informāciju, Uzņēmumu reģistra rīcībā būtu jābūt īstenotās kontroles dokumentārajam pamatojumam, ko šobrīd saskaņā ar NILLTFNL 18.</w:t>
            </w:r>
            <w:r w:rsidRPr="00524DFA">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pirmajā daļā noteikto regulējumu juridiskajai personai Uzņēmumu reģistrā iesniegt nav nepieciešams, kā arī dokumentam (piemēram, ārvalsts iedzīvotāju reģistra izziņai, personu apliecinoša dokumenta kopijai), lai pārliecinātos par PLG identificējošās informācijas korektumu. Norādāms, ka personu apliecinošo dokumentu oriģinālu uzrādīšana Uzņēmumu reģistram nav iespējama, ņemot vērā, Uzņēmumu reģistra kompetenci, juridisko personu pārstāvēt</w:t>
            </w:r>
            <w:r w:rsidR="00C936FB"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tiesīgo </w:t>
            </w:r>
            <w:r w:rsidRPr="00451F5C">
              <w:rPr>
                <w:rFonts w:ascii="Times New Roman" w:hAnsi="Times New Roman" w:cs="Times New Roman"/>
                <w:sz w:val="24"/>
                <w:szCs w:val="24"/>
              </w:rPr>
              <w:lastRenderedPageBreak/>
              <w:t xml:space="preserve">personu, nevis pašu PLG, atbildību par PLG informācijas iesniegšanu Uzņēmumu reģistrā, kā arī šobrīd jau uzsākto pakāpenisko pāreju atbilstoši politikas plānošanas dokumentiem uz pilnīgu elektronisko reģistrāciju. Papildus norādāms, ka ne visos gadījumos, lai pārliecinātos par iesniegtās informācijas par PLG atbilstību, Uzņēmumu reģistram dokumentārais pamatojums būtu nepieciešams, piemēram, gadījumos, kad brīvi pieejama citu Eiropas Savienības dalībvalstu reģistru informācija. Līdz ar to, dokumentārā pamatojuma pieprasīšana nosakāma kā Uzņēmumu reģistra tiesība, paredzot, ka juridiskajām personām attiecīgs pienākums iesniegt dokumentāro pamatojumu iestājas tikai tad, ja Uzņēmumu reģistrs to īpaši pieprasa.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Jāņem vērā, ka iepriekš minētā procesa ietvaros netiks vērtēti faktiskie apstākļi, bet gan salīdzināta un atbilstoši dažādām Uzņēmumu reģistra iekšējās kontroles sistēmā definētām risku pazīmēm, izvērtēta iesniegtā informācija, nepieciešamības gadījumā lūdzot to papildināt, pamatot ar dokumentāru pamatojumu. Risku pazīmes nebūs par pamatu negatīva administratīvā akta pieņemšanai, taču</w:t>
            </w:r>
            <w:r w:rsidR="00062722">
              <w:rPr>
                <w:rFonts w:ascii="Times New Roman" w:hAnsi="Times New Roman" w:cs="Times New Roman"/>
                <w:sz w:val="24"/>
                <w:szCs w:val="24"/>
              </w:rPr>
              <w:t>,</w:t>
            </w:r>
            <w:r w:rsidRPr="00451F5C">
              <w:rPr>
                <w:rFonts w:ascii="Times New Roman" w:hAnsi="Times New Roman" w:cs="Times New Roman"/>
                <w:sz w:val="24"/>
                <w:szCs w:val="24"/>
              </w:rPr>
              <w:t xml:space="preserve"> personai neiesniedzot Uzņēmumu reģistra pieprasītos dokumentus</w:t>
            </w:r>
            <w:r w:rsidR="00062722">
              <w:rPr>
                <w:rFonts w:ascii="Times New Roman" w:hAnsi="Times New Roman" w:cs="Times New Roman"/>
                <w:sz w:val="24"/>
                <w:szCs w:val="24"/>
              </w:rPr>
              <w:t>,</w:t>
            </w:r>
            <w:r w:rsidRPr="00451F5C">
              <w:rPr>
                <w:rFonts w:ascii="Times New Roman" w:hAnsi="Times New Roman" w:cs="Times New Roman"/>
                <w:sz w:val="24"/>
                <w:szCs w:val="24"/>
              </w:rPr>
              <w:t xml:space="preserve"> Uzņēmumu reģistram būs pamats atlikt pieteikto reģistrāciju. Tāpat, ja Uzņēmumu reģistram iesniegtā informācija liecinās par neparastu vai aizdomīgu darījumu </w:t>
            </w:r>
            <w:r w:rsidR="00C936FB"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jomu regulējošo normatīvo aktu izpratnē, Uzņēmumu reģistram būs pamats ziņot normatīvajos aktos noteiktajā kārtībā.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Ņemot vērā</w:t>
            </w:r>
            <w:r w:rsidR="00577860">
              <w:rPr>
                <w:rFonts w:ascii="Times New Roman" w:hAnsi="Times New Roman" w:cs="Times New Roman"/>
                <w:sz w:val="24"/>
                <w:szCs w:val="24"/>
              </w:rPr>
              <w:t xml:space="preserve"> to</w:t>
            </w:r>
            <w:r w:rsidRPr="00451F5C">
              <w:rPr>
                <w:rFonts w:ascii="Times New Roman" w:hAnsi="Times New Roman" w:cs="Times New Roman"/>
                <w:sz w:val="24"/>
                <w:szCs w:val="24"/>
              </w:rPr>
              <w:t>, ka spēkā esošais regulējums neparedz Uzņēmumu reģistram tiesības pieprasīt dokumentāro pamatojumu iesniegtajai informācijai par PLG, būtu veicami atbilstoši grozījumi Likuma 18.</w:t>
            </w:r>
            <w:r w:rsidRPr="00331268">
              <w:rPr>
                <w:rFonts w:ascii="Times New Roman" w:hAnsi="Times New Roman" w:cs="Times New Roman"/>
                <w:sz w:val="24"/>
                <w:szCs w:val="24"/>
                <w:vertAlign w:val="superscript"/>
              </w:rPr>
              <w:t>2</w:t>
            </w:r>
            <w:r w:rsidRPr="00451F5C">
              <w:rPr>
                <w:rFonts w:ascii="Times New Roman" w:hAnsi="Times New Roman" w:cs="Times New Roman"/>
                <w:sz w:val="24"/>
                <w:szCs w:val="24"/>
              </w:rPr>
              <w:t> panta pirmajā daļā.</w:t>
            </w:r>
          </w:p>
          <w:p w:rsidR="00D013CB" w:rsidRPr="00854E42" w:rsidRDefault="00D013CB" w:rsidP="00854E42">
            <w:pPr>
              <w:pStyle w:val="CommentText"/>
              <w:spacing w:after="0"/>
              <w:jc w:val="both"/>
              <w:rPr>
                <w:rFonts w:ascii="Times New Roman" w:hAnsi="Times New Roman" w:cs="Times New Roman"/>
                <w:sz w:val="24"/>
                <w:szCs w:val="24"/>
                <w:u w:val="single"/>
              </w:rPr>
            </w:pPr>
            <w:r w:rsidRPr="00854E42">
              <w:rPr>
                <w:rFonts w:ascii="Times New Roman" w:hAnsi="Times New Roman" w:cs="Times New Roman"/>
                <w:sz w:val="24"/>
                <w:szCs w:val="24"/>
                <w:u w:val="single"/>
              </w:rPr>
              <w:t>Ziņošanas pienākums par neatbilstību, kas konstatēta PLG informācijā klientu izpētes procesā</w:t>
            </w:r>
            <w:r w:rsidR="00854E42">
              <w:rPr>
                <w:rFonts w:ascii="Times New Roman" w:hAnsi="Times New Roman" w:cs="Times New Roman"/>
                <w:sz w:val="24"/>
                <w:szCs w:val="24"/>
                <w:u w:val="single"/>
              </w:rPr>
              <w:t>.</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AML V Direktīvas </w:t>
            </w:r>
            <w:r w:rsidR="00331268">
              <w:rPr>
                <w:rFonts w:ascii="Times New Roman" w:hAnsi="Times New Roman" w:cs="Times New Roman"/>
                <w:sz w:val="24"/>
                <w:szCs w:val="24"/>
              </w:rPr>
              <w:t xml:space="preserve">1.panta </w:t>
            </w:r>
            <w:r w:rsidRPr="00451F5C">
              <w:rPr>
                <w:rFonts w:ascii="Times New Roman" w:hAnsi="Times New Roman" w:cs="Times New Roman"/>
                <w:sz w:val="24"/>
                <w:szCs w:val="24"/>
              </w:rPr>
              <w:t xml:space="preserve">15. punkts izsaka </w:t>
            </w:r>
            <w:r w:rsidR="00C936FB"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30. panta 4. punktu jaunā redakcijā, paredzot, dalībvalstīm, lai nodrošinātu informācijas par PLG adekvātumu, pareizību un aktualitāti centrālajā reģistrā jāievieš mehānismi šajā nolūkā. Kā norādīts iepriekš minētajā normā, šādiem mehānismiem jāietver prasība atbildīgajiem subjektiem un</w:t>
            </w:r>
            <w:r w:rsidR="00577860">
              <w:rPr>
                <w:rFonts w:ascii="Times New Roman" w:hAnsi="Times New Roman" w:cs="Times New Roman"/>
                <w:sz w:val="24"/>
                <w:szCs w:val="24"/>
              </w:rPr>
              <w:t xml:space="preserve">, </w:t>
            </w:r>
            <w:r w:rsidRPr="00451F5C">
              <w:rPr>
                <w:rFonts w:ascii="Times New Roman" w:hAnsi="Times New Roman" w:cs="Times New Roman"/>
                <w:sz w:val="24"/>
                <w:szCs w:val="24"/>
              </w:rPr>
              <w:t>vajadzības gadījumā un</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ciktāl šī prasība nevajadzīgi neiejaucas to funkcijās</w:t>
            </w:r>
            <w:r w:rsidR="00577860">
              <w:rPr>
                <w:rFonts w:ascii="Times New Roman" w:hAnsi="Times New Roman" w:cs="Times New Roman"/>
                <w:sz w:val="24"/>
                <w:szCs w:val="24"/>
              </w:rPr>
              <w:t xml:space="preserve">, </w:t>
            </w:r>
            <w:r w:rsidRPr="00451F5C">
              <w:rPr>
                <w:rFonts w:ascii="Times New Roman" w:hAnsi="Times New Roman" w:cs="Times New Roman"/>
                <w:sz w:val="24"/>
                <w:szCs w:val="24"/>
              </w:rPr>
              <w:t xml:space="preserve">kompetentajām iestādēm ziņot par jebkādu neatbilstību, ko tie atraduši starp informāciju par faktiskajiem īpašniekiem, kas pieejama centrālajos </w:t>
            </w:r>
            <w:r w:rsidRPr="00451F5C">
              <w:rPr>
                <w:rFonts w:ascii="Times New Roman" w:hAnsi="Times New Roman" w:cs="Times New Roman"/>
                <w:sz w:val="24"/>
                <w:szCs w:val="24"/>
              </w:rPr>
              <w:lastRenderedPageBreak/>
              <w:t>reģistros, un informāciju par faktiskajiem īpašniekiem, kas tiem pieejama. Ja tiek ziņots par neatbilstībām, dalībvalstīm jānodrošina, ka tiek veikti atbilstīgi pasākumi, lai savlaicīgi novērstu neatbilstības, un ka attiecīgā gadījumā centrālajā reģistrā tikmēr tiek iekļauta konkrēta norāde.</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Jāņem vērā, ka apzināti nepatiesu ziņu sniegšana par PLG Uzņēmumu reģistram ir krimināli sodāma rīcība. Ievērojot minēto, gadījumos, kuros Likuma subjekti klientu izpētes ietvaros vai kompetentās iestādes citu darbību izpildes ietvaros konstatē, ka noskaidrotā informācija par PLG neatbilst Uzņēmumu reģistra vestajos reģistros pieejamajai informācijai, ir pamats uzskatīt, ka</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iesniegtā informācija Uzņēmumu reģistrā nav atbilstoša. Tātad</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juridiskā persona Uzņēmumu reģistram iesniegusi nepatiesu informāciju</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un ir pamats uzsākt izvērtēšanu</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vai nav noticis attiecīgs noziedzīgs nodarījums. Ievērojot minēto</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secināms, ka konstatējot, ka Uzņēmumu reģistrā reģistrētā informācija par PLG</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ir nepatiesa, attiecīgā informācija nosūtāma </w:t>
            </w:r>
            <w:proofErr w:type="spellStart"/>
            <w:r w:rsidRPr="00451F5C">
              <w:rPr>
                <w:rFonts w:ascii="Times New Roman" w:hAnsi="Times New Roman" w:cs="Times New Roman"/>
                <w:sz w:val="24"/>
                <w:szCs w:val="24"/>
              </w:rPr>
              <w:t>tiesībsargājošajām</w:t>
            </w:r>
            <w:proofErr w:type="spellEnd"/>
            <w:r w:rsidRPr="00451F5C">
              <w:rPr>
                <w:rFonts w:ascii="Times New Roman" w:hAnsi="Times New Roman" w:cs="Times New Roman"/>
                <w:sz w:val="24"/>
                <w:szCs w:val="24"/>
              </w:rPr>
              <w:t xml:space="preserve"> institūcijām pārbaudes veikšanai.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Norādāms, ka </w:t>
            </w:r>
            <w:r w:rsidR="00577860">
              <w:rPr>
                <w:rFonts w:ascii="Times New Roman" w:hAnsi="Times New Roman" w:cs="Times New Roman"/>
                <w:sz w:val="24"/>
                <w:szCs w:val="24"/>
              </w:rPr>
              <w:t>gan</w:t>
            </w:r>
            <w:r w:rsidRPr="00451F5C">
              <w:rPr>
                <w:rFonts w:ascii="Times New Roman" w:hAnsi="Times New Roman" w:cs="Times New Roman"/>
                <w:sz w:val="24"/>
                <w:szCs w:val="24"/>
              </w:rPr>
              <w:t xml:space="preserve"> Likuma subjektiem, </w:t>
            </w:r>
            <w:r w:rsidR="00577860">
              <w:rPr>
                <w:rFonts w:ascii="Times New Roman" w:hAnsi="Times New Roman" w:cs="Times New Roman"/>
                <w:sz w:val="24"/>
                <w:szCs w:val="24"/>
              </w:rPr>
              <w:t>gan</w:t>
            </w:r>
            <w:r w:rsidRPr="00451F5C">
              <w:rPr>
                <w:rFonts w:ascii="Times New Roman" w:hAnsi="Times New Roman" w:cs="Times New Roman"/>
                <w:sz w:val="24"/>
                <w:szCs w:val="24"/>
              </w:rPr>
              <w:t xml:space="preserve"> kompetentajām institūcijām pieejamā informācija ir plašāka nekā Uzņēmumu reģistram. Turklāt</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dažādu pienākumu izpildes un citu darbību ietvaros kā Likuma subjekti, tā kompetentās institūcijas biežāk var saskarties ar juridiskās personas PLG informācijas izmaiņām, papildus informāciju par tās aktualitāti. Ievērojot minēto, būtiski, lai informācija tiktu aktīvi salīdzināta. Atšķirību gadījumos, pastāvot aizdomām, ka informācija apzināti sniegta nepatiesi</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tiktu informēts Uzņēmumu reģistrs. Vienlaikus ar paziņojuma reģistrāciju, kas būtu kā brīdinājums citiem </w:t>
            </w:r>
            <w:r w:rsidR="00577860">
              <w:rPr>
                <w:rFonts w:ascii="Times New Roman" w:hAnsi="Times New Roman" w:cs="Times New Roman"/>
                <w:sz w:val="24"/>
                <w:szCs w:val="24"/>
              </w:rPr>
              <w:t xml:space="preserve">NILLTFNL </w:t>
            </w:r>
            <w:r w:rsidRPr="00451F5C">
              <w:rPr>
                <w:rFonts w:ascii="Times New Roman" w:hAnsi="Times New Roman" w:cs="Times New Roman"/>
                <w:sz w:val="24"/>
                <w:szCs w:val="24"/>
              </w:rPr>
              <w:t>subjektiem, ka informācija par PLG</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ir nepatiesa, Uzņēmumu reģistrs, savukārt, pārsūtītu informāciju </w:t>
            </w:r>
            <w:proofErr w:type="spellStart"/>
            <w:r w:rsidRPr="00451F5C">
              <w:rPr>
                <w:rFonts w:ascii="Times New Roman" w:hAnsi="Times New Roman" w:cs="Times New Roman"/>
                <w:sz w:val="24"/>
                <w:szCs w:val="24"/>
              </w:rPr>
              <w:t>tiesībsargājošajām</w:t>
            </w:r>
            <w:proofErr w:type="spellEnd"/>
            <w:r w:rsidRPr="00451F5C">
              <w:rPr>
                <w:rFonts w:ascii="Times New Roman" w:hAnsi="Times New Roman" w:cs="Times New Roman"/>
                <w:sz w:val="24"/>
                <w:szCs w:val="24"/>
              </w:rPr>
              <w:t xml:space="preserve"> institūcijām tālāko darbību veikšanai.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Kā tieši </w:t>
            </w:r>
            <w:r w:rsidR="00577860">
              <w:rPr>
                <w:rFonts w:ascii="Times New Roman" w:hAnsi="Times New Roman" w:cs="Times New Roman"/>
                <w:sz w:val="24"/>
                <w:szCs w:val="24"/>
              </w:rPr>
              <w:t xml:space="preserve">NILLTFNL </w:t>
            </w:r>
            <w:r w:rsidRPr="00451F5C">
              <w:rPr>
                <w:rFonts w:ascii="Times New Roman" w:hAnsi="Times New Roman" w:cs="Times New Roman"/>
                <w:sz w:val="24"/>
                <w:szCs w:val="24"/>
              </w:rPr>
              <w:t>subjektiem rīkoties attiecīga paziņojuma gadījumā, nosakāms</w:t>
            </w:r>
            <w:r w:rsidR="00577860">
              <w:rPr>
                <w:rFonts w:ascii="Times New Roman" w:hAnsi="Times New Roman" w:cs="Times New Roman"/>
                <w:sz w:val="24"/>
                <w:szCs w:val="24"/>
              </w:rPr>
              <w:t xml:space="preserve"> NILLTFNL</w:t>
            </w:r>
            <w:r w:rsidRPr="00451F5C">
              <w:rPr>
                <w:rFonts w:ascii="Times New Roman" w:hAnsi="Times New Roman" w:cs="Times New Roman"/>
                <w:sz w:val="24"/>
                <w:szCs w:val="24"/>
              </w:rPr>
              <w:t xml:space="preserve"> subjektu iekšējās kontroles sistēmās, taču jāņem vērā, ka attiecīgais  paziņojums ir būtisks tieši </w:t>
            </w:r>
            <w:r w:rsidR="00652976"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jomā. Tā mērķis ir brīdināt </w:t>
            </w:r>
            <w:r w:rsidR="00577860">
              <w:rPr>
                <w:rFonts w:ascii="Times New Roman" w:hAnsi="Times New Roman" w:cs="Times New Roman"/>
                <w:sz w:val="24"/>
                <w:szCs w:val="24"/>
              </w:rPr>
              <w:t>NILLTFNL</w:t>
            </w:r>
            <w:r w:rsidR="00577860"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subjektus par nepieciešamību pievērst informācijai pastiprinātu uzmanību, vienlaikus savlaicīgi uzsākot arī iespējamā noziedzīgā nodarījuma izmeklēšanu. Līdz ar to, nav pamata minēto paziņojumu padarīt plašāk publiski pieejamu, kā tikai </w:t>
            </w:r>
            <w:r w:rsidR="00652976"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w:t>
            </w:r>
            <w:r w:rsidRPr="00451F5C">
              <w:rPr>
                <w:rFonts w:ascii="Times New Roman" w:hAnsi="Times New Roman" w:cs="Times New Roman"/>
                <w:sz w:val="24"/>
                <w:szCs w:val="24"/>
              </w:rPr>
              <w:lastRenderedPageBreak/>
              <w:t>vajadzībām. Tāpat, lai veicinātu nepatiesas informācijas gadījumu noskaidrošanu un nepamatoti neierobežotu Likuma subjektu ziņošanas aktivitāti, nosakāms, ka</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līdzīgi kā ziņošanas gadījumā Kontroles dienestam par neprastu vai aizdomīgu darījumu, </w:t>
            </w:r>
            <w:r w:rsidR="00577860">
              <w:rPr>
                <w:rFonts w:ascii="Times New Roman" w:hAnsi="Times New Roman" w:cs="Times New Roman"/>
                <w:sz w:val="24"/>
                <w:szCs w:val="24"/>
              </w:rPr>
              <w:t xml:space="preserve">NILLTFNL </w:t>
            </w:r>
            <w:r w:rsidRPr="00451F5C">
              <w:rPr>
                <w:rFonts w:ascii="Times New Roman" w:hAnsi="Times New Roman" w:cs="Times New Roman"/>
                <w:sz w:val="24"/>
                <w:szCs w:val="24"/>
              </w:rPr>
              <w:t xml:space="preserve">subjekti arī ziņošanas gadījumā Uzņēmumu reģistram, par iespējamu informācijas par PLG neatbilstību, atbrīvojami no civiltiesiskās atbildības.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Būtiski gadījumos, kuros informācija par PLG ir nevis nepatiesa, bet gan tajā konstatēt</w:t>
            </w:r>
            <w:r w:rsidR="00577860">
              <w:rPr>
                <w:rFonts w:ascii="Times New Roman" w:hAnsi="Times New Roman" w:cs="Times New Roman"/>
                <w:sz w:val="24"/>
                <w:szCs w:val="24"/>
              </w:rPr>
              <w:t>as</w:t>
            </w:r>
            <w:r w:rsidRPr="00451F5C">
              <w:rPr>
                <w:rFonts w:ascii="Times New Roman" w:hAnsi="Times New Roman" w:cs="Times New Roman"/>
                <w:sz w:val="24"/>
                <w:szCs w:val="24"/>
              </w:rPr>
              <w:t xml:space="preserve"> pārrakstīšanās kļūdas (piemēram, atšķirīga ārvalstnieka uzvārda rakstība, kļūda personu apliecinoša dokumenta numurā), </w:t>
            </w:r>
            <w:proofErr w:type="spellStart"/>
            <w:r w:rsidRPr="00451F5C">
              <w:rPr>
                <w:rFonts w:ascii="Times New Roman" w:hAnsi="Times New Roman" w:cs="Times New Roman"/>
                <w:sz w:val="24"/>
                <w:szCs w:val="24"/>
              </w:rPr>
              <w:t>tiesībsargājošās</w:t>
            </w:r>
            <w:proofErr w:type="spellEnd"/>
            <w:r w:rsidRPr="00451F5C">
              <w:rPr>
                <w:rFonts w:ascii="Times New Roman" w:hAnsi="Times New Roman" w:cs="Times New Roman"/>
                <w:sz w:val="24"/>
                <w:szCs w:val="24"/>
              </w:rPr>
              <w:t xml:space="preserve"> institūcijas netiktu noslogotas un situācija tiktu atrisināta jau esošo administratīvo mehānismu ietvaros.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Papildus, lai nodrošinātu mehānisma efektīvu darbību, būtiski, lai NILLTFNL subjekti vienlaikus ar iespēju saņemt informāciju no Uzņēmumu reģistra bezmaksas (paredzēts, ka grozījumi likumā “Par Latvijas Republikas Uzņēmumu reģistru”, vienlaikus, piešķirot Uzņēmumu reģistram papildus valsts budžeta finansējumu informācijas izsniegšanas nodrošināšanai par valsts budžeta līdzekļiem, stāsies spēkā 2020. gada 1. janvārī), aktīvi minēto informāciju arī izmantotu, veicot klientu izpēti un noskaidrojot PLG un informācijas nesakritības gadījumā par to ziņotu. Minētā nodrošināšanai, nosakāms, ka līdz ar informācijas no Uzņēmumu reģistra pieejamību bez maksas,</w:t>
            </w:r>
            <w:r w:rsidR="00BE53F9">
              <w:rPr>
                <w:rFonts w:ascii="Times New Roman" w:hAnsi="Times New Roman" w:cs="Times New Roman"/>
                <w:sz w:val="24"/>
                <w:szCs w:val="24"/>
              </w:rPr>
              <w:t xml:space="preserve"> NILLTFNL</w:t>
            </w:r>
            <w:r w:rsidRPr="00451F5C">
              <w:rPr>
                <w:rFonts w:ascii="Times New Roman" w:hAnsi="Times New Roman" w:cs="Times New Roman"/>
                <w:sz w:val="24"/>
                <w:szCs w:val="24"/>
              </w:rPr>
              <w:t xml:space="preserve"> subjektiem, Uzņēmumu reģistra informācija</w:t>
            </w:r>
            <w:r w:rsidR="00BE53F9">
              <w:rPr>
                <w:rFonts w:ascii="Times New Roman" w:hAnsi="Times New Roman" w:cs="Times New Roman"/>
                <w:sz w:val="24"/>
                <w:szCs w:val="24"/>
              </w:rPr>
              <w:t>,</w:t>
            </w:r>
            <w:r w:rsidRPr="00451F5C">
              <w:rPr>
                <w:rFonts w:ascii="Times New Roman" w:hAnsi="Times New Roman" w:cs="Times New Roman"/>
                <w:sz w:val="24"/>
                <w:szCs w:val="24"/>
              </w:rPr>
              <w:t xml:space="preserve"> noskaidrojot klientu PLG, jāizmanto obligāti, papildus pēc nepieciešamības izmantojot arī citu informāciju, atbilstoši riskos balstītajai pieejai.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Ievērojot iepriekš minēto, </w:t>
            </w:r>
            <w:r w:rsidR="00BE53F9">
              <w:rPr>
                <w:rFonts w:ascii="Times New Roman" w:hAnsi="Times New Roman" w:cs="Times New Roman"/>
                <w:sz w:val="24"/>
                <w:szCs w:val="24"/>
              </w:rPr>
              <w:t>NILLTFNL</w:t>
            </w:r>
            <w:r w:rsidRPr="00451F5C">
              <w:rPr>
                <w:rFonts w:ascii="Times New Roman" w:hAnsi="Times New Roman" w:cs="Times New Roman"/>
                <w:sz w:val="24"/>
                <w:szCs w:val="24"/>
              </w:rPr>
              <w:t xml:space="preserve"> ietverams regulējums, atbilstoši nostiprinot </w:t>
            </w:r>
            <w:r w:rsidR="00652976"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30. panta 4. punktā minēto mehānismu. </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Informācijas par juridisko veidojumu patieso labuma guvēju atklāšana reģistros (</w:t>
            </w:r>
            <w:r w:rsidR="00095B95">
              <w:rPr>
                <w:rFonts w:ascii="Times New Roman" w:hAnsi="Times New Roman" w:cs="Times New Roman"/>
                <w:sz w:val="24"/>
                <w:szCs w:val="24"/>
              </w:rPr>
              <w:t>AML V direktīvas</w:t>
            </w:r>
            <w:r w:rsidRPr="00451F5C">
              <w:rPr>
                <w:rFonts w:ascii="Times New Roman" w:hAnsi="Times New Roman" w:cs="Times New Roman"/>
                <w:sz w:val="24"/>
                <w:szCs w:val="24"/>
              </w:rPr>
              <w:t xml:space="preserve"> </w:t>
            </w:r>
            <w:r w:rsidR="00095B95">
              <w:rPr>
                <w:rFonts w:ascii="Times New Roman" w:hAnsi="Times New Roman" w:cs="Times New Roman"/>
                <w:sz w:val="24"/>
                <w:szCs w:val="24"/>
              </w:rPr>
              <w:t>1.panta 17.punkt</w:t>
            </w:r>
            <w:r w:rsidR="00BE53F9">
              <w:rPr>
                <w:rFonts w:ascii="Times New Roman" w:hAnsi="Times New Roman" w:cs="Times New Roman"/>
                <w:sz w:val="24"/>
                <w:szCs w:val="24"/>
              </w:rPr>
              <w:t>s</w:t>
            </w:r>
            <w:r w:rsidR="00095B95">
              <w:rPr>
                <w:rFonts w:ascii="Times New Roman" w:hAnsi="Times New Roman" w:cs="Times New Roman"/>
                <w:sz w:val="24"/>
                <w:szCs w:val="24"/>
              </w:rPr>
              <w:t xml:space="preserve"> (</w:t>
            </w:r>
            <w:r w:rsidRPr="00451F5C">
              <w:rPr>
                <w:rFonts w:ascii="Times New Roman" w:hAnsi="Times New Roman" w:cs="Times New Roman"/>
                <w:sz w:val="24"/>
                <w:szCs w:val="24"/>
              </w:rPr>
              <w:t>31. panta 3a. </w:t>
            </w:r>
            <w:r w:rsidR="00BE53F9">
              <w:rPr>
                <w:rFonts w:ascii="Times New Roman" w:hAnsi="Times New Roman" w:cs="Times New Roman"/>
                <w:sz w:val="24"/>
                <w:szCs w:val="24"/>
              </w:rPr>
              <w:t>p</w:t>
            </w:r>
            <w:r w:rsidRPr="00451F5C">
              <w:rPr>
                <w:rFonts w:ascii="Times New Roman" w:hAnsi="Times New Roman" w:cs="Times New Roman"/>
                <w:sz w:val="24"/>
                <w:szCs w:val="24"/>
              </w:rPr>
              <w:t>unkts</w:t>
            </w:r>
            <w:r w:rsidR="00095B95">
              <w:rPr>
                <w:rFonts w:ascii="Times New Roman" w:hAnsi="Times New Roman" w:cs="Times New Roman"/>
                <w:sz w:val="24"/>
                <w:szCs w:val="24"/>
              </w:rPr>
              <w:t>)</w:t>
            </w:r>
            <w:r w:rsidRPr="00451F5C">
              <w:rPr>
                <w:rFonts w:ascii="Times New Roman" w:hAnsi="Times New Roman" w:cs="Times New Roman"/>
                <w:sz w:val="24"/>
                <w:szCs w:val="24"/>
              </w:rPr>
              <w:t>)</w:t>
            </w:r>
            <w:r w:rsidR="00BE53F9">
              <w:rPr>
                <w:rFonts w:ascii="Times New Roman" w:hAnsi="Times New Roman" w:cs="Times New Roman"/>
                <w:sz w:val="24"/>
                <w:szCs w:val="24"/>
              </w:rPr>
              <w:t>.</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AML V Direktīvas 16</w:t>
            </w:r>
            <w:r w:rsidR="00BE53F9">
              <w:rPr>
                <w:rFonts w:ascii="Times New Roman" w:hAnsi="Times New Roman" w:cs="Times New Roman"/>
                <w:sz w:val="24"/>
                <w:szCs w:val="24"/>
              </w:rPr>
              <w:t>.</w:t>
            </w:r>
            <w:r w:rsidRPr="00451F5C">
              <w:rPr>
                <w:rFonts w:ascii="Times New Roman" w:hAnsi="Times New Roman" w:cs="Times New Roman"/>
                <w:sz w:val="24"/>
                <w:szCs w:val="24"/>
              </w:rPr>
              <w:t xml:space="preserve"> punkts iekļauj </w:t>
            </w:r>
            <w:r w:rsidR="00652976"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w:t>
            </w:r>
            <w:r w:rsidR="00D44D63">
              <w:rPr>
                <w:rFonts w:ascii="Times New Roman" w:hAnsi="Times New Roman" w:cs="Times New Roman"/>
                <w:sz w:val="24"/>
                <w:szCs w:val="24"/>
              </w:rPr>
              <w:t>.</w:t>
            </w:r>
            <w:r w:rsidRPr="00451F5C">
              <w:rPr>
                <w:rFonts w:ascii="Times New Roman" w:hAnsi="Times New Roman" w:cs="Times New Roman"/>
                <w:sz w:val="24"/>
                <w:szCs w:val="24"/>
              </w:rPr>
              <w:t> pantā 3a punktu, paredzot, ka dalībvalstis prasa, lai informācija par tieši izveidotu trastu un līdzīgu juridisku veidojumu faktiskajiem īpašniekiem tiek glabāta tās dalībvalsts izveidotā faktisko īpašnieku centrālajā reģistrā, kurā trasta pilnvarotā persona vai persona, kam ir līdzvērtīgs amats līdzīgā juridiskā veidojumā, veic uzņēmējdarbību vai dzīvo.</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Latvijas Republikas tiesību sistēma neatzīst un ar šiem grozījumiem neatzīs trastus, vienlaikus saprotams, ka arī ārvalstu trasti un līdzīgi juridiskie </w:t>
            </w:r>
            <w:r w:rsidRPr="00451F5C">
              <w:rPr>
                <w:rFonts w:ascii="Times New Roman" w:hAnsi="Times New Roman" w:cs="Times New Roman"/>
                <w:sz w:val="24"/>
                <w:szCs w:val="24"/>
              </w:rPr>
              <w:lastRenderedPageBreak/>
              <w:t xml:space="preserve">veidojumi var veikt Latvijā uzņēmējdarbību ar filiāļu vai pastāvīgo pārstāvniecību starpniecību. Ārvalstu juridiskās personas vai juridiskie veidojumi atbilstoši Komerclikuma nosacījumiem var reģistrēt ārvalstu komersantu filiāles Uzņēmumu reģistra vestajā komercreģistrā, savukārt, pārstāvniecību reģistrā - pārstāvniecības. Tāpat ārvalstu juridisko personu vai juridisko veidojumu pārstāvniecības normatīvajos aktos noteiktajos gadījumos tiek reģistrētas Valsts ieņēmumu dienesta vestajā nodokļu maksātāju reģistrā. </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Lai nodrošinātu, ka ārvalstu trasti un citi līdzīgi juridiskie veidojumi iepriekš minētajos gadījumos atklāj to PLG, attiecīgi nosakāms pienākums tiem reģistros, kuros reģistrētas to filiāles vai pārstāvniecības, atklāt arī to PLG.  Lai nodrošinātu, ka informāciju iesniedz arī jau reģistrēto filiāļu un pārstāvniecību gadījumos, nosakāms saprātīgs pārejas periods – 6 mēneši, kura ietvaros informācija par PLG attiecīgajos reģistros iesniedzama. Gadījumā, ja noteiktais pienākums netiek izpildīts – ārvalstu subjektu filiāles un pārstāvniecības no attiecīgajiem reģistriem izslēdzamas. </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Vienlaikus, jāņem vērā, ka PLG reģistrācijas ieviešanai iepriekš minētajos gadījumos nepieciešamas izmaiņas kā Uzņēmumu reģistra, tā Valsts ieņēmumu dienest</w:t>
            </w:r>
            <w:r w:rsidR="00D44D63">
              <w:rPr>
                <w:rFonts w:ascii="Times New Roman" w:hAnsi="Times New Roman" w:cs="Times New Roman"/>
                <w:sz w:val="24"/>
                <w:szCs w:val="24"/>
              </w:rPr>
              <w:t>a</w:t>
            </w:r>
            <w:r w:rsidRPr="00451F5C">
              <w:rPr>
                <w:rFonts w:ascii="Times New Roman" w:hAnsi="Times New Roman" w:cs="Times New Roman"/>
                <w:sz w:val="24"/>
                <w:szCs w:val="24"/>
              </w:rPr>
              <w:t xml:space="preserve"> informācijas sistēmās. Turklāt, Uzņēmumu reģistrā tās nav iespējams īstenot vienlaikus, ņemot vērā Uzņēmumu reģistra informācijas sistēmas modernizācijas procesus, tai skaitā, </w:t>
            </w:r>
            <w:r w:rsidR="00596405"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vajadzībām, saistībā ar riskos balstītās pieejas ieviešanu. Ievērojot minēto, PLG reģistrācijas ārvalstu komersantu filiālēm uzsākšanai termiņš nosakāms no 2019. gada 1. septembra, savukārt, pārstāvniecību gadījumā – 2020. gada 1. jūlijs. </w:t>
            </w:r>
          </w:p>
          <w:p w:rsidR="00D013CB" w:rsidRPr="00D44D63" w:rsidRDefault="00D013CB" w:rsidP="00C31C47">
            <w:pPr>
              <w:spacing w:after="0" w:line="240" w:lineRule="auto"/>
              <w:ind w:firstLine="284"/>
              <w:jc w:val="both"/>
              <w:rPr>
                <w:rFonts w:ascii="Times New Roman" w:hAnsi="Times New Roman" w:cs="Times New Roman"/>
                <w:sz w:val="24"/>
                <w:szCs w:val="24"/>
                <w:u w:val="single"/>
              </w:rPr>
            </w:pPr>
            <w:r w:rsidRPr="00D44D63">
              <w:rPr>
                <w:rFonts w:ascii="Times New Roman" w:hAnsi="Times New Roman" w:cs="Times New Roman"/>
                <w:sz w:val="24"/>
                <w:szCs w:val="24"/>
                <w:u w:val="single"/>
              </w:rPr>
              <w:t>Informācijas par PLG pieejamības termiņš (Direktīvas 30. panta 10. punkta trešā daļa)</w:t>
            </w:r>
            <w:r w:rsidR="00D44D63" w:rsidRPr="00D44D63">
              <w:rPr>
                <w:rFonts w:ascii="Times New Roman" w:hAnsi="Times New Roman" w:cs="Times New Roman"/>
                <w:sz w:val="24"/>
                <w:szCs w:val="24"/>
                <w:u w:val="single"/>
              </w:rPr>
              <w:t>.</w:t>
            </w:r>
          </w:p>
          <w:p w:rsidR="00D013CB" w:rsidRPr="00451F5C" w:rsidRDefault="00596405"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AML V d</w:t>
            </w:r>
            <w:r w:rsidR="00D013CB" w:rsidRPr="00451F5C">
              <w:rPr>
                <w:rFonts w:ascii="Times New Roman" w:hAnsi="Times New Roman" w:cs="Times New Roman"/>
                <w:sz w:val="24"/>
                <w:szCs w:val="24"/>
              </w:rPr>
              <w:t xml:space="preserve">irektīvas 15. punkts </w:t>
            </w:r>
            <w:r w:rsidRPr="00451F5C">
              <w:rPr>
                <w:rFonts w:ascii="Times New Roman" w:hAnsi="Times New Roman" w:cs="Times New Roman"/>
                <w:sz w:val="24"/>
                <w:szCs w:val="24"/>
              </w:rPr>
              <w:t>AML IV direktīvas</w:t>
            </w:r>
            <w:r w:rsidR="00D013CB" w:rsidRPr="00451F5C">
              <w:rPr>
                <w:rFonts w:ascii="Times New Roman" w:hAnsi="Times New Roman" w:cs="Times New Roman"/>
                <w:sz w:val="24"/>
                <w:szCs w:val="24"/>
              </w:rPr>
              <w:t xml:space="preserve"> 30. panta 10. punktā nosaka, ka informācija, par PLG ir pieejama, izmantojot valstu reģistrus un reģistru savstarpējās savienojamības sistēmu, vismaz piecus gadus un ne vairāk kā 10 gadus pēc tam, kad korporatīvā vai cita juridiskā vienība ir izslēgta no reģistra. Dalībvalstis sadarbojas savā starpā un ar Eiropas Komisiju, lai īstenotu dažādos piekļuves veidus saskaņā ar šo pantu. Ņemot vērā, ka šobrīd normatīvie akti nenosaka pieejamības termiņus patieso labuma guvēju informācijai, veicami atbilstoši grozījumi.</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lastRenderedPageBreak/>
              <w:t>Precizēts regulējums attiecībā uz gadījumiem, kuros Uzņēmumu reģistrā iespējams reģistrēt informāciju, ka patieso labuma guvēju noskaidrot nav iespējams</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Šobrīd </w:t>
            </w:r>
            <w:r w:rsidR="00596405"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17655E">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otrajā daļā noteikts, ka, ja juridiskās personas PLG noskaidrot nav iespējams, pieteicējs to apliecina pieteikumā. Norādāms, ka jau pašreizējais regulējums paredz, ka ne vien Likuma subjektiem, bet arī juridiskajām personām ir tiesības </w:t>
            </w:r>
            <w:proofErr w:type="spellStart"/>
            <w:r w:rsidRPr="00451F5C">
              <w:rPr>
                <w:rFonts w:ascii="Times New Roman" w:hAnsi="Times New Roman" w:cs="Times New Roman"/>
                <w:sz w:val="24"/>
                <w:szCs w:val="24"/>
              </w:rPr>
              <w:t>prezumēt</w:t>
            </w:r>
            <w:proofErr w:type="spellEnd"/>
            <w:r w:rsidRPr="00451F5C">
              <w:rPr>
                <w:rFonts w:ascii="Times New Roman" w:hAnsi="Times New Roman" w:cs="Times New Roman"/>
                <w:sz w:val="24"/>
                <w:szCs w:val="24"/>
              </w:rPr>
              <w:t xml:space="preserve">, ka PLG noskaidrot nav iespējams (un attiecīgu norādi ietvert pieteikumā) vienīgi tad, ja visi iespējamie noskaidrošanas līdzekļi ir izsmelti un ir secināts, ka PLG noskaidrot nav iespējams. Vienlaikus secināts, ka praksē attiecīgā prasība netiek pietiekami skaidri izprasta, radot pārpratumus kontekstā ar reģistrēto informāciju Uzņēmumu reģistrā un Likuma 18.panta septīto daļu, kā arī Likuma subjektu veiktajām darbībām klientu izpētes ietvaros kopumā. Ievērojot minēto, veicami atbilstoši grozījumi Likumā. </w:t>
            </w:r>
          </w:p>
          <w:p w:rsidR="00D013CB" w:rsidRPr="00D44D63" w:rsidRDefault="00D013CB" w:rsidP="00C31C47">
            <w:pPr>
              <w:spacing w:after="0" w:line="240" w:lineRule="auto"/>
              <w:ind w:firstLine="284"/>
              <w:jc w:val="both"/>
              <w:rPr>
                <w:rFonts w:ascii="Times New Roman" w:hAnsi="Times New Roman" w:cs="Times New Roman"/>
                <w:sz w:val="24"/>
                <w:szCs w:val="24"/>
                <w:u w:val="single"/>
              </w:rPr>
            </w:pPr>
            <w:r w:rsidRPr="00D44D63">
              <w:rPr>
                <w:rFonts w:ascii="Times New Roman" w:hAnsi="Times New Roman" w:cs="Times New Roman"/>
                <w:sz w:val="24"/>
                <w:szCs w:val="24"/>
                <w:u w:val="single"/>
              </w:rPr>
              <w:t>Automātiskie paziņojumi par PLG juridiskajām personām, kurām piemērojami izņēmumi un, kas reģistrētas pirms 2017. gada 1.decembra.</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Šobrīd </w:t>
            </w:r>
            <w:r w:rsidR="00A06735" w:rsidRPr="00451F5C">
              <w:rPr>
                <w:rFonts w:ascii="Times New Roman" w:hAnsi="Times New Roman" w:cs="Times New Roman"/>
                <w:sz w:val="24"/>
                <w:szCs w:val="24"/>
              </w:rPr>
              <w:t>NILLTNFL</w:t>
            </w:r>
            <w:r w:rsidRPr="00451F5C">
              <w:rPr>
                <w:rFonts w:ascii="Times New Roman" w:hAnsi="Times New Roman" w:cs="Times New Roman"/>
                <w:sz w:val="24"/>
                <w:szCs w:val="24"/>
              </w:rPr>
              <w:t xml:space="preserve">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ceturtā un piektā daļa nosaka izņēmumus, kuros juridiskās personas PLG informāciju var neiesniegt, jo informācija par tiem jau citu normatīvajos aktos noteikto pienākumu ietvaros jau tikusi iesniegta Uzņēmumu reģistra</w:t>
            </w:r>
            <w:r w:rsidR="00D44D63">
              <w:rPr>
                <w:rFonts w:ascii="Times New Roman" w:hAnsi="Times New Roman" w:cs="Times New Roman"/>
                <w:sz w:val="24"/>
                <w:szCs w:val="24"/>
              </w:rPr>
              <w:t>m</w:t>
            </w:r>
            <w:r w:rsidRPr="00451F5C">
              <w:rPr>
                <w:rFonts w:ascii="Times New Roman" w:hAnsi="Times New Roman" w:cs="Times New Roman"/>
                <w:sz w:val="24"/>
                <w:szCs w:val="24"/>
              </w:rPr>
              <w:t xml:space="preserve">. Minētās normas pēc būtības vērtējamas kā pārejas posma normas attiecībā uz tiem gadījumiem, kuros juridiskās personas, kas bija reģistrētas pirms 01.12.2017. varēja neiesniegt informāciju par PLG. Šobrīd, neskatoties uz noteikto, ka informāciju it kā var nesniegt,  jāņem vērā, ka Uzņēmumu reģistrs nav tiesīgs pēc savas iniciatīvas </w:t>
            </w:r>
            <w:proofErr w:type="spellStart"/>
            <w:r w:rsidRPr="00451F5C">
              <w:rPr>
                <w:rFonts w:ascii="Times New Roman" w:hAnsi="Times New Roman" w:cs="Times New Roman"/>
                <w:sz w:val="24"/>
                <w:szCs w:val="24"/>
              </w:rPr>
              <w:t>prezumēt</w:t>
            </w:r>
            <w:proofErr w:type="spellEnd"/>
            <w:r w:rsidRPr="00451F5C">
              <w:rPr>
                <w:rFonts w:ascii="Times New Roman" w:hAnsi="Times New Roman" w:cs="Times New Roman"/>
                <w:sz w:val="24"/>
                <w:szCs w:val="24"/>
              </w:rPr>
              <w:t xml:space="preserve">, ka atbilstoši </w:t>
            </w:r>
            <w:r w:rsidR="00364B34"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D44D63">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ceturtajai daļai juridiskajai personai informācija nav jāiesniedz. Tāpat Uzņēmumu reģistrs nav tiesīgs pēc savas iniciatīvas izdarīt ierakstus par PLG. Ievērojot minēto, minētajām normām nav juridiskā svara, jo jebkurā gadījumā juridiskajai personai ir jānorāda, ka informācija jau ir sniegta, tikai citu normatīvo aktu pienākumu ietvaros.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Vienlaikus, ņemot vērā </w:t>
            </w:r>
            <w:r w:rsidR="00FC6B9B" w:rsidRPr="00451F5C">
              <w:rPr>
                <w:rFonts w:ascii="Times New Roman" w:hAnsi="Times New Roman" w:cs="Times New Roman"/>
                <w:sz w:val="24"/>
                <w:szCs w:val="24"/>
              </w:rPr>
              <w:t>NILTLNFL</w:t>
            </w:r>
            <w:r w:rsidRPr="00451F5C">
              <w:rPr>
                <w:rFonts w:ascii="Times New Roman" w:hAnsi="Times New Roman" w:cs="Times New Roman"/>
                <w:sz w:val="24"/>
                <w:szCs w:val="24"/>
              </w:rPr>
              <w:t xml:space="preserve"> pārejas noteikumu 22. punktu – juridiskajām personām, uz kurām attiecināmi Likuma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ceturtās un piektās daļas nosacījumi</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informācija par to PLG, ja tā atšķīrās no attiecīgajās normās minētajiem izņēmumiem, bija jāiesniedz līdz 2018. gada 1. mart</w:t>
            </w:r>
            <w:r w:rsidR="00D44D63">
              <w:rPr>
                <w:rFonts w:ascii="Times New Roman" w:hAnsi="Times New Roman" w:cs="Times New Roman"/>
                <w:sz w:val="24"/>
                <w:szCs w:val="24"/>
              </w:rPr>
              <w:t>am</w:t>
            </w:r>
            <w:r w:rsidRPr="00451F5C">
              <w:rPr>
                <w:rFonts w:ascii="Times New Roman" w:hAnsi="Times New Roman" w:cs="Times New Roman"/>
                <w:sz w:val="24"/>
                <w:szCs w:val="24"/>
              </w:rPr>
              <w:t xml:space="preserve">. Ja juridiskās personas citu informāciju nav iesniegušas, uzskatāms, ka </w:t>
            </w:r>
            <w:r w:rsidR="00FC6B9B"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ceturtajā daļā minētajos gadījumos informācija par PLG ir paziņota pēc noklusējuma. Lai uzlabotu </w:t>
            </w:r>
            <w:r w:rsidRPr="00451F5C">
              <w:rPr>
                <w:rFonts w:ascii="Times New Roman" w:hAnsi="Times New Roman" w:cs="Times New Roman"/>
                <w:sz w:val="24"/>
                <w:szCs w:val="24"/>
              </w:rPr>
              <w:lastRenderedPageBreak/>
              <w:t>Uzņēmumu reģistra vesto reģistru datu pārskatāmību, uz attiecīgo paziņojumu pēc noklusējuma pamata, Uzņēmumu reģistram, nepieņemot atsevišķu lēmumu, Likuma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ceturtajā daļā minētās personas jāreģistrē kā PLG attiecīgajām juridiskajām personām. Līdzīga pieeja attiecībā uz PLG reģistrāciju noteikta arī Austrijā un tā ievērojami uzlabojusi reģistra pārskatāmību un </w:t>
            </w:r>
            <w:proofErr w:type="spellStart"/>
            <w:r w:rsidRPr="00451F5C">
              <w:rPr>
                <w:rFonts w:ascii="Times New Roman" w:hAnsi="Times New Roman" w:cs="Times New Roman"/>
                <w:sz w:val="24"/>
                <w:szCs w:val="24"/>
              </w:rPr>
              <w:t>izmantojamību</w:t>
            </w:r>
            <w:proofErr w:type="spellEnd"/>
            <w:r w:rsidRPr="00451F5C">
              <w:rPr>
                <w:rFonts w:ascii="Times New Roman" w:hAnsi="Times New Roman" w:cs="Times New Roman"/>
                <w:sz w:val="24"/>
                <w:szCs w:val="24"/>
              </w:rPr>
              <w:t xml:space="preserve"> datu izpētē.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Ievērojot minēto, </w:t>
            </w:r>
            <w:r w:rsidR="00FC6B9B"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ceturtā un piektā svītrojama, vienlaikus Likuma pārejas noteikumos nosakot, ka</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ja attiecīgās juridiskās personas uz kurām izņēmumi attiecināmi</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līdz noteiktam datumam nav paziņojuši savādāk, uzskatāms, ka tās paziņojušas, ka – SIA dalībnieki, personālsabiedrības biedri, individuālo uzņēmumu vai zemnieku vai zvejnieku saimniecību īpašnieki vai nodibinājumu valdes locekļi ir to PLG (ievērojot</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saprotams</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Likumā ietverto PLG definīciju). Un Latvijas Republikas Uzņēmumu reģistrs, nepieņemot atsevišķu lēmumu, līdz 2019. gada 1. septembrim minētās personas reģistrē kā PLG attiecīgajos reģistros.</w:t>
            </w:r>
          </w:p>
          <w:p w:rsidR="00D013CB" w:rsidRDefault="00D013CB" w:rsidP="00C31C47">
            <w:pPr>
              <w:pStyle w:val="CommentText"/>
              <w:spacing w:after="0"/>
              <w:ind w:firstLine="284"/>
              <w:jc w:val="both"/>
              <w:rPr>
                <w:rFonts w:ascii="Times New Roman" w:eastAsia="Calibri" w:hAnsi="Times New Roman" w:cs="Times New Roman"/>
                <w:sz w:val="24"/>
                <w:szCs w:val="24"/>
              </w:rPr>
            </w:pPr>
            <w:r w:rsidRPr="00451F5C">
              <w:rPr>
                <w:rFonts w:ascii="Times New Roman" w:hAnsi="Times New Roman" w:cs="Times New Roman"/>
                <w:sz w:val="24"/>
                <w:szCs w:val="24"/>
              </w:rPr>
              <w:t xml:space="preserve">  </w:t>
            </w:r>
            <w:r w:rsidR="00B50530" w:rsidRPr="00C024FD">
              <w:rPr>
                <w:rFonts w:ascii="Times New Roman" w:eastAsia="Calibri" w:hAnsi="Times New Roman" w:cs="Times New Roman"/>
                <w:sz w:val="24"/>
                <w:szCs w:val="24"/>
              </w:rPr>
              <w:t>Brīdī, kad informācijai par patiesajiem labuma guvējiem vairs netiek nodrošināta pieejamība, uz attiecīgās informācijas izsniegšanu vairs netiek attiecināts vispārējais regulējums par publiski pieejamās informācijas izsniegšanu no Uzņēmumu reģistra vestajiem reģistriem</w:t>
            </w:r>
            <w:r w:rsidR="00AC2280">
              <w:rPr>
                <w:rFonts w:ascii="Times New Roman" w:eastAsia="Calibri" w:hAnsi="Times New Roman" w:cs="Times New Roman"/>
                <w:sz w:val="24"/>
                <w:szCs w:val="24"/>
              </w:rPr>
              <w:t>,</w:t>
            </w:r>
            <w:r w:rsidR="00B50530" w:rsidRPr="00C024FD">
              <w:rPr>
                <w:rFonts w:ascii="Times New Roman" w:eastAsia="Calibri" w:hAnsi="Times New Roman" w:cs="Times New Roman"/>
                <w:sz w:val="24"/>
                <w:szCs w:val="24"/>
              </w:rPr>
              <w:t xml:space="preserve"> un reģistrētā informācija tiek dzēsta. Pieejamība dokumentiem, ar kuriem patieso labuma guvēju reģistrācija tika pamatota, un esošajai patieso labuma guvēju informācijai vairs netiek nodrošināta, pašus dokumentus neiznīcinot, ņemot vērā, ka tie satur ne tikai informāciju par patiesajiem labuma guvējiem, bet arī cita satura informāciju, piemēram, par dalībniekiem, valdes locekļiem.</w:t>
            </w:r>
          </w:p>
          <w:p w:rsidR="00B50530" w:rsidRPr="00451F5C" w:rsidRDefault="00B50530" w:rsidP="00C31C47">
            <w:pPr>
              <w:pStyle w:val="CommentText"/>
              <w:spacing w:after="0"/>
              <w:ind w:firstLine="284"/>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464146">
              <w:rPr>
                <w:rFonts w:ascii="Times New Roman" w:hAnsi="Times New Roman" w:cs="Times New Roman"/>
                <w:sz w:val="24"/>
                <w:szCs w:val="24"/>
                <w:u w:val="single"/>
              </w:rPr>
              <w:t>25</w:t>
            </w:r>
            <w:r w:rsidRPr="00451F5C">
              <w:rPr>
                <w:rFonts w:ascii="Times New Roman" w:hAnsi="Times New Roman" w:cs="Times New Roman"/>
                <w:sz w:val="24"/>
                <w:szCs w:val="24"/>
                <w:u w:val="single"/>
              </w:rPr>
              <w:t>.pants:</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Nepieciešamie grozījumi izriet no AML V direktīvas un Eiropas Banku iestādes 04.01.2018. Pamatnostādnēm par riska faktoriem 60. punktā norādītajam iespējamo klienta padziļinātās izpētes tvērumam</w:t>
            </w:r>
            <w:r w:rsidR="00A21FEF">
              <w:rPr>
                <w:rFonts w:ascii="Times New Roman" w:hAnsi="Times New Roman" w:cs="Times New Roman"/>
                <w:sz w:val="24"/>
                <w:szCs w:val="24"/>
              </w:rPr>
              <w:t>,</w:t>
            </w:r>
            <w:r w:rsidR="00AA2D9D" w:rsidRPr="00451F5C">
              <w:rPr>
                <w:rFonts w:ascii="Times New Roman" w:hAnsi="Times New Roman" w:cs="Times New Roman"/>
                <w:sz w:val="24"/>
                <w:szCs w:val="24"/>
              </w:rPr>
              <w:t xml:space="preserve"> kā arī no </w:t>
            </w:r>
            <w:proofErr w:type="spellStart"/>
            <w:r w:rsidR="00AA2D9D" w:rsidRPr="00451F5C">
              <w:rPr>
                <w:rFonts w:ascii="Times New Roman" w:hAnsi="Times New Roman" w:cs="Times New Roman"/>
                <w:sz w:val="24"/>
                <w:szCs w:val="24"/>
              </w:rPr>
              <w:t>Mo</w:t>
            </w:r>
            <w:r w:rsidR="00233252" w:rsidRPr="00451F5C">
              <w:rPr>
                <w:rFonts w:ascii="Times New Roman" w:hAnsi="Times New Roman" w:cs="Times New Roman"/>
                <w:sz w:val="24"/>
                <w:szCs w:val="24"/>
              </w:rPr>
              <w:t>n</w:t>
            </w:r>
            <w:r w:rsidR="00AA2D9D" w:rsidRPr="00451F5C">
              <w:rPr>
                <w:rFonts w:ascii="Times New Roman" w:hAnsi="Times New Roman" w:cs="Times New Roman"/>
                <w:sz w:val="24"/>
                <w:szCs w:val="24"/>
              </w:rPr>
              <w:t>eyval</w:t>
            </w:r>
            <w:proofErr w:type="spellEnd"/>
            <w:r w:rsidR="00AA2D9D" w:rsidRPr="00451F5C">
              <w:rPr>
                <w:rFonts w:ascii="Times New Roman" w:hAnsi="Times New Roman" w:cs="Times New Roman"/>
                <w:sz w:val="24"/>
                <w:szCs w:val="24"/>
              </w:rPr>
              <w:t xml:space="preserve"> ziņojuma Rec.</w:t>
            </w:r>
            <w:r w:rsidR="003639F1" w:rsidRPr="00451F5C">
              <w:rPr>
                <w:rFonts w:ascii="Times New Roman" w:hAnsi="Times New Roman" w:cs="Times New Roman"/>
                <w:sz w:val="24"/>
                <w:szCs w:val="24"/>
              </w:rPr>
              <w:t>10</w:t>
            </w:r>
            <w:r w:rsidRPr="00451F5C">
              <w:rPr>
                <w:rFonts w:ascii="Times New Roman" w:hAnsi="Times New Roman" w:cs="Times New Roman"/>
                <w:sz w:val="24"/>
                <w:szCs w:val="24"/>
              </w:rPr>
              <w:t>.</w:t>
            </w:r>
            <w:r w:rsidR="003639F1" w:rsidRPr="00451F5C">
              <w:rPr>
                <w:rFonts w:ascii="Times New Roman" w:hAnsi="Times New Roman" w:cs="Times New Roman"/>
                <w:sz w:val="24"/>
                <w:szCs w:val="24"/>
              </w:rPr>
              <w:t>Cr.10.17 (2.pielikums Nr.10.3.)</w:t>
            </w:r>
            <w:r w:rsidRPr="00451F5C">
              <w:rPr>
                <w:rFonts w:ascii="Times New Roman" w:hAnsi="Times New Roman" w:cs="Times New Roman"/>
                <w:sz w:val="24"/>
                <w:szCs w:val="24"/>
              </w:rPr>
              <w:t xml:space="preserve"> Klienta padziļinātā izpēte ietver pasākumus, kas veicami papildus klienta izpētei, un to mērķis ir augstāka riska situācijās pārliecināties, ka Likuma subjekts netiek iesaistīts noziedzīgi iegūtu līdzekļu legalizācijā vai terorisma finansēšanā. Minētā nodrošināšanai </w:t>
            </w:r>
            <w:r w:rsidR="00A21FEF">
              <w:rPr>
                <w:rFonts w:ascii="Times New Roman" w:hAnsi="Times New Roman" w:cs="Times New Roman"/>
                <w:sz w:val="24"/>
                <w:szCs w:val="24"/>
              </w:rPr>
              <w:t>NILLTFNL</w:t>
            </w:r>
            <w:r w:rsidR="00A21FEF"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subjekts, pamatojoties uz risku balstītu pieeju, veic nepieciešamos padziļinātās izpētes </w:t>
            </w:r>
            <w:r w:rsidRPr="00451F5C">
              <w:rPr>
                <w:rFonts w:ascii="Times New Roman" w:hAnsi="Times New Roman" w:cs="Times New Roman"/>
                <w:sz w:val="24"/>
                <w:szCs w:val="24"/>
              </w:rPr>
              <w:lastRenderedPageBreak/>
              <w:t>pasākumus, lai apzinātu iespējamo risku un pieņemtu lēmumu, vai turpināt darījumu attiecības/veikt gadījuma rakstura darījumu.</w:t>
            </w:r>
          </w:p>
          <w:p w:rsidR="00713584" w:rsidRPr="00451F5C" w:rsidRDefault="00713584" w:rsidP="00C31C47">
            <w:pPr>
              <w:spacing w:after="0" w:line="240" w:lineRule="auto"/>
              <w:ind w:firstLine="391"/>
              <w:jc w:val="both"/>
              <w:rPr>
                <w:rFonts w:ascii="Times New Roman" w:hAnsi="Times New Roman" w:cs="Times New Roman"/>
                <w:sz w:val="24"/>
                <w:szCs w:val="24"/>
              </w:rPr>
            </w:pPr>
          </w:p>
          <w:p w:rsidR="00D013CB" w:rsidRPr="00451F5C" w:rsidRDefault="00E24E8C"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26</w:t>
            </w:r>
            <w:r w:rsidR="00D013CB" w:rsidRPr="00451F5C">
              <w:rPr>
                <w:rFonts w:ascii="Times New Roman" w:hAnsi="Times New Roman" w:cs="Times New Roman"/>
                <w:sz w:val="24"/>
                <w:szCs w:val="24"/>
                <w:u w:val="single"/>
              </w:rPr>
              <w:t>.pants:</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ierobežot</w:t>
            </w:r>
            <w:r w:rsidR="00A21FEF">
              <w:rPr>
                <w:rFonts w:ascii="Times New Roman" w:hAnsi="Times New Roman" w:cs="Times New Roman"/>
                <w:sz w:val="24"/>
                <w:szCs w:val="24"/>
              </w:rPr>
              <w:t>u</w:t>
            </w:r>
            <w:r w:rsidRPr="00451F5C">
              <w:rPr>
                <w:rFonts w:ascii="Times New Roman" w:hAnsi="Times New Roman" w:cs="Times New Roman"/>
                <w:sz w:val="24"/>
                <w:szCs w:val="24"/>
              </w:rPr>
              <w:t xml:space="preserve"> darījumu un gadījuma rakstura darījuma attiecības ar augsta riska trešajām valstīm, ja šo valstu noziedzīgi iegūtu līdzekļu legalizācijas un terorisma finansēšan</w:t>
            </w:r>
            <w:r w:rsidR="00A21FEF">
              <w:rPr>
                <w:rFonts w:ascii="Times New Roman" w:hAnsi="Times New Roman" w:cs="Times New Roman"/>
                <w:sz w:val="24"/>
                <w:szCs w:val="24"/>
              </w:rPr>
              <w:t>a</w:t>
            </w:r>
            <w:r w:rsidRPr="00451F5C">
              <w:rPr>
                <w:rFonts w:ascii="Times New Roman" w:hAnsi="Times New Roman" w:cs="Times New Roman"/>
                <w:sz w:val="24"/>
                <w:szCs w:val="24"/>
              </w:rPr>
              <w:t xml:space="preserve">s novēršanas jomā ir konstatēti būtiski trūkumi un papildus netiek piemēroti riska </w:t>
            </w:r>
            <w:r w:rsidR="00E719AD" w:rsidRPr="00451F5C">
              <w:rPr>
                <w:rFonts w:ascii="Times New Roman" w:hAnsi="Times New Roman" w:cs="Times New Roman"/>
                <w:sz w:val="24"/>
                <w:szCs w:val="24"/>
              </w:rPr>
              <w:t>mazināšanas</w:t>
            </w:r>
            <w:r w:rsidRPr="00451F5C">
              <w:rPr>
                <w:rFonts w:ascii="Times New Roman" w:hAnsi="Times New Roman" w:cs="Times New Roman"/>
                <w:sz w:val="24"/>
                <w:szCs w:val="24"/>
              </w:rPr>
              <w:t xml:space="preserve"> pasākumi vai pretpasākumi</w:t>
            </w:r>
            <w:r w:rsidR="00A21FEF">
              <w:rPr>
                <w:rFonts w:ascii="Times New Roman" w:hAnsi="Times New Roman" w:cs="Times New Roman"/>
                <w:sz w:val="24"/>
                <w:szCs w:val="24"/>
              </w:rPr>
              <w:t>,</w:t>
            </w:r>
            <w:r w:rsidRPr="00451F5C">
              <w:rPr>
                <w:rFonts w:ascii="Times New Roman" w:hAnsi="Times New Roman" w:cs="Times New Roman"/>
                <w:sz w:val="24"/>
                <w:szCs w:val="24"/>
              </w:rPr>
              <w:t xml:space="preserve"> NILLTFNL subjektiem ir jāveic padziļinātā izpēte ietverot noteiktus pasākumus </w:t>
            </w:r>
            <w:r w:rsidR="00A21FEF">
              <w:rPr>
                <w:rFonts w:ascii="Times New Roman" w:hAnsi="Times New Roman" w:cs="Times New Roman"/>
                <w:sz w:val="24"/>
                <w:szCs w:val="24"/>
              </w:rPr>
              <w:t>atbilstoši</w:t>
            </w:r>
            <w:r w:rsidRPr="00451F5C">
              <w:rPr>
                <w:rFonts w:ascii="Times New Roman" w:hAnsi="Times New Roman" w:cs="Times New Roman"/>
                <w:sz w:val="24"/>
                <w:szCs w:val="24"/>
              </w:rPr>
              <w:t xml:space="preserve"> AML V direktīvas </w:t>
            </w:r>
            <w:r w:rsidR="00E719AD">
              <w:rPr>
                <w:rFonts w:ascii="Times New Roman" w:hAnsi="Times New Roman" w:cs="Times New Roman"/>
                <w:sz w:val="24"/>
                <w:szCs w:val="24"/>
              </w:rPr>
              <w:t xml:space="preserve">1.panta </w:t>
            </w:r>
            <w:r w:rsidRPr="00451F5C">
              <w:rPr>
                <w:rFonts w:ascii="Times New Roman" w:hAnsi="Times New Roman" w:cs="Times New Roman"/>
                <w:sz w:val="24"/>
                <w:szCs w:val="24"/>
              </w:rPr>
              <w:t>11.punktā noteikta</w:t>
            </w:r>
            <w:r w:rsidR="00A21FEF">
              <w:rPr>
                <w:rFonts w:ascii="Times New Roman" w:hAnsi="Times New Roman" w:cs="Times New Roman"/>
                <w:sz w:val="24"/>
                <w:szCs w:val="24"/>
              </w:rPr>
              <w:t>jam</w:t>
            </w:r>
            <w:r w:rsidRPr="00451F5C">
              <w:rPr>
                <w:rFonts w:ascii="Times New Roman" w:hAnsi="Times New Roman" w:cs="Times New Roman"/>
                <w:sz w:val="24"/>
                <w:szCs w:val="24"/>
              </w:rPr>
              <w:t xml:space="preserve">. </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613DCD" w:rsidRPr="00451F5C">
              <w:rPr>
                <w:rFonts w:ascii="Times New Roman" w:hAnsi="Times New Roman" w:cs="Times New Roman"/>
                <w:sz w:val="24"/>
                <w:szCs w:val="24"/>
                <w:u w:val="single"/>
              </w:rPr>
              <w:t>28</w:t>
            </w:r>
            <w:r w:rsidR="00F43AC5" w:rsidRPr="00451F5C">
              <w:rPr>
                <w:rFonts w:ascii="Times New Roman" w:hAnsi="Times New Roman" w:cs="Times New Roman"/>
                <w:sz w:val="24"/>
                <w:szCs w:val="24"/>
                <w:u w:val="single"/>
              </w:rPr>
              <w:t>.pants</w:t>
            </w:r>
            <w:r w:rsidRPr="00451F5C">
              <w:rPr>
                <w:rFonts w:ascii="Times New Roman" w:hAnsi="Times New Roman" w:cs="Times New Roman"/>
                <w:sz w:val="24"/>
                <w:szCs w:val="24"/>
                <w:u w:val="single"/>
              </w:rPr>
              <w:t>:</w:t>
            </w:r>
          </w:p>
          <w:p w:rsidR="0069578C" w:rsidRPr="00451F5C" w:rsidRDefault="00A21FEF" w:rsidP="00C31C4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Tiek transponēts </w:t>
            </w:r>
            <w:r w:rsidR="00947126" w:rsidRPr="00451F5C">
              <w:rPr>
                <w:rFonts w:ascii="Times New Roman" w:hAnsi="Times New Roman" w:cs="Times New Roman"/>
                <w:sz w:val="24"/>
                <w:szCs w:val="24"/>
              </w:rPr>
              <w:t>AML V direktīvas 12.punk</w:t>
            </w:r>
            <w:r w:rsidR="00540A64">
              <w:rPr>
                <w:rFonts w:ascii="Times New Roman" w:hAnsi="Times New Roman" w:cs="Times New Roman"/>
                <w:sz w:val="24"/>
                <w:szCs w:val="24"/>
              </w:rPr>
              <w:t>t</w:t>
            </w:r>
            <w:r>
              <w:rPr>
                <w:rFonts w:ascii="Times New Roman" w:hAnsi="Times New Roman" w:cs="Times New Roman"/>
                <w:sz w:val="24"/>
                <w:szCs w:val="24"/>
              </w:rPr>
              <w:t>s</w:t>
            </w:r>
            <w:r w:rsidR="00540A64">
              <w:rPr>
                <w:rFonts w:ascii="Times New Roman" w:hAnsi="Times New Roman" w:cs="Times New Roman"/>
                <w:sz w:val="24"/>
                <w:szCs w:val="24"/>
              </w:rPr>
              <w:t xml:space="preserve"> un 7.punkta b) apakšpunkt</w:t>
            </w:r>
            <w:r>
              <w:rPr>
                <w:rFonts w:ascii="Times New Roman" w:hAnsi="Times New Roman" w:cs="Times New Roman"/>
                <w:sz w:val="24"/>
                <w:szCs w:val="24"/>
              </w:rPr>
              <w:t>s</w:t>
            </w:r>
            <w:r w:rsidR="00540A64">
              <w:rPr>
                <w:rFonts w:ascii="Times New Roman" w:hAnsi="Times New Roman" w:cs="Times New Roman"/>
                <w:sz w:val="24"/>
                <w:szCs w:val="24"/>
              </w:rPr>
              <w:t xml:space="preserve">, attiecībā uz </w:t>
            </w:r>
            <w:r w:rsidR="00635516">
              <w:rPr>
                <w:rFonts w:ascii="Times New Roman" w:hAnsi="Times New Roman" w:cs="Times New Roman"/>
                <w:sz w:val="24"/>
                <w:szCs w:val="24"/>
              </w:rPr>
              <w:t>anonīmo priekšapmaksas karšu maksājumiem</w:t>
            </w:r>
            <w:r w:rsidR="00540A64">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512322"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29</w:t>
            </w:r>
            <w:r w:rsidR="00D013CB" w:rsidRPr="00451F5C">
              <w:rPr>
                <w:rFonts w:ascii="Times New Roman" w:hAnsi="Times New Roman" w:cs="Times New Roman"/>
                <w:sz w:val="24"/>
                <w:szCs w:val="24"/>
                <w:u w:val="single"/>
              </w:rPr>
              <w:t>.pants:</w:t>
            </w:r>
          </w:p>
          <w:p w:rsidR="003C1511" w:rsidRPr="00451F5C" w:rsidRDefault="00233252"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w:t>
            </w: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ziņojuma Rec.10.Cr.10.19 tiek attiecināts uz visiem NILLTFNL </w:t>
            </w:r>
            <w:r w:rsidR="00A21FEF">
              <w:rPr>
                <w:rFonts w:ascii="Times New Roman" w:hAnsi="Times New Roman" w:cs="Times New Roman"/>
                <w:sz w:val="24"/>
                <w:szCs w:val="24"/>
              </w:rPr>
              <w:t xml:space="preserve">noteiktajiem </w:t>
            </w:r>
            <w:r w:rsidRPr="00451F5C">
              <w:rPr>
                <w:rFonts w:ascii="Times New Roman" w:hAnsi="Times New Roman" w:cs="Times New Roman"/>
                <w:sz w:val="24"/>
                <w:szCs w:val="24"/>
              </w:rPr>
              <w:t>klienta  izpētes pasākumiem.</w:t>
            </w:r>
          </w:p>
          <w:p w:rsidR="00233252" w:rsidRPr="00451F5C" w:rsidRDefault="00233252" w:rsidP="00C31C47">
            <w:pPr>
              <w:spacing w:after="0" w:line="240" w:lineRule="auto"/>
              <w:ind w:firstLine="391"/>
              <w:jc w:val="both"/>
              <w:rPr>
                <w:rFonts w:ascii="Times New Roman" w:hAnsi="Times New Roman" w:cs="Times New Roman"/>
                <w:sz w:val="24"/>
                <w:szCs w:val="24"/>
              </w:rPr>
            </w:pPr>
          </w:p>
          <w:p w:rsidR="00D013CB" w:rsidRPr="00451F5C" w:rsidRDefault="008E3383"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30</w:t>
            </w:r>
            <w:r w:rsidR="00D013CB" w:rsidRPr="00451F5C">
              <w:rPr>
                <w:rFonts w:ascii="Times New Roman" w:hAnsi="Times New Roman" w:cs="Times New Roman"/>
                <w:sz w:val="24"/>
                <w:szCs w:val="24"/>
                <w:u w:val="single"/>
              </w:rPr>
              <w:t>.pants:</w:t>
            </w:r>
          </w:p>
          <w:p w:rsidR="001D4748" w:rsidRPr="00451F5C" w:rsidRDefault="00DC4361" w:rsidP="00C31C47">
            <w:pPr>
              <w:pStyle w:val="HTMLPreformatted"/>
              <w:shd w:val="clear" w:color="auto" w:fill="FFFFFF"/>
              <w:ind w:firstLine="391"/>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NILLTFNL 29.panta pirmās daļas 1.punkts tiek izteikts jaunā redakcijā</w:t>
            </w:r>
            <w:r w:rsidR="00A21FEF">
              <w:rPr>
                <w:rFonts w:ascii="Times New Roman" w:eastAsiaTheme="minorHAnsi" w:hAnsi="Times New Roman" w:cs="Times New Roman"/>
                <w:sz w:val="24"/>
                <w:szCs w:val="24"/>
                <w:lang w:eastAsia="en-US"/>
              </w:rPr>
              <w:t>,</w:t>
            </w:r>
            <w:r w:rsidRPr="00451F5C">
              <w:rPr>
                <w:rFonts w:ascii="Times New Roman" w:eastAsiaTheme="minorHAnsi" w:hAnsi="Times New Roman" w:cs="Times New Roman"/>
                <w:sz w:val="24"/>
                <w:szCs w:val="24"/>
                <w:lang w:eastAsia="en-US"/>
              </w:rPr>
              <w:t xml:space="preserve"> a</w:t>
            </w:r>
            <w:r w:rsidR="00CC2C53" w:rsidRPr="00451F5C">
              <w:rPr>
                <w:rFonts w:ascii="Times New Roman" w:eastAsiaTheme="minorHAnsi" w:hAnsi="Times New Roman" w:cs="Times New Roman"/>
                <w:sz w:val="24"/>
                <w:szCs w:val="24"/>
                <w:lang w:eastAsia="en-US"/>
              </w:rPr>
              <w:t xml:space="preserve">tbilstoši </w:t>
            </w:r>
            <w:r w:rsidRPr="00451F5C">
              <w:rPr>
                <w:rFonts w:ascii="Times New Roman" w:eastAsiaTheme="minorHAnsi" w:hAnsi="Times New Roman" w:cs="Times New Roman"/>
                <w:sz w:val="24"/>
                <w:szCs w:val="24"/>
                <w:lang w:eastAsia="en-US"/>
              </w:rPr>
              <w:t xml:space="preserve">AML V direktīvai papildinot ar datiem, kuri iegūstami veicot neklātienes identifikācijas procesa ietvaros, kā arī atbilstoši </w:t>
            </w:r>
            <w:proofErr w:type="spellStart"/>
            <w:r w:rsidRPr="00451F5C">
              <w:rPr>
                <w:rFonts w:ascii="Times New Roman" w:eastAsiaTheme="minorHAnsi" w:hAnsi="Times New Roman" w:cs="Times New Roman"/>
                <w:sz w:val="24"/>
                <w:szCs w:val="24"/>
                <w:lang w:eastAsia="en-US"/>
              </w:rPr>
              <w:t>Moneyval</w:t>
            </w:r>
            <w:proofErr w:type="spellEnd"/>
            <w:r w:rsidRPr="00451F5C">
              <w:rPr>
                <w:rFonts w:ascii="Times New Roman" w:eastAsiaTheme="minorHAnsi" w:hAnsi="Times New Roman" w:cs="Times New Roman"/>
                <w:sz w:val="24"/>
                <w:szCs w:val="24"/>
                <w:lang w:eastAsia="en-US"/>
              </w:rPr>
              <w:t xml:space="preserve"> ziņojuma </w:t>
            </w:r>
            <w:r w:rsidR="009836B4" w:rsidRPr="00451F5C">
              <w:rPr>
                <w:rFonts w:ascii="Times New Roman" w:eastAsiaTheme="minorHAnsi" w:hAnsi="Times New Roman" w:cs="Times New Roman"/>
                <w:sz w:val="24"/>
                <w:szCs w:val="24"/>
                <w:lang w:eastAsia="en-US"/>
              </w:rPr>
              <w:t>Rec.17., Cr.17.1 (2.pielikums 17.1.)</w:t>
            </w:r>
            <w:r w:rsidRPr="00451F5C">
              <w:rPr>
                <w:rFonts w:ascii="Times New Roman" w:eastAsiaTheme="minorHAnsi" w:hAnsi="Times New Roman" w:cs="Times New Roman"/>
                <w:sz w:val="24"/>
                <w:szCs w:val="24"/>
                <w:lang w:eastAsia="en-US"/>
              </w:rPr>
              <w:t xml:space="preserve"> </w:t>
            </w:r>
            <w:r w:rsidR="001D4748" w:rsidRPr="00451F5C">
              <w:rPr>
                <w:rFonts w:ascii="Times New Roman" w:eastAsiaTheme="minorHAnsi" w:hAnsi="Times New Roman" w:cs="Times New Roman"/>
                <w:sz w:val="24"/>
                <w:szCs w:val="24"/>
                <w:lang w:eastAsia="en-US"/>
              </w:rPr>
              <w:t xml:space="preserve">attiecībā uz norādīto trūkumu -  pieprasītājām pusēm tiek prasīts nekavējoties saņemt, bet tai nav pienākuma nekavējoties iegūt nepieciešamo informāciju par minētajiem klienta izpētes pasākumiem. </w:t>
            </w:r>
          </w:p>
          <w:p w:rsidR="00422FD1" w:rsidRPr="00451F5C" w:rsidRDefault="00422FD1" w:rsidP="00C31C47">
            <w:pPr>
              <w:spacing w:after="0" w:line="240" w:lineRule="auto"/>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D45A3E" w:rsidRPr="00451F5C">
              <w:rPr>
                <w:rFonts w:ascii="Times New Roman" w:hAnsi="Times New Roman" w:cs="Times New Roman"/>
                <w:sz w:val="24"/>
                <w:szCs w:val="24"/>
                <w:u w:val="single"/>
              </w:rPr>
              <w:t>33</w:t>
            </w:r>
            <w:r w:rsidRPr="00451F5C">
              <w:rPr>
                <w:rFonts w:ascii="Times New Roman" w:hAnsi="Times New Roman" w:cs="Times New Roman"/>
                <w:sz w:val="24"/>
                <w:szCs w:val="24"/>
                <w:u w:val="single"/>
              </w:rPr>
              <w:t>.pants:</w:t>
            </w:r>
          </w:p>
          <w:p w:rsidR="00015A5E" w:rsidRPr="00451F5C" w:rsidRDefault="003E19DC"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NILTLFNL 37.panta otrās daļas 1.punkts tiek veikti grozījumi atbilstoši</w:t>
            </w:r>
            <w:r w:rsidR="00015A5E" w:rsidRPr="00451F5C">
              <w:rPr>
                <w:rFonts w:ascii="Times New Roman" w:hAnsi="Times New Roman" w:cs="Times New Roman"/>
                <w:sz w:val="24"/>
                <w:szCs w:val="24"/>
              </w:rPr>
              <w:t xml:space="preserve"> </w:t>
            </w:r>
            <w:proofErr w:type="spellStart"/>
            <w:r w:rsidR="00015A5E" w:rsidRPr="00451F5C">
              <w:rPr>
                <w:rFonts w:ascii="Times New Roman" w:hAnsi="Times New Roman" w:cs="Times New Roman"/>
                <w:sz w:val="24"/>
                <w:szCs w:val="24"/>
              </w:rPr>
              <w:t>Moneyval</w:t>
            </w:r>
            <w:proofErr w:type="spellEnd"/>
            <w:r w:rsidR="00015A5E" w:rsidRPr="00451F5C">
              <w:rPr>
                <w:rFonts w:ascii="Times New Roman" w:hAnsi="Times New Roman" w:cs="Times New Roman"/>
                <w:sz w:val="24"/>
                <w:szCs w:val="24"/>
              </w:rPr>
              <w:t xml:space="preserve"> ziņojuma Rec.11. Cr.11.2. (2.pielikums Nr.11.1) norādītajam par datu uzglabāšanas specifiski definētajām prasībām atbilstoši FATF standartiem Met.11.1. – datu uzglabāšanas prasīb</w:t>
            </w:r>
            <w:r w:rsidR="00A21FEF">
              <w:rPr>
                <w:rFonts w:ascii="Times New Roman" w:hAnsi="Times New Roman" w:cs="Times New Roman"/>
                <w:sz w:val="24"/>
                <w:szCs w:val="24"/>
              </w:rPr>
              <w:t>a</w:t>
            </w:r>
            <w:r w:rsidR="00015A5E" w:rsidRPr="00451F5C">
              <w:rPr>
                <w:rFonts w:ascii="Times New Roman" w:hAnsi="Times New Roman" w:cs="Times New Roman"/>
                <w:sz w:val="24"/>
                <w:szCs w:val="24"/>
              </w:rPr>
              <w:t xml:space="preserve"> piecu gadu garumā iekšzemes un starptautiskajiem darījumiem un gadījuma rakstura</w:t>
            </w:r>
            <w:r w:rsidR="00A21FEF">
              <w:rPr>
                <w:rFonts w:ascii="Times New Roman" w:hAnsi="Times New Roman" w:cs="Times New Roman"/>
                <w:sz w:val="24"/>
                <w:szCs w:val="24"/>
              </w:rPr>
              <w:t xml:space="preserve"> darījumiem</w:t>
            </w:r>
            <w:r w:rsidR="00015A5E" w:rsidRPr="00451F5C">
              <w:rPr>
                <w:rFonts w:ascii="Times New Roman" w:hAnsi="Times New Roman" w:cs="Times New Roman"/>
                <w:sz w:val="24"/>
                <w:szCs w:val="24"/>
              </w:rPr>
              <w:t xml:space="preserve"> </w:t>
            </w:r>
            <w:r w:rsidRPr="00451F5C">
              <w:rPr>
                <w:rFonts w:ascii="Times New Roman" w:hAnsi="Times New Roman" w:cs="Times New Roman"/>
                <w:sz w:val="24"/>
                <w:szCs w:val="24"/>
              </w:rPr>
              <w:t>, kā arī AML V direktīvas normas attiecībā uz neklātienes identifikācijas procesa ietvaros iegūto datu uzglabāšanu.</w:t>
            </w:r>
          </w:p>
          <w:p w:rsidR="00D013CB" w:rsidRPr="00451F5C" w:rsidRDefault="00D013CB" w:rsidP="00C31C47">
            <w:pPr>
              <w:spacing w:after="0" w:line="240" w:lineRule="auto"/>
              <w:jc w:val="both"/>
              <w:rPr>
                <w:rFonts w:ascii="Times New Roman" w:hAnsi="Times New Roman" w:cs="Times New Roman"/>
                <w:sz w:val="24"/>
                <w:szCs w:val="24"/>
              </w:rPr>
            </w:pPr>
          </w:p>
          <w:p w:rsidR="00AE5FF7"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8223A3" w:rsidRPr="00451F5C">
              <w:rPr>
                <w:rFonts w:ascii="Times New Roman" w:hAnsi="Times New Roman" w:cs="Times New Roman"/>
                <w:sz w:val="24"/>
                <w:szCs w:val="24"/>
                <w:u w:val="single"/>
              </w:rPr>
              <w:t>34</w:t>
            </w:r>
            <w:r w:rsidRPr="00451F5C">
              <w:rPr>
                <w:rFonts w:ascii="Times New Roman" w:hAnsi="Times New Roman" w:cs="Times New Roman"/>
                <w:sz w:val="24"/>
                <w:szCs w:val="24"/>
                <w:u w:val="single"/>
              </w:rPr>
              <w:t>.pants:</w:t>
            </w:r>
          </w:p>
          <w:p w:rsidR="00AE5FF7" w:rsidRPr="00451F5C" w:rsidRDefault="00B92D31"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 xml:space="preserve">Atbilstoši AML V direktīvas </w:t>
            </w:r>
            <w:r w:rsidR="0042679B">
              <w:rPr>
                <w:rFonts w:ascii="Times New Roman" w:hAnsi="Times New Roman" w:cs="Times New Roman"/>
                <w:sz w:val="24"/>
                <w:szCs w:val="24"/>
              </w:rPr>
              <w:t xml:space="preserve">1.panta </w:t>
            </w:r>
            <w:r w:rsidRPr="00451F5C">
              <w:rPr>
                <w:rFonts w:ascii="Times New Roman" w:hAnsi="Times New Roman" w:cs="Times New Roman"/>
                <w:sz w:val="24"/>
                <w:szCs w:val="24"/>
              </w:rPr>
              <w:t xml:space="preserve">24.punktam tiek veikti grozījumi NILLTFNL 38.panta otrajā daļā attiecībā uz gadījumiem, kad informācijas atklāšana neattiecas </w:t>
            </w:r>
            <w:r w:rsidR="00A21FEF" w:rsidRPr="00451F5C">
              <w:rPr>
                <w:rFonts w:ascii="Times New Roman" w:hAnsi="Times New Roman" w:cs="Times New Roman"/>
                <w:sz w:val="24"/>
                <w:szCs w:val="24"/>
              </w:rPr>
              <w:t xml:space="preserve">uz kredītiestādēm un finanšu iestādēm </w:t>
            </w:r>
            <w:r w:rsidRPr="00451F5C">
              <w:rPr>
                <w:rFonts w:ascii="Times New Roman" w:hAnsi="Times New Roman" w:cs="Times New Roman"/>
                <w:sz w:val="24"/>
                <w:szCs w:val="24"/>
              </w:rPr>
              <w:t xml:space="preserve">vienas grupas ietvaros attiecībā </w:t>
            </w:r>
            <w:r w:rsidR="00A21FEF">
              <w:rPr>
                <w:rFonts w:ascii="Times New Roman" w:hAnsi="Times New Roman" w:cs="Times New Roman"/>
                <w:sz w:val="24"/>
                <w:szCs w:val="24"/>
              </w:rPr>
              <w:t>uz</w:t>
            </w:r>
            <w:r w:rsidRPr="00451F5C">
              <w:rPr>
                <w:rFonts w:ascii="Times New Roman" w:hAnsi="Times New Roman" w:cs="Times New Roman"/>
                <w:sz w:val="24"/>
                <w:szCs w:val="24"/>
              </w:rPr>
              <w:t xml:space="preserve"> filiālēm un meitas uzņēmumiem.</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15717C" w:rsidRPr="00451F5C">
              <w:rPr>
                <w:rFonts w:ascii="Times New Roman" w:hAnsi="Times New Roman" w:cs="Times New Roman"/>
                <w:sz w:val="24"/>
                <w:szCs w:val="24"/>
                <w:u w:val="single"/>
              </w:rPr>
              <w:t>35</w:t>
            </w:r>
            <w:r w:rsidRPr="00451F5C">
              <w:rPr>
                <w:rFonts w:ascii="Times New Roman" w:hAnsi="Times New Roman" w:cs="Times New Roman"/>
                <w:sz w:val="24"/>
                <w:szCs w:val="24"/>
                <w:u w:val="single"/>
              </w:rPr>
              <w:t xml:space="preserve">.pants un </w:t>
            </w:r>
            <w:r w:rsidR="00AC6807" w:rsidRPr="00451F5C">
              <w:rPr>
                <w:rFonts w:ascii="Times New Roman" w:hAnsi="Times New Roman" w:cs="Times New Roman"/>
                <w:sz w:val="24"/>
                <w:szCs w:val="24"/>
                <w:u w:val="single"/>
              </w:rPr>
              <w:t>40</w:t>
            </w:r>
            <w:r w:rsidRPr="00451F5C">
              <w:rPr>
                <w:rFonts w:ascii="Times New Roman" w:hAnsi="Times New Roman" w:cs="Times New Roman"/>
                <w:sz w:val="24"/>
                <w:szCs w:val="24"/>
                <w:u w:val="single"/>
              </w:rPr>
              <w:t>.pants:</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Centrālo kontaktpunktu regulējumu E</w:t>
            </w:r>
            <w:r w:rsidR="001F1060">
              <w:rPr>
                <w:rFonts w:ascii="Times New Roman" w:hAnsi="Times New Roman" w:cs="Times New Roman"/>
                <w:sz w:val="24"/>
                <w:szCs w:val="24"/>
              </w:rPr>
              <w:t xml:space="preserve">iropas </w:t>
            </w:r>
            <w:r w:rsidRPr="00451F5C">
              <w:rPr>
                <w:rFonts w:ascii="Times New Roman" w:hAnsi="Times New Roman" w:cs="Times New Roman"/>
                <w:sz w:val="24"/>
                <w:szCs w:val="24"/>
              </w:rPr>
              <w:t>S</w:t>
            </w:r>
            <w:r w:rsidR="001F1060">
              <w:rPr>
                <w:rFonts w:ascii="Times New Roman" w:hAnsi="Times New Roman" w:cs="Times New Roman"/>
                <w:sz w:val="24"/>
                <w:szCs w:val="24"/>
              </w:rPr>
              <w:t>avienības</w:t>
            </w:r>
            <w:r w:rsidRPr="00451F5C">
              <w:rPr>
                <w:rFonts w:ascii="Times New Roman" w:hAnsi="Times New Roman" w:cs="Times New Roman"/>
                <w:sz w:val="24"/>
                <w:szCs w:val="24"/>
              </w:rPr>
              <w:t xml:space="preserve"> līmenī nosaka </w:t>
            </w:r>
            <w:r w:rsidR="001F1060">
              <w:rPr>
                <w:rFonts w:ascii="Times New Roman" w:hAnsi="Times New Roman" w:cs="Times New Roman"/>
                <w:sz w:val="24"/>
                <w:szCs w:val="24"/>
              </w:rPr>
              <w:t xml:space="preserve">Eiropas </w:t>
            </w:r>
            <w:r w:rsidRPr="00451F5C">
              <w:rPr>
                <w:rFonts w:ascii="Times New Roman" w:hAnsi="Times New Roman" w:cs="Times New Roman"/>
                <w:sz w:val="24"/>
                <w:szCs w:val="24"/>
              </w:rPr>
              <w:t>Komisijas 2018. gada 7. maija deleģētā regula Nr. 2018/1108, ar ko Eiropas Parlamenta un Padomes Direktīvu (ES) 2015/849 papildina ar regulatīvajiem tehniskajiem standartiem attiecībā uz kritērijiem centrālo kontaktpunktu iecelšanai elektroniskās naudas emitentiem un maksājumu pakalpojumu sniedzējiem</w:t>
            </w:r>
            <w:r w:rsidR="001F1060">
              <w:rPr>
                <w:rFonts w:ascii="Times New Roman" w:hAnsi="Times New Roman" w:cs="Times New Roman"/>
                <w:sz w:val="24"/>
                <w:szCs w:val="24"/>
              </w:rPr>
              <w:t>,</w:t>
            </w:r>
            <w:r w:rsidRPr="00451F5C">
              <w:rPr>
                <w:rFonts w:ascii="Times New Roman" w:hAnsi="Times New Roman" w:cs="Times New Roman"/>
                <w:sz w:val="24"/>
                <w:szCs w:val="24"/>
              </w:rPr>
              <w:t xml:space="preserve"> un ar noteikumiem attiecībā uz šo kontaktpunktu funkcijām, (turpmāk – Deleģētā regula Nr.2018/1108).</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Deleģētās regulas Nr. 2018/1108 7. pantam tā uzliek saistības kopumā un ir tieši piemērojama visās dalībvalstīs. Attiecīgi </w:t>
            </w:r>
            <w:r w:rsidR="001F1060">
              <w:rPr>
                <w:rFonts w:ascii="Times New Roman" w:hAnsi="Times New Roman" w:cs="Times New Roman"/>
                <w:sz w:val="24"/>
                <w:szCs w:val="24"/>
              </w:rPr>
              <w:t>d</w:t>
            </w:r>
            <w:r w:rsidRPr="00451F5C">
              <w:rPr>
                <w:rFonts w:ascii="Times New Roman" w:hAnsi="Times New Roman" w:cs="Times New Roman"/>
                <w:sz w:val="24"/>
                <w:szCs w:val="24"/>
              </w:rPr>
              <w:t>eleģētās regulas Nr. 2018/1108 prasības nav jāpārņem nacionālajos tiesību aktos</w:t>
            </w:r>
            <w:r w:rsidRPr="001F1060">
              <w:rPr>
                <w:vertAlign w:val="superscript"/>
              </w:rPr>
              <w:footnoteReference w:id="4"/>
            </w:r>
            <w:r w:rsidRPr="00451F5C">
              <w:rPr>
                <w:rFonts w:ascii="Times New Roman" w:hAnsi="Times New Roman" w:cs="Times New Roman"/>
                <w:sz w:val="24"/>
                <w:szCs w:val="24"/>
              </w:rPr>
              <w:t xml:space="preserve">. </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Deleģētā regula Nr. 2018/1108 nosaka:</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w:t>
            </w:r>
            <w:r w:rsidRPr="00451F5C">
              <w:rPr>
                <w:rFonts w:ascii="Times New Roman" w:hAnsi="Times New Roman" w:cs="Times New Roman"/>
                <w:sz w:val="24"/>
                <w:szCs w:val="24"/>
              </w:rPr>
              <w:tab/>
              <w:t>centrālo kontaktpunktu iecelšanas kritērijus (3. pants);</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w:t>
            </w:r>
            <w:r w:rsidRPr="00451F5C">
              <w:rPr>
                <w:rFonts w:ascii="Times New Roman" w:hAnsi="Times New Roman" w:cs="Times New Roman"/>
                <w:sz w:val="24"/>
                <w:szCs w:val="24"/>
              </w:rPr>
              <w:tab/>
              <w:t>centrālo kontaktpunktu funkcijas (4. un 5. pants) un iespējas dalībvalstīm noteikt centrālajiem kontaktpunktiem papildus funkcijas (6. pants).</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Ievērojot, ka</w:t>
            </w:r>
            <w:r w:rsidR="001F1060">
              <w:rPr>
                <w:rFonts w:ascii="Times New Roman" w:hAnsi="Times New Roman" w:cs="Times New Roman"/>
                <w:sz w:val="24"/>
                <w:szCs w:val="24"/>
              </w:rPr>
              <w:t xml:space="preserve"> pamata regulējums ir noteikts d</w:t>
            </w:r>
            <w:r w:rsidRPr="00451F5C">
              <w:rPr>
                <w:rFonts w:ascii="Times New Roman" w:hAnsi="Times New Roman" w:cs="Times New Roman"/>
                <w:sz w:val="24"/>
                <w:szCs w:val="24"/>
              </w:rPr>
              <w:t xml:space="preserve">eleģētajā regulā Nr. 2018/1108, tomēr tā piešķir dalībvalstīm tiesības atsevišķos gadījumos prasīt izveidot centrālos kontaktpunktus un noteikt tiem papildus veicamās funkcijas, </w:t>
            </w:r>
            <w:r w:rsidR="00E91717" w:rsidRPr="00451F5C">
              <w:rPr>
                <w:rFonts w:ascii="Times New Roman" w:hAnsi="Times New Roman" w:cs="Times New Roman"/>
                <w:sz w:val="24"/>
                <w:szCs w:val="24"/>
              </w:rPr>
              <w:t>NILLTNFL</w:t>
            </w:r>
            <w:r w:rsidRPr="00451F5C">
              <w:rPr>
                <w:rFonts w:ascii="Times New Roman" w:hAnsi="Times New Roman" w:cs="Times New Roman"/>
                <w:sz w:val="24"/>
                <w:szCs w:val="24"/>
              </w:rPr>
              <w:t xml:space="preserve"> ir jāveic grozījumi, paredzot gadījumus, kad centrālie kontaktpunkti ir obligāti jāizveido, kā arī gadījumi, kad uzraudzības un kontroles institūcijai ir tiesības prasīt iestādei izveidot centrālo kontaktpunktu, kā arī tiesības uzraudzības un kontroles institūcijai prasīt centrālajam kontaktpunktam veikt papildus funkcijas. </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Ievērojot, ka šobrīd ir grūti paredzēt visus gadījumus, kuros būtu jāizveido centrālie kontaktpunkti, tiek noteiktas tiesības Finanšu un kapitāla tirgus komisijai katrā atsevišķā gadījumā </w:t>
            </w:r>
            <w:r w:rsidRPr="00451F5C">
              <w:rPr>
                <w:rFonts w:ascii="Times New Roman" w:hAnsi="Times New Roman" w:cs="Times New Roman"/>
                <w:sz w:val="24"/>
                <w:szCs w:val="24"/>
              </w:rPr>
              <w:lastRenderedPageBreak/>
              <w:t xml:space="preserve">izvērtēt nepieciešamību izveidot centrālo kontaktpunktu.  </w:t>
            </w:r>
          </w:p>
          <w:p w:rsidR="00403386" w:rsidRDefault="00403386" w:rsidP="00C31C4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Attiecībā uz NILLTFNL 41.panta otro daļu grozījumi veikti</w:t>
            </w:r>
            <w:r w:rsidR="00FD079E">
              <w:rPr>
                <w:rFonts w:ascii="Times New Roman" w:hAnsi="Times New Roman" w:cs="Times New Roman"/>
                <w:sz w:val="24"/>
                <w:szCs w:val="24"/>
              </w:rPr>
              <w:t>,</w:t>
            </w:r>
            <w:r>
              <w:rPr>
                <w:rFonts w:ascii="Times New Roman" w:hAnsi="Times New Roman" w:cs="Times New Roman"/>
                <w:sz w:val="24"/>
                <w:szCs w:val="24"/>
              </w:rPr>
              <w:t xml:space="preserve"> likumā novēršot nepareiza nosaukuma lietojumu Transportlīdzekļu un to vadītāju valsts reģistram.</w:t>
            </w:r>
          </w:p>
          <w:p w:rsidR="000D5FC9" w:rsidRPr="000D5FC9" w:rsidRDefault="00AF55E6" w:rsidP="00425081">
            <w:pPr>
              <w:pStyle w:val="ListParagraph"/>
              <w:ind w:left="0" w:firstLine="391"/>
              <w:jc w:val="both"/>
              <w:rPr>
                <w:rFonts w:ascii="Times New Roman" w:hAnsi="Times New Roman" w:cs="Times New Roman"/>
                <w:sz w:val="24"/>
                <w:szCs w:val="24"/>
              </w:rPr>
            </w:pPr>
            <w:r>
              <w:rPr>
                <w:rFonts w:ascii="Times New Roman" w:hAnsi="Times New Roman" w:cs="Times New Roman"/>
                <w:sz w:val="24"/>
                <w:szCs w:val="24"/>
              </w:rPr>
              <w:t>Attiecībā uz NILLTFNL 41.panta otrās daļas 7.punkta papildināšanu ar papildus informāciju, kas nepieciešama no Iedzīvotāju reģistra</w:t>
            </w:r>
            <w:r w:rsidR="00FD079E">
              <w:rPr>
                <w:rFonts w:ascii="Times New Roman" w:hAnsi="Times New Roman" w:cs="Times New Roman"/>
                <w:sz w:val="24"/>
                <w:szCs w:val="24"/>
              </w:rPr>
              <w:t>-</w:t>
            </w:r>
            <w:r w:rsidR="00B8546B">
              <w:rPr>
                <w:rFonts w:ascii="Times New Roman" w:hAnsi="Times New Roman" w:cs="Times New Roman"/>
                <w:sz w:val="24"/>
                <w:szCs w:val="24"/>
              </w:rPr>
              <w:t xml:space="preserve"> </w:t>
            </w:r>
            <w:r w:rsidR="00F423E7">
              <w:rPr>
                <w:rFonts w:ascii="Times New Roman" w:hAnsi="Times New Roman" w:cs="Times New Roman"/>
                <w:sz w:val="24"/>
                <w:szCs w:val="24"/>
              </w:rPr>
              <w:t>NILLTFNL</w:t>
            </w:r>
            <w:r w:rsidR="000D5FC9" w:rsidRPr="000D5FC9">
              <w:rPr>
                <w:rFonts w:ascii="Times New Roman" w:hAnsi="Times New Roman" w:cs="Times New Roman"/>
                <w:sz w:val="24"/>
                <w:szCs w:val="24"/>
              </w:rPr>
              <w:t xml:space="preserve"> 6.panta </w:t>
            </w:r>
            <w:r w:rsidR="00F423E7">
              <w:rPr>
                <w:rFonts w:ascii="Times New Roman" w:hAnsi="Times New Roman" w:cs="Times New Roman"/>
                <w:sz w:val="24"/>
                <w:szCs w:val="24"/>
              </w:rPr>
              <w:t>12.</w:t>
            </w:r>
            <w:r w:rsidR="000D5FC9" w:rsidRPr="000D5FC9">
              <w:rPr>
                <w:rFonts w:ascii="Times New Roman" w:hAnsi="Times New Roman" w:cs="Times New Roman"/>
                <w:sz w:val="24"/>
                <w:szCs w:val="24"/>
              </w:rPr>
              <w:t xml:space="preserve">daļas 2.punkts nosaka, ka </w:t>
            </w:r>
            <w:r w:rsidR="0075436F">
              <w:rPr>
                <w:rFonts w:ascii="Times New Roman" w:hAnsi="Times New Roman" w:cs="Times New Roman"/>
                <w:sz w:val="24"/>
                <w:szCs w:val="24"/>
              </w:rPr>
              <w:t>NILLTFNL</w:t>
            </w:r>
            <w:r w:rsidR="000D5FC9" w:rsidRPr="000D5FC9">
              <w:rPr>
                <w:rFonts w:ascii="Times New Roman" w:hAnsi="Times New Roman" w:cs="Times New Roman"/>
                <w:sz w:val="24"/>
                <w:szCs w:val="24"/>
              </w:rPr>
              <w:t xml:space="preserve"> subjekts, veicot noziedzīgi iegūtu līdzekļu legalizācijas un terorisma finansēšanas risku novērtējumu un veidojot iekšējās kontroles sistēmu, ņem vērā valsts un ģeogrāfisko risku, proti, risku, ka klients vai klienta </w:t>
            </w:r>
            <w:r w:rsidR="00FD079E">
              <w:rPr>
                <w:rFonts w:ascii="Times New Roman" w:hAnsi="Times New Roman" w:cs="Times New Roman"/>
                <w:sz w:val="24"/>
                <w:szCs w:val="24"/>
              </w:rPr>
              <w:t>PLG</w:t>
            </w:r>
            <w:r w:rsidR="000D5FC9" w:rsidRPr="000D5FC9">
              <w:rPr>
                <w:rFonts w:ascii="Times New Roman" w:hAnsi="Times New Roman" w:cs="Times New Roman"/>
                <w:sz w:val="24"/>
                <w:szCs w:val="24"/>
              </w:rPr>
              <w:t xml:space="preserve"> ir saistīts ar valsti vai teritoriju, kuras ekonomiskie, sociālie, tiesiskie vai politiskie apstākļi var liecināt par valstij piemītošu augstu noziedzīgi iegūtu līdzekļu legalizācijas vai terorisma finansēšanas risku.</w:t>
            </w:r>
          </w:p>
          <w:p w:rsidR="000D5FC9" w:rsidRPr="000D5FC9" w:rsidRDefault="000D5FC9" w:rsidP="00FD079E">
            <w:pPr>
              <w:pStyle w:val="ListParagraph"/>
              <w:ind w:left="0" w:firstLine="391"/>
              <w:jc w:val="both"/>
              <w:rPr>
                <w:rFonts w:ascii="Times New Roman" w:hAnsi="Times New Roman" w:cs="Times New Roman"/>
                <w:sz w:val="24"/>
                <w:szCs w:val="24"/>
              </w:rPr>
            </w:pPr>
            <w:r w:rsidRPr="000D5FC9">
              <w:rPr>
                <w:rFonts w:ascii="Times New Roman" w:hAnsi="Times New Roman" w:cs="Times New Roman"/>
                <w:sz w:val="24"/>
                <w:szCs w:val="24"/>
              </w:rPr>
              <w:t xml:space="preserve">Saskaņā ar Iedzīvotāju reģistra likuma 10.panta 1.daļas 8. – 10.punktu noteikts, ka </w:t>
            </w:r>
            <w:r w:rsidR="00FD079E">
              <w:rPr>
                <w:rFonts w:ascii="Times New Roman" w:hAnsi="Times New Roman" w:cs="Times New Roman"/>
                <w:sz w:val="24"/>
                <w:szCs w:val="24"/>
              </w:rPr>
              <w:t>Iedzīvotāju r</w:t>
            </w:r>
            <w:r w:rsidRPr="000D5FC9">
              <w:rPr>
                <w:rFonts w:ascii="Times New Roman" w:hAnsi="Times New Roman" w:cs="Times New Roman"/>
                <w:sz w:val="24"/>
                <w:szCs w:val="24"/>
              </w:rPr>
              <w:t>eģistrā par personu iekļaujamas šādas ziņas:</w:t>
            </w:r>
          </w:p>
          <w:p w:rsidR="000D5FC9" w:rsidRDefault="000D5FC9" w:rsidP="00502B97">
            <w:pPr>
              <w:pStyle w:val="ListParagraph"/>
              <w:ind w:left="0" w:right="54"/>
              <w:jc w:val="both"/>
              <w:rPr>
                <w:rFonts w:ascii="Times New Roman" w:hAnsi="Times New Roman" w:cs="Times New Roman"/>
                <w:sz w:val="24"/>
                <w:szCs w:val="24"/>
              </w:rPr>
            </w:pPr>
            <w:r w:rsidRPr="000D5FC9">
              <w:rPr>
                <w:rFonts w:ascii="Times New Roman" w:hAnsi="Times New Roman" w:cs="Times New Roman"/>
                <w:sz w:val="24"/>
                <w:szCs w:val="24"/>
              </w:rPr>
              <w:t>8) v</w:t>
            </w:r>
            <w:r w:rsidR="0075436F">
              <w:rPr>
                <w:rFonts w:ascii="Times New Roman" w:hAnsi="Times New Roman" w:cs="Times New Roman"/>
                <w:sz w:val="24"/>
                <w:szCs w:val="24"/>
              </w:rPr>
              <w:t>alstiskā piederība un tās veids</w:t>
            </w:r>
            <w:r w:rsidRPr="000D5FC9">
              <w:rPr>
                <w:rFonts w:ascii="Times New Roman" w:hAnsi="Times New Roman" w:cs="Times New Roman"/>
                <w:sz w:val="24"/>
                <w:szCs w:val="24"/>
              </w:rPr>
              <w:t>;</w:t>
            </w:r>
          </w:p>
          <w:p w:rsidR="0075436F" w:rsidRDefault="00D4280E" w:rsidP="00502B97">
            <w:pPr>
              <w:pStyle w:val="ListParagraph"/>
              <w:ind w:left="0" w:right="54"/>
              <w:jc w:val="both"/>
              <w:rPr>
                <w:rFonts w:ascii="Times New Roman" w:hAnsi="Times New Roman" w:cs="Times New Roman"/>
                <w:sz w:val="24"/>
                <w:szCs w:val="24"/>
              </w:rPr>
            </w:pPr>
            <w:r>
              <w:rPr>
                <w:rFonts w:ascii="Times New Roman" w:hAnsi="Times New Roman" w:cs="Times New Roman"/>
                <w:sz w:val="24"/>
                <w:szCs w:val="24"/>
              </w:rPr>
              <w:t>[</w:t>
            </w:r>
            <w:r w:rsidR="0075436F">
              <w:rPr>
                <w:rFonts w:ascii="Times New Roman" w:hAnsi="Times New Roman" w:cs="Times New Roman"/>
                <w:sz w:val="24"/>
                <w:szCs w:val="24"/>
              </w:rPr>
              <w:t>…</w:t>
            </w:r>
            <w:r>
              <w:rPr>
                <w:rFonts w:ascii="Times New Roman" w:hAnsi="Times New Roman" w:cs="Times New Roman"/>
                <w:sz w:val="24"/>
                <w:szCs w:val="24"/>
              </w:rPr>
              <w:t>];</w:t>
            </w:r>
          </w:p>
          <w:p w:rsidR="00105ACF" w:rsidRDefault="000D5FC9" w:rsidP="00105ACF">
            <w:pPr>
              <w:pStyle w:val="ListParagraph"/>
              <w:ind w:left="0" w:right="54"/>
              <w:jc w:val="both"/>
              <w:rPr>
                <w:rFonts w:ascii="Times New Roman" w:hAnsi="Times New Roman" w:cs="Times New Roman"/>
                <w:sz w:val="24"/>
                <w:szCs w:val="24"/>
              </w:rPr>
            </w:pPr>
            <w:r w:rsidRPr="000D5FC9">
              <w:rPr>
                <w:rFonts w:ascii="Times New Roman" w:hAnsi="Times New Roman" w:cs="Times New Roman"/>
                <w:sz w:val="24"/>
                <w:szCs w:val="24"/>
              </w:rPr>
              <w:t xml:space="preserve">10) deklarētās, reģistrētās vai personas norādītās dzīvesvietas adrese. Personas norādītajai dzīvesvietas adresei ir informatīvs raksturs. </w:t>
            </w:r>
          </w:p>
          <w:p w:rsidR="00105ACF" w:rsidRDefault="000D5FC9" w:rsidP="00105ACF">
            <w:pPr>
              <w:pStyle w:val="ListParagraph"/>
              <w:ind w:left="0" w:right="54" w:firstLine="391"/>
              <w:jc w:val="both"/>
              <w:rPr>
                <w:rFonts w:ascii="Times New Roman" w:hAnsi="Times New Roman" w:cs="Times New Roman"/>
                <w:sz w:val="24"/>
                <w:szCs w:val="24"/>
              </w:rPr>
            </w:pPr>
            <w:r w:rsidRPr="000D5FC9">
              <w:rPr>
                <w:rFonts w:ascii="Times New Roman" w:hAnsi="Times New Roman" w:cs="Times New Roman"/>
                <w:sz w:val="24"/>
                <w:szCs w:val="24"/>
              </w:rPr>
              <w:t>Saskaņā ar </w:t>
            </w:r>
            <w:hyperlink r:id="rId9" w:history="1">
              <w:r w:rsidRPr="000D5FC9">
                <w:rPr>
                  <w:rFonts w:ascii="Times New Roman" w:hAnsi="Times New Roman" w:cs="Times New Roman"/>
                  <w:sz w:val="24"/>
                  <w:szCs w:val="24"/>
                </w:rPr>
                <w:t>Iedzīvotāju reģistra likuma</w:t>
              </w:r>
            </w:hyperlink>
            <w:r w:rsidRPr="000D5FC9">
              <w:rPr>
                <w:rFonts w:ascii="Times New Roman" w:hAnsi="Times New Roman" w:cs="Times New Roman"/>
                <w:sz w:val="24"/>
                <w:szCs w:val="24"/>
              </w:rPr>
              <w:t> 15.pantu un Ministru kabineta 2011.gada 15.februāra noteikumiem Nr.131 “</w:t>
            </w:r>
            <w:hyperlink r:id="rId10" w:history="1">
              <w:r w:rsidRPr="000D5FC9">
                <w:rPr>
                  <w:rFonts w:ascii="Times New Roman" w:hAnsi="Times New Roman" w:cs="Times New Roman"/>
                  <w:sz w:val="24"/>
                  <w:szCs w:val="24"/>
                </w:rPr>
                <w:t>Iedzīvotāju reģistrā iekļauto ziņu aktualizēšanas kārtība</w:t>
              </w:r>
            </w:hyperlink>
            <w:r w:rsidRPr="000D5FC9">
              <w:rPr>
                <w:rFonts w:ascii="Times New Roman" w:hAnsi="Times New Roman" w:cs="Times New Roman"/>
                <w:sz w:val="24"/>
                <w:szCs w:val="24"/>
              </w:rPr>
              <w:t xml:space="preserve">” Latvijas pilsonim, Latvijas </w:t>
            </w:r>
            <w:proofErr w:type="spellStart"/>
            <w:r w:rsidRPr="000D5FC9">
              <w:rPr>
                <w:rFonts w:ascii="Times New Roman" w:hAnsi="Times New Roman" w:cs="Times New Roman"/>
                <w:sz w:val="24"/>
                <w:szCs w:val="24"/>
              </w:rPr>
              <w:t>nepilsonim</w:t>
            </w:r>
            <w:proofErr w:type="spellEnd"/>
            <w:r w:rsidRPr="000D5FC9">
              <w:rPr>
                <w:rFonts w:ascii="Times New Roman" w:hAnsi="Times New Roman" w:cs="Times New Roman"/>
                <w:sz w:val="24"/>
                <w:szCs w:val="24"/>
              </w:rPr>
              <w:t xml:space="preserve"> un personai, kura Latvijā saņēmusi reģistrācijas apliecību vai pastāvīgās uzturēšanās apliecību, ir pienākums paziņot Pilsonības un migrācijas lietu pārvaldei par savu, savu nepilngadīgo bērnu un personu, kuras atrodas tās aizgādnībā vai aizbildnībā dzīvesvietas adresi ārvalstīs.</w:t>
            </w:r>
          </w:p>
          <w:p w:rsidR="00AF55E6" w:rsidRPr="00451F5C" w:rsidRDefault="000D5FC9" w:rsidP="00105ACF">
            <w:pPr>
              <w:pStyle w:val="ListParagraph"/>
              <w:ind w:left="0" w:right="54" w:firstLine="391"/>
              <w:jc w:val="both"/>
              <w:rPr>
                <w:rFonts w:ascii="Times New Roman" w:hAnsi="Times New Roman" w:cs="Times New Roman"/>
                <w:sz w:val="24"/>
                <w:szCs w:val="24"/>
              </w:rPr>
            </w:pPr>
            <w:r w:rsidRPr="000D5FC9">
              <w:rPr>
                <w:rFonts w:ascii="Times New Roman" w:hAnsi="Times New Roman" w:cs="Times New Roman"/>
                <w:sz w:val="24"/>
                <w:szCs w:val="24"/>
              </w:rPr>
              <w:t xml:space="preserve">Lai </w:t>
            </w:r>
            <w:r w:rsidR="0075436F">
              <w:rPr>
                <w:rFonts w:ascii="Times New Roman" w:hAnsi="Times New Roman" w:cs="Times New Roman"/>
                <w:sz w:val="24"/>
                <w:szCs w:val="24"/>
              </w:rPr>
              <w:t>NILLTFNL</w:t>
            </w:r>
            <w:r w:rsidRPr="000D5FC9">
              <w:rPr>
                <w:rFonts w:ascii="Times New Roman" w:hAnsi="Times New Roman" w:cs="Times New Roman"/>
                <w:sz w:val="24"/>
                <w:szCs w:val="24"/>
              </w:rPr>
              <w:t xml:space="preserve"> subjekti varētu veikt </w:t>
            </w:r>
            <w:r w:rsidR="0075436F">
              <w:rPr>
                <w:rFonts w:ascii="Times New Roman" w:hAnsi="Times New Roman" w:cs="Times New Roman"/>
                <w:sz w:val="24"/>
                <w:szCs w:val="24"/>
              </w:rPr>
              <w:t>NILLTFNL</w:t>
            </w:r>
            <w:r w:rsidRPr="000D5FC9">
              <w:rPr>
                <w:rFonts w:ascii="Times New Roman" w:hAnsi="Times New Roman" w:cs="Times New Roman"/>
                <w:sz w:val="24"/>
                <w:szCs w:val="24"/>
              </w:rPr>
              <w:t xml:space="preserve"> noteiktos pienākumus, īpaši klientu izpētē, klienta ģeogrāfijas riska noteikšanā, </w:t>
            </w:r>
            <w:r w:rsidR="0075436F">
              <w:rPr>
                <w:rFonts w:ascii="Times New Roman" w:hAnsi="Times New Roman" w:cs="Times New Roman"/>
                <w:sz w:val="24"/>
                <w:szCs w:val="24"/>
              </w:rPr>
              <w:t>NILLTFNL</w:t>
            </w:r>
            <w:r w:rsidRPr="000D5FC9">
              <w:rPr>
                <w:rFonts w:ascii="Times New Roman" w:hAnsi="Times New Roman" w:cs="Times New Roman"/>
                <w:sz w:val="24"/>
                <w:szCs w:val="24"/>
              </w:rPr>
              <w:t xml:space="preserve"> subjektiem būtu jābūt piekļuvei iepriekš minētajām Iedzīvotāju reģistrā iekļautajām ziņām par valstisko piederību un tās veidu, tautību, kā arī deklarēto, reģistrēto vai personas norādīto dzīvesvietas adresi. </w:t>
            </w: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401C56" w:rsidRPr="00451F5C">
              <w:rPr>
                <w:rFonts w:ascii="Times New Roman" w:hAnsi="Times New Roman" w:cs="Times New Roman"/>
                <w:sz w:val="24"/>
                <w:szCs w:val="24"/>
                <w:u w:val="single"/>
              </w:rPr>
              <w:t>36</w:t>
            </w:r>
            <w:r w:rsidRPr="00451F5C">
              <w:rPr>
                <w:rFonts w:ascii="Times New Roman" w:hAnsi="Times New Roman" w:cs="Times New Roman"/>
                <w:sz w:val="24"/>
                <w:szCs w:val="24"/>
                <w:u w:val="single"/>
              </w:rPr>
              <w:t>.pants:</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Saskaņā ar Satversmes tiesas judikatūrā pausto</w:t>
            </w:r>
            <w:r w:rsidRPr="00451F5C">
              <w:rPr>
                <w:vertAlign w:val="superscript"/>
              </w:rPr>
              <w:footnoteReference w:id="5"/>
            </w:r>
            <w:r w:rsidRPr="00451F5C">
              <w:rPr>
                <w:rFonts w:ascii="Times New Roman" w:hAnsi="Times New Roman" w:cs="Times New Roman"/>
                <w:sz w:val="24"/>
                <w:szCs w:val="24"/>
              </w:rPr>
              <w:t>, sākotnēji ir jānoskaidro, vai grozījumam ir leģitīms mērķis. Izsmeļošs leģitīmo mērķu uzskaitījums ir sniegts Satversmes 116. pantā, tie ir citu cilvēku tiesības, demokrātiskā valsts iekārta, sabiedrības drošība, labklājība un tikumība. Ar grozījumiem ir paredzēts noteikt, ka, ja kredītiestāde vai finanšu iestāde, pārtrauc darījuma attiecības ar klientu</w:t>
            </w:r>
            <w:r w:rsidR="00FD079E">
              <w:rPr>
                <w:rFonts w:ascii="Times New Roman" w:hAnsi="Times New Roman" w:cs="Times New Roman"/>
                <w:sz w:val="24"/>
                <w:szCs w:val="24"/>
              </w:rPr>
              <w:t>,</w:t>
            </w:r>
            <w:r w:rsidRPr="00451F5C">
              <w:rPr>
                <w:rFonts w:ascii="Times New Roman" w:hAnsi="Times New Roman" w:cs="Times New Roman"/>
                <w:sz w:val="24"/>
                <w:szCs w:val="24"/>
              </w:rPr>
              <w:t xml:space="preserve"> tā vairs nevar izmaksāt visu klienta naudu, kas atrodas kredītiestādes vai finanšu iestādes kontā, skaidrā naudā. Tiek noteikts limits, ka skaidrā naudā var izmaksāt tikai tad, ja summa kopumā nepārsniedz 7200 </w:t>
            </w:r>
            <w:proofErr w:type="spellStart"/>
            <w:r w:rsidRPr="00FD079E">
              <w:rPr>
                <w:rFonts w:ascii="Times New Roman" w:hAnsi="Times New Roman" w:cs="Times New Roman"/>
                <w:i/>
                <w:sz w:val="24"/>
                <w:szCs w:val="24"/>
              </w:rPr>
              <w:t>euro</w:t>
            </w:r>
            <w:proofErr w:type="spellEnd"/>
            <w:r w:rsidRPr="00451F5C">
              <w:rPr>
                <w:rFonts w:ascii="Times New Roman" w:hAnsi="Times New Roman" w:cs="Times New Roman"/>
                <w:sz w:val="24"/>
                <w:szCs w:val="24"/>
              </w:rPr>
              <w:t xml:space="preserve">. Summas pamatojums izriet no likuma ‘’Par nodokļiem un nodevām’’ 30.panta pirmā daļas, kas paredz, ka nodokļu maksātājiem, izņemot fiziskas personas, kuras nav individuālie komersanti, nav atļauts veikt skaidrā naudā darījumus, kuru summa pārsniedz 7200 </w:t>
            </w:r>
            <w:proofErr w:type="spellStart"/>
            <w:r w:rsidRPr="00FD079E">
              <w:rPr>
                <w:rFonts w:ascii="Times New Roman" w:hAnsi="Times New Roman" w:cs="Times New Roman"/>
                <w:i/>
                <w:sz w:val="24"/>
                <w:szCs w:val="24"/>
              </w:rPr>
              <w:t>euro</w:t>
            </w:r>
            <w:proofErr w:type="spellEnd"/>
            <w:r w:rsidRPr="00451F5C">
              <w:rPr>
                <w:rFonts w:ascii="Times New Roman" w:hAnsi="Times New Roman" w:cs="Times New Roman"/>
                <w:sz w:val="24"/>
                <w:szCs w:val="24"/>
              </w:rPr>
              <w:t xml:space="preserve">, kā arī minētā panta astotās daļas, kas nosaka, ka fiziskajām personām, kas neveic saimniecisko darbību, nav atļauts veikt skaidrā naudā darījumu, kura summa pārsniedz 7200 </w:t>
            </w:r>
            <w:proofErr w:type="spellStart"/>
            <w:r w:rsidRPr="00FD079E">
              <w:rPr>
                <w:rFonts w:ascii="Times New Roman" w:hAnsi="Times New Roman" w:cs="Times New Roman"/>
                <w:i/>
                <w:sz w:val="24"/>
                <w:szCs w:val="24"/>
              </w:rPr>
              <w:t>euro</w:t>
            </w:r>
            <w:proofErr w:type="spellEnd"/>
            <w:r w:rsidRPr="00451F5C">
              <w:rPr>
                <w:rFonts w:ascii="Times New Roman" w:hAnsi="Times New Roman" w:cs="Times New Roman"/>
                <w:sz w:val="24"/>
                <w:szCs w:val="24"/>
              </w:rPr>
              <w:t>. Kredītiestāde vai finanšu iestāde ar klientu pārtrauc darījum</w:t>
            </w:r>
            <w:r w:rsidR="00854E42">
              <w:rPr>
                <w:rFonts w:ascii="Times New Roman" w:hAnsi="Times New Roman" w:cs="Times New Roman"/>
                <w:sz w:val="24"/>
                <w:szCs w:val="24"/>
              </w:rPr>
              <w:t xml:space="preserve">a </w:t>
            </w:r>
            <w:r w:rsidRPr="00451F5C">
              <w:rPr>
                <w:rFonts w:ascii="Times New Roman" w:hAnsi="Times New Roman" w:cs="Times New Roman"/>
                <w:sz w:val="24"/>
                <w:szCs w:val="24"/>
              </w:rPr>
              <w:t xml:space="preserve">attiecības tādā gadījumā, ja tā saskata nepārvaldāmus </w:t>
            </w:r>
            <w:r w:rsidR="0040587B">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riskus</w:t>
            </w:r>
            <w:r w:rsidR="00FD079E">
              <w:rPr>
                <w:rFonts w:ascii="Times New Roman" w:hAnsi="Times New Roman" w:cs="Times New Roman"/>
                <w:sz w:val="24"/>
                <w:szCs w:val="24"/>
              </w:rPr>
              <w:t>,</w:t>
            </w:r>
            <w:r w:rsidRPr="00451F5C">
              <w:rPr>
                <w:rFonts w:ascii="Times New Roman" w:hAnsi="Times New Roman" w:cs="Times New Roman"/>
                <w:sz w:val="24"/>
                <w:szCs w:val="24"/>
              </w:rPr>
              <w:t xml:space="preserve"> vai</w:t>
            </w:r>
            <w:r w:rsidR="00FD079E">
              <w:rPr>
                <w:rFonts w:ascii="Times New Roman" w:hAnsi="Times New Roman" w:cs="Times New Roman"/>
                <w:sz w:val="24"/>
                <w:szCs w:val="24"/>
              </w:rPr>
              <w:t>,</w:t>
            </w:r>
            <w:r w:rsidRPr="00451F5C">
              <w:rPr>
                <w:rFonts w:ascii="Times New Roman" w:hAnsi="Times New Roman" w:cs="Times New Roman"/>
                <w:sz w:val="24"/>
                <w:szCs w:val="24"/>
              </w:rPr>
              <w:t xml:space="preserve"> ja </w:t>
            </w:r>
            <w:r w:rsidR="0040587B">
              <w:rPr>
                <w:rFonts w:ascii="Times New Roman" w:hAnsi="Times New Roman" w:cs="Times New Roman"/>
                <w:sz w:val="24"/>
                <w:szCs w:val="24"/>
              </w:rPr>
              <w:t>NILLTFNL</w:t>
            </w:r>
            <w:r w:rsidRPr="00451F5C">
              <w:rPr>
                <w:rFonts w:ascii="Times New Roman" w:hAnsi="Times New Roman" w:cs="Times New Roman"/>
                <w:sz w:val="24"/>
                <w:szCs w:val="24"/>
              </w:rPr>
              <w:t xml:space="preserve"> to tieši paredz. </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Jāmin, ka ar šādu grozījumu tiek ierobežotas Satversmes 105. pantā ietvertās </w:t>
            </w:r>
            <w:proofErr w:type="spellStart"/>
            <w:r w:rsidRPr="00451F5C">
              <w:rPr>
                <w:rFonts w:ascii="Times New Roman" w:hAnsi="Times New Roman" w:cs="Times New Roman"/>
                <w:sz w:val="24"/>
                <w:szCs w:val="24"/>
              </w:rPr>
              <w:t>pamattiesības</w:t>
            </w:r>
            <w:proofErr w:type="spellEnd"/>
            <w:r w:rsidRPr="00451F5C">
              <w:rPr>
                <w:rFonts w:ascii="Times New Roman" w:hAnsi="Times New Roman" w:cs="Times New Roman"/>
                <w:sz w:val="24"/>
                <w:szCs w:val="24"/>
              </w:rPr>
              <w:t>, proti, Satversmes 105. pants noteic, ka ikvienam ir tiesības uz īpašumu, un īpašumu nedrīkst izmantot pretēji sabiedrības interesēm. Satversmes tiesa ir norādījusi, ka “skaidras naudas lietošanas ierobežojumu regulējums jāvērtē atbilstoši sociālajai realitātei”.</w:t>
            </w:r>
            <w:r w:rsidRPr="0040587B">
              <w:rPr>
                <w:vertAlign w:val="superscript"/>
              </w:rPr>
              <w:footnoteReference w:id="6"/>
            </w:r>
            <w:r w:rsidRPr="00451F5C">
              <w:rPr>
                <w:rFonts w:ascii="Times New Roman" w:hAnsi="Times New Roman" w:cs="Times New Roman"/>
                <w:sz w:val="24"/>
                <w:szCs w:val="24"/>
              </w:rPr>
              <w:t xml:space="preserve"> Tomēr jāuzsver, ka personai netiek atņemts īpašums, bet uz laiku, kas atkarīgs no pašas personas, noteikti īpašuma kontroles pasākumi. </w:t>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 xml:space="preserve">Jebkādas summas izmaksa skaidrā naudā daudzkāršotu </w:t>
            </w:r>
            <w:r w:rsidR="00506E2F" w:rsidRPr="00451F5C">
              <w:rPr>
                <w:rFonts w:ascii="Times New Roman" w:hAnsi="Times New Roman" w:cs="Times New Roman"/>
                <w:sz w:val="24"/>
                <w:szCs w:val="24"/>
              </w:rPr>
              <w:t xml:space="preserve">noziedzīgi iegūtu līdzekļu legalizācijas un terorisma finansēšanas </w:t>
            </w:r>
            <w:r w:rsidRPr="00451F5C">
              <w:rPr>
                <w:rFonts w:ascii="Times New Roman" w:hAnsi="Times New Roman" w:cs="Times New Roman"/>
                <w:sz w:val="24"/>
                <w:szCs w:val="24"/>
              </w:rPr>
              <w:t xml:space="preserve">risku, jo to vienkārši vairs nebūtu iespējams uzraudzīt. Lai novērstu </w:t>
            </w:r>
            <w:r w:rsidR="0040587B">
              <w:rPr>
                <w:rFonts w:ascii="Times New Roman" w:hAnsi="Times New Roman" w:cs="Times New Roman"/>
                <w:sz w:val="24"/>
                <w:szCs w:val="24"/>
              </w:rPr>
              <w:t>noziedzīgi iegūtu līdzekļu legalizācijas un terorisma finansē</w:t>
            </w:r>
            <w:r w:rsidR="00773AA5">
              <w:rPr>
                <w:rFonts w:ascii="Times New Roman" w:hAnsi="Times New Roman" w:cs="Times New Roman"/>
                <w:sz w:val="24"/>
                <w:szCs w:val="24"/>
              </w:rPr>
              <w:t>šanu</w:t>
            </w:r>
            <w:r w:rsidRPr="00451F5C">
              <w:rPr>
                <w:rFonts w:ascii="Times New Roman" w:hAnsi="Times New Roman" w:cs="Times New Roman"/>
                <w:sz w:val="24"/>
                <w:szCs w:val="24"/>
              </w:rPr>
              <w:t xml:space="preserve">, tiek piedāvāts izdarīt šādus grozījumus likumā. No iepriekš minētā var secināt, ka šāda ierobežojuma leģitīmie mērķi ir sabiedrības drošība un labklājība. </w:t>
            </w:r>
          </w:p>
          <w:p w:rsidR="00D013CB" w:rsidRPr="00451F5C" w:rsidRDefault="00D013CB" w:rsidP="005A081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Kā norāda Satversmes tiesa, ja tiek noskaidrots leģitīmais mērķis, turpmāk ir jāveic samērīguma tests, kas satur 3 elementus - 1) vai likumdevēja izraudzītie līdzekļi ir piemēroti leģitīmā mērķa sasniegšanai; 2) vai nav saudzējošāku līdzekļu leģitīmā mērķa </w:t>
            </w:r>
            <w:r w:rsidRPr="00451F5C">
              <w:rPr>
                <w:rFonts w:ascii="Times New Roman" w:hAnsi="Times New Roman" w:cs="Times New Roman"/>
                <w:sz w:val="24"/>
                <w:szCs w:val="24"/>
              </w:rPr>
              <w:lastRenderedPageBreak/>
              <w:t>sasniegšanai; 3) vai sabiedrības ieguvums no šāda ierobežojuma ir lielāks nekā indivīda zaudējums.</w:t>
            </w:r>
            <w:r w:rsidRPr="00773AA5">
              <w:rPr>
                <w:vertAlign w:val="superscript"/>
              </w:rPr>
              <w:footnoteReference w:id="7"/>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1) Vai likumdevēja izraudzītie līdzekļi ir piemēroti leģitīmā mērķa sasniegšanai?</w:t>
            </w:r>
            <w:r w:rsidR="0085233C">
              <w:rPr>
                <w:rFonts w:ascii="Times New Roman" w:hAnsi="Times New Roman" w:cs="Times New Roman"/>
                <w:sz w:val="24"/>
                <w:szCs w:val="24"/>
              </w:rPr>
              <w:t xml:space="preserve">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Lai samazinātu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riskus grozījumi paredz, ka vairs nebūs iespējams, pārtraucot darījum</w:t>
            </w:r>
            <w:r w:rsidR="00854E42">
              <w:rPr>
                <w:rFonts w:ascii="Times New Roman" w:hAnsi="Times New Roman" w:cs="Times New Roman"/>
                <w:sz w:val="24"/>
                <w:szCs w:val="24"/>
              </w:rPr>
              <w:t xml:space="preserve">a </w:t>
            </w:r>
            <w:r w:rsidRPr="00451F5C">
              <w:rPr>
                <w:rFonts w:ascii="Times New Roman" w:hAnsi="Times New Roman" w:cs="Times New Roman"/>
                <w:sz w:val="24"/>
                <w:szCs w:val="24"/>
              </w:rPr>
              <w:t xml:space="preserve">attiecības ar kredītiestādi vai finanšu iestādi, klientam izmaksāt visu summu skaidrā naudā. Personai, uz kuru krīt aizdomas par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un ar kuru ir pārtrauktas darījuma attiecības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dēļ, ir daudz lielākas iespējas aktīvi un netraucēti nodarboties ar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ja tai tiek izmaksāti visi kontā esošie līdzekļi skaidrā naudā. Grozījumos piedāvātie risinājumi būtiski samazinās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kā arī labāk palīdzēs organizēt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pārvaldību, jo personas, kurām ir lieli naudas līdzekļi, kuru izcelsme ir apšaubāma, vairs tos visus nevarēs saņemt skaidrā naudā. Līdz ar to var uzskatīt, ka likumdevēja izraudzītie līdzekļi ir piemērot</w:t>
            </w:r>
            <w:r w:rsidR="0085233C">
              <w:rPr>
                <w:rFonts w:ascii="Times New Roman" w:hAnsi="Times New Roman" w:cs="Times New Roman"/>
                <w:sz w:val="24"/>
                <w:szCs w:val="24"/>
              </w:rPr>
              <w:t xml:space="preserve">i leģitīmā mērķa sasniegšanai. </w:t>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2) Vai nav saudzējošāku līdzekļu leģitīmā mērķa sasniegšanai?</w:t>
            </w:r>
            <w:r w:rsidR="0085233C">
              <w:rPr>
                <w:rFonts w:ascii="Times New Roman" w:hAnsi="Times New Roman" w:cs="Times New Roman"/>
                <w:sz w:val="24"/>
                <w:szCs w:val="24"/>
              </w:rPr>
              <w:t xml:space="preserve">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Ierobežojot skaidras naudas izmaksas, gadījumā, kad kredītiestāde vai finanšu iestāde pārtrauc darījuma attiecības ar klientu, līdz apmēram, kas noteikts saskaņā ar likumu ‘’Par nodokļiem un nodevām’’, tiek sasniegts leģitīmais mērķis, proti, mazināta terorisma finansēšana un noziedzīgi iegūtu līdzekļu legalizācija, kas kopumā uzlabo sabiedrības drošību un labklājību. Grozījumos piedāvātais risinājums jau ar pietiekami saudzējošiem līdzekļiem sasniedz leģitīmo mērķi, proti, izmaksas apmērs tiek noteikts 7 200 </w:t>
            </w:r>
            <w:proofErr w:type="spellStart"/>
            <w:r w:rsidRPr="00FD079E">
              <w:rPr>
                <w:rFonts w:ascii="Times New Roman" w:hAnsi="Times New Roman" w:cs="Times New Roman"/>
                <w:i/>
                <w:sz w:val="24"/>
                <w:szCs w:val="24"/>
              </w:rPr>
              <w:t>euro</w:t>
            </w:r>
            <w:proofErr w:type="spellEnd"/>
            <w:r w:rsidRPr="00451F5C">
              <w:rPr>
                <w:rFonts w:ascii="Times New Roman" w:hAnsi="Times New Roman" w:cs="Times New Roman"/>
                <w:sz w:val="24"/>
                <w:szCs w:val="24"/>
              </w:rPr>
              <w:t xml:space="preserve"> apmērā. Jāņem arī vērā, ka personai  kā Eiropas Savienības rezidentam ir iespēja atvērt pamatkontu ikdienas norēķinu veikšanai, uz kuru arī tiks pārskaitīta nauda no tās kredītiestādes vai finanšu iestādes, kas ar konkrēto personu nolēmusi pārtraukt darījuma attiecības </w:t>
            </w:r>
            <w:r w:rsidR="00506E2F" w:rsidRPr="00451F5C">
              <w:rPr>
                <w:rFonts w:ascii="Times New Roman" w:hAnsi="Times New Roman" w:cs="Times New Roman"/>
                <w:sz w:val="24"/>
                <w:szCs w:val="24"/>
              </w:rPr>
              <w:t>noziedzīgi iegūtu līdzekļu legalizācijas un terorisma finansēšanas</w:t>
            </w:r>
            <w:r w:rsidR="0085233C">
              <w:rPr>
                <w:rFonts w:ascii="Times New Roman" w:hAnsi="Times New Roman" w:cs="Times New Roman"/>
                <w:sz w:val="24"/>
                <w:szCs w:val="24"/>
              </w:rPr>
              <w:t xml:space="preserve"> risku dēļ.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Ja neviena kredītiestāde vai finanšu iestāde nevienā pasaules valstī neatver personai norēķinu kontu, tad jāpieņem, ka šī persona rada tik būtisku </w:t>
            </w:r>
            <w:r w:rsidR="00506E2F" w:rsidRPr="00451F5C">
              <w:rPr>
                <w:rFonts w:ascii="Times New Roman" w:hAnsi="Times New Roman" w:cs="Times New Roman"/>
                <w:sz w:val="24"/>
                <w:szCs w:val="24"/>
              </w:rPr>
              <w:t xml:space="preserve">noziedzīgi </w:t>
            </w:r>
            <w:r w:rsidR="00506E2F" w:rsidRPr="00451F5C">
              <w:rPr>
                <w:rFonts w:ascii="Times New Roman" w:hAnsi="Times New Roman" w:cs="Times New Roman"/>
                <w:sz w:val="24"/>
                <w:szCs w:val="24"/>
              </w:rPr>
              <w:lastRenderedPageBreak/>
              <w:t>iegūtu līdzekļu legalizācijas un terorisma finansēšanas</w:t>
            </w:r>
            <w:r w:rsidRPr="00451F5C">
              <w:rPr>
                <w:rFonts w:ascii="Times New Roman" w:hAnsi="Times New Roman" w:cs="Times New Roman"/>
                <w:sz w:val="24"/>
                <w:szCs w:val="24"/>
              </w:rPr>
              <w:t xml:space="preserve"> risku, ka naudas izmaksa skaidrā naudā lielā apmērā </w:t>
            </w:r>
            <w:r w:rsidR="0085233C">
              <w:rPr>
                <w:rFonts w:ascii="Times New Roman" w:hAnsi="Times New Roman" w:cs="Times New Roman"/>
                <w:sz w:val="24"/>
                <w:szCs w:val="24"/>
              </w:rPr>
              <w:t xml:space="preserve">būtu acīmredzami nepieļaujama.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Ja personai darījuma attiecību pārtraukšanas brīdī nav cita konta citā kredītiestādē vai finanšu iestādē, tad šos līdzekļus viņam virs 7200 </w:t>
            </w:r>
            <w:proofErr w:type="spellStart"/>
            <w:r w:rsidRPr="00FD079E">
              <w:rPr>
                <w:rFonts w:ascii="Times New Roman" w:hAnsi="Times New Roman" w:cs="Times New Roman"/>
                <w:i/>
                <w:sz w:val="24"/>
                <w:szCs w:val="24"/>
              </w:rPr>
              <w:t>euro</w:t>
            </w:r>
            <w:proofErr w:type="spellEnd"/>
            <w:r w:rsidRPr="00451F5C">
              <w:rPr>
                <w:rFonts w:ascii="Times New Roman" w:hAnsi="Times New Roman" w:cs="Times New Roman"/>
                <w:sz w:val="24"/>
                <w:szCs w:val="24"/>
              </w:rPr>
              <w:t xml:space="preserve"> limita izmaksā brīdī, kad ir norēķinu konts Latvijas vai jebkuras valsts kred</w:t>
            </w:r>
            <w:r w:rsidR="0085233C">
              <w:rPr>
                <w:rFonts w:ascii="Times New Roman" w:hAnsi="Times New Roman" w:cs="Times New Roman"/>
                <w:sz w:val="24"/>
                <w:szCs w:val="24"/>
              </w:rPr>
              <w:t xml:space="preserve">ītiestādē vai finanšu iestādē. </w:t>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3) Vai sabiedrības ieguvums no šāda ierobežojuma ir lielāks nekā indivīda zaudējums?</w:t>
            </w:r>
            <w:r w:rsidR="0085233C">
              <w:rPr>
                <w:rFonts w:ascii="Times New Roman" w:hAnsi="Times New Roman" w:cs="Times New Roman"/>
                <w:sz w:val="24"/>
                <w:szCs w:val="24"/>
              </w:rPr>
              <w:t xml:space="preserve"> </w:t>
            </w:r>
          </w:p>
          <w:p w:rsidR="00D013CB" w:rsidRPr="00451F5C" w:rsidRDefault="00D013CB" w:rsidP="0085233C">
            <w:pPr>
              <w:pStyle w:val="NoSpacing"/>
              <w:ind w:firstLine="249"/>
              <w:jc w:val="both"/>
              <w:rPr>
                <w:rFonts w:ascii="Times New Roman" w:hAnsi="Times New Roman" w:cs="Times New Roman"/>
                <w:sz w:val="24"/>
                <w:szCs w:val="24"/>
              </w:rPr>
            </w:pPr>
            <w:r w:rsidRPr="00451F5C">
              <w:rPr>
                <w:rFonts w:ascii="Times New Roman" w:hAnsi="Times New Roman" w:cs="Times New Roman"/>
                <w:sz w:val="24"/>
                <w:szCs w:val="24"/>
              </w:rPr>
              <w:t xml:space="preserve">Ar šādu grozījumu izdarīšanu būtiski uzlabosies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pārvaldība, jo personas ar apšaubāmas izcelsmes līdzekļiem vairs to nevarēs saņemt skaidrā naudā, kas atvieglinātu šīs naudas izmantošanu, lai legalizētu noziedzīgi iegūtus līdzekļus vai finansētu terorismu. Līdz ar to var secināt, ka sabiedrības ieguvums no šāda ierobežojuma ir lielāks nekā indivīda zaudējums, pro</w:t>
            </w:r>
            <w:r w:rsidR="0085233C">
              <w:rPr>
                <w:rFonts w:ascii="Times New Roman" w:hAnsi="Times New Roman" w:cs="Times New Roman"/>
                <w:sz w:val="24"/>
                <w:szCs w:val="24"/>
              </w:rPr>
              <w:t xml:space="preserve">ti, </w:t>
            </w:r>
            <w:proofErr w:type="spellStart"/>
            <w:r w:rsidR="0085233C">
              <w:rPr>
                <w:rFonts w:ascii="Times New Roman" w:hAnsi="Times New Roman" w:cs="Times New Roman"/>
                <w:sz w:val="24"/>
                <w:szCs w:val="24"/>
              </w:rPr>
              <w:t>pamattiesību</w:t>
            </w:r>
            <w:proofErr w:type="spellEnd"/>
            <w:r w:rsidR="0085233C">
              <w:rPr>
                <w:rFonts w:ascii="Times New Roman" w:hAnsi="Times New Roman" w:cs="Times New Roman"/>
                <w:sz w:val="24"/>
                <w:szCs w:val="24"/>
              </w:rPr>
              <w:t xml:space="preserve"> ierobežojums. </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grozījumiem </w:t>
            </w:r>
            <w:r w:rsidR="0085233C">
              <w:rPr>
                <w:rFonts w:ascii="Times New Roman" w:hAnsi="Times New Roman" w:cs="Times New Roman"/>
                <w:sz w:val="24"/>
                <w:szCs w:val="24"/>
              </w:rPr>
              <w:t xml:space="preserve">NILLTFNL </w:t>
            </w:r>
            <w:r w:rsidRPr="00451F5C">
              <w:rPr>
                <w:rFonts w:ascii="Times New Roman" w:hAnsi="Times New Roman" w:cs="Times New Roman"/>
                <w:sz w:val="24"/>
                <w:szCs w:val="24"/>
              </w:rPr>
              <w:t>43.panta trešajā daļā par finanšu instrumentiem vajadzētu būt tādiem pašiem noteikumiem kā uz naudu, proti, ja naudu var pārvest uz citu kredītiestādi, tad arī finanšu instrumentus ir jāļauj pārvest uz citu kredītiestādi analoģiski kā ar naudu, ja tas nav iespējams, tad tie jāpārdod par tirgus cenu. Šobrīd tiesību norma paredz acīmredzami nesamērīgu risinājumu, ka pārdošana par tirgus cenu ir obligāta un bez alternatīvām.</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401C56"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37</w:t>
            </w:r>
            <w:r w:rsidR="00D013CB" w:rsidRPr="00451F5C">
              <w:rPr>
                <w:rFonts w:ascii="Times New Roman" w:hAnsi="Times New Roman" w:cs="Times New Roman"/>
                <w:sz w:val="24"/>
                <w:szCs w:val="24"/>
                <w:u w:val="single"/>
              </w:rPr>
              <w:t>.pants:</w:t>
            </w:r>
          </w:p>
          <w:p w:rsidR="00D013CB" w:rsidRPr="00451F5C" w:rsidRDefault="00D013CB" w:rsidP="00DE745E">
            <w:pPr>
              <w:pStyle w:val="NoSpacing"/>
              <w:ind w:firstLine="393"/>
              <w:jc w:val="both"/>
              <w:rPr>
                <w:rFonts w:ascii="Times New Roman" w:hAnsi="Times New Roman" w:cs="Times New Roman"/>
                <w:sz w:val="24"/>
                <w:szCs w:val="24"/>
              </w:rPr>
            </w:pPr>
            <w:r w:rsidRPr="00451F5C">
              <w:rPr>
                <w:rFonts w:ascii="Times New Roman" w:hAnsi="Times New Roman" w:cs="Times New Roman"/>
                <w:sz w:val="24"/>
                <w:szCs w:val="24"/>
              </w:rPr>
              <w:t xml:space="preserve">Grozījumi NILLTFNL 44.pantā ir kopumā nepieciešami panta struktūras sakārtošanai. </w:t>
            </w:r>
          </w:p>
          <w:p w:rsidR="00D013CB" w:rsidRPr="00451F5C" w:rsidRDefault="00D013CB" w:rsidP="00C31C47">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minētā panta pirmo daļu norādāms, ka maksājumu veikšanā var būt iesaistītas ne tikai tiešās korespondentbankas, bet informācija par iespējamiem noziedzīgi iegūtu līdzekļu legalizācijas un terorisma finansēšanas riskiem var būt būtiska arī tālākā maksājumu izpildes ķēdē. </w:t>
            </w:r>
          </w:p>
          <w:p w:rsidR="00D013CB" w:rsidRPr="00451F5C" w:rsidRDefault="00D013CB" w:rsidP="00AD77D1">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sz w:val="24"/>
                <w:szCs w:val="24"/>
              </w:rPr>
              <w:t>Attiecībā uz minētā panta otro daļu, minētais pants jau šobrīd paredz, ka var apmainīties ar klientu izpētes (</w:t>
            </w:r>
            <w:proofErr w:type="spellStart"/>
            <w:r w:rsidRPr="00684992">
              <w:rPr>
                <w:rFonts w:ascii="Times New Roman" w:hAnsi="Times New Roman" w:cs="Times New Roman"/>
                <w:i/>
                <w:sz w:val="24"/>
                <w:szCs w:val="24"/>
              </w:rPr>
              <w:t>Know</w:t>
            </w:r>
            <w:proofErr w:type="spellEnd"/>
            <w:r w:rsidRPr="00684992">
              <w:rPr>
                <w:rFonts w:ascii="Times New Roman" w:hAnsi="Times New Roman" w:cs="Times New Roman"/>
                <w:i/>
                <w:sz w:val="24"/>
                <w:szCs w:val="24"/>
              </w:rPr>
              <w:t xml:space="preserve"> </w:t>
            </w:r>
            <w:proofErr w:type="spellStart"/>
            <w:r w:rsidRPr="00684992">
              <w:rPr>
                <w:rFonts w:ascii="Times New Roman" w:hAnsi="Times New Roman" w:cs="Times New Roman"/>
                <w:i/>
                <w:sz w:val="24"/>
                <w:szCs w:val="24"/>
              </w:rPr>
              <w:t>Your</w:t>
            </w:r>
            <w:proofErr w:type="spellEnd"/>
            <w:r w:rsidRPr="00684992">
              <w:rPr>
                <w:rFonts w:ascii="Times New Roman" w:hAnsi="Times New Roman" w:cs="Times New Roman"/>
                <w:i/>
                <w:sz w:val="24"/>
                <w:szCs w:val="24"/>
              </w:rPr>
              <w:t xml:space="preserve"> </w:t>
            </w:r>
            <w:proofErr w:type="spellStart"/>
            <w:r w:rsidRPr="00684992">
              <w:rPr>
                <w:rFonts w:ascii="Times New Roman" w:hAnsi="Times New Roman" w:cs="Times New Roman"/>
                <w:i/>
                <w:sz w:val="24"/>
                <w:szCs w:val="24"/>
              </w:rPr>
              <w:t>Customer</w:t>
            </w:r>
            <w:proofErr w:type="spellEnd"/>
            <w:r w:rsidRPr="00451F5C">
              <w:rPr>
                <w:rFonts w:ascii="Times New Roman" w:hAnsi="Times New Roman" w:cs="Times New Roman"/>
                <w:sz w:val="24"/>
                <w:szCs w:val="24"/>
              </w:rPr>
              <w:t>) datiem, lai cita kredītiestāde varētu neuzņemt savā lokā klientu, ar kuru vienreiz par noziedzīgi iegūtu līdzekļu legalizācijas un terorisma finansēšanas pārkāpumiem cita kredītiestāde ir pārtraukusi darījum</w:t>
            </w:r>
            <w:r w:rsidR="00500457">
              <w:rPr>
                <w:rFonts w:ascii="Times New Roman" w:hAnsi="Times New Roman" w:cs="Times New Roman"/>
                <w:sz w:val="24"/>
                <w:szCs w:val="24"/>
              </w:rPr>
              <w:t xml:space="preserve">a </w:t>
            </w:r>
            <w:r w:rsidRPr="00451F5C">
              <w:rPr>
                <w:rFonts w:ascii="Times New Roman" w:hAnsi="Times New Roman" w:cs="Times New Roman"/>
                <w:sz w:val="24"/>
                <w:szCs w:val="24"/>
              </w:rPr>
              <w:t>attiecības, kā arī, lai varētu apmainīties ar informāciju ar korespondentbankām un citām iesaistītājām finanšu institūcijām.</w:t>
            </w:r>
          </w:p>
          <w:p w:rsidR="00D013CB" w:rsidRPr="00451F5C" w:rsidRDefault="00D013CB" w:rsidP="00C31C47">
            <w:pPr>
              <w:pStyle w:val="CommentText"/>
              <w:spacing w:after="0"/>
              <w:ind w:firstLine="249"/>
              <w:jc w:val="both"/>
              <w:rPr>
                <w:rFonts w:ascii="Times New Roman" w:hAnsi="Times New Roman" w:cs="Times New Roman"/>
                <w:sz w:val="24"/>
                <w:szCs w:val="24"/>
              </w:rPr>
            </w:pPr>
            <w:r w:rsidRPr="00451F5C">
              <w:rPr>
                <w:rFonts w:ascii="Times New Roman" w:hAnsi="Times New Roman" w:cs="Times New Roman"/>
                <w:sz w:val="24"/>
                <w:szCs w:val="24"/>
              </w:rPr>
              <w:t xml:space="preserve">Minētā panta trešajā daļā tiek veikti tikai redakcionāli precizējumi – svītrota atsauce uz Fizisko </w:t>
            </w:r>
            <w:r w:rsidRPr="00451F5C">
              <w:rPr>
                <w:rFonts w:ascii="Times New Roman" w:hAnsi="Times New Roman" w:cs="Times New Roman"/>
                <w:sz w:val="24"/>
                <w:szCs w:val="24"/>
              </w:rPr>
              <w:lastRenderedPageBreak/>
              <w:t>personu datu aizsardzības likumu, jo likums sakarā ar Vispārīgo datu aizsardzības regul</w:t>
            </w:r>
            <w:r w:rsidR="00684992">
              <w:rPr>
                <w:rFonts w:ascii="Times New Roman" w:hAnsi="Times New Roman" w:cs="Times New Roman"/>
                <w:sz w:val="24"/>
                <w:szCs w:val="24"/>
              </w:rPr>
              <w:t>as stāšanos spēkā</w:t>
            </w:r>
            <w:r w:rsidRPr="00451F5C">
              <w:rPr>
                <w:rFonts w:ascii="Times New Roman" w:hAnsi="Times New Roman" w:cs="Times New Roman"/>
                <w:sz w:val="24"/>
                <w:szCs w:val="24"/>
              </w:rPr>
              <w:t xml:space="preserve"> ir zaudējis spēku. </w:t>
            </w:r>
          </w:p>
          <w:p w:rsidR="00D013CB" w:rsidRPr="00451F5C" w:rsidRDefault="00D013CB" w:rsidP="00AD77D1">
            <w:pPr>
              <w:pStyle w:val="CommentText"/>
              <w:spacing w:after="0"/>
              <w:ind w:firstLine="393"/>
              <w:jc w:val="both"/>
              <w:rPr>
                <w:rFonts w:ascii="Times New Roman" w:hAnsi="Times New Roman" w:cs="Times New Roman"/>
                <w:sz w:val="24"/>
                <w:szCs w:val="24"/>
              </w:rPr>
            </w:pPr>
            <w:r w:rsidRPr="00451F5C">
              <w:rPr>
                <w:rFonts w:ascii="Times New Roman" w:hAnsi="Times New Roman" w:cs="Times New Roman"/>
                <w:sz w:val="24"/>
                <w:szCs w:val="24"/>
              </w:rPr>
              <w:t>Minētajām pantam no jauna pievienota piektā daļa.</w:t>
            </w:r>
          </w:p>
          <w:p w:rsidR="00D013CB" w:rsidRPr="00451F5C" w:rsidRDefault="00D013CB" w:rsidP="00684992">
            <w:pPr>
              <w:pStyle w:val="NoSpacing"/>
              <w:jc w:val="both"/>
              <w:rPr>
                <w:rFonts w:ascii="Times New Roman" w:hAnsi="Times New Roman" w:cs="Times New Roman"/>
                <w:sz w:val="24"/>
                <w:szCs w:val="24"/>
              </w:rPr>
            </w:pPr>
            <w:r w:rsidRPr="00451F5C">
              <w:rPr>
                <w:rFonts w:ascii="Times New Roman" w:hAnsi="Times New Roman" w:cs="Times New Roman"/>
                <w:sz w:val="24"/>
                <w:szCs w:val="24"/>
              </w:rPr>
              <w:t>Kredītiestādes saņem un glabā datus par personām, kas nav viņu klienti, ko tās saņēmušas no citām kredītiestādēm. Tas nepieciešams, lai identificētu personu, ar kuru cita kredītiestāde ir izbeigusi darījuma attiecības noziedzīgi iegūtu līdzekļu legalizācijas un terorisma finansēšanas risku dēļ. Tas ir būtiski, lai cīnītos ar noziedzīgi iegūtu līdzekļu legalizācijas un terorisma finansēšanu.</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Šobrīd šādu datu glabāšanu pamato ar kredītiestādes leģitīmajām interesēm (jau šobrīd tam ir tiesisks pamats), bet </w:t>
            </w:r>
            <w:r w:rsidR="00AC7660"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nav noteikts vienots termiņš šādu datu saglabāšanu. Tādēļ NILLTFNL 44. panta piektā daļa paredz šādu termiņu. Vienotu termiņu noteikšana ir būtiski nepieciešama noziedzīgi iegūtu līdzekļu legalizācijas un terorisma finansēšanas risku pārvaldībai un datu aizsardzības vienota standarta ievērošanai. </w:t>
            </w:r>
          </w:p>
          <w:p w:rsidR="00D013CB" w:rsidRPr="00451F5C" w:rsidRDefault="00D013CB" w:rsidP="00C31C47">
            <w:pPr>
              <w:pStyle w:val="NoSpacing"/>
              <w:jc w:val="both"/>
              <w:rPr>
                <w:rFonts w:ascii="Times New Roman" w:hAnsi="Times New Roman" w:cs="Times New Roman"/>
                <w:sz w:val="24"/>
                <w:szCs w:val="24"/>
              </w:rPr>
            </w:pPr>
          </w:p>
          <w:p w:rsidR="00D013CB" w:rsidRPr="00C2171F" w:rsidRDefault="00254B7D" w:rsidP="00C31C47">
            <w:pPr>
              <w:spacing w:after="0" w:line="240" w:lineRule="auto"/>
              <w:jc w:val="both"/>
              <w:rPr>
                <w:rFonts w:ascii="Times New Roman" w:hAnsi="Times New Roman" w:cs="Times New Roman"/>
                <w:sz w:val="24"/>
                <w:szCs w:val="24"/>
                <w:u w:val="single"/>
              </w:rPr>
            </w:pPr>
            <w:r w:rsidRPr="00C2171F">
              <w:rPr>
                <w:rFonts w:ascii="Times New Roman" w:hAnsi="Times New Roman" w:cs="Times New Roman"/>
                <w:sz w:val="24"/>
                <w:szCs w:val="24"/>
                <w:u w:val="single"/>
              </w:rPr>
              <w:t>Likumprojekta 38</w:t>
            </w:r>
            <w:r w:rsidR="00D013CB" w:rsidRPr="00C2171F">
              <w:rPr>
                <w:rFonts w:ascii="Times New Roman" w:hAnsi="Times New Roman" w:cs="Times New Roman"/>
                <w:sz w:val="24"/>
                <w:szCs w:val="24"/>
                <w:u w:val="single"/>
              </w:rPr>
              <w:t>.pants:</w:t>
            </w:r>
          </w:p>
          <w:p w:rsidR="00D013CB" w:rsidRPr="00451F5C" w:rsidRDefault="00D013CB" w:rsidP="00C2171F">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Attiecībā uz NILLTFNL 45.panta 1.</w:t>
            </w:r>
            <w:r w:rsidRPr="00451F5C">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un otro daļu skatīt pamatojumu atbilstoši </w:t>
            </w:r>
            <w:r w:rsidRPr="00C2171F">
              <w:rPr>
                <w:rFonts w:ascii="Times New Roman" w:hAnsi="Times New Roman" w:cs="Times New Roman"/>
                <w:sz w:val="24"/>
                <w:szCs w:val="24"/>
              </w:rPr>
              <w:t xml:space="preserve">likumprojekta </w:t>
            </w:r>
            <w:r w:rsidR="00C2171F" w:rsidRPr="00C2171F">
              <w:rPr>
                <w:rFonts w:ascii="Times New Roman" w:hAnsi="Times New Roman" w:cs="Times New Roman"/>
                <w:sz w:val="24"/>
                <w:szCs w:val="24"/>
              </w:rPr>
              <w:t>3</w:t>
            </w:r>
            <w:r w:rsidRPr="00C2171F">
              <w:rPr>
                <w:rFonts w:ascii="Times New Roman" w:hAnsi="Times New Roman" w:cs="Times New Roman"/>
                <w:sz w:val="24"/>
                <w:szCs w:val="24"/>
              </w:rPr>
              <w:t>.pantam</w:t>
            </w:r>
            <w:r w:rsidR="00C2171F">
              <w:rPr>
                <w:rFonts w:ascii="Times New Roman" w:hAnsi="Times New Roman" w:cs="Times New Roman"/>
                <w:sz w:val="24"/>
                <w:szCs w:val="24"/>
              </w:rPr>
              <w:t>.</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NILLTFNL 45.panta otrās daļas 5.punktu, aizstājot  15 000 </w:t>
            </w:r>
            <w:proofErr w:type="spellStart"/>
            <w:r w:rsidRPr="00684992">
              <w:rPr>
                <w:rFonts w:ascii="Times New Roman" w:hAnsi="Times New Roman" w:cs="Times New Roman"/>
                <w:i/>
                <w:sz w:val="24"/>
                <w:szCs w:val="24"/>
              </w:rPr>
              <w:t>euro</w:t>
            </w:r>
            <w:proofErr w:type="spellEnd"/>
            <w:r w:rsidRPr="00451F5C">
              <w:rPr>
                <w:rFonts w:ascii="Times New Roman" w:hAnsi="Times New Roman" w:cs="Times New Roman"/>
                <w:sz w:val="24"/>
                <w:szCs w:val="24"/>
              </w:rPr>
              <w:t xml:space="preserve"> ar 10 000 </w:t>
            </w:r>
            <w:proofErr w:type="spellStart"/>
            <w:r w:rsidRPr="00684992">
              <w:rPr>
                <w:rFonts w:ascii="Times New Roman" w:hAnsi="Times New Roman" w:cs="Times New Roman"/>
                <w:i/>
                <w:sz w:val="24"/>
                <w:szCs w:val="24"/>
              </w:rPr>
              <w:t>euro</w:t>
            </w:r>
            <w:proofErr w:type="spellEnd"/>
            <w:r w:rsidRPr="00451F5C">
              <w:rPr>
                <w:rFonts w:ascii="Times New Roman" w:hAnsi="Times New Roman" w:cs="Times New Roman"/>
                <w:sz w:val="24"/>
                <w:szCs w:val="24"/>
              </w:rPr>
              <w:t xml:space="preserve"> tiek precizēts atbilstoši NILLTFNL 3.panta pirmās daļas 9.punktā minētajam slieksnim.</w:t>
            </w:r>
          </w:p>
          <w:p w:rsidR="0049471E" w:rsidRDefault="0049471E" w:rsidP="0049471E">
            <w:pPr>
              <w:spacing w:after="0" w:line="240" w:lineRule="auto"/>
              <w:jc w:val="both"/>
              <w:rPr>
                <w:rFonts w:ascii="Times New Roman" w:hAnsi="Times New Roman" w:cs="Times New Roman"/>
                <w:sz w:val="24"/>
                <w:szCs w:val="24"/>
              </w:rPr>
            </w:pPr>
          </w:p>
          <w:p w:rsidR="0049471E" w:rsidRPr="0049471E" w:rsidRDefault="0049471E" w:rsidP="0049471E">
            <w:pPr>
              <w:spacing w:after="0" w:line="240" w:lineRule="auto"/>
              <w:jc w:val="both"/>
              <w:rPr>
                <w:rFonts w:ascii="Times New Roman" w:hAnsi="Times New Roman" w:cs="Times New Roman"/>
                <w:sz w:val="24"/>
                <w:szCs w:val="24"/>
                <w:u w:val="single"/>
              </w:rPr>
            </w:pPr>
            <w:r w:rsidRPr="0049471E">
              <w:rPr>
                <w:rFonts w:ascii="Times New Roman" w:hAnsi="Times New Roman" w:cs="Times New Roman"/>
                <w:sz w:val="24"/>
                <w:szCs w:val="24"/>
                <w:u w:val="single"/>
              </w:rPr>
              <w:t>Likumprojekta 40.pants:</w:t>
            </w:r>
          </w:p>
          <w:p w:rsidR="003914C8" w:rsidRPr="003914C8" w:rsidRDefault="003914C8" w:rsidP="003914C8">
            <w:pPr>
              <w:pStyle w:val="NoSpacing"/>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Tiek veikts NILLTFNL 47.pantā papildinājums attiecībā uz</w:t>
            </w:r>
            <w:r w:rsidRPr="003914C8">
              <w:rPr>
                <w:rFonts w:ascii="Times New Roman" w:eastAsia="Times New Roman" w:hAnsi="Times New Roman"/>
                <w:sz w:val="24"/>
                <w:szCs w:val="24"/>
                <w:lang w:eastAsia="lv-LV"/>
              </w:rPr>
              <w:t xml:space="preserve"> uzraudzības un kontroles institūcijas tiesību - veikt uzraudzības un kontroles pasākumus</w:t>
            </w:r>
            <w:r>
              <w:rPr>
                <w:rFonts w:ascii="Times New Roman" w:eastAsia="Times New Roman" w:hAnsi="Times New Roman"/>
                <w:sz w:val="24"/>
                <w:szCs w:val="24"/>
                <w:lang w:eastAsia="lv-LV"/>
              </w:rPr>
              <w:t xml:space="preserve">. </w:t>
            </w:r>
            <w:r w:rsidRPr="003914C8">
              <w:rPr>
                <w:rFonts w:ascii="Times New Roman" w:eastAsia="Times New Roman" w:hAnsi="Times New Roman"/>
                <w:sz w:val="24"/>
                <w:szCs w:val="24"/>
                <w:lang w:eastAsia="lv-LV"/>
              </w:rPr>
              <w:t xml:space="preserve">Lai uzraudzības un kontroles institūcija varētu veikt uzraudzības un kontroles pasākumus arī tādām personām, kuras apgalvo, ka nav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subjekti, </w:t>
            </w:r>
            <w:r>
              <w:rPr>
                <w:rFonts w:ascii="Times New Roman" w:eastAsia="Times New Roman" w:hAnsi="Times New Roman"/>
                <w:sz w:val="24"/>
                <w:szCs w:val="24"/>
                <w:lang w:eastAsia="lv-LV"/>
              </w:rPr>
              <w:t xml:space="preserve">ir </w:t>
            </w:r>
            <w:r w:rsidRPr="003914C8">
              <w:rPr>
                <w:rFonts w:ascii="Times New Roman" w:eastAsia="Times New Roman" w:hAnsi="Times New Roman"/>
                <w:sz w:val="24"/>
                <w:szCs w:val="24"/>
                <w:lang w:eastAsia="lv-LV"/>
              </w:rPr>
              <w:t xml:space="preserve"> papildinā</w:t>
            </w:r>
            <w:r>
              <w:rPr>
                <w:rFonts w:ascii="Times New Roman" w:eastAsia="Times New Roman" w:hAnsi="Times New Roman"/>
                <w:sz w:val="24"/>
                <w:szCs w:val="24"/>
                <w:lang w:eastAsia="lv-LV"/>
              </w:rPr>
              <w:t>ms likuma 47.pants</w:t>
            </w:r>
            <w:r w:rsidRPr="003914C8">
              <w:rPr>
                <w:rFonts w:ascii="Times New Roman" w:eastAsia="Times New Roman" w:hAnsi="Times New Roman"/>
                <w:sz w:val="24"/>
                <w:szCs w:val="24"/>
                <w:lang w:eastAsia="lv-LV"/>
              </w:rPr>
              <w:t xml:space="preserve"> ar 1.</w:t>
            </w:r>
            <w:r w:rsidRPr="003914C8">
              <w:rPr>
                <w:rFonts w:ascii="Times New Roman" w:eastAsia="Times New Roman" w:hAnsi="Times New Roman"/>
                <w:sz w:val="24"/>
                <w:szCs w:val="24"/>
                <w:vertAlign w:val="superscript"/>
                <w:lang w:eastAsia="lv-LV"/>
              </w:rPr>
              <w:t>1</w:t>
            </w:r>
            <w:r w:rsidRPr="003914C8">
              <w:rPr>
                <w:rFonts w:ascii="Times New Roman" w:eastAsia="Times New Roman" w:hAnsi="Times New Roman"/>
                <w:sz w:val="24"/>
                <w:szCs w:val="24"/>
                <w:lang w:eastAsia="lv-LV"/>
              </w:rPr>
              <w:t xml:space="preserve">daļu, kas paredz uzraudzības un kontroles institūcijai tiesības veikt uzraudzības un kontroles pasākumus ne tikai tādām personām, kuras ir reģistrējušās kā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subjekti, bet arī tādām, kuras pēc uzraudzības un kontroles institūcijas rīcībā esošas informācijas faktiski atbilst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subjekta statusam, bet kā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subjekts nav reģistrējies.</w:t>
            </w:r>
          </w:p>
          <w:p w:rsidR="003914C8" w:rsidRPr="003914C8" w:rsidRDefault="003914C8" w:rsidP="00684992">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Grozījums</w:t>
            </w:r>
            <w:r w:rsidRPr="003914C8">
              <w:rPr>
                <w:rFonts w:ascii="Times New Roman" w:eastAsia="Times New Roman" w:hAnsi="Times New Roman"/>
                <w:sz w:val="24"/>
                <w:szCs w:val="24"/>
                <w:lang w:eastAsia="lv-LV"/>
              </w:rPr>
              <w:t xml:space="preserve"> ir būtisks V</w:t>
            </w:r>
            <w:r>
              <w:rPr>
                <w:rFonts w:ascii="Times New Roman" w:eastAsia="Times New Roman" w:hAnsi="Times New Roman"/>
                <w:sz w:val="24"/>
                <w:szCs w:val="24"/>
                <w:lang w:eastAsia="lv-LV"/>
              </w:rPr>
              <w:t>alsts ieņēmumu dienesta</w:t>
            </w:r>
            <w:r w:rsidRPr="003914C8">
              <w:rPr>
                <w:rFonts w:ascii="Times New Roman" w:eastAsia="Times New Roman" w:hAnsi="Times New Roman"/>
                <w:sz w:val="24"/>
                <w:szCs w:val="24"/>
                <w:lang w:eastAsia="lv-LV"/>
              </w:rPr>
              <w:t xml:space="preserve"> funkciju noziedzīgi iegūtu līdzekļu legalizācijas un terorisma finansēšanas novēršanas jomā izpildē</w:t>
            </w:r>
            <w:r>
              <w:rPr>
                <w:rFonts w:ascii="Times New Roman" w:eastAsia="Times New Roman" w:hAnsi="Times New Roman"/>
                <w:sz w:val="24"/>
                <w:szCs w:val="24"/>
                <w:lang w:eastAsia="lv-LV"/>
              </w:rPr>
              <w:t>.</w:t>
            </w:r>
          </w:p>
          <w:p w:rsidR="009D41E7" w:rsidRPr="003914C8" w:rsidRDefault="009D41E7" w:rsidP="0049471E">
            <w:pPr>
              <w:spacing w:after="0" w:line="240" w:lineRule="auto"/>
              <w:ind w:firstLine="391"/>
              <w:jc w:val="both"/>
              <w:rPr>
                <w:rFonts w:ascii="Times New Roman" w:hAnsi="Times New Roman" w:cs="Times New Roman"/>
                <w:sz w:val="24"/>
                <w:szCs w:val="24"/>
              </w:rPr>
            </w:pPr>
          </w:p>
          <w:p w:rsidR="009D41E7" w:rsidRPr="00451F5C" w:rsidRDefault="009D41E7" w:rsidP="009D41E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41.pants:</w:t>
            </w:r>
          </w:p>
          <w:p w:rsidR="009D41E7" w:rsidRPr="00451F5C" w:rsidRDefault="009D41E7" w:rsidP="002C309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Grozījumi veikti atbilstoši AML V direktīvas 1.panta 37.punktam.</w:t>
            </w:r>
          </w:p>
          <w:p w:rsidR="00256433" w:rsidRPr="00451F5C" w:rsidRDefault="00256433" w:rsidP="002C309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Normas nosaka kredītiestāžu un </w:t>
            </w:r>
            <w:r w:rsidR="002C3095" w:rsidRPr="00451F5C">
              <w:rPr>
                <w:rFonts w:ascii="Times New Roman" w:hAnsi="Times New Roman" w:cs="Times New Roman"/>
                <w:sz w:val="24"/>
                <w:szCs w:val="24"/>
              </w:rPr>
              <w:t>finanšu</w:t>
            </w:r>
            <w:r w:rsidRPr="00451F5C">
              <w:rPr>
                <w:rFonts w:ascii="Times New Roman" w:hAnsi="Times New Roman" w:cs="Times New Roman"/>
                <w:sz w:val="24"/>
                <w:szCs w:val="24"/>
              </w:rPr>
              <w:t xml:space="preserve"> iestāžu uzraudzības un kontroles institūciju, darbinieku, kā arī rezidentu vai personu, kas darbojas šo iestāžu uzdevumā atbildību par neizpaužamas informācijas </w:t>
            </w:r>
            <w:r w:rsidR="002C3095" w:rsidRPr="00451F5C">
              <w:rPr>
                <w:rFonts w:ascii="Times New Roman" w:hAnsi="Times New Roman" w:cs="Times New Roman"/>
                <w:sz w:val="24"/>
                <w:szCs w:val="24"/>
              </w:rPr>
              <w:t>izpaušanu. Normu</w:t>
            </w:r>
            <w:r w:rsidRPr="00451F5C">
              <w:rPr>
                <w:rFonts w:ascii="Times New Roman" w:hAnsi="Times New Roman" w:cs="Times New Roman"/>
                <w:sz w:val="24"/>
                <w:szCs w:val="24"/>
              </w:rPr>
              <w:t xml:space="preserve"> avoti ir AML V direktīvas 1.panta 37.punkts </w:t>
            </w:r>
            <w:r w:rsidR="002C3095" w:rsidRPr="00451F5C">
              <w:rPr>
                <w:rFonts w:ascii="Times New Roman" w:hAnsi="Times New Roman" w:cs="Times New Roman"/>
                <w:sz w:val="24"/>
                <w:szCs w:val="24"/>
              </w:rPr>
              <w:t>iekļaujot</w:t>
            </w:r>
            <w:r w:rsidRPr="00451F5C">
              <w:rPr>
                <w:rFonts w:ascii="Times New Roman" w:hAnsi="Times New Roman" w:cs="Times New Roman"/>
                <w:sz w:val="24"/>
                <w:szCs w:val="24"/>
              </w:rPr>
              <w:t xml:space="preserve"> </w:t>
            </w:r>
            <w:r w:rsidR="002C3095" w:rsidRPr="00451F5C">
              <w:rPr>
                <w:rFonts w:ascii="Times New Roman" w:hAnsi="Times New Roman" w:cs="Times New Roman"/>
                <w:sz w:val="24"/>
                <w:szCs w:val="24"/>
              </w:rPr>
              <w:t>jaunu</w:t>
            </w:r>
            <w:r w:rsidRPr="00451F5C">
              <w:rPr>
                <w:rFonts w:ascii="Times New Roman" w:hAnsi="Times New Roman" w:cs="Times New Roman"/>
                <w:sz w:val="24"/>
                <w:szCs w:val="24"/>
              </w:rPr>
              <w:t xml:space="preserve"> 57.a pantu un tas ir analoģisks</w:t>
            </w:r>
            <w:r w:rsidR="002F7425" w:rsidRPr="00451F5C">
              <w:rPr>
                <w:rFonts w:ascii="Times New Roman" w:hAnsi="Times New Roman" w:cs="Times New Roman"/>
                <w:sz w:val="24"/>
                <w:szCs w:val="24"/>
              </w:rPr>
              <w:t xml:space="preserve"> 2013.gada 26.jūnija Eiropas Parlamenta un Padomes direktīvai 2013/36/ES</w:t>
            </w:r>
            <w:r w:rsidR="0001052E" w:rsidRPr="00451F5C">
              <w:rPr>
                <w:rFonts w:ascii="Times New Roman" w:hAnsi="Times New Roman" w:cs="Times New Roman"/>
                <w:sz w:val="24"/>
                <w:szCs w:val="24"/>
              </w:rPr>
              <w:t xml:space="preserve"> par piekļuvi kredītiestāžu darbībai un kredītiestāžu un ieguldījumu brokeru sabiedrību </w:t>
            </w:r>
            <w:proofErr w:type="spellStart"/>
            <w:r w:rsidR="0001052E" w:rsidRPr="00451F5C">
              <w:rPr>
                <w:rFonts w:ascii="Times New Roman" w:hAnsi="Times New Roman" w:cs="Times New Roman"/>
                <w:sz w:val="24"/>
                <w:szCs w:val="24"/>
              </w:rPr>
              <w:t>prudenciālo</w:t>
            </w:r>
            <w:proofErr w:type="spellEnd"/>
            <w:r w:rsidR="0001052E" w:rsidRPr="00451F5C">
              <w:rPr>
                <w:rFonts w:ascii="Times New Roman" w:hAnsi="Times New Roman" w:cs="Times New Roman"/>
                <w:sz w:val="24"/>
                <w:szCs w:val="24"/>
              </w:rPr>
              <w:t xml:space="preserve"> uzraudzību, ar ko groza Direktīvu 2002/87/EK un atceļ Direktīvas 2006/48/EK un 2006/49/EK</w:t>
            </w:r>
            <w:r w:rsidR="007E348C" w:rsidRPr="00451F5C">
              <w:rPr>
                <w:rFonts w:ascii="Times New Roman" w:hAnsi="Times New Roman" w:cs="Times New Roman"/>
                <w:sz w:val="24"/>
                <w:szCs w:val="24"/>
              </w:rPr>
              <w:t xml:space="preserve"> 51.pantam, kas ir ieviests Kredītiestāžu likumā un Finanšu instrumentu tirgus likumā. Tādējādi, arī šajā likumā ieviešanas veids ir pielāgojams pēc analoģijas. Tā kā normas nosaka atbildību par neizpaužamas informācijas izpaušanu, tad arī </w:t>
            </w:r>
            <w:r w:rsidR="002C3095" w:rsidRPr="00451F5C">
              <w:rPr>
                <w:rFonts w:ascii="Times New Roman" w:hAnsi="Times New Roman" w:cs="Times New Roman"/>
                <w:sz w:val="24"/>
                <w:szCs w:val="24"/>
              </w:rPr>
              <w:t>pielīdzinājums</w:t>
            </w:r>
            <w:r w:rsidR="007E348C" w:rsidRPr="00451F5C">
              <w:rPr>
                <w:rFonts w:ascii="Times New Roman" w:hAnsi="Times New Roman" w:cs="Times New Roman"/>
                <w:sz w:val="24"/>
                <w:szCs w:val="24"/>
              </w:rPr>
              <w:t xml:space="preserve"> amatpersonām ir </w:t>
            </w:r>
            <w:r w:rsidR="002C3095" w:rsidRPr="00451F5C">
              <w:rPr>
                <w:rFonts w:ascii="Times New Roman" w:hAnsi="Times New Roman" w:cs="Times New Roman"/>
                <w:sz w:val="24"/>
                <w:szCs w:val="24"/>
              </w:rPr>
              <w:t>lasāms</w:t>
            </w:r>
            <w:r w:rsidR="007E348C" w:rsidRPr="00451F5C">
              <w:rPr>
                <w:rFonts w:ascii="Times New Roman" w:hAnsi="Times New Roman" w:cs="Times New Roman"/>
                <w:sz w:val="24"/>
                <w:szCs w:val="24"/>
              </w:rPr>
              <w:t xml:space="preserve"> kontekstā ar minēto atbildību.</w:t>
            </w:r>
          </w:p>
          <w:p w:rsidR="00482D03" w:rsidRPr="00451F5C" w:rsidRDefault="00482D03" w:rsidP="009D41E7">
            <w:pPr>
              <w:spacing w:after="0" w:line="240" w:lineRule="auto"/>
              <w:jc w:val="both"/>
              <w:rPr>
                <w:rFonts w:ascii="Times New Roman" w:hAnsi="Times New Roman" w:cs="Times New Roman"/>
                <w:sz w:val="24"/>
                <w:szCs w:val="24"/>
              </w:rPr>
            </w:pPr>
          </w:p>
          <w:p w:rsidR="00482D03" w:rsidRPr="00451F5C" w:rsidRDefault="00482D03" w:rsidP="009D41E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2501E0" w:rsidRPr="00451F5C">
              <w:rPr>
                <w:rFonts w:ascii="Times New Roman" w:hAnsi="Times New Roman" w:cs="Times New Roman"/>
                <w:sz w:val="24"/>
                <w:szCs w:val="24"/>
                <w:u w:val="single"/>
              </w:rPr>
              <w:t>47.pants:</w:t>
            </w:r>
          </w:p>
          <w:p w:rsidR="00DB25D2" w:rsidRPr="00451F5C" w:rsidRDefault="00CD5D6D"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Šobrīd NILLTFNL 62.panta trešās daļas 4.punkts nosaka, ka viens no gadījumiem, kad Kontroles dienests var atteikt informācijas apmaiņu pilnā vai daļējā apjomā, vai atteikt dot piekrišanu informācijas tālākai nodošanai ir</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tostarp</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gadījumā, ja persona, kura iekļauta kādā no Ministru kabineta atzītu valstu vai starptautisko </w:t>
            </w:r>
            <w:r w:rsidR="001C6206" w:rsidRPr="00451F5C">
              <w:rPr>
                <w:rFonts w:ascii="Times New Roman" w:hAnsi="Times New Roman" w:cs="Times New Roman"/>
                <w:sz w:val="24"/>
                <w:szCs w:val="24"/>
              </w:rPr>
              <w:t xml:space="preserve">organizāciju sastādītajiem to personu sarakstiem, kas tiek turētas aizdomās par iesaistīšanos teroristiskās </w:t>
            </w:r>
            <w:r w:rsidR="007427A3" w:rsidRPr="00451F5C">
              <w:rPr>
                <w:rFonts w:ascii="Times New Roman" w:hAnsi="Times New Roman" w:cs="Times New Roman"/>
                <w:sz w:val="24"/>
                <w:szCs w:val="24"/>
              </w:rPr>
              <w:t>darbībās, noziedzīgu</w:t>
            </w:r>
            <w:r w:rsidR="001C6206" w:rsidRPr="00451F5C">
              <w:rPr>
                <w:rFonts w:ascii="Times New Roman" w:hAnsi="Times New Roman" w:cs="Times New Roman"/>
                <w:sz w:val="24"/>
                <w:szCs w:val="24"/>
              </w:rPr>
              <w:t xml:space="preserve"> nodarījumu ir izdarījusi tās valsts </w:t>
            </w:r>
            <w:r w:rsidR="007427A3">
              <w:rPr>
                <w:rFonts w:ascii="Times New Roman" w:hAnsi="Times New Roman" w:cs="Times New Roman"/>
                <w:sz w:val="24"/>
                <w:szCs w:val="24"/>
              </w:rPr>
              <w:t>teritori</w:t>
            </w:r>
            <w:r w:rsidR="001C6206" w:rsidRPr="00451F5C">
              <w:rPr>
                <w:rFonts w:ascii="Times New Roman" w:hAnsi="Times New Roman" w:cs="Times New Roman"/>
                <w:sz w:val="24"/>
                <w:szCs w:val="24"/>
              </w:rPr>
              <w:t>jā, kura</w:t>
            </w:r>
            <w:r w:rsidR="00392166" w:rsidRPr="00451F5C">
              <w:rPr>
                <w:rFonts w:ascii="Times New Roman" w:hAnsi="Times New Roman" w:cs="Times New Roman"/>
                <w:sz w:val="24"/>
                <w:szCs w:val="24"/>
              </w:rPr>
              <w:t xml:space="preserve"> ir izteikusi lūgumu par informācijas apmaiņu vai tās tālāku nodošanu, ir šīs valsts pilsonis un Latvijas teritorijā nav izdarījusi krimināli sodāmu nodarījumu.</w:t>
            </w:r>
          </w:p>
          <w:p w:rsidR="00D013CB" w:rsidRPr="00451F5C" w:rsidRDefault="00DB25D2" w:rsidP="00C31C47">
            <w:pPr>
              <w:spacing w:after="0" w:line="240" w:lineRule="auto"/>
              <w:jc w:val="both"/>
              <w:rPr>
                <w:rFonts w:ascii="Times New Roman" w:hAnsi="Times New Roman" w:cs="Times New Roman"/>
                <w:sz w:val="24"/>
                <w:szCs w:val="24"/>
              </w:rPr>
            </w:pPr>
            <w:proofErr w:type="spellStart"/>
            <w:r w:rsidRPr="00451F5C">
              <w:rPr>
                <w:rFonts w:ascii="Times New Roman" w:hAnsi="Times New Roman" w:cs="Times New Roman"/>
                <w:sz w:val="24"/>
                <w:szCs w:val="24"/>
              </w:rPr>
              <w:t>Moneyval</w:t>
            </w:r>
            <w:proofErr w:type="spellEnd"/>
            <w:r w:rsidRPr="00451F5C">
              <w:rPr>
                <w:rFonts w:ascii="Times New Roman" w:hAnsi="Times New Roman" w:cs="Times New Roman"/>
                <w:sz w:val="24"/>
                <w:szCs w:val="24"/>
              </w:rPr>
              <w:t xml:space="preserve"> ziņojumā ir izteiktas bažas par to, ka NILLTFNL 62.panta trešās daļas 4.punkts varētu kavēt Latvijas spēju sadarboties starptautiski. Izvērtējot </w:t>
            </w:r>
            <w:r w:rsidR="00802AC3" w:rsidRPr="00451F5C">
              <w:rPr>
                <w:rFonts w:ascii="Times New Roman" w:hAnsi="Times New Roman" w:cs="Times New Roman"/>
                <w:sz w:val="24"/>
                <w:szCs w:val="24"/>
              </w:rPr>
              <w:t xml:space="preserve">NILLTFNL 62.panta trešās daļas 4.punktu, secināms, ka šobrīd nav starptautisku dokumentu, kas noteiktu pienākumu šādu atteikuma iemeslu ietvert </w:t>
            </w:r>
            <w:r w:rsidR="00695517" w:rsidRPr="00451F5C">
              <w:rPr>
                <w:rFonts w:ascii="Times New Roman" w:hAnsi="Times New Roman" w:cs="Times New Roman"/>
                <w:sz w:val="24"/>
                <w:szCs w:val="24"/>
              </w:rPr>
              <w:t>nacionālajos</w:t>
            </w:r>
            <w:r w:rsidR="00802AC3" w:rsidRPr="00451F5C">
              <w:rPr>
                <w:rFonts w:ascii="Times New Roman" w:hAnsi="Times New Roman" w:cs="Times New Roman"/>
                <w:sz w:val="24"/>
                <w:szCs w:val="24"/>
              </w:rPr>
              <w:t xml:space="preserve"> normatīvajos tiesību aktos.</w:t>
            </w:r>
            <w:r w:rsidR="008C41E0" w:rsidRPr="00451F5C">
              <w:rPr>
                <w:rFonts w:ascii="Times New Roman" w:hAnsi="Times New Roman" w:cs="Times New Roman"/>
                <w:sz w:val="24"/>
                <w:szCs w:val="24"/>
              </w:rPr>
              <w:t xml:space="preserve"> Tāpat praksē šis atteikuma iemesls nav ticis </w:t>
            </w:r>
            <w:r w:rsidR="00695517" w:rsidRPr="00451F5C">
              <w:rPr>
                <w:rFonts w:ascii="Times New Roman" w:hAnsi="Times New Roman" w:cs="Times New Roman"/>
                <w:sz w:val="24"/>
                <w:szCs w:val="24"/>
              </w:rPr>
              <w:t>izmantots</w:t>
            </w:r>
            <w:r w:rsidR="008C41E0" w:rsidRPr="00451F5C">
              <w:rPr>
                <w:rFonts w:ascii="Times New Roman" w:hAnsi="Times New Roman" w:cs="Times New Roman"/>
                <w:sz w:val="24"/>
                <w:szCs w:val="24"/>
              </w:rPr>
              <w:t>. Ievērojot minēto līdz ar NILLTFNL grozījumiem plānots izslēgt NILLTFNL 62.panta trešās daļas</w:t>
            </w:r>
            <w:r w:rsidR="00CD5D6D" w:rsidRPr="00451F5C">
              <w:rPr>
                <w:rFonts w:ascii="Times New Roman" w:hAnsi="Times New Roman" w:cs="Times New Roman"/>
                <w:sz w:val="24"/>
                <w:szCs w:val="24"/>
              </w:rPr>
              <w:t xml:space="preserve"> </w:t>
            </w:r>
            <w:r w:rsidR="008C41E0" w:rsidRPr="00451F5C">
              <w:rPr>
                <w:rFonts w:ascii="Times New Roman" w:hAnsi="Times New Roman" w:cs="Times New Roman"/>
                <w:sz w:val="24"/>
                <w:szCs w:val="24"/>
              </w:rPr>
              <w:t>4.punktu.</w:t>
            </w:r>
          </w:p>
          <w:p w:rsidR="008E382E" w:rsidRPr="00451F5C" w:rsidRDefault="008E382E"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Vienlaikus NILLTFNL 62.pants tiek papildināts ar sesto da</w:t>
            </w:r>
            <w:r w:rsidR="00B80275" w:rsidRPr="00451F5C">
              <w:rPr>
                <w:rFonts w:ascii="Times New Roman" w:hAnsi="Times New Roman" w:cs="Times New Roman"/>
                <w:sz w:val="24"/>
                <w:szCs w:val="24"/>
              </w:rPr>
              <w:t xml:space="preserve">ļu, atbilstoši AML IV direktīvas </w:t>
            </w:r>
            <w:r w:rsidR="00823DFE" w:rsidRPr="00451F5C">
              <w:rPr>
                <w:rFonts w:ascii="Times New Roman" w:hAnsi="Times New Roman" w:cs="Times New Roman"/>
                <w:sz w:val="24"/>
                <w:szCs w:val="24"/>
              </w:rPr>
              <w:t xml:space="preserve">53.panta 1.punktam,nosakot, ka Kontroles dienests saskaņā ar NILLTFNL 30.pantu saņem ziņojumu, kas attiecas uz citu dalībvalsti, tā šo ziņojumu nekavējoties </w:t>
            </w:r>
            <w:proofErr w:type="spellStart"/>
            <w:r w:rsidR="00823DFE" w:rsidRPr="00451F5C">
              <w:rPr>
                <w:rFonts w:ascii="Times New Roman" w:hAnsi="Times New Roman" w:cs="Times New Roman"/>
                <w:sz w:val="24"/>
                <w:szCs w:val="24"/>
              </w:rPr>
              <w:t>pārsūta</w:t>
            </w:r>
            <w:proofErr w:type="spellEnd"/>
            <w:r w:rsidR="00823DFE" w:rsidRPr="00451F5C">
              <w:rPr>
                <w:rFonts w:ascii="Times New Roman" w:hAnsi="Times New Roman" w:cs="Times New Roman"/>
                <w:sz w:val="24"/>
                <w:szCs w:val="24"/>
              </w:rPr>
              <w:t xml:space="preserve"> </w:t>
            </w:r>
            <w:r w:rsidR="00823DFE" w:rsidRPr="00451F5C">
              <w:rPr>
                <w:rFonts w:ascii="Times New Roman" w:hAnsi="Times New Roman" w:cs="Times New Roman"/>
                <w:sz w:val="24"/>
                <w:szCs w:val="24"/>
              </w:rPr>
              <w:lastRenderedPageBreak/>
              <w:t xml:space="preserve">attiecīgās dalībvalsts pilnvarotai </w:t>
            </w:r>
            <w:r w:rsidR="00695517" w:rsidRPr="00451F5C">
              <w:rPr>
                <w:rFonts w:ascii="Times New Roman" w:hAnsi="Times New Roman" w:cs="Times New Roman"/>
                <w:sz w:val="24"/>
                <w:szCs w:val="24"/>
              </w:rPr>
              <w:t>iestādei, kuras</w:t>
            </w:r>
            <w:r w:rsidR="00823DFE" w:rsidRPr="00451F5C">
              <w:rPr>
                <w:rFonts w:ascii="Times New Roman" w:hAnsi="Times New Roman" w:cs="Times New Roman"/>
                <w:sz w:val="24"/>
                <w:szCs w:val="24"/>
              </w:rPr>
              <w:t xml:space="preserve"> pienākumi pēc būtības ir līdzīgi Kontroles dienesta pienākumiem.</w:t>
            </w:r>
          </w:p>
          <w:p w:rsidR="00CD5D6D" w:rsidRPr="00451F5C" w:rsidRDefault="00CD5D6D" w:rsidP="00C31C47">
            <w:pPr>
              <w:spacing w:after="0" w:line="240" w:lineRule="auto"/>
              <w:jc w:val="both"/>
              <w:rPr>
                <w:rFonts w:ascii="Times New Roman" w:hAnsi="Times New Roman" w:cs="Times New Roman"/>
                <w:sz w:val="24"/>
                <w:szCs w:val="24"/>
                <w:u w:val="single"/>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307A71" w:rsidRPr="00451F5C">
              <w:rPr>
                <w:rFonts w:ascii="Times New Roman" w:hAnsi="Times New Roman" w:cs="Times New Roman"/>
                <w:sz w:val="24"/>
                <w:szCs w:val="24"/>
                <w:u w:val="single"/>
              </w:rPr>
              <w:t>50</w:t>
            </w:r>
            <w:r w:rsidRPr="00451F5C">
              <w:rPr>
                <w:rFonts w:ascii="Times New Roman" w:hAnsi="Times New Roman" w:cs="Times New Roman"/>
                <w:sz w:val="24"/>
                <w:szCs w:val="24"/>
                <w:u w:val="single"/>
              </w:rPr>
              <w:t>.pants:</w:t>
            </w:r>
          </w:p>
          <w:p w:rsidR="00317108" w:rsidRPr="00451F5C" w:rsidRDefault="00D013CB" w:rsidP="00C31C47">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sz w:val="24"/>
                <w:szCs w:val="24"/>
              </w:rPr>
              <w:t>NILLTFNL 78.panta pirmās daļas 4.punktā lietotie termini “apturēt darbību” un “pārtraukt darbību” nav NILLTFNL skaidroti, tāpēc ir nepieciešams šo tiesību normu precizēt. No prakses attiecībā uz nodokļu administrēšanu efektīvs līdzeklis likuma subjektu disciplinēšanai ir NILLTFNL subjekta saimnieciskās darbības apturēšana. Lai Valsts ieņēmumu dienests varētu piemērot vienu no soda sankcijām – saimnieciskās darbības apturēšana attiecībā uz NILLTFNL prasību izpildi, tādējādi ierobežojot NILLTFNL subjekta darbību līdz pārkāpuma novēršanai, NILLTFNL subjektam, kurš ir izdarījis būtisku normatīvo aktu pārkāpumu (piemēram, NILLTFNL subjekts nesniedz Valsts ieņēmumu dienestam pieprasīto informāciju). Tiek precizēta un līdz ar to arī papildināt</w:t>
            </w:r>
            <w:r w:rsidR="00684992">
              <w:rPr>
                <w:rFonts w:ascii="Times New Roman" w:hAnsi="Times New Roman" w:cs="Times New Roman"/>
                <w:sz w:val="24"/>
                <w:szCs w:val="24"/>
              </w:rPr>
              <w:t>a</w:t>
            </w:r>
            <w:r w:rsidRPr="00451F5C">
              <w:rPr>
                <w:rFonts w:ascii="Times New Roman" w:hAnsi="Times New Roman" w:cs="Times New Roman"/>
                <w:sz w:val="24"/>
                <w:szCs w:val="24"/>
              </w:rPr>
              <w:t xml:space="preserve"> NILLTFNL 78.pant</w:t>
            </w:r>
            <w:r w:rsidR="00684992">
              <w:rPr>
                <w:rFonts w:ascii="Times New Roman" w:hAnsi="Times New Roman" w:cs="Times New Roman"/>
                <w:sz w:val="24"/>
                <w:szCs w:val="24"/>
              </w:rPr>
              <w:t>a pirmās daļas 4.punktā norādītā</w:t>
            </w:r>
            <w:r w:rsidRPr="00451F5C">
              <w:rPr>
                <w:rFonts w:ascii="Times New Roman" w:hAnsi="Times New Roman" w:cs="Times New Roman"/>
                <w:sz w:val="24"/>
                <w:szCs w:val="24"/>
              </w:rPr>
              <w:t xml:space="preserve"> soda sankcij</w:t>
            </w:r>
            <w:r w:rsidR="00684992">
              <w:rPr>
                <w:rFonts w:ascii="Times New Roman" w:hAnsi="Times New Roman" w:cs="Times New Roman"/>
                <w:sz w:val="24"/>
                <w:szCs w:val="24"/>
              </w:rPr>
              <w:t>a</w:t>
            </w:r>
            <w:r w:rsidRPr="00451F5C">
              <w:rPr>
                <w:rFonts w:ascii="Times New Roman" w:hAnsi="Times New Roman" w:cs="Times New Roman"/>
                <w:sz w:val="24"/>
                <w:szCs w:val="24"/>
              </w:rPr>
              <w:t xml:space="preserve">  ar  Valsts ieņēmumu dienesta tiesībām apturēt subjekta saimniecisko darbību, piemērot liegumu izmaiņu reģistrācijai komercreģistrā komercsabiedrības reorganizācijai un dalībnieku maiņai</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un do</w:t>
            </w:r>
            <w:r w:rsidR="00684992">
              <w:rPr>
                <w:rFonts w:ascii="Times New Roman" w:hAnsi="Times New Roman" w:cs="Times New Roman"/>
                <w:sz w:val="24"/>
                <w:szCs w:val="24"/>
              </w:rPr>
              <w:t>t</w:t>
            </w:r>
            <w:r w:rsidRPr="00451F5C">
              <w:rPr>
                <w:rFonts w:ascii="Times New Roman" w:hAnsi="Times New Roman" w:cs="Times New Roman"/>
                <w:sz w:val="24"/>
                <w:szCs w:val="24"/>
              </w:rPr>
              <w:t xml:space="preserve"> kredītiestādēm vai maksājumu pakalpojumu sniedzējiem rīkojumus par NILLTFNL subjekta norēķinu operāciju daļēju vai pilnīgu apturēšanu. </w:t>
            </w:r>
          </w:p>
          <w:p w:rsidR="00D013CB" w:rsidRPr="00451F5C" w:rsidRDefault="00D013CB" w:rsidP="00C31C47">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sz w:val="24"/>
                <w:szCs w:val="24"/>
              </w:rPr>
              <w:t xml:space="preserve">  </w:t>
            </w:r>
          </w:p>
          <w:p w:rsidR="00D013CB" w:rsidRPr="00451F5C" w:rsidRDefault="00F16DF8"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51</w:t>
            </w:r>
            <w:r w:rsidR="00D013CB" w:rsidRPr="00451F5C">
              <w:rPr>
                <w:rFonts w:ascii="Times New Roman" w:hAnsi="Times New Roman" w:cs="Times New Roman"/>
                <w:sz w:val="24"/>
                <w:szCs w:val="24"/>
                <w:u w:val="single"/>
              </w:rPr>
              <w:t>.pants:</w:t>
            </w:r>
          </w:p>
          <w:p w:rsidR="0074329A" w:rsidRDefault="004510ED"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novērstu gadījumus, kad darbinieki, kuri ir ziņojuši p</w:t>
            </w:r>
            <w:r w:rsidR="00853DD0" w:rsidRPr="00451F5C">
              <w:rPr>
                <w:rFonts w:ascii="Times New Roman" w:hAnsi="Times New Roman" w:cs="Times New Roman"/>
                <w:sz w:val="24"/>
                <w:szCs w:val="24"/>
              </w:rPr>
              <w:t xml:space="preserve">ar savām aizdomām attiecībā uz </w:t>
            </w:r>
            <w:r w:rsidRPr="00451F5C">
              <w:rPr>
                <w:rFonts w:ascii="Times New Roman" w:hAnsi="Times New Roman" w:cs="Times New Roman"/>
                <w:sz w:val="24"/>
                <w:szCs w:val="24"/>
              </w:rPr>
              <w:t>noziedzīgi iegūtu līdzekļu legalizēšanu, ir tikuši pakļauti draudiem vai naidīgām darbībām,  kā arī</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lai n</w:t>
            </w:r>
            <w:r w:rsidR="00684992">
              <w:rPr>
                <w:rFonts w:ascii="Times New Roman" w:hAnsi="Times New Roman" w:cs="Times New Roman"/>
                <w:sz w:val="24"/>
                <w:szCs w:val="24"/>
              </w:rPr>
              <w:t>oziedzīgi</w:t>
            </w:r>
            <w:r w:rsidRPr="00451F5C">
              <w:rPr>
                <w:rFonts w:ascii="Times New Roman" w:hAnsi="Times New Roman" w:cs="Times New Roman"/>
                <w:sz w:val="24"/>
                <w:szCs w:val="24"/>
              </w:rPr>
              <w:t xml:space="preserve"> iegūtu līdzekļu legalizēšanas un teroristu finansēšanas novēršanas sistēma darbotos efektīvi</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ir izstrādāts likumprojekta </w:t>
            </w:r>
            <w:r w:rsidR="000F5814">
              <w:rPr>
                <w:rFonts w:ascii="Times New Roman" w:hAnsi="Times New Roman" w:cs="Times New Roman"/>
                <w:sz w:val="24"/>
                <w:szCs w:val="24"/>
              </w:rPr>
              <w:t>51</w:t>
            </w:r>
            <w:r w:rsidRPr="00451F5C">
              <w:rPr>
                <w:rFonts w:ascii="Times New Roman" w:hAnsi="Times New Roman" w:cs="Times New Roman"/>
                <w:sz w:val="24"/>
                <w:szCs w:val="24"/>
              </w:rPr>
              <w:t>.pants. Ir jāapzinās  problēma, kad</w:t>
            </w:r>
            <w:r w:rsidR="000F5814">
              <w:rPr>
                <w:rFonts w:ascii="Times New Roman" w:hAnsi="Times New Roman" w:cs="Times New Roman"/>
                <w:sz w:val="24"/>
                <w:szCs w:val="24"/>
              </w:rPr>
              <w:t xml:space="preserve"> tiek vērsti draudi pret personu</w:t>
            </w:r>
            <w:r w:rsidRPr="00451F5C">
              <w:rPr>
                <w:rFonts w:ascii="Times New Roman" w:hAnsi="Times New Roman" w:cs="Times New Roman"/>
                <w:sz w:val="24"/>
                <w:szCs w:val="24"/>
              </w:rPr>
              <w:t>, kura sniegusi ziņas par iespējamo  noziedzīgi iegūtu līdzekļu legalizāciju vai terorisma finansēšanu</w:t>
            </w:r>
            <w:r w:rsidR="00B96086">
              <w:rPr>
                <w:rFonts w:ascii="Times New Roman" w:hAnsi="Times New Roman" w:cs="Times New Roman"/>
                <w:sz w:val="24"/>
                <w:szCs w:val="24"/>
              </w:rPr>
              <w:t>,</w:t>
            </w:r>
            <w:r w:rsidRPr="00451F5C">
              <w:rPr>
                <w:rFonts w:ascii="Times New Roman" w:hAnsi="Times New Roman" w:cs="Times New Roman"/>
                <w:sz w:val="24"/>
                <w:szCs w:val="24"/>
              </w:rPr>
              <w:t xml:space="preserve"> un ir jādara viss iespējamais, lai aizsargātu person</w:t>
            </w:r>
            <w:r w:rsidR="000F5814">
              <w:rPr>
                <w:rFonts w:ascii="Times New Roman" w:hAnsi="Times New Roman" w:cs="Times New Roman"/>
                <w:sz w:val="24"/>
                <w:szCs w:val="24"/>
              </w:rPr>
              <w:t>u</w:t>
            </w:r>
            <w:r w:rsidRPr="00451F5C">
              <w:rPr>
                <w:rFonts w:ascii="Times New Roman" w:hAnsi="Times New Roman" w:cs="Times New Roman"/>
                <w:sz w:val="24"/>
                <w:szCs w:val="24"/>
              </w:rPr>
              <w:t>, tostarp</w:t>
            </w:r>
            <w:r w:rsidR="00B96086">
              <w:rPr>
                <w:rFonts w:ascii="Times New Roman" w:hAnsi="Times New Roman" w:cs="Times New Roman"/>
                <w:sz w:val="24"/>
                <w:szCs w:val="24"/>
              </w:rPr>
              <w:t>,</w:t>
            </w:r>
            <w:r w:rsidRPr="00451F5C">
              <w:rPr>
                <w:rFonts w:ascii="Times New Roman" w:hAnsi="Times New Roman" w:cs="Times New Roman"/>
                <w:sz w:val="24"/>
                <w:szCs w:val="24"/>
              </w:rPr>
              <w:t xml:space="preserve"> NILLTFNL subjekta darbiniekus un pārstāvjus, no šādiem draudiem vai naidīgām darbībām, un jānodrošina šādām personām pienācīga </w:t>
            </w:r>
            <w:r w:rsidR="00B96086">
              <w:rPr>
                <w:rFonts w:ascii="Times New Roman" w:hAnsi="Times New Roman" w:cs="Times New Roman"/>
                <w:sz w:val="24"/>
                <w:szCs w:val="24"/>
              </w:rPr>
              <w:t>aizsardzība saskaņā ar NILLTFNL</w:t>
            </w:r>
            <w:r w:rsidRPr="00451F5C">
              <w:rPr>
                <w:rFonts w:ascii="Times New Roman" w:hAnsi="Times New Roman" w:cs="Times New Roman"/>
                <w:sz w:val="24"/>
                <w:szCs w:val="24"/>
              </w:rPr>
              <w:t>, jo īpaši</w:t>
            </w:r>
            <w:r w:rsidR="00B96086">
              <w:rPr>
                <w:rFonts w:ascii="Times New Roman" w:hAnsi="Times New Roman" w:cs="Times New Roman"/>
                <w:sz w:val="24"/>
                <w:szCs w:val="24"/>
              </w:rPr>
              <w:t>,</w:t>
            </w:r>
            <w:r w:rsidRPr="00451F5C">
              <w:rPr>
                <w:rFonts w:ascii="Times New Roman" w:hAnsi="Times New Roman" w:cs="Times New Roman"/>
                <w:sz w:val="24"/>
                <w:szCs w:val="24"/>
              </w:rPr>
              <w:t xml:space="preserve"> attiecībā uz to tiesībām uz savu personas datu aizsardzību un to tiesībām uz efektīvu tiesisko a</w:t>
            </w:r>
            <w:r w:rsidR="00AC039D" w:rsidRPr="00451F5C">
              <w:rPr>
                <w:rFonts w:ascii="Times New Roman" w:hAnsi="Times New Roman" w:cs="Times New Roman"/>
                <w:sz w:val="24"/>
                <w:szCs w:val="24"/>
              </w:rPr>
              <w:t>izsardzību un pārstāvību tiesā.</w:t>
            </w:r>
          </w:p>
          <w:p w:rsidR="001509FB" w:rsidRDefault="001509FB" w:rsidP="00644EAD">
            <w:pPr>
              <w:spacing w:after="0" w:line="240" w:lineRule="auto"/>
              <w:jc w:val="both"/>
              <w:rPr>
                <w:rFonts w:ascii="Times New Roman" w:hAnsi="Times New Roman" w:cs="Times New Roman"/>
                <w:sz w:val="24"/>
                <w:szCs w:val="24"/>
              </w:rPr>
            </w:pPr>
          </w:p>
          <w:p w:rsidR="00644EAD" w:rsidRDefault="00644EAD" w:rsidP="00644EAD">
            <w:pPr>
              <w:spacing w:after="0" w:line="240" w:lineRule="auto"/>
              <w:jc w:val="both"/>
              <w:rPr>
                <w:rFonts w:ascii="Times New Roman" w:hAnsi="Times New Roman" w:cs="Times New Roman"/>
                <w:sz w:val="24"/>
                <w:szCs w:val="24"/>
                <w:u w:val="single"/>
              </w:rPr>
            </w:pPr>
            <w:r w:rsidRPr="00644EAD">
              <w:rPr>
                <w:rFonts w:ascii="Times New Roman" w:hAnsi="Times New Roman" w:cs="Times New Roman"/>
                <w:sz w:val="24"/>
                <w:szCs w:val="24"/>
                <w:u w:val="single"/>
              </w:rPr>
              <w:t>Likumprojekta 52.pants:</w:t>
            </w:r>
          </w:p>
          <w:p w:rsidR="00644EAD" w:rsidRPr="00644EAD" w:rsidRDefault="00644EAD" w:rsidP="00644EAD">
            <w:pPr>
              <w:spacing w:after="0" w:line="240" w:lineRule="auto"/>
              <w:ind w:firstLine="391"/>
              <w:jc w:val="both"/>
              <w:rPr>
                <w:rFonts w:ascii="Times New Roman" w:hAnsi="Times New Roman" w:cs="Times New Roman"/>
                <w:sz w:val="24"/>
                <w:szCs w:val="24"/>
              </w:rPr>
            </w:pPr>
            <w:r w:rsidRPr="00644EAD">
              <w:rPr>
                <w:rFonts w:ascii="Times New Roman" w:hAnsi="Times New Roman" w:cs="Times New Roman"/>
                <w:sz w:val="24"/>
                <w:szCs w:val="24"/>
              </w:rPr>
              <w:lastRenderedPageBreak/>
              <w:t xml:space="preserve">Ietver pārejas noteikumus </w:t>
            </w:r>
            <w:r>
              <w:rPr>
                <w:rFonts w:ascii="Times New Roman" w:hAnsi="Times New Roman" w:cs="Times New Roman"/>
                <w:sz w:val="24"/>
                <w:szCs w:val="24"/>
              </w:rPr>
              <w:t>atbilstoši NILLTFNL grozījumiem.</w:t>
            </w:r>
          </w:p>
          <w:p w:rsidR="00B02B5E" w:rsidRDefault="00B02B5E" w:rsidP="00C31C47">
            <w:pPr>
              <w:spacing w:after="0" w:line="240" w:lineRule="auto"/>
              <w:jc w:val="both"/>
              <w:rPr>
                <w:rFonts w:ascii="Times New Roman" w:hAnsi="Times New Roman" w:cs="Times New Roman"/>
                <w:sz w:val="24"/>
                <w:szCs w:val="24"/>
                <w:u w:val="single"/>
              </w:rPr>
            </w:pPr>
          </w:p>
          <w:p w:rsidR="00D013CB" w:rsidRPr="00B02B5E" w:rsidRDefault="00D013CB" w:rsidP="00C31C47">
            <w:pPr>
              <w:spacing w:after="0" w:line="240" w:lineRule="auto"/>
              <w:jc w:val="both"/>
              <w:rPr>
                <w:rFonts w:ascii="Times New Roman" w:hAnsi="Times New Roman" w:cs="Times New Roman"/>
                <w:sz w:val="24"/>
                <w:szCs w:val="24"/>
                <w:u w:val="single"/>
              </w:rPr>
            </w:pPr>
            <w:r w:rsidRPr="00B02B5E">
              <w:rPr>
                <w:rFonts w:ascii="Times New Roman" w:hAnsi="Times New Roman" w:cs="Times New Roman"/>
                <w:sz w:val="24"/>
                <w:szCs w:val="24"/>
                <w:u w:val="single"/>
              </w:rPr>
              <w:t xml:space="preserve">Likumprojekta </w:t>
            </w:r>
            <w:r w:rsidR="001509FB" w:rsidRPr="00B02B5E">
              <w:rPr>
                <w:rFonts w:ascii="Times New Roman" w:hAnsi="Times New Roman" w:cs="Times New Roman"/>
                <w:sz w:val="24"/>
                <w:szCs w:val="24"/>
                <w:u w:val="single"/>
              </w:rPr>
              <w:t>53</w:t>
            </w:r>
            <w:r w:rsidRPr="00B02B5E">
              <w:rPr>
                <w:rFonts w:ascii="Times New Roman" w:hAnsi="Times New Roman" w:cs="Times New Roman"/>
                <w:sz w:val="24"/>
                <w:szCs w:val="24"/>
                <w:u w:val="single"/>
              </w:rPr>
              <w:t>.pants:</w:t>
            </w:r>
          </w:p>
          <w:p w:rsidR="00F675A7" w:rsidRPr="00451F5C" w:rsidRDefault="00D013CB" w:rsidP="00F00E4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Paredz papildināt </w:t>
            </w:r>
            <w:r w:rsidR="00B96086">
              <w:rPr>
                <w:rFonts w:ascii="Times New Roman" w:hAnsi="Times New Roman" w:cs="Times New Roman"/>
                <w:sz w:val="24"/>
                <w:szCs w:val="24"/>
              </w:rPr>
              <w:t xml:space="preserve">likumu ar </w:t>
            </w:r>
            <w:r w:rsidRPr="00451F5C">
              <w:rPr>
                <w:rFonts w:ascii="Times New Roman" w:hAnsi="Times New Roman" w:cs="Times New Roman"/>
                <w:sz w:val="24"/>
                <w:szCs w:val="24"/>
              </w:rPr>
              <w:t>informa</w:t>
            </w:r>
            <w:r w:rsidR="00F00E48" w:rsidRPr="00451F5C">
              <w:rPr>
                <w:rFonts w:ascii="Times New Roman" w:hAnsi="Times New Roman" w:cs="Times New Roman"/>
                <w:sz w:val="24"/>
                <w:szCs w:val="24"/>
              </w:rPr>
              <w:t>tīv</w:t>
            </w:r>
            <w:r w:rsidR="00BA29E7">
              <w:rPr>
                <w:rFonts w:ascii="Times New Roman" w:hAnsi="Times New Roman" w:cs="Times New Roman"/>
                <w:sz w:val="24"/>
                <w:szCs w:val="24"/>
              </w:rPr>
              <w:t xml:space="preserve">o atsauci </w:t>
            </w:r>
            <w:r w:rsidR="00B96086">
              <w:rPr>
                <w:rFonts w:ascii="Times New Roman" w:hAnsi="Times New Roman" w:cs="Times New Roman"/>
                <w:sz w:val="24"/>
                <w:szCs w:val="24"/>
              </w:rPr>
              <w:t>uz</w:t>
            </w:r>
            <w:r w:rsidR="00BA29E7">
              <w:rPr>
                <w:rFonts w:ascii="Times New Roman" w:hAnsi="Times New Roman" w:cs="Times New Roman"/>
                <w:sz w:val="24"/>
                <w:szCs w:val="24"/>
              </w:rPr>
              <w:t xml:space="preserve"> AML V direktīvu.</w:t>
            </w:r>
          </w:p>
          <w:p w:rsidR="00F00E48" w:rsidRPr="00451F5C" w:rsidRDefault="00F00E48" w:rsidP="00B96086">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Vienlaikus līdz ar NILLTFNL grozījumiem tiek precizēts </w:t>
            </w:r>
            <w:r w:rsidR="00B96086">
              <w:rPr>
                <w:rFonts w:ascii="Times New Roman" w:hAnsi="Times New Roman" w:cs="Times New Roman"/>
                <w:sz w:val="24"/>
                <w:szCs w:val="24"/>
              </w:rPr>
              <w:t>Finanšu izlūkošanas dienesta</w:t>
            </w:r>
            <w:r w:rsidRPr="00451F5C">
              <w:rPr>
                <w:rFonts w:ascii="Times New Roman" w:hAnsi="Times New Roman" w:cs="Times New Roman"/>
                <w:sz w:val="24"/>
                <w:szCs w:val="24"/>
              </w:rPr>
              <w:t xml:space="preserve"> </w:t>
            </w:r>
            <w:r w:rsidR="00B96086">
              <w:rPr>
                <w:rFonts w:ascii="Times New Roman" w:hAnsi="Times New Roman" w:cs="Times New Roman"/>
                <w:sz w:val="24"/>
                <w:szCs w:val="24"/>
              </w:rPr>
              <w:t xml:space="preserve">(šobrīd- Kontroles dienesta) </w:t>
            </w:r>
            <w:r w:rsidRPr="00451F5C">
              <w:rPr>
                <w:rFonts w:ascii="Times New Roman" w:hAnsi="Times New Roman" w:cs="Times New Roman"/>
                <w:sz w:val="24"/>
                <w:szCs w:val="24"/>
              </w:rPr>
              <w:t xml:space="preserve">pienākumu </w:t>
            </w:r>
            <w:r w:rsidR="001509FB" w:rsidRPr="00451F5C">
              <w:rPr>
                <w:rFonts w:ascii="Times New Roman" w:hAnsi="Times New Roman" w:cs="Times New Roman"/>
                <w:sz w:val="24"/>
                <w:szCs w:val="24"/>
              </w:rPr>
              <w:t>apjoms, kā</w:t>
            </w:r>
            <w:r w:rsidRPr="00451F5C">
              <w:rPr>
                <w:rFonts w:ascii="Times New Roman" w:hAnsi="Times New Roman" w:cs="Times New Roman"/>
                <w:sz w:val="24"/>
                <w:szCs w:val="24"/>
              </w:rPr>
              <w:t xml:space="preserve"> arī </w:t>
            </w:r>
            <w:r w:rsidR="00B96086">
              <w:rPr>
                <w:rFonts w:ascii="Times New Roman" w:hAnsi="Times New Roman" w:cs="Times New Roman"/>
                <w:sz w:val="24"/>
                <w:szCs w:val="24"/>
              </w:rPr>
              <w:t>Finanšu izlūkošanas dienesta (šobrīd- Kontroles dienesta)</w:t>
            </w:r>
            <w:r w:rsidRPr="00451F5C">
              <w:rPr>
                <w:rFonts w:ascii="Times New Roman" w:hAnsi="Times New Roman" w:cs="Times New Roman"/>
                <w:sz w:val="24"/>
                <w:szCs w:val="24"/>
              </w:rPr>
              <w:t xml:space="preserve"> sadarbība ar valsts un pašvaldību institūcijām.</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F675A7" w:rsidRPr="00451F5C" w:rsidRDefault="00F21926" w:rsidP="00F219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Par likumprojekta izstrādi atbildīgā institūcija ir Finanšu ministrija, Tieslietu ministrija, Finanšu un kapitāla tirgus komisija</w:t>
            </w:r>
            <w:r w:rsidR="007208FD" w:rsidRPr="00451F5C">
              <w:rPr>
                <w:rFonts w:ascii="Times New Roman" w:eastAsia="Times New Roman" w:hAnsi="Times New Roman" w:cs="Times New Roman"/>
                <w:sz w:val="24"/>
                <w:szCs w:val="24"/>
                <w:lang w:eastAsia="lv-LV"/>
              </w:rPr>
              <w:t>, Kontroles dienests.</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F675A7" w:rsidRPr="00451F5C" w:rsidRDefault="00D75E0B" w:rsidP="00F675A7">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Nav</w:t>
            </w:r>
            <w:r w:rsidR="00B96086">
              <w:rPr>
                <w:rFonts w:ascii="Times New Roman" w:eastAsia="Times New Roman" w:hAnsi="Times New Roman" w:cs="Times New Roman"/>
                <w:sz w:val="24"/>
                <w:szCs w:val="24"/>
                <w:lang w:eastAsia="lv-LV"/>
              </w:rPr>
              <w:t>.</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Sabiedrības </w:t>
            </w:r>
            <w:proofErr w:type="spellStart"/>
            <w:r w:rsidRPr="00451F5C">
              <w:rPr>
                <w:rFonts w:ascii="Times New Roman" w:eastAsia="Times New Roman" w:hAnsi="Times New Roman" w:cs="Times New Roman"/>
                <w:iCs/>
                <w:color w:val="414142"/>
                <w:sz w:val="24"/>
                <w:szCs w:val="24"/>
                <w:lang w:eastAsia="lv-LV"/>
              </w:rPr>
              <w:t>mērķgrupas</w:t>
            </w:r>
            <w:proofErr w:type="spellEnd"/>
            <w:r w:rsidRPr="00451F5C">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D74DA6" w:rsidP="00453D9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Likumprojekts ietekmēs NILLTFNL 3.pantā noteiktos subjektus</w:t>
            </w:r>
            <w:r w:rsidR="00453D96" w:rsidRPr="00451F5C">
              <w:rPr>
                <w:rFonts w:ascii="Times New Roman" w:eastAsia="Times New Roman" w:hAnsi="Times New Roman" w:cs="Times New Roman"/>
                <w:sz w:val="24"/>
                <w:szCs w:val="24"/>
                <w:lang w:eastAsia="lv-LV"/>
              </w:rPr>
              <w:t xml:space="preserve"> kā nodarbinātie, personas, kuras vēlēsies kļūt par kredītiestādēs noda</w:t>
            </w:r>
            <w:bookmarkStart w:id="0" w:name="_GoBack"/>
            <w:bookmarkEnd w:id="0"/>
            <w:r w:rsidR="00453D96" w:rsidRPr="00451F5C">
              <w:rPr>
                <w:rFonts w:ascii="Times New Roman" w:eastAsia="Times New Roman" w:hAnsi="Times New Roman" w:cs="Times New Roman"/>
                <w:sz w:val="24"/>
                <w:szCs w:val="24"/>
                <w:lang w:eastAsia="lv-LV"/>
              </w:rPr>
              <w:t>rbinātajiem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B744A" w:rsidRPr="00451F5C" w:rsidRDefault="000B744A" w:rsidP="000B744A">
            <w:pPr>
              <w:shd w:val="clear" w:color="auto" w:fill="FFFFFF"/>
              <w:spacing w:after="0" w:line="240" w:lineRule="auto"/>
              <w:jc w:val="both"/>
              <w:rPr>
                <w:rFonts w:ascii="Calibri" w:eastAsia="Times New Roman" w:hAnsi="Calibri" w:cs="Calibri"/>
                <w:color w:val="000000"/>
                <w:lang w:eastAsia="lv-LV"/>
              </w:rPr>
            </w:pPr>
            <w:r w:rsidRPr="00451F5C">
              <w:rPr>
                <w:rFonts w:ascii="Times New Roman" w:eastAsia="Times New Roman" w:hAnsi="Times New Roman" w:cs="Times New Roman"/>
                <w:color w:val="000000"/>
                <w:sz w:val="24"/>
                <w:szCs w:val="24"/>
                <w:lang w:eastAsia="lv-LV"/>
              </w:rPr>
              <w:t>Likumprojekts nodrošina finanšu sektora reputācijas uzlabošanu un drošību, kā arī vērsts uz finanšu noziegumu apkarošanu, kas pozitīvi ietekmēs tautsaimniecību kopumā.</w:t>
            </w:r>
          </w:p>
          <w:p w:rsidR="00E5323B" w:rsidRPr="00451F5C" w:rsidRDefault="000B744A" w:rsidP="00546AD3">
            <w:pPr>
              <w:shd w:val="clear" w:color="auto" w:fill="FFFFFF"/>
              <w:spacing w:after="0" w:line="240" w:lineRule="auto"/>
              <w:jc w:val="both"/>
              <w:rPr>
                <w:rFonts w:ascii="Calibri" w:eastAsia="Times New Roman" w:hAnsi="Calibri" w:cs="Calibri"/>
                <w:color w:val="000000"/>
                <w:lang w:eastAsia="lv-LV"/>
              </w:rPr>
            </w:pPr>
            <w:r w:rsidRPr="00451F5C">
              <w:rPr>
                <w:rFonts w:ascii="Times New Roman" w:eastAsia="Times New Roman" w:hAnsi="Times New Roman" w:cs="Times New Roman"/>
                <w:color w:val="000000"/>
                <w:sz w:val="24"/>
                <w:szCs w:val="24"/>
                <w:lang w:eastAsia="lv-LV"/>
              </w:rPr>
              <w:t xml:space="preserve">Likumprojekts rada administratīvo slogu NILLTFNL </w:t>
            </w:r>
            <w:r w:rsidR="00546AD3" w:rsidRPr="00451F5C">
              <w:rPr>
                <w:rFonts w:ascii="Times New Roman" w:eastAsia="Times New Roman" w:hAnsi="Times New Roman" w:cs="Times New Roman"/>
                <w:color w:val="000000"/>
                <w:sz w:val="24"/>
                <w:szCs w:val="24"/>
                <w:lang w:eastAsia="lv-LV"/>
              </w:rPr>
              <w:t>subjektiem</w:t>
            </w:r>
            <w:r w:rsidRPr="00451F5C">
              <w:rPr>
                <w:rFonts w:ascii="Times New Roman" w:eastAsia="Times New Roman" w:hAnsi="Times New Roman" w:cs="Times New Roman"/>
                <w:color w:val="000000"/>
                <w:sz w:val="24"/>
                <w:szCs w:val="24"/>
                <w:lang w:eastAsia="lv-LV"/>
              </w:rPr>
              <w:t>.</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562E27" w:rsidP="00F82E8B">
            <w:pPr>
              <w:spacing w:after="0" w:line="240" w:lineRule="auto"/>
              <w:jc w:val="both"/>
              <w:rPr>
                <w:rFonts w:ascii="Times New Roman" w:eastAsia="Times New Roman" w:hAnsi="Times New Roman" w:cs="Times New Roman"/>
                <w:color w:val="000000"/>
                <w:sz w:val="24"/>
                <w:szCs w:val="24"/>
                <w:lang w:eastAsia="lv-LV"/>
              </w:rPr>
            </w:pPr>
            <w:r w:rsidRPr="00451F5C">
              <w:rPr>
                <w:rFonts w:ascii="Times New Roman" w:eastAsia="Times New Roman" w:hAnsi="Times New Roman" w:cs="Times New Roman"/>
                <w:color w:val="000000"/>
                <w:sz w:val="24"/>
                <w:szCs w:val="24"/>
                <w:lang w:eastAsia="lv-LV"/>
              </w:rPr>
              <w:t>Monetāro izmaksu novērtējumu nav iespējams veikt</w:t>
            </w:r>
            <w:r w:rsidR="0093643E" w:rsidRPr="00451F5C">
              <w:rPr>
                <w:rFonts w:ascii="Times New Roman" w:eastAsia="Times New Roman" w:hAnsi="Times New Roman" w:cs="Times New Roman"/>
                <w:color w:val="000000"/>
                <w:sz w:val="24"/>
                <w:szCs w:val="24"/>
                <w:lang w:eastAsia="lv-LV"/>
              </w:rPr>
              <w:t>, jo nevar apzināties</w:t>
            </w:r>
            <w:r w:rsidR="00B96086">
              <w:rPr>
                <w:rFonts w:ascii="Times New Roman" w:eastAsia="Times New Roman" w:hAnsi="Times New Roman" w:cs="Times New Roman"/>
                <w:color w:val="000000"/>
                <w:sz w:val="24"/>
                <w:szCs w:val="24"/>
                <w:lang w:eastAsia="lv-LV"/>
              </w:rPr>
              <w:t>,</w:t>
            </w:r>
            <w:r w:rsidR="0093643E" w:rsidRPr="00451F5C">
              <w:rPr>
                <w:rFonts w:ascii="Times New Roman" w:eastAsia="Times New Roman" w:hAnsi="Times New Roman" w:cs="Times New Roman"/>
                <w:color w:val="000000"/>
                <w:sz w:val="24"/>
                <w:szCs w:val="24"/>
                <w:lang w:eastAsia="lv-LV"/>
              </w:rPr>
              <w:t xml:space="preserve"> cik liels NILLTFNL darbinieku skaits tiks pakļauts atbilstošās informācijas pārbaude</w:t>
            </w:r>
            <w:r w:rsidR="00B96086">
              <w:rPr>
                <w:rFonts w:ascii="Times New Roman" w:eastAsia="Times New Roman" w:hAnsi="Times New Roman" w:cs="Times New Roman"/>
                <w:color w:val="000000"/>
                <w:sz w:val="24"/>
                <w:szCs w:val="24"/>
                <w:lang w:eastAsia="lv-LV"/>
              </w:rPr>
              <w:t>i</w:t>
            </w:r>
            <w:r w:rsidR="0093643E" w:rsidRPr="00451F5C">
              <w:rPr>
                <w:rFonts w:ascii="Times New Roman" w:eastAsia="Times New Roman" w:hAnsi="Times New Roman" w:cs="Times New Roman"/>
                <w:color w:val="000000"/>
                <w:sz w:val="24"/>
                <w:szCs w:val="24"/>
                <w:lang w:eastAsia="lv-LV"/>
              </w:rPr>
              <w:t xml:space="preserve"> par atbilstību NILLTFNL jaunajām prasībām.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90539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color w:val="000000"/>
                <w:sz w:val="24"/>
                <w:szCs w:val="24"/>
                <w:lang w:eastAsia="lv-LV"/>
              </w:rPr>
              <w:t>Likumprojekts šo jomu neskar.</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90539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color w:val="000000"/>
                <w:sz w:val="24"/>
                <w:szCs w:val="24"/>
                <w:lang w:eastAsia="lv-LV"/>
              </w:rPr>
              <w:t>Nav.</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7"/>
        <w:gridCol w:w="960"/>
        <w:gridCol w:w="1054"/>
        <w:gridCol w:w="894"/>
        <w:gridCol w:w="1054"/>
        <w:gridCol w:w="927"/>
        <w:gridCol w:w="1054"/>
        <w:gridCol w:w="1115"/>
      </w:tblGrid>
      <w:tr w:rsidR="00E5323B" w:rsidRPr="00451F5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451F5C"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2019.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Turpmākie trīs gadi (</w:t>
            </w:r>
            <w:proofErr w:type="spellStart"/>
            <w:r w:rsidRPr="00451F5C">
              <w:rPr>
                <w:rFonts w:ascii="Times New Roman" w:eastAsia="Times New Roman" w:hAnsi="Times New Roman" w:cs="Times New Roman"/>
                <w:i/>
                <w:iCs/>
                <w:color w:val="414142"/>
                <w:sz w:val="24"/>
                <w:szCs w:val="24"/>
                <w:lang w:eastAsia="lv-LV"/>
              </w:rPr>
              <w:t>euro</w:t>
            </w:r>
            <w:proofErr w:type="spellEnd"/>
            <w:r w:rsidRPr="00451F5C">
              <w:rPr>
                <w:rFonts w:ascii="Times New Roman" w:eastAsia="Times New Roman" w:hAnsi="Times New Roman" w:cs="Times New Roman"/>
                <w:iCs/>
                <w:color w:val="414142"/>
                <w:sz w:val="24"/>
                <w:szCs w:val="24"/>
                <w:lang w:eastAsia="lv-LV"/>
              </w:rPr>
              <w:t>)</w:t>
            </w:r>
          </w:p>
        </w:tc>
      </w:tr>
      <w:tr w:rsidR="00E5323B" w:rsidRPr="00451F5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2020.gads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2021.gads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2022.gads</w:t>
            </w:r>
          </w:p>
        </w:tc>
      </w:tr>
      <w:tr w:rsidR="00E5323B" w:rsidRPr="00451F5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izmaiņas kārtējā gadā, salīdzinot ar valsts budžetu </w:t>
            </w:r>
            <w:r w:rsidRPr="00451F5C">
              <w:rPr>
                <w:rFonts w:ascii="Times New Roman" w:eastAsia="Times New Roman" w:hAnsi="Times New Roman" w:cs="Times New Roman"/>
                <w:iCs/>
                <w:color w:val="414142"/>
                <w:sz w:val="24"/>
                <w:szCs w:val="24"/>
                <w:lang w:eastAsia="lv-LV"/>
              </w:rPr>
              <w:lastRenderedPageBreak/>
              <w:t>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izmaiņas, salīdzinot ar vidēja termiņa budžeta ietvaru </w:t>
            </w:r>
            <w:r w:rsidRPr="00451F5C">
              <w:rPr>
                <w:rFonts w:ascii="Times New Roman" w:eastAsia="Times New Roman" w:hAnsi="Times New Roman" w:cs="Times New Roman"/>
                <w:iCs/>
                <w:color w:val="414142"/>
                <w:sz w:val="24"/>
                <w:szCs w:val="24"/>
                <w:lang w:eastAsia="lv-LV"/>
              </w:rPr>
              <w:lastRenderedPageBreak/>
              <w:t>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izmaiņas, salīdzinot ar vidēja termiņa budžeta ietvaru </w:t>
            </w:r>
            <w:r w:rsidRPr="00451F5C">
              <w:rPr>
                <w:rFonts w:ascii="Times New Roman" w:eastAsia="Times New Roman" w:hAnsi="Times New Roman" w:cs="Times New Roman"/>
                <w:iCs/>
                <w:color w:val="414142"/>
                <w:sz w:val="24"/>
                <w:szCs w:val="24"/>
                <w:lang w:eastAsia="lv-LV"/>
              </w:rPr>
              <w:lastRenderedPageBreak/>
              <w:t>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 xml:space="preserve">izmaiņas, salīdzinot ar vidēja termiņa budžeta ietvaru </w:t>
            </w:r>
            <w:r w:rsidRPr="00451F5C">
              <w:rPr>
                <w:rFonts w:ascii="Times New Roman" w:eastAsia="Times New Roman" w:hAnsi="Times New Roman" w:cs="Times New Roman"/>
                <w:iCs/>
                <w:color w:val="414142"/>
                <w:sz w:val="24"/>
                <w:szCs w:val="24"/>
                <w:lang w:eastAsia="lv-LV"/>
              </w:rPr>
              <w:lastRenderedPageBreak/>
              <w:t>n+2 gadam</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8</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52350C" w:rsidP="0052350C">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90551C" w:rsidP="00CC0D2D">
            <w:pPr>
              <w:spacing w:after="0" w:line="240" w:lineRule="auto"/>
              <w:jc w:val="center"/>
              <w:rPr>
                <w:rFonts w:ascii="Times New Roman" w:eastAsia="Times New Roman" w:hAnsi="Times New Roman" w:cs="Times New Roman"/>
                <w:iCs/>
                <w:color w:val="414142"/>
                <w:lang w:eastAsia="lv-LV"/>
              </w:rPr>
            </w:pPr>
            <w:r w:rsidRPr="00451F5C">
              <w:rPr>
                <w:rFonts w:ascii="Times New Roman" w:eastAsia="Times New Roman" w:hAnsi="Times New Roman" w:cs="Times New Roman"/>
                <w:lang w:eastAsia="lv-LV"/>
              </w:rPr>
              <w:lastRenderedPageBreak/>
              <w:t>-1 952 271</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1 952 271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6206C" w:rsidRPr="00451F5C" w:rsidRDefault="00D6206C" w:rsidP="00D6206C">
            <w:pPr>
              <w:spacing w:after="0" w:line="240" w:lineRule="auto"/>
              <w:jc w:val="both"/>
              <w:rPr>
                <w:rFonts w:ascii="Times New Roman" w:eastAsia="Times New Roman" w:hAnsi="Times New Roman"/>
                <w:sz w:val="24"/>
                <w:szCs w:val="24"/>
                <w:lang w:eastAsia="lv-LV"/>
              </w:rPr>
            </w:pPr>
            <w:r w:rsidRPr="00451F5C">
              <w:rPr>
                <w:rFonts w:ascii="Times New Roman" w:hAnsi="Times New Roman"/>
                <w:sz w:val="24"/>
                <w:szCs w:val="24"/>
              </w:rPr>
              <w:t xml:space="preserve">Lai nodrošinātu Likumprojektā noteikto normu izpildi Tieslietu ministrijai nepieciešams papildu finansējums  budžeta </w:t>
            </w:r>
            <w:r w:rsidRPr="00451F5C">
              <w:rPr>
                <w:rFonts w:ascii="Times New Roman" w:eastAsia="Times New Roman" w:hAnsi="Times New Roman"/>
                <w:sz w:val="24"/>
                <w:szCs w:val="24"/>
                <w:lang w:eastAsia="lv-LV"/>
              </w:rPr>
              <w:t xml:space="preserve">apakšprogrammā 06.01.00 "Juridisko personu reģistrācija” 2020.gadā 1 952 271 </w:t>
            </w:r>
            <w:proofErr w:type="spellStart"/>
            <w:r w:rsidRPr="00451F5C">
              <w:rPr>
                <w:rFonts w:ascii="Times New Roman" w:eastAsia="Times New Roman" w:hAnsi="Times New Roman"/>
                <w:i/>
                <w:sz w:val="24"/>
                <w:szCs w:val="24"/>
                <w:lang w:eastAsia="lv-LV"/>
              </w:rPr>
              <w:t>euro</w:t>
            </w:r>
            <w:proofErr w:type="spellEnd"/>
            <w:r w:rsidRPr="00451F5C">
              <w:rPr>
                <w:rFonts w:ascii="Times New Roman" w:eastAsia="Times New Roman" w:hAnsi="Times New Roman"/>
                <w:sz w:val="24"/>
                <w:szCs w:val="24"/>
                <w:lang w:eastAsia="lv-LV"/>
              </w:rPr>
              <w:t xml:space="preserve"> apmērā un 2021.gadā un turpmāk ik  gadu 1 391 002 </w:t>
            </w:r>
            <w:proofErr w:type="spellStart"/>
            <w:r w:rsidRPr="00451F5C">
              <w:rPr>
                <w:rFonts w:ascii="Times New Roman" w:eastAsia="Times New Roman" w:hAnsi="Times New Roman"/>
                <w:i/>
                <w:sz w:val="24"/>
                <w:szCs w:val="24"/>
                <w:lang w:eastAsia="lv-LV"/>
              </w:rPr>
              <w:t>euro</w:t>
            </w:r>
            <w:proofErr w:type="spellEnd"/>
            <w:r w:rsidRPr="00451F5C">
              <w:rPr>
                <w:rFonts w:ascii="Times New Roman" w:eastAsia="Times New Roman" w:hAnsi="Times New Roman"/>
                <w:sz w:val="24"/>
                <w:szCs w:val="24"/>
                <w:lang w:eastAsia="lv-LV"/>
              </w:rPr>
              <w:t xml:space="preserve"> apmērā (detalizēts aprēķins pievienots anotācijas pielikumā)</w:t>
            </w:r>
          </w:p>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451F5C" w:rsidRDefault="002E11C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23</w:t>
            </w:r>
            <w:r w:rsidR="008F4449" w:rsidRPr="00451F5C">
              <w:rPr>
                <w:rFonts w:ascii="Times New Roman" w:eastAsia="Times New Roman" w:hAnsi="Times New Roman" w:cs="Times New Roman"/>
                <w:sz w:val="24"/>
                <w:szCs w:val="24"/>
                <w:lang w:eastAsia="lv-LV"/>
              </w:rPr>
              <w:t xml:space="preserve"> amata vieta (atbilstoši anotācijas pielikumam Nr.2).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542922" w:rsidRPr="00451F5C" w:rsidRDefault="00D6206C" w:rsidP="00B96086">
            <w:pPr>
              <w:spacing w:after="0" w:line="240" w:lineRule="auto"/>
              <w:jc w:val="both"/>
              <w:rPr>
                <w:rFonts w:ascii="Times New Roman" w:hAnsi="Times New Roman"/>
                <w:sz w:val="24"/>
                <w:szCs w:val="24"/>
              </w:rPr>
            </w:pPr>
            <w:r w:rsidRPr="00451F5C">
              <w:rPr>
                <w:rFonts w:ascii="Times New Roman" w:eastAsia="Times New Roman" w:hAnsi="Times New Roman" w:cs="Times New Roman"/>
                <w:sz w:val="24"/>
                <w:szCs w:val="24"/>
                <w:lang w:eastAsia="lv-LV"/>
              </w:rPr>
              <w:t>Jautājumu par papildu nepieciešamā finansējuma piešķiršanu Tieslietu ministrijai (</w:t>
            </w:r>
            <w:r w:rsidRPr="00451F5C">
              <w:rPr>
                <w:rFonts w:ascii="Times New Roman" w:eastAsia="Times New Roman" w:hAnsi="Times New Roman"/>
                <w:sz w:val="24"/>
                <w:szCs w:val="24"/>
                <w:lang w:eastAsia="lv-LV"/>
              </w:rPr>
              <w:t>Uzņēmumu reģistram</w:t>
            </w:r>
            <w:r w:rsidRPr="00451F5C">
              <w:rPr>
                <w:rFonts w:ascii="Times New Roman" w:eastAsia="Times New Roman" w:hAnsi="Times New Roman" w:cs="Times New Roman"/>
                <w:sz w:val="24"/>
                <w:szCs w:val="24"/>
                <w:lang w:eastAsia="lv-LV"/>
              </w:rPr>
              <w:t xml:space="preserve">) 2020. gadam </w:t>
            </w:r>
            <w:r w:rsidRPr="00451F5C">
              <w:rPr>
                <w:rFonts w:ascii="Times New Roman" w:eastAsia="Times New Roman" w:hAnsi="Times New Roman"/>
                <w:sz w:val="24"/>
                <w:szCs w:val="24"/>
                <w:lang w:eastAsia="lv-LV"/>
              </w:rPr>
              <w:t>1 952 271</w:t>
            </w:r>
            <w:r w:rsidRPr="00451F5C">
              <w:rPr>
                <w:rFonts w:ascii="Times New Roman" w:eastAsia="Times New Roman" w:hAnsi="Times New Roman" w:cs="Times New Roman"/>
                <w:sz w:val="24"/>
                <w:szCs w:val="24"/>
                <w:lang w:eastAsia="lv-LV"/>
              </w:rPr>
              <w:t> </w:t>
            </w:r>
            <w:proofErr w:type="spellStart"/>
            <w:r w:rsidRPr="00451F5C">
              <w:rPr>
                <w:rFonts w:ascii="Times New Roman" w:eastAsia="Times New Roman" w:hAnsi="Times New Roman" w:cs="Times New Roman"/>
                <w:i/>
                <w:sz w:val="24"/>
                <w:szCs w:val="24"/>
                <w:lang w:eastAsia="lv-LV"/>
              </w:rPr>
              <w:t>euro</w:t>
            </w:r>
            <w:proofErr w:type="spellEnd"/>
            <w:r w:rsidRPr="00451F5C">
              <w:rPr>
                <w:rFonts w:ascii="Times New Roman" w:eastAsia="Times New Roman" w:hAnsi="Times New Roman" w:cs="Times New Roman"/>
                <w:sz w:val="24"/>
                <w:szCs w:val="24"/>
                <w:lang w:eastAsia="lv-LV"/>
              </w:rPr>
              <w:t xml:space="preserve"> apmērā </w:t>
            </w:r>
            <w:r w:rsidRPr="00451F5C">
              <w:rPr>
                <w:rFonts w:ascii="Times New Roman" w:eastAsia="Times New Roman" w:hAnsi="Times New Roman"/>
                <w:sz w:val="24"/>
                <w:szCs w:val="24"/>
                <w:lang w:eastAsia="lv-LV"/>
              </w:rPr>
              <w:t xml:space="preserve">un 2021.gadā un turpmāk ik gadu 1 391 002 </w:t>
            </w:r>
            <w:proofErr w:type="spellStart"/>
            <w:r w:rsidRPr="00451F5C">
              <w:rPr>
                <w:rFonts w:ascii="Times New Roman" w:eastAsia="Times New Roman" w:hAnsi="Times New Roman"/>
                <w:i/>
                <w:sz w:val="24"/>
                <w:szCs w:val="24"/>
                <w:lang w:eastAsia="lv-LV"/>
              </w:rPr>
              <w:t>euro</w:t>
            </w:r>
            <w:proofErr w:type="spellEnd"/>
            <w:r w:rsidRPr="00451F5C">
              <w:rPr>
                <w:rFonts w:ascii="Times New Roman" w:eastAsia="Times New Roman" w:hAnsi="Times New Roman" w:cs="Times New Roman"/>
                <w:sz w:val="24"/>
                <w:szCs w:val="24"/>
                <w:lang w:eastAsia="lv-LV"/>
              </w:rPr>
              <w:t xml:space="preserve"> apmērā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451F5C" w:rsidTr="003278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D5F4A" w:rsidRDefault="00E5323B" w:rsidP="00E5323B">
            <w:pPr>
              <w:spacing w:after="0" w:line="240" w:lineRule="auto"/>
              <w:rPr>
                <w:rFonts w:ascii="Times New Roman" w:eastAsia="Times New Roman" w:hAnsi="Times New Roman" w:cs="Times New Roman"/>
                <w:szCs w:val="24"/>
                <w:lang w:eastAsia="lv-LV"/>
              </w:rPr>
            </w:pPr>
            <w:r w:rsidRPr="006D5F4A">
              <w:rPr>
                <w:rFonts w:ascii="Times New Roman" w:eastAsia="Times New Roman" w:hAnsi="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6D5F4A" w:rsidP="0044366A">
            <w:pPr>
              <w:spacing w:after="0" w:line="240" w:lineRule="auto"/>
              <w:ind w:firstLine="249"/>
              <w:jc w:val="both"/>
              <w:rPr>
                <w:rFonts w:ascii="Times New Roman" w:eastAsia="Times New Roman" w:hAnsi="Times New Roman" w:cs="Times New Roman"/>
                <w:szCs w:val="24"/>
                <w:lang w:eastAsia="lv-LV"/>
              </w:rPr>
            </w:pPr>
            <w:r w:rsidRPr="006D5F4A">
              <w:rPr>
                <w:rFonts w:ascii="Times New Roman" w:eastAsia="Times New Roman" w:hAnsi="Times New Roman" w:cs="Times New Roman"/>
                <w:szCs w:val="24"/>
                <w:lang w:eastAsia="lv-LV"/>
              </w:rPr>
              <w:t>Ir jāveic grozījumi normatīvajos aktos, kuros ir lietots nosaukums “Noziedzīgi iegūtu līdzekļu legalizācijas dienests” vai “Kontroles dienests”.</w:t>
            </w:r>
            <w:r>
              <w:rPr>
                <w:rFonts w:ascii="Times New Roman" w:eastAsia="Times New Roman" w:hAnsi="Times New Roman" w:cs="Times New Roman"/>
                <w:szCs w:val="24"/>
                <w:lang w:eastAsia="lv-LV"/>
              </w:rPr>
              <w:t xml:space="preserve"> </w:t>
            </w:r>
          </w:p>
          <w:p w:rsidR="0044366A" w:rsidRDefault="0044366A" w:rsidP="0044366A">
            <w:pPr>
              <w:pStyle w:val="NoSpacing"/>
              <w:ind w:firstLine="249"/>
              <w:jc w:val="both"/>
              <w:rPr>
                <w:rFonts w:ascii="Times New Roman" w:eastAsia="Times New Roman" w:hAnsi="Times New Roman" w:cs="Times New Roman"/>
                <w:szCs w:val="24"/>
                <w:lang w:eastAsia="lv-LV"/>
              </w:rPr>
            </w:pPr>
            <w:r w:rsidRPr="0044366A">
              <w:rPr>
                <w:rFonts w:ascii="Times New Roman" w:eastAsia="Times New Roman" w:hAnsi="Times New Roman" w:cs="Times New Roman"/>
                <w:szCs w:val="24"/>
                <w:lang w:eastAsia="lv-LV"/>
              </w:rPr>
              <w:t>Lai V</w:t>
            </w:r>
            <w:r>
              <w:rPr>
                <w:rFonts w:ascii="Times New Roman" w:eastAsia="Times New Roman" w:hAnsi="Times New Roman" w:cs="Times New Roman"/>
                <w:szCs w:val="24"/>
                <w:lang w:eastAsia="lv-LV"/>
              </w:rPr>
              <w:t>alsts ieņēmu dienests</w:t>
            </w:r>
            <w:r w:rsidRPr="0044366A">
              <w:rPr>
                <w:rFonts w:ascii="Times New Roman" w:eastAsia="Times New Roman" w:hAnsi="Times New Roman" w:cs="Times New Roman"/>
                <w:szCs w:val="24"/>
                <w:lang w:eastAsia="lv-LV"/>
              </w:rPr>
              <w:t xml:space="preserve"> varētu veikt likumprojekt</w:t>
            </w:r>
            <w:r>
              <w:rPr>
                <w:rFonts w:ascii="Times New Roman" w:eastAsia="Times New Roman" w:hAnsi="Times New Roman" w:cs="Times New Roman"/>
                <w:szCs w:val="24"/>
                <w:lang w:eastAsia="lv-LV"/>
              </w:rPr>
              <w:t>ā</w:t>
            </w:r>
            <w:r w:rsidRPr="0044366A">
              <w:rPr>
                <w:rFonts w:ascii="Times New Roman" w:eastAsia="Times New Roman" w:hAnsi="Times New Roman" w:cs="Times New Roman"/>
                <w:szCs w:val="24"/>
                <w:lang w:eastAsia="lv-LV"/>
              </w:rPr>
              <w:t xml:space="preserve"> </w:t>
            </w:r>
            <w:r>
              <w:rPr>
                <w:rFonts w:ascii="Times New Roman" w:eastAsia="Times New Roman" w:hAnsi="Times New Roman" w:cs="Times New Roman"/>
                <w:szCs w:val="24"/>
                <w:lang w:eastAsia="lv-LV"/>
              </w:rPr>
              <w:t xml:space="preserve">NILLTFNL </w:t>
            </w:r>
            <w:r w:rsidRPr="0044366A">
              <w:rPr>
                <w:rFonts w:ascii="Times New Roman" w:eastAsia="Times New Roman" w:hAnsi="Times New Roman" w:cs="Times New Roman"/>
                <w:szCs w:val="24"/>
                <w:lang w:eastAsia="lv-LV"/>
              </w:rPr>
              <w:t>18.</w:t>
            </w:r>
            <w:r w:rsidRPr="0044366A">
              <w:rPr>
                <w:rFonts w:ascii="Times New Roman" w:eastAsia="Times New Roman" w:hAnsi="Times New Roman" w:cs="Times New Roman"/>
                <w:szCs w:val="24"/>
                <w:vertAlign w:val="superscript"/>
                <w:lang w:eastAsia="lv-LV"/>
              </w:rPr>
              <w:t>3</w:t>
            </w:r>
            <w:r>
              <w:rPr>
                <w:rFonts w:ascii="Times New Roman" w:eastAsia="Times New Roman" w:hAnsi="Times New Roman" w:cs="Times New Roman"/>
                <w:szCs w:val="24"/>
                <w:vertAlign w:val="superscript"/>
                <w:lang w:eastAsia="lv-LV"/>
              </w:rPr>
              <w:t xml:space="preserve"> </w:t>
            </w:r>
            <w:r w:rsidRPr="0044366A">
              <w:rPr>
                <w:rFonts w:ascii="Times New Roman" w:eastAsia="Times New Roman" w:hAnsi="Times New Roman" w:cs="Times New Roman"/>
                <w:szCs w:val="24"/>
                <w:lang w:eastAsia="lv-LV"/>
              </w:rPr>
              <w:t>panta 1.</w:t>
            </w:r>
            <w:r w:rsidRPr="0044366A">
              <w:rPr>
                <w:rFonts w:ascii="Times New Roman" w:eastAsia="Times New Roman" w:hAnsi="Times New Roman" w:cs="Times New Roman"/>
                <w:szCs w:val="24"/>
                <w:vertAlign w:val="superscript"/>
                <w:lang w:eastAsia="lv-LV"/>
              </w:rPr>
              <w:t>1</w:t>
            </w:r>
            <w:r w:rsidRPr="0044366A">
              <w:rPr>
                <w:rFonts w:ascii="Times New Roman" w:eastAsia="Times New Roman" w:hAnsi="Times New Roman" w:cs="Times New Roman"/>
                <w:szCs w:val="24"/>
                <w:lang w:eastAsia="lv-LV"/>
              </w:rPr>
              <w:t>daļā noteiktās informācijas pieejamības nodrošināšanu, nepieciešams veikt atbilstošus grozījumus likuma “Par nodokļiem un nodevām” 18.pantā, nosakot V</w:t>
            </w:r>
            <w:r>
              <w:rPr>
                <w:rFonts w:ascii="Times New Roman" w:eastAsia="Times New Roman" w:hAnsi="Times New Roman" w:cs="Times New Roman"/>
                <w:szCs w:val="24"/>
                <w:lang w:eastAsia="lv-LV"/>
              </w:rPr>
              <w:t>alsts ieņēmu dienest</w:t>
            </w:r>
            <w:r w:rsidR="00B96086">
              <w:rPr>
                <w:rFonts w:ascii="Times New Roman" w:eastAsia="Times New Roman" w:hAnsi="Times New Roman" w:cs="Times New Roman"/>
                <w:szCs w:val="24"/>
                <w:lang w:eastAsia="lv-LV"/>
              </w:rPr>
              <w:t>am</w:t>
            </w:r>
            <w:r w:rsidRPr="0044366A">
              <w:rPr>
                <w:rFonts w:ascii="Times New Roman" w:eastAsia="Times New Roman" w:hAnsi="Times New Roman" w:cs="Times New Roman"/>
                <w:szCs w:val="24"/>
                <w:lang w:eastAsia="lv-LV"/>
              </w:rPr>
              <w:t xml:space="preserve"> pienākumu uzturēt publiski pieejamu reģistru par nerezidentu (ārvalsts komersantu), kas V</w:t>
            </w:r>
            <w:r>
              <w:rPr>
                <w:rFonts w:ascii="Times New Roman" w:eastAsia="Times New Roman" w:hAnsi="Times New Roman" w:cs="Times New Roman"/>
                <w:szCs w:val="24"/>
                <w:lang w:eastAsia="lv-LV"/>
              </w:rPr>
              <w:t>alsts ieņēmu dienests</w:t>
            </w:r>
            <w:r w:rsidRPr="0044366A">
              <w:rPr>
                <w:rFonts w:ascii="Times New Roman" w:eastAsia="Times New Roman" w:hAnsi="Times New Roman" w:cs="Times New Roman"/>
                <w:szCs w:val="24"/>
                <w:lang w:eastAsia="lv-LV"/>
              </w:rPr>
              <w:t xml:space="preserve"> nodokļu maksātāju reģistrā reģistrējuši pastāvīgās pārstāvniecības, patiesajiem labuma guvējiem, kā arī likuma “Par nodokļiem un nodevām” 22.panta pirmās daļas 3.punktā. </w:t>
            </w:r>
          </w:p>
          <w:p w:rsidR="0044366A" w:rsidRPr="006D5F4A" w:rsidRDefault="0044366A" w:rsidP="0044366A">
            <w:pPr>
              <w:pStyle w:val="NoSpacing"/>
              <w:ind w:firstLine="249"/>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N</w:t>
            </w:r>
            <w:r w:rsidRPr="0044366A">
              <w:rPr>
                <w:rFonts w:ascii="Times New Roman" w:eastAsia="Times New Roman" w:hAnsi="Times New Roman" w:cs="Times New Roman"/>
                <w:szCs w:val="24"/>
                <w:lang w:eastAsia="lv-LV"/>
              </w:rPr>
              <w:t xml:space="preserve">epieciešams izdarīt grozījumus Ministru kabineta 2015.gada 22.septembra noteikumos Nr.537 “Noteikumi par nodokļu maksātāju un nodokļu maksātāju struktūrvienību reģistrāciju Valsts ieņēmumu dienestā”, papildinot tos ar </w:t>
            </w:r>
            <w:r w:rsidRPr="0044366A">
              <w:rPr>
                <w:rFonts w:ascii="Times New Roman" w:eastAsia="Times New Roman" w:hAnsi="Times New Roman" w:cs="Times New Roman"/>
                <w:szCs w:val="24"/>
                <w:lang w:eastAsia="lv-LV"/>
              </w:rPr>
              <w:lastRenderedPageBreak/>
              <w:t>kārtību, kādā veic patiesā labuma guvēju reģistrāciju un papildināt veidlapu formu ar atbilstošām sadaļām.</w:t>
            </w:r>
          </w:p>
        </w:tc>
      </w:tr>
      <w:tr w:rsidR="00327806" w:rsidRPr="00451F5C" w:rsidTr="003278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327806" w:rsidRPr="00451F5C" w:rsidRDefault="0093404E" w:rsidP="00B96086">
            <w:pPr>
              <w:spacing w:after="0" w:line="240" w:lineRule="auto"/>
              <w:jc w:val="both"/>
              <w:rPr>
                <w:rFonts w:ascii="Times New Roman" w:eastAsia="Times New Roman" w:hAnsi="Times New Roman" w:cs="Times New Roman"/>
                <w:sz w:val="24"/>
                <w:szCs w:val="24"/>
                <w:lang w:eastAsia="lv-LV"/>
              </w:rPr>
            </w:pPr>
            <w:r w:rsidRPr="00451F5C">
              <w:rPr>
                <w:rFonts w:ascii="Times New Roman" w:eastAsia="Times New Roman" w:hAnsi="Times New Roman" w:cs="Times New Roman"/>
                <w:sz w:val="24"/>
                <w:szCs w:val="24"/>
                <w:lang w:eastAsia="lv-LV"/>
              </w:rPr>
              <w:t>Finanšu ministrija</w:t>
            </w:r>
            <w:r w:rsidR="00B96086">
              <w:rPr>
                <w:rFonts w:ascii="Times New Roman" w:eastAsia="Times New Roman" w:hAnsi="Times New Roman" w:cs="Times New Roman"/>
                <w:sz w:val="24"/>
                <w:szCs w:val="24"/>
                <w:lang w:eastAsia="lv-LV"/>
              </w:rPr>
              <w:t>,</w:t>
            </w:r>
            <w:r w:rsidRPr="00451F5C">
              <w:rPr>
                <w:rFonts w:ascii="Times New Roman" w:eastAsia="Times New Roman" w:hAnsi="Times New Roman" w:cs="Times New Roman"/>
                <w:sz w:val="24"/>
                <w:szCs w:val="24"/>
                <w:lang w:eastAsia="lv-LV"/>
              </w:rPr>
              <w:t xml:space="preserve"> </w:t>
            </w:r>
            <w:r w:rsidR="00327806" w:rsidRPr="00451F5C">
              <w:rPr>
                <w:rFonts w:ascii="Times New Roman" w:eastAsia="Times New Roman" w:hAnsi="Times New Roman" w:cs="Times New Roman"/>
                <w:sz w:val="24"/>
                <w:szCs w:val="24"/>
                <w:lang w:eastAsia="lv-LV"/>
              </w:rPr>
              <w:t>Tieslietu ministrija.</w:t>
            </w:r>
          </w:p>
        </w:tc>
      </w:tr>
      <w:tr w:rsidR="00327806" w:rsidRPr="00451F5C" w:rsidTr="003278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27806" w:rsidRPr="00451F5C" w:rsidRDefault="007576C1" w:rsidP="00327806">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Nav</w:t>
            </w:r>
            <w:r w:rsidR="00B96086">
              <w:rPr>
                <w:rFonts w:ascii="Times New Roman" w:eastAsia="Times New Roman" w:hAnsi="Times New Roman" w:cs="Times New Roman"/>
                <w:sz w:val="24"/>
                <w:szCs w:val="24"/>
                <w:lang w:eastAsia="lv-LV"/>
              </w:rPr>
              <w:t>.</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4D4093" w:rsidP="00B960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 xml:space="preserve">Likumprojekts izstrādāts, lai nodrošinātu atbilstību </w:t>
            </w:r>
            <w:r w:rsidR="00BE5F44" w:rsidRPr="00451F5C">
              <w:rPr>
                <w:rFonts w:ascii="Times New Roman" w:hAnsi="Times New Roman" w:cs="Times New Roman"/>
                <w:color w:val="000000"/>
                <w:sz w:val="24"/>
                <w:szCs w:val="24"/>
                <w:shd w:val="clear" w:color="auto" w:fill="FFFFFF"/>
              </w:rPr>
              <w:t>2018.gada 30.maijā publicēta</w:t>
            </w:r>
            <w:r w:rsidR="00B96086">
              <w:rPr>
                <w:rFonts w:ascii="Times New Roman" w:hAnsi="Times New Roman" w:cs="Times New Roman"/>
                <w:color w:val="000000"/>
                <w:sz w:val="24"/>
                <w:szCs w:val="24"/>
                <w:shd w:val="clear" w:color="auto" w:fill="FFFFFF"/>
              </w:rPr>
              <w:t>jai</w:t>
            </w:r>
            <w:r w:rsidR="00BE5F44" w:rsidRPr="00451F5C">
              <w:rPr>
                <w:rFonts w:ascii="Times New Roman" w:hAnsi="Times New Roman" w:cs="Times New Roman"/>
                <w:color w:val="000000"/>
                <w:sz w:val="24"/>
                <w:szCs w:val="24"/>
                <w:shd w:val="clear" w:color="auto" w:fill="FFFFFF"/>
              </w:rPr>
              <w:t xml:space="preserve"> Eiropas Parlamenta un Padomes Direktīva</w:t>
            </w:r>
            <w:r w:rsidR="00B96086">
              <w:rPr>
                <w:rFonts w:ascii="Times New Roman" w:hAnsi="Times New Roman" w:cs="Times New Roman"/>
                <w:color w:val="000000"/>
                <w:sz w:val="24"/>
                <w:szCs w:val="24"/>
                <w:shd w:val="clear" w:color="auto" w:fill="FFFFFF"/>
              </w:rPr>
              <w:t>i</w:t>
            </w:r>
            <w:r w:rsidR="00BE5F44" w:rsidRPr="00451F5C">
              <w:rPr>
                <w:rFonts w:ascii="Times New Roman" w:hAnsi="Times New Roman" w:cs="Times New Roman"/>
                <w:color w:val="000000"/>
                <w:sz w:val="24"/>
                <w:szCs w:val="24"/>
                <w:shd w:val="clear" w:color="auto" w:fill="FFFFFF"/>
              </w:rPr>
              <w:t xml:space="preserve"> (ES)</w:t>
            </w:r>
            <w:r w:rsidR="00B96086">
              <w:rPr>
                <w:rFonts w:ascii="Times New Roman" w:hAnsi="Times New Roman" w:cs="Times New Roman"/>
                <w:color w:val="000000"/>
                <w:sz w:val="24"/>
                <w:szCs w:val="24"/>
                <w:shd w:val="clear" w:color="auto" w:fill="FFFFFF"/>
              </w:rPr>
              <w:t xml:space="preserve"> </w:t>
            </w:r>
            <w:r w:rsidR="00BE5F44" w:rsidRPr="00451F5C">
              <w:rPr>
                <w:rFonts w:ascii="Times New Roman" w:hAnsi="Times New Roman" w:cs="Times New Roman"/>
                <w:color w:val="000000"/>
                <w:sz w:val="24"/>
                <w:szCs w:val="24"/>
                <w:shd w:val="clear" w:color="auto" w:fill="FFFFFF"/>
              </w:rPr>
              <w:t>2018/843 ar ko groza Direktīvu (ES) 2015/849 par to, lai nepieļautu finanšu sistēmas izmantošanu nelikumīgi iegūtu līdzekļu legalizēšanai vai teroristu finansēšanai, un ar ko groza Direktīvas 2009/138/EK un 2013/36/ES – AML V direktīva.</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FF3695" w:rsidP="00B960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hAnsi="Times New Roman" w:cs="Times New Roman"/>
                <w:color w:val="000000"/>
                <w:sz w:val="24"/>
                <w:szCs w:val="24"/>
                <w:shd w:val="clear" w:color="auto" w:fill="FFFFFF"/>
              </w:rPr>
              <w:t>Likumprojekts izstrādāts, lai nodr</w:t>
            </w:r>
            <w:r w:rsidR="00B96086">
              <w:rPr>
                <w:rFonts w:ascii="Times New Roman" w:hAnsi="Times New Roman" w:cs="Times New Roman"/>
                <w:color w:val="000000"/>
                <w:sz w:val="24"/>
                <w:szCs w:val="24"/>
                <w:shd w:val="clear" w:color="auto" w:fill="FFFFFF"/>
              </w:rPr>
              <w:t>o</w:t>
            </w:r>
            <w:r w:rsidRPr="00451F5C">
              <w:rPr>
                <w:rFonts w:ascii="Times New Roman" w:hAnsi="Times New Roman" w:cs="Times New Roman"/>
                <w:color w:val="000000"/>
                <w:sz w:val="24"/>
                <w:szCs w:val="24"/>
                <w:shd w:val="clear" w:color="auto" w:fill="FFFFFF"/>
              </w:rPr>
              <w:t xml:space="preserve">šinātu atbilstību FATF 2012.gada februārī apstiprinātajām </w:t>
            </w:r>
            <w:r w:rsidR="00B96086">
              <w:rPr>
                <w:rFonts w:ascii="Times New Roman" w:hAnsi="Times New Roman" w:cs="Times New Roman"/>
                <w:color w:val="000000"/>
                <w:sz w:val="24"/>
                <w:szCs w:val="24"/>
                <w:shd w:val="clear" w:color="auto" w:fill="FFFFFF"/>
              </w:rPr>
              <w:t xml:space="preserve">40 </w:t>
            </w:r>
            <w:r w:rsidRPr="00451F5C">
              <w:rPr>
                <w:rFonts w:ascii="Times New Roman" w:hAnsi="Times New Roman" w:cs="Times New Roman"/>
                <w:color w:val="000000"/>
                <w:sz w:val="24"/>
                <w:szCs w:val="24"/>
                <w:shd w:val="clear" w:color="auto" w:fill="FFFFFF"/>
              </w:rPr>
              <w:t>rekomendācijām.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FF3695" w:rsidP="00B960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hAnsi="Times New Roman" w:cs="Times New Roman"/>
                <w:color w:val="000000"/>
                <w:sz w:val="24"/>
                <w:szCs w:val="24"/>
                <w:shd w:val="clear" w:color="auto" w:fill="FFFFFF"/>
              </w:rPr>
              <w:t xml:space="preserve">Likumprojekts izstrādāts, lai novērstu trūkumus attiecībā uz </w:t>
            </w:r>
            <w:proofErr w:type="spellStart"/>
            <w:r w:rsidRPr="00451F5C">
              <w:rPr>
                <w:rFonts w:ascii="Times New Roman" w:hAnsi="Times New Roman" w:cs="Times New Roman"/>
                <w:color w:val="000000"/>
                <w:sz w:val="24"/>
                <w:szCs w:val="24"/>
                <w:shd w:val="clear" w:color="auto" w:fill="FFFFFF"/>
              </w:rPr>
              <w:t>Moneyval</w:t>
            </w:r>
            <w:proofErr w:type="spellEnd"/>
            <w:r w:rsidRPr="00451F5C">
              <w:rPr>
                <w:rFonts w:ascii="Times New Roman" w:hAnsi="Times New Roman" w:cs="Times New Roman"/>
                <w:color w:val="000000"/>
                <w:sz w:val="24"/>
                <w:szCs w:val="24"/>
                <w:shd w:val="clear" w:color="auto" w:fill="FFFFFF"/>
              </w:rPr>
              <w:t xml:space="preserve"> ziņojumā iekļautajiem secinājumiem par tehnisko </w:t>
            </w:r>
            <w:r w:rsidR="00B96086">
              <w:rPr>
                <w:rFonts w:ascii="Times New Roman" w:hAnsi="Times New Roman" w:cs="Times New Roman"/>
                <w:color w:val="000000"/>
                <w:sz w:val="24"/>
                <w:szCs w:val="24"/>
                <w:shd w:val="clear" w:color="auto" w:fill="FFFFFF"/>
              </w:rPr>
              <w:t>atbilstību</w:t>
            </w:r>
            <w:r w:rsidRPr="00451F5C">
              <w:rPr>
                <w:rFonts w:ascii="Times New Roman" w:hAnsi="Times New Roman" w:cs="Times New Roman"/>
                <w:color w:val="000000"/>
                <w:sz w:val="24"/>
                <w:szCs w:val="24"/>
                <w:shd w:val="clear" w:color="auto" w:fill="FFFFFF"/>
              </w:rPr>
              <w:t xml:space="preserve"> FATF </w:t>
            </w:r>
            <w:r w:rsidR="00B96086">
              <w:rPr>
                <w:rFonts w:ascii="Times New Roman" w:hAnsi="Times New Roman" w:cs="Times New Roman"/>
                <w:color w:val="000000"/>
                <w:sz w:val="24"/>
                <w:szCs w:val="24"/>
                <w:shd w:val="clear" w:color="auto" w:fill="FFFFFF"/>
              </w:rPr>
              <w:t xml:space="preserve">40 </w:t>
            </w:r>
            <w:r w:rsidRPr="00451F5C">
              <w:rPr>
                <w:rFonts w:ascii="Times New Roman" w:hAnsi="Times New Roman" w:cs="Times New Roman"/>
                <w:color w:val="000000"/>
                <w:sz w:val="24"/>
                <w:szCs w:val="24"/>
                <w:shd w:val="clear" w:color="auto" w:fill="FFFFFF"/>
              </w:rPr>
              <w:t>rek</w:t>
            </w:r>
            <w:r w:rsidR="00B96086">
              <w:rPr>
                <w:rFonts w:ascii="Times New Roman" w:hAnsi="Times New Roman" w:cs="Times New Roman"/>
                <w:color w:val="000000"/>
                <w:sz w:val="24"/>
                <w:szCs w:val="24"/>
                <w:shd w:val="clear" w:color="auto" w:fill="FFFFFF"/>
              </w:rPr>
              <w:t>o</w:t>
            </w:r>
            <w:r w:rsidRPr="00451F5C">
              <w:rPr>
                <w:rFonts w:ascii="Times New Roman" w:hAnsi="Times New Roman" w:cs="Times New Roman"/>
                <w:color w:val="000000"/>
                <w:sz w:val="24"/>
                <w:szCs w:val="24"/>
                <w:shd w:val="clear" w:color="auto" w:fill="FFFFFF"/>
              </w:rPr>
              <w:t>mendācijām.</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8"/>
        <w:gridCol w:w="2106"/>
        <w:gridCol w:w="2284"/>
        <w:gridCol w:w="2558"/>
      </w:tblGrid>
      <w:tr w:rsidR="00E5323B" w:rsidRPr="00451F5C" w:rsidTr="002E693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22B40" w:rsidRPr="00722B40" w:rsidRDefault="00E5323B" w:rsidP="00722B40">
            <w:pPr>
              <w:pStyle w:val="ListParagraph"/>
              <w:numPr>
                <w:ilvl w:val="0"/>
                <w:numId w:val="11"/>
              </w:numPr>
              <w:spacing w:after="0" w:line="240" w:lineRule="auto"/>
              <w:rPr>
                <w:rFonts w:ascii="Times New Roman" w:eastAsia="Times New Roman" w:hAnsi="Times New Roman" w:cs="Times New Roman"/>
                <w:b/>
                <w:bCs/>
                <w:iCs/>
                <w:color w:val="414142"/>
                <w:sz w:val="24"/>
                <w:szCs w:val="24"/>
                <w:lang w:eastAsia="lv-LV"/>
              </w:rPr>
            </w:pPr>
            <w:r w:rsidRPr="00722B40">
              <w:rPr>
                <w:rFonts w:ascii="Times New Roman" w:eastAsia="Times New Roman" w:hAnsi="Times New Roman" w:cs="Times New Roman"/>
                <w:b/>
                <w:bCs/>
                <w:iCs/>
                <w:color w:val="414142"/>
                <w:sz w:val="24"/>
                <w:szCs w:val="24"/>
                <w:lang w:eastAsia="lv-LV"/>
              </w:rPr>
              <w:t>tabula</w:t>
            </w:r>
            <w:r w:rsidRPr="00722B40">
              <w:rPr>
                <w:rFonts w:ascii="Times New Roman" w:eastAsia="Times New Roman" w:hAnsi="Times New Roman" w:cs="Times New Roman"/>
                <w:b/>
                <w:bCs/>
                <w:iCs/>
                <w:color w:val="414142"/>
                <w:sz w:val="24"/>
                <w:szCs w:val="24"/>
                <w:lang w:eastAsia="lv-LV"/>
              </w:rPr>
              <w:br/>
              <w:t>Tiesību akta projekta atbilstība ES tiesību aktiem</w:t>
            </w: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836D1" w:rsidRPr="00451F5C" w:rsidRDefault="00BA29E7"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hAnsi="Times New Roman" w:cs="Times New Roman"/>
                <w:sz w:val="24"/>
                <w:szCs w:val="24"/>
              </w:rPr>
              <w:t>Eiropas Parlamenta un Padomes 2015.gada 20.maija Regulu (ES) Nr. 2015/847 par līdzekļu pārvedumiem pievienoto informāciju un ar ko atceļ Regulu (EK) Nr.1781/2006.</w:t>
            </w:r>
          </w:p>
        </w:tc>
        <w:tc>
          <w:tcPr>
            <w:tcW w:w="3799" w:type="pct"/>
            <w:gridSpan w:val="3"/>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w:t>
            </w:r>
          </w:p>
        </w:tc>
        <w:tc>
          <w:tcPr>
            <w:tcW w:w="1153"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w:t>
            </w:r>
          </w:p>
        </w:tc>
        <w:tc>
          <w:tcPr>
            <w:tcW w:w="1362"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w:t>
            </w: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53"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Projekta vienība, kas pārņem vai ievieš katru šīs tabulas A ailē minēto ES tiesību akta vienību, vai tiesību akts, kur attiecīgā ES tiesību akta vienība </w:t>
            </w:r>
            <w:r w:rsidRPr="00451F5C">
              <w:rPr>
                <w:rFonts w:ascii="Times New Roman" w:eastAsia="Times New Roman" w:hAnsi="Times New Roman" w:cs="Times New Roman"/>
                <w:iCs/>
                <w:color w:val="414142"/>
                <w:sz w:val="24"/>
                <w:szCs w:val="24"/>
                <w:lang w:eastAsia="lv-LV"/>
              </w:rPr>
              <w:lastRenderedPageBreak/>
              <w:t>pārņemta vai ieviesta</w:t>
            </w:r>
          </w:p>
        </w:tc>
        <w:tc>
          <w:tcPr>
            <w:tcW w:w="1251"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Informācija par to, vai šīs tabulas A ailē minētās ES tiesību akta vienības tiek pārņemtas vai ieviestas pilnībā vai daļēji.</w:t>
            </w:r>
            <w:r w:rsidRPr="00451F5C">
              <w:rPr>
                <w:rFonts w:ascii="Times New Roman" w:eastAsia="Times New Roman" w:hAnsi="Times New Roman" w:cs="Times New Roman"/>
                <w:iCs/>
                <w:color w:val="414142"/>
                <w:sz w:val="24"/>
                <w:szCs w:val="24"/>
                <w:lang w:eastAsia="lv-LV"/>
              </w:rPr>
              <w:br/>
              <w:t xml:space="preserve">Ja attiecīgā ES tiesību akta vienība tiek pārņemta vai ieviesta </w:t>
            </w:r>
            <w:r w:rsidRPr="00451F5C">
              <w:rPr>
                <w:rFonts w:ascii="Times New Roman" w:eastAsia="Times New Roman" w:hAnsi="Times New Roman" w:cs="Times New Roman"/>
                <w:iCs/>
                <w:color w:val="414142"/>
                <w:sz w:val="24"/>
                <w:szCs w:val="24"/>
                <w:lang w:eastAsia="lv-LV"/>
              </w:rPr>
              <w:lastRenderedPageBreak/>
              <w:t>daļēji, sniedz attiecīgu skaidrojumu, kā arī precīzi norāda, kad un kādā veidā ES tiesību akta vienība tiks pārņemta vai ieviesta pilnībā.</w:t>
            </w:r>
            <w:r w:rsidRPr="00451F5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62"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451F5C">
              <w:rPr>
                <w:rFonts w:ascii="Times New Roman" w:eastAsia="Times New Roman" w:hAnsi="Times New Roman" w:cs="Times New Roman"/>
                <w:iCs/>
                <w:color w:val="414142"/>
                <w:sz w:val="24"/>
                <w:szCs w:val="24"/>
                <w:lang w:eastAsia="lv-LV"/>
              </w:rPr>
              <w:br/>
              <w:t xml:space="preserve">Ja projekts satur stingrākas prasības nekā </w:t>
            </w:r>
            <w:r w:rsidRPr="00451F5C">
              <w:rPr>
                <w:rFonts w:ascii="Times New Roman" w:eastAsia="Times New Roman" w:hAnsi="Times New Roman" w:cs="Times New Roman"/>
                <w:iCs/>
                <w:color w:val="414142"/>
                <w:sz w:val="24"/>
                <w:szCs w:val="24"/>
                <w:lang w:eastAsia="lv-LV"/>
              </w:rPr>
              <w:lastRenderedPageBreak/>
              <w:t>attiecīgais ES tiesību akts, norāda pamatojumu un samērīgumu.</w:t>
            </w:r>
            <w:r w:rsidRPr="00451F5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836D1" w:rsidRPr="00451F5C" w:rsidRDefault="00B301B5" w:rsidP="00095F37">
            <w:pPr>
              <w:spacing w:after="0" w:line="240" w:lineRule="auto"/>
              <w:rPr>
                <w:rFonts w:ascii="Times New Roman" w:eastAsia="Times New Roman" w:hAnsi="Times New Roman" w:cs="Times New Roman"/>
                <w:iCs/>
                <w:color w:val="414142"/>
                <w:sz w:val="24"/>
                <w:szCs w:val="24"/>
                <w:lang w:eastAsia="lv-LV"/>
              </w:rPr>
            </w:pPr>
            <w:r w:rsidRPr="00B301B5">
              <w:rPr>
                <w:rFonts w:ascii="Times New Roman" w:eastAsia="Times New Roman" w:hAnsi="Times New Roman" w:cs="Times New Roman"/>
                <w:iCs/>
                <w:color w:val="414142"/>
                <w:sz w:val="24"/>
                <w:szCs w:val="24"/>
                <w:lang w:eastAsia="lv-LV"/>
              </w:rPr>
              <w:lastRenderedPageBreak/>
              <w:t>3.panta otrās daļas c) apakšpunkts.</w:t>
            </w:r>
          </w:p>
        </w:tc>
        <w:tc>
          <w:tcPr>
            <w:tcW w:w="1153" w:type="pct"/>
            <w:tcBorders>
              <w:top w:val="outset" w:sz="6" w:space="0" w:color="auto"/>
              <w:left w:val="outset" w:sz="6" w:space="0" w:color="auto"/>
              <w:bottom w:val="outset" w:sz="6" w:space="0" w:color="auto"/>
              <w:right w:val="outset" w:sz="6" w:space="0" w:color="auto"/>
            </w:tcBorders>
            <w:hideMark/>
          </w:tcPr>
          <w:p w:rsidR="00E836D1" w:rsidRPr="00451F5C" w:rsidRDefault="007F6A85" w:rsidP="007E4FF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w:t>
            </w:r>
            <w:r w:rsidR="007E4FFC">
              <w:rPr>
                <w:rFonts w:ascii="Times New Roman" w:eastAsia="Times New Roman" w:hAnsi="Times New Roman" w:cs="Times New Roman"/>
                <w:iCs/>
                <w:color w:val="414142"/>
                <w:sz w:val="24"/>
                <w:szCs w:val="24"/>
                <w:lang w:eastAsia="lv-LV"/>
              </w:rPr>
              <w:t xml:space="preserve">a 6.pants </w:t>
            </w:r>
            <w:r>
              <w:rPr>
                <w:rFonts w:ascii="Times New Roman" w:eastAsia="Times New Roman" w:hAnsi="Times New Roman" w:cs="Times New Roman"/>
                <w:iCs/>
                <w:color w:val="414142"/>
                <w:sz w:val="24"/>
                <w:szCs w:val="24"/>
                <w:lang w:eastAsia="lv-LV"/>
              </w:rPr>
              <w:t xml:space="preserve"> </w:t>
            </w:r>
            <w:r w:rsidR="0044162F">
              <w:rPr>
                <w:rFonts w:ascii="Times New Roman" w:eastAsia="Times New Roman" w:hAnsi="Times New Roman" w:cs="Times New Roman"/>
                <w:iCs/>
                <w:color w:val="414142"/>
                <w:sz w:val="24"/>
                <w:szCs w:val="24"/>
                <w:lang w:eastAsia="lv-LV"/>
              </w:rPr>
              <w:t>NILLTFNL 5.panta otrā daļa</w:t>
            </w:r>
          </w:p>
        </w:tc>
        <w:tc>
          <w:tcPr>
            <w:tcW w:w="1251"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5323B" w:rsidRPr="00451F5C" w:rsidRDefault="007F024C"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Direktīva 2018/843/ES</w:t>
            </w:r>
          </w:p>
        </w:tc>
        <w:tc>
          <w:tcPr>
            <w:tcW w:w="3799" w:type="pct"/>
            <w:gridSpan w:val="3"/>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w:t>
            </w:r>
          </w:p>
        </w:tc>
        <w:tc>
          <w:tcPr>
            <w:tcW w:w="1153"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w:t>
            </w:r>
          </w:p>
        </w:tc>
        <w:tc>
          <w:tcPr>
            <w:tcW w:w="1362"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w:t>
            </w: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53"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51"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451F5C">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51F5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62"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451F5C">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451F5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5323B" w:rsidRPr="00451F5C" w:rsidRDefault="00E07CB4"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1.pants 1.punkts </w:t>
            </w:r>
          </w:p>
        </w:tc>
        <w:tc>
          <w:tcPr>
            <w:tcW w:w="1153" w:type="pct"/>
            <w:tcBorders>
              <w:top w:val="outset" w:sz="6" w:space="0" w:color="auto"/>
              <w:left w:val="outset" w:sz="6" w:space="0" w:color="auto"/>
              <w:bottom w:val="outset" w:sz="6" w:space="0" w:color="auto"/>
              <w:right w:val="outset" w:sz="6" w:space="0" w:color="auto"/>
            </w:tcBorders>
            <w:hideMark/>
          </w:tcPr>
          <w:p w:rsidR="00E5323B" w:rsidRPr="00451F5C" w:rsidRDefault="00A313E4"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0B6D75">
              <w:rPr>
                <w:rFonts w:ascii="Times New Roman" w:eastAsia="Times New Roman" w:hAnsi="Times New Roman" w:cs="Times New Roman"/>
                <w:iCs/>
                <w:color w:val="414142"/>
                <w:sz w:val="24"/>
                <w:szCs w:val="24"/>
                <w:lang w:eastAsia="lv-LV"/>
              </w:rPr>
              <w:t>3</w:t>
            </w:r>
            <w:r w:rsidR="00015F68" w:rsidRPr="00451F5C">
              <w:rPr>
                <w:rFonts w:ascii="Times New Roman" w:eastAsia="Times New Roman" w:hAnsi="Times New Roman" w:cs="Times New Roman"/>
                <w:iCs/>
                <w:color w:val="414142"/>
                <w:sz w:val="24"/>
                <w:szCs w:val="24"/>
                <w:lang w:eastAsia="lv-LV"/>
              </w:rPr>
              <w:t xml:space="preserve">.pants NILLTFNL 3.pants </w:t>
            </w:r>
          </w:p>
        </w:tc>
        <w:tc>
          <w:tcPr>
            <w:tcW w:w="1251" w:type="pct"/>
            <w:tcBorders>
              <w:top w:val="outset" w:sz="6" w:space="0" w:color="auto"/>
              <w:left w:val="outset" w:sz="6" w:space="0" w:color="auto"/>
              <w:bottom w:val="outset" w:sz="6" w:space="0" w:color="auto"/>
              <w:right w:val="outset" w:sz="6" w:space="0" w:color="auto"/>
            </w:tcBorders>
            <w:hideMark/>
          </w:tcPr>
          <w:p w:rsidR="00E5323B" w:rsidRPr="00451F5C" w:rsidRDefault="0009749F"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hideMark/>
          </w:tcPr>
          <w:p w:rsidR="00E5323B" w:rsidRPr="00451F5C" w:rsidRDefault="00FE0BCF" w:rsidP="00FE0BCF">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B332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B332C" w:rsidRPr="00451F5C" w:rsidRDefault="002B332C"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1.pants 2.punkts</w:t>
            </w:r>
          </w:p>
        </w:tc>
        <w:tc>
          <w:tcPr>
            <w:tcW w:w="1153" w:type="pct"/>
            <w:tcBorders>
              <w:top w:val="outset" w:sz="6" w:space="0" w:color="auto"/>
              <w:left w:val="outset" w:sz="6" w:space="0" w:color="auto"/>
              <w:bottom w:val="outset" w:sz="6" w:space="0" w:color="auto"/>
              <w:right w:val="outset" w:sz="6" w:space="0" w:color="auto"/>
            </w:tcBorders>
          </w:tcPr>
          <w:p w:rsidR="002B332C" w:rsidRPr="00451F5C" w:rsidRDefault="002B332C"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Pr>
                <w:rFonts w:ascii="Times New Roman" w:eastAsia="Times New Roman" w:hAnsi="Times New Roman" w:cs="Times New Roman"/>
                <w:iCs/>
                <w:color w:val="414142"/>
                <w:sz w:val="24"/>
                <w:szCs w:val="24"/>
                <w:lang w:eastAsia="lv-LV"/>
              </w:rPr>
              <w:t>2., 3</w:t>
            </w:r>
            <w:r w:rsidRPr="00451F5C">
              <w:rPr>
                <w:rFonts w:ascii="Times New Roman" w:eastAsia="Times New Roman" w:hAnsi="Times New Roman" w:cs="Times New Roman"/>
                <w:iCs/>
                <w:color w:val="414142"/>
                <w:sz w:val="24"/>
                <w:szCs w:val="24"/>
                <w:lang w:eastAsia="lv-LV"/>
              </w:rPr>
              <w:t xml:space="preserve">.pants NILLTFNL </w:t>
            </w:r>
            <w:r>
              <w:rPr>
                <w:rFonts w:ascii="Times New Roman" w:eastAsia="Times New Roman" w:hAnsi="Times New Roman" w:cs="Times New Roman"/>
                <w:iCs/>
                <w:color w:val="414142"/>
                <w:sz w:val="24"/>
                <w:szCs w:val="24"/>
                <w:lang w:eastAsia="lv-LV"/>
              </w:rPr>
              <w:t>1.,</w:t>
            </w:r>
            <w:r w:rsidRPr="00451F5C">
              <w:rPr>
                <w:rFonts w:ascii="Times New Roman" w:eastAsia="Times New Roman" w:hAnsi="Times New Roman" w:cs="Times New Roman"/>
                <w:iCs/>
                <w:color w:val="414142"/>
                <w:sz w:val="24"/>
                <w:szCs w:val="24"/>
                <w:lang w:eastAsia="lv-LV"/>
              </w:rPr>
              <w:t>3.pants</w:t>
            </w:r>
          </w:p>
        </w:tc>
        <w:tc>
          <w:tcPr>
            <w:tcW w:w="1251" w:type="pct"/>
            <w:tcBorders>
              <w:top w:val="outset" w:sz="6" w:space="0" w:color="auto"/>
              <w:left w:val="outset" w:sz="6" w:space="0" w:color="auto"/>
              <w:bottom w:val="outset" w:sz="6" w:space="0" w:color="auto"/>
              <w:right w:val="outset" w:sz="6" w:space="0" w:color="auto"/>
            </w:tcBorders>
          </w:tcPr>
          <w:p w:rsidR="002B332C" w:rsidRPr="00451F5C" w:rsidRDefault="00E54D66"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2B332C" w:rsidRPr="00451F5C" w:rsidRDefault="00E54D66" w:rsidP="00FE0BCF">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E6935"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E6935" w:rsidRPr="00451F5C" w:rsidRDefault="002B332C" w:rsidP="002E693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r w:rsidR="002E6935" w:rsidRPr="00451F5C">
              <w:rPr>
                <w:rFonts w:ascii="Times New Roman" w:eastAsia="Times New Roman" w:hAnsi="Times New Roman" w:cs="Times New Roman"/>
                <w:iCs/>
                <w:color w:val="414142"/>
                <w:sz w:val="24"/>
                <w:szCs w:val="24"/>
                <w:lang w:eastAsia="lv-LV"/>
              </w:rPr>
              <w:t xml:space="preserve"> 6.punkts</w:t>
            </w:r>
          </w:p>
        </w:tc>
        <w:tc>
          <w:tcPr>
            <w:tcW w:w="1153" w:type="pct"/>
            <w:tcBorders>
              <w:top w:val="outset" w:sz="6" w:space="0" w:color="auto"/>
              <w:left w:val="outset" w:sz="6" w:space="0" w:color="auto"/>
              <w:bottom w:val="outset" w:sz="6" w:space="0" w:color="auto"/>
              <w:right w:val="outset" w:sz="6" w:space="0" w:color="auto"/>
            </w:tcBorders>
          </w:tcPr>
          <w:p w:rsidR="002E6935" w:rsidRPr="00451F5C" w:rsidRDefault="00E54D66" w:rsidP="002E693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Likumprojekta 18</w:t>
            </w:r>
            <w:r w:rsidR="002E6935" w:rsidRPr="00451F5C">
              <w:rPr>
                <w:rFonts w:ascii="Times New Roman" w:eastAsia="Times New Roman" w:hAnsi="Times New Roman" w:cs="Times New Roman"/>
                <w:iCs/>
                <w:color w:val="414142"/>
                <w:sz w:val="24"/>
                <w:szCs w:val="24"/>
                <w:lang w:eastAsia="lv-LV"/>
              </w:rPr>
              <w:t>.pants NILLTFNL 15.pants.</w:t>
            </w:r>
          </w:p>
        </w:tc>
        <w:tc>
          <w:tcPr>
            <w:tcW w:w="1251" w:type="pct"/>
            <w:tcBorders>
              <w:top w:val="outset" w:sz="6" w:space="0" w:color="auto"/>
              <w:left w:val="outset" w:sz="6" w:space="0" w:color="auto"/>
              <w:bottom w:val="outset" w:sz="6" w:space="0" w:color="auto"/>
              <w:right w:val="outset" w:sz="6" w:space="0" w:color="auto"/>
            </w:tcBorders>
          </w:tcPr>
          <w:p w:rsidR="002E6935" w:rsidRPr="00451F5C" w:rsidRDefault="00454EE0" w:rsidP="00454EE0">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Pr>
          <w:p w:rsidR="002E6935" w:rsidRPr="00451F5C" w:rsidRDefault="002E6935"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E6935"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1.pants 7.punkts </w:t>
            </w:r>
          </w:p>
        </w:tc>
        <w:tc>
          <w:tcPr>
            <w:tcW w:w="1153" w:type="pct"/>
            <w:tcBorders>
              <w:top w:val="outset" w:sz="6" w:space="0" w:color="auto"/>
              <w:left w:val="outset" w:sz="6" w:space="0" w:color="auto"/>
              <w:bottom w:val="outset" w:sz="6" w:space="0" w:color="auto"/>
              <w:right w:val="outset" w:sz="6" w:space="0" w:color="auto"/>
            </w:tcBorders>
          </w:tcPr>
          <w:p w:rsidR="002E6935" w:rsidRPr="00451F5C" w:rsidRDefault="0019492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Likumprojekta 2</w:t>
            </w:r>
            <w:r w:rsidR="00127F89">
              <w:rPr>
                <w:rFonts w:ascii="Times New Roman" w:eastAsia="Times New Roman" w:hAnsi="Times New Roman" w:cs="Times New Roman"/>
                <w:iCs/>
                <w:color w:val="414142"/>
                <w:sz w:val="24"/>
                <w:szCs w:val="24"/>
                <w:lang w:eastAsia="lv-LV"/>
              </w:rPr>
              <w:t>8</w:t>
            </w:r>
            <w:r w:rsidRPr="00451F5C">
              <w:rPr>
                <w:rFonts w:ascii="Times New Roman" w:eastAsia="Times New Roman" w:hAnsi="Times New Roman" w:cs="Times New Roman"/>
                <w:iCs/>
                <w:color w:val="414142"/>
                <w:sz w:val="24"/>
                <w:szCs w:val="24"/>
                <w:lang w:eastAsia="lv-LV"/>
              </w:rPr>
              <w:t>.pants NILLTFNL</w:t>
            </w:r>
            <w:r w:rsidR="0064321C" w:rsidRPr="00451F5C">
              <w:rPr>
                <w:rFonts w:ascii="Times New Roman" w:eastAsia="Times New Roman" w:hAnsi="Times New Roman" w:cs="Times New Roman"/>
                <w:iCs/>
                <w:color w:val="414142"/>
                <w:sz w:val="24"/>
                <w:szCs w:val="24"/>
                <w:lang w:eastAsia="lv-LV"/>
              </w:rPr>
              <w:t xml:space="preserve"> 27.</w:t>
            </w:r>
            <w:r w:rsidR="0064321C" w:rsidRPr="00451F5C">
              <w:rPr>
                <w:rFonts w:ascii="Times New Roman" w:eastAsia="Times New Roman" w:hAnsi="Times New Roman" w:cs="Times New Roman"/>
                <w:iCs/>
                <w:color w:val="414142"/>
                <w:sz w:val="24"/>
                <w:szCs w:val="24"/>
                <w:vertAlign w:val="superscript"/>
                <w:lang w:eastAsia="lv-LV"/>
              </w:rPr>
              <w:t xml:space="preserve">1 </w:t>
            </w:r>
            <w:r w:rsidR="0064321C" w:rsidRPr="00451F5C">
              <w:rPr>
                <w:rFonts w:ascii="Times New Roman" w:eastAsia="Times New Roman" w:hAnsi="Times New Roman" w:cs="Times New Roman"/>
                <w:iCs/>
                <w:color w:val="414142"/>
                <w:sz w:val="24"/>
                <w:szCs w:val="24"/>
                <w:lang w:eastAsia="lv-LV"/>
              </w:rPr>
              <w:t xml:space="preserve">panta otrā </w:t>
            </w:r>
            <w:r w:rsidR="00166F05" w:rsidRPr="00451F5C">
              <w:rPr>
                <w:rFonts w:ascii="Times New Roman" w:eastAsia="Times New Roman" w:hAnsi="Times New Roman" w:cs="Times New Roman"/>
                <w:iCs/>
                <w:color w:val="414142"/>
                <w:sz w:val="24"/>
                <w:szCs w:val="24"/>
                <w:lang w:eastAsia="lv-LV"/>
              </w:rPr>
              <w:t xml:space="preserve"> un trešā </w:t>
            </w:r>
            <w:r w:rsidR="0064321C" w:rsidRPr="00451F5C">
              <w:rPr>
                <w:rFonts w:ascii="Times New Roman" w:eastAsia="Times New Roman" w:hAnsi="Times New Roman" w:cs="Times New Roman"/>
                <w:iCs/>
                <w:color w:val="414142"/>
                <w:sz w:val="24"/>
                <w:szCs w:val="24"/>
                <w:lang w:eastAsia="lv-LV"/>
              </w:rPr>
              <w:t>daļa</w:t>
            </w:r>
          </w:p>
          <w:p w:rsidR="00194920" w:rsidRPr="00451F5C" w:rsidRDefault="00194920" w:rsidP="002E6935">
            <w:pPr>
              <w:spacing w:after="0" w:line="240" w:lineRule="auto"/>
              <w:rPr>
                <w:rFonts w:ascii="Times New Roman" w:eastAsia="Times New Roman" w:hAnsi="Times New Roman" w:cs="Times New Roman"/>
                <w:iCs/>
                <w:color w:val="414142"/>
                <w:sz w:val="24"/>
                <w:szCs w:val="24"/>
                <w:lang w:eastAsia="lv-LV"/>
              </w:rPr>
            </w:pPr>
          </w:p>
        </w:tc>
        <w:tc>
          <w:tcPr>
            <w:tcW w:w="1251"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E6935"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E6935" w:rsidRPr="00451F5C" w:rsidRDefault="00916FA9"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8.punkts</w:t>
            </w:r>
          </w:p>
        </w:tc>
        <w:tc>
          <w:tcPr>
            <w:tcW w:w="1153" w:type="pct"/>
            <w:tcBorders>
              <w:top w:val="outset" w:sz="6" w:space="0" w:color="auto"/>
              <w:left w:val="outset" w:sz="6" w:space="0" w:color="auto"/>
              <w:bottom w:val="outset" w:sz="6" w:space="0" w:color="auto"/>
              <w:right w:val="outset" w:sz="6" w:space="0" w:color="auto"/>
            </w:tcBorders>
          </w:tcPr>
          <w:p w:rsidR="00537019" w:rsidRPr="00451F5C" w:rsidRDefault="00537019" w:rsidP="00537019">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Likumprojekta 1</w:t>
            </w:r>
            <w:r w:rsidR="00C4059B">
              <w:rPr>
                <w:rFonts w:ascii="Times New Roman" w:eastAsia="Times New Roman" w:hAnsi="Times New Roman" w:cs="Times New Roman"/>
                <w:iCs/>
                <w:color w:val="414142"/>
                <w:sz w:val="24"/>
                <w:szCs w:val="24"/>
                <w:lang w:eastAsia="lv-LV"/>
              </w:rPr>
              <w:t>9</w:t>
            </w:r>
            <w:r w:rsidRPr="00451F5C">
              <w:rPr>
                <w:rFonts w:ascii="Times New Roman" w:eastAsia="Times New Roman" w:hAnsi="Times New Roman" w:cs="Times New Roman"/>
                <w:iCs/>
                <w:color w:val="414142"/>
                <w:sz w:val="24"/>
                <w:szCs w:val="24"/>
                <w:lang w:eastAsia="lv-LV"/>
              </w:rPr>
              <w:t>.pants NILLTFNL 18.pants</w:t>
            </w:r>
          </w:p>
          <w:p w:rsidR="002E6935" w:rsidRPr="00451F5C" w:rsidRDefault="002E6935" w:rsidP="00166F05">
            <w:pPr>
              <w:spacing w:after="0" w:line="240" w:lineRule="auto"/>
              <w:rPr>
                <w:rFonts w:ascii="Times New Roman" w:eastAsia="Times New Roman" w:hAnsi="Times New Roman" w:cs="Times New Roman"/>
                <w:iCs/>
                <w:color w:val="414142"/>
                <w:sz w:val="24"/>
                <w:szCs w:val="24"/>
                <w:lang w:eastAsia="lv-LV"/>
              </w:rPr>
            </w:pPr>
          </w:p>
        </w:tc>
        <w:tc>
          <w:tcPr>
            <w:tcW w:w="1251"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09459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09459C" w:rsidRPr="00451F5C" w:rsidRDefault="003337AA"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1.panta 9.punkts </w:t>
            </w:r>
          </w:p>
        </w:tc>
        <w:tc>
          <w:tcPr>
            <w:tcW w:w="1153" w:type="pct"/>
            <w:tcBorders>
              <w:top w:val="outset" w:sz="6" w:space="0" w:color="auto"/>
              <w:left w:val="outset" w:sz="6" w:space="0" w:color="auto"/>
              <w:bottom w:val="outset" w:sz="6" w:space="0" w:color="auto"/>
              <w:right w:val="outset" w:sz="6" w:space="0" w:color="auto"/>
            </w:tcBorders>
          </w:tcPr>
          <w:p w:rsidR="003337AA" w:rsidRPr="00451F5C" w:rsidRDefault="003337AA" w:rsidP="003337AA">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5D4DCE">
              <w:rPr>
                <w:rFonts w:ascii="Times New Roman" w:eastAsia="Times New Roman" w:hAnsi="Times New Roman" w:cs="Times New Roman"/>
                <w:iCs/>
                <w:color w:val="414142"/>
                <w:sz w:val="24"/>
                <w:szCs w:val="24"/>
                <w:lang w:eastAsia="lv-LV"/>
              </w:rPr>
              <w:t>7</w:t>
            </w:r>
            <w:r w:rsidRPr="00451F5C">
              <w:rPr>
                <w:rFonts w:ascii="Times New Roman" w:eastAsia="Times New Roman" w:hAnsi="Times New Roman" w:cs="Times New Roman"/>
                <w:iCs/>
                <w:color w:val="414142"/>
                <w:sz w:val="24"/>
                <w:szCs w:val="24"/>
                <w:lang w:eastAsia="lv-LV"/>
              </w:rPr>
              <w:t>.</w:t>
            </w:r>
            <w:r w:rsidR="005D4DCE">
              <w:rPr>
                <w:rFonts w:ascii="Times New Roman" w:eastAsia="Times New Roman" w:hAnsi="Times New Roman" w:cs="Times New Roman"/>
                <w:iCs/>
                <w:color w:val="414142"/>
                <w:sz w:val="24"/>
                <w:szCs w:val="24"/>
                <w:lang w:eastAsia="lv-LV"/>
              </w:rPr>
              <w:t>,15.</w:t>
            </w:r>
            <w:r w:rsidRPr="00451F5C">
              <w:rPr>
                <w:rFonts w:ascii="Times New Roman" w:eastAsia="Times New Roman" w:hAnsi="Times New Roman" w:cs="Times New Roman"/>
                <w:iCs/>
                <w:color w:val="414142"/>
                <w:sz w:val="24"/>
                <w:szCs w:val="24"/>
                <w:lang w:eastAsia="lv-LV"/>
              </w:rPr>
              <w:t>pants NILLTFNL 5.</w:t>
            </w:r>
            <w:r w:rsidRPr="00451F5C">
              <w:rPr>
                <w:rFonts w:ascii="Times New Roman" w:eastAsia="Times New Roman" w:hAnsi="Times New Roman" w:cs="Times New Roman"/>
                <w:iCs/>
                <w:color w:val="414142"/>
                <w:sz w:val="24"/>
                <w:szCs w:val="24"/>
                <w:vertAlign w:val="superscript"/>
                <w:lang w:eastAsia="lv-LV"/>
              </w:rPr>
              <w:t>1</w:t>
            </w:r>
            <w:r w:rsidRPr="00451F5C">
              <w:rPr>
                <w:rFonts w:ascii="Times New Roman" w:eastAsia="Times New Roman" w:hAnsi="Times New Roman" w:cs="Times New Roman"/>
                <w:iCs/>
                <w:color w:val="414142"/>
                <w:sz w:val="24"/>
                <w:szCs w:val="24"/>
                <w:lang w:eastAsia="lv-LV"/>
              </w:rPr>
              <w:t>pants un 11.</w:t>
            </w:r>
            <w:r w:rsidRPr="00451F5C">
              <w:rPr>
                <w:rFonts w:ascii="Times New Roman" w:eastAsia="Times New Roman" w:hAnsi="Times New Roman" w:cs="Times New Roman"/>
                <w:iCs/>
                <w:color w:val="414142"/>
                <w:sz w:val="24"/>
                <w:szCs w:val="24"/>
                <w:vertAlign w:val="superscript"/>
                <w:lang w:eastAsia="lv-LV"/>
              </w:rPr>
              <w:t>1</w:t>
            </w:r>
            <w:r w:rsidRPr="00451F5C">
              <w:rPr>
                <w:rFonts w:ascii="Times New Roman" w:eastAsia="Times New Roman" w:hAnsi="Times New Roman" w:cs="Times New Roman"/>
                <w:iCs/>
                <w:color w:val="414142"/>
                <w:sz w:val="24"/>
                <w:szCs w:val="24"/>
                <w:lang w:eastAsia="lv-LV"/>
              </w:rPr>
              <w:t>panta septītā daļa</w:t>
            </w:r>
          </w:p>
          <w:p w:rsidR="0009459C" w:rsidRPr="00451F5C" w:rsidRDefault="0009459C" w:rsidP="00537019">
            <w:pPr>
              <w:spacing w:after="0" w:line="240" w:lineRule="auto"/>
              <w:rPr>
                <w:rFonts w:ascii="Times New Roman" w:eastAsia="Times New Roman" w:hAnsi="Times New Roman" w:cs="Times New Roman"/>
                <w:iCs/>
                <w:color w:val="414142"/>
                <w:sz w:val="24"/>
                <w:szCs w:val="24"/>
                <w:lang w:eastAsia="lv-LV"/>
              </w:rPr>
            </w:pPr>
          </w:p>
        </w:tc>
        <w:tc>
          <w:tcPr>
            <w:tcW w:w="1251" w:type="pct"/>
            <w:tcBorders>
              <w:top w:val="outset" w:sz="6" w:space="0" w:color="auto"/>
              <w:left w:val="outset" w:sz="6" w:space="0" w:color="auto"/>
              <w:bottom w:val="outset" w:sz="6" w:space="0" w:color="auto"/>
              <w:right w:val="outset" w:sz="6" w:space="0" w:color="auto"/>
            </w:tcBorders>
          </w:tcPr>
          <w:p w:rsidR="0009459C" w:rsidRPr="00451F5C" w:rsidRDefault="003337AA"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09459C" w:rsidRPr="00451F5C" w:rsidRDefault="003337AA"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09459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09459C" w:rsidRPr="00451F5C" w:rsidRDefault="00DB5939"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11.punkts</w:t>
            </w:r>
          </w:p>
        </w:tc>
        <w:tc>
          <w:tcPr>
            <w:tcW w:w="1153" w:type="pct"/>
            <w:tcBorders>
              <w:top w:val="outset" w:sz="6" w:space="0" w:color="auto"/>
              <w:left w:val="outset" w:sz="6" w:space="0" w:color="auto"/>
              <w:bottom w:val="outset" w:sz="6" w:space="0" w:color="auto"/>
              <w:right w:val="outset" w:sz="6" w:space="0" w:color="auto"/>
            </w:tcBorders>
          </w:tcPr>
          <w:p w:rsidR="0009459C" w:rsidRPr="00451F5C" w:rsidRDefault="00DB5939" w:rsidP="004076F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5526A7" w:rsidRPr="00451F5C">
              <w:rPr>
                <w:rFonts w:ascii="Times New Roman" w:eastAsia="Times New Roman" w:hAnsi="Times New Roman" w:cs="Times New Roman"/>
                <w:iCs/>
                <w:color w:val="414142"/>
                <w:sz w:val="24"/>
                <w:szCs w:val="24"/>
                <w:lang w:eastAsia="lv-LV"/>
              </w:rPr>
              <w:t>2</w:t>
            </w:r>
            <w:r w:rsidR="004076F5">
              <w:rPr>
                <w:rFonts w:ascii="Times New Roman" w:eastAsia="Times New Roman" w:hAnsi="Times New Roman" w:cs="Times New Roman"/>
                <w:iCs/>
                <w:color w:val="414142"/>
                <w:sz w:val="24"/>
                <w:szCs w:val="24"/>
                <w:lang w:eastAsia="lv-LV"/>
              </w:rPr>
              <w:t>6</w:t>
            </w:r>
            <w:r w:rsidRPr="00451F5C">
              <w:rPr>
                <w:rFonts w:ascii="Times New Roman" w:eastAsia="Times New Roman" w:hAnsi="Times New Roman" w:cs="Times New Roman"/>
                <w:iCs/>
                <w:color w:val="414142"/>
                <w:sz w:val="24"/>
                <w:szCs w:val="24"/>
                <w:lang w:eastAsia="lv-LV"/>
              </w:rPr>
              <w:t xml:space="preserve">.pants NILLTFNL </w:t>
            </w:r>
            <w:r w:rsidR="005526A7" w:rsidRPr="00451F5C">
              <w:rPr>
                <w:rFonts w:ascii="Times New Roman" w:eastAsia="Times New Roman" w:hAnsi="Times New Roman" w:cs="Times New Roman"/>
                <w:iCs/>
                <w:color w:val="414142"/>
                <w:sz w:val="24"/>
                <w:szCs w:val="24"/>
                <w:lang w:eastAsia="lv-LV"/>
              </w:rPr>
              <w:t>25.</w:t>
            </w:r>
            <w:r w:rsidR="005526A7" w:rsidRPr="00451F5C">
              <w:rPr>
                <w:rFonts w:ascii="Times New Roman" w:eastAsia="Times New Roman" w:hAnsi="Times New Roman" w:cs="Times New Roman"/>
                <w:iCs/>
                <w:color w:val="414142"/>
                <w:sz w:val="24"/>
                <w:szCs w:val="24"/>
                <w:vertAlign w:val="superscript"/>
                <w:lang w:eastAsia="lv-LV"/>
              </w:rPr>
              <w:t>1</w:t>
            </w:r>
            <w:r w:rsidR="005526A7" w:rsidRPr="00451F5C">
              <w:rPr>
                <w:rFonts w:ascii="Times New Roman" w:eastAsia="Times New Roman" w:hAnsi="Times New Roman" w:cs="Times New Roman"/>
                <w:iCs/>
                <w:color w:val="414142"/>
                <w:sz w:val="24"/>
                <w:szCs w:val="24"/>
                <w:lang w:eastAsia="lv-LV"/>
              </w:rPr>
              <w:t>pants</w:t>
            </w:r>
          </w:p>
        </w:tc>
        <w:tc>
          <w:tcPr>
            <w:tcW w:w="1251" w:type="pct"/>
            <w:tcBorders>
              <w:top w:val="outset" w:sz="6" w:space="0" w:color="auto"/>
              <w:left w:val="outset" w:sz="6" w:space="0" w:color="auto"/>
              <w:bottom w:val="outset" w:sz="6" w:space="0" w:color="auto"/>
              <w:right w:val="outset" w:sz="6" w:space="0" w:color="auto"/>
            </w:tcBorders>
          </w:tcPr>
          <w:p w:rsidR="0009459C" w:rsidRPr="00451F5C" w:rsidRDefault="005526A7"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09459C" w:rsidRPr="00451F5C" w:rsidRDefault="005526A7"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09459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09459C" w:rsidRPr="00451F5C" w:rsidRDefault="00D94551"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12.punkts</w:t>
            </w:r>
          </w:p>
        </w:tc>
        <w:tc>
          <w:tcPr>
            <w:tcW w:w="1153" w:type="pct"/>
            <w:tcBorders>
              <w:top w:val="outset" w:sz="6" w:space="0" w:color="auto"/>
              <w:left w:val="outset" w:sz="6" w:space="0" w:color="auto"/>
              <w:bottom w:val="outset" w:sz="6" w:space="0" w:color="auto"/>
              <w:right w:val="outset" w:sz="6" w:space="0" w:color="auto"/>
            </w:tcBorders>
          </w:tcPr>
          <w:p w:rsidR="0009459C" w:rsidRPr="00451F5C" w:rsidRDefault="00D94551" w:rsidP="00BE5142">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DB154A" w:rsidRPr="00451F5C">
              <w:rPr>
                <w:rFonts w:ascii="Times New Roman" w:eastAsia="Times New Roman" w:hAnsi="Times New Roman" w:cs="Times New Roman"/>
                <w:iCs/>
                <w:color w:val="414142"/>
                <w:sz w:val="24"/>
                <w:szCs w:val="24"/>
                <w:lang w:eastAsia="lv-LV"/>
              </w:rPr>
              <w:t>2</w:t>
            </w:r>
            <w:r w:rsidR="00BE5142">
              <w:rPr>
                <w:rFonts w:ascii="Times New Roman" w:eastAsia="Times New Roman" w:hAnsi="Times New Roman" w:cs="Times New Roman"/>
                <w:iCs/>
                <w:color w:val="414142"/>
                <w:sz w:val="24"/>
                <w:szCs w:val="24"/>
                <w:lang w:eastAsia="lv-LV"/>
              </w:rPr>
              <w:t>5</w:t>
            </w:r>
            <w:r w:rsidRPr="00451F5C">
              <w:rPr>
                <w:rFonts w:ascii="Times New Roman" w:eastAsia="Times New Roman" w:hAnsi="Times New Roman" w:cs="Times New Roman"/>
                <w:iCs/>
                <w:color w:val="414142"/>
                <w:sz w:val="24"/>
                <w:szCs w:val="24"/>
                <w:lang w:eastAsia="lv-LV"/>
              </w:rPr>
              <w:t xml:space="preserve">.pants NILLTFNL </w:t>
            </w:r>
            <w:r w:rsidR="00DB154A" w:rsidRPr="00451F5C">
              <w:rPr>
                <w:rFonts w:ascii="Times New Roman" w:eastAsia="Times New Roman" w:hAnsi="Times New Roman" w:cs="Times New Roman"/>
                <w:iCs/>
                <w:color w:val="414142"/>
                <w:sz w:val="24"/>
                <w:szCs w:val="24"/>
                <w:lang w:eastAsia="lv-LV"/>
              </w:rPr>
              <w:t>24</w:t>
            </w:r>
            <w:r w:rsidRPr="00451F5C">
              <w:rPr>
                <w:rFonts w:ascii="Times New Roman" w:eastAsia="Times New Roman" w:hAnsi="Times New Roman" w:cs="Times New Roman"/>
                <w:iCs/>
                <w:color w:val="414142"/>
                <w:sz w:val="24"/>
                <w:szCs w:val="24"/>
                <w:lang w:eastAsia="lv-LV"/>
              </w:rPr>
              <w:t>.pant</w:t>
            </w:r>
            <w:r w:rsidR="00DB154A" w:rsidRPr="00451F5C">
              <w:rPr>
                <w:rFonts w:ascii="Times New Roman" w:eastAsia="Times New Roman" w:hAnsi="Times New Roman" w:cs="Times New Roman"/>
                <w:iCs/>
                <w:color w:val="414142"/>
                <w:sz w:val="24"/>
                <w:szCs w:val="24"/>
                <w:lang w:eastAsia="lv-LV"/>
              </w:rPr>
              <w:t>a pirmās daļas ievaddaļa</w:t>
            </w:r>
          </w:p>
        </w:tc>
        <w:tc>
          <w:tcPr>
            <w:tcW w:w="1251" w:type="pct"/>
            <w:tcBorders>
              <w:top w:val="outset" w:sz="6" w:space="0" w:color="auto"/>
              <w:left w:val="outset" w:sz="6" w:space="0" w:color="auto"/>
              <w:bottom w:val="outset" w:sz="6" w:space="0" w:color="auto"/>
              <w:right w:val="outset" w:sz="6" w:space="0" w:color="auto"/>
            </w:tcBorders>
          </w:tcPr>
          <w:p w:rsidR="0009459C" w:rsidRPr="00451F5C" w:rsidRDefault="00DB154A"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09459C" w:rsidRPr="00451F5C" w:rsidRDefault="00DB154A"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1.pants 14.punkts</w:t>
            </w:r>
          </w:p>
        </w:tc>
        <w:tc>
          <w:tcPr>
            <w:tcW w:w="1153" w:type="pct"/>
            <w:tcBorders>
              <w:top w:val="outset" w:sz="6" w:space="0" w:color="auto"/>
              <w:left w:val="outset" w:sz="6" w:space="0" w:color="auto"/>
              <w:bottom w:val="outset" w:sz="6" w:space="0" w:color="auto"/>
              <w:right w:val="outset" w:sz="6" w:space="0" w:color="auto"/>
            </w:tcBorders>
          </w:tcPr>
          <w:p w:rsidR="003C0076" w:rsidRPr="00451F5C" w:rsidRDefault="003C0076" w:rsidP="0018125F">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18125F">
              <w:rPr>
                <w:rFonts w:ascii="Times New Roman" w:eastAsia="Times New Roman" w:hAnsi="Times New Roman" w:cs="Times New Roman"/>
                <w:iCs/>
                <w:color w:val="414142"/>
                <w:sz w:val="24"/>
                <w:szCs w:val="24"/>
                <w:lang w:eastAsia="lv-LV"/>
              </w:rPr>
              <w:t>30</w:t>
            </w:r>
            <w:r w:rsidRPr="00451F5C">
              <w:rPr>
                <w:rFonts w:ascii="Times New Roman" w:eastAsia="Times New Roman" w:hAnsi="Times New Roman" w:cs="Times New Roman"/>
                <w:iCs/>
                <w:color w:val="414142"/>
                <w:sz w:val="24"/>
                <w:szCs w:val="24"/>
                <w:lang w:eastAsia="lv-LV"/>
              </w:rPr>
              <w:t>.pants NILLTFNL 29.panta pirmās daļas 1.punkts</w:t>
            </w:r>
          </w:p>
        </w:tc>
        <w:tc>
          <w:tcPr>
            <w:tcW w:w="1251" w:type="pct"/>
            <w:tcBorders>
              <w:top w:val="outset" w:sz="6" w:space="0" w:color="auto"/>
              <w:left w:val="outset" w:sz="6" w:space="0" w:color="auto"/>
              <w:bottom w:val="outset" w:sz="6" w:space="0" w:color="auto"/>
              <w:right w:val="outset" w:sz="6" w:space="0" w:color="auto"/>
            </w:tcBorders>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3C0076" w:rsidRPr="00451F5C" w:rsidRDefault="003C0076"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3C0076" w:rsidRPr="00451F5C" w:rsidRDefault="00E50A85"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1.pants 15.punkts</w:t>
            </w:r>
          </w:p>
        </w:tc>
        <w:tc>
          <w:tcPr>
            <w:tcW w:w="1153" w:type="pct"/>
            <w:tcBorders>
              <w:top w:val="outset" w:sz="6" w:space="0" w:color="auto"/>
              <w:left w:val="outset" w:sz="6" w:space="0" w:color="auto"/>
              <w:bottom w:val="outset" w:sz="6" w:space="0" w:color="auto"/>
              <w:right w:val="outset" w:sz="6" w:space="0" w:color="auto"/>
            </w:tcBorders>
          </w:tcPr>
          <w:p w:rsidR="003C0076" w:rsidRPr="00451F5C" w:rsidRDefault="001C3AF2" w:rsidP="003C0076">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Likumprojekta 19</w:t>
            </w:r>
            <w:r w:rsidR="00E50A85" w:rsidRPr="00451F5C">
              <w:rPr>
                <w:rFonts w:ascii="Times New Roman" w:eastAsia="Times New Roman" w:hAnsi="Times New Roman" w:cs="Times New Roman"/>
                <w:iCs/>
                <w:color w:val="414142"/>
                <w:sz w:val="24"/>
                <w:szCs w:val="24"/>
                <w:lang w:eastAsia="lv-LV"/>
              </w:rPr>
              <w:t>.pants NILLTFNL 18.pants</w:t>
            </w:r>
          </w:p>
        </w:tc>
        <w:tc>
          <w:tcPr>
            <w:tcW w:w="1251" w:type="pct"/>
            <w:tcBorders>
              <w:top w:val="outset" w:sz="6" w:space="0" w:color="auto"/>
              <w:left w:val="outset" w:sz="6" w:space="0" w:color="auto"/>
              <w:bottom w:val="outset" w:sz="6" w:space="0" w:color="auto"/>
              <w:right w:val="outset" w:sz="6" w:space="0" w:color="auto"/>
            </w:tcBorders>
          </w:tcPr>
          <w:p w:rsidR="003C0076" w:rsidRPr="00451F5C" w:rsidRDefault="00E50A85"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3C0076" w:rsidRPr="00451F5C" w:rsidRDefault="00E50A85"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3C0076" w:rsidRPr="00451F5C" w:rsidRDefault="000F524B"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1.pants 16.punkts</w:t>
            </w:r>
          </w:p>
        </w:tc>
        <w:tc>
          <w:tcPr>
            <w:tcW w:w="1153" w:type="pct"/>
            <w:tcBorders>
              <w:top w:val="outset" w:sz="6" w:space="0" w:color="auto"/>
              <w:left w:val="outset" w:sz="6" w:space="0" w:color="auto"/>
              <w:bottom w:val="outset" w:sz="6" w:space="0" w:color="auto"/>
              <w:right w:val="outset" w:sz="6" w:space="0" w:color="auto"/>
            </w:tcBorders>
          </w:tcPr>
          <w:p w:rsidR="003C0076" w:rsidRPr="00451F5C" w:rsidRDefault="001C3AF2" w:rsidP="001C3AF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Likumprojekta 19</w:t>
            </w:r>
            <w:r w:rsidR="000F524B" w:rsidRPr="00451F5C">
              <w:rPr>
                <w:rFonts w:ascii="Times New Roman" w:eastAsia="Times New Roman" w:hAnsi="Times New Roman" w:cs="Times New Roman"/>
                <w:iCs/>
                <w:color w:val="414142"/>
                <w:sz w:val="24"/>
                <w:szCs w:val="24"/>
                <w:lang w:eastAsia="lv-LV"/>
              </w:rPr>
              <w:t>.-</w:t>
            </w:r>
            <w:r>
              <w:rPr>
                <w:rFonts w:ascii="Times New Roman" w:eastAsia="Times New Roman" w:hAnsi="Times New Roman" w:cs="Times New Roman"/>
                <w:iCs/>
                <w:color w:val="414142"/>
                <w:sz w:val="24"/>
                <w:szCs w:val="24"/>
                <w:lang w:eastAsia="lv-LV"/>
              </w:rPr>
              <w:t>22</w:t>
            </w:r>
            <w:r w:rsidR="000F524B" w:rsidRPr="00451F5C">
              <w:rPr>
                <w:rFonts w:ascii="Times New Roman" w:eastAsia="Times New Roman" w:hAnsi="Times New Roman" w:cs="Times New Roman"/>
                <w:iCs/>
                <w:color w:val="414142"/>
                <w:sz w:val="24"/>
                <w:szCs w:val="24"/>
                <w:lang w:eastAsia="lv-LV"/>
              </w:rPr>
              <w:t>.pants NILLTFNL 18.pants, 18.</w:t>
            </w:r>
            <w:r w:rsidR="000F524B" w:rsidRPr="00451F5C">
              <w:rPr>
                <w:rFonts w:ascii="Times New Roman" w:eastAsia="Times New Roman" w:hAnsi="Times New Roman" w:cs="Times New Roman"/>
                <w:iCs/>
                <w:color w:val="414142"/>
                <w:sz w:val="24"/>
                <w:szCs w:val="24"/>
                <w:vertAlign w:val="superscript"/>
                <w:lang w:eastAsia="lv-LV"/>
              </w:rPr>
              <w:t>1</w:t>
            </w:r>
            <w:r w:rsidR="000F524B" w:rsidRPr="00451F5C">
              <w:rPr>
                <w:rFonts w:ascii="Times New Roman" w:eastAsia="Times New Roman" w:hAnsi="Times New Roman" w:cs="Times New Roman"/>
                <w:iCs/>
                <w:color w:val="414142"/>
                <w:sz w:val="24"/>
                <w:szCs w:val="24"/>
                <w:lang w:eastAsia="lv-LV"/>
              </w:rPr>
              <w:t xml:space="preserve">pants, </w:t>
            </w:r>
            <w:r w:rsidR="000F524B" w:rsidRPr="00451F5C">
              <w:rPr>
                <w:rFonts w:ascii="Times New Roman" w:eastAsia="Times New Roman" w:hAnsi="Times New Roman" w:cs="Times New Roman"/>
                <w:iCs/>
                <w:color w:val="414142"/>
                <w:sz w:val="24"/>
                <w:szCs w:val="24"/>
                <w:lang w:eastAsia="lv-LV"/>
              </w:rPr>
              <w:lastRenderedPageBreak/>
              <w:t>18.</w:t>
            </w:r>
            <w:r w:rsidR="000F524B" w:rsidRPr="00451F5C">
              <w:rPr>
                <w:rFonts w:ascii="Times New Roman" w:eastAsia="Times New Roman" w:hAnsi="Times New Roman" w:cs="Times New Roman"/>
                <w:iCs/>
                <w:color w:val="414142"/>
                <w:sz w:val="24"/>
                <w:szCs w:val="24"/>
                <w:vertAlign w:val="superscript"/>
                <w:lang w:eastAsia="lv-LV"/>
              </w:rPr>
              <w:t>2</w:t>
            </w:r>
            <w:r w:rsidR="000F524B" w:rsidRPr="00451F5C">
              <w:rPr>
                <w:rFonts w:ascii="Times New Roman" w:eastAsia="Times New Roman" w:hAnsi="Times New Roman" w:cs="Times New Roman"/>
                <w:iCs/>
                <w:color w:val="414142"/>
                <w:sz w:val="24"/>
                <w:szCs w:val="24"/>
                <w:lang w:eastAsia="lv-LV"/>
              </w:rPr>
              <w:t>pants,  18.</w:t>
            </w:r>
            <w:r w:rsidR="000F524B" w:rsidRPr="00451F5C">
              <w:rPr>
                <w:rFonts w:ascii="Times New Roman" w:eastAsia="Times New Roman" w:hAnsi="Times New Roman" w:cs="Times New Roman"/>
                <w:iCs/>
                <w:color w:val="414142"/>
                <w:sz w:val="24"/>
                <w:szCs w:val="24"/>
                <w:vertAlign w:val="superscript"/>
                <w:lang w:eastAsia="lv-LV"/>
              </w:rPr>
              <w:t>3</w:t>
            </w:r>
            <w:r w:rsidR="000F524B" w:rsidRPr="00451F5C">
              <w:rPr>
                <w:rFonts w:ascii="Times New Roman" w:eastAsia="Times New Roman" w:hAnsi="Times New Roman" w:cs="Times New Roman"/>
                <w:iCs/>
                <w:color w:val="414142"/>
                <w:sz w:val="24"/>
                <w:szCs w:val="24"/>
                <w:lang w:eastAsia="lv-LV"/>
              </w:rPr>
              <w:t xml:space="preserve">pants,   </w:t>
            </w:r>
          </w:p>
        </w:tc>
        <w:tc>
          <w:tcPr>
            <w:tcW w:w="1251" w:type="pct"/>
            <w:tcBorders>
              <w:top w:val="outset" w:sz="6" w:space="0" w:color="auto"/>
              <w:left w:val="outset" w:sz="6" w:space="0" w:color="auto"/>
              <w:bottom w:val="outset" w:sz="6" w:space="0" w:color="auto"/>
              <w:right w:val="outset" w:sz="6" w:space="0" w:color="auto"/>
            </w:tcBorders>
          </w:tcPr>
          <w:p w:rsidR="003C0076" w:rsidRPr="00451F5C" w:rsidRDefault="0033662D"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Daļēji ieviests</w:t>
            </w:r>
          </w:p>
        </w:tc>
        <w:tc>
          <w:tcPr>
            <w:tcW w:w="1362" w:type="pct"/>
            <w:tcBorders>
              <w:top w:val="outset" w:sz="6" w:space="0" w:color="auto"/>
              <w:left w:val="outset" w:sz="6" w:space="0" w:color="auto"/>
              <w:bottom w:val="outset" w:sz="6" w:space="0" w:color="auto"/>
              <w:right w:val="outset" w:sz="6" w:space="0" w:color="auto"/>
            </w:tcBorders>
          </w:tcPr>
          <w:p w:rsidR="003C0076" w:rsidRPr="00451F5C" w:rsidRDefault="0033662D"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547E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547E31" w:rsidRPr="00451F5C" w:rsidRDefault="0042366F"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1.panta 23.punkts </w:t>
            </w:r>
          </w:p>
        </w:tc>
        <w:tc>
          <w:tcPr>
            <w:tcW w:w="1153" w:type="pct"/>
            <w:tcBorders>
              <w:top w:val="outset" w:sz="6" w:space="0" w:color="auto"/>
              <w:left w:val="outset" w:sz="6" w:space="0" w:color="auto"/>
              <w:bottom w:val="outset" w:sz="6" w:space="0" w:color="auto"/>
              <w:right w:val="outset" w:sz="6" w:space="0" w:color="auto"/>
            </w:tcBorders>
          </w:tcPr>
          <w:p w:rsidR="00547E31" w:rsidRPr="00451F5C" w:rsidRDefault="0042366F" w:rsidP="002D436A">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2D436A">
              <w:rPr>
                <w:rFonts w:ascii="Times New Roman" w:eastAsia="Times New Roman" w:hAnsi="Times New Roman" w:cs="Times New Roman"/>
                <w:iCs/>
                <w:color w:val="414142"/>
                <w:sz w:val="24"/>
                <w:szCs w:val="24"/>
                <w:lang w:eastAsia="lv-LV"/>
              </w:rPr>
              <w:t>51</w:t>
            </w:r>
            <w:r w:rsidRPr="00451F5C">
              <w:rPr>
                <w:rFonts w:ascii="Times New Roman" w:eastAsia="Times New Roman" w:hAnsi="Times New Roman" w:cs="Times New Roman"/>
                <w:iCs/>
                <w:color w:val="414142"/>
                <w:sz w:val="24"/>
                <w:szCs w:val="24"/>
                <w:lang w:eastAsia="lv-LV"/>
              </w:rPr>
              <w:t>.pants NILLTFNL 83. un 84.pants</w:t>
            </w:r>
          </w:p>
        </w:tc>
        <w:tc>
          <w:tcPr>
            <w:tcW w:w="1251" w:type="pct"/>
            <w:tcBorders>
              <w:top w:val="outset" w:sz="6" w:space="0" w:color="auto"/>
              <w:left w:val="outset" w:sz="6" w:space="0" w:color="auto"/>
              <w:bottom w:val="outset" w:sz="6" w:space="0" w:color="auto"/>
              <w:right w:val="outset" w:sz="6" w:space="0" w:color="auto"/>
            </w:tcBorders>
          </w:tcPr>
          <w:p w:rsidR="00547E31" w:rsidRPr="00451F5C" w:rsidRDefault="0042366F"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547E31" w:rsidRPr="00451F5C" w:rsidRDefault="0042366F"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547E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547E31" w:rsidRPr="00451F5C" w:rsidRDefault="00FE119C"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24.punkts</w:t>
            </w:r>
          </w:p>
        </w:tc>
        <w:tc>
          <w:tcPr>
            <w:tcW w:w="1153" w:type="pct"/>
            <w:tcBorders>
              <w:top w:val="outset" w:sz="6" w:space="0" w:color="auto"/>
              <w:left w:val="outset" w:sz="6" w:space="0" w:color="auto"/>
              <w:bottom w:val="outset" w:sz="6" w:space="0" w:color="auto"/>
              <w:right w:val="outset" w:sz="6" w:space="0" w:color="auto"/>
            </w:tcBorders>
          </w:tcPr>
          <w:p w:rsidR="00547E31" w:rsidRPr="00451F5C" w:rsidRDefault="00CD0956" w:rsidP="004F19F3">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4F19F3">
              <w:rPr>
                <w:rFonts w:ascii="Times New Roman" w:eastAsia="Times New Roman" w:hAnsi="Times New Roman" w:cs="Times New Roman"/>
                <w:iCs/>
                <w:color w:val="414142"/>
                <w:sz w:val="24"/>
                <w:szCs w:val="24"/>
                <w:lang w:eastAsia="lv-LV"/>
              </w:rPr>
              <w:t>34</w:t>
            </w:r>
            <w:r w:rsidRPr="00451F5C">
              <w:rPr>
                <w:rFonts w:ascii="Times New Roman" w:eastAsia="Times New Roman" w:hAnsi="Times New Roman" w:cs="Times New Roman"/>
                <w:iCs/>
                <w:color w:val="414142"/>
                <w:sz w:val="24"/>
                <w:szCs w:val="24"/>
                <w:lang w:eastAsia="lv-LV"/>
              </w:rPr>
              <w:t>.pants NILLTFNL 38.pants</w:t>
            </w:r>
          </w:p>
        </w:tc>
        <w:tc>
          <w:tcPr>
            <w:tcW w:w="1251" w:type="pct"/>
            <w:tcBorders>
              <w:top w:val="outset" w:sz="6" w:space="0" w:color="auto"/>
              <w:left w:val="outset" w:sz="6" w:space="0" w:color="auto"/>
              <w:bottom w:val="outset" w:sz="6" w:space="0" w:color="auto"/>
              <w:right w:val="outset" w:sz="6" w:space="0" w:color="auto"/>
            </w:tcBorders>
          </w:tcPr>
          <w:p w:rsidR="00547E31" w:rsidRPr="00451F5C" w:rsidRDefault="00CD095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547E31" w:rsidRPr="00451F5C" w:rsidRDefault="00CD0956"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547E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547E31" w:rsidRPr="00451F5C" w:rsidRDefault="001F5B31"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25.punkts</w:t>
            </w:r>
          </w:p>
        </w:tc>
        <w:tc>
          <w:tcPr>
            <w:tcW w:w="1153" w:type="pct"/>
            <w:tcBorders>
              <w:top w:val="outset" w:sz="6" w:space="0" w:color="auto"/>
              <w:left w:val="outset" w:sz="6" w:space="0" w:color="auto"/>
              <w:bottom w:val="outset" w:sz="6" w:space="0" w:color="auto"/>
              <w:right w:val="outset" w:sz="6" w:space="0" w:color="auto"/>
            </w:tcBorders>
          </w:tcPr>
          <w:p w:rsidR="00547E31" w:rsidRPr="00451F5C" w:rsidRDefault="004F19F3" w:rsidP="004F19F3">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Likumprojekta 33</w:t>
            </w:r>
            <w:r w:rsidR="001F5B31" w:rsidRPr="00451F5C">
              <w:rPr>
                <w:rFonts w:ascii="Times New Roman" w:eastAsia="Times New Roman" w:hAnsi="Times New Roman" w:cs="Times New Roman"/>
                <w:iCs/>
                <w:color w:val="414142"/>
                <w:sz w:val="24"/>
                <w:szCs w:val="24"/>
                <w:lang w:eastAsia="lv-LV"/>
              </w:rPr>
              <w:t>.pants NILLTFNL 37.pants</w:t>
            </w:r>
          </w:p>
        </w:tc>
        <w:tc>
          <w:tcPr>
            <w:tcW w:w="1251" w:type="pct"/>
            <w:tcBorders>
              <w:top w:val="outset" w:sz="6" w:space="0" w:color="auto"/>
              <w:left w:val="outset" w:sz="6" w:space="0" w:color="auto"/>
              <w:bottom w:val="outset" w:sz="6" w:space="0" w:color="auto"/>
              <w:right w:val="outset" w:sz="6" w:space="0" w:color="auto"/>
            </w:tcBorders>
          </w:tcPr>
          <w:p w:rsidR="00547E31" w:rsidRPr="00451F5C" w:rsidRDefault="001F5B31"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547E31" w:rsidRPr="00451F5C" w:rsidRDefault="001F5B31"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1F5B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1F5B31" w:rsidRPr="00451F5C" w:rsidRDefault="009959B8"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26.punkts</w:t>
            </w:r>
          </w:p>
        </w:tc>
        <w:tc>
          <w:tcPr>
            <w:tcW w:w="1153" w:type="pct"/>
            <w:tcBorders>
              <w:top w:val="outset" w:sz="6" w:space="0" w:color="auto"/>
              <w:left w:val="outset" w:sz="6" w:space="0" w:color="auto"/>
              <w:bottom w:val="outset" w:sz="6" w:space="0" w:color="auto"/>
              <w:right w:val="outset" w:sz="6" w:space="0" w:color="auto"/>
            </w:tcBorders>
          </w:tcPr>
          <w:p w:rsidR="001F5B31" w:rsidRPr="00451F5C" w:rsidRDefault="003D4D3A" w:rsidP="003D4D3A">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Likumprojekta 3.pants NILLTFNL 3.panta piektā daļa</w:t>
            </w:r>
          </w:p>
        </w:tc>
        <w:tc>
          <w:tcPr>
            <w:tcW w:w="1251" w:type="pct"/>
            <w:tcBorders>
              <w:top w:val="outset" w:sz="6" w:space="0" w:color="auto"/>
              <w:left w:val="outset" w:sz="6" w:space="0" w:color="auto"/>
              <w:bottom w:val="outset" w:sz="6" w:space="0" w:color="auto"/>
              <w:right w:val="outset" w:sz="6" w:space="0" w:color="auto"/>
            </w:tcBorders>
          </w:tcPr>
          <w:p w:rsidR="001F5B31" w:rsidRPr="00451F5C" w:rsidRDefault="003D4D3A"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1F5B31" w:rsidRPr="00451F5C" w:rsidRDefault="003D4D3A"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1F5B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1F5B31" w:rsidRPr="00451F5C" w:rsidRDefault="00951DAA" w:rsidP="00D269A4">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1.panta </w:t>
            </w:r>
            <w:r w:rsidR="00D269A4" w:rsidRPr="00451F5C">
              <w:rPr>
                <w:rFonts w:ascii="Times New Roman" w:eastAsia="Times New Roman" w:hAnsi="Times New Roman" w:cs="Times New Roman"/>
                <w:iCs/>
                <w:color w:val="414142"/>
                <w:sz w:val="24"/>
                <w:szCs w:val="24"/>
                <w:lang w:eastAsia="lv-LV"/>
              </w:rPr>
              <w:t>32</w:t>
            </w:r>
            <w:r w:rsidRPr="00451F5C">
              <w:rPr>
                <w:rFonts w:ascii="Times New Roman" w:eastAsia="Times New Roman" w:hAnsi="Times New Roman" w:cs="Times New Roman"/>
                <w:iCs/>
                <w:color w:val="414142"/>
                <w:sz w:val="24"/>
                <w:szCs w:val="24"/>
                <w:lang w:eastAsia="lv-LV"/>
              </w:rPr>
              <w:t xml:space="preserve">.punkts </w:t>
            </w:r>
          </w:p>
        </w:tc>
        <w:tc>
          <w:tcPr>
            <w:tcW w:w="1153" w:type="pct"/>
            <w:tcBorders>
              <w:top w:val="outset" w:sz="6" w:space="0" w:color="auto"/>
              <w:left w:val="outset" w:sz="6" w:space="0" w:color="auto"/>
              <w:bottom w:val="outset" w:sz="6" w:space="0" w:color="auto"/>
              <w:right w:val="outset" w:sz="6" w:space="0" w:color="auto"/>
            </w:tcBorders>
          </w:tcPr>
          <w:p w:rsidR="001F5B31" w:rsidRPr="00451F5C" w:rsidRDefault="00951DAA"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4F19F3">
              <w:rPr>
                <w:rFonts w:ascii="Times New Roman" w:eastAsia="Times New Roman" w:hAnsi="Times New Roman" w:cs="Times New Roman"/>
                <w:iCs/>
                <w:color w:val="414142"/>
                <w:sz w:val="24"/>
                <w:szCs w:val="24"/>
                <w:lang w:eastAsia="lv-LV"/>
              </w:rPr>
              <w:t>37</w:t>
            </w:r>
            <w:r w:rsidR="00D269A4" w:rsidRPr="00451F5C">
              <w:rPr>
                <w:rFonts w:ascii="Times New Roman" w:eastAsia="Times New Roman" w:hAnsi="Times New Roman" w:cs="Times New Roman"/>
                <w:iCs/>
                <w:color w:val="414142"/>
                <w:sz w:val="24"/>
                <w:szCs w:val="24"/>
                <w:lang w:eastAsia="lv-LV"/>
              </w:rPr>
              <w:t>.pants NILLTFNL 44.pants</w:t>
            </w:r>
          </w:p>
        </w:tc>
        <w:tc>
          <w:tcPr>
            <w:tcW w:w="1251" w:type="pct"/>
            <w:tcBorders>
              <w:top w:val="outset" w:sz="6" w:space="0" w:color="auto"/>
              <w:left w:val="outset" w:sz="6" w:space="0" w:color="auto"/>
              <w:bottom w:val="outset" w:sz="6" w:space="0" w:color="auto"/>
              <w:right w:val="outset" w:sz="6" w:space="0" w:color="auto"/>
            </w:tcBorders>
          </w:tcPr>
          <w:p w:rsidR="001F5B31" w:rsidRPr="00451F5C" w:rsidRDefault="00D269A4"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1F5B31" w:rsidRPr="00451F5C" w:rsidRDefault="00D269A4"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1D2D32"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1D2D32" w:rsidRPr="00451F5C" w:rsidRDefault="00D269A4"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33.punkts</w:t>
            </w:r>
          </w:p>
        </w:tc>
        <w:tc>
          <w:tcPr>
            <w:tcW w:w="1153" w:type="pct"/>
            <w:tcBorders>
              <w:top w:val="outset" w:sz="6" w:space="0" w:color="auto"/>
              <w:left w:val="outset" w:sz="6" w:space="0" w:color="auto"/>
              <w:bottom w:val="outset" w:sz="6" w:space="0" w:color="auto"/>
              <w:right w:val="outset" w:sz="6" w:space="0" w:color="auto"/>
            </w:tcBorders>
          </w:tcPr>
          <w:p w:rsidR="001D2D32" w:rsidRPr="00451F5C" w:rsidRDefault="00D269A4" w:rsidP="004F19F3">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4F19F3">
              <w:rPr>
                <w:rFonts w:ascii="Times New Roman" w:eastAsia="Times New Roman" w:hAnsi="Times New Roman" w:cs="Times New Roman"/>
                <w:iCs/>
                <w:color w:val="414142"/>
                <w:sz w:val="24"/>
                <w:szCs w:val="24"/>
                <w:lang w:eastAsia="lv-LV"/>
              </w:rPr>
              <w:t>41</w:t>
            </w:r>
            <w:r w:rsidRPr="00451F5C">
              <w:rPr>
                <w:rFonts w:ascii="Times New Roman" w:eastAsia="Times New Roman" w:hAnsi="Times New Roman" w:cs="Times New Roman"/>
                <w:iCs/>
                <w:color w:val="414142"/>
                <w:sz w:val="24"/>
                <w:szCs w:val="24"/>
                <w:lang w:eastAsia="lv-LV"/>
              </w:rPr>
              <w:t>.pants NILLTFNL 47.</w:t>
            </w:r>
            <w:r w:rsidRPr="00451F5C">
              <w:rPr>
                <w:rFonts w:ascii="Times New Roman" w:eastAsia="Times New Roman" w:hAnsi="Times New Roman" w:cs="Times New Roman"/>
                <w:iCs/>
                <w:color w:val="414142"/>
                <w:sz w:val="24"/>
                <w:szCs w:val="24"/>
                <w:vertAlign w:val="superscript"/>
                <w:lang w:eastAsia="lv-LV"/>
              </w:rPr>
              <w:t>1</w:t>
            </w:r>
            <w:r w:rsidRPr="00451F5C">
              <w:rPr>
                <w:rFonts w:ascii="Times New Roman" w:eastAsia="Times New Roman" w:hAnsi="Times New Roman" w:cs="Times New Roman"/>
                <w:iCs/>
                <w:color w:val="414142"/>
                <w:sz w:val="24"/>
                <w:szCs w:val="24"/>
                <w:lang w:eastAsia="lv-LV"/>
              </w:rPr>
              <w:t>pants un 47.</w:t>
            </w:r>
            <w:r w:rsidRPr="00451F5C">
              <w:rPr>
                <w:rFonts w:ascii="Times New Roman" w:eastAsia="Times New Roman" w:hAnsi="Times New Roman" w:cs="Times New Roman"/>
                <w:iCs/>
                <w:color w:val="414142"/>
                <w:sz w:val="24"/>
                <w:szCs w:val="24"/>
                <w:vertAlign w:val="superscript"/>
                <w:lang w:eastAsia="lv-LV"/>
              </w:rPr>
              <w:t>2</w:t>
            </w:r>
            <w:r w:rsidRPr="00451F5C">
              <w:rPr>
                <w:rFonts w:ascii="Times New Roman" w:eastAsia="Times New Roman" w:hAnsi="Times New Roman" w:cs="Times New Roman"/>
                <w:iCs/>
                <w:color w:val="414142"/>
                <w:sz w:val="24"/>
                <w:szCs w:val="24"/>
                <w:lang w:eastAsia="lv-LV"/>
              </w:rPr>
              <w:t>pants</w:t>
            </w:r>
          </w:p>
        </w:tc>
        <w:tc>
          <w:tcPr>
            <w:tcW w:w="1251" w:type="pct"/>
            <w:tcBorders>
              <w:top w:val="outset" w:sz="6" w:space="0" w:color="auto"/>
              <w:left w:val="outset" w:sz="6" w:space="0" w:color="auto"/>
              <w:bottom w:val="outset" w:sz="6" w:space="0" w:color="auto"/>
              <w:right w:val="outset" w:sz="6" w:space="0" w:color="auto"/>
            </w:tcBorders>
          </w:tcPr>
          <w:p w:rsidR="001D2D32" w:rsidRPr="00451F5C" w:rsidRDefault="00D269A4"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1D2D32" w:rsidRPr="00451F5C" w:rsidRDefault="00D269A4"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4F19F3" w:rsidP="00D31D7E">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AML V direktīvas normas tiek transponētas atbilstoši nacionālajai </w:t>
            </w:r>
            <w:r w:rsidR="00D31D7E">
              <w:rPr>
                <w:rFonts w:ascii="Times New Roman" w:eastAsia="Times New Roman" w:hAnsi="Times New Roman" w:cs="Times New Roman"/>
                <w:iCs/>
                <w:color w:val="414142"/>
                <w:sz w:val="24"/>
                <w:szCs w:val="24"/>
                <w:lang w:eastAsia="lv-LV"/>
              </w:rPr>
              <w:t>tiesību sistēmai</w:t>
            </w:r>
            <w:r w:rsidR="00B96086">
              <w:rPr>
                <w:rFonts w:ascii="Times New Roman" w:eastAsia="Times New Roman" w:hAnsi="Times New Roman" w:cs="Times New Roman"/>
                <w:iCs/>
                <w:color w:val="414142"/>
                <w:sz w:val="24"/>
                <w:szCs w:val="24"/>
                <w:lang w:eastAsia="lv-LV"/>
              </w:rPr>
              <w:t xml:space="preserve">. </w:t>
            </w:r>
            <w:r w:rsidR="00D31D7E">
              <w:rPr>
                <w:rFonts w:ascii="Times New Roman" w:eastAsia="Times New Roman" w:hAnsi="Times New Roman" w:cs="Times New Roman"/>
                <w:iCs/>
                <w:color w:val="414142"/>
                <w:sz w:val="24"/>
                <w:szCs w:val="24"/>
                <w:lang w:eastAsia="lv-LV"/>
              </w:rPr>
              <w:t xml:space="preserve">Nav paredzēts </w:t>
            </w:r>
            <w:r w:rsidR="00B96086">
              <w:rPr>
                <w:rFonts w:ascii="Times New Roman" w:eastAsia="Times New Roman" w:hAnsi="Times New Roman" w:cs="Times New Roman"/>
                <w:iCs/>
                <w:color w:val="414142"/>
                <w:sz w:val="24"/>
                <w:szCs w:val="24"/>
                <w:lang w:eastAsia="lv-LV"/>
              </w:rPr>
              <w:t>piemērot atkāpes no Eiropas Savienības AML V direktīvas prasīb</w:t>
            </w:r>
            <w:r w:rsidR="00D31D7E">
              <w:rPr>
                <w:rFonts w:ascii="Times New Roman" w:eastAsia="Times New Roman" w:hAnsi="Times New Roman" w:cs="Times New Roman"/>
                <w:iCs/>
                <w:color w:val="414142"/>
                <w:sz w:val="24"/>
                <w:szCs w:val="24"/>
                <w:lang w:eastAsia="lv-LV"/>
              </w:rPr>
              <w:t>ām</w:t>
            </w:r>
            <w:r w:rsidR="00B96086">
              <w:rPr>
                <w:rFonts w:ascii="Times New Roman" w:eastAsia="Times New Roman" w:hAnsi="Times New Roman" w:cs="Times New Roman"/>
                <w:iCs/>
                <w:color w:val="414142"/>
                <w:sz w:val="24"/>
                <w:szCs w:val="24"/>
                <w:lang w:eastAsia="lv-LV"/>
              </w:rPr>
              <w:t xml:space="preserve">. </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451F5C">
              <w:rPr>
                <w:rFonts w:ascii="Times New Roman" w:eastAsia="Times New Roman" w:hAnsi="Times New Roman" w:cs="Times New Roman"/>
                <w:iCs/>
                <w:color w:val="414142"/>
                <w:sz w:val="24"/>
                <w:szCs w:val="24"/>
                <w:lang w:eastAsia="lv-LV"/>
              </w:rPr>
              <w:lastRenderedPageBreak/>
              <w:t>(attiecībā uz monetāro politiku) projektiem</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3578C1" w:rsidP="003C0076">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lastRenderedPageBreak/>
              <w:t>Projekts šo jomu neskar.</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3578C1" w:rsidP="003C0076">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Nav</w:t>
            </w:r>
            <w:r w:rsidR="00D31D7E">
              <w:rPr>
                <w:rFonts w:ascii="Times New Roman" w:eastAsia="Times New Roman" w:hAnsi="Times New Roman" w:cs="Times New Roman"/>
                <w:iCs/>
                <w:color w:val="414142"/>
                <w:sz w:val="24"/>
                <w:szCs w:val="24"/>
                <w:lang w:eastAsia="lv-LV"/>
              </w:rPr>
              <w:t>.</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F06F8F"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Nav</w:t>
            </w:r>
            <w:r w:rsidR="00D31D7E">
              <w:rPr>
                <w:rFonts w:ascii="Times New Roman" w:eastAsia="Times New Roman" w:hAnsi="Times New Roman" w:cs="Times New Roman"/>
                <w:iCs/>
                <w:color w:val="414142"/>
                <w:sz w:val="24"/>
                <w:szCs w:val="24"/>
                <w:lang w:eastAsia="lv-LV"/>
              </w:rPr>
              <w:t>.</w:t>
            </w:r>
            <w:r w:rsidRPr="00451F5C">
              <w:rPr>
                <w:rFonts w:ascii="Times New Roman" w:eastAsia="Times New Roman" w:hAnsi="Times New Roman" w:cs="Times New Roman"/>
                <w:iCs/>
                <w:color w:val="414142"/>
                <w:sz w:val="24"/>
                <w:szCs w:val="24"/>
                <w:lang w:eastAsia="lv-LV"/>
              </w:rPr>
              <w:t xml:space="preserve"> </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p w:rsidR="00EC4AD8" w:rsidRPr="00451F5C" w:rsidRDefault="00EC4A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451F5C" w:rsidTr="009D70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451F5C" w:rsidP="00D31D7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Likumprojekta</w:t>
            </w:r>
            <w:r w:rsidR="00342711" w:rsidRPr="00451F5C">
              <w:rPr>
                <w:rFonts w:ascii="Times New Roman" w:eastAsia="Times New Roman" w:hAnsi="Times New Roman" w:cs="Times New Roman"/>
                <w:iCs/>
                <w:color w:val="414142"/>
                <w:sz w:val="24"/>
                <w:szCs w:val="24"/>
                <w:lang w:eastAsia="lv-LV"/>
              </w:rPr>
              <w:t xml:space="preserve"> izstrāde notika</w:t>
            </w:r>
            <w:r w:rsidR="00D31D7E">
              <w:rPr>
                <w:rFonts w:ascii="Times New Roman" w:eastAsia="Times New Roman" w:hAnsi="Times New Roman" w:cs="Times New Roman"/>
                <w:iCs/>
                <w:color w:val="414142"/>
                <w:sz w:val="24"/>
                <w:szCs w:val="24"/>
                <w:lang w:eastAsia="lv-LV"/>
              </w:rPr>
              <w:t>,</w:t>
            </w:r>
            <w:r w:rsidR="00342711" w:rsidRPr="00451F5C">
              <w:rPr>
                <w:rFonts w:ascii="Times New Roman" w:eastAsia="Times New Roman" w:hAnsi="Times New Roman" w:cs="Times New Roman"/>
                <w:iCs/>
                <w:color w:val="414142"/>
                <w:sz w:val="24"/>
                <w:szCs w:val="24"/>
                <w:lang w:eastAsia="lv-LV"/>
              </w:rPr>
              <w:t xml:space="preserve"> konsultējoties ar Tieslietu ministriju, Finanšu un kapi</w:t>
            </w:r>
            <w:r w:rsidR="00D31D7E">
              <w:rPr>
                <w:rFonts w:ascii="Times New Roman" w:eastAsia="Times New Roman" w:hAnsi="Times New Roman" w:cs="Times New Roman"/>
                <w:iCs/>
                <w:color w:val="414142"/>
                <w:sz w:val="24"/>
                <w:szCs w:val="24"/>
                <w:lang w:eastAsia="lv-LV"/>
              </w:rPr>
              <w:t>tāla tirgus komisiju, Latvijas b</w:t>
            </w:r>
            <w:r w:rsidR="00342711" w:rsidRPr="00451F5C">
              <w:rPr>
                <w:rFonts w:ascii="Times New Roman" w:eastAsia="Times New Roman" w:hAnsi="Times New Roman" w:cs="Times New Roman"/>
                <w:iCs/>
                <w:color w:val="414142"/>
                <w:sz w:val="24"/>
                <w:szCs w:val="24"/>
                <w:lang w:eastAsia="lv-LV"/>
              </w:rPr>
              <w:t>anku</w:t>
            </w:r>
            <w:r w:rsidR="009D7044" w:rsidRPr="00451F5C">
              <w:rPr>
                <w:rFonts w:ascii="Times New Roman" w:eastAsia="Times New Roman" w:hAnsi="Times New Roman" w:cs="Times New Roman"/>
                <w:iCs/>
                <w:color w:val="414142"/>
                <w:sz w:val="24"/>
                <w:szCs w:val="24"/>
                <w:lang w:eastAsia="lv-LV"/>
              </w:rPr>
              <w:t>, Valsts ieņēmumu dienestu</w:t>
            </w:r>
            <w:r w:rsidR="00D31D7E">
              <w:rPr>
                <w:rFonts w:ascii="Times New Roman" w:eastAsia="Times New Roman" w:hAnsi="Times New Roman" w:cs="Times New Roman"/>
                <w:iCs/>
                <w:color w:val="414142"/>
                <w:sz w:val="24"/>
                <w:szCs w:val="24"/>
                <w:lang w:eastAsia="lv-LV"/>
              </w:rPr>
              <w:t>.</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771DEE" w:rsidP="00D31D7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Likumprojekta izstrādes gaitā</w:t>
            </w:r>
            <w:r w:rsidR="00D31D7E">
              <w:rPr>
                <w:rFonts w:ascii="Times New Roman" w:eastAsia="Times New Roman" w:hAnsi="Times New Roman" w:cs="Times New Roman"/>
                <w:iCs/>
                <w:color w:val="414142"/>
                <w:sz w:val="24"/>
                <w:szCs w:val="24"/>
                <w:lang w:eastAsia="lv-LV"/>
              </w:rPr>
              <w:t xml:space="preserve"> </w:t>
            </w:r>
            <w:r w:rsidR="009D7044" w:rsidRPr="00451F5C">
              <w:rPr>
                <w:rFonts w:ascii="Times New Roman" w:eastAsia="Times New Roman" w:hAnsi="Times New Roman" w:cs="Times New Roman"/>
                <w:iCs/>
                <w:color w:val="414142"/>
                <w:sz w:val="24"/>
                <w:szCs w:val="24"/>
                <w:lang w:eastAsia="lv-LV"/>
              </w:rPr>
              <w:t xml:space="preserve">Latvijas </w:t>
            </w:r>
            <w:r w:rsidR="0089027E" w:rsidRPr="00451F5C">
              <w:rPr>
                <w:rFonts w:ascii="Times New Roman" w:eastAsia="Times New Roman" w:hAnsi="Times New Roman" w:cs="Times New Roman"/>
                <w:iCs/>
                <w:color w:val="414142"/>
                <w:sz w:val="24"/>
                <w:szCs w:val="24"/>
                <w:lang w:eastAsia="lv-LV"/>
              </w:rPr>
              <w:t>Finanšu nozares</w:t>
            </w:r>
            <w:r w:rsidR="009D7044" w:rsidRPr="00451F5C">
              <w:rPr>
                <w:rFonts w:ascii="Times New Roman" w:eastAsia="Times New Roman" w:hAnsi="Times New Roman" w:cs="Times New Roman"/>
                <w:iCs/>
                <w:color w:val="414142"/>
                <w:sz w:val="24"/>
                <w:szCs w:val="24"/>
                <w:lang w:eastAsia="lv-LV"/>
              </w:rPr>
              <w:t xml:space="preserve"> asociā</w:t>
            </w:r>
            <w:r w:rsidR="00D31D7E">
              <w:rPr>
                <w:rFonts w:ascii="Times New Roman" w:eastAsia="Times New Roman" w:hAnsi="Times New Roman" w:cs="Times New Roman"/>
                <w:iCs/>
                <w:color w:val="414142"/>
                <w:sz w:val="24"/>
                <w:szCs w:val="24"/>
                <w:lang w:eastAsia="lv-LV"/>
              </w:rPr>
              <w:t xml:space="preserve">cija </w:t>
            </w:r>
            <w:r w:rsidR="009D7044" w:rsidRPr="00451F5C">
              <w:rPr>
                <w:rFonts w:ascii="Times New Roman" w:eastAsia="Times New Roman" w:hAnsi="Times New Roman" w:cs="Times New Roman"/>
                <w:iCs/>
                <w:color w:val="414142"/>
                <w:sz w:val="24"/>
                <w:szCs w:val="24"/>
                <w:lang w:eastAsia="lv-LV"/>
              </w:rPr>
              <w:t xml:space="preserve">izteica </w:t>
            </w:r>
            <w:r w:rsidR="00D31D7E">
              <w:rPr>
                <w:rFonts w:ascii="Times New Roman" w:eastAsia="Times New Roman" w:hAnsi="Times New Roman" w:cs="Times New Roman"/>
                <w:iCs/>
                <w:color w:val="414142"/>
                <w:sz w:val="24"/>
                <w:szCs w:val="24"/>
                <w:lang w:eastAsia="lv-LV"/>
              </w:rPr>
              <w:t xml:space="preserve">normatīvo aktu </w:t>
            </w:r>
            <w:r w:rsidR="009D7044" w:rsidRPr="00451F5C">
              <w:rPr>
                <w:rFonts w:ascii="Times New Roman" w:eastAsia="Times New Roman" w:hAnsi="Times New Roman" w:cs="Times New Roman"/>
                <w:iCs/>
                <w:color w:val="414142"/>
                <w:sz w:val="24"/>
                <w:szCs w:val="24"/>
                <w:lang w:eastAsia="lv-LV"/>
              </w:rPr>
              <w:t>priekšlikumus.</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674AAC" w:rsidP="00674AA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74AAC">
              <w:rPr>
                <w:rFonts w:ascii="Times New Roman" w:eastAsia="Times New Roman" w:hAnsi="Times New Roman" w:cs="Times New Roman"/>
                <w:iCs/>
                <w:color w:val="414142"/>
                <w:sz w:val="24"/>
                <w:szCs w:val="24"/>
                <w:lang w:eastAsia="lv-LV"/>
              </w:rPr>
              <w:t xml:space="preserve">Latvijas Apdrošinātāju asociācija, Latvijas Maksājumu pakalpojumu un elektroniskās naudas iestāžu asociācija, Latvijas Alternatīvo finanšu pakalpojumu asociācija, Latvijas Darba devēju konfederācija, Latvijas Privātā un Riska kapitāla asociācija, Latvijas kooperatīvo </w:t>
            </w:r>
            <w:proofErr w:type="spellStart"/>
            <w:r w:rsidRPr="00674AAC">
              <w:rPr>
                <w:rFonts w:ascii="Times New Roman" w:eastAsia="Times New Roman" w:hAnsi="Times New Roman" w:cs="Times New Roman"/>
                <w:iCs/>
                <w:color w:val="414142"/>
                <w:sz w:val="24"/>
                <w:szCs w:val="24"/>
                <w:lang w:eastAsia="lv-LV"/>
              </w:rPr>
              <w:t>krājaizdevu</w:t>
            </w:r>
            <w:proofErr w:type="spellEnd"/>
            <w:r w:rsidRPr="00674AAC">
              <w:rPr>
                <w:rFonts w:ascii="Times New Roman" w:eastAsia="Times New Roman" w:hAnsi="Times New Roman" w:cs="Times New Roman"/>
                <w:iCs/>
                <w:color w:val="414142"/>
                <w:sz w:val="24"/>
                <w:szCs w:val="24"/>
                <w:lang w:eastAsia="lv-LV"/>
              </w:rPr>
              <w:t xml:space="preserve"> sabiedrību savienība,  Latvijas Līzinga devēju asociācija, VAS “Latvijas Pasts”, biedrība "Latvijas Spēļu biznesa asociācija”, Latvijas Republikas Grāmatvežu asociācija, SIA “</w:t>
            </w:r>
            <w:proofErr w:type="spellStart"/>
            <w:r w:rsidRPr="00674AAC">
              <w:rPr>
                <w:rFonts w:ascii="Times New Roman" w:eastAsia="Times New Roman" w:hAnsi="Times New Roman" w:cs="Times New Roman"/>
                <w:iCs/>
                <w:color w:val="414142"/>
                <w:sz w:val="24"/>
                <w:szCs w:val="24"/>
                <w:lang w:eastAsia="lv-LV"/>
              </w:rPr>
              <w:t>Tavex</w:t>
            </w:r>
            <w:proofErr w:type="spellEnd"/>
            <w:r w:rsidRPr="00674AAC">
              <w:rPr>
                <w:rFonts w:ascii="Times New Roman" w:eastAsia="Times New Roman" w:hAnsi="Times New Roman" w:cs="Times New Roman"/>
                <w:iCs/>
                <w:color w:val="414142"/>
                <w:sz w:val="24"/>
                <w:szCs w:val="24"/>
                <w:lang w:eastAsia="lv-LV"/>
              </w:rPr>
              <w:t>”, Latvijas Apdrošināšanas brokeru asociācija, AS “</w:t>
            </w:r>
            <w:proofErr w:type="spellStart"/>
            <w:r w:rsidRPr="00674AAC">
              <w:rPr>
                <w:rFonts w:ascii="Times New Roman" w:eastAsia="Times New Roman" w:hAnsi="Times New Roman" w:cs="Times New Roman"/>
                <w:iCs/>
                <w:color w:val="414142"/>
                <w:sz w:val="24"/>
                <w:szCs w:val="24"/>
                <w:lang w:eastAsia="lv-LV"/>
              </w:rPr>
              <w:t>Nasdaq</w:t>
            </w:r>
            <w:proofErr w:type="spellEnd"/>
            <w:r w:rsidRPr="00674AAC">
              <w:rPr>
                <w:rFonts w:ascii="Times New Roman" w:eastAsia="Times New Roman" w:hAnsi="Times New Roman" w:cs="Times New Roman"/>
                <w:iCs/>
                <w:color w:val="414142"/>
                <w:sz w:val="24"/>
                <w:szCs w:val="24"/>
                <w:lang w:eastAsia="lv-LV"/>
              </w:rPr>
              <w:t xml:space="preserve"> </w:t>
            </w:r>
            <w:proofErr w:type="spellStart"/>
            <w:r w:rsidRPr="00674AAC">
              <w:rPr>
                <w:rFonts w:ascii="Times New Roman" w:eastAsia="Times New Roman" w:hAnsi="Times New Roman" w:cs="Times New Roman"/>
                <w:iCs/>
                <w:color w:val="414142"/>
                <w:sz w:val="24"/>
                <w:szCs w:val="24"/>
                <w:lang w:eastAsia="lv-LV"/>
              </w:rPr>
              <w:t>Riga</w:t>
            </w:r>
            <w:proofErr w:type="spellEnd"/>
            <w:r w:rsidRPr="00674AAC">
              <w:rPr>
                <w:rFonts w:ascii="Times New Roman" w:eastAsia="Times New Roman" w:hAnsi="Times New Roman" w:cs="Times New Roman"/>
                <w:iCs/>
                <w:color w:val="414142"/>
                <w:sz w:val="24"/>
                <w:szCs w:val="24"/>
                <w:lang w:eastAsia="lv-LV"/>
              </w:rPr>
              <w:t>” piedalījās normatīvā akta saskaņošanā.</w:t>
            </w:r>
            <w:r>
              <w:t xml:space="preserve"> </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2D5B8C"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Nav</w:t>
            </w:r>
            <w:r w:rsidR="00D31D7E">
              <w:rPr>
                <w:rFonts w:ascii="Times New Roman" w:eastAsia="Times New Roman" w:hAnsi="Times New Roman" w:cs="Times New Roman"/>
                <w:iCs/>
                <w:color w:val="414142"/>
                <w:sz w:val="24"/>
                <w:szCs w:val="24"/>
                <w:lang w:eastAsia="lv-LV"/>
              </w:rPr>
              <w:t>.</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674AAC" w:rsidP="0085632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 xml:space="preserve">NILLTFNL </w:t>
            </w:r>
            <w:r w:rsidR="00856322" w:rsidRPr="00451F5C">
              <w:rPr>
                <w:rFonts w:ascii="Times New Roman" w:eastAsia="Times New Roman" w:hAnsi="Times New Roman" w:cs="Times New Roman"/>
                <w:iCs/>
                <w:color w:val="414142"/>
                <w:sz w:val="24"/>
                <w:szCs w:val="24"/>
                <w:lang w:eastAsia="lv-LV"/>
              </w:rPr>
              <w:t>41.pantā minētie reģistri, NILLTFNL 3.panta likuma subjekti.</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izpildes ietekme uz pārvaldes funkcijām un institucionālo struktūru.</w:t>
            </w:r>
            <w:r w:rsidRPr="00451F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8563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Nav plānota jaunu institūciju izveide, esošu institūciju likvidācija vai reorganizācija.</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883B71"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Nav</w:t>
            </w:r>
          </w:p>
        </w:tc>
      </w:tr>
    </w:tbl>
    <w:p w:rsidR="00C25B49" w:rsidRPr="00451F5C" w:rsidRDefault="00C25B49" w:rsidP="00894C55">
      <w:pPr>
        <w:spacing w:after="0" w:line="240" w:lineRule="auto"/>
        <w:rPr>
          <w:rFonts w:ascii="Times New Roman" w:hAnsi="Times New Roman" w:cs="Times New Roman"/>
          <w:sz w:val="28"/>
          <w:szCs w:val="28"/>
        </w:rPr>
      </w:pPr>
    </w:p>
    <w:p w:rsidR="00894C55" w:rsidRPr="00451F5C" w:rsidRDefault="00781866" w:rsidP="00781866">
      <w:pPr>
        <w:tabs>
          <w:tab w:val="left" w:pos="6237"/>
        </w:tabs>
        <w:spacing w:after="0" w:line="240" w:lineRule="auto"/>
        <w:rPr>
          <w:rFonts w:ascii="Times New Roman" w:hAnsi="Times New Roman" w:cs="Times New Roman"/>
          <w:sz w:val="28"/>
          <w:szCs w:val="28"/>
        </w:rPr>
      </w:pPr>
      <w:r w:rsidRPr="00451F5C">
        <w:rPr>
          <w:rFonts w:ascii="Times New Roman" w:hAnsi="Times New Roman" w:cs="Times New Roman"/>
          <w:sz w:val="28"/>
          <w:szCs w:val="28"/>
        </w:rPr>
        <w:t>Finanšu</w:t>
      </w:r>
      <w:r w:rsidR="00894C55" w:rsidRPr="00451F5C">
        <w:rPr>
          <w:rFonts w:ascii="Times New Roman" w:hAnsi="Times New Roman" w:cs="Times New Roman"/>
          <w:sz w:val="28"/>
          <w:szCs w:val="28"/>
        </w:rPr>
        <w:t xml:space="preserve"> ministrs</w:t>
      </w:r>
      <w:r w:rsidR="00894C55" w:rsidRPr="00451F5C">
        <w:rPr>
          <w:rFonts w:ascii="Times New Roman" w:hAnsi="Times New Roman" w:cs="Times New Roman"/>
          <w:sz w:val="28"/>
          <w:szCs w:val="28"/>
        </w:rPr>
        <w:tab/>
      </w:r>
      <w:proofErr w:type="spellStart"/>
      <w:r w:rsidRPr="00451F5C">
        <w:rPr>
          <w:rFonts w:ascii="Times New Roman" w:hAnsi="Times New Roman" w:cs="Times New Roman"/>
          <w:sz w:val="28"/>
          <w:szCs w:val="28"/>
        </w:rPr>
        <w:t>J.Reirs</w:t>
      </w:r>
      <w:proofErr w:type="spellEnd"/>
    </w:p>
    <w:p w:rsidR="00894C55" w:rsidRPr="00451F5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F5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F5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F5C" w:rsidRDefault="00781866" w:rsidP="00894C55">
      <w:pPr>
        <w:tabs>
          <w:tab w:val="left" w:pos="6237"/>
        </w:tabs>
        <w:spacing w:after="0" w:line="240" w:lineRule="auto"/>
        <w:rPr>
          <w:rFonts w:ascii="Times New Roman" w:hAnsi="Times New Roman" w:cs="Times New Roman"/>
          <w:sz w:val="20"/>
          <w:szCs w:val="20"/>
        </w:rPr>
      </w:pPr>
      <w:r w:rsidRPr="00451F5C">
        <w:rPr>
          <w:rFonts w:ascii="Times New Roman" w:hAnsi="Times New Roman" w:cs="Times New Roman"/>
          <w:sz w:val="20"/>
          <w:szCs w:val="20"/>
        </w:rPr>
        <w:t xml:space="preserve">Zūkere </w:t>
      </w:r>
      <w:r w:rsidR="00D133F8" w:rsidRPr="00451F5C">
        <w:rPr>
          <w:rFonts w:ascii="Times New Roman" w:hAnsi="Times New Roman" w:cs="Times New Roman"/>
          <w:sz w:val="20"/>
          <w:szCs w:val="20"/>
        </w:rPr>
        <w:t>670</w:t>
      </w:r>
      <w:r w:rsidRPr="00451F5C">
        <w:rPr>
          <w:rFonts w:ascii="Times New Roman" w:hAnsi="Times New Roman" w:cs="Times New Roman"/>
          <w:sz w:val="20"/>
          <w:szCs w:val="20"/>
        </w:rPr>
        <w:t>95490</w:t>
      </w:r>
    </w:p>
    <w:p w:rsidR="00894C55" w:rsidRPr="00451F5C" w:rsidRDefault="00781866" w:rsidP="00894C55">
      <w:pPr>
        <w:tabs>
          <w:tab w:val="left" w:pos="6237"/>
        </w:tabs>
        <w:spacing w:after="0" w:line="240" w:lineRule="auto"/>
        <w:rPr>
          <w:rFonts w:ascii="Times New Roman" w:hAnsi="Times New Roman" w:cs="Times New Roman"/>
          <w:sz w:val="20"/>
          <w:szCs w:val="20"/>
        </w:rPr>
      </w:pPr>
      <w:r w:rsidRPr="00451F5C">
        <w:rPr>
          <w:rFonts w:ascii="Times New Roman" w:hAnsi="Times New Roman" w:cs="Times New Roman"/>
          <w:sz w:val="20"/>
          <w:szCs w:val="20"/>
        </w:rPr>
        <w:t>Vineta</w:t>
      </w:r>
      <w:r w:rsidR="00894C55" w:rsidRPr="00451F5C">
        <w:rPr>
          <w:rFonts w:ascii="Times New Roman" w:hAnsi="Times New Roman" w:cs="Times New Roman"/>
          <w:sz w:val="20"/>
          <w:szCs w:val="20"/>
        </w:rPr>
        <w:t>.</w:t>
      </w:r>
      <w:r w:rsidRPr="00451F5C">
        <w:rPr>
          <w:rFonts w:ascii="Times New Roman" w:hAnsi="Times New Roman" w:cs="Times New Roman"/>
          <w:sz w:val="20"/>
          <w:szCs w:val="20"/>
        </w:rPr>
        <w:t>Zukere</w:t>
      </w:r>
      <w:r w:rsidR="00894C55" w:rsidRPr="00451F5C">
        <w:rPr>
          <w:rFonts w:ascii="Times New Roman" w:hAnsi="Times New Roman" w:cs="Times New Roman"/>
          <w:sz w:val="20"/>
          <w:szCs w:val="20"/>
        </w:rPr>
        <w:t>@</w:t>
      </w:r>
      <w:r w:rsidRPr="00451F5C">
        <w:rPr>
          <w:rFonts w:ascii="Times New Roman" w:hAnsi="Times New Roman" w:cs="Times New Roman"/>
          <w:sz w:val="20"/>
          <w:szCs w:val="20"/>
        </w:rPr>
        <w:t>fm</w:t>
      </w:r>
      <w:r w:rsidR="00894C55" w:rsidRPr="00451F5C">
        <w:rPr>
          <w:rFonts w:ascii="Times New Roman" w:hAnsi="Times New Roman" w:cs="Times New Roman"/>
          <w:sz w:val="20"/>
          <w:szCs w:val="20"/>
        </w:rPr>
        <w:t>.gov.lv</w:t>
      </w:r>
    </w:p>
    <w:sectPr w:rsidR="00894C55" w:rsidRPr="00451F5C" w:rsidSect="007109B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A6" w:rsidRDefault="00984BA6" w:rsidP="00894C55">
      <w:pPr>
        <w:spacing w:after="0" w:line="240" w:lineRule="auto"/>
      </w:pPr>
      <w:r>
        <w:separator/>
      </w:r>
    </w:p>
  </w:endnote>
  <w:endnote w:type="continuationSeparator" w:id="0">
    <w:p w:rsidR="00984BA6" w:rsidRDefault="00984BA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37" w:rsidRPr="009A2654" w:rsidRDefault="00095F37" w:rsidP="00CF3F51">
    <w:pPr>
      <w:pStyle w:val="Footer"/>
      <w:rPr>
        <w:rFonts w:ascii="Times New Roman" w:hAnsi="Times New Roman" w:cs="Times New Roman"/>
        <w:sz w:val="20"/>
        <w:szCs w:val="20"/>
      </w:rPr>
    </w:pPr>
    <w:r>
      <w:rPr>
        <w:rFonts w:ascii="Times New Roman" w:hAnsi="Times New Roman" w:cs="Times New Roman"/>
        <w:sz w:val="20"/>
        <w:szCs w:val="20"/>
      </w:rPr>
      <w:t>FMAnot_050319_NILLTFNL</w:t>
    </w:r>
  </w:p>
  <w:p w:rsidR="00095F37" w:rsidRPr="00CF3F51" w:rsidRDefault="00095F37" w:rsidP="00CF3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37" w:rsidRPr="009A2654" w:rsidRDefault="00095F37">
    <w:pPr>
      <w:pStyle w:val="Footer"/>
      <w:rPr>
        <w:rFonts w:ascii="Times New Roman" w:hAnsi="Times New Roman" w:cs="Times New Roman"/>
        <w:sz w:val="20"/>
        <w:szCs w:val="20"/>
      </w:rPr>
    </w:pPr>
    <w:r>
      <w:rPr>
        <w:rFonts w:ascii="Times New Roman" w:hAnsi="Times New Roman" w:cs="Times New Roman"/>
        <w:sz w:val="20"/>
        <w:szCs w:val="20"/>
      </w:rPr>
      <w:t>FMAnot_050319_NILLTFNL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A6" w:rsidRDefault="00984BA6" w:rsidP="00894C55">
      <w:pPr>
        <w:spacing w:after="0" w:line="240" w:lineRule="auto"/>
      </w:pPr>
      <w:r>
        <w:separator/>
      </w:r>
    </w:p>
  </w:footnote>
  <w:footnote w:type="continuationSeparator" w:id="0">
    <w:p w:rsidR="00984BA6" w:rsidRDefault="00984BA6" w:rsidP="00894C55">
      <w:pPr>
        <w:spacing w:after="0" w:line="240" w:lineRule="auto"/>
      </w:pPr>
      <w:r>
        <w:continuationSeparator/>
      </w:r>
    </w:p>
  </w:footnote>
  <w:footnote w:id="1">
    <w:p w:rsidR="00095F37" w:rsidRDefault="00095F37" w:rsidP="00FA53D6">
      <w:pPr>
        <w:pStyle w:val="FootnoteText"/>
      </w:pPr>
      <w:r>
        <w:rPr>
          <w:rStyle w:val="FootnoteReference"/>
        </w:rPr>
        <w:footnoteRef/>
      </w:r>
      <w:r>
        <w:t xml:space="preserve"> </w:t>
      </w:r>
      <w:r>
        <w:rPr>
          <w:sz w:val="17"/>
        </w:rPr>
        <w:t>Eiropas Parlamenta un Padomes Regula (ES) Nr. 182/2011 (2011. gada 16. febru</w:t>
      </w:r>
      <w:r>
        <w:rPr>
          <w:rFonts w:ascii="Times New Roman" w:eastAsia="Times New Roman" w:hAnsi="Times New Roman" w:cs="Times New Roman"/>
          <w:sz w:val="17"/>
        </w:rPr>
        <w:t>ā</w:t>
      </w:r>
      <w:r>
        <w:rPr>
          <w:sz w:val="17"/>
        </w:rPr>
        <w:t>ris), ar ko nosaka normas un visp</w:t>
      </w:r>
      <w:r>
        <w:rPr>
          <w:rFonts w:ascii="Times New Roman" w:eastAsia="Times New Roman" w:hAnsi="Times New Roman" w:cs="Times New Roman"/>
          <w:sz w:val="17"/>
        </w:rPr>
        <w:t>ā</w:t>
      </w:r>
      <w:r>
        <w:rPr>
          <w:sz w:val="17"/>
        </w:rPr>
        <w:t>r</w:t>
      </w:r>
      <w:r>
        <w:rPr>
          <w:rFonts w:ascii="Times New Roman" w:eastAsia="Times New Roman" w:hAnsi="Times New Roman" w:cs="Times New Roman"/>
          <w:sz w:val="17"/>
        </w:rPr>
        <w:t>ī</w:t>
      </w:r>
      <w:r>
        <w:rPr>
          <w:sz w:val="17"/>
        </w:rPr>
        <w:t>gus principus par dal</w:t>
      </w:r>
      <w:r>
        <w:rPr>
          <w:rFonts w:ascii="Times New Roman" w:eastAsia="Times New Roman" w:hAnsi="Times New Roman" w:cs="Times New Roman"/>
          <w:sz w:val="17"/>
        </w:rPr>
        <w:t>ī</w:t>
      </w:r>
      <w:r>
        <w:rPr>
          <w:sz w:val="17"/>
        </w:rPr>
        <w:t>bvalstu kontroles meh</w:t>
      </w:r>
      <w:r>
        <w:rPr>
          <w:rFonts w:ascii="Times New Roman" w:eastAsia="Times New Roman" w:hAnsi="Times New Roman" w:cs="Times New Roman"/>
          <w:sz w:val="17"/>
        </w:rPr>
        <w:t>ā</w:t>
      </w:r>
      <w:r>
        <w:rPr>
          <w:sz w:val="17"/>
        </w:rPr>
        <w:t xml:space="preserve">nismiem, kuri attiecas uz Komisijas </w:t>
      </w:r>
      <w:r>
        <w:rPr>
          <w:rFonts w:ascii="Times New Roman" w:eastAsia="Times New Roman" w:hAnsi="Times New Roman" w:cs="Times New Roman"/>
          <w:sz w:val="17"/>
        </w:rPr>
        <w:t>ī</w:t>
      </w:r>
      <w:r>
        <w:rPr>
          <w:sz w:val="17"/>
        </w:rPr>
        <w:t>stenošanas pilnvaru izmantošanu (OV L 55, 28.2.2011., 13. lpp.).</w:t>
      </w:r>
    </w:p>
  </w:footnote>
  <w:footnote w:id="2">
    <w:p w:rsidR="00095F37" w:rsidRDefault="00095F37" w:rsidP="00FA53D6">
      <w:pPr>
        <w:pStyle w:val="FootnoteText"/>
      </w:pPr>
      <w:r>
        <w:rPr>
          <w:rStyle w:val="FootnoteReference"/>
        </w:rPr>
        <w:footnoteRef/>
      </w:r>
      <w:r>
        <w:t xml:space="preserve"> </w:t>
      </w:r>
      <w:r>
        <w:rPr>
          <w:sz w:val="17"/>
        </w:rPr>
        <w:t>Eiropas Parlamenta un Padomes Direkt</w:t>
      </w:r>
      <w:r>
        <w:rPr>
          <w:rFonts w:ascii="Times New Roman" w:eastAsia="Times New Roman" w:hAnsi="Times New Roman" w:cs="Times New Roman"/>
          <w:sz w:val="17"/>
        </w:rPr>
        <w:t>ī</w:t>
      </w:r>
      <w:r>
        <w:rPr>
          <w:sz w:val="17"/>
        </w:rPr>
        <w:t>va (ES) 2017/1132 (2017. gada 14. j</w:t>
      </w:r>
      <w:r>
        <w:rPr>
          <w:rFonts w:ascii="Times New Roman" w:eastAsia="Times New Roman" w:hAnsi="Times New Roman" w:cs="Times New Roman"/>
          <w:sz w:val="17"/>
        </w:rPr>
        <w:t>ū</w:t>
      </w:r>
      <w:r>
        <w:rPr>
          <w:sz w:val="17"/>
        </w:rPr>
        <w:t>nijs) attiec</w:t>
      </w:r>
      <w:r>
        <w:rPr>
          <w:rFonts w:ascii="Times New Roman" w:eastAsia="Times New Roman" w:hAnsi="Times New Roman" w:cs="Times New Roman"/>
          <w:sz w:val="17"/>
        </w:rPr>
        <w:t>ī</w:t>
      </w:r>
      <w:r>
        <w:rPr>
          <w:sz w:val="17"/>
        </w:rPr>
        <w:t>b</w:t>
      </w:r>
      <w:r>
        <w:rPr>
          <w:rFonts w:ascii="Times New Roman" w:eastAsia="Times New Roman" w:hAnsi="Times New Roman" w:cs="Times New Roman"/>
          <w:sz w:val="17"/>
        </w:rPr>
        <w:t>ā</w:t>
      </w:r>
      <w:r>
        <w:rPr>
          <w:sz w:val="17"/>
        </w:rPr>
        <w:t xml:space="preserve"> uz sabiedr</w:t>
      </w:r>
      <w:r>
        <w:rPr>
          <w:rFonts w:ascii="Times New Roman" w:eastAsia="Times New Roman" w:hAnsi="Times New Roman" w:cs="Times New Roman"/>
          <w:sz w:val="17"/>
        </w:rPr>
        <w:t>ī</w:t>
      </w:r>
      <w:r>
        <w:rPr>
          <w:sz w:val="17"/>
        </w:rPr>
        <w:t>bu ties</w:t>
      </w:r>
      <w:r>
        <w:rPr>
          <w:rFonts w:ascii="Times New Roman" w:eastAsia="Times New Roman" w:hAnsi="Times New Roman" w:cs="Times New Roman"/>
          <w:sz w:val="17"/>
        </w:rPr>
        <w:t>ī</w:t>
      </w:r>
      <w:r>
        <w:rPr>
          <w:sz w:val="17"/>
        </w:rPr>
        <w:t>bu dažiem aspektiem (OV L 169, 30.6.2017., 46. lpp.).</w:t>
      </w:r>
    </w:p>
  </w:footnote>
  <w:footnote w:id="3">
    <w:p w:rsidR="00095F37" w:rsidRPr="00731787" w:rsidRDefault="00095F37" w:rsidP="00D013CB">
      <w:pPr>
        <w:pStyle w:val="FootnoteText"/>
        <w:jc w:val="both"/>
        <w:rPr>
          <w:rFonts w:ascii="Book Antiqua" w:hAnsi="Book Antiqua"/>
        </w:rPr>
      </w:pPr>
      <w:r w:rsidRPr="00731787">
        <w:rPr>
          <w:rStyle w:val="FootnoteReference"/>
          <w:rFonts w:ascii="Book Antiqua" w:hAnsi="Book Antiqua"/>
          <w:sz w:val="16"/>
        </w:rPr>
        <w:footnoteRef/>
      </w:r>
      <w:r w:rsidRPr="00731787">
        <w:rPr>
          <w:rFonts w:ascii="Book Antiqua" w:hAnsi="Book Antiqua"/>
          <w:sz w:val="16"/>
        </w:rPr>
        <w:t xml:space="preserve"> </w:t>
      </w:r>
      <w:hyperlink r:id="rId1" w:history="1">
        <w:r w:rsidRPr="00242436">
          <w:rPr>
            <w:rStyle w:val="Hyperlink"/>
            <w:rFonts w:ascii="Book Antiqua" w:hAnsi="Book Antiqua"/>
            <w:sz w:val="16"/>
          </w:rPr>
          <w:t>https://likumi.lv/ta/id/300147-kartiba-kada-noziedzigi-iegutu-lidzeklu-legalizacijas-un-terorisma-finansesanas-noversanas-likuma-subjekts-veic-klienta</w:t>
        </w:r>
      </w:hyperlink>
      <w:r>
        <w:rPr>
          <w:rFonts w:ascii="Book Antiqua" w:hAnsi="Book Antiqua"/>
          <w:sz w:val="16"/>
        </w:rPr>
        <w:t xml:space="preserve"> </w:t>
      </w:r>
    </w:p>
  </w:footnote>
  <w:footnote w:id="4">
    <w:p w:rsidR="00095F37" w:rsidRPr="00DF5EA5" w:rsidRDefault="00095F37" w:rsidP="00D013CB">
      <w:pPr>
        <w:pStyle w:val="FootnoteText"/>
        <w:rPr>
          <w:sz w:val="18"/>
          <w:szCs w:val="18"/>
        </w:rPr>
      </w:pPr>
      <w:r>
        <w:rPr>
          <w:rStyle w:val="FootnoteReference"/>
        </w:rPr>
        <w:footnoteRef/>
      </w:r>
      <w:r>
        <w:t xml:space="preserve"> </w:t>
      </w:r>
      <w:r w:rsidRPr="00EB0A05">
        <w:rPr>
          <w:sz w:val="16"/>
          <w:szCs w:val="16"/>
        </w:rPr>
        <w:t xml:space="preserve">Deleģētā regula Nr. 2018/1108 atbilstoši Līguma par Eiropas Savienības darbību (turpmāk – LESD) 290. pantam ir izdota uz Eiropas Parlamenta un Padomes 2015. gada Direktīvas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(turpmāk – Direktīva 2015/849) 45. panta 10. punkta pamata. Atbilstoši LESD 288. pantam "regulas ir </w:t>
      </w:r>
      <w:proofErr w:type="spellStart"/>
      <w:r w:rsidRPr="00EB0A05">
        <w:rPr>
          <w:sz w:val="16"/>
          <w:szCs w:val="16"/>
        </w:rPr>
        <w:t>vispārpiemērojamas</w:t>
      </w:r>
      <w:proofErr w:type="spellEnd"/>
      <w:r w:rsidRPr="00EB0A05">
        <w:rPr>
          <w:sz w:val="16"/>
          <w:szCs w:val="16"/>
        </w:rPr>
        <w:t>. Tās uzliek saistības kopumā un ir tieši piemērojamas visās dalībvalstīs". Tas nozīmē, ka regulas ir tieši saistošas dalībvalstīm un dalībvalstu fiziskajām un juridiskajām personām tāpat kā nacionālie tiesību akti. Regulas ir aizliegts pārņemt nacionālajos tiesību aktos (ES tiesību ieviešanas rokasgrāmata, TM, 2014).</w:t>
      </w:r>
    </w:p>
  </w:footnote>
  <w:footnote w:id="5">
    <w:p w:rsidR="00095F37" w:rsidRPr="00A74FC8" w:rsidRDefault="00095F37" w:rsidP="00D013CB">
      <w:pPr>
        <w:pStyle w:val="FootnoteText"/>
        <w:rPr>
          <w:rFonts w:ascii="Book Antiqua" w:hAnsi="Book Antiqua"/>
          <w:sz w:val="16"/>
          <w:szCs w:val="16"/>
        </w:rPr>
      </w:pPr>
      <w:r w:rsidRPr="00A74FC8">
        <w:rPr>
          <w:rStyle w:val="FootnoteReference"/>
          <w:rFonts w:ascii="Book Antiqua" w:hAnsi="Book Antiqua"/>
          <w:sz w:val="16"/>
          <w:szCs w:val="16"/>
        </w:rPr>
        <w:footnoteRef/>
      </w:r>
      <w:r w:rsidRPr="00A74FC8">
        <w:rPr>
          <w:rFonts w:ascii="Book Antiqua" w:hAnsi="Book Antiqua"/>
          <w:sz w:val="16"/>
          <w:szCs w:val="16"/>
        </w:rPr>
        <w:t xml:space="preserve"> </w:t>
      </w:r>
      <w:r w:rsidRPr="00A74FC8">
        <w:rPr>
          <w:rFonts w:ascii="Book Antiqua" w:hAnsi="Book Antiqua"/>
          <w:color w:val="333333"/>
          <w:sz w:val="16"/>
          <w:szCs w:val="16"/>
        </w:rPr>
        <w:t>Sk., piemēram, Satversmes tiesas 2009. gada 15. aprīļa sprieduma lietā Nr. 2008-36-01</w:t>
      </w:r>
    </w:p>
  </w:footnote>
  <w:footnote w:id="6">
    <w:p w:rsidR="00095F37" w:rsidRPr="009F670F" w:rsidRDefault="00095F37" w:rsidP="00D013CB">
      <w:pPr>
        <w:pStyle w:val="FootnoteText"/>
        <w:jc w:val="both"/>
        <w:rPr>
          <w:rFonts w:ascii="Book Antiqua" w:eastAsia="Times New Roman" w:hAnsi="Book Antiqua" w:cs="Arial"/>
          <w:sz w:val="16"/>
          <w:szCs w:val="16"/>
          <w:lang w:eastAsia="lv-LV"/>
        </w:rPr>
      </w:pPr>
      <w:r w:rsidRPr="009F670F">
        <w:rPr>
          <w:rStyle w:val="FootnoteReference"/>
          <w:rFonts w:ascii="Book Antiqua" w:hAnsi="Book Antiqua"/>
          <w:sz w:val="16"/>
          <w:szCs w:val="16"/>
        </w:rPr>
        <w:footnoteRef/>
      </w:r>
      <w:r w:rsidRPr="009F670F">
        <w:rPr>
          <w:rFonts w:ascii="Book Antiqua" w:hAnsi="Book Antiqua"/>
          <w:sz w:val="16"/>
          <w:szCs w:val="16"/>
        </w:rPr>
        <w:t xml:space="preserve"> </w:t>
      </w:r>
      <w:r w:rsidRPr="009F670F">
        <w:rPr>
          <w:rFonts w:ascii="Book Antiqua" w:hAnsi="Book Antiqua"/>
          <w:sz w:val="16"/>
          <w:szCs w:val="16"/>
        </w:rPr>
        <w:t xml:space="preserve">Satversmes tiesas 2010. gada 13. oktobra lēmuma par tiesvedības izbeigšanu lietā Nr. 2010-09-01 8.2. punkts. </w:t>
      </w:r>
    </w:p>
  </w:footnote>
  <w:footnote w:id="7">
    <w:p w:rsidR="00095F37" w:rsidRPr="00C01D57" w:rsidRDefault="00095F37" w:rsidP="00D013CB">
      <w:pPr>
        <w:pStyle w:val="FootnoteText"/>
        <w:rPr>
          <w:rFonts w:ascii="Book Antiqua" w:hAnsi="Book Antiqua"/>
          <w:sz w:val="16"/>
          <w:szCs w:val="16"/>
        </w:rPr>
      </w:pPr>
      <w:r w:rsidRPr="00C01D57">
        <w:rPr>
          <w:rStyle w:val="FootnoteReference"/>
          <w:rFonts w:ascii="Book Antiqua" w:hAnsi="Book Antiqua"/>
          <w:sz w:val="16"/>
          <w:szCs w:val="16"/>
        </w:rPr>
        <w:footnoteRef/>
      </w:r>
      <w:r w:rsidRPr="00C01D57">
        <w:rPr>
          <w:rFonts w:ascii="Book Antiqua" w:hAnsi="Book Antiqua"/>
          <w:sz w:val="16"/>
          <w:szCs w:val="16"/>
        </w:rPr>
        <w:t xml:space="preserve"> </w:t>
      </w:r>
      <w:r w:rsidRPr="00C01D57">
        <w:rPr>
          <w:rFonts w:ascii="Book Antiqua" w:hAnsi="Book Antiqua"/>
          <w:color w:val="333333"/>
          <w:sz w:val="16"/>
          <w:szCs w:val="16"/>
        </w:rPr>
        <w:t>Sk., piemēram, Satversmes tiesas 2014.  gada 9.  janvāra sprieduma lietā Nr. 2013-08-01 un 2015. gada 8. aprīļa sprieduma lietā Nr. 2014-34-01.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95F37" w:rsidRPr="00C25B49" w:rsidRDefault="00095F3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2E8B">
          <w:rPr>
            <w:rFonts w:ascii="Times New Roman" w:hAnsi="Times New Roman" w:cs="Times New Roman"/>
            <w:noProof/>
            <w:sz w:val="24"/>
            <w:szCs w:val="20"/>
          </w:rPr>
          <w:t>35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265"/>
    <w:multiLevelType w:val="hybridMultilevel"/>
    <w:tmpl w:val="0A9A0AA6"/>
    <w:lvl w:ilvl="0" w:tplc="D666B716">
      <w:start w:val="32"/>
      <w:numFmt w:val="decimal"/>
      <w:lvlText w:val="(%1)"/>
      <w:lvlJc w:val="left"/>
      <w:pPr>
        <w:ind w:left="537"/>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5ED21BD2">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A61646C8">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E830F9F4">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D1A4176A">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AE48AAC8">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352A170A">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4BA4669C">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FAB23DF4">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1" w15:restartNumberingAfterBreak="0">
    <w:nsid w:val="14A47ADD"/>
    <w:multiLevelType w:val="hybridMultilevel"/>
    <w:tmpl w:val="64BABCD0"/>
    <w:lvl w:ilvl="0" w:tplc="00066688">
      <w:start w:val="1"/>
      <w:numFmt w:val="decimal"/>
      <w:lvlText w:val="(%1)"/>
      <w:lvlJc w:val="left"/>
      <w:pPr>
        <w:ind w:left="51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1" w:tplc="0EFC2CD8">
      <w:start w:val="1"/>
      <w:numFmt w:val="lowerLetter"/>
      <w:lvlText w:val="%2"/>
      <w:lvlJc w:val="left"/>
      <w:pPr>
        <w:ind w:left="10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2" w:tplc="DB281654">
      <w:start w:val="1"/>
      <w:numFmt w:val="lowerRoman"/>
      <w:lvlText w:val="%3"/>
      <w:lvlJc w:val="left"/>
      <w:pPr>
        <w:ind w:left="18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3" w:tplc="0338BA66">
      <w:start w:val="1"/>
      <w:numFmt w:val="decimal"/>
      <w:lvlText w:val="%4"/>
      <w:lvlJc w:val="left"/>
      <w:pPr>
        <w:ind w:left="25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4" w:tplc="76D40F96">
      <w:start w:val="1"/>
      <w:numFmt w:val="lowerLetter"/>
      <w:lvlText w:val="%5"/>
      <w:lvlJc w:val="left"/>
      <w:pPr>
        <w:ind w:left="324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5" w:tplc="63366E54">
      <w:start w:val="1"/>
      <w:numFmt w:val="lowerRoman"/>
      <w:lvlText w:val="%6"/>
      <w:lvlJc w:val="left"/>
      <w:pPr>
        <w:ind w:left="396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6" w:tplc="EAA6A35A">
      <w:start w:val="1"/>
      <w:numFmt w:val="decimal"/>
      <w:lvlText w:val="%7"/>
      <w:lvlJc w:val="left"/>
      <w:pPr>
        <w:ind w:left="46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7" w:tplc="2BF0098C">
      <w:start w:val="1"/>
      <w:numFmt w:val="lowerLetter"/>
      <w:lvlText w:val="%8"/>
      <w:lvlJc w:val="left"/>
      <w:pPr>
        <w:ind w:left="54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8" w:tplc="BF7C7F0C">
      <w:start w:val="1"/>
      <w:numFmt w:val="lowerRoman"/>
      <w:lvlText w:val="%9"/>
      <w:lvlJc w:val="left"/>
      <w:pPr>
        <w:ind w:left="61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abstractNum>
  <w:abstractNum w:abstractNumId="2" w15:restartNumberingAfterBreak="0">
    <w:nsid w:val="168F163B"/>
    <w:multiLevelType w:val="hybridMultilevel"/>
    <w:tmpl w:val="16DAE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5D7C68"/>
    <w:multiLevelType w:val="hybridMultilevel"/>
    <w:tmpl w:val="8B6EA5CA"/>
    <w:lvl w:ilvl="0" w:tplc="1686550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8262A"/>
    <w:multiLevelType w:val="hybridMultilevel"/>
    <w:tmpl w:val="00E4749C"/>
    <w:lvl w:ilvl="0" w:tplc="05B2FA32">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FDE25B2"/>
    <w:multiLevelType w:val="hybridMultilevel"/>
    <w:tmpl w:val="2CF07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1619E7"/>
    <w:multiLevelType w:val="hybridMultilevel"/>
    <w:tmpl w:val="8E909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D769C9"/>
    <w:multiLevelType w:val="hybridMultilevel"/>
    <w:tmpl w:val="6D8C2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2C3839"/>
    <w:multiLevelType w:val="hybridMultilevel"/>
    <w:tmpl w:val="47505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F4C6E"/>
    <w:multiLevelType w:val="hybridMultilevel"/>
    <w:tmpl w:val="B072A918"/>
    <w:lvl w:ilvl="0" w:tplc="FA4A88EE">
      <w:start w:val="1"/>
      <w:numFmt w:val="decimal"/>
      <w:lvlText w:val="%1)"/>
      <w:lvlJc w:val="left"/>
      <w:pPr>
        <w:ind w:left="660" w:hanging="360"/>
      </w:pPr>
      <w:rPr>
        <w:rFonts w:eastAsia="Times New Roman"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7A3D44F6"/>
    <w:multiLevelType w:val="hybridMultilevel"/>
    <w:tmpl w:val="D258EF42"/>
    <w:lvl w:ilvl="0" w:tplc="9E662B9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1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458"/>
    <w:rsid w:val="0000075E"/>
    <w:rsid w:val="00001093"/>
    <w:rsid w:val="00002E53"/>
    <w:rsid w:val="00004C6C"/>
    <w:rsid w:val="00006CA4"/>
    <w:rsid w:val="0001052E"/>
    <w:rsid w:val="00012328"/>
    <w:rsid w:val="00014B70"/>
    <w:rsid w:val="00015A5E"/>
    <w:rsid w:val="00015F68"/>
    <w:rsid w:val="000333DF"/>
    <w:rsid w:val="00042B65"/>
    <w:rsid w:val="000461C7"/>
    <w:rsid w:val="00047B7E"/>
    <w:rsid w:val="000503C2"/>
    <w:rsid w:val="000622B3"/>
    <w:rsid w:val="00062722"/>
    <w:rsid w:val="000676AC"/>
    <w:rsid w:val="00074EDF"/>
    <w:rsid w:val="000758D7"/>
    <w:rsid w:val="00084359"/>
    <w:rsid w:val="000858A2"/>
    <w:rsid w:val="0009459C"/>
    <w:rsid w:val="00095B95"/>
    <w:rsid w:val="00095F37"/>
    <w:rsid w:val="0009749F"/>
    <w:rsid w:val="00097617"/>
    <w:rsid w:val="000A1C0B"/>
    <w:rsid w:val="000A2342"/>
    <w:rsid w:val="000A3248"/>
    <w:rsid w:val="000A630E"/>
    <w:rsid w:val="000B01C6"/>
    <w:rsid w:val="000B3E79"/>
    <w:rsid w:val="000B6D75"/>
    <w:rsid w:val="000B744A"/>
    <w:rsid w:val="000B7CF9"/>
    <w:rsid w:val="000C0BCE"/>
    <w:rsid w:val="000D030D"/>
    <w:rsid w:val="000D57FC"/>
    <w:rsid w:val="000D5FC9"/>
    <w:rsid w:val="000E1095"/>
    <w:rsid w:val="000E3989"/>
    <w:rsid w:val="000F1F28"/>
    <w:rsid w:val="000F524B"/>
    <w:rsid w:val="000F5814"/>
    <w:rsid w:val="000F75DB"/>
    <w:rsid w:val="001005DF"/>
    <w:rsid w:val="00102AB2"/>
    <w:rsid w:val="001042CB"/>
    <w:rsid w:val="00104CA7"/>
    <w:rsid w:val="00105ACF"/>
    <w:rsid w:val="0011126C"/>
    <w:rsid w:val="00112983"/>
    <w:rsid w:val="00117BBB"/>
    <w:rsid w:val="0012150B"/>
    <w:rsid w:val="001249DB"/>
    <w:rsid w:val="00125876"/>
    <w:rsid w:val="00127F89"/>
    <w:rsid w:val="00135F69"/>
    <w:rsid w:val="0013739D"/>
    <w:rsid w:val="00142F16"/>
    <w:rsid w:val="00144888"/>
    <w:rsid w:val="001472C9"/>
    <w:rsid w:val="001509FB"/>
    <w:rsid w:val="001511B5"/>
    <w:rsid w:val="001529F6"/>
    <w:rsid w:val="00153A54"/>
    <w:rsid w:val="0015717C"/>
    <w:rsid w:val="00157476"/>
    <w:rsid w:val="00165513"/>
    <w:rsid w:val="00166F05"/>
    <w:rsid w:val="00175E70"/>
    <w:rsid w:val="0017655E"/>
    <w:rsid w:val="00176A43"/>
    <w:rsid w:val="001807E9"/>
    <w:rsid w:val="0018125F"/>
    <w:rsid w:val="001837A1"/>
    <w:rsid w:val="0018681A"/>
    <w:rsid w:val="00194920"/>
    <w:rsid w:val="00195B45"/>
    <w:rsid w:val="0019770C"/>
    <w:rsid w:val="001C3AF2"/>
    <w:rsid w:val="001C53B3"/>
    <w:rsid w:val="001C6206"/>
    <w:rsid w:val="001D1BFE"/>
    <w:rsid w:val="001D2D32"/>
    <w:rsid w:val="001D4748"/>
    <w:rsid w:val="001D63B5"/>
    <w:rsid w:val="001D63FE"/>
    <w:rsid w:val="001D66EA"/>
    <w:rsid w:val="001D73A5"/>
    <w:rsid w:val="001E2448"/>
    <w:rsid w:val="001F1060"/>
    <w:rsid w:val="001F5B31"/>
    <w:rsid w:val="00200CF2"/>
    <w:rsid w:val="00201E11"/>
    <w:rsid w:val="00206165"/>
    <w:rsid w:val="00212951"/>
    <w:rsid w:val="00213D20"/>
    <w:rsid w:val="00217FF6"/>
    <w:rsid w:val="002202EE"/>
    <w:rsid w:val="00220777"/>
    <w:rsid w:val="00231A87"/>
    <w:rsid w:val="00233252"/>
    <w:rsid w:val="00235E36"/>
    <w:rsid w:val="00243134"/>
    <w:rsid w:val="00243426"/>
    <w:rsid w:val="002477EF"/>
    <w:rsid w:val="002501E0"/>
    <w:rsid w:val="00253FDF"/>
    <w:rsid w:val="00254B7D"/>
    <w:rsid w:val="00256433"/>
    <w:rsid w:val="00257B2F"/>
    <w:rsid w:val="0026566E"/>
    <w:rsid w:val="00267A8C"/>
    <w:rsid w:val="00272675"/>
    <w:rsid w:val="00274901"/>
    <w:rsid w:val="0028656C"/>
    <w:rsid w:val="0029124E"/>
    <w:rsid w:val="00292AA4"/>
    <w:rsid w:val="00294DA2"/>
    <w:rsid w:val="002A635B"/>
    <w:rsid w:val="002B1FC7"/>
    <w:rsid w:val="002B332C"/>
    <w:rsid w:val="002B54DE"/>
    <w:rsid w:val="002C3095"/>
    <w:rsid w:val="002D1157"/>
    <w:rsid w:val="002D1564"/>
    <w:rsid w:val="002D436A"/>
    <w:rsid w:val="002D4536"/>
    <w:rsid w:val="002D5B8C"/>
    <w:rsid w:val="002E067B"/>
    <w:rsid w:val="002E11C1"/>
    <w:rsid w:val="002E1C05"/>
    <w:rsid w:val="002E5482"/>
    <w:rsid w:val="002E6935"/>
    <w:rsid w:val="002F57D0"/>
    <w:rsid w:val="002F5BAC"/>
    <w:rsid w:val="002F7425"/>
    <w:rsid w:val="00302B6C"/>
    <w:rsid w:val="003061EA"/>
    <w:rsid w:val="00307A71"/>
    <w:rsid w:val="00307EDD"/>
    <w:rsid w:val="00310C68"/>
    <w:rsid w:val="0031118E"/>
    <w:rsid w:val="0031434B"/>
    <w:rsid w:val="00315C80"/>
    <w:rsid w:val="00317108"/>
    <w:rsid w:val="0032378F"/>
    <w:rsid w:val="00325934"/>
    <w:rsid w:val="00327806"/>
    <w:rsid w:val="00327C91"/>
    <w:rsid w:val="00331268"/>
    <w:rsid w:val="00332465"/>
    <w:rsid w:val="00332F4A"/>
    <w:rsid w:val="003337AA"/>
    <w:rsid w:val="0033662D"/>
    <w:rsid w:val="00342711"/>
    <w:rsid w:val="00343CD8"/>
    <w:rsid w:val="003467C9"/>
    <w:rsid w:val="00353B96"/>
    <w:rsid w:val="0035608B"/>
    <w:rsid w:val="003578C1"/>
    <w:rsid w:val="00357F1D"/>
    <w:rsid w:val="00362785"/>
    <w:rsid w:val="0036293C"/>
    <w:rsid w:val="003639F1"/>
    <w:rsid w:val="00364B34"/>
    <w:rsid w:val="003821D6"/>
    <w:rsid w:val="00387E7D"/>
    <w:rsid w:val="003914C8"/>
    <w:rsid w:val="00392166"/>
    <w:rsid w:val="003964AE"/>
    <w:rsid w:val="00397251"/>
    <w:rsid w:val="003A7A45"/>
    <w:rsid w:val="003B0BF9"/>
    <w:rsid w:val="003B30AB"/>
    <w:rsid w:val="003C0076"/>
    <w:rsid w:val="003C1511"/>
    <w:rsid w:val="003C30C6"/>
    <w:rsid w:val="003C6966"/>
    <w:rsid w:val="003D2B3D"/>
    <w:rsid w:val="003D4D3A"/>
    <w:rsid w:val="003D61B5"/>
    <w:rsid w:val="003E0791"/>
    <w:rsid w:val="003E19DC"/>
    <w:rsid w:val="003E42AE"/>
    <w:rsid w:val="003E58CA"/>
    <w:rsid w:val="003E61F3"/>
    <w:rsid w:val="003F28AC"/>
    <w:rsid w:val="003F5C20"/>
    <w:rsid w:val="003F64F7"/>
    <w:rsid w:val="003F65C6"/>
    <w:rsid w:val="00401C56"/>
    <w:rsid w:val="00403386"/>
    <w:rsid w:val="00405481"/>
    <w:rsid w:val="0040587B"/>
    <w:rsid w:val="00405A8A"/>
    <w:rsid w:val="00405E09"/>
    <w:rsid w:val="004076A5"/>
    <w:rsid w:val="004076F5"/>
    <w:rsid w:val="004104B1"/>
    <w:rsid w:val="00410E03"/>
    <w:rsid w:val="00416FC0"/>
    <w:rsid w:val="0042008E"/>
    <w:rsid w:val="00420F58"/>
    <w:rsid w:val="00421F64"/>
    <w:rsid w:val="00422FD1"/>
    <w:rsid w:val="0042366F"/>
    <w:rsid w:val="00425081"/>
    <w:rsid w:val="0042679B"/>
    <w:rsid w:val="00431765"/>
    <w:rsid w:val="0044162F"/>
    <w:rsid w:val="0044366A"/>
    <w:rsid w:val="004454FE"/>
    <w:rsid w:val="00445B16"/>
    <w:rsid w:val="004502F2"/>
    <w:rsid w:val="004510ED"/>
    <w:rsid w:val="00451B89"/>
    <w:rsid w:val="00451F5C"/>
    <w:rsid w:val="0045222B"/>
    <w:rsid w:val="00453403"/>
    <w:rsid w:val="00453D96"/>
    <w:rsid w:val="00454EE0"/>
    <w:rsid w:val="00456D01"/>
    <w:rsid w:val="00456E40"/>
    <w:rsid w:val="00464146"/>
    <w:rsid w:val="004675FF"/>
    <w:rsid w:val="004716AB"/>
    <w:rsid w:val="00471F27"/>
    <w:rsid w:val="00474A64"/>
    <w:rsid w:val="0048173C"/>
    <w:rsid w:val="00482D03"/>
    <w:rsid w:val="00483555"/>
    <w:rsid w:val="0049393B"/>
    <w:rsid w:val="004946E1"/>
    <w:rsid w:val="0049471E"/>
    <w:rsid w:val="004A2B89"/>
    <w:rsid w:val="004B7960"/>
    <w:rsid w:val="004C1AF9"/>
    <w:rsid w:val="004D3EBD"/>
    <w:rsid w:val="004D4093"/>
    <w:rsid w:val="004D59D7"/>
    <w:rsid w:val="004E0781"/>
    <w:rsid w:val="004E1200"/>
    <w:rsid w:val="004F19F3"/>
    <w:rsid w:val="004F5FE8"/>
    <w:rsid w:val="00500457"/>
    <w:rsid w:val="0050178F"/>
    <w:rsid w:val="00502B97"/>
    <w:rsid w:val="00506E2F"/>
    <w:rsid w:val="00512322"/>
    <w:rsid w:val="00512E19"/>
    <w:rsid w:val="0052350C"/>
    <w:rsid w:val="005239AE"/>
    <w:rsid w:val="00524DFA"/>
    <w:rsid w:val="00531027"/>
    <w:rsid w:val="005354A0"/>
    <w:rsid w:val="00537019"/>
    <w:rsid w:val="00537B58"/>
    <w:rsid w:val="00540A64"/>
    <w:rsid w:val="005425E4"/>
    <w:rsid w:val="00542922"/>
    <w:rsid w:val="0054585E"/>
    <w:rsid w:val="00546AD3"/>
    <w:rsid w:val="00547E31"/>
    <w:rsid w:val="005526A7"/>
    <w:rsid w:val="00552F06"/>
    <w:rsid w:val="00560910"/>
    <w:rsid w:val="00562E27"/>
    <w:rsid w:val="005640F9"/>
    <w:rsid w:val="005654E6"/>
    <w:rsid w:val="00577860"/>
    <w:rsid w:val="00585163"/>
    <w:rsid w:val="00587E16"/>
    <w:rsid w:val="005946F3"/>
    <w:rsid w:val="0059509A"/>
    <w:rsid w:val="00596405"/>
    <w:rsid w:val="005976A8"/>
    <w:rsid w:val="005A081C"/>
    <w:rsid w:val="005A1811"/>
    <w:rsid w:val="005A4934"/>
    <w:rsid w:val="005B0287"/>
    <w:rsid w:val="005B3FC2"/>
    <w:rsid w:val="005B7720"/>
    <w:rsid w:val="005C015B"/>
    <w:rsid w:val="005C122C"/>
    <w:rsid w:val="005C1645"/>
    <w:rsid w:val="005C2206"/>
    <w:rsid w:val="005C2A62"/>
    <w:rsid w:val="005C3BCA"/>
    <w:rsid w:val="005D13F5"/>
    <w:rsid w:val="005D2964"/>
    <w:rsid w:val="005D3018"/>
    <w:rsid w:val="005D455F"/>
    <w:rsid w:val="005D4DCE"/>
    <w:rsid w:val="005E2E1E"/>
    <w:rsid w:val="005E649C"/>
    <w:rsid w:val="005F1EC4"/>
    <w:rsid w:val="005F6BAF"/>
    <w:rsid w:val="005F6EDF"/>
    <w:rsid w:val="00604078"/>
    <w:rsid w:val="006058CF"/>
    <w:rsid w:val="00613B83"/>
    <w:rsid w:val="00613DCD"/>
    <w:rsid w:val="00627240"/>
    <w:rsid w:val="006301A1"/>
    <w:rsid w:val="00635516"/>
    <w:rsid w:val="0064321C"/>
    <w:rsid w:val="00644EAD"/>
    <w:rsid w:val="0064694A"/>
    <w:rsid w:val="00647D2A"/>
    <w:rsid w:val="00647DE6"/>
    <w:rsid w:val="00651DE9"/>
    <w:rsid w:val="00652976"/>
    <w:rsid w:val="00655F2C"/>
    <w:rsid w:val="00656DA7"/>
    <w:rsid w:val="006602B3"/>
    <w:rsid w:val="00663CF6"/>
    <w:rsid w:val="00664D8A"/>
    <w:rsid w:val="00673C3D"/>
    <w:rsid w:val="00674AAC"/>
    <w:rsid w:val="006818D5"/>
    <w:rsid w:val="00681B06"/>
    <w:rsid w:val="00684992"/>
    <w:rsid w:val="006943D6"/>
    <w:rsid w:val="00695517"/>
    <w:rsid w:val="0069578C"/>
    <w:rsid w:val="006959F1"/>
    <w:rsid w:val="006A1520"/>
    <w:rsid w:val="006A50E2"/>
    <w:rsid w:val="006A5455"/>
    <w:rsid w:val="006A6542"/>
    <w:rsid w:val="006A7540"/>
    <w:rsid w:val="006B0992"/>
    <w:rsid w:val="006B74CC"/>
    <w:rsid w:val="006C57F9"/>
    <w:rsid w:val="006D5F4A"/>
    <w:rsid w:val="006E1081"/>
    <w:rsid w:val="006E41FD"/>
    <w:rsid w:val="006F20D8"/>
    <w:rsid w:val="00701C22"/>
    <w:rsid w:val="00704545"/>
    <w:rsid w:val="007052C4"/>
    <w:rsid w:val="007055E1"/>
    <w:rsid w:val="00706869"/>
    <w:rsid w:val="00706B49"/>
    <w:rsid w:val="007109BB"/>
    <w:rsid w:val="00712DAE"/>
    <w:rsid w:val="00713584"/>
    <w:rsid w:val="0071693A"/>
    <w:rsid w:val="00720585"/>
    <w:rsid w:val="007208FD"/>
    <w:rsid w:val="00722B40"/>
    <w:rsid w:val="00724D42"/>
    <w:rsid w:val="00727030"/>
    <w:rsid w:val="0073074A"/>
    <w:rsid w:val="00733172"/>
    <w:rsid w:val="00741522"/>
    <w:rsid w:val="007427A3"/>
    <w:rsid w:val="0074329A"/>
    <w:rsid w:val="00750280"/>
    <w:rsid w:val="007520F9"/>
    <w:rsid w:val="00753B5C"/>
    <w:rsid w:val="0075436F"/>
    <w:rsid w:val="00755A06"/>
    <w:rsid w:val="007576C1"/>
    <w:rsid w:val="007601D7"/>
    <w:rsid w:val="007612C6"/>
    <w:rsid w:val="0076766D"/>
    <w:rsid w:val="00771DEE"/>
    <w:rsid w:val="00773AA5"/>
    <w:rsid w:val="00773AF6"/>
    <w:rsid w:val="007762F6"/>
    <w:rsid w:val="00776C32"/>
    <w:rsid w:val="0078084A"/>
    <w:rsid w:val="00781866"/>
    <w:rsid w:val="00787069"/>
    <w:rsid w:val="00790C80"/>
    <w:rsid w:val="0079127C"/>
    <w:rsid w:val="00793279"/>
    <w:rsid w:val="00795F71"/>
    <w:rsid w:val="007A1079"/>
    <w:rsid w:val="007A22CF"/>
    <w:rsid w:val="007A4B2D"/>
    <w:rsid w:val="007A7B21"/>
    <w:rsid w:val="007A7F84"/>
    <w:rsid w:val="007B051C"/>
    <w:rsid w:val="007B4845"/>
    <w:rsid w:val="007B75DD"/>
    <w:rsid w:val="007B7785"/>
    <w:rsid w:val="007B7961"/>
    <w:rsid w:val="007C3661"/>
    <w:rsid w:val="007D23AC"/>
    <w:rsid w:val="007D6D21"/>
    <w:rsid w:val="007E348C"/>
    <w:rsid w:val="007E4FFC"/>
    <w:rsid w:val="007E53F2"/>
    <w:rsid w:val="007E5A42"/>
    <w:rsid w:val="007E5F7A"/>
    <w:rsid w:val="007E652D"/>
    <w:rsid w:val="007E73AB"/>
    <w:rsid w:val="007F024C"/>
    <w:rsid w:val="007F573E"/>
    <w:rsid w:val="007F6A85"/>
    <w:rsid w:val="007F7254"/>
    <w:rsid w:val="007F7579"/>
    <w:rsid w:val="00802340"/>
    <w:rsid w:val="00802AC3"/>
    <w:rsid w:val="008041B3"/>
    <w:rsid w:val="00807219"/>
    <w:rsid w:val="0080771B"/>
    <w:rsid w:val="008107D6"/>
    <w:rsid w:val="008139E0"/>
    <w:rsid w:val="00816C11"/>
    <w:rsid w:val="0082132C"/>
    <w:rsid w:val="008223A3"/>
    <w:rsid w:val="00823DFE"/>
    <w:rsid w:val="00824EDD"/>
    <w:rsid w:val="00831CE4"/>
    <w:rsid w:val="00834A45"/>
    <w:rsid w:val="00845596"/>
    <w:rsid w:val="0085233C"/>
    <w:rsid w:val="00853DD0"/>
    <w:rsid w:val="00854E42"/>
    <w:rsid w:val="00856322"/>
    <w:rsid w:val="00861C90"/>
    <w:rsid w:val="008628E1"/>
    <w:rsid w:val="008754EA"/>
    <w:rsid w:val="00883B71"/>
    <w:rsid w:val="00886047"/>
    <w:rsid w:val="00887DB7"/>
    <w:rsid w:val="0089027E"/>
    <w:rsid w:val="008931D4"/>
    <w:rsid w:val="00894C55"/>
    <w:rsid w:val="008A700F"/>
    <w:rsid w:val="008B106D"/>
    <w:rsid w:val="008B1B2F"/>
    <w:rsid w:val="008B2286"/>
    <w:rsid w:val="008B2A9C"/>
    <w:rsid w:val="008B4919"/>
    <w:rsid w:val="008C41E0"/>
    <w:rsid w:val="008C673F"/>
    <w:rsid w:val="008C68A8"/>
    <w:rsid w:val="008D6E8C"/>
    <w:rsid w:val="008E1E16"/>
    <w:rsid w:val="008E1ED2"/>
    <w:rsid w:val="008E3383"/>
    <w:rsid w:val="008E382E"/>
    <w:rsid w:val="008F12B7"/>
    <w:rsid w:val="008F4449"/>
    <w:rsid w:val="008F666C"/>
    <w:rsid w:val="00905394"/>
    <w:rsid w:val="0090551C"/>
    <w:rsid w:val="00905BB4"/>
    <w:rsid w:val="00907557"/>
    <w:rsid w:val="00910A54"/>
    <w:rsid w:val="00912165"/>
    <w:rsid w:val="00916FA9"/>
    <w:rsid w:val="00921C3D"/>
    <w:rsid w:val="009268A3"/>
    <w:rsid w:val="00930E20"/>
    <w:rsid w:val="0093372C"/>
    <w:rsid w:val="0093404E"/>
    <w:rsid w:val="00935024"/>
    <w:rsid w:val="00935C49"/>
    <w:rsid w:val="0093643E"/>
    <w:rsid w:val="0093755B"/>
    <w:rsid w:val="00947126"/>
    <w:rsid w:val="009507F0"/>
    <w:rsid w:val="00951DAA"/>
    <w:rsid w:val="0095471B"/>
    <w:rsid w:val="009566AE"/>
    <w:rsid w:val="00961D0B"/>
    <w:rsid w:val="009727F4"/>
    <w:rsid w:val="00973AB3"/>
    <w:rsid w:val="009836B4"/>
    <w:rsid w:val="00984BA6"/>
    <w:rsid w:val="009860B1"/>
    <w:rsid w:val="0099351A"/>
    <w:rsid w:val="009959B8"/>
    <w:rsid w:val="00996327"/>
    <w:rsid w:val="009A0BC9"/>
    <w:rsid w:val="009A1428"/>
    <w:rsid w:val="009A2654"/>
    <w:rsid w:val="009A5E1F"/>
    <w:rsid w:val="009B0B34"/>
    <w:rsid w:val="009B0B9D"/>
    <w:rsid w:val="009B245D"/>
    <w:rsid w:val="009B43A6"/>
    <w:rsid w:val="009B4D48"/>
    <w:rsid w:val="009B624B"/>
    <w:rsid w:val="009B7AAF"/>
    <w:rsid w:val="009C07B4"/>
    <w:rsid w:val="009D0DFF"/>
    <w:rsid w:val="009D41E7"/>
    <w:rsid w:val="009D56D2"/>
    <w:rsid w:val="009D7044"/>
    <w:rsid w:val="009E0ADA"/>
    <w:rsid w:val="009E5C5C"/>
    <w:rsid w:val="009E651D"/>
    <w:rsid w:val="009E7595"/>
    <w:rsid w:val="009E7794"/>
    <w:rsid w:val="009F5933"/>
    <w:rsid w:val="00A0096D"/>
    <w:rsid w:val="00A02052"/>
    <w:rsid w:val="00A06735"/>
    <w:rsid w:val="00A1002C"/>
    <w:rsid w:val="00A10FC3"/>
    <w:rsid w:val="00A153E7"/>
    <w:rsid w:val="00A17584"/>
    <w:rsid w:val="00A175CF"/>
    <w:rsid w:val="00A21C56"/>
    <w:rsid w:val="00A21EBF"/>
    <w:rsid w:val="00A21FEF"/>
    <w:rsid w:val="00A2522B"/>
    <w:rsid w:val="00A258B5"/>
    <w:rsid w:val="00A313E4"/>
    <w:rsid w:val="00A32F51"/>
    <w:rsid w:val="00A4770C"/>
    <w:rsid w:val="00A509B5"/>
    <w:rsid w:val="00A51A17"/>
    <w:rsid w:val="00A526B6"/>
    <w:rsid w:val="00A52772"/>
    <w:rsid w:val="00A54608"/>
    <w:rsid w:val="00A563C5"/>
    <w:rsid w:val="00A6073E"/>
    <w:rsid w:val="00A64BAC"/>
    <w:rsid w:val="00A652EA"/>
    <w:rsid w:val="00A67AC8"/>
    <w:rsid w:val="00A73DBE"/>
    <w:rsid w:val="00A75FF0"/>
    <w:rsid w:val="00A872B8"/>
    <w:rsid w:val="00A92434"/>
    <w:rsid w:val="00AA256B"/>
    <w:rsid w:val="00AA2D9D"/>
    <w:rsid w:val="00AA5E24"/>
    <w:rsid w:val="00AA79F5"/>
    <w:rsid w:val="00AB554E"/>
    <w:rsid w:val="00AB5DF0"/>
    <w:rsid w:val="00AC039D"/>
    <w:rsid w:val="00AC2280"/>
    <w:rsid w:val="00AC6807"/>
    <w:rsid w:val="00AC7660"/>
    <w:rsid w:val="00AD00EB"/>
    <w:rsid w:val="00AD6965"/>
    <w:rsid w:val="00AD6D5B"/>
    <w:rsid w:val="00AD77D1"/>
    <w:rsid w:val="00AE3453"/>
    <w:rsid w:val="00AE5068"/>
    <w:rsid w:val="00AE5567"/>
    <w:rsid w:val="00AE5FF7"/>
    <w:rsid w:val="00AF1239"/>
    <w:rsid w:val="00AF55E6"/>
    <w:rsid w:val="00AF7F1B"/>
    <w:rsid w:val="00B0099C"/>
    <w:rsid w:val="00B0144D"/>
    <w:rsid w:val="00B02B5E"/>
    <w:rsid w:val="00B02D61"/>
    <w:rsid w:val="00B05A56"/>
    <w:rsid w:val="00B076CD"/>
    <w:rsid w:val="00B12943"/>
    <w:rsid w:val="00B16480"/>
    <w:rsid w:val="00B17009"/>
    <w:rsid w:val="00B2165C"/>
    <w:rsid w:val="00B27271"/>
    <w:rsid w:val="00B301B5"/>
    <w:rsid w:val="00B30772"/>
    <w:rsid w:val="00B32D31"/>
    <w:rsid w:val="00B35285"/>
    <w:rsid w:val="00B3781E"/>
    <w:rsid w:val="00B41978"/>
    <w:rsid w:val="00B4423C"/>
    <w:rsid w:val="00B450D2"/>
    <w:rsid w:val="00B46CF0"/>
    <w:rsid w:val="00B50530"/>
    <w:rsid w:val="00B54505"/>
    <w:rsid w:val="00B54E2C"/>
    <w:rsid w:val="00B54F3F"/>
    <w:rsid w:val="00B56466"/>
    <w:rsid w:val="00B57317"/>
    <w:rsid w:val="00B606FF"/>
    <w:rsid w:val="00B6261D"/>
    <w:rsid w:val="00B66215"/>
    <w:rsid w:val="00B70185"/>
    <w:rsid w:val="00B7150E"/>
    <w:rsid w:val="00B80275"/>
    <w:rsid w:val="00B81B60"/>
    <w:rsid w:val="00B8546B"/>
    <w:rsid w:val="00B863C0"/>
    <w:rsid w:val="00B905FD"/>
    <w:rsid w:val="00B90A3D"/>
    <w:rsid w:val="00B92D31"/>
    <w:rsid w:val="00B94569"/>
    <w:rsid w:val="00B95025"/>
    <w:rsid w:val="00B9527F"/>
    <w:rsid w:val="00B96086"/>
    <w:rsid w:val="00B97899"/>
    <w:rsid w:val="00B97A2C"/>
    <w:rsid w:val="00BA0D10"/>
    <w:rsid w:val="00BA20AA"/>
    <w:rsid w:val="00BA29E7"/>
    <w:rsid w:val="00BC0A75"/>
    <w:rsid w:val="00BC3BAB"/>
    <w:rsid w:val="00BC3E2C"/>
    <w:rsid w:val="00BC5EE1"/>
    <w:rsid w:val="00BD23EA"/>
    <w:rsid w:val="00BD2C7D"/>
    <w:rsid w:val="00BD3B28"/>
    <w:rsid w:val="00BD4425"/>
    <w:rsid w:val="00BD4B67"/>
    <w:rsid w:val="00BD6648"/>
    <w:rsid w:val="00BD7BA8"/>
    <w:rsid w:val="00BE5142"/>
    <w:rsid w:val="00BE53F9"/>
    <w:rsid w:val="00BE5F44"/>
    <w:rsid w:val="00BE7542"/>
    <w:rsid w:val="00BF54B9"/>
    <w:rsid w:val="00BF672C"/>
    <w:rsid w:val="00C03570"/>
    <w:rsid w:val="00C0510B"/>
    <w:rsid w:val="00C06797"/>
    <w:rsid w:val="00C126B6"/>
    <w:rsid w:val="00C2171F"/>
    <w:rsid w:val="00C21CD7"/>
    <w:rsid w:val="00C21DE8"/>
    <w:rsid w:val="00C2214C"/>
    <w:rsid w:val="00C22C64"/>
    <w:rsid w:val="00C25A03"/>
    <w:rsid w:val="00C25B49"/>
    <w:rsid w:val="00C301A0"/>
    <w:rsid w:val="00C31C47"/>
    <w:rsid w:val="00C33A80"/>
    <w:rsid w:val="00C4059B"/>
    <w:rsid w:val="00C4221C"/>
    <w:rsid w:val="00C4665E"/>
    <w:rsid w:val="00C46FF3"/>
    <w:rsid w:val="00C536AF"/>
    <w:rsid w:val="00C53875"/>
    <w:rsid w:val="00C61E4B"/>
    <w:rsid w:val="00C624B9"/>
    <w:rsid w:val="00C62B8F"/>
    <w:rsid w:val="00C63A9C"/>
    <w:rsid w:val="00C74C58"/>
    <w:rsid w:val="00C7523C"/>
    <w:rsid w:val="00C84EC5"/>
    <w:rsid w:val="00C871D3"/>
    <w:rsid w:val="00C91632"/>
    <w:rsid w:val="00C92B4A"/>
    <w:rsid w:val="00C936FB"/>
    <w:rsid w:val="00C95920"/>
    <w:rsid w:val="00CA4A0F"/>
    <w:rsid w:val="00CA548C"/>
    <w:rsid w:val="00CA5831"/>
    <w:rsid w:val="00CB3B9D"/>
    <w:rsid w:val="00CB424B"/>
    <w:rsid w:val="00CC0436"/>
    <w:rsid w:val="00CC0D2D"/>
    <w:rsid w:val="00CC2C53"/>
    <w:rsid w:val="00CC7C72"/>
    <w:rsid w:val="00CD06AA"/>
    <w:rsid w:val="00CD0956"/>
    <w:rsid w:val="00CD0C60"/>
    <w:rsid w:val="00CD3FE3"/>
    <w:rsid w:val="00CD5D6D"/>
    <w:rsid w:val="00CD72E9"/>
    <w:rsid w:val="00CE25B2"/>
    <w:rsid w:val="00CE5657"/>
    <w:rsid w:val="00CE7537"/>
    <w:rsid w:val="00CF3F51"/>
    <w:rsid w:val="00CF5BF3"/>
    <w:rsid w:val="00D013CB"/>
    <w:rsid w:val="00D132CE"/>
    <w:rsid w:val="00D133F8"/>
    <w:rsid w:val="00D14A3E"/>
    <w:rsid w:val="00D203A5"/>
    <w:rsid w:val="00D21F6C"/>
    <w:rsid w:val="00D2257F"/>
    <w:rsid w:val="00D269A4"/>
    <w:rsid w:val="00D26B1A"/>
    <w:rsid w:val="00D31D7E"/>
    <w:rsid w:val="00D31FC3"/>
    <w:rsid w:val="00D32F61"/>
    <w:rsid w:val="00D3324A"/>
    <w:rsid w:val="00D3531D"/>
    <w:rsid w:val="00D3779F"/>
    <w:rsid w:val="00D4280E"/>
    <w:rsid w:val="00D44D63"/>
    <w:rsid w:val="00D45A3E"/>
    <w:rsid w:val="00D46635"/>
    <w:rsid w:val="00D51E34"/>
    <w:rsid w:val="00D54435"/>
    <w:rsid w:val="00D54943"/>
    <w:rsid w:val="00D55FAA"/>
    <w:rsid w:val="00D577A1"/>
    <w:rsid w:val="00D6206C"/>
    <w:rsid w:val="00D74DA6"/>
    <w:rsid w:val="00D75E0B"/>
    <w:rsid w:val="00D868A6"/>
    <w:rsid w:val="00D86A56"/>
    <w:rsid w:val="00D94551"/>
    <w:rsid w:val="00D95290"/>
    <w:rsid w:val="00DB0171"/>
    <w:rsid w:val="00DB154A"/>
    <w:rsid w:val="00DB198F"/>
    <w:rsid w:val="00DB25D2"/>
    <w:rsid w:val="00DB5939"/>
    <w:rsid w:val="00DC227A"/>
    <w:rsid w:val="00DC4361"/>
    <w:rsid w:val="00DC5B3F"/>
    <w:rsid w:val="00DC5CDE"/>
    <w:rsid w:val="00DD0765"/>
    <w:rsid w:val="00DD1544"/>
    <w:rsid w:val="00DD25A1"/>
    <w:rsid w:val="00DD4D80"/>
    <w:rsid w:val="00DD5345"/>
    <w:rsid w:val="00DE6C52"/>
    <w:rsid w:val="00DE745E"/>
    <w:rsid w:val="00DE79E3"/>
    <w:rsid w:val="00DF2710"/>
    <w:rsid w:val="00DF5827"/>
    <w:rsid w:val="00E07CB4"/>
    <w:rsid w:val="00E13267"/>
    <w:rsid w:val="00E17639"/>
    <w:rsid w:val="00E20643"/>
    <w:rsid w:val="00E213BB"/>
    <w:rsid w:val="00E213F1"/>
    <w:rsid w:val="00E22556"/>
    <w:rsid w:val="00E23353"/>
    <w:rsid w:val="00E24055"/>
    <w:rsid w:val="00E24E8C"/>
    <w:rsid w:val="00E3106A"/>
    <w:rsid w:val="00E3181A"/>
    <w:rsid w:val="00E3716B"/>
    <w:rsid w:val="00E428EE"/>
    <w:rsid w:val="00E44EDB"/>
    <w:rsid w:val="00E50A85"/>
    <w:rsid w:val="00E5323B"/>
    <w:rsid w:val="00E536DB"/>
    <w:rsid w:val="00E54D66"/>
    <w:rsid w:val="00E55FA2"/>
    <w:rsid w:val="00E6505A"/>
    <w:rsid w:val="00E650BB"/>
    <w:rsid w:val="00E719AD"/>
    <w:rsid w:val="00E72443"/>
    <w:rsid w:val="00E745B1"/>
    <w:rsid w:val="00E74F5B"/>
    <w:rsid w:val="00E76434"/>
    <w:rsid w:val="00E772C6"/>
    <w:rsid w:val="00E8024D"/>
    <w:rsid w:val="00E8048D"/>
    <w:rsid w:val="00E836D1"/>
    <w:rsid w:val="00E87042"/>
    <w:rsid w:val="00E8749E"/>
    <w:rsid w:val="00E90C01"/>
    <w:rsid w:val="00E90E22"/>
    <w:rsid w:val="00E91717"/>
    <w:rsid w:val="00E934AF"/>
    <w:rsid w:val="00E968B8"/>
    <w:rsid w:val="00EA0478"/>
    <w:rsid w:val="00EA486E"/>
    <w:rsid w:val="00EA4CDE"/>
    <w:rsid w:val="00EA6B8E"/>
    <w:rsid w:val="00EA70AF"/>
    <w:rsid w:val="00EB6F30"/>
    <w:rsid w:val="00EC137C"/>
    <w:rsid w:val="00EC1949"/>
    <w:rsid w:val="00EC34DA"/>
    <w:rsid w:val="00EC4AD8"/>
    <w:rsid w:val="00ED0B66"/>
    <w:rsid w:val="00ED3665"/>
    <w:rsid w:val="00ED5FBA"/>
    <w:rsid w:val="00ED7E15"/>
    <w:rsid w:val="00EE1E20"/>
    <w:rsid w:val="00EE2CDB"/>
    <w:rsid w:val="00EE7AC6"/>
    <w:rsid w:val="00EF25D5"/>
    <w:rsid w:val="00EF3B00"/>
    <w:rsid w:val="00F00E48"/>
    <w:rsid w:val="00F00E61"/>
    <w:rsid w:val="00F06723"/>
    <w:rsid w:val="00F06F8F"/>
    <w:rsid w:val="00F07B3B"/>
    <w:rsid w:val="00F16DF8"/>
    <w:rsid w:val="00F21926"/>
    <w:rsid w:val="00F24852"/>
    <w:rsid w:val="00F24B93"/>
    <w:rsid w:val="00F2575D"/>
    <w:rsid w:val="00F271C8"/>
    <w:rsid w:val="00F27F85"/>
    <w:rsid w:val="00F32627"/>
    <w:rsid w:val="00F343B7"/>
    <w:rsid w:val="00F3602F"/>
    <w:rsid w:val="00F36965"/>
    <w:rsid w:val="00F40F2D"/>
    <w:rsid w:val="00F423E7"/>
    <w:rsid w:val="00F43AC5"/>
    <w:rsid w:val="00F5026F"/>
    <w:rsid w:val="00F535D3"/>
    <w:rsid w:val="00F55915"/>
    <w:rsid w:val="00F56F8D"/>
    <w:rsid w:val="00F57B0C"/>
    <w:rsid w:val="00F6022A"/>
    <w:rsid w:val="00F65327"/>
    <w:rsid w:val="00F6617B"/>
    <w:rsid w:val="00F675A7"/>
    <w:rsid w:val="00F76AE7"/>
    <w:rsid w:val="00F82D3F"/>
    <w:rsid w:val="00F82E8B"/>
    <w:rsid w:val="00F919B4"/>
    <w:rsid w:val="00F958B6"/>
    <w:rsid w:val="00FA0B61"/>
    <w:rsid w:val="00FA0D49"/>
    <w:rsid w:val="00FA398F"/>
    <w:rsid w:val="00FA53D6"/>
    <w:rsid w:val="00FB31A4"/>
    <w:rsid w:val="00FB5BA8"/>
    <w:rsid w:val="00FC6B9B"/>
    <w:rsid w:val="00FC6D7D"/>
    <w:rsid w:val="00FD079E"/>
    <w:rsid w:val="00FD2E9E"/>
    <w:rsid w:val="00FE0BCF"/>
    <w:rsid w:val="00FE119C"/>
    <w:rsid w:val="00FE3460"/>
    <w:rsid w:val="00FE409E"/>
    <w:rsid w:val="00FE4731"/>
    <w:rsid w:val="00FF0FAB"/>
    <w:rsid w:val="00FF2494"/>
    <w:rsid w:val="00FF29C4"/>
    <w:rsid w:val="00FF3695"/>
    <w:rsid w:val="00FF454C"/>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12F7"/>
  <w15:docId w15:val="{424DDBF5-A8D1-4281-823A-E7D6352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F675A7"/>
    <w:pPr>
      <w:spacing w:after="200" w:line="240" w:lineRule="auto"/>
    </w:pPr>
    <w:rPr>
      <w:sz w:val="20"/>
      <w:szCs w:val="20"/>
    </w:rPr>
  </w:style>
  <w:style w:type="character" w:customStyle="1" w:styleId="CommentTextChar">
    <w:name w:val="Comment Text Char"/>
    <w:basedOn w:val="DefaultParagraphFont"/>
    <w:link w:val="CommentText"/>
    <w:uiPriority w:val="99"/>
    <w:rsid w:val="00F675A7"/>
    <w:rPr>
      <w:sz w:val="20"/>
      <w:szCs w:val="20"/>
    </w:rPr>
  </w:style>
  <w:style w:type="paragraph" w:styleId="NoSpacing">
    <w:name w:val="No Spacing"/>
    <w:link w:val="NoSpacingChar"/>
    <w:uiPriority w:val="1"/>
    <w:qFormat/>
    <w:rsid w:val="005654E6"/>
    <w:pPr>
      <w:spacing w:after="0" w:line="240" w:lineRule="auto"/>
    </w:pPr>
  </w:style>
  <w:style w:type="character" w:customStyle="1" w:styleId="NoSpacingChar">
    <w:name w:val="No Spacing Char"/>
    <w:basedOn w:val="DefaultParagraphFont"/>
    <w:link w:val="NoSpacing"/>
    <w:uiPriority w:val="1"/>
    <w:rsid w:val="005654E6"/>
  </w:style>
  <w:style w:type="paragraph" w:styleId="FootnoteText">
    <w:name w:val="footnote text"/>
    <w:basedOn w:val="Normal"/>
    <w:link w:val="FootnoteTextChar"/>
    <w:uiPriority w:val="99"/>
    <w:unhideWhenUsed/>
    <w:rsid w:val="00F2575D"/>
    <w:pPr>
      <w:spacing w:after="0" w:line="240" w:lineRule="auto"/>
    </w:pPr>
    <w:rPr>
      <w:sz w:val="20"/>
      <w:szCs w:val="20"/>
    </w:rPr>
  </w:style>
  <w:style w:type="character" w:customStyle="1" w:styleId="FootnoteTextChar">
    <w:name w:val="Footnote Text Char"/>
    <w:basedOn w:val="DefaultParagraphFont"/>
    <w:link w:val="FootnoteText"/>
    <w:uiPriority w:val="99"/>
    <w:rsid w:val="00F2575D"/>
    <w:rPr>
      <w:sz w:val="20"/>
      <w:szCs w:val="20"/>
    </w:rPr>
  </w:style>
  <w:style w:type="character" w:styleId="FootnoteReference">
    <w:name w:val="footnote reference"/>
    <w:basedOn w:val="DefaultParagraphFont"/>
    <w:uiPriority w:val="99"/>
    <w:semiHidden/>
    <w:unhideWhenUsed/>
    <w:rsid w:val="00F2575D"/>
    <w:rPr>
      <w:vertAlign w:val="superscript"/>
    </w:rPr>
  </w:style>
  <w:style w:type="paragraph" w:styleId="HTMLPreformatted">
    <w:name w:val="HTML Preformatted"/>
    <w:basedOn w:val="Normal"/>
    <w:link w:val="HTMLPreformattedChar"/>
    <w:uiPriority w:val="99"/>
    <w:unhideWhenUsed/>
    <w:rsid w:val="00F5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56F8D"/>
    <w:rPr>
      <w:rFonts w:ascii="Courier New" w:eastAsia="Times New Roman" w:hAnsi="Courier New" w:cs="Courier New"/>
      <w:sz w:val="20"/>
      <w:szCs w:val="20"/>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B57317"/>
    <w:pPr>
      <w:ind w:left="720"/>
      <w:contextualSpacing/>
    </w:pPr>
  </w:style>
  <w:style w:type="paragraph" w:customStyle="1" w:styleId="tv213">
    <w:name w:val="tv213"/>
    <w:basedOn w:val="Normal"/>
    <w:rsid w:val="00004C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E13267"/>
  </w:style>
  <w:style w:type="character" w:styleId="Strong">
    <w:name w:val="Strong"/>
    <w:basedOn w:val="DefaultParagraphFont"/>
    <w:uiPriority w:val="22"/>
    <w:qFormat/>
    <w:rsid w:val="00E13267"/>
    <w:rPr>
      <w:b/>
      <w:bCs/>
    </w:rPr>
  </w:style>
  <w:style w:type="paragraph" w:customStyle="1" w:styleId="Bodytext1">
    <w:name w:val="Body text1"/>
    <w:basedOn w:val="Normal"/>
    <w:rsid w:val="00E13267"/>
    <w:pPr>
      <w:shd w:val="clear" w:color="auto" w:fill="FFFFFF"/>
      <w:spacing w:before="2100" w:after="0" w:line="240" w:lineRule="atLeast"/>
      <w:ind w:hanging="720"/>
      <w:jc w:val="center"/>
    </w:pPr>
    <w:rPr>
      <w:rFonts w:ascii="Times New Roman" w:eastAsia="Times New Roman" w:hAnsi="Times New Roman" w:cs="Times New Roman"/>
      <w:snapToGrid w:val="0"/>
      <w:sz w:val="21"/>
      <w:szCs w:val="21"/>
      <w:lang w:eastAsia="lv-LV"/>
    </w:rPr>
  </w:style>
  <w:style w:type="character" w:styleId="Emphasis">
    <w:name w:val="Emphasis"/>
    <w:basedOn w:val="DefaultParagraphFont"/>
    <w:uiPriority w:val="20"/>
    <w:qFormat/>
    <w:rsid w:val="008139E0"/>
    <w:rPr>
      <w:i/>
      <w:iCs/>
    </w:rPr>
  </w:style>
  <w:style w:type="character" w:styleId="CommentReference">
    <w:name w:val="annotation reference"/>
    <w:basedOn w:val="DefaultParagraphFont"/>
    <w:uiPriority w:val="99"/>
    <w:semiHidden/>
    <w:unhideWhenUsed/>
    <w:rsid w:val="00BD6648"/>
    <w:rPr>
      <w:sz w:val="16"/>
      <w:szCs w:val="16"/>
    </w:rPr>
  </w:style>
  <w:style w:type="paragraph" w:styleId="CommentSubject">
    <w:name w:val="annotation subject"/>
    <w:basedOn w:val="CommentText"/>
    <w:next w:val="CommentText"/>
    <w:link w:val="CommentSubjectChar"/>
    <w:uiPriority w:val="99"/>
    <w:semiHidden/>
    <w:unhideWhenUsed/>
    <w:rsid w:val="00BD6648"/>
    <w:pPr>
      <w:spacing w:after="160"/>
    </w:pPr>
    <w:rPr>
      <w:b/>
      <w:bCs/>
    </w:rPr>
  </w:style>
  <w:style w:type="character" w:customStyle="1" w:styleId="CommentSubjectChar">
    <w:name w:val="Comment Subject Char"/>
    <w:basedOn w:val="CommentTextChar"/>
    <w:link w:val="CommentSubject"/>
    <w:uiPriority w:val="99"/>
    <w:semiHidden/>
    <w:rsid w:val="00BD6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50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8627837">
      <w:bodyDiv w:val="1"/>
      <w:marLeft w:val="0"/>
      <w:marRight w:val="0"/>
      <w:marTop w:val="0"/>
      <w:marBottom w:val="0"/>
      <w:divBdr>
        <w:top w:val="none" w:sz="0" w:space="0" w:color="auto"/>
        <w:left w:val="none" w:sz="0" w:space="0" w:color="auto"/>
        <w:bottom w:val="none" w:sz="0" w:space="0" w:color="auto"/>
        <w:right w:val="none" w:sz="0" w:space="0" w:color="auto"/>
      </w:divBdr>
    </w:div>
    <w:div w:id="350959980">
      <w:bodyDiv w:val="1"/>
      <w:marLeft w:val="0"/>
      <w:marRight w:val="0"/>
      <w:marTop w:val="0"/>
      <w:marBottom w:val="0"/>
      <w:divBdr>
        <w:top w:val="none" w:sz="0" w:space="0" w:color="auto"/>
        <w:left w:val="none" w:sz="0" w:space="0" w:color="auto"/>
        <w:bottom w:val="none" w:sz="0" w:space="0" w:color="auto"/>
        <w:right w:val="none" w:sz="0" w:space="0" w:color="auto"/>
      </w:divBdr>
    </w:div>
    <w:div w:id="686759309">
      <w:bodyDiv w:val="1"/>
      <w:marLeft w:val="0"/>
      <w:marRight w:val="0"/>
      <w:marTop w:val="0"/>
      <w:marBottom w:val="0"/>
      <w:divBdr>
        <w:top w:val="none" w:sz="0" w:space="0" w:color="auto"/>
        <w:left w:val="none" w:sz="0" w:space="0" w:color="auto"/>
        <w:bottom w:val="none" w:sz="0" w:space="0" w:color="auto"/>
        <w:right w:val="none" w:sz="0" w:space="0" w:color="auto"/>
      </w:divBdr>
    </w:div>
    <w:div w:id="1003044788">
      <w:bodyDiv w:val="1"/>
      <w:marLeft w:val="0"/>
      <w:marRight w:val="0"/>
      <w:marTop w:val="0"/>
      <w:marBottom w:val="0"/>
      <w:divBdr>
        <w:top w:val="none" w:sz="0" w:space="0" w:color="auto"/>
        <w:left w:val="none" w:sz="0" w:space="0" w:color="auto"/>
        <w:bottom w:val="none" w:sz="0" w:space="0" w:color="auto"/>
        <w:right w:val="none" w:sz="0" w:space="0" w:color="auto"/>
      </w:divBdr>
    </w:div>
    <w:div w:id="1264609907">
      <w:bodyDiv w:val="1"/>
      <w:marLeft w:val="0"/>
      <w:marRight w:val="0"/>
      <w:marTop w:val="0"/>
      <w:marBottom w:val="0"/>
      <w:divBdr>
        <w:top w:val="none" w:sz="0" w:space="0" w:color="auto"/>
        <w:left w:val="none" w:sz="0" w:space="0" w:color="auto"/>
        <w:bottom w:val="none" w:sz="0" w:space="0" w:color="auto"/>
        <w:right w:val="none" w:sz="0" w:space="0" w:color="auto"/>
      </w:divBdr>
    </w:div>
    <w:div w:id="1291012943">
      <w:bodyDiv w:val="1"/>
      <w:marLeft w:val="0"/>
      <w:marRight w:val="0"/>
      <w:marTop w:val="0"/>
      <w:marBottom w:val="0"/>
      <w:divBdr>
        <w:top w:val="none" w:sz="0" w:space="0" w:color="auto"/>
        <w:left w:val="none" w:sz="0" w:space="0" w:color="auto"/>
        <w:bottom w:val="none" w:sz="0" w:space="0" w:color="auto"/>
        <w:right w:val="none" w:sz="0" w:space="0" w:color="auto"/>
      </w:divBdr>
      <w:divsChild>
        <w:div w:id="1122769930">
          <w:marLeft w:val="0"/>
          <w:marRight w:val="0"/>
          <w:marTop w:val="0"/>
          <w:marBottom w:val="0"/>
          <w:divBdr>
            <w:top w:val="none" w:sz="0" w:space="0" w:color="auto"/>
            <w:left w:val="none" w:sz="0" w:space="0" w:color="auto"/>
            <w:bottom w:val="none" w:sz="0" w:space="0" w:color="auto"/>
            <w:right w:val="none" w:sz="0" w:space="0" w:color="auto"/>
          </w:divBdr>
        </w:div>
      </w:divsChild>
    </w:div>
    <w:div w:id="12935122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0904260">
      <w:bodyDiv w:val="1"/>
      <w:marLeft w:val="0"/>
      <w:marRight w:val="0"/>
      <w:marTop w:val="0"/>
      <w:marBottom w:val="0"/>
      <w:divBdr>
        <w:top w:val="none" w:sz="0" w:space="0" w:color="auto"/>
        <w:left w:val="none" w:sz="0" w:space="0" w:color="auto"/>
        <w:bottom w:val="none" w:sz="0" w:space="0" w:color="auto"/>
        <w:right w:val="none" w:sz="0" w:space="0" w:color="auto"/>
      </w:divBdr>
    </w:div>
    <w:div w:id="1938978844">
      <w:bodyDiv w:val="1"/>
      <w:marLeft w:val="0"/>
      <w:marRight w:val="0"/>
      <w:marTop w:val="0"/>
      <w:marBottom w:val="0"/>
      <w:divBdr>
        <w:top w:val="none" w:sz="0" w:space="0" w:color="auto"/>
        <w:left w:val="none" w:sz="0" w:space="0" w:color="auto"/>
        <w:bottom w:val="none" w:sz="0" w:space="0" w:color="auto"/>
        <w:right w:val="none" w:sz="0" w:space="0" w:color="auto"/>
      </w:divBdr>
      <w:divsChild>
        <w:div w:id="1924532280">
          <w:marLeft w:val="-45"/>
          <w:marRight w:val="0"/>
          <w:marTop w:val="0"/>
          <w:marBottom w:val="0"/>
          <w:divBdr>
            <w:top w:val="single" w:sz="6" w:space="0" w:color="FFFFFF"/>
            <w:left w:val="single" w:sz="6" w:space="0" w:color="FFFFFF"/>
            <w:bottom w:val="single" w:sz="6" w:space="0" w:color="FFFFFF"/>
            <w:right w:val="single" w:sz="6" w:space="0" w:color="FFFFFF"/>
          </w:divBdr>
        </w:div>
        <w:div w:id="13176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files/finansutirguspolitika/Pasakumu_plans_Moneyval_011018.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26537-iedzivotaju-registra-ieklauto-zinu-aktualizesanas-kartiba" TargetMode="External"/><Relationship Id="rId4" Type="http://schemas.openxmlformats.org/officeDocument/2006/relationships/settings" Target="settings.xml"/><Relationship Id="rId9" Type="http://schemas.openxmlformats.org/officeDocument/2006/relationships/hyperlink" Target="https://likumi.lv/doc.php?id=496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0147-kartiba-kada-noziedzigi-iegutu-lidzeklu-legalizacijas-un-terorisma-finansesanas-noversanas-likuma-subjekts-veic-kli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3DBC-AEF3-4602-9E3C-9D84F6DB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57551</Words>
  <Characters>32805</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Likumprojekta “Grozījumi Noziedzīgi iegūtu līdzekļu legalizācijas un terorisma finansēšanas novēŗsanas likumā”</vt:lpstr>
    </vt:vector>
  </TitlesOfParts>
  <Company>Finanšu ministrija</Company>
  <LinksUpToDate>false</LinksUpToDate>
  <CharactersWithSpaces>90176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novēŗsanas likumā”</dc:title>
  <dc:subject>Anotācija</dc:subject>
  <dc:creator>Vineta Zūkere</dc:creator>
  <dc:description>67095490, vineta.zukere@fm.gov.lv</dc:description>
  <cp:lastModifiedBy>Vineta Zūkere</cp:lastModifiedBy>
  <cp:revision>3</cp:revision>
  <cp:lastPrinted>2019-03-04T09:07:00Z</cp:lastPrinted>
  <dcterms:created xsi:type="dcterms:W3CDTF">2019-03-06T05:49:00Z</dcterms:created>
  <dcterms:modified xsi:type="dcterms:W3CDTF">2019-03-06T05:51:00Z</dcterms:modified>
</cp:coreProperties>
</file>