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369" w:rsidRPr="00A7677E" w:rsidRDefault="000C7369" w:rsidP="000C7369">
      <w:pPr>
        <w:shd w:val="clear" w:color="auto" w:fill="FFFFFF"/>
        <w:spacing w:after="0" w:line="240" w:lineRule="auto"/>
        <w:jc w:val="center"/>
        <w:rPr>
          <w:rFonts w:ascii="Times New Roman" w:eastAsia="Times New Roman" w:hAnsi="Times New Roman" w:cs="Times New Roman"/>
          <w:b/>
          <w:bCs/>
          <w:sz w:val="28"/>
          <w:szCs w:val="28"/>
          <w:lang w:eastAsia="lv-LV"/>
        </w:rPr>
      </w:pPr>
      <w:r w:rsidRPr="00A7677E">
        <w:rPr>
          <w:rFonts w:ascii="Times New Roman" w:hAnsi="Times New Roman" w:cs="Times New Roman"/>
          <w:b/>
          <w:sz w:val="28"/>
          <w:szCs w:val="28"/>
        </w:rPr>
        <w:t>Likumprojekta “Grozījumi Latvijas Administratīvo pārkāpumu kodeksā”</w:t>
      </w:r>
      <w:r w:rsidRPr="00A7677E">
        <w:rPr>
          <w:rFonts w:ascii="Times New Roman" w:hAnsi="Times New Roman" w:cs="Times New Roman"/>
          <w:sz w:val="28"/>
          <w:szCs w:val="28"/>
        </w:rPr>
        <w:t xml:space="preserve"> </w:t>
      </w:r>
      <w:r w:rsidRPr="00A7677E">
        <w:rPr>
          <w:rFonts w:ascii="Times New Roman" w:eastAsia="Times New Roman" w:hAnsi="Times New Roman" w:cs="Times New Roman"/>
          <w:b/>
          <w:bCs/>
          <w:sz w:val="28"/>
          <w:szCs w:val="28"/>
          <w:lang w:eastAsia="lv-LV"/>
        </w:rPr>
        <w:t>sākotnējās ietekmes novērtējuma ziņojums (anotācija)</w:t>
      </w:r>
    </w:p>
    <w:p w:rsidR="000C7369" w:rsidRPr="00A7677E" w:rsidRDefault="000C7369" w:rsidP="000C7369">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12"/>
        <w:gridCol w:w="5909"/>
      </w:tblGrid>
      <w:tr w:rsidR="000C7369" w:rsidRPr="00A7677E" w:rsidTr="000C26C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C7369" w:rsidRPr="00A7677E" w:rsidRDefault="000C7369" w:rsidP="000C26C3">
            <w:pPr>
              <w:rPr>
                <w:rFonts w:ascii="Times New Roman" w:eastAsia="Times New Roman" w:hAnsi="Times New Roman" w:cs="Times New Roman"/>
                <w:b/>
                <w:bCs/>
                <w:iCs/>
                <w:sz w:val="24"/>
                <w:szCs w:val="24"/>
                <w:lang w:eastAsia="lv-LV"/>
              </w:rPr>
            </w:pPr>
            <w:r w:rsidRPr="00A7677E">
              <w:rPr>
                <w:rFonts w:ascii="Times New Roman" w:eastAsia="Times New Roman" w:hAnsi="Times New Roman" w:cs="Times New Roman"/>
                <w:b/>
                <w:bCs/>
                <w:iCs/>
                <w:sz w:val="24"/>
                <w:szCs w:val="24"/>
                <w:lang w:eastAsia="lv-LV"/>
              </w:rPr>
              <w:t>Tiesību akta projekta anotācijas kopsavilkums</w:t>
            </w:r>
          </w:p>
        </w:tc>
      </w:tr>
      <w:tr w:rsidR="000C7369" w:rsidRPr="00A7677E" w:rsidTr="000C26C3">
        <w:trPr>
          <w:tblCellSpacing w:w="15" w:type="dxa"/>
        </w:trPr>
        <w:tc>
          <w:tcPr>
            <w:tcW w:w="1771" w:type="pct"/>
            <w:tcBorders>
              <w:top w:val="outset" w:sz="6" w:space="0" w:color="auto"/>
              <w:left w:val="outset" w:sz="6" w:space="0" w:color="auto"/>
              <w:bottom w:val="outset" w:sz="6" w:space="0" w:color="auto"/>
              <w:right w:val="outset" w:sz="6" w:space="0" w:color="auto"/>
            </w:tcBorders>
            <w:hideMark/>
          </w:tcPr>
          <w:p w:rsidR="000C7369" w:rsidRPr="00A7677E" w:rsidRDefault="000C7369" w:rsidP="000C26C3">
            <w:pPr>
              <w:rPr>
                <w:rFonts w:ascii="Times New Roman" w:eastAsia="Times New Roman" w:hAnsi="Times New Roman" w:cs="Times New Roman"/>
                <w:iCs/>
                <w:sz w:val="24"/>
                <w:szCs w:val="24"/>
                <w:lang w:eastAsia="lv-LV"/>
              </w:rPr>
            </w:pPr>
            <w:r w:rsidRPr="00A7677E">
              <w:rPr>
                <w:rFonts w:ascii="Times New Roman" w:eastAsia="Times New Roman" w:hAnsi="Times New Roman" w:cs="Times New Roman"/>
                <w:iCs/>
                <w:sz w:val="24"/>
                <w:szCs w:val="24"/>
                <w:lang w:eastAsia="lv-LV"/>
              </w:rPr>
              <w:t>Mērķis, risinājums un projekta spēkā stāšanās laiks (500 zīmes bez atstarpēm)</w:t>
            </w:r>
          </w:p>
        </w:tc>
        <w:tc>
          <w:tcPr>
            <w:tcW w:w="3179" w:type="pct"/>
            <w:tcBorders>
              <w:top w:val="outset" w:sz="6" w:space="0" w:color="auto"/>
              <w:left w:val="outset" w:sz="6" w:space="0" w:color="auto"/>
              <w:bottom w:val="outset" w:sz="6" w:space="0" w:color="auto"/>
              <w:right w:val="outset" w:sz="6" w:space="0" w:color="auto"/>
            </w:tcBorders>
            <w:hideMark/>
          </w:tcPr>
          <w:p w:rsidR="000C7369" w:rsidRPr="00501D91" w:rsidRDefault="001840CC" w:rsidP="00E95B68">
            <w:pPr>
              <w:spacing w:after="0" w:line="240" w:lineRule="auto"/>
              <w:jc w:val="both"/>
              <w:rPr>
                <w:sz w:val="24"/>
                <w:szCs w:val="24"/>
              </w:rPr>
            </w:pPr>
            <w:r w:rsidRPr="00A7677E">
              <w:rPr>
                <w:rFonts w:ascii="Times New Roman" w:hAnsi="Times New Roman" w:cs="Times New Roman"/>
                <w:sz w:val="24"/>
                <w:szCs w:val="24"/>
              </w:rPr>
              <w:t>Likumprojekts “Grozījumi Latvijas Administratīvo pārkāpumu kodeksā” (turpmāk – l</w:t>
            </w:r>
            <w:r w:rsidR="000C7369" w:rsidRPr="00A7677E">
              <w:rPr>
                <w:rFonts w:ascii="Times New Roman" w:hAnsi="Times New Roman" w:cs="Times New Roman"/>
                <w:sz w:val="24"/>
                <w:szCs w:val="24"/>
              </w:rPr>
              <w:t>ikumprojekts</w:t>
            </w:r>
            <w:r w:rsidRPr="00A7677E">
              <w:rPr>
                <w:rFonts w:ascii="Times New Roman" w:hAnsi="Times New Roman" w:cs="Times New Roman"/>
                <w:sz w:val="24"/>
                <w:szCs w:val="24"/>
              </w:rPr>
              <w:t>)</w:t>
            </w:r>
            <w:r w:rsidR="000C7369" w:rsidRPr="00A7677E">
              <w:rPr>
                <w:rFonts w:ascii="Times New Roman" w:hAnsi="Times New Roman" w:cs="Times New Roman"/>
                <w:sz w:val="24"/>
                <w:szCs w:val="24"/>
              </w:rPr>
              <w:t xml:space="preserve"> nosaka</w:t>
            </w:r>
            <w:r w:rsidR="007D6EDD">
              <w:rPr>
                <w:rFonts w:ascii="Times New Roman" w:hAnsi="Times New Roman" w:cs="Times New Roman"/>
                <w:sz w:val="24"/>
                <w:szCs w:val="24"/>
              </w:rPr>
              <w:t xml:space="preserve"> </w:t>
            </w:r>
            <w:r w:rsidR="00C60634" w:rsidRPr="005D3542">
              <w:rPr>
                <w:rFonts w:ascii="Times New Roman" w:hAnsi="Times New Roman" w:cs="Times New Roman"/>
                <w:bCs/>
                <w:sz w:val="24"/>
                <w:szCs w:val="24"/>
              </w:rPr>
              <w:t xml:space="preserve">atbildību personai par dalību </w:t>
            </w:r>
            <w:r w:rsidR="00A5495C" w:rsidRPr="00501D91">
              <w:rPr>
                <w:rFonts w:ascii="Times New Roman" w:hAnsi="Times New Roman" w:cs="Times New Roman"/>
                <w:sz w:val="24"/>
                <w:szCs w:val="24"/>
              </w:rPr>
              <w:t>Latvijas Republikā</w:t>
            </w:r>
            <w:r w:rsidR="00664C23">
              <w:rPr>
                <w:rFonts w:ascii="Times New Roman" w:hAnsi="Times New Roman" w:cs="Times New Roman"/>
                <w:sz w:val="24"/>
                <w:szCs w:val="24"/>
              </w:rPr>
              <w:t xml:space="preserve"> (turpmāk – LR)</w:t>
            </w:r>
            <w:r w:rsidR="00C60634" w:rsidRPr="005D3542">
              <w:rPr>
                <w:rFonts w:ascii="Times New Roman" w:hAnsi="Times New Roman" w:cs="Times New Roman"/>
                <w:bCs/>
                <w:sz w:val="24"/>
                <w:szCs w:val="24"/>
              </w:rPr>
              <w:t xml:space="preserve"> nelicenc</w:t>
            </w:r>
            <w:r w:rsidR="00D55EE2" w:rsidRPr="005D3542">
              <w:rPr>
                <w:rFonts w:ascii="Times New Roman" w:hAnsi="Times New Roman" w:cs="Times New Roman"/>
                <w:bCs/>
                <w:sz w:val="24"/>
                <w:szCs w:val="24"/>
              </w:rPr>
              <w:t>ē</w:t>
            </w:r>
            <w:r w:rsidR="0080077D">
              <w:rPr>
                <w:rFonts w:ascii="Times New Roman" w:hAnsi="Times New Roman" w:cs="Times New Roman"/>
                <w:bCs/>
                <w:sz w:val="24"/>
                <w:szCs w:val="24"/>
              </w:rPr>
              <w:t>t</w:t>
            </w:r>
            <w:r w:rsidR="00C60634" w:rsidRPr="005D3542">
              <w:rPr>
                <w:rFonts w:ascii="Times New Roman" w:hAnsi="Times New Roman" w:cs="Times New Roman"/>
                <w:bCs/>
                <w:sz w:val="24"/>
                <w:szCs w:val="24"/>
              </w:rPr>
              <w:t>ās interaktīvās azartspēlēs vai</w:t>
            </w:r>
            <w:r w:rsidR="00D55EE2" w:rsidRPr="005D3542">
              <w:rPr>
                <w:rFonts w:ascii="Times New Roman" w:hAnsi="Times New Roman" w:cs="Times New Roman"/>
                <w:bCs/>
                <w:sz w:val="24"/>
                <w:szCs w:val="24"/>
              </w:rPr>
              <w:t xml:space="preserve"> interaktīvās</w:t>
            </w:r>
            <w:r w:rsidR="00C60634" w:rsidRPr="005D3542">
              <w:rPr>
                <w:rFonts w:ascii="Times New Roman" w:hAnsi="Times New Roman" w:cs="Times New Roman"/>
                <w:bCs/>
                <w:sz w:val="24"/>
                <w:szCs w:val="24"/>
              </w:rPr>
              <w:t xml:space="preserve"> izlozēs.</w:t>
            </w:r>
          </w:p>
          <w:p w:rsidR="000C7369" w:rsidRPr="00A7677E" w:rsidRDefault="00501D91" w:rsidP="000C26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Likumprojekts tiek virzīts</w:t>
            </w:r>
            <w:r w:rsidR="000C7369" w:rsidRPr="00A7677E">
              <w:rPr>
                <w:rFonts w:ascii="Times New Roman" w:hAnsi="Times New Roman" w:cs="Times New Roman"/>
                <w:sz w:val="24"/>
                <w:szCs w:val="24"/>
              </w:rPr>
              <w:t xml:space="preserve"> vienlaicīgi ar grozījumiem </w:t>
            </w:r>
            <w:r w:rsidR="00A92F86" w:rsidRPr="00A7677E">
              <w:rPr>
                <w:rFonts w:ascii="Times New Roman" w:hAnsi="Times New Roman" w:cs="Times New Roman"/>
                <w:sz w:val="24"/>
                <w:szCs w:val="24"/>
              </w:rPr>
              <w:t>Azartspēļu un izložu likumā, grozījumiem Elektronisko sakaru likumā</w:t>
            </w:r>
            <w:r w:rsidR="000C7369" w:rsidRPr="00A7677E">
              <w:rPr>
                <w:rFonts w:ascii="Times New Roman" w:hAnsi="Times New Roman" w:cs="Times New Roman"/>
                <w:sz w:val="24"/>
                <w:szCs w:val="24"/>
              </w:rPr>
              <w:t>, grozījumiem Maksājumu pakalpojumu un elektroniskās naudas likumā</w:t>
            </w:r>
            <w:r w:rsidR="001B7CB3" w:rsidRPr="00A7677E">
              <w:rPr>
                <w:rFonts w:ascii="Times New Roman" w:hAnsi="Times New Roman" w:cs="Times New Roman"/>
                <w:sz w:val="24"/>
                <w:szCs w:val="24"/>
              </w:rPr>
              <w:t>.</w:t>
            </w:r>
          </w:p>
          <w:p w:rsidR="000C7369" w:rsidRPr="00A7677E" w:rsidRDefault="000C7369" w:rsidP="001B7CB3">
            <w:pPr>
              <w:spacing w:after="0" w:line="240" w:lineRule="auto"/>
              <w:jc w:val="both"/>
              <w:rPr>
                <w:rFonts w:ascii="Times New Roman" w:eastAsia="Times New Roman" w:hAnsi="Times New Roman" w:cs="Times New Roman"/>
                <w:i/>
                <w:iCs/>
                <w:sz w:val="24"/>
                <w:szCs w:val="24"/>
                <w:lang w:eastAsia="lv-LV"/>
              </w:rPr>
            </w:pPr>
            <w:r w:rsidRPr="00A7677E">
              <w:rPr>
                <w:rFonts w:ascii="Times New Roman" w:hAnsi="Times New Roman" w:cs="Times New Roman"/>
                <w:sz w:val="24"/>
                <w:szCs w:val="24"/>
              </w:rPr>
              <w:t xml:space="preserve">Likumprojekts stāsies spēkā </w:t>
            </w:r>
            <w:r w:rsidR="001B7CB3" w:rsidRPr="00A7677E">
              <w:rPr>
                <w:rFonts w:ascii="Times New Roman" w:hAnsi="Times New Roman" w:cs="Times New Roman"/>
                <w:sz w:val="24"/>
                <w:szCs w:val="24"/>
              </w:rPr>
              <w:t>nākamajā dienā pēc</w:t>
            </w:r>
            <w:r w:rsidR="001840CC" w:rsidRPr="00A7677E">
              <w:rPr>
                <w:rFonts w:ascii="Times New Roman" w:hAnsi="Times New Roman" w:cs="Times New Roman"/>
                <w:sz w:val="24"/>
                <w:szCs w:val="24"/>
              </w:rPr>
              <w:t xml:space="preserve"> tā</w:t>
            </w:r>
            <w:r w:rsidR="001B7CB3" w:rsidRPr="00A7677E">
              <w:rPr>
                <w:rFonts w:ascii="Times New Roman" w:hAnsi="Times New Roman" w:cs="Times New Roman"/>
                <w:sz w:val="24"/>
                <w:szCs w:val="24"/>
              </w:rPr>
              <w:t xml:space="preserve"> izsludināšanas.</w:t>
            </w:r>
          </w:p>
        </w:tc>
      </w:tr>
    </w:tbl>
    <w:p w:rsidR="000C7369" w:rsidRPr="00A7677E" w:rsidRDefault="000C7369" w:rsidP="000C7369">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0C7369" w:rsidRPr="00A7677E" w:rsidTr="000C26C3">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C7369" w:rsidRPr="00A7677E" w:rsidRDefault="000C7369" w:rsidP="000C26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7677E">
              <w:rPr>
                <w:rFonts w:ascii="Times New Roman" w:eastAsia="Times New Roman" w:hAnsi="Times New Roman" w:cs="Times New Roman"/>
                <w:b/>
                <w:bCs/>
                <w:sz w:val="24"/>
                <w:szCs w:val="24"/>
                <w:lang w:eastAsia="lv-LV"/>
              </w:rPr>
              <w:t>I. Tiesību akta projekta izstrādes nepieciešamība</w:t>
            </w:r>
          </w:p>
        </w:tc>
      </w:tr>
      <w:tr w:rsidR="000C7369" w:rsidRPr="00A7677E" w:rsidTr="000C26C3">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0C7369" w:rsidRPr="00A7677E" w:rsidRDefault="0025192E" w:rsidP="000C26C3">
            <w:pPr>
              <w:spacing w:after="0" w:line="240" w:lineRule="auto"/>
              <w:jc w:val="both"/>
              <w:rPr>
                <w:rFonts w:ascii="Times New Roman" w:hAnsi="Times New Roman" w:cs="Times New Roman"/>
                <w:sz w:val="24"/>
                <w:szCs w:val="24"/>
              </w:rPr>
            </w:pPr>
            <w:r w:rsidRPr="00A7677E">
              <w:rPr>
                <w:rFonts w:ascii="Times New Roman" w:hAnsi="Times New Roman" w:cs="Times New Roman"/>
                <w:sz w:val="24"/>
                <w:szCs w:val="24"/>
              </w:rPr>
              <w:t>Likumprojekts izstrādāts, pamatojoties uz Ministru kabineta 2019.gada 5.februāra sēdes protokollēmuma (prot. Nr.5 30.§) “Informatīvais ziņojums “Par makroekonomisko rādītāju, ieņēmumu un vispārējās valdības budžeta bilances prognozēm 2019.-2021.gadā”” 8.2.apakšpunktā doto uzdevumu.</w:t>
            </w:r>
          </w:p>
        </w:tc>
      </w:tr>
      <w:tr w:rsidR="000C7369" w:rsidRPr="00A7677E" w:rsidTr="000C26C3">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0C7369" w:rsidRPr="00A7677E" w:rsidRDefault="000C7369" w:rsidP="000C26C3">
            <w:pPr>
              <w:rPr>
                <w:rFonts w:ascii="Times New Roman" w:eastAsia="Times New Roman" w:hAnsi="Times New Roman" w:cs="Times New Roman"/>
                <w:sz w:val="24"/>
                <w:szCs w:val="24"/>
                <w:lang w:eastAsia="lv-LV"/>
              </w:rPr>
            </w:pPr>
          </w:p>
          <w:p w:rsidR="000C7369" w:rsidRPr="00A7677E" w:rsidRDefault="000C7369" w:rsidP="000C26C3">
            <w:pPr>
              <w:rPr>
                <w:rFonts w:ascii="Times New Roman" w:eastAsia="Times New Roman" w:hAnsi="Times New Roman" w:cs="Times New Roman"/>
                <w:sz w:val="24"/>
                <w:szCs w:val="24"/>
                <w:lang w:eastAsia="lv-LV"/>
              </w:rPr>
            </w:pPr>
          </w:p>
          <w:p w:rsidR="000C7369" w:rsidRPr="00A7677E" w:rsidRDefault="000C7369" w:rsidP="000C26C3">
            <w:pPr>
              <w:rPr>
                <w:rFonts w:ascii="Times New Roman" w:eastAsia="Times New Roman" w:hAnsi="Times New Roman" w:cs="Times New Roman"/>
                <w:sz w:val="24"/>
                <w:szCs w:val="24"/>
                <w:lang w:eastAsia="lv-LV"/>
              </w:rPr>
            </w:pPr>
          </w:p>
          <w:p w:rsidR="000C7369" w:rsidRPr="00A7677E" w:rsidRDefault="000C7369" w:rsidP="000C26C3">
            <w:pPr>
              <w:rPr>
                <w:rFonts w:ascii="Times New Roman" w:eastAsia="Times New Roman" w:hAnsi="Times New Roman" w:cs="Times New Roman"/>
                <w:sz w:val="24"/>
                <w:szCs w:val="24"/>
                <w:lang w:eastAsia="lv-LV"/>
              </w:rPr>
            </w:pPr>
          </w:p>
          <w:p w:rsidR="000C7369" w:rsidRPr="00A7677E" w:rsidRDefault="000C7369" w:rsidP="000C26C3">
            <w:pPr>
              <w:rPr>
                <w:rFonts w:ascii="Times New Roman" w:eastAsia="Times New Roman" w:hAnsi="Times New Roman" w:cs="Times New Roman"/>
                <w:sz w:val="24"/>
                <w:szCs w:val="24"/>
                <w:lang w:eastAsia="lv-LV"/>
              </w:rPr>
            </w:pPr>
          </w:p>
          <w:p w:rsidR="000C7369" w:rsidRPr="00A7677E" w:rsidRDefault="000C7369" w:rsidP="000C26C3">
            <w:pPr>
              <w:rPr>
                <w:rFonts w:ascii="Times New Roman" w:eastAsia="Times New Roman" w:hAnsi="Times New Roman" w:cs="Times New Roman"/>
                <w:sz w:val="24"/>
                <w:szCs w:val="24"/>
                <w:lang w:eastAsia="lv-LV"/>
              </w:rPr>
            </w:pPr>
          </w:p>
          <w:p w:rsidR="000C7369" w:rsidRPr="00A7677E" w:rsidRDefault="000C7369" w:rsidP="000C26C3">
            <w:pPr>
              <w:rPr>
                <w:rFonts w:ascii="Times New Roman" w:eastAsia="Times New Roman" w:hAnsi="Times New Roman" w:cs="Times New Roman"/>
                <w:sz w:val="24"/>
                <w:szCs w:val="24"/>
                <w:lang w:eastAsia="lv-LV"/>
              </w:rPr>
            </w:pPr>
          </w:p>
          <w:p w:rsidR="000C7369" w:rsidRPr="00A7677E" w:rsidRDefault="000C7369" w:rsidP="000C26C3">
            <w:pPr>
              <w:jc w:val="center"/>
              <w:rPr>
                <w:rFonts w:ascii="Times New Roman" w:eastAsia="Times New Roman" w:hAnsi="Times New Roman" w:cs="Times New Roman"/>
                <w:sz w:val="24"/>
                <w:szCs w:val="24"/>
                <w:lang w:eastAsia="lv-LV"/>
              </w:rPr>
            </w:pPr>
          </w:p>
          <w:p w:rsidR="000C7369" w:rsidRPr="00A7677E" w:rsidRDefault="000C7369" w:rsidP="000C26C3">
            <w:pPr>
              <w:rPr>
                <w:rFonts w:ascii="Times New Roman" w:eastAsia="Times New Roman" w:hAnsi="Times New Roman" w:cs="Times New Roman"/>
                <w:sz w:val="24"/>
                <w:szCs w:val="24"/>
                <w:lang w:eastAsia="lv-LV"/>
              </w:rPr>
            </w:pPr>
          </w:p>
          <w:p w:rsidR="000C7369" w:rsidRPr="00A7677E" w:rsidRDefault="000C7369" w:rsidP="000C26C3">
            <w:pPr>
              <w:rPr>
                <w:rFonts w:ascii="Times New Roman" w:eastAsia="Times New Roman" w:hAnsi="Times New Roman" w:cs="Times New Roman"/>
                <w:sz w:val="24"/>
                <w:szCs w:val="24"/>
                <w:lang w:eastAsia="lv-LV"/>
              </w:rPr>
            </w:pPr>
          </w:p>
          <w:p w:rsidR="000C7369" w:rsidRPr="00A7677E" w:rsidRDefault="000C7369" w:rsidP="000C26C3">
            <w:pPr>
              <w:rPr>
                <w:rFonts w:ascii="Times New Roman" w:eastAsia="Times New Roman" w:hAnsi="Times New Roman" w:cs="Times New Roman"/>
                <w:sz w:val="24"/>
                <w:szCs w:val="24"/>
                <w:lang w:eastAsia="lv-LV"/>
              </w:rPr>
            </w:pPr>
          </w:p>
          <w:p w:rsidR="000C7369" w:rsidRPr="00A7677E" w:rsidRDefault="000C7369" w:rsidP="000C26C3">
            <w:pPr>
              <w:rPr>
                <w:rFonts w:ascii="Times New Roman" w:eastAsia="Times New Roman" w:hAnsi="Times New Roman" w:cs="Times New Roman"/>
                <w:sz w:val="24"/>
                <w:szCs w:val="24"/>
                <w:lang w:eastAsia="lv-LV"/>
              </w:rPr>
            </w:pPr>
          </w:p>
          <w:p w:rsidR="000C7369" w:rsidRPr="00A7677E" w:rsidRDefault="000C7369" w:rsidP="000C26C3">
            <w:pPr>
              <w:rPr>
                <w:rFonts w:ascii="Times New Roman" w:eastAsia="Times New Roman" w:hAnsi="Times New Roman" w:cs="Times New Roman"/>
                <w:sz w:val="24"/>
                <w:szCs w:val="24"/>
                <w:lang w:eastAsia="lv-LV"/>
              </w:rPr>
            </w:pPr>
          </w:p>
          <w:p w:rsidR="000C7369" w:rsidRPr="00A7677E" w:rsidRDefault="000C7369" w:rsidP="000C26C3">
            <w:pPr>
              <w:rPr>
                <w:rFonts w:ascii="Times New Roman" w:eastAsia="Times New Roman" w:hAnsi="Times New Roman" w:cs="Times New Roman"/>
                <w:sz w:val="24"/>
                <w:szCs w:val="24"/>
                <w:lang w:eastAsia="lv-LV"/>
              </w:rPr>
            </w:pPr>
          </w:p>
          <w:p w:rsidR="000C7369" w:rsidRPr="00A7677E" w:rsidRDefault="000C7369" w:rsidP="000C26C3">
            <w:pPr>
              <w:rPr>
                <w:rFonts w:ascii="Times New Roman" w:eastAsia="Times New Roman" w:hAnsi="Times New Roman" w:cs="Times New Roman"/>
                <w:sz w:val="24"/>
                <w:szCs w:val="24"/>
                <w:lang w:eastAsia="lv-LV"/>
              </w:rPr>
            </w:pPr>
          </w:p>
          <w:p w:rsidR="000C7369" w:rsidRPr="00A7677E" w:rsidRDefault="000C7369" w:rsidP="000C26C3">
            <w:pPr>
              <w:rPr>
                <w:rFonts w:ascii="Times New Roman" w:eastAsia="Times New Roman" w:hAnsi="Times New Roman" w:cs="Times New Roman"/>
                <w:sz w:val="24"/>
                <w:szCs w:val="24"/>
                <w:lang w:eastAsia="lv-LV"/>
              </w:rPr>
            </w:pPr>
          </w:p>
          <w:p w:rsidR="000C7369" w:rsidRPr="00A7677E" w:rsidRDefault="000C7369" w:rsidP="000C26C3">
            <w:pPr>
              <w:rPr>
                <w:rFonts w:ascii="Times New Roman" w:eastAsia="Times New Roman" w:hAnsi="Times New Roman" w:cs="Times New Roman"/>
                <w:sz w:val="24"/>
                <w:szCs w:val="24"/>
                <w:lang w:eastAsia="lv-LV"/>
              </w:rPr>
            </w:pPr>
          </w:p>
          <w:p w:rsidR="000C7369" w:rsidRPr="00A7677E" w:rsidRDefault="000C7369" w:rsidP="000C26C3">
            <w:pPr>
              <w:jc w:val="cente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rsidR="00C80BEE" w:rsidRDefault="003112BF" w:rsidP="003112BF">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lastRenderedPageBreak/>
              <w:t>Par</w:t>
            </w:r>
            <w:r w:rsidR="0035129E">
              <w:rPr>
                <w:rFonts w:ascii="Times New Roman" w:hAnsi="Times New Roman" w:cs="Times New Roman"/>
                <w:b/>
                <w:i/>
                <w:sz w:val="24"/>
                <w:szCs w:val="24"/>
              </w:rPr>
              <w:t xml:space="preserve"> a</w:t>
            </w:r>
            <w:r w:rsidR="00C60634" w:rsidRPr="009B1BA2">
              <w:rPr>
                <w:rFonts w:ascii="Times New Roman" w:hAnsi="Times New Roman" w:cs="Times New Roman"/>
                <w:b/>
                <w:i/>
                <w:sz w:val="24"/>
                <w:szCs w:val="24"/>
              </w:rPr>
              <w:t xml:space="preserve">tbildības noteikšanu personai par dalību </w:t>
            </w:r>
            <w:r w:rsidR="00664C23">
              <w:rPr>
                <w:rFonts w:ascii="Times New Roman" w:hAnsi="Times New Roman" w:cs="Times New Roman"/>
                <w:b/>
                <w:i/>
                <w:sz w:val="24"/>
                <w:szCs w:val="24"/>
              </w:rPr>
              <w:t>LR</w:t>
            </w:r>
            <w:r w:rsidR="00C60634" w:rsidRPr="009B1BA2">
              <w:rPr>
                <w:rFonts w:ascii="Times New Roman" w:hAnsi="Times New Roman" w:cs="Times New Roman"/>
                <w:b/>
                <w:i/>
                <w:sz w:val="24"/>
                <w:szCs w:val="24"/>
              </w:rPr>
              <w:t xml:space="preserve"> nelicencētās interaktīvajās azartspēlēs un izlozēs</w:t>
            </w:r>
            <w:r w:rsidR="00F04499" w:rsidRPr="00A7677E">
              <w:rPr>
                <w:rFonts w:ascii="Times New Roman" w:hAnsi="Times New Roman" w:cs="Times New Roman"/>
                <w:b/>
                <w:i/>
                <w:sz w:val="24"/>
                <w:szCs w:val="24"/>
              </w:rPr>
              <w:t>.</w:t>
            </w:r>
          </w:p>
          <w:p w:rsidR="00C80BEE" w:rsidRPr="009B1BA2" w:rsidRDefault="00A7677E" w:rsidP="00C80BEE">
            <w:pPr>
              <w:pStyle w:val="ListParagraph"/>
              <w:tabs>
                <w:tab w:val="left" w:pos="356"/>
              </w:tabs>
              <w:ind w:left="-23"/>
              <w:jc w:val="both"/>
              <w:rPr>
                <w:sz w:val="24"/>
                <w:szCs w:val="24"/>
                <w:lang w:val="lv-LV"/>
              </w:rPr>
            </w:pPr>
            <w:r>
              <w:rPr>
                <w:sz w:val="24"/>
                <w:szCs w:val="24"/>
                <w:lang w:val="lv-LV"/>
              </w:rPr>
              <w:t>Ņ</w:t>
            </w:r>
            <w:r w:rsidR="00C80BEE" w:rsidRPr="009B1BA2">
              <w:rPr>
                <w:sz w:val="24"/>
                <w:szCs w:val="24"/>
                <w:lang w:val="lv-LV"/>
              </w:rPr>
              <w:t xml:space="preserve">emot vērā to, ka azartspēļu jomā persona, kas darbojas nelicencētajā vidē, pakļauj riskam gan sevi, gan līdzcilvēkus, </w:t>
            </w:r>
            <w:r w:rsidRPr="009B1BA2">
              <w:rPr>
                <w:sz w:val="24"/>
                <w:szCs w:val="24"/>
                <w:lang w:val="lv-LV"/>
              </w:rPr>
              <w:t>ir</w:t>
            </w:r>
            <w:r w:rsidR="00C80BEE" w:rsidRPr="009B1BA2">
              <w:rPr>
                <w:sz w:val="24"/>
                <w:szCs w:val="24"/>
                <w:lang w:val="lv-LV"/>
              </w:rPr>
              <w:t xml:space="preserve"> nepieciešams noteikt naudas sodu</w:t>
            </w:r>
            <w:r w:rsidRPr="009B1BA2">
              <w:rPr>
                <w:sz w:val="24"/>
                <w:szCs w:val="24"/>
                <w:lang w:val="lv-LV"/>
              </w:rPr>
              <w:t xml:space="preserve"> </w:t>
            </w:r>
            <w:r w:rsidRPr="003112BF">
              <w:rPr>
                <w:sz w:val="24"/>
                <w:szCs w:val="24"/>
                <w:lang w:val="lv-LV"/>
              </w:rPr>
              <w:t>fiziskajai</w:t>
            </w:r>
            <w:r w:rsidRPr="009B1BA2">
              <w:rPr>
                <w:sz w:val="24"/>
                <w:szCs w:val="24"/>
                <w:lang w:val="lv-LV"/>
              </w:rPr>
              <w:t xml:space="preserve"> personai par dalību </w:t>
            </w:r>
            <w:r w:rsidR="00664C23">
              <w:rPr>
                <w:sz w:val="24"/>
                <w:szCs w:val="24"/>
              </w:rPr>
              <w:t>LR</w:t>
            </w:r>
            <w:r w:rsidR="00850E9C">
              <w:rPr>
                <w:sz w:val="24"/>
                <w:szCs w:val="24"/>
              </w:rPr>
              <w:t xml:space="preserve"> </w:t>
            </w:r>
            <w:r w:rsidRPr="009B1BA2">
              <w:rPr>
                <w:sz w:val="24"/>
                <w:szCs w:val="24"/>
                <w:lang w:val="lv-LV"/>
              </w:rPr>
              <w:t xml:space="preserve">nelicencētās interaktīvajās azartspēles un izlozēs </w:t>
            </w:r>
            <w:r w:rsidR="00C80BEE" w:rsidRPr="009B1BA2">
              <w:rPr>
                <w:sz w:val="24"/>
                <w:szCs w:val="24"/>
                <w:lang w:val="lv-LV"/>
              </w:rPr>
              <w:t>tādā līmenī, kas darbotos divējādi: gan sodot, gan atturot no prettiesiskas rīcības nākotnē</w:t>
            </w:r>
            <w:r w:rsidRPr="009B1BA2">
              <w:rPr>
                <w:sz w:val="24"/>
                <w:szCs w:val="24"/>
                <w:lang w:val="lv-LV"/>
              </w:rPr>
              <w:t xml:space="preserve"> -</w:t>
            </w:r>
            <w:r w:rsidRPr="00B838E4">
              <w:rPr>
                <w:sz w:val="24"/>
                <w:szCs w:val="24"/>
                <w:lang w:val="lv-LV"/>
              </w:rPr>
              <w:t xml:space="preserve"> personas uzvedības </w:t>
            </w:r>
            <w:r w:rsidR="00174488" w:rsidRPr="00B838E4">
              <w:rPr>
                <w:sz w:val="24"/>
                <w:szCs w:val="24"/>
                <w:lang w:val="lv-LV"/>
              </w:rPr>
              <w:t>maiņai</w:t>
            </w:r>
            <w:r w:rsidR="00C80BEE" w:rsidRPr="009B1BA2">
              <w:rPr>
                <w:sz w:val="24"/>
                <w:szCs w:val="24"/>
                <w:lang w:val="lv-LV"/>
              </w:rPr>
              <w:t>.</w:t>
            </w:r>
          </w:p>
          <w:p w:rsidR="00C60634" w:rsidRPr="00810537" w:rsidRDefault="00C80BEE" w:rsidP="00501D91">
            <w:pPr>
              <w:pStyle w:val="ListParagraph"/>
              <w:tabs>
                <w:tab w:val="left" w:pos="356"/>
              </w:tabs>
              <w:ind w:left="-23"/>
              <w:jc w:val="both"/>
              <w:rPr>
                <w:sz w:val="24"/>
                <w:szCs w:val="24"/>
              </w:rPr>
            </w:pPr>
            <w:r w:rsidRPr="009B1BA2">
              <w:rPr>
                <w:sz w:val="24"/>
                <w:szCs w:val="24"/>
                <w:lang w:val="lv-LV"/>
              </w:rPr>
              <w:t>Likumprojektā paredzēts noteikt naudas sodu fiziskajai personai no septiņdesmit līdz trīssimt piecdesmit euro.</w:t>
            </w:r>
          </w:p>
          <w:p w:rsidR="00C80BEE" w:rsidRPr="009B1BA2" w:rsidRDefault="00636A04" w:rsidP="00C80BEE">
            <w:pPr>
              <w:pStyle w:val="ListParagraph"/>
              <w:tabs>
                <w:tab w:val="left" w:pos="356"/>
              </w:tabs>
              <w:ind w:left="-23"/>
              <w:jc w:val="both"/>
              <w:rPr>
                <w:sz w:val="24"/>
                <w:szCs w:val="24"/>
                <w:lang w:val="lv-LV"/>
              </w:rPr>
            </w:pPr>
            <w:r>
              <w:rPr>
                <w:sz w:val="24"/>
                <w:szCs w:val="24"/>
                <w:lang w:val="lv-LV"/>
              </w:rPr>
              <w:t>Viens no aspektiem, kas jāņem</w:t>
            </w:r>
            <w:r w:rsidR="00C80BEE" w:rsidRPr="009B1BA2">
              <w:rPr>
                <w:sz w:val="24"/>
                <w:szCs w:val="24"/>
                <w:lang w:val="lv-LV"/>
              </w:rPr>
              <w:t xml:space="preserve"> vērā</w:t>
            </w:r>
            <w:r w:rsidR="00B838E4">
              <w:rPr>
                <w:sz w:val="24"/>
                <w:szCs w:val="24"/>
                <w:lang w:val="lv-LV"/>
              </w:rPr>
              <w:t>,</w:t>
            </w:r>
            <w:r w:rsidR="00C80BEE" w:rsidRPr="009B1BA2">
              <w:rPr>
                <w:sz w:val="24"/>
                <w:szCs w:val="24"/>
                <w:lang w:val="lv-LV"/>
              </w:rPr>
              <w:t xml:space="preserve"> </w:t>
            </w:r>
            <w:r w:rsidR="0095488F">
              <w:rPr>
                <w:sz w:val="24"/>
                <w:szCs w:val="24"/>
                <w:lang w:val="lv-LV"/>
              </w:rPr>
              <w:t>ir tas</w:t>
            </w:r>
            <w:r w:rsidR="00C80BEE" w:rsidRPr="009B1BA2">
              <w:rPr>
                <w:sz w:val="24"/>
                <w:szCs w:val="24"/>
                <w:lang w:val="lv-LV"/>
              </w:rPr>
              <w:t>, ka azartspēļu joma, it īpaši nel</w:t>
            </w:r>
            <w:r w:rsidR="00413C86">
              <w:rPr>
                <w:sz w:val="24"/>
                <w:szCs w:val="24"/>
                <w:lang w:val="lv-LV"/>
              </w:rPr>
              <w:t>icencētās</w:t>
            </w:r>
            <w:r w:rsidR="00C80BEE" w:rsidRPr="009B1BA2">
              <w:rPr>
                <w:sz w:val="24"/>
                <w:szCs w:val="24"/>
                <w:lang w:val="lv-LV"/>
              </w:rPr>
              <w:t xml:space="preserve"> azartspēles, ir rīks, kuru var izmantot noziedzīgi iegūto līdzekļu legalizācijas un terorisma finansēšanas shēmās iesaistīti subjekti. Azartspēļu nozare nav imūna pret noziedzīgi iegūto līdzekļu un terorisma finansēšanas riskiem. Tā ir augsti segmentēta, piedāvājot virkni pakalpojumus ar dažādām maksāšanas metodēm. Eiropas Komisijas aktivitātes ceļā uz noziedzīgi iegūto līdzekļu legalizācijas un terorisma finansēšanas novēršanu azartspēļu nozarē, nepārprotami attiecinot Eiropas Savienības normatīvos aktus uz azartspēļu nozari, norāda uz tās ievainojamību attiecībā uz legalizācijas mēģinājumiem. Noziedzīgi iegūto līdzekļu legalizācijas shēmās ir konstatēta vairāku subjektu iesaiste, tai skaitā, ir </w:t>
            </w:r>
            <w:r w:rsidR="00C80BEE" w:rsidRPr="009B1BA2">
              <w:rPr>
                <w:sz w:val="24"/>
                <w:szCs w:val="24"/>
                <w:lang w:val="lv-LV"/>
              </w:rPr>
              <w:lastRenderedPageBreak/>
              <w:t>uzsverama arī azartspēļu nozares loma.</w:t>
            </w:r>
            <w:r w:rsidR="00C80BEE" w:rsidRPr="009B1BA2">
              <w:rPr>
                <w:rStyle w:val="FootnoteReference"/>
                <w:sz w:val="24"/>
                <w:szCs w:val="24"/>
                <w:lang w:val="lv-LV"/>
              </w:rPr>
              <w:footnoteReference w:id="1"/>
            </w:r>
            <w:r w:rsidR="00C80BEE" w:rsidRPr="009B1BA2">
              <w:rPr>
                <w:sz w:val="24"/>
                <w:szCs w:val="24"/>
                <w:lang w:val="lv-LV"/>
              </w:rPr>
              <w:t xml:space="preserve"> Līdz ar to ir nepieciešami papildu aizsardzības paņēmieni, lai atturētu personas no dalības un maksājumu veikšanas nelegālajā vidē.</w:t>
            </w:r>
          </w:p>
          <w:p w:rsidR="00C80BEE" w:rsidRDefault="00C80BEE" w:rsidP="00174488">
            <w:pPr>
              <w:spacing w:after="0" w:line="240" w:lineRule="auto"/>
              <w:contextualSpacing/>
              <w:jc w:val="both"/>
              <w:rPr>
                <w:rFonts w:ascii="Times New Roman" w:hAnsi="Times New Roman" w:cs="Times New Roman"/>
                <w:sz w:val="24"/>
                <w:szCs w:val="24"/>
              </w:rPr>
            </w:pPr>
            <w:r w:rsidRPr="00A7677E">
              <w:rPr>
                <w:rFonts w:ascii="Times New Roman" w:hAnsi="Times New Roman" w:cs="Times New Roman"/>
                <w:sz w:val="24"/>
                <w:szCs w:val="24"/>
              </w:rPr>
              <w:t>Izvērtējot citu valstu pieredzi atbildības piemērošanā par dalību nelicencētās azartspēlēs, konstatējams, ka, piemēram,</w:t>
            </w:r>
            <w:r w:rsidR="00174488">
              <w:rPr>
                <w:rFonts w:ascii="Times New Roman" w:hAnsi="Times New Roman" w:cs="Times New Roman"/>
                <w:sz w:val="24"/>
                <w:szCs w:val="24"/>
              </w:rPr>
              <w:t xml:space="preserve"> Polija vērša</w:t>
            </w:r>
            <w:r w:rsidRPr="00A7677E">
              <w:rPr>
                <w:rFonts w:ascii="Times New Roman" w:hAnsi="Times New Roman" w:cs="Times New Roman"/>
                <w:sz w:val="24"/>
                <w:szCs w:val="24"/>
              </w:rPr>
              <w:t xml:space="preserve">s pret nelicencētu azartspēļu lietotājiem, paredzot kriminālatbildību. </w:t>
            </w:r>
            <w:r w:rsidRPr="00A7677E">
              <w:rPr>
                <w:rFonts w:ascii="Times New Roman" w:hAnsi="Times New Roman" w:cs="Times New Roman"/>
                <w:sz w:val="24"/>
                <w:szCs w:val="24"/>
                <w:vertAlign w:val="superscript"/>
              </w:rPr>
              <w:footnoteReference w:id="2"/>
            </w:r>
          </w:p>
          <w:p w:rsidR="00850E9C" w:rsidRDefault="000E3032" w:rsidP="00850E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Otrs aspekts</w:t>
            </w:r>
            <w:r w:rsidR="0095488F">
              <w:rPr>
                <w:rFonts w:ascii="Times New Roman" w:hAnsi="Times New Roman" w:cs="Times New Roman"/>
                <w:sz w:val="24"/>
                <w:szCs w:val="24"/>
              </w:rPr>
              <w:t xml:space="preserve"> atbildības noteikšana</w:t>
            </w:r>
            <w:r>
              <w:rPr>
                <w:rFonts w:ascii="Times New Roman" w:hAnsi="Times New Roman" w:cs="Times New Roman"/>
                <w:sz w:val="24"/>
                <w:szCs w:val="24"/>
              </w:rPr>
              <w:t>i</w:t>
            </w:r>
            <w:r w:rsidR="0095488F">
              <w:rPr>
                <w:rFonts w:ascii="Times New Roman" w:hAnsi="Times New Roman" w:cs="Times New Roman"/>
                <w:sz w:val="24"/>
                <w:szCs w:val="24"/>
              </w:rPr>
              <w:t xml:space="preserve"> par personas dalību LR </w:t>
            </w:r>
            <w:r w:rsidR="0095488F" w:rsidRPr="005D3542">
              <w:rPr>
                <w:rFonts w:ascii="Times New Roman" w:hAnsi="Times New Roman" w:cs="Times New Roman"/>
                <w:bCs/>
                <w:sz w:val="24"/>
                <w:szCs w:val="24"/>
              </w:rPr>
              <w:t>nelicencē</w:t>
            </w:r>
            <w:r w:rsidR="0095488F">
              <w:rPr>
                <w:rFonts w:ascii="Times New Roman" w:hAnsi="Times New Roman" w:cs="Times New Roman"/>
                <w:bCs/>
                <w:sz w:val="24"/>
                <w:szCs w:val="24"/>
              </w:rPr>
              <w:t>t</w:t>
            </w:r>
            <w:r w:rsidR="0095488F" w:rsidRPr="005D3542">
              <w:rPr>
                <w:rFonts w:ascii="Times New Roman" w:hAnsi="Times New Roman" w:cs="Times New Roman"/>
                <w:bCs/>
                <w:sz w:val="24"/>
                <w:szCs w:val="24"/>
              </w:rPr>
              <w:t>ās interaktīvās azartspēlēs vai interaktīvās izlozēs</w:t>
            </w:r>
            <w:r w:rsidR="00A15BDD">
              <w:rPr>
                <w:rFonts w:ascii="Times New Roman" w:hAnsi="Times New Roman" w:cs="Times New Roman"/>
                <w:bCs/>
                <w:sz w:val="24"/>
                <w:szCs w:val="24"/>
              </w:rPr>
              <w:t xml:space="preserve"> ir instruments azartspēļu negatīvās ietekmes mazināšanai.</w:t>
            </w:r>
            <w:r w:rsidR="0095488F">
              <w:rPr>
                <w:rFonts w:ascii="Times New Roman" w:hAnsi="Times New Roman" w:cs="Times New Roman"/>
                <w:sz w:val="24"/>
                <w:szCs w:val="24"/>
              </w:rPr>
              <w:t xml:space="preserve">  </w:t>
            </w:r>
            <w:r w:rsidR="00850E9C" w:rsidRPr="00B91E87">
              <w:rPr>
                <w:rFonts w:ascii="Times New Roman" w:hAnsi="Times New Roman" w:cs="Times New Roman"/>
                <w:sz w:val="24"/>
                <w:szCs w:val="24"/>
              </w:rPr>
              <w:t>Spēlējot LR nelicencētu interaktīvo azartspēļu vai interaktīvo izložu organizētāju tīmekļa vietnēs, persona darbojas kompetento iestāžu nekontrolētā vidē, pakļaujot riskam sevi un savus līdzcilvēkus, kā arī šajā nelegālajā vidē netiek nodrošināti pasākumi, kuros persona var noteikt sev liegumus, lai ierobežotu savu piedalīšanos interaktīvajās azartspēlēs vai interaktīvajās izlozēs.</w:t>
            </w:r>
          </w:p>
          <w:p w:rsidR="00A15BDD" w:rsidRPr="00702107" w:rsidRDefault="000E3032">
            <w:pPr>
              <w:spacing w:after="0" w:line="240" w:lineRule="auto"/>
              <w:jc w:val="both"/>
              <w:rPr>
                <w:sz w:val="24"/>
                <w:szCs w:val="24"/>
              </w:rPr>
            </w:pPr>
            <w:r w:rsidRPr="00B91E87">
              <w:rPr>
                <w:rFonts w:ascii="Times New Roman" w:hAnsi="Times New Roman" w:cs="Times New Roman"/>
                <w:sz w:val="24"/>
                <w:szCs w:val="24"/>
              </w:rPr>
              <w:t>Ņemot vērā azartspēļu un izložu nozares specifiku,  piedalīšanās azartspēlēs vai izlozēs atšķirībā no citiem brīvā laika pavadīšanas un izklaides veidiem var kļūt nekontrolējama un pāriet nepārvaramā un pārmērīgā tieksmē spēlēt azartspēles vai piedalīties izlozēs, kas ir definējams</w:t>
            </w:r>
            <w:r>
              <w:rPr>
                <w:rFonts w:ascii="Times New Roman" w:hAnsi="Times New Roman" w:cs="Times New Roman"/>
                <w:sz w:val="24"/>
                <w:szCs w:val="24"/>
              </w:rPr>
              <w:t xml:space="preserve"> kā viens no atkarības veidiem. </w:t>
            </w:r>
            <w:r w:rsidRPr="00B91E87">
              <w:rPr>
                <w:rFonts w:ascii="Times New Roman" w:hAnsi="Times New Roman" w:cs="Times New Roman"/>
                <w:sz w:val="24"/>
                <w:szCs w:val="24"/>
              </w:rPr>
              <w:t>Ņem</w:t>
            </w:r>
            <w:r w:rsidR="00702107">
              <w:rPr>
                <w:rFonts w:ascii="Times New Roman" w:hAnsi="Times New Roman" w:cs="Times New Roman"/>
                <w:sz w:val="24"/>
                <w:szCs w:val="24"/>
              </w:rPr>
              <w:t>ot vērā plašo azartspēļu</w:t>
            </w:r>
            <w:r w:rsidRPr="00B91E87">
              <w:rPr>
                <w:rFonts w:ascii="Times New Roman" w:hAnsi="Times New Roman" w:cs="Times New Roman"/>
                <w:sz w:val="24"/>
                <w:szCs w:val="24"/>
              </w:rPr>
              <w:t xml:space="preserve"> un interaktīvo spēļu rezultātā radīto seku ietekmi gan uz indivīdu, gan viņa apkārtējo vidi, ir novērojama tendence, ka spēlētājs bieži apzinās savu paradumu slikto ie</w:t>
            </w:r>
            <w:r>
              <w:rPr>
                <w:rFonts w:ascii="Times New Roman" w:hAnsi="Times New Roman" w:cs="Times New Roman"/>
                <w:sz w:val="24"/>
                <w:szCs w:val="24"/>
              </w:rPr>
              <w:t xml:space="preserve">tekmi un savu vēlmi to novērst. Tikai kontrolētā azartspēļu vidē personai ir iespējams saņemt atbalstu un lūgt </w:t>
            </w:r>
            <w:r w:rsidRPr="00B91E87">
              <w:rPr>
                <w:rFonts w:ascii="Times New Roman" w:hAnsi="Times New Roman" w:cs="Times New Roman"/>
                <w:sz w:val="24"/>
                <w:szCs w:val="24"/>
              </w:rPr>
              <w:t xml:space="preserve">noteikt liegumu piedalīties </w:t>
            </w:r>
            <w:r>
              <w:rPr>
                <w:rFonts w:ascii="Times New Roman" w:hAnsi="Times New Roman" w:cs="Times New Roman"/>
                <w:sz w:val="24"/>
                <w:szCs w:val="24"/>
              </w:rPr>
              <w:t>LR</w:t>
            </w:r>
            <w:r w:rsidRPr="00B91E87">
              <w:rPr>
                <w:rFonts w:ascii="Times New Roman" w:hAnsi="Times New Roman" w:cs="Times New Roman"/>
                <w:sz w:val="24"/>
                <w:szCs w:val="24"/>
              </w:rPr>
              <w:t xml:space="preserve"> nelicencētās interaktīvās azartspēlēs un izlozēs</w:t>
            </w:r>
            <w:r>
              <w:rPr>
                <w:rFonts w:ascii="Times New Roman" w:hAnsi="Times New Roman" w:cs="Times New Roman"/>
                <w:sz w:val="24"/>
                <w:szCs w:val="24"/>
              </w:rPr>
              <w:t xml:space="preserve">. Tādejādi, nosakot </w:t>
            </w:r>
            <w:r w:rsidRPr="005D3542">
              <w:rPr>
                <w:rFonts w:ascii="Times New Roman" w:hAnsi="Times New Roman" w:cs="Times New Roman"/>
                <w:bCs/>
                <w:sz w:val="24"/>
                <w:szCs w:val="24"/>
              </w:rPr>
              <w:t xml:space="preserve">atbildību personai par dalību </w:t>
            </w:r>
            <w:r>
              <w:rPr>
                <w:rFonts w:ascii="Times New Roman" w:hAnsi="Times New Roman" w:cs="Times New Roman"/>
                <w:sz w:val="24"/>
                <w:szCs w:val="24"/>
              </w:rPr>
              <w:t>LR</w:t>
            </w:r>
            <w:r w:rsidRPr="005D3542">
              <w:rPr>
                <w:rFonts w:ascii="Times New Roman" w:hAnsi="Times New Roman" w:cs="Times New Roman"/>
                <w:bCs/>
                <w:sz w:val="24"/>
                <w:szCs w:val="24"/>
              </w:rPr>
              <w:t xml:space="preserve"> nelicencē</w:t>
            </w:r>
            <w:r>
              <w:rPr>
                <w:rFonts w:ascii="Times New Roman" w:hAnsi="Times New Roman" w:cs="Times New Roman"/>
                <w:bCs/>
                <w:sz w:val="24"/>
                <w:szCs w:val="24"/>
              </w:rPr>
              <w:t>t</w:t>
            </w:r>
            <w:r w:rsidRPr="005D3542">
              <w:rPr>
                <w:rFonts w:ascii="Times New Roman" w:hAnsi="Times New Roman" w:cs="Times New Roman"/>
                <w:bCs/>
                <w:sz w:val="24"/>
                <w:szCs w:val="24"/>
              </w:rPr>
              <w:t>ās interaktīvās azartspēlēs vai interaktīvās</w:t>
            </w:r>
            <w:r>
              <w:rPr>
                <w:rFonts w:ascii="Times New Roman" w:hAnsi="Times New Roman" w:cs="Times New Roman"/>
                <w:bCs/>
                <w:sz w:val="24"/>
                <w:szCs w:val="24"/>
              </w:rPr>
              <w:t xml:space="preserve"> izlozēs, ir iespējama pozitīva ietekme ne tikai azartspēļu vides uzlabošanā, bet arī risināt atkarīgo spēlētāju problēmas.</w:t>
            </w:r>
          </w:p>
          <w:p w:rsidR="00850E9C" w:rsidRPr="00A7677E" w:rsidRDefault="00850E9C" w:rsidP="001454BC">
            <w:pPr>
              <w:tabs>
                <w:tab w:val="left" w:pos="72"/>
              </w:tabs>
              <w:spacing w:after="0" w:line="240" w:lineRule="auto"/>
              <w:jc w:val="both"/>
              <w:rPr>
                <w:rFonts w:ascii="Times New Roman" w:hAnsi="Times New Roman" w:cs="Times New Roman"/>
                <w:sz w:val="24"/>
                <w:szCs w:val="24"/>
              </w:rPr>
            </w:pPr>
            <w:r w:rsidRPr="00B91E87">
              <w:rPr>
                <w:rFonts w:ascii="Times New Roman" w:hAnsi="Times New Roman" w:cs="Times New Roman"/>
                <w:sz w:val="24"/>
                <w:szCs w:val="24"/>
              </w:rPr>
              <w:t>Lai ievērotu Valsts pārvaldes iekārtas likuma 10. panta piektajā daļā noteikto labas pārvaldības principu,  sabiedrība tiks informēta par liegumu fiziskai personai piedalīties LR nelicencētās interaktīvās azartspēlēs vai interaktīvās izlozēs un par tās pienākumu maksāt iedzīvotāju ienākuma nodokli par gūtajiem ienākumiem, t.sk. laimestiem, ja to nosaka normatīvie akti.</w:t>
            </w:r>
          </w:p>
        </w:tc>
      </w:tr>
      <w:tr w:rsidR="000C7369" w:rsidRPr="00A7677E" w:rsidTr="000C26C3">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0C7369" w:rsidRPr="00A7677E" w:rsidRDefault="00174488" w:rsidP="0035129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Finanšu ministrija, </w:t>
            </w:r>
            <w:r w:rsidR="000C7369" w:rsidRPr="00A7677E">
              <w:rPr>
                <w:rFonts w:ascii="Times New Roman" w:eastAsia="Times New Roman" w:hAnsi="Times New Roman" w:cs="Times New Roman"/>
                <w:sz w:val="24"/>
                <w:szCs w:val="24"/>
                <w:lang w:eastAsia="lv-LV"/>
              </w:rPr>
              <w:t>Valsts ieņēmumu dienests, Sabiedrisko pakalpojumu regulēšanas komisija, Latvijas Interneta asociācijas un Latvijas Informācijas un komunikācijas teh</w:t>
            </w:r>
            <w:r w:rsidR="00C409AC" w:rsidRPr="00A7677E">
              <w:rPr>
                <w:rFonts w:ascii="Times New Roman" w:eastAsia="Times New Roman" w:hAnsi="Times New Roman" w:cs="Times New Roman"/>
                <w:sz w:val="24"/>
                <w:szCs w:val="24"/>
                <w:lang w:eastAsia="lv-LV"/>
              </w:rPr>
              <w:t>noloģijas asociācija</w:t>
            </w:r>
            <w:r w:rsidR="000C7369" w:rsidRPr="00A7677E">
              <w:rPr>
                <w:rFonts w:ascii="Times New Roman" w:eastAsia="Times New Roman" w:hAnsi="Times New Roman" w:cs="Times New Roman"/>
                <w:sz w:val="24"/>
                <w:szCs w:val="24"/>
                <w:lang w:eastAsia="lv-LV"/>
              </w:rPr>
              <w:t>, kas ir elektronisko sakaru pakalpojuma sniedzēji, t.i. elektronisko sakaru komersanti.</w:t>
            </w:r>
          </w:p>
        </w:tc>
      </w:tr>
      <w:tr w:rsidR="000C7369" w:rsidRPr="00A7677E" w:rsidTr="000C26C3">
        <w:tc>
          <w:tcPr>
            <w:tcW w:w="2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jc w:val="both"/>
              <w:rPr>
                <w:rFonts w:ascii="Times New Roman" w:hAnsi="Times New Roman" w:cs="Times New Roman"/>
                <w:sz w:val="24"/>
                <w:szCs w:val="24"/>
              </w:rPr>
            </w:pPr>
            <w:r w:rsidRPr="00A7677E">
              <w:rPr>
                <w:rFonts w:ascii="Times New Roman" w:eastAsia="Times New Roman" w:hAnsi="Times New Roman" w:cs="Times New Roman"/>
                <w:sz w:val="24"/>
                <w:szCs w:val="24"/>
                <w:lang w:eastAsia="lv-LV"/>
              </w:rPr>
              <w:t>Nav.</w:t>
            </w:r>
          </w:p>
        </w:tc>
      </w:tr>
    </w:tbl>
    <w:p w:rsidR="000C7369" w:rsidRPr="00A7677E" w:rsidRDefault="000C7369" w:rsidP="000C7369">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0C7369" w:rsidRPr="00A7677E" w:rsidTr="000C26C3">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C7369" w:rsidRPr="00A7677E" w:rsidRDefault="000C7369" w:rsidP="000C26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7677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C7369" w:rsidRPr="00A7677E" w:rsidTr="000C26C3">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jc w:val="center"/>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jc w:val="both"/>
              <w:rPr>
                <w:rFonts w:ascii="Times New Roman" w:hAnsi="Times New Roman" w:cs="Times New Roman"/>
                <w:sz w:val="24"/>
                <w:szCs w:val="24"/>
              </w:rPr>
            </w:pPr>
            <w:r w:rsidRPr="00A7677E">
              <w:rPr>
                <w:rFonts w:ascii="Times New Roman" w:hAnsi="Times New Roman" w:cs="Times New Roman"/>
                <w:sz w:val="24"/>
                <w:szCs w:val="24"/>
              </w:rPr>
              <w:t xml:space="preserve">Mērķa grupa ir </w:t>
            </w:r>
            <w:r w:rsidR="002C5D6D">
              <w:rPr>
                <w:rFonts w:ascii="Times New Roman" w:hAnsi="Times New Roman" w:cs="Times New Roman"/>
                <w:sz w:val="24"/>
                <w:szCs w:val="24"/>
              </w:rPr>
              <w:t xml:space="preserve"> </w:t>
            </w:r>
            <w:r w:rsidR="005D1E2D" w:rsidRPr="005D1E2D">
              <w:rPr>
                <w:rFonts w:ascii="Times New Roman" w:hAnsi="Times New Roman" w:cs="Times New Roman"/>
                <w:sz w:val="24"/>
                <w:szCs w:val="24"/>
              </w:rPr>
              <w:t xml:space="preserve">fiziskās personas, kura piedalās </w:t>
            </w:r>
            <w:r w:rsidR="00FF5384">
              <w:rPr>
                <w:rFonts w:ascii="Times New Roman" w:hAnsi="Times New Roman" w:cs="Times New Roman"/>
                <w:sz w:val="24"/>
                <w:szCs w:val="24"/>
              </w:rPr>
              <w:t>LR</w:t>
            </w:r>
            <w:r w:rsidR="005D1E2D" w:rsidRPr="005D1E2D">
              <w:rPr>
                <w:rFonts w:ascii="Times New Roman" w:hAnsi="Times New Roman" w:cs="Times New Roman"/>
                <w:sz w:val="24"/>
                <w:szCs w:val="24"/>
              </w:rPr>
              <w:t xml:space="preserve"> nelicencētās </w:t>
            </w:r>
            <w:r w:rsidR="007D6EDD">
              <w:rPr>
                <w:rFonts w:ascii="Times New Roman" w:hAnsi="Times New Roman" w:cs="Times New Roman"/>
                <w:sz w:val="24"/>
                <w:szCs w:val="24"/>
              </w:rPr>
              <w:t xml:space="preserve">interaktīvās </w:t>
            </w:r>
            <w:r w:rsidR="005D1E2D" w:rsidRPr="005D1E2D">
              <w:rPr>
                <w:rFonts w:ascii="Times New Roman" w:hAnsi="Times New Roman" w:cs="Times New Roman"/>
                <w:sz w:val="24"/>
                <w:szCs w:val="24"/>
              </w:rPr>
              <w:t>azartspēlēs un</w:t>
            </w:r>
            <w:r w:rsidR="00646D69">
              <w:rPr>
                <w:rFonts w:ascii="Times New Roman" w:hAnsi="Times New Roman" w:cs="Times New Roman"/>
                <w:sz w:val="24"/>
                <w:szCs w:val="24"/>
              </w:rPr>
              <w:t xml:space="preserve"> interaktīvās</w:t>
            </w:r>
            <w:r w:rsidR="005D1E2D" w:rsidRPr="005D1E2D">
              <w:rPr>
                <w:rFonts w:ascii="Times New Roman" w:hAnsi="Times New Roman" w:cs="Times New Roman"/>
                <w:sz w:val="24"/>
                <w:szCs w:val="24"/>
              </w:rPr>
              <w:t xml:space="preserve"> izlozēs.</w:t>
            </w:r>
          </w:p>
          <w:p w:rsidR="00B44AB2" w:rsidRPr="00A7677E" w:rsidRDefault="000C7369" w:rsidP="00735A0D">
            <w:pPr>
              <w:spacing w:after="0" w:line="240" w:lineRule="auto"/>
              <w:jc w:val="both"/>
              <w:rPr>
                <w:rFonts w:ascii="Times New Roman" w:eastAsia="Times New Roman" w:hAnsi="Times New Roman" w:cs="Times New Roman"/>
                <w:sz w:val="24"/>
                <w:szCs w:val="24"/>
                <w:lang w:eastAsia="lv-LV"/>
              </w:rPr>
            </w:pPr>
            <w:r w:rsidRPr="00A7677E">
              <w:rPr>
                <w:rFonts w:ascii="Times New Roman" w:hAnsi="Times New Roman" w:cs="Times New Roman"/>
                <w:sz w:val="24"/>
                <w:szCs w:val="24"/>
              </w:rPr>
              <w:t>Netiešā veidā tiesiskais regulējums ietekmēs 16 kapitālsabiedrības, kas organizē tikai azartspēles</w:t>
            </w:r>
            <w:r w:rsidR="008A3ADA">
              <w:rPr>
                <w:rFonts w:ascii="Times New Roman" w:hAnsi="Times New Roman" w:cs="Times New Roman"/>
                <w:sz w:val="24"/>
                <w:szCs w:val="24"/>
              </w:rPr>
              <w:t>,</w:t>
            </w:r>
            <w:r w:rsidRPr="00A7677E">
              <w:rPr>
                <w:rFonts w:ascii="Times New Roman" w:hAnsi="Times New Roman" w:cs="Times New Roman"/>
                <w:sz w:val="24"/>
                <w:szCs w:val="24"/>
              </w:rPr>
              <w:t xml:space="preserve"> un VAS “Latvijas Loto”, kas organizē </w:t>
            </w:r>
            <w:r w:rsidR="00B44AB2">
              <w:rPr>
                <w:rFonts w:ascii="Times New Roman" w:hAnsi="Times New Roman" w:cs="Times New Roman"/>
                <w:sz w:val="24"/>
                <w:szCs w:val="24"/>
              </w:rPr>
              <w:t>izloze</w:t>
            </w:r>
            <w:r w:rsidRPr="00A7677E">
              <w:rPr>
                <w:rFonts w:ascii="Times New Roman" w:hAnsi="Times New Roman" w:cs="Times New Roman"/>
                <w:sz w:val="24"/>
                <w:szCs w:val="24"/>
              </w:rPr>
              <w:t xml:space="preserve">s, jo tiks veicināta godīga konkurence starp interaktīvo azartspēļu un interaktīvo izložu organizētājiem </w:t>
            </w:r>
            <w:r w:rsidR="00735A0D">
              <w:rPr>
                <w:rFonts w:ascii="Times New Roman" w:hAnsi="Times New Roman" w:cs="Times New Roman"/>
                <w:sz w:val="24"/>
                <w:szCs w:val="24"/>
              </w:rPr>
              <w:t>LR</w:t>
            </w:r>
            <w:r w:rsidRPr="00A7677E">
              <w:rPr>
                <w:rFonts w:ascii="Times New Roman" w:hAnsi="Times New Roman" w:cs="Times New Roman"/>
                <w:sz w:val="24"/>
                <w:szCs w:val="24"/>
              </w:rPr>
              <w:t xml:space="preserve">, mazinot nelegālo šo nozares tirgu, kā arī personu, kas mēģinās ieiet </w:t>
            </w:r>
            <w:r w:rsidRPr="00A7677E">
              <w:rPr>
                <w:rFonts w:ascii="Times New Roman" w:hAnsi="Times New Roman" w:cs="Times New Roman"/>
                <w:bCs/>
                <w:sz w:val="24"/>
                <w:szCs w:val="24"/>
              </w:rPr>
              <w:t xml:space="preserve">nelicencētu interaktīvo azartspēļu vai interaktīvo izložu organizētāju interneta tīmekļa vietnēs, piekļuvi tām, novirzot uz </w:t>
            </w:r>
            <w:r w:rsidR="00735A0D">
              <w:rPr>
                <w:rFonts w:ascii="Times New Roman" w:hAnsi="Times New Roman" w:cs="Times New Roman"/>
                <w:sz w:val="24"/>
                <w:szCs w:val="24"/>
              </w:rPr>
              <w:t>LR</w:t>
            </w:r>
            <w:r w:rsidRPr="00A7677E">
              <w:rPr>
                <w:rFonts w:ascii="Times New Roman" w:hAnsi="Times New Roman" w:cs="Times New Roman"/>
                <w:bCs/>
                <w:sz w:val="24"/>
                <w:szCs w:val="24"/>
              </w:rPr>
              <w:t xml:space="preserve"> licencētām interaktīvajām azartspēlēm vai interaktīvajām izlozēm</w:t>
            </w:r>
            <w:r w:rsidR="00A7677E">
              <w:rPr>
                <w:rFonts w:ascii="Times New Roman" w:hAnsi="Times New Roman" w:cs="Times New Roman"/>
                <w:bCs/>
                <w:sz w:val="24"/>
                <w:szCs w:val="24"/>
              </w:rPr>
              <w:t>, kā arī piemērojot normatīvajos aktos paredzēto atbildību</w:t>
            </w:r>
            <w:r w:rsidRPr="00A7677E">
              <w:rPr>
                <w:rFonts w:ascii="Times New Roman" w:hAnsi="Times New Roman" w:cs="Times New Roman"/>
                <w:bCs/>
                <w:sz w:val="24"/>
                <w:szCs w:val="24"/>
              </w:rPr>
              <w:t>.</w:t>
            </w:r>
          </w:p>
        </w:tc>
      </w:tr>
      <w:tr w:rsidR="000C7369" w:rsidRPr="00A7677E" w:rsidTr="000C26C3">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jc w:val="center"/>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8A3ADA">
            <w:pPr>
              <w:spacing w:after="0" w:line="240" w:lineRule="auto"/>
              <w:jc w:val="both"/>
              <w:rPr>
                <w:rFonts w:ascii="Times New Roman" w:hAnsi="Times New Roman" w:cs="Times New Roman"/>
                <w:sz w:val="24"/>
                <w:szCs w:val="24"/>
              </w:rPr>
            </w:pPr>
            <w:r w:rsidRPr="00A7677E">
              <w:rPr>
                <w:rFonts w:ascii="Times New Roman" w:eastAsia="Times New Roman" w:hAnsi="Times New Roman" w:cs="Times New Roman"/>
                <w:sz w:val="24"/>
                <w:szCs w:val="24"/>
                <w:lang w:eastAsia="lv-LV"/>
              </w:rPr>
              <w:t xml:space="preserve">Tiesiskais regulējums </w:t>
            </w:r>
            <w:r w:rsidR="00C409AC" w:rsidRPr="00A7677E">
              <w:rPr>
                <w:rFonts w:ascii="Times New Roman" w:eastAsia="Times New Roman" w:hAnsi="Times New Roman" w:cs="Times New Roman"/>
                <w:sz w:val="24"/>
                <w:szCs w:val="24"/>
                <w:lang w:eastAsia="lv-LV"/>
              </w:rPr>
              <w:t>veicinās sabiedrības interešu aizsardzību</w:t>
            </w:r>
            <w:r w:rsidRPr="00A7677E">
              <w:rPr>
                <w:rFonts w:ascii="Times New Roman" w:eastAsia="Times New Roman" w:hAnsi="Times New Roman" w:cs="Times New Roman"/>
                <w:sz w:val="24"/>
                <w:szCs w:val="24"/>
                <w:lang w:eastAsia="lv-LV"/>
              </w:rPr>
              <w:t xml:space="preserve">, informējot, ka izvēlētā azartspēļu vai izložu organizatora mājaslapa nav </w:t>
            </w:r>
            <w:r w:rsidR="008A3ADA">
              <w:rPr>
                <w:rFonts w:ascii="Times New Roman" w:eastAsia="Times New Roman" w:hAnsi="Times New Roman" w:cs="Times New Roman"/>
                <w:sz w:val="24"/>
                <w:szCs w:val="24"/>
                <w:lang w:eastAsia="lv-LV"/>
              </w:rPr>
              <w:t>licencēta</w:t>
            </w:r>
            <w:r w:rsidRPr="00A7677E">
              <w:rPr>
                <w:rFonts w:ascii="Times New Roman" w:eastAsia="Times New Roman" w:hAnsi="Times New Roman" w:cs="Times New Roman"/>
                <w:sz w:val="24"/>
                <w:szCs w:val="24"/>
                <w:lang w:eastAsia="lv-LV"/>
              </w:rPr>
              <w:t xml:space="preserve"> </w:t>
            </w:r>
            <w:r w:rsidR="00735A0D">
              <w:rPr>
                <w:rFonts w:ascii="Times New Roman" w:hAnsi="Times New Roman" w:cs="Times New Roman"/>
                <w:sz w:val="24"/>
                <w:szCs w:val="24"/>
              </w:rPr>
              <w:t>LR</w:t>
            </w:r>
            <w:r w:rsidRPr="00A7677E">
              <w:rPr>
                <w:rFonts w:ascii="Times New Roman" w:eastAsia="Times New Roman" w:hAnsi="Times New Roman" w:cs="Times New Roman"/>
                <w:sz w:val="24"/>
                <w:szCs w:val="24"/>
                <w:lang w:eastAsia="lv-LV"/>
              </w:rPr>
              <w:t xml:space="preserve">, uzlabos uzņēmējdarbības vidi, jo </w:t>
            </w:r>
            <w:r w:rsidRPr="00A7677E">
              <w:rPr>
                <w:rFonts w:ascii="Times New Roman" w:hAnsi="Times New Roman" w:cs="Times New Roman"/>
                <w:sz w:val="24"/>
                <w:szCs w:val="24"/>
              </w:rPr>
              <w:t xml:space="preserve">tiks veicināta godīga konkurence starp interaktīvo azartspēļu un interaktīvo izložu organizētājiem </w:t>
            </w:r>
            <w:r w:rsidR="00735A0D">
              <w:rPr>
                <w:rFonts w:ascii="Times New Roman" w:hAnsi="Times New Roman" w:cs="Times New Roman"/>
                <w:sz w:val="24"/>
                <w:szCs w:val="24"/>
              </w:rPr>
              <w:t>LR</w:t>
            </w:r>
            <w:r w:rsidRPr="00A7677E">
              <w:rPr>
                <w:rFonts w:ascii="Times New Roman" w:hAnsi="Times New Roman" w:cs="Times New Roman"/>
                <w:sz w:val="24"/>
                <w:szCs w:val="24"/>
              </w:rPr>
              <w:t xml:space="preserve">, kā arī palielināsies nodokļu ieņēmumi valsts budžetā, jo tiks mazināts </w:t>
            </w:r>
            <w:r w:rsidR="008A3ADA">
              <w:rPr>
                <w:rFonts w:ascii="Times New Roman" w:hAnsi="Times New Roman" w:cs="Times New Roman"/>
                <w:sz w:val="24"/>
                <w:szCs w:val="24"/>
              </w:rPr>
              <w:t>LR</w:t>
            </w:r>
            <w:r w:rsidR="00E81042" w:rsidRPr="00A7677E">
              <w:rPr>
                <w:rFonts w:ascii="Times New Roman" w:hAnsi="Times New Roman" w:cs="Times New Roman"/>
                <w:sz w:val="24"/>
                <w:szCs w:val="24"/>
              </w:rPr>
              <w:t xml:space="preserve"> nelicencēto</w:t>
            </w:r>
            <w:r w:rsidRPr="00A7677E">
              <w:rPr>
                <w:rFonts w:ascii="Times New Roman" w:hAnsi="Times New Roman" w:cs="Times New Roman"/>
                <w:sz w:val="24"/>
                <w:szCs w:val="24"/>
              </w:rPr>
              <w:t xml:space="preserve"> interaktīvo azartspēļu un interaktīvo izložu tirgus.</w:t>
            </w:r>
          </w:p>
        </w:tc>
      </w:tr>
      <w:tr w:rsidR="000C7369" w:rsidRPr="00A7677E" w:rsidTr="000C26C3">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jc w:val="center"/>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jc w:val="both"/>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Likumprojekts šo jomu neskar.</w:t>
            </w:r>
          </w:p>
        </w:tc>
      </w:tr>
      <w:tr w:rsidR="000C7369" w:rsidRPr="00A7677E" w:rsidTr="000C26C3">
        <w:trPr>
          <w:trHeight w:val="408"/>
        </w:trPr>
        <w:tc>
          <w:tcPr>
            <w:tcW w:w="250" w:type="pct"/>
            <w:tcBorders>
              <w:top w:val="outset" w:sz="6" w:space="0" w:color="414142"/>
              <w:left w:val="outset" w:sz="6" w:space="0" w:color="414142"/>
              <w:bottom w:val="outset" w:sz="6" w:space="0" w:color="414142"/>
              <w:right w:val="outset" w:sz="6" w:space="0" w:color="414142"/>
            </w:tcBorders>
          </w:tcPr>
          <w:p w:rsidR="000C7369" w:rsidRPr="00A7677E" w:rsidRDefault="000C7369" w:rsidP="000C26C3">
            <w:pPr>
              <w:spacing w:after="0" w:line="240" w:lineRule="auto"/>
              <w:jc w:val="center"/>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0C7369" w:rsidRPr="00A7677E" w:rsidRDefault="000C7369" w:rsidP="000C26C3">
            <w:pPr>
              <w:spacing w:after="0" w:line="240" w:lineRule="auto"/>
              <w:jc w:val="both"/>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0C7369" w:rsidRPr="00A7677E" w:rsidRDefault="00D323D7" w:rsidP="000C26C3">
            <w:pPr>
              <w:spacing w:after="0" w:line="240" w:lineRule="auto"/>
              <w:jc w:val="both"/>
              <w:rPr>
                <w:rFonts w:ascii="Times New Roman" w:eastAsia="Times New Roman" w:hAnsi="Times New Roman" w:cs="Times New Roman"/>
                <w:sz w:val="24"/>
                <w:szCs w:val="24"/>
                <w:lang w:eastAsia="lv-LV"/>
              </w:rPr>
            </w:pPr>
            <w:r w:rsidRPr="00A7677E">
              <w:rPr>
                <w:rFonts w:ascii="Times New Roman" w:hAnsi="Times New Roman" w:cs="Times New Roman"/>
                <w:iCs/>
                <w:sz w:val="24"/>
                <w:szCs w:val="24"/>
              </w:rPr>
              <w:t>Nav</w:t>
            </w:r>
            <w:r w:rsidR="000C7369" w:rsidRPr="00A7677E">
              <w:rPr>
                <w:rFonts w:ascii="Times New Roman" w:hAnsi="Times New Roman" w:cs="Times New Roman"/>
                <w:iCs/>
                <w:sz w:val="24"/>
                <w:szCs w:val="24"/>
              </w:rPr>
              <w:t>.</w:t>
            </w:r>
          </w:p>
        </w:tc>
      </w:tr>
      <w:tr w:rsidR="000C7369" w:rsidRPr="00A7677E" w:rsidTr="000C26C3">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jc w:val="center"/>
              <w:rPr>
                <w:rFonts w:ascii="Times New Roman" w:eastAsia="Times New Roman" w:hAnsi="Times New Roman" w:cs="Times New Roman"/>
                <w:sz w:val="24"/>
                <w:szCs w:val="24"/>
                <w:lang w:eastAsia="lv-LV"/>
              </w:rPr>
            </w:pPr>
          </w:p>
        </w:tc>
        <w:tc>
          <w:tcPr>
            <w:tcW w:w="15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Nav.</w:t>
            </w:r>
          </w:p>
        </w:tc>
      </w:tr>
    </w:tbl>
    <w:p w:rsidR="000C7369" w:rsidRDefault="000C7369" w:rsidP="00F10092">
      <w:pPr>
        <w:shd w:val="clear" w:color="auto" w:fill="FFFFFF"/>
        <w:spacing w:after="0" w:line="240" w:lineRule="auto"/>
        <w:rPr>
          <w:rFonts w:ascii="Times New Roman" w:eastAsia="Times New Roman" w:hAnsi="Times New Roman" w:cs="Times New Roman"/>
          <w:sz w:val="24"/>
          <w:szCs w:val="24"/>
          <w:lang w:eastAsia="lv-LV"/>
        </w:rPr>
      </w:pPr>
    </w:p>
    <w:tbl>
      <w:tblPr>
        <w:tblW w:w="5006"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321"/>
        <w:gridCol w:w="1189"/>
        <w:gridCol w:w="1091"/>
        <w:gridCol w:w="986"/>
        <w:gridCol w:w="1081"/>
        <w:gridCol w:w="922"/>
        <w:gridCol w:w="1076"/>
        <w:gridCol w:w="1556"/>
      </w:tblGrid>
      <w:tr w:rsidR="001D5D0E" w:rsidRPr="00665C7F" w:rsidTr="00386B52">
        <w:trPr>
          <w:tblCellSpacing w:w="15" w:type="dxa"/>
        </w:trPr>
        <w:tc>
          <w:tcPr>
            <w:tcW w:w="4967" w:type="pct"/>
            <w:gridSpan w:val="8"/>
            <w:vAlign w:val="center"/>
            <w:hideMark/>
          </w:tcPr>
          <w:p w:rsidR="001D5D0E" w:rsidRPr="00665C7F" w:rsidRDefault="001D5D0E" w:rsidP="00386B52">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665C7F">
              <w:rPr>
                <w:rFonts w:ascii="Times New Roman" w:eastAsia="Times New Roman" w:hAnsi="Times New Roman" w:cs="Times New Roman"/>
                <w:b/>
                <w:bCs/>
                <w:sz w:val="24"/>
                <w:szCs w:val="24"/>
                <w:lang w:eastAsia="lv-LV"/>
              </w:rPr>
              <w:t>III. Tiesību akta projekta ietekme uz valsts budžetu un pašvaldību budžetiem</w:t>
            </w:r>
          </w:p>
        </w:tc>
      </w:tr>
      <w:tr w:rsidR="001D5D0E" w:rsidRPr="00665C7F" w:rsidTr="001D5D0E">
        <w:trPr>
          <w:tblCellSpacing w:w="15" w:type="dxa"/>
        </w:trPr>
        <w:tc>
          <w:tcPr>
            <w:tcW w:w="708" w:type="pct"/>
            <w:vMerge w:val="restart"/>
            <w:vAlign w:val="center"/>
            <w:hideMark/>
          </w:tcPr>
          <w:p w:rsidR="001D5D0E" w:rsidRPr="00665C7F" w:rsidRDefault="001D5D0E" w:rsidP="00386B5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Rādītāji</w:t>
            </w:r>
          </w:p>
        </w:tc>
        <w:tc>
          <w:tcPr>
            <w:tcW w:w="1233" w:type="pct"/>
            <w:gridSpan w:val="2"/>
            <w:vMerge w:val="restart"/>
            <w:vAlign w:val="center"/>
            <w:hideMark/>
          </w:tcPr>
          <w:p w:rsidR="001D5D0E" w:rsidRPr="00665C7F" w:rsidRDefault="001D5D0E" w:rsidP="00386B52">
            <w:pPr>
              <w:spacing w:before="100" w:beforeAutospacing="1" w:after="100" w:afterAutospacing="1" w:line="360" w:lineRule="auto"/>
              <w:ind w:left="83" w:firstLine="217"/>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201</w:t>
            </w:r>
            <w:r>
              <w:rPr>
                <w:rFonts w:ascii="Times New Roman" w:eastAsia="Times New Roman" w:hAnsi="Times New Roman" w:cs="Times New Roman"/>
                <w:sz w:val="24"/>
                <w:szCs w:val="24"/>
                <w:lang w:eastAsia="lv-LV"/>
              </w:rPr>
              <w:t>9</w:t>
            </w:r>
          </w:p>
        </w:tc>
        <w:tc>
          <w:tcPr>
            <w:tcW w:w="2994" w:type="pct"/>
            <w:gridSpan w:val="5"/>
            <w:vAlign w:val="center"/>
            <w:hideMark/>
          </w:tcPr>
          <w:p w:rsidR="001D5D0E" w:rsidRPr="00665C7F" w:rsidRDefault="001D5D0E" w:rsidP="00386B5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Turpmākie trīs gadi (</w:t>
            </w:r>
            <w:r w:rsidRPr="00665C7F">
              <w:rPr>
                <w:rFonts w:ascii="Times New Roman" w:eastAsia="Times New Roman" w:hAnsi="Times New Roman" w:cs="Times New Roman"/>
                <w:i/>
                <w:iCs/>
                <w:sz w:val="24"/>
                <w:szCs w:val="24"/>
                <w:lang w:eastAsia="lv-LV"/>
              </w:rPr>
              <w:t>euro</w:t>
            </w:r>
            <w:r w:rsidRPr="00665C7F">
              <w:rPr>
                <w:rFonts w:ascii="Times New Roman" w:eastAsia="Times New Roman" w:hAnsi="Times New Roman" w:cs="Times New Roman"/>
                <w:sz w:val="24"/>
                <w:szCs w:val="24"/>
                <w:lang w:eastAsia="lv-LV"/>
              </w:rPr>
              <w:t>)</w:t>
            </w:r>
          </w:p>
        </w:tc>
      </w:tr>
      <w:tr w:rsidR="001D5D0E" w:rsidRPr="00665C7F" w:rsidTr="001D5D0E">
        <w:trPr>
          <w:tblCellSpacing w:w="15" w:type="dxa"/>
        </w:trPr>
        <w:tc>
          <w:tcPr>
            <w:tcW w:w="708" w:type="pct"/>
            <w:vMerge/>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p>
        </w:tc>
        <w:tc>
          <w:tcPr>
            <w:tcW w:w="1233" w:type="pct"/>
            <w:gridSpan w:val="2"/>
            <w:vMerge/>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p>
        </w:tc>
        <w:tc>
          <w:tcPr>
            <w:tcW w:w="1113" w:type="pct"/>
            <w:gridSpan w:val="2"/>
            <w:vAlign w:val="center"/>
            <w:hideMark/>
          </w:tcPr>
          <w:p w:rsidR="001D5D0E" w:rsidRPr="00665C7F" w:rsidRDefault="001D5D0E" w:rsidP="00386B5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20</w:t>
            </w:r>
          </w:p>
        </w:tc>
        <w:tc>
          <w:tcPr>
            <w:tcW w:w="1075" w:type="pct"/>
            <w:gridSpan w:val="2"/>
            <w:vAlign w:val="center"/>
            <w:hideMark/>
          </w:tcPr>
          <w:p w:rsidR="001D5D0E" w:rsidRPr="00665C7F" w:rsidRDefault="001D5D0E" w:rsidP="00386B5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1</w:t>
            </w:r>
          </w:p>
        </w:tc>
        <w:tc>
          <w:tcPr>
            <w:tcW w:w="774" w:type="pct"/>
            <w:vAlign w:val="center"/>
            <w:hideMark/>
          </w:tcPr>
          <w:p w:rsidR="001D5D0E" w:rsidRPr="00665C7F" w:rsidRDefault="001D5D0E" w:rsidP="00386B5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2</w:t>
            </w:r>
          </w:p>
        </w:tc>
      </w:tr>
      <w:tr w:rsidR="001D5D0E" w:rsidRPr="00665C7F" w:rsidTr="001D5D0E">
        <w:trPr>
          <w:tblCellSpacing w:w="15" w:type="dxa"/>
        </w:trPr>
        <w:tc>
          <w:tcPr>
            <w:tcW w:w="708" w:type="pct"/>
            <w:vMerge/>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p>
        </w:tc>
        <w:tc>
          <w:tcPr>
            <w:tcW w:w="644" w:type="pct"/>
            <w:vAlign w:val="center"/>
            <w:hideMark/>
          </w:tcPr>
          <w:p w:rsidR="001D5D0E" w:rsidRPr="00665C7F" w:rsidRDefault="001D5D0E" w:rsidP="00386B5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saskaņā ar valsts budžetu kārtējam gadam</w:t>
            </w:r>
          </w:p>
        </w:tc>
        <w:tc>
          <w:tcPr>
            <w:tcW w:w="573" w:type="pct"/>
            <w:vAlign w:val="center"/>
            <w:hideMark/>
          </w:tcPr>
          <w:p w:rsidR="001D5D0E" w:rsidRPr="00665C7F" w:rsidRDefault="001D5D0E" w:rsidP="00386B5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izmaiņas kārtējā gadā, salīdzinot ar valsts budžetu kārtējam gadam</w:t>
            </w:r>
          </w:p>
        </w:tc>
        <w:tc>
          <w:tcPr>
            <w:tcW w:w="530" w:type="pct"/>
            <w:vAlign w:val="center"/>
            <w:hideMark/>
          </w:tcPr>
          <w:p w:rsidR="001D5D0E" w:rsidRPr="00665C7F" w:rsidRDefault="001D5D0E" w:rsidP="00386B5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saskaņā ar vidēja termiņa budžeta ietvaru</w:t>
            </w:r>
          </w:p>
        </w:tc>
        <w:tc>
          <w:tcPr>
            <w:tcW w:w="566" w:type="pct"/>
            <w:vAlign w:val="center"/>
            <w:hideMark/>
          </w:tcPr>
          <w:p w:rsidR="001D5D0E" w:rsidRPr="00665C7F" w:rsidRDefault="001D5D0E" w:rsidP="00386B5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izmaiņas, salīdzinot ar vidēja termiņa budžeta ietvaru 20</w:t>
            </w:r>
            <w:r w:rsidR="00273172">
              <w:rPr>
                <w:rFonts w:ascii="Times New Roman" w:eastAsia="Times New Roman" w:hAnsi="Times New Roman" w:cs="Times New Roman"/>
                <w:sz w:val="24"/>
                <w:szCs w:val="24"/>
                <w:lang w:eastAsia="lv-LV"/>
              </w:rPr>
              <w:t>20</w:t>
            </w:r>
            <w:r w:rsidRPr="00665C7F">
              <w:rPr>
                <w:rFonts w:ascii="Times New Roman" w:eastAsia="Times New Roman" w:hAnsi="Times New Roman" w:cs="Times New Roman"/>
                <w:sz w:val="24"/>
                <w:szCs w:val="24"/>
                <w:lang w:eastAsia="lv-LV"/>
              </w:rPr>
              <w:t>.gad</w:t>
            </w:r>
            <w:r w:rsidRPr="00665C7F">
              <w:rPr>
                <w:rFonts w:ascii="Times New Roman" w:eastAsia="Times New Roman" w:hAnsi="Times New Roman" w:cs="Times New Roman"/>
                <w:sz w:val="24"/>
                <w:szCs w:val="24"/>
                <w:lang w:eastAsia="lv-LV"/>
              </w:rPr>
              <w:lastRenderedPageBreak/>
              <w:t>am</w:t>
            </w:r>
          </w:p>
        </w:tc>
        <w:tc>
          <w:tcPr>
            <w:tcW w:w="495" w:type="pct"/>
            <w:vAlign w:val="center"/>
            <w:hideMark/>
          </w:tcPr>
          <w:p w:rsidR="001D5D0E" w:rsidRPr="00665C7F" w:rsidRDefault="001D5D0E" w:rsidP="00386B5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lastRenderedPageBreak/>
              <w:t>saskaņā ar vidēja termiņa budžeta ietvaru</w:t>
            </w:r>
          </w:p>
        </w:tc>
        <w:tc>
          <w:tcPr>
            <w:tcW w:w="564" w:type="pct"/>
            <w:vAlign w:val="center"/>
            <w:hideMark/>
          </w:tcPr>
          <w:p w:rsidR="001D5D0E" w:rsidRPr="00665C7F" w:rsidRDefault="001D5D0E" w:rsidP="00386B5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izmaiņas, salīdzinot ar vidēja termiņa budžeta ietvaru 20</w:t>
            </w:r>
            <w:r>
              <w:rPr>
                <w:rFonts w:ascii="Times New Roman" w:eastAsia="Times New Roman" w:hAnsi="Times New Roman" w:cs="Times New Roman"/>
                <w:sz w:val="24"/>
                <w:szCs w:val="24"/>
                <w:lang w:eastAsia="lv-LV"/>
              </w:rPr>
              <w:t>2</w:t>
            </w:r>
            <w:r w:rsidR="00776024">
              <w:rPr>
                <w:rFonts w:ascii="Times New Roman" w:eastAsia="Times New Roman" w:hAnsi="Times New Roman" w:cs="Times New Roman"/>
                <w:sz w:val="24"/>
                <w:szCs w:val="24"/>
                <w:lang w:eastAsia="lv-LV"/>
              </w:rPr>
              <w:t>1</w:t>
            </w:r>
            <w:r w:rsidRPr="00665C7F">
              <w:rPr>
                <w:rFonts w:ascii="Times New Roman" w:eastAsia="Times New Roman" w:hAnsi="Times New Roman" w:cs="Times New Roman"/>
                <w:sz w:val="24"/>
                <w:szCs w:val="24"/>
                <w:lang w:eastAsia="lv-LV"/>
              </w:rPr>
              <w:t>.gad</w:t>
            </w:r>
            <w:r w:rsidRPr="00665C7F">
              <w:rPr>
                <w:rFonts w:ascii="Times New Roman" w:eastAsia="Times New Roman" w:hAnsi="Times New Roman" w:cs="Times New Roman"/>
                <w:sz w:val="24"/>
                <w:szCs w:val="24"/>
                <w:lang w:eastAsia="lv-LV"/>
              </w:rPr>
              <w:lastRenderedPageBreak/>
              <w:t>am</w:t>
            </w:r>
          </w:p>
        </w:tc>
        <w:tc>
          <w:tcPr>
            <w:tcW w:w="774" w:type="pct"/>
            <w:vAlign w:val="center"/>
            <w:hideMark/>
          </w:tcPr>
          <w:p w:rsidR="001D5D0E" w:rsidRPr="00665C7F" w:rsidRDefault="001D5D0E" w:rsidP="00386B5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lastRenderedPageBreak/>
              <w:t>izmaiņas, salīdzinot ar vidēja termiņa budžeta ietvaru 202</w:t>
            </w:r>
            <w:r w:rsidR="00E517CB">
              <w:rPr>
                <w:rFonts w:ascii="Times New Roman" w:eastAsia="Times New Roman" w:hAnsi="Times New Roman" w:cs="Times New Roman"/>
                <w:sz w:val="24"/>
                <w:szCs w:val="24"/>
                <w:lang w:eastAsia="lv-LV"/>
              </w:rPr>
              <w:t>1</w:t>
            </w:r>
            <w:r w:rsidRPr="00665C7F">
              <w:rPr>
                <w:rFonts w:ascii="Times New Roman" w:eastAsia="Times New Roman" w:hAnsi="Times New Roman" w:cs="Times New Roman"/>
                <w:sz w:val="24"/>
                <w:szCs w:val="24"/>
                <w:lang w:eastAsia="lv-LV"/>
              </w:rPr>
              <w:t>.gadam</w:t>
            </w:r>
          </w:p>
        </w:tc>
      </w:tr>
      <w:tr w:rsidR="001D5D0E" w:rsidRPr="00665C7F" w:rsidTr="001D5D0E">
        <w:trPr>
          <w:tblCellSpacing w:w="15" w:type="dxa"/>
        </w:trPr>
        <w:tc>
          <w:tcPr>
            <w:tcW w:w="708" w:type="pct"/>
            <w:vAlign w:val="center"/>
            <w:hideMark/>
          </w:tcPr>
          <w:p w:rsidR="001D5D0E" w:rsidRPr="00665C7F" w:rsidRDefault="001D5D0E" w:rsidP="00386B5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1</w:t>
            </w:r>
          </w:p>
        </w:tc>
        <w:tc>
          <w:tcPr>
            <w:tcW w:w="644" w:type="pct"/>
            <w:vAlign w:val="center"/>
            <w:hideMark/>
          </w:tcPr>
          <w:p w:rsidR="001D5D0E" w:rsidRPr="00665C7F" w:rsidRDefault="001D5D0E" w:rsidP="00386B5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2</w:t>
            </w:r>
          </w:p>
        </w:tc>
        <w:tc>
          <w:tcPr>
            <w:tcW w:w="573" w:type="pct"/>
            <w:vAlign w:val="center"/>
            <w:hideMark/>
          </w:tcPr>
          <w:p w:rsidR="001D5D0E" w:rsidRPr="00665C7F" w:rsidRDefault="001D5D0E" w:rsidP="00386B5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3</w:t>
            </w:r>
          </w:p>
        </w:tc>
        <w:tc>
          <w:tcPr>
            <w:tcW w:w="530" w:type="pct"/>
            <w:vAlign w:val="center"/>
            <w:hideMark/>
          </w:tcPr>
          <w:p w:rsidR="001D5D0E" w:rsidRPr="00665C7F" w:rsidRDefault="001D5D0E" w:rsidP="00386B5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4</w:t>
            </w:r>
          </w:p>
        </w:tc>
        <w:tc>
          <w:tcPr>
            <w:tcW w:w="566" w:type="pct"/>
            <w:vAlign w:val="center"/>
            <w:hideMark/>
          </w:tcPr>
          <w:p w:rsidR="001D5D0E" w:rsidRPr="00665C7F" w:rsidRDefault="001D5D0E" w:rsidP="00386B5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5</w:t>
            </w:r>
          </w:p>
        </w:tc>
        <w:tc>
          <w:tcPr>
            <w:tcW w:w="495" w:type="pct"/>
            <w:vAlign w:val="center"/>
            <w:hideMark/>
          </w:tcPr>
          <w:p w:rsidR="001D5D0E" w:rsidRPr="00665C7F" w:rsidRDefault="001D5D0E" w:rsidP="00386B5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6</w:t>
            </w:r>
          </w:p>
        </w:tc>
        <w:tc>
          <w:tcPr>
            <w:tcW w:w="564" w:type="pct"/>
            <w:vAlign w:val="center"/>
            <w:hideMark/>
          </w:tcPr>
          <w:p w:rsidR="001D5D0E" w:rsidRPr="00665C7F" w:rsidRDefault="001D5D0E" w:rsidP="00386B5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7</w:t>
            </w:r>
          </w:p>
        </w:tc>
        <w:tc>
          <w:tcPr>
            <w:tcW w:w="774" w:type="pct"/>
            <w:vAlign w:val="center"/>
            <w:hideMark/>
          </w:tcPr>
          <w:p w:rsidR="001D5D0E" w:rsidRPr="00665C7F" w:rsidRDefault="001D5D0E" w:rsidP="00386B5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8</w:t>
            </w:r>
          </w:p>
        </w:tc>
      </w:tr>
      <w:tr w:rsidR="001D5D0E" w:rsidRPr="00665C7F" w:rsidTr="001D5D0E">
        <w:trPr>
          <w:tblCellSpacing w:w="15" w:type="dxa"/>
        </w:trPr>
        <w:tc>
          <w:tcPr>
            <w:tcW w:w="708" w:type="pct"/>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1. Budžeta ieņēmumi</w:t>
            </w:r>
          </w:p>
        </w:tc>
        <w:tc>
          <w:tcPr>
            <w:tcW w:w="644"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73"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30"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66"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95"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64"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4"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1D5D0E" w:rsidRPr="00665C7F" w:rsidTr="001D5D0E">
        <w:trPr>
          <w:tblCellSpacing w:w="15" w:type="dxa"/>
        </w:trPr>
        <w:tc>
          <w:tcPr>
            <w:tcW w:w="708" w:type="pct"/>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1.1. valsts pamatbudžets, tai skaitā ieņēmumi no maksas pakalpojumiem un citi pašu ieņēmumi</w:t>
            </w:r>
          </w:p>
        </w:tc>
        <w:tc>
          <w:tcPr>
            <w:tcW w:w="644"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73" w:type="pct"/>
            <w:vAlign w:val="center"/>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30" w:type="pct"/>
            <w:vAlign w:val="center"/>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66"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495"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64"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4"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D5D0E" w:rsidRPr="00665C7F" w:rsidTr="001D5D0E">
        <w:trPr>
          <w:tblCellSpacing w:w="15" w:type="dxa"/>
        </w:trPr>
        <w:tc>
          <w:tcPr>
            <w:tcW w:w="708" w:type="pct"/>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1.2. valsts speciālais budžets</w:t>
            </w:r>
          </w:p>
        </w:tc>
        <w:tc>
          <w:tcPr>
            <w:tcW w:w="644"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73"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30"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66"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495"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64"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774"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r>
      <w:tr w:rsidR="001D5D0E" w:rsidRPr="00665C7F" w:rsidTr="001D5D0E">
        <w:trPr>
          <w:tblCellSpacing w:w="15" w:type="dxa"/>
        </w:trPr>
        <w:tc>
          <w:tcPr>
            <w:tcW w:w="708" w:type="pct"/>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1.3. pašvaldību budžets</w:t>
            </w:r>
          </w:p>
        </w:tc>
        <w:tc>
          <w:tcPr>
            <w:tcW w:w="644"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73"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30"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66"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495"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64"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774"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r>
      <w:tr w:rsidR="001D5D0E" w:rsidRPr="00665C7F" w:rsidTr="001D5D0E">
        <w:trPr>
          <w:tblCellSpacing w:w="15" w:type="dxa"/>
        </w:trPr>
        <w:tc>
          <w:tcPr>
            <w:tcW w:w="708" w:type="pct"/>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2. Budžeta izdevumi</w:t>
            </w:r>
          </w:p>
        </w:tc>
        <w:tc>
          <w:tcPr>
            <w:tcW w:w="644"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73"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0 </w:t>
            </w:r>
          </w:p>
        </w:tc>
        <w:tc>
          <w:tcPr>
            <w:tcW w:w="530"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0 </w:t>
            </w:r>
          </w:p>
        </w:tc>
        <w:tc>
          <w:tcPr>
            <w:tcW w:w="566"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495"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w:t>
            </w:r>
          </w:p>
        </w:tc>
        <w:tc>
          <w:tcPr>
            <w:tcW w:w="564"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774"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r>
      <w:tr w:rsidR="001D5D0E" w:rsidRPr="00665C7F" w:rsidTr="001D5D0E">
        <w:trPr>
          <w:tblCellSpacing w:w="15" w:type="dxa"/>
        </w:trPr>
        <w:tc>
          <w:tcPr>
            <w:tcW w:w="708" w:type="pct"/>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2.1. valsts pamatbudžets</w:t>
            </w:r>
          </w:p>
        </w:tc>
        <w:tc>
          <w:tcPr>
            <w:tcW w:w="644"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73"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0 </w:t>
            </w:r>
          </w:p>
        </w:tc>
        <w:tc>
          <w:tcPr>
            <w:tcW w:w="530"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0 </w:t>
            </w:r>
          </w:p>
        </w:tc>
        <w:tc>
          <w:tcPr>
            <w:tcW w:w="566"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495"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w:t>
            </w:r>
          </w:p>
        </w:tc>
        <w:tc>
          <w:tcPr>
            <w:tcW w:w="564"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774"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r>
      <w:tr w:rsidR="001D5D0E" w:rsidRPr="00665C7F" w:rsidTr="001D5D0E">
        <w:trPr>
          <w:tblCellSpacing w:w="15" w:type="dxa"/>
        </w:trPr>
        <w:tc>
          <w:tcPr>
            <w:tcW w:w="708" w:type="pct"/>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2.2. valsts speciālais budžets</w:t>
            </w:r>
          </w:p>
        </w:tc>
        <w:tc>
          <w:tcPr>
            <w:tcW w:w="644"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73"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30"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66"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495"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64"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774"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r>
      <w:tr w:rsidR="001D5D0E" w:rsidRPr="00665C7F" w:rsidTr="001D5D0E">
        <w:trPr>
          <w:tblCellSpacing w:w="15" w:type="dxa"/>
        </w:trPr>
        <w:tc>
          <w:tcPr>
            <w:tcW w:w="708" w:type="pct"/>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2.3. pašvaldību budžets</w:t>
            </w:r>
          </w:p>
        </w:tc>
        <w:tc>
          <w:tcPr>
            <w:tcW w:w="644"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73"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30"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66"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495"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64"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774"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r>
      <w:tr w:rsidR="001D5D0E" w:rsidRPr="00665C7F" w:rsidTr="001D5D0E">
        <w:trPr>
          <w:tblCellSpacing w:w="15" w:type="dxa"/>
        </w:trPr>
        <w:tc>
          <w:tcPr>
            <w:tcW w:w="708" w:type="pct"/>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3. Finansiālā ietekme</w:t>
            </w:r>
          </w:p>
        </w:tc>
        <w:tc>
          <w:tcPr>
            <w:tcW w:w="644"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73"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0 </w:t>
            </w:r>
          </w:p>
        </w:tc>
        <w:tc>
          <w:tcPr>
            <w:tcW w:w="530"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0 </w:t>
            </w:r>
          </w:p>
        </w:tc>
        <w:tc>
          <w:tcPr>
            <w:tcW w:w="566"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495"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w:t>
            </w:r>
          </w:p>
        </w:tc>
        <w:tc>
          <w:tcPr>
            <w:tcW w:w="564"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774"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r>
      <w:tr w:rsidR="001D5D0E" w:rsidRPr="00665C7F" w:rsidTr="001D5D0E">
        <w:trPr>
          <w:tblCellSpacing w:w="15" w:type="dxa"/>
        </w:trPr>
        <w:tc>
          <w:tcPr>
            <w:tcW w:w="708" w:type="pct"/>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3.1. valsts pamatbudžets</w:t>
            </w:r>
          </w:p>
        </w:tc>
        <w:tc>
          <w:tcPr>
            <w:tcW w:w="644"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73"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0 </w:t>
            </w:r>
          </w:p>
        </w:tc>
        <w:tc>
          <w:tcPr>
            <w:tcW w:w="530"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66"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0</w:t>
            </w:r>
          </w:p>
        </w:tc>
        <w:tc>
          <w:tcPr>
            <w:tcW w:w="495"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w:t>
            </w:r>
          </w:p>
        </w:tc>
        <w:tc>
          <w:tcPr>
            <w:tcW w:w="564"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774"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r>
      <w:tr w:rsidR="001D5D0E" w:rsidRPr="00665C7F" w:rsidTr="001D5D0E">
        <w:trPr>
          <w:tblCellSpacing w:w="15" w:type="dxa"/>
        </w:trPr>
        <w:tc>
          <w:tcPr>
            <w:tcW w:w="708" w:type="pct"/>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3.2. speciālais budžets</w:t>
            </w:r>
          </w:p>
        </w:tc>
        <w:tc>
          <w:tcPr>
            <w:tcW w:w="644"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73"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30"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66"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495"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64"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774"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r>
      <w:tr w:rsidR="001D5D0E" w:rsidRPr="00665C7F" w:rsidTr="001D5D0E">
        <w:trPr>
          <w:tblCellSpacing w:w="15" w:type="dxa"/>
        </w:trPr>
        <w:tc>
          <w:tcPr>
            <w:tcW w:w="708" w:type="pct"/>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3.3. pašvaldību budžets</w:t>
            </w:r>
          </w:p>
        </w:tc>
        <w:tc>
          <w:tcPr>
            <w:tcW w:w="644"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73"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30"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66"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495"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64"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774"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r>
      <w:tr w:rsidR="001D5D0E" w:rsidRPr="00665C7F" w:rsidTr="001D5D0E">
        <w:trPr>
          <w:tblCellSpacing w:w="15" w:type="dxa"/>
        </w:trPr>
        <w:tc>
          <w:tcPr>
            <w:tcW w:w="708" w:type="pct"/>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xml:space="preserve">4. Finanšu līdzekļi </w:t>
            </w:r>
            <w:r w:rsidRPr="00665C7F">
              <w:rPr>
                <w:rFonts w:ascii="Times New Roman" w:eastAsia="Times New Roman" w:hAnsi="Times New Roman" w:cs="Times New Roman"/>
                <w:sz w:val="24"/>
                <w:szCs w:val="24"/>
                <w:lang w:eastAsia="lv-LV"/>
              </w:rPr>
              <w:lastRenderedPageBreak/>
              <w:t xml:space="preserve">papildu izdevumu finansēšanai (kompensējošu izdevumu samazinājumu norāda ar </w:t>
            </w:r>
            <w:r w:rsidR="00273172">
              <w:rPr>
                <w:rFonts w:ascii="Times New Roman" w:eastAsia="Times New Roman" w:hAnsi="Times New Roman" w:cs="Times New Roman"/>
                <w:sz w:val="24"/>
                <w:szCs w:val="24"/>
                <w:lang w:eastAsia="lv-LV"/>
              </w:rPr>
              <w:t>“</w:t>
            </w:r>
            <w:r w:rsidRPr="00665C7F">
              <w:rPr>
                <w:rFonts w:ascii="Times New Roman" w:eastAsia="Times New Roman" w:hAnsi="Times New Roman" w:cs="Times New Roman"/>
                <w:sz w:val="24"/>
                <w:szCs w:val="24"/>
                <w:lang w:eastAsia="lv-LV"/>
              </w:rPr>
              <w:t>+</w:t>
            </w:r>
            <w:r w:rsidR="00273172">
              <w:rPr>
                <w:rFonts w:ascii="Times New Roman" w:eastAsia="Times New Roman" w:hAnsi="Times New Roman" w:cs="Times New Roman"/>
                <w:sz w:val="24"/>
                <w:szCs w:val="24"/>
                <w:lang w:eastAsia="lv-LV"/>
              </w:rPr>
              <w:t>”</w:t>
            </w:r>
            <w:r w:rsidRPr="00665C7F">
              <w:rPr>
                <w:rFonts w:ascii="Times New Roman" w:eastAsia="Times New Roman" w:hAnsi="Times New Roman" w:cs="Times New Roman"/>
                <w:sz w:val="24"/>
                <w:szCs w:val="24"/>
                <w:lang w:eastAsia="lv-LV"/>
              </w:rPr>
              <w:t xml:space="preserve"> zīmi)</w:t>
            </w:r>
          </w:p>
        </w:tc>
        <w:tc>
          <w:tcPr>
            <w:tcW w:w="644"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lastRenderedPageBreak/>
              <w:t> 0</w:t>
            </w:r>
          </w:p>
        </w:tc>
        <w:tc>
          <w:tcPr>
            <w:tcW w:w="573"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0 </w:t>
            </w:r>
          </w:p>
        </w:tc>
        <w:tc>
          <w:tcPr>
            <w:tcW w:w="530"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0 </w:t>
            </w:r>
          </w:p>
        </w:tc>
        <w:tc>
          <w:tcPr>
            <w:tcW w:w="566"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495"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w:t>
            </w:r>
          </w:p>
        </w:tc>
        <w:tc>
          <w:tcPr>
            <w:tcW w:w="564"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xml:space="preserve"> 0 </w:t>
            </w:r>
          </w:p>
        </w:tc>
        <w:tc>
          <w:tcPr>
            <w:tcW w:w="774"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r>
      <w:tr w:rsidR="001D5D0E" w:rsidRPr="00665C7F" w:rsidTr="001D5D0E">
        <w:trPr>
          <w:tblCellSpacing w:w="15" w:type="dxa"/>
        </w:trPr>
        <w:tc>
          <w:tcPr>
            <w:tcW w:w="708" w:type="pct"/>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5. Precizēta finansiālā ietekme</w:t>
            </w:r>
          </w:p>
        </w:tc>
        <w:tc>
          <w:tcPr>
            <w:tcW w:w="644" w:type="pct"/>
            <w:vMerge w:val="restart"/>
            <w:vAlign w:val="center"/>
            <w:hideMark/>
          </w:tcPr>
          <w:p w:rsidR="001D5D0E" w:rsidRPr="00665C7F" w:rsidRDefault="00273172" w:rsidP="00111C0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573"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30" w:type="pct"/>
            <w:vMerge w:val="restart"/>
            <w:vAlign w:val="center"/>
            <w:hideMark/>
          </w:tcPr>
          <w:p w:rsidR="001D5D0E" w:rsidRPr="00665C7F" w:rsidRDefault="00273172" w:rsidP="00111C0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566"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495" w:type="pct"/>
            <w:vMerge w:val="restart"/>
            <w:vAlign w:val="center"/>
            <w:hideMark/>
          </w:tcPr>
          <w:p w:rsidR="001D5D0E" w:rsidRPr="00665C7F" w:rsidRDefault="00273172" w:rsidP="00111C0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564"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774"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r>
      <w:tr w:rsidR="001D5D0E" w:rsidRPr="00665C7F" w:rsidTr="001D5D0E">
        <w:trPr>
          <w:tblCellSpacing w:w="15" w:type="dxa"/>
        </w:trPr>
        <w:tc>
          <w:tcPr>
            <w:tcW w:w="708" w:type="pct"/>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5.1. valsts pamatbudžets</w:t>
            </w:r>
          </w:p>
        </w:tc>
        <w:tc>
          <w:tcPr>
            <w:tcW w:w="644" w:type="pct"/>
            <w:vMerge/>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p>
        </w:tc>
        <w:tc>
          <w:tcPr>
            <w:tcW w:w="573"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30" w:type="pct"/>
            <w:vMerge/>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p>
        </w:tc>
        <w:tc>
          <w:tcPr>
            <w:tcW w:w="566"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495" w:type="pct"/>
            <w:vMerge/>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p>
        </w:tc>
        <w:tc>
          <w:tcPr>
            <w:tcW w:w="564"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774"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r>
      <w:tr w:rsidR="001D5D0E" w:rsidRPr="00665C7F" w:rsidTr="001D5D0E">
        <w:trPr>
          <w:tblCellSpacing w:w="15" w:type="dxa"/>
        </w:trPr>
        <w:tc>
          <w:tcPr>
            <w:tcW w:w="708" w:type="pct"/>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5.2. speciālais budžets</w:t>
            </w:r>
          </w:p>
        </w:tc>
        <w:tc>
          <w:tcPr>
            <w:tcW w:w="644" w:type="pct"/>
            <w:vMerge/>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p>
        </w:tc>
        <w:tc>
          <w:tcPr>
            <w:tcW w:w="573"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30" w:type="pct"/>
            <w:vMerge/>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p>
        </w:tc>
        <w:tc>
          <w:tcPr>
            <w:tcW w:w="566"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495" w:type="pct"/>
            <w:vMerge/>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p>
        </w:tc>
        <w:tc>
          <w:tcPr>
            <w:tcW w:w="564"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774"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r>
      <w:tr w:rsidR="001D5D0E" w:rsidRPr="00665C7F" w:rsidTr="001D5D0E">
        <w:trPr>
          <w:tblCellSpacing w:w="15" w:type="dxa"/>
        </w:trPr>
        <w:tc>
          <w:tcPr>
            <w:tcW w:w="708" w:type="pct"/>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5.3. pašvaldību budžets</w:t>
            </w:r>
          </w:p>
        </w:tc>
        <w:tc>
          <w:tcPr>
            <w:tcW w:w="644" w:type="pct"/>
            <w:vMerge/>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p>
        </w:tc>
        <w:tc>
          <w:tcPr>
            <w:tcW w:w="573"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530" w:type="pct"/>
            <w:vMerge/>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p>
        </w:tc>
        <w:tc>
          <w:tcPr>
            <w:tcW w:w="566"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495" w:type="pct"/>
            <w:vMerge/>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p>
        </w:tc>
        <w:tc>
          <w:tcPr>
            <w:tcW w:w="564"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c>
          <w:tcPr>
            <w:tcW w:w="774" w:type="pct"/>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 0</w:t>
            </w:r>
          </w:p>
        </w:tc>
      </w:tr>
      <w:tr w:rsidR="001D5D0E" w:rsidRPr="00665C7F" w:rsidTr="001D5D0E">
        <w:trPr>
          <w:trHeight w:val="4088"/>
          <w:tblCellSpacing w:w="15" w:type="dxa"/>
        </w:trPr>
        <w:tc>
          <w:tcPr>
            <w:tcW w:w="708" w:type="pct"/>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243" w:type="pct"/>
            <w:gridSpan w:val="7"/>
            <w:vMerge w:val="restart"/>
            <w:hideMark/>
          </w:tcPr>
          <w:p w:rsidR="001D5D0E" w:rsidRPr="00665C7F" w:rsidRDefault="001D5D0E" w:rsidP="00386B52">
            <w:pPr>
              <w:tabs>
                <w:tab w:val="left" w:pos="2540"/>
              </w:tabs>
              <w:spacing w:after="0" w:line="240" w:lineRule="auto"/>
              <w:jc w:val="both"/>
              <w:rPr>
                <w:rFonts w:ascii="Times New Roman" w:eastAsia="Times New Roman" w:hAnsi="Times New Roman" w:cs="Times New Roman"/>
                <w:sz w:val="24"/>
                <w:szCs w:val="24"/>
                <w:lang w:eastAsia="lv-LV"/>
              </w:rPr>
            </w:pPr>
          </w:p>
        </w:tc>
      </w:tr>
      <w:tr w:rsidR="001D5D0E" w:rsidRPr="00665C7F" w:rsidTr="001D5D0E">
        <w:trPr>
          <w:trHeight w:val="700"/>
          <w:tblCellSpacing w:w="15" w:type="dxa"/>
        </w:trPr>
        <w:tc>
          <w:tcPr>
            <w:tcW w:w="708" w:type="pct"/>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6.1. detalizēts ieņēmumu aprēķins</w:t>
            </w:r>
          </w:p>
        </w:tc>
        <w:tc>
          <w:tcPr>
            <w:tcW w:w="4243" w:type="pct"/>
            <w:gridSpan w:val="7"/>
            <w:vMerge/>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p>
        </w:tc>
      </w:tr>
      <w:tr w:rsidR="001D5D0E" w:rsidRPr="00665C7F" w:rsidTr="001D5D0E">
        <w:trPr>
          <w:tblCellSpacing w:w="15" w:type="dxa"/>
        </w:trPr>
        <w:tc>
          <w:tcPr>
            <w:tcW w:w="708" w:type="pct"/>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6.2. detalizēts izdevumu aprēķins</w:t>
            </w:r>
          </w:p>
        </w:tc>
        <w:tc>
          <w:tcPr>
            <w:tcW w:w="4243" w:type="pct"/>
            <w:gridSpan w:val="7"/>
            <w:vMerge/>
            <w:vAlign w:val="center"/>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p>
        </w:tc>
      </w:tr>
      <w:tr w:rsidR="001D5D0E" w:rsidRPr="00665C7F" w:rsidTr="001D5D0E">
        <w:trPr>
          <w:tblCellSpacing w:w="15" w:type="dxa"/>
        </w:trPr>
        <w:tc>
          <w:tcPr>
            <w:tcW w:w="708" w:type="pct"/>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t>7. Amata vietu skaita izmaiņas</w:t>
            </w:r>
          </w:p>
        </w:tc>
        <w:tc>
          <w:tcPr>
            <w:tcW w:w="4243" w:type="pct"/>
            <w:gridSpan w:val="7"/>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iCs/>
                <w:sz w:val="24"/>
                <w:szCs w:val="24"/>
                <w:lang w:eastAsia="lv-LV"/>
              </w:rPr>
              <w:t>Projekts šo jomu neskar.</w:t>
            </w:r>
          </w:p>
        </w:tc>
      </w:tr>
      <w:tr w:rsidR="001D5D0E" w:rsidRPr="00665C7F" w:rsidTr="001D5D0E">
        <w:trPr>
          <w:tblCellSpacing w:w="15" w:type="dxa"/>
        </w:trPr>
        <w:tc>
          <w:tcPr>
            <w:tcW w:w="708" w:type="pct"/>
            <w:hideMark/>
          </w:tcPr>
          <w:p w:rsidR="001D5D0E" w:rsidRPr="00665C7F" w:rsidRDefault="001D5D0E" w:rsidP="00386B52">
            <w:pPr>
              <w:spacing w:after="0" w:line="240" w:lineRule="auto"/>
              <w:rPr>
                <w:rFonts w:ascii="Times New Roman" w:eastAsia="Times New Roman" w:hAnsi="Times New Roman" w:cs="Times New Roman"/>
                <w:sz w:val="24"/>
                <w:szCs w:val="24"/>
                <w:lang w:eastAsia="lv-LV"/>
              </w:rPr>
            </w:pPr>
            <w:r w:rsidRPr="00665C7F">
              <w:rPr>
                <w:rFonts w:ascii="Times New Roman" w:eastAsia="Times New Roman" w:hAnsi="Times New Roman" w:cs="Times New Roman"/>
                <w:sz w:val="24"/>
                <w:szCs w:val="24"/>
                <w:lang w:eastAsia="lv-LV"/>
              </w:rPr>
              <w:lastRenderedPageBreak/>
              <w:t>8. Cita informācija</w:t>
            </w:r>
          </w:p>
        </w:tc>
        <w:tc>
          <w:tcPr>
            <w:tcW w:w="4243" w:type="pct"/>
            <w:gridSpan w:val="7"/>
            <w:hideMark/>
          </w:tcPr>
          <w:p w:rsidR="00273172" w:rsidRPr="0062306F" w:rsidRDefault="00273172" w:rsidP="00386B52">
            <w:pPr>
              <w:spacing w:after="0" w:line="240" w:lineRule="auto"/>
              <w:jc w:val="both"/>
              <w:rPr>
                <w:rFonts w:ascii="Times New Roman" w:eastAsia="Times New Roman" w:hAnsi="Times New Roman" w:cs="Times New Roman"/>
                <w:sz w:val="24"/>
                <w:szCs w:val="24"/>
                <w:lang w:eastAsia="lv-LV"/>
              </w:rPr>
            </w:pPr>
            <w:r w:rsidRPr="00350C2F">
              <w:rPr>
                <w:rFonts w:ascii="Times New Roman" w:eastAsia="Times New Roman" w:hAnsi="Times New Roman" w:cs="Times New Roman"/>
                <w:sz w:val="24"/>
                <w:szCs w:val="24"/>
                <w:lang w:eastAsia="lv-LV"/>
              </w:rPr>
              <w:t xml:space="preserve">Ieņēmumi valsts budžetā tiks nodrošināti, īstenojot kompleksu risinājumu: </w:t>
            </w:r>
            <w:r w:rsidRPr="006012A3">
              <w:rPr>
                <w:rFonts w:ascii="Times New Roman" w:eastAsia="Times New Roman" w:hAnsi="Times New Roman" w:cs="Times New Roman"/>
                <w:sz w:val="24"/>
                <w:szCs w:val="24"/>
                <w:lang w:eastAsia="lv-LV"/>
              </w:rPr>
              <w:t>g</w:t>
            </w:r>
            <w:r w:rsidRPr="00665C7F">
              <w:rPr>
                <w:rFonts w:ascii="Times New Roman" w:hAnsi="Times New Roman" w:cs="Times New Roman"/>
                <w:sz w:val="24"/>
                <w:szCs w:val="24"/>
              </w:rPr>
              <w:t xml:space="preserve">rozījumi Latvijas </w:t>
            </w:r>
            <w:r>
              <w:rPr>
                <w:rFonts w:ascii="Times New Roman" w:hAnsi="Times New Roman" w:cs="Times New Roman"/>
                <w:sz w:val="24"/>
                <w:szCs w:val="24"/>
              </w:rPr>
              <w:t>A</w:t>
            </w:r>
            <w:r w:rsidRPr="00665C7F">
              <w:rPr>
                <w:rFonts w:ascii="Times New Roman" w:hAnsi="Times New Roman" w:cs="Times New Roman"/>
                <w:sz w:val="24"/>
                <w:szCs w:val="24"/>
              </w:rPr>
              <w:t xml:space="preserve">dministratīvo pārkāpumu kodeksā tiek virzīti vienlaicīgi ar grozījumiem Azartspēļu un izložu likumā, grozījumiem Elektronisko sakaru likumā, </w:t>
            </w:r>
            <w:r>
              <w:rPr>
                <w:rFonts w:ascii="Times New Roman" w:hAnsi="Times New Roman" w:cs="Times New Roman"/>
                <w:sz w:val="24"/>
                <w:szCs w:val="24"/>
              </w:rPr>
              <w:t>g</w:t>
            </w:r>
            <w:r w:rsidRPr="00D75A9A">
              <w:rPr>
                <w:rFonts w:ascii="Times New Roman" w:hAnsi="Times New Roman" w:cs="Times New Roman"/>
                <w:sz w:val="24"/>
                <w:szCs w:val="24"/>
              </w:rPr>
              <w:t>rozījumi</w:t>
            </w:r>
            <w:r>
              <w:rPr>
                <w:rFonts w:ascii="Times New Roman" w:hAnsi="Times New Roman" w:cs="Times New Roman"/>
                <w:sz w:val="24"/>
                <w:szCs w:val="24"/>
              </w:rPr>
              <w:t>em</w:t>
            </w:r>
            <w:r w:rsidRPr="00D75A9A">
              <w:rPr>
                <w:rFonts w:ascii="Times New Roman" w:hAnsi="Times New Roman" w:cs="Times New Roman"/>
                <w:sz w:val="24"/>
                <w:szCs w:val="24"/>
              </w:rPr>
              <w:t xml:space="preserve"> Maksājumu pakalpojumu un elektroniskās naudas likumā</w:t>
            </w:r>
            <w:r w:rsidRPr="00665C7F">
              <w:rPr>
                <w:rFonts w:ascii="Times New Roman" w:hAnsi="Times New Roman" w:cs="Times New Roman"/>
                <w:sz w:val="24"/>
                <w:szCs w:val="24"/>
              </w:rPr>
              <w:t>.</w:t>
            </w:r>
          </w:p>
          <w:p w:rsidR="001D5D0E" w:rsidRPr="00665C7F" w:rsidRDefault="001D5D0E" w:rsidP="00386B52">
            <w:pPr>
              <w:spacing w:after="0" w:line="240" w:lineRule="auto"/>
              <w:jc w:val="both"/>
              <w:rPr>
                <w:rFonts w:ascii="Times New Roman" w:eastAsia="Times New Roman" w:hAnsi="Times New Roman" w:cs="Times New Roman"/>
                <w:sz w:val="24"/>
                <w:szCs w:val="24"/>
                <w:lang w:eastAsia="lv-LV"/>
              </w:rPr>
            </w:pPr>
            <w:r w:rsidRPr="00A91E3E">
              <w:rPr>
                <w:rFonts w:ascii="Times New Roman" w:eastAsia="Times New Roman" w:hAnsi="Times New Roman" w:cs="Times New Roman"/>
                <w:sz w:val="24"/>
                <w:szCs w:val="24"/>
                <w:lang w:eastAsia="lv-LV"/>
              </w:rPr>
              <w:t>Likumprojektā iekļautā normatīvā regulējuma ietekme uz b</w:t>
            </w:r>
            <w:r w:rsidR="00E42AEE">
              <w:rPr>
                <w:rFonts w:ascii="Times New Roman" w:eastAsia="Times New Roman" w:hAnsi="Times New Roman" w:cs="Times New Roman"/>
                <w:sz w:val="24"/>
                <w:szCs w:val="24"/>
                <w:lang w:eastAsia="lv-LV"/>
              </w:rPr>
              <w:t>udžetu atspoguļota likumprojekta</w:t>
            </w:r>
            <w:bookmarkStart w:id="0" w:name="_GoBack"/>
            <w:bookmarkEnd w:id="0"/>
            <w:r w:rsidRPr="00A91E3E">
              <w:rPr>
                <w:rFonts w:ascii="Times New Roman" w:eastAsia="Times New Roman" w:hAnsi="Times New Roman" w:cs="Times New Roman"/>
                <w:sz w:val="24"/>
                <w:szCs w:val="24"/>
                <w:lang w:eastAsia="lv-LV"/>
              </w:rPr>
              <w:t xml:space="preserve"> “Grozījumi Maksājumu pakalpojumu un elektroniskās naudas likumā” sākotnējās ietekmes novērtējuma ziņojuma (anotācijas) III sadaļā.</w:t>
            </w:r>
          </w:p>
        </w:tc>
      </w:tr>
    </w:tbl>
    <w:p w:rsidR="001D5D0E" w:rsidRDefault="001D5D0E" w:rsidP="00F10092">
      <w:pPr>
        <w:shd w:val="clear" w:color="auto" w:fill="FFFFFF"/>
        <w:spacing w:after="0" w:line="240" w:lineRule="auto"/>
        <w:rPr>
          <w:rFonts w:ascii="Times New Roman" w:eastAsia="Times New Roman" w:hAnsi="Times New Roman" w:cs="Times New Roman"/>
          <w:sz w:val="24"/>
          <w:szCs w:val="24"/>
          <w:lang w:eastAsia="lv-LV"/>
        </w:rPr>
      </w:pPr>
    </w:p>
    <w:p w:rsidR="001D5D0E" w:rsidRPr="00A7677E" w:rsidRDefault="001D5D0E" w:rsidP="00F10092">
      <w:pPr>
        <w:shd w:val="clear" w:color="auto" w:fill="FFFFFF"/>
        <w:spacing w:after="0" w:line="240" w:lineRule="auto"/>
        <w:rPr>
          <w:rFonts w:ascii="Times New Roman" w:eastAsia="Times New Roman" w:hAnsi="Times New Roman" w:cs="Times New Roman"/>
          <w:sz w:val="24"/>
          <w:szCs w:val="24"/>
          <w:lang w:eastAsia="lv-LV"/>
        </w:rPr>
      </w:pPr>
    </w:p>
    <w:tbl>
      <w:tblPr>
        <w:tblW w:w="5005"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20"/>
        <w:gridCol w:w="2855"/>
        <w:gridCol w:w="5853"/>
      </w:tblGrid>
      <w:tr w:rsidR="00F10092" w:rsidRPr="00A7677E" w:rsidTr="00633342">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F10092" w:rsidRPr="00A7677E" w:rsidRDefault="00F10092" w:rsidP="0063334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7677E">
              <w:rPr>
                <w:rFonts w:ascii="Times New Roman" w:eastAsia="Times New Roman" w:hAnsi="Times New Roman" w:cs="Times New Roman"/>
                <w:b/>
                <w:bCs/>
                <w:sz w:val="24"/>
                <w:szCs w:val="24"/>
                <w:lang w:eastAsia="lv-LV"/>
              </w:rPr>
              <w:t>IV. Tiesību akta projekta ietekme uz spēkā esošo tiesību normu sistēmu</w:t>
            </w:r>
          </w:p>
        </w:tc>
      </w:tr>
      <w:tr w:rsidR="00F10092" w:rsidRPr="00A7677E" w:rsidTr="00633342">
        <w:trPr>
          <w:trHeight w:val="432"/>
          <w:jc w:val="center"/>
        </w:trPr>
        <w:tc>
          <w:tcPr>
            <w:tcW w:w="230" w:type="pct"/>
            <w:tcBorders>
              <w:top w:val="outset" w:sz="6" w:space="0" w:color="414142"/>
              <w:left w:val="outset" w:sz="6" w:space="0" w:color="414142"/>
              <w:bottom w:val="outset" w:sz="6" w:space="0" w:color="414142"/>
              <w:right w:val="outset" w:sz="6" w:space="0" w:color="414142"/>
            </w:tcBorders>
            <w:hideMark/>
          </w:tcPr>
          <w:p w:rsidR="00F10092" w:rsidRPr="00A7677E" w:rsidRDefault="00F10092" w:rsidP="00633342">
            <w:pPr>
              <w:spacing w:after="0" w:line="240" w:lineRule="auto"/>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1.</w:t>
            </w:r>
          </w:p>
        </w:tc>
        <w:tc>
          <w:tcPr>
            <w:tcW w:w="1564" w:type="pct"/>
            <w:tcBorders>
              <w:top w:val="outset" w:sz="6" w:space="0" w:color="414142"/>
              <w:left w:val="outset" w:sz="6" w:space="0" w:color="414142"/>
              <w:bottom w:val="outset" w:sz="6" w:space="0" w:color="414142"/>
              <w:right w:val="outset" w:sz="6" w:space="0" w:color="414142"/>
            </w:tcBorders>
            <w:hideMark/>
          </w:tcPr>
          <w:p w:rsidR="00F10092" w:rsidRPr="00A7677E" w:rsidRDefault="00F10092" w:rsidP="00633342">
            <w:pPr>
              <w:spacing w:before="75" w:after="75" w:line="240" w:lineRule="auto"/>
              <w:jc w:val="both"/>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Saistītie tiesību aktu projekti</w:t>
            </w:r>
          </w:p>
        </w:tc>
        <w:tc>
          <w:tcPr>
            <w:tcW w:w="3206" w:type="pct"/>
            <w:tcBorders>
              <w:top w:val="outset" w:sz="6" w:space="0" w:color="414142"/>
              <w:left w:val="outset" w:sz="6" w:space="0" w:color="414142"/>
              <w:bottom w:val="outset" w:sz="6" w:space="0" w:color="414142"/>
              <w:right w:val="outset" w:sz="6" w:space="0" w:color="414142"/>
            </w:tcBorders>
            <w:hideMark/>
          </w:tcPr>
          <w:p w:rsidR="00F10092" w:rsidRPr="00A7677E" w:rsidRDefault="007D6EDD" w:rsidP="00F1009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Likumprojekts</w:t>
            </w:r>
            <w:r w:rsidR="0080077D">
              <w:rPr>
                <w:rFonts w:ascii="Times New Roman" w:eastAsia="Times New Roman" w:hAnsi="Times New Roman" w:cs="Times New Roman"/>
                <w:sz w:val="24"/>
                <w:szCs w:val="24"/>
                <w:lang w:eastAsia="lv-LV"/>
              </w:rPr>
              <w:t xml:space="preserve"> tiek virzīts pieņemšanai vienl</w:t>
            </w:r>
            <w:r>
              <w:rPr>
                <w:rFonts w:ascii="Times New Roman" w:eastAsia="Times New Roman" w:hAnsi="Times New Roman" w:cs="Times New Roman"/>
                <w:sz w:val="24"/>
                <w:szCs w:val="24"/>
                <w:lang w:eastAsia="lv-LV"/>
              </w:rPr>
              <w:t>a</w:t>
            </w:r>
            <w:r w:rsidR="0080077D">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kus ar g</w:t>
            </w:r>
            <w:r w:rsidR="00F10092" w:rsidRPr="00A7677E">
              <w:rPr>
                <w:rFonts w:ascii="Times New Roman" w:hAnsi="Times New Roman" w:cs="Times New Roman"/>
                <w:sz w:val="24"/>
                <w:szCs w:val="24"/>
              </w:rPr>
              <w:t>rozījumi</w:t>
            </w:r>
            <w:r w:rsidR="001633AE">
              <w:rPr>
                <w:rFonts w:ascii="Times New Roman" w:hAnsi="Times New Roman" w:cs="Times New Roman"/>
                <w:sz w:val="24"/>
                <w:szCs w:val="24"/>
              </w:rPr>
              <w:t xml:space="preserve">em Azartspēļu un izložu likumā, </w:t>
            </w:r>
            <w:r w:rsidR="0061329F">
              <w:rPr>
                <w:rFonts w:ascii="Times New Roman" w:hAnsi="Times New Roman" w:cs="Times New Roman"/>
                <w:sz w:val="24"/>
                <w:szCs w:val="24"/>
              </w:rPr>
              <w:t xml:space="preserve">Elektronisko sakaru likumā, </w:t>
            </w:r>
            <w:r w:rsidR="00F10092" w:rsidRPr="00A7677E">
              <w:rPr>
                <w:rFonts w:ascii="Times New Roman" w:hAnsi="Times New Roman" w:cs="Times New Roman"/>
                <w:sz w:val="24"/>
                <w:szCs w:val="24"/>
              </w:rPr>
              <w:t>Maksājumu pakalpojumu un elektroniskās naudas likumā.</w:t>
            </w:r>
          </w:p>
          <w:p w:rsidR="00F10092" w:rsidRPr="00A7677E" w:rsidRDefault="007D6EDD" w:rsidP="00F10092">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Visi l</w:t>
            </w:r>
            <w:r w:rsidR="00F10092" w:rsidRPr="00A7677E">
              <w:rPr>
                <w:rFonts w:ascii="Times New Roman" w:hAnsi="Times New Roman" w:cs="Times New Roman"/>
                <w:sz w:val="24"/>
                <w:szCs w:val="24"/>
              </w:rPr>
              <w:t>ikumprojekt</w:t>
            </w:r>
            <w:r>
              <w:rPr>
                <w:rFonts w:ascii="Times New Roman" w:hAnsi="Times New Roman" w:cs="Times New Roman"/>
                <w:sz w:val="24"/>
                <w:szCs w:val="24"/>
              </w:rPr>
              <w:t>i</w:t>
            </w:r>
            <w:r w:rsidR="00F10092" w:rsidRPr="00A7677E">
              <w:rPr>
                <w:rFonts w:ascii="Times New Roman" w:hAnsi="Times New Roman" w:cs="Times New Roman"/>
                <w:sz w:val="24"/>
                <w:szCs w:val="24"/>
              </w:rPr>
              <w:t xml:space="preserve"> stāsies spēkā nākamajā dienā pēc </w:t>
            </w:r>
            <w:r w:rsidR="001840CC" w:rsidRPr="00A7677E">
              <w:rPr>
                <w:rFonts w:ascii="Times New Roman" w:hAnsi="Times New Roman" w:cs="Times New Roman"/>
                <w:sz w:val="24"/>
                <w:szCs w:val="24"/>
              </w:rPr>
              <w:t>t</w:t>
            </w:r>
            <w:r>
              <w:rPr>
                <w:rFonts w:ascii="Times New Roman" w:hAnsi="Times New Roman" w:cs="Times New Roman"/>
                <w:sz w:val="24"/>
                <w:szCs w:val="24"/>
              </w:rPr>
              <w:t>o</w:t>
            </w:r>
            <w:r w:rsidR="001840CC" w:rsidRPr="00A7677E">
              <w:rPr>
                <w:rFonts w:ascii="Times New Roman" w:hAnsi="Times New Roman" w:cs="Times New Roman"/>
                <w:sz w:val="24"/>
                <w:szCs w:val="24"/>
              </w:rPr>
              <w:t xml:space="preserve"> </w:t>
            </w:r>
            <w:r w:rsidR="00F10092" w:rsidRPr="00A7677E">
              <w:rPr>
                <w:rFonts w:ascii="Times New Roman" w:hAnsi="Times New Roman" w:cs="Times New Roman"/>
                <w:sz w:val="24"/>
                <w:szCs w:val="24"/>
              </w:rPr>
              <w:t>izsludināšanas.</w:t>
            </w:r>
          </w:p>
        </w:tc>
      </w:tr>
      <w:tr w:rsidR="00F10092" w:rsidRPr="00A7677E" w:rsidTr="00633342">
        <w:trPr>
          <w:trHeight w:val="264"/>
          <w:jc w:val="center"/>
        </w:trPr>
        <w:tc>
          <w:tcPr>
            <w:tcW w:w="230" w:type="pct"/>
            <w:tcBorders>
              <w:top w:val="outset" w:sz="6" w:space="0" w:color="414142"/>
              <w:left w:val="outset" w:sz="6" w:space="0" w:color="414142"/>
              <w:bottom w:val="outset" w:sz="6" w:space="0" w:color="414142"/>
              <w:right w:val="outset" w:sz="6" w:space="0" w:color="414142"/>
            </w:tcBorders>
            <w:hideMark/>
          </w:tcPr>
          <w:p w:rsidR="00F10092" w:rsidRPr="00A7677E" w:rsidRDefault="00F10092" w:rsidP="00633342">
            <w:pPr>
              <w:spacing w:after="0" w:line="240" w:lineRule="auto"/>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2.</w:t>
            </w:r>
          </w:p>
        </w:tc>
        <w:tc>
          <w:tcPr>
            <w:tcW w:w="1564" w:type="pct"/>
            <w:tcBorders>
              <w:top w:val="outset" w:sz="6" w:space="0" w:color="414142"/>
              <w:left w:val="outset" w:sz="6" w:space="0" w:color="414142"/>
              <w:bottom w:val="outset" w:sz="6" w:space="0" w:color="414142"/>
              <w:right w:val="outset" w:sz="6" w:space="0" w:color="414142"/>
            </w:tcBorders>
            <w:hideMark/>
          </w:tcPr>
          <w:p w:rsidR="00F10092" w:rsidRPr="00A7677E" w:rsidRDefault="00F10092" w:rsidP="00633342">
            <w:pPr>
              <w:spacing w:after="0" w:line="240" w:lineRule="auto"/>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Atbildīgā institūcija</w:t>
            </w:r>
          </w:p>
        </w:tc>
        <w:tc>
          <w:tcPr>
            <w:tcW w:w="3206" w:type="pct"/>
            <w:tcBorders>
              <w:top w:val="outset" w:sz="6" w:space="0" w:color="414142"/>
              <w:left w:val="outset" w:sz="6" w:space="0" w:color="414142"/>
              <w:bottom w:val="outset" w:sz="6" w:space="0" w:color="414142"/>
              <w:right w:val="outset" w:sz="6" w:space="0" w:color="414142"/>
            </w:tcBorders>
            <w:hideMark/>
          </w:tcPr>
          <w:p w:rsidR="00F10092" w:rsidRPr="00A7677E" w:rsidRDefault="00F10092" w:rsidP="00633342">
            <w:pPr>
              <w:spacing w:after="0" w:line="240" w:lineRule="auto"/>
              <w:jc w:val="both"/>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Finanšu ministrija.</w:t>
            </w:r>
          </w:p>
        </w:tc>
      </w:tr>
      <w:tr w:rsidR="00F10092" w:rsidRPr="00A7677E" w:rsidTr="00633342">
        <w:trPr>
          <w:trHeight w:val="372"/>
          <w:jc w:val="center"/>
        </w:trPr>
        <w:tc>
          <w:tcPr>
            <w:tcW w:w="230" w:type="pct"/>
            <w:tcBorders>
              <w:top w:val="outset" w:sz="6" w:space="0" w:color="414142"/>
              <w:left w:val="outset" w:sz="6" w:space="0" w:color="414142"/>
              <w:bottom w:val="outset" w:sz="6" w:space="0" w:color="414142"/>
              <w:right w:val="outset" w:sz="6" w:space="0" w:color="414142"/>
            </w:tcBorders>
            <w:hideMark/>
          </w:tcPr>
          <w:p w:rsidR="00F10092" w:rsidRPr="00A7677E" w:rsidRDefault="00F10092" w:rsidP="00633342">
            <w:pPr>
              <w:spacing w:after="0" w:line="240" w:lineRule="auto"/>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3.</w:t>
            </w:r>
          </w:p>
        </w:tc>
        <w:tc>
          <w:tcPr>
            <w:tcW w:w="1564" w:type="pct"/>
            <w:tcBorders>
              <w:top w:val="outset" w:sz="6" w:space="0" w:color="414142"/>
              <w:left w:val="outset" w:sz="6" w:space="0" w:color="414142"/>
              <w:bottom w:val="outset" w:sz="6" w:space="0" w:color="414142"/>
              <w:right w:val="outset" w:sz="6" w:space="0" w:color="414142"/>
            </w:tcBorders>
            <w:hideMark/>
          </w:tcPr>
          <w:p w:rsidR="00F10092" w:rsidRPr="00A7677E" w:rsidRDefault="00F10092" w:rsidP="00633342">
            <w:pPr>
              <w:spacing w:after="0" w:line="240" w:lineRule="auto"/>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Cita informācija</w:t>
            </w:r>
          </w:p>
        </w:tc>
        <w:tc>
          <w:tcPr>
            <w:tcW w:w="3206" w:type="pct"/>
            <w:tcBorders>
              <w:top w:val="outset" w:sz="6" w:space="0" w:color="414142"/>
              <w:left w:val="outset" w:sz="6" w:space="0" w:color="414142"/>
              <w:bottom w:val="outset" w:sz="6" w:space="0" w:color="414142"/>
              <w:right w:val="outset" w:sz="6" w:space="0" w:color="414142"/>
            </w:tcBorders>
            <w:hideMark/>
          </w:tcPr>
          <w:p w:rsidR="00F10092" w:rsidRPr="00A7677E" w:rsidRDefault="00F10092" w:rsidP="00633342">
            <w:pPr>
              <w:tabs>
                <w:tab w:val="center" w:pos="0"/>
                <w:tab w:val="right" w:pos="9360"/>
              </w:tabs>
              <w:spacing w:after="0" w:line="240" w:lineRule="auto"/>
              <w:jc w:val="both"/>
              <w:rPr>
                <w:rFonts w:ascii="Times New Roman" w:hAnsi="Times New Roman" w:cs="Times New Roman"/>
                <w:sz w:val="24"/>
                <w:szCs w:val="24"/>
              </w:rPr>
            </w:pPr>
            <w:r w:rsidRPr="00A7677E">
              <w:rPr>
                <w:rFonts w:ascii="Times New Roman" w:hAnsi="Times New Roman" w:cs="Times New Roman"/>
                <w:sz w:val="24"/>
                <w:szCs w:val="24"/>
              </w:rPr>
              <w:t>Nav.</w:t>
            </w:r>
          </w:p>
        </w:tc>
      </w:tr>
    </w:tbl>
    <w:p w:rsidR="00F10092" w:rsidRPr="00A7677E" w:rsidRDefault="00F10092" w:rsidP="000C7369">
      <w:pPr>
        <w:shd w:val="clear" w:color="auto" w:fill="FFFFFF"/>
        <w:spacing w:after="0" w:line="240" w:lineRule="auto"/>
        <w:ind w:firstLine="301"/>
        <w:rPr>
          <w:rFonts w:ascii="Times New Roman" w:eastAsia="Times New Roman" w:hAnsi="Times New Roman" w:cs="Times New Roman"/>
          <w:sz w:val="24"/>
          <w:szCs w:val="24"/>
          <w:lang w:eastAsia="lv-LV"/>
        </w:rPr>
      </w:pPr>
    </w:p>
    <w:p w:rsidR="000C7369" w:rsidRPr="00A7677E" w:rsidRDefault="000C7369" w:rsidP="000C7369">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0C7369" w:rsidRPr="00A7677E" w:rsidTr="000C26C3">
        <w:tc>
          <w:tcPr>
            <w:tcW w:w="5000" w:type="pct"/>
            <w:tcBorders>
              <w:top w:val="outset" w:sz="6" w:space="0" w:color="414142"/>
              <w:left w:val="outset" w:sz="6" w:space="0" w:color="414142"/>
              <w:bottom w:val="outset" w:sz="6" w:space="0" w:color="414142"/>
              <w:right w:val="outset" w:sz="6" w:space="0" w:color="414142"/>
            </w:tcBorders>
            <w:vAlign w:val="center"/>
            <w:hideMark/>
          </w:tcPr>
          <w:p w:rsidR="000C7369" w:rsidRPr="00A7677E" w:rsidRDefault="000C7369" w:rsidP="000C26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7677E">
              <w:rPr>
                <w:rFonts w:ascii="Times New Roman" w:eastAsia="Times New Roman" w:hAnsi="Times New Roman" w:cs="Times New Roman"/>
                <w:b/>
                <w:bCs/>
                <w:sz w:val="24"/>
                <w:szCs w:val="24"/>
                <w:lang w:eastAsia="lv-LV"/>
              </w:rPr>
              <w:t>V. Tiesību akta projekta atbilstība Latvijas Republikas starptautiskajām saistībām</w:t>
            </w:r>
          </w:p>
        </w:tc>
      </w:tr>
      <w:tr w:rsidR="000C7369" w:rsidRPr="00A7677E" w:rsidTr="000C26C3">
        <w:tc>
          <w:tcPr>
            <w:tcW w:w="5000" w:type="pct"/>
            <w:tcBorders>
              <w:top w:val="outset" w:sz="6" w:space="0" w:color="414142"/>
              <w:left w:val="outset" w:sz="6" w:space="0" w:color="414142"/>
              <w:bottom w:val="outset" w:sz="6" w:space="0" w:color="414142"/>
              <w:right w:val="outset" w:sz="6" w:space="0" w:color="414142"/>
            </w:tcBorders>
          </w:tcPr>
          <w:p w:rsidR="000C7369" w:rsidRPr="00A7677E" w:rsidRDefault="000C7369" w:rsidP="000C26C3">
            <w:pPr>
              <w:spacing w:after="0" w:line="240" w:lineRule="auto"/>
              <w:jc w:val="center"/>
              <w:rPr>
                <w:rFonts w:ascii="Times New Roman" w:eastAsia="Times New Roman" w:hAnsi="Times New Roman" w:cs="Times New Roman"/>
                <w:sz w:val="24"/>
                <w:szCs w:val="24"/>
                <w:lang w:eastAsia="lv-LV"/>
              </w:rPr>
            </w:pPr>
            <w:r w:rsidRPr="00A7677E">
              <w:rPr>
                <w:rFonts w:ascii="Times New Roman" w:hAnsi="Times New Roman" w:cs="Times New Roman"/>
                <w:sz w:val="24"/>
                <w:szCs w:val="24"/>
              </w:rPr>
              <w:t>Likumprojekts šo jomu neskar</w:t>
            </w:r>
          </w:p>
        </w:tc>
      </w:tr>
    </w:tbl>
    <w:p w:rsidR="000C7369" w:rsidRPr="00A7677E" w:rsidRDefault="000C7369" w:rsidP="000C7369">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736"/>
        <w:gridCol w:w="5927"/>
      </w:tblGrid>
      <w:tr w:rsidR="000C7369" w:rsidRPr="00A7677E" w:rsidTr="000C26C3">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C7369" w:rsidRPr="00A7677E" w:rsidRDefault="000C7369" w:rsidP="000C26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7677E">
              <w:rPr>
                <w:rFonts w:ascii="Times New Roman" w:eastAsia="Times New Roman" w:hAnsi="Times New Roman" w:cs="Times New Roman"/>
                <w:b/>
                <w:bCs/>
                <w:sz w:val="24"/>
                <w:szCs w:val="24"/>
                <w:lang w:eastAsia="lv-LV"/>
              </w:rPr>
              <w:t>VI. Sabiedrības līdzdalība un komunikācijas aktivitātes</w:t>
            </w:r>
          </w:p>
        </w:tc>
      </w:tr>
      <w:tr w:rsidR="000C7369" w:rsidRPr="00A7677E" w:rsidTr="000C26C3">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jc w:val="center"/>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0C7369" w:rsidRPr="00A7677E" w:rsidRDefault="00C409AC" w:rsidP="00185998">
            <w:pPr>
              <w:spacing w:after="0" w:line="240" w:lineRule="auto"/>
              <w:jc w:val="both"/>
              <w:rPr>
                <w:rFonts w:ascii="Times New Roman" w:hAnsi="Times New Roman" w:cs="Times New Roman"/>
                <w:sz w:val="24"/>
                <w:szCs w:val="24"/>
                <w:lang w:eastAsia="lv-LV"/>
              </w:rPr>
            </w:pPr>
            <w:r w:rsidRPr="00A7677E">
              <w:rPr>
                <w:rFonts w:ascii="Times New Roman" w:hAnsi="Times New Roman" w:cs="Times New Roman"/>
                <w:sz w:val="24"/>
                <w:szCs w:val="24"/>
              </w:rPr>
              <w:t>Likumprojekts izstrādāts, pamatojoties uz Ministru kabineta 2019.gada 5.februāra sēdes protokollēmuma (prot. Nr.5 30.§) “Informatīvais ziņojums “Par makroekonomisko rādītāju, ieņēmumu un vispārējās valdības budžeta bilances prognozēm 2019.-2021.gadā”” 8.2.apakšpunktā doto uzdevumu.</w:t>
            </w:r>
          </w:p>
        </w:tc>
      </w:tr>
      <w:tr w:rsidR="000C7369" w:rsidRPr="00A7677E" w:rsidTr="000C26C3">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jc w:val="center"/>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7D6EDD">
            <w:pPr>
              <w:spacing w:after="0" w:line="240" w:lineRule="auto"/>
              <w:jc w:val="both"/>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 xml:space="preserve">Sabiedrības pārstāvji par likumprojektu var sniegt savu viedokli </w:t>
            </w:r>
            <w:r w:rsidRPr="00A7677E">
              <w:rPr>
                <w:rFonts w:ascii="Times New Roman" w:hAnsi="Times New Roman" w:cs="Times New Roman"/>
                <w:bCs/>
                <w:color w:val="000000" w:themeColor="text1"/>
                <w:sz w:val="24"/>
                <w:szCs w:val="24"/>
              </w:rPr>
              <w:t>gadskārtējā valsts budžeta likumprojekta izskatīšanas procesā</w:t>
            </w:r>
            <w:r w:rsidR="007D6EDD">
              <w:rPr>
                <w:rFonts w:ascii="Times New Roman" w:hAnsi="Times New Roman" w:cs="Times New Roman"/>
                <w:bCs/>
                <w:color w:val="000000" w:themeColor="text1"/>
                <w:sz w:val="24"/>
                <w:szCs w:val="24"/>
              </w:rPr>
              <w:t>,</w:t>
            </w:r>
            <w:r w:rsidR="007D6EDD" w:rsidRPr="00A7677E">
              <w:rPr>
                <w:rFonts w:ascii="Times New Roman" w:hAnsi="Times New Roman" w:cs="Times New Roman"/>
                <w:iCs/>
                <w:spacing w:val="-2"/>
                <w:sz w:val="24"/>
                <w:szCs w:val="24"/>
              </w:rPr>
              <w:t xml:space="preserve"> rakstveidā sniedzot viedokļus</w:t>
            </w:r>
            <w:r w:rsidR="007D6EDD">
              <w:rPr>
                <w:rFonts w:ascii="Times New Roman" w:hAnsi="Times New Roman" w:cs="Times New Roman"/>
                <w:iCs/>
                <w:spacing w:val="-2"/>
                <w:sz w:val="24"/>
                <w:szCs w:val="24"/>
              </w:rPr>
              <w:t>.</w:t>
            </w:r>
          </w:p>
        </w:tc>
      </w:tr>
      <w:tr w:rsidR="000C7369" w:rsidRPr="00A7677E" w:rsidTr="000C26C3">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jc w:val="center"/>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0C7369" w:rsidRPr="00A7677E" w:rsidRDefault="007D6EDD" w:rsidP="007D6EDD">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iCs/>
                <w:spacing w:val="-2"/>
                <w:sz w:val="24"/>
                <w:szCs w:val="24"/>
              </w:rPr>
              <w:t>Iebildumi un priekšlikumi nav saņemti.</w:t>
            </w:r>
          </w:p>
        </w:tc>
      </w:tr>
      <w:tr w:rsidR="000C7369" w:rsidRPr="00A7677E" w:rsidTr="000C26C3">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jc w:val="center"/>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Nav.</w:t>
            </w:r>
          </w:p>
        </w:tc>
      </w:tr>
    </w:tbl>
    <w:p w:rsidR="000C7369" w:rsidRPr="00A7677E" w:rsidRDefault="000C7369" w:rsidP="000C7369">
      <w:pPr>
        <w:shd w:val="clear" w:color="auto" w:fill="FFFFFF"/>
        <w:spacing w:after="0" w:line="240" w:lineRule="auto"/>
        <w:ind w:firstLine="301"/>
        <w:rPr>
          <w:rFonts w:ascii="Times New Roman" w:eastAsia="Times New Roman" w:hAnsi="Times New Roman" w:cs="Times New Roman"/>
          <w:sz w:val="24"/>
          <w:szCs w:val="24"/>
          <w:lang w:eastAsia="lv-LV"/>
        </w:rPr>
      </w:pPr>
    </w:p>
    <w:p w:rsidR="000C7369" w:rsidRPr="00A7677E" w:rsidRDefault="000C7369" w:rsidP="000C7369">
      <w:pPr>
        <w:shd w:val="clear" w:color="auto" w:fill="FFFFFF"/>
        <w:spacing w:after="0" w:line="240" w:lineRule="auto"/>
        <w:ind w:firstLine="301"/>
        <w:rPr>
          <w:rFonts w:ascii="Times New Roman" w:eastAsia="Times New Roman" w:hAnsi="Times New Roman" w:cs="Times New Roman"/>
          <w:sz w:val="24"/>
          <w:szCs w:val="24"/>
          <w:lang w:eastAsia="lv-LV"/>
        </w:rPr>
      </w:pPr>
    </w:p>
    <w:p w:rsidR="000C7369" w:rsidRPr="00A7677E" w:rsidRDefault="000C7369" w:rsidP="000C7369">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0C7369" w:rsidRPr="00A7677E" w:rsidTr="000C26C3">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C7369" w:rsidRPr="00A7677E" w:rsidRDefault="000C7369" w:rsidP="000C26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7677E">
              <w:rPr>
                <w:rFonts w:ascii="Times New Roman" w:eastAsia="Times New Roman" w:hAnsi="Times New Roman" w:cs="Times New Roman"/>
                <w:b/>
                <w:bCs/>
                <w:sz w:val="24"/>
                <w:szCs w:val="24"/>
                <w:lang w:eastAsia="lv-LV"/>
              </w:rPr>
              <w:t>VII. Tiesību akta projekta izpildes nodrošināšana un tās ietekme uz institūcijām</w:t>
            </w:r>
          </w:p>
        </w:tc>
      </w:tr>
      <w:tr w:rsidR="000C7369" w:rsidRPr="00A7677E" w:rsidTr="000C26C3">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jc w:val="center"/>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6C2BCB">
            <w:pPr>
              <w:spacing w:after="0" w:line="240" w:lineRule="auto"/>
              <w:jc w:val="both"/>
              <w:rPr>
                <w:rFonts w:ascii="Times New Roman" w:eastAsia="Times New Roman" w:hAnsi="Times New Roman" w:cs="Times New Roman"/>
                <w:sz w:val="24"/>
                <w:szCs w:val="24"/>
                <w:lang w:eastAsia="lv-LV"/>
              </w:rPr>
            </w:pPr>
            <w:r w:rsidRPr="00A7677E">
              <w:rPr>
                <w:rFonts w:ascii="Times New Roman" w:hAnsi="Times New Roman" w:cs="Times New Roman"/>
                <w:sz w:val="24"/>
                <w:szCs w:val="24"/>
              </w:rPr>
              <w:t>Izložu un azartspēļu uzraudzības inspekcija</w:t>
            </w:r>
            <w:r w:rsidR="006C2BCB" w:rsidRPr="00A7677E">
              <w:rPr>
                <w:rFonts w:ascii="Times New Roman" w:eastAsia="Times New Roman" w:hAnsi="Times New Roman" w:cs="Times New Roman"/>
                <w:sz w:val="24"/>
                <w:szCs w:val="24"/>
                <w:lang w:eastAsia="lv-LV"/>
              </w:rPr>
              <w:t>.</w:t>
            </w:r>
          </w:p>
        </w:tc>
      </w:tr>
      <w:tr w:rsidR="000C7369" w:rsidRPr="00A7677E" w:rsidTr="000C26C3">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jc w:val="center"/>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Projekta izpildes ietekme uz pārvaldes funkcijām un institucionālo struktūru.</w:t>
            </w:r>
          </w:p>
          <w:p w:rsidR="000C7369" w:rsidRPr="00A7677E" w:rsidRDefault="000C7369" w:rsidP="000C26C3">
            <w:pPr>
              <w:spacing w:before="100" w:beforeAutospacing="1" w:after="100" w:afterAutospacing="1" w:line="293" w:lineRule="atLeast"/>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lastRenderedPageBreak/>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6C2BCB">
            <w:pPr>
              <w:spacing w:before="100" w:beforeAutospacing="1" w:after="0" w:line="240" w:lineRule="auto"/>
              <w:jc w:val="both"/>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lastRenderedPageBreak/>
              <w:t xml:space="preserve">Likumprojektā paredzēto tiesisko regulējumu nodrošinās </w:t>
            </w:r>
            <w:r w:rsidRPr="00A7677E">
              <w:rPr>
                <w:rFonts w:ascii="Times New Roman" w:hAnsi="Times New Roman" w:cs="Times New Roman"/>
                <w:sz w:val="24"/>
                <w:szCs w:val="24"/>
              </w:rPr>
              <w:t>Izložu un azartspēļu uzraudzības inspekcija</w:t>
            </w:r>
            <w:r w:rsidRPr="00A7677E">
              <w:rPr>
                <w:rFonts w:ascii="Times New Roman" w:eastAsia="Times New Roman" w:hAnsi="Times New Roman" w:cs="Times New Roman"/>
                <w:sz w:val="24"/>
                <w:szCs w:val="24"/>
                <w:lang w:eastAsia="lv-LV"/>
              </w:rPr>
              <w:t xml:space="preserve"> savu funkciju ietvaros. Jaunas institūcijas netiks veidotas, kā arī esošās institūcijas netiks </w:t>
            </w:r>
            <w:r w:rsidRPr="00A7677E">
              <w:rPr>
                <w:rFonts w:ascii="Times New Roman" w:eastAsia="Times New Roman" w:hAnsi="Times New Roman" w:cs="Times New Roman"/>
                <w:sz w:val="24"/>
                <w:szCs w:val="24"/>
                <w:lang w:eastAsia="lv-LV"/>
              </w:rPr>
              <w:lastRenderedPageBreak/>
              <w:t>likvidētas vai reorganizētas. Ar likumprojektu noteiktā funkcija tiks īstenota esošo cilvēkresursu  un finansējuma ietvaros.</w:t>
            </w:r>
          </w:p>
        </w:tc>
      </w:tr>
      <w:tr w:rsidR="000C7369" w:rsidRPr="00A7677E" w:rsidTr="000C26C3">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jc w:val="center"/>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Nav.</w:t>
            </w:r>
          </w:p>
        </w:tc>
      </w:tr>
    </w:tbl>
    <w:p w:rsidR="000C7369" w:rsidRPr="00A7677E" w:rsidRDefault="000C7369" w:rsidP="000C7369">
      <w:pPr>
        <w:spacing w:after="0" w:line="240" w:lineRule="auto"/>
        <w:rPr>
          <w:rFonts w:ascii="Times New Roman" w:hAnsi="Times New Roman" w:cs="Times New Roman"/>
          <w:sz w:val="26"/>
          <w:szCs w:val="26"/>
        </w:rPr>
      </w:pPr>
    </w:p>
    <w:p w:rsidR="000C7369" w:rsidRPr="00A7677E" w:rsidRDefault="000C7369" w:rsidP="000C7369">
      <w:pPr>
        <w:spacing w:after="0" w:line="240" w:lineRule="auto"/>
        <w:rPr>
          <w:rFonts w:ascii="Times New Roman" w:hAnsi="Times New Roman" w:cs="Times New Roman"/>
          <w:sz w:val="26"/>
          <w:szCs w:val="26"/>
        </w:rPr>
      </w:pPr>
    </w:p>
    <w:p w:rsidR="000C7369" w:rsidRPr="00A7677E" w:rsidRDefault="000C7369" w:rsidP="000C7369">
      <w:pPr>
        <w:tabs>
          <w:tab w:val="right" w:pos="9071"/>
        </w:tabs>
        <w:spacing w:after="0" w:line="240" w:lineRule="auto"/>
        <w:rPr>
          <w:rFonts w:ascii="Times New Roman" w:hAnsi="Times New Roman" w:cs="Times New Roman"/>
          <w:sz w:val="24"/>
          <w:szCs w:val="24"/>
        </w:rPr>
      </w:pPr>
      <w:r w:rsidRPr="00A7677E">
        <w:rPr>
          <w:rFonts w:ascii="Times New Roman" w:hAnsi="Times New Roman" w:cs="Times New Roman"/>
          <w:sz w:val="24"/>
          <w:szCs w:val="24"/>
        </w:rPr>
        <w:t>Finanšu ministrs</w:t>
      </w:r>
      <w:r w:rsidRPr="00A7677E">
        <w:rPr>
          <w:rFonts w:ascii="Times New Roman" w:hAnsi="Times New Roman" w:cs="Times New Roman"/>
          <w:sz w:val="24"/>
          <w:szCs w:val="24"/>
        </w:rPr>
        <w:tab/>
        <w:t>J.Reirs</w:t>
      </w:r>
    </w:p>
    <w:p w:rsidR="000C7369" w:rsidRPr="00A7677E" w:rsidRDefault="000C7369" w:rsidP="000C7369">
      <w:pPr>
        <w:spacing w:after="0" w:line="240" w:lineRule="auto"/>
        <w:ind w:firstLine="720"/>
        <w:rPr>
          <w:rFonts w:ascii="Times New Roman" w:hAnsi="Times New Roman" w:cs="Times New Roman"/>
          <w:sz w:val="24"/>
          <w:szCs w:val="24"/>
        </w:rPr>
      </w:pPr>
    </w:p>
    <w:p w:rsidR="000C7369" w:rsidRPr="00A7677E" w:rsidRDefault="000C7369" w:rsidP="000C7369">
      <w:pPr>
        <w:spacing w:after="0" w:line="240" w:lineRule="auto"/>
        <w:ind w:firstLine="720"/>
        <w:rPr>
          <w:rFonts w:ascii="Times New Roman" w:hAnsi="Times New Roman" w:cs="Times New Roman"/>
          <w:sz w:val="24"/>
          <w:szCs w:val="24"/>
        </w:rPr>
      </w:pPr>
    </w:p>
    <w:p w:rsidR="000C7369" w:rsidRPr="00A7677E" w:rsidRDefault="000C7369" w:rsidP="000C7369">
      <w:pPr>
        <w:spacing w:after="0" w:line="240" w:lineRule="auto"/>
        <w:ind w:firstLine="720"/>
        <w:rPr>
          <w:rFonts w:ascii="Times New Roman" w:hAnsi="Times New Roman" w:cs="Times New Roman"/>
          <w:sz w:val="26"/>
          <w:szCs w:val="26"/>
        </w:rPr>
      </w:pPr>
    </w:p>
    <w:p w:rsidR="000C7369" w:rsidRPr="00A7677E" w:rsidRDefault="000C7369" w:rsidP="000C7369">
      <w:pPr>
        <w:spacing w:after="0" w:line="240" w:lineRule="auto"/>
        <w:ind w:firstLine="720"/>
        <w:rPr>
          <w:rFonts w:ascii="Times New Roman" w:hAnsi="Times New Roman" w:cs="Times New Roman"/>
          <w:sz w:val="26"/>
          <w:szCs w:val="26"/>
        </w:rPr>
      </w:pPr>
    </w:p>
    <w:p w:rsidR="000C7369" w:rsidRPr="00A7677E" w:rsidRDefault="000C7369" w:rsidP="000C7369">
      <w:pPr>
        <w:spacing w:after="0" w:line="240" w:lineRule="auto"/>
        <w:ind w:firstLine="720"/>
        <w:rPr>
          <w:rFonts w:ascii="Times New Roman" w:hAnsi="Times New Roman" w:cs="Times New Roman"/>
          <w:sz w:val="26"/>
          <w:szCs w:val="26"/>
        </w:rPr>
      </w:pPr>
    </w:p>
    <w:p w:rsidR="000C7369" w:rsidRPr="00A7677E" w:rsidRDefault="000C7369" w:rsidP="000C7369">
      <w:pPr>
        <w:spacing w:after="0" w:line="240" w:lineRule="auto"/>
        <w:ind w:firstLine="720"/>
        <w:rPr>
          <w:rFonts w:ascii="Times New Roman" w:hAnsi="Times New Roman" w:cs="Times New Roman"/>
          <w:sz w:val="26"/>
          <w:szCs w:val="26"/>
        </w:rPr>
      </w:pPr>
    </w:p>
    <w:p w:rsidR="000C7369" w:rsidRPr="00A7677E" w:rsidRDefault="000C7369" w:rsidP="000C7369">
      <w:pPr>
        <w:spacing w:after="0" w:line="240" w:lineRule="auto"/>
        <w:rPr>
          <w:rFonts w:ascii="Times New Roman" w:hAnsi="Times New Roman" w:cs="Times New Roman"/>
          <w:sz w:val="20"/>
          <w:szCs w:val="20"/>
        </w:rPr>
      </w:pPr>
      <w:r w:rsidRPr="00A7677E">
        <w:rPr>
          <w:rFonts w:ascii="Times New Roman" w:hAnsi="Times New Roman" w:cs="Times New Roman"/>
          <w:sz w:val="20"/>
          <w:szCs w:val="20"/>
        </w:rPr>
        <w:t>Lukšo 67095522</w:t>
      </w:r>
    </w:p>
    <w:p w:rsidR="000C7369" w:rsidRPr="00A7677E" w:rsidRDefault="000C7369" w:rsidP="000C7369">
      <w:pPr>
        <w:spacing w:after="0" w:line="240" w:lineRule="auto"/>
        <w:rPr>
          <w:rFonts w:ascii="Times New Roman" w:hAnsi="Times New Roman" w:cs="Times New Roman"/>
          <w:sz w:val="20"/>
          <w:szCs w:val="20"/>
        </w:rPr>
      </w:pPr>
      <w:r w:rsidRPr="00A7677E">
        <w:rPr>
          <w:rFonts w:ascii="Times New Roman" w:hAnsi="Times New Roman" w:cs="Times New Roman"/>
          <w:sz w:val="20"/>
          <w:szCs w:val="20"/>
        </w:rPr>
        <w:t>Irita.Lukso@fm.gov.lv</w:t>
      </w:r>
    </w:p>
    <w:p w:rsidR="000C7369" w:rsidRPr="00A7677E" w:rsidRDefault="000C7369" w:rsidP="000C7369">
      <w:pPr>
        <w:tabs>
          <w:tab w:val="left" w:pos="6237"/>
        </w:tabs>
        <w:spacing w:after="0" w:line="240" w:lineRule="auto"/>
        <w:rPr>
          <w:rFonts w:ascii="Times New Roman" w:hAnsi="Times New Roman" w:cs="Times New Roman"/>
          <w:sz w:val="20"/>
          <w:szCs w:val="20"/>
        </w:rPr>
      </w:pPr>
      <w:r w:rsidRPr="00A7677E">
        <w:rPr>
          <w:rFonts w:ascii="Times New Roman" w:hAnsi="Times New Roman" w:cs="Times New Roman"/>
          <w:sz w:val="20"/>
          <w:szCs w:val="20"/>
        </w:rPr>
        <w:t>Trenko 67083983</w:t>
      </w:r>
    </w:p>
    <w:p w:rsidR="000C7369" w:rsidRPr="00A7677E" w:rsidRDefault="000C7369" w:rsidP="000C7369">
      <w:pPr>
        <w:tabs>
          <w:tab w:val="left" w:pos="6237"/>
        </w:tabs>
        <w:spacing w:after="0" w:line="240" w:lineRule="auto"/>
        <w:rPr>
          <w:rFonts w:ascii="Times New Roman" w:hAnsi="Times New Roman" w:cs="Times New Roman"/>
          <w:sz w:val="20"/>
          <w:szCs w:val="20"/>
        </w:rPr>
      </w:pPr>
      <w:r w:rsidRPr="00A7677E">
        <w:rPr>
          <w:rFonts w:ascii="Times New Roman" w:hAnsi="Times New Roman" w:cs="Times New Roman"/>
          <w:sz w:val="20"/>
          <w:szCs w:val="20"/>
        </w:rPr>
        <w:t>Tatjana.Trenko@fm.gov.lv</w:t>
      </w:r>
    </w:p>
    <w:p w:rsidR="000C7369" w:rsidRPr="00A7677E" w:rsidRDefault="000C7369" w:rsidP="000C7369"/>
    <w:p w:rsidR="00247B1E" w:rsidRPr="00A7677E" w:rsidRDefault="00247B1E"/>
    <w:sectPr w:rsidR="00247B1E" w:rsidRPr="00A7677E" w:rsidSect="00312A0F">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99C" w:rsidRDefault="00DF599C" w:rsidP="000C7369">
      <w:pPr>
        <w:spacing w:after="0" w:line="240" w:lineRule="auto"/>
      </w:pPr>
      <w:r>
        <w:separator/>
      </w:r>
    </w:p>
  </w:endnote>
  <w:endnote w:type="continuationSeparator" w:id="0">
    <w:p w:rsidR="00DF599C" w:rsidRDefault="00DF599C" w:rsidP="000C7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B8D" w:rsidRPr="00FC3F6B" w:rsidRDefault="000C7369" w:rsidP="00FC3F6B">
    <w:pPr>
      <w:pStyle w:val="Footer"/>
      <w:rPr>
        <w:rFonts w:ascii="Times New Roman" w:hAnsi="Times New Roman" w:cs="Times New Roman"/>
        <w:sz w:val="20"/>
        <w:szCs w:val="20"/>
      </w:rPr>
    </w:pPr>
    <w:r w:rsidRPr="00FC3F6B">
      <w:rPr>
        <w:rFonts w:ascii="Times New Roman" w:hAnsi="Times New Roman" w:cs="Times New Roman"/>
        <w:sz w:val="20"/>
        <w:szCs w:val="20"/>
      </w:rPr>
      <w:fldChar w:fldCharType="begin"/>
    </w:r>
    <w:r w:rsidRPr="00FC3F6B">
      <w:rPr>
        <w:rFonts w:ascii="Times New Roman" w:hAnsi="Times New Roman" w:cs="Times New Roman"/>
        <w:sz w:val="20"/>
        <w:szCs w:val="20"/>
      </w:rPr>
      <w:instrText xml:space="preserve"> FILENAME   \* MERGEFORMAT </w:instrText>
    </w:r>
    <w:r w:rsidRPr="00FC3F6B">
      <w:rPr>
        <w:rFonts w:ascii="Times New Roman" w:hAnsi="Times New Roman" w:cs="Times New Roman"/>
        <w:sz w:val="20"/>
        <w:szCs w:val="20"/>
      </w:rPr>
      <w:fldChar w:fldCharType="separate"/>
    </w:r>
    <w:r w:rsidR="00AD1976">
      <w:rPr>
        <w:rFonts w:ascii="Times New Roman" w:hAnsi="Times New Roman" w:cs="Times New Roman"/>
        <w:noProof/>
        <w:sz w:val="20"/>
        <w:szCs w:val="20"/>
      </w:rPr>
      <w:t>FMAnot_200219_LAPK.docx</w:t>
    </w:r>
    <w:r w:rsidRPr="00FC3F6B">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B8D" w:rsidRPr="00FC3F6B" w:rsidRDefault="000C7369" w:rsidP="00FC3F6B">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AD1976">
      <w:rPr>
        <w:rFonts w:ascii="Times New Roman" w:hAnsi="Times New Roman" w:cs="Times New Roman"/>
        <w:noProof/>
        <w:sz w:val="20"/>
        <w:szCs w:val="20"/>
      </w:rPr>
      <w:t>FMAnot_200219_LAPK.docx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99C" w:rsidRDefault="00DF599C" w:rsidP="000C7369">
      <w:pPr>
        <w:spacing w:after="0" w:line="240" w:lineRule="auto"/>
      </w:pPr>
      <w:r>
        <w:separator/>
      </w:r>
    </w:p>
  </w:footnote>
  <w:footnote w:type="continuationSeparator" w:id="0">
    <w:p w:rsidR="00DF599C" w:rsidRDefault="00DF599C" w:rsidP="000C7369">
      <w:pPr>
        <w:spacing w:after="0" w:line="240" w:lineRule="auto"/>
      </w:pPr>
      <w:r>
        <w:continuationSeparator/>
      </w:r>
    </w:p>
  </w:footnote>
  <w:footnote w:id="1">
    <w:p w:rsidR="00C80BEE" w:rsidRPr="003357E6" w:rsidRDefault="00C80BEE" w:rsidP="003357E6">
      <w:pPr>
        <w:pStyle w:val="FootnoteText"/>
        <w:jc w:val="both"/>
      </w:pPr>
      <w:r w:rsidRPr="003357E6">
        <w:rPr>
          <w:rStyle w:val="FootnoteReference"/>
        </w:rPr>
        <w:footnoteRef/>
      </w:r>
      <w:r w:rsidRPr="003357E6">
        <w:t xml:space="preserve"> Eiropas Komisijas 2013.gada 5.februāra darba dokuments “Ietekmes novērtēšana“, lpp.14. https://eur-lex.europa.eu/LexUriServ/LexUriServ.do?uri=SWD:2013:0021:FIN:EN:PDF</w:t>
      </w:r>
    </w:p>
  </w:footnote>
  <w:footnote w:id="2">
    <w:p w:rsidR="00C80BEE" w:rsidRPr="003357E6" w:rsidRDefault="00C80BEE" w:rsidP="003357E6">
      <w:pPr>
        <w:pStyle w:val="Footnote0"/>
        <w:shd w:val="clear" w:color="auto" w:fill="auto"/>
        <w:spacing w:line="350" w:lineRule="exact"/>
        <w:jc w:val="both"/>
        <w:rPr>
          <w:sz w:val="20"/>
          <w:szCs w:val="20"/>
        </w:rPr>
      </w:pPr>
      <w:r w:rsidRPr="003357E6">
        <w:rPr>
          <w:sz w:val="20"/>
          <w:szCs w:val="20"/>
          <w:vertAlign w:val="superscript"/>
        </w:rPr>
        <w:footnoteRef/>
      </w:r>
      <w:r w:rsidRPr="003357E6">
        <w:rPr>
          <w:sz w:val="20"/>
          <w:szCs w:val="20"/>
        </w:rPr>
        <w:t xml:space="preserve"> Roshler </w:t>
      </w:r>
      <w:r w:rsidRPr="003357E6">
        <w:rPr>
          <w:sz w:val="20"/>
          <w:szCs w:val="20"/>
          <w:lang w:val="de-DE" w:eastAsia="de-DE" w:bidi="de-DE"/>
        </w:rPr>
        <w:t xml:space="preserve">Carl (ed.), </w:t>
      </w:r>
      <w:r w:rsidRPr="003357E6">
        <w:rPr>
          <w:sz w:val="20"/>
          <w:szCs w:val="20"/>
        </w:rPr>
        <w:t>The Gambling Law Review, Law Bussines Research, 2016, 255.lpp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6D4B8D" w:rsidRPr="00C25B49" w:rsidRDefault="000C736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42AEE">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F4935"/>
    <w:multiLevelType w:val="hybridMultilevel"/>
    <w:tmpl w:val="112AFD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D393D1C"/>
    <w:multiLevelType w:val="hybridMultilevel"/>
    <w:tmpl w:val="D9BCA378"/>
    <w:lvl w:ilvl="0" w:tplc="0EB2FD6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C316769"/>
    <w:multiLevelType w:val="hybridMultilevel"/>
    <w:tmpl w:val="5686B8D0"/>
    <w:lvl w:ilvl="0" w:tplc="B53A1E3C">
      <w:start w:val="1"/>
      <w:numFmt w:val="decimal"/>
      <w:lvlText w:val="%1)"/>
      <w:lvlJc w:val="left"/>
      <w:pPr>
        <w:ind w:left="1070" w:hanging="360"/>
      </w:pPr>
      <w:rPr>
        <w:rFonts w:hint="default"/>
        <w:strike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369"/>
    <w:rsid w:val="00086DD7"/>
    <w:rsid w:val="000C4535"/>
    <w:rsid w:val="000C7369"/>
    <w:rsid w:val="000E3032"/>
    <w:rsid w:val="000F0D2D"/>
    <w:rsid w:val="000F32C5"/>
    <w:rsid w:val="00111C00"/>
    <w:rsid w:val="001454BC"/>
    <w:rsid w:val="001633AE"/>
    <w:rsid w:val="00174488"/>
    <w:rsid w:val="001840CC"/>
    <w:rsid w:val="00185998"/>
    <w:rsid w:val="00187C15"/>
    <w:rsid w:val="001B7CB3"/>
    <w:rsid w:val="001D5D0E"/>
    <w:rsid w:val="00247B1E"/>
    <w:rsid w:val="0025192E"/>
    <w:rsid w:val="00253184"/>
    <w:rsid w:val="00273172"/>
    <w:rsid w:val="002C5D6D"/>
    <w:rsid w:val="002F7A04"/>
    <w:rsid w:val="00306526"/>
    <w:rsid w:val="003112BF"/>
    <w:rsid w:val="003357E6"/>
    <w:rsid w:val="0035129E"/>
    <w:rsid w:val="003D0135"/>
    <w:rsid w:val="003E0D88"/>
    <w:rsid w:val="00413C86"/>
    <w:rsid w:val="00425355"/>
    <w:rsid w:val="004D6F64"/>
    <w:rsid w:val="00501D91"/>
    <w:rsid w:val="00520828"/>
    <w:rsid w:val="00577620"/>
    <w:rsid w:val="00582048"/>
    <w:rsid w:val="005D1E2D"/>
    <w:rsid w:val="005D3542"/>
    <w:rsid w:val="0061329F"/>
    <w:rsid w:val="00615EBB"/>
    <w:rsid w:val="0062306F"/>
    <w:rsid w:val="0062672B"/>
    <w:rsid w:val="00636A04"/>
    <w:rsid w:val="00646D69"/>
    <w:rsid w:val="00664C23"/>
    <w:rsid w:val="00686EE8"/>
    <w:rsid w:val="006C2BCB"/>
    <w:rsid w:val="006C323B"/>
    <w:rsid w:val="006D6073"/>
    <w:rsid w:val="00702107"/>
    <w:rsid w:val="00735A0D"/>
    <w:rsid w:val="00746381"/>
    <w:rsid w:val="00776024"/>
    <w:rsid w:val="007B05DD"/>
    <w:rsid w:val="007B728B"/>
    <w:rsid w:val="007D6EDD"/>
    <w:rsid w:val="0080077D"/>
    <w:rsid w:val="00810537"/>
    <w:rsid w:val="008229B3"/>
    <w:rsid w:val="00850E9C"/>
    <w:rsid w:val="00870A6B"/>
    <w:rsid w:val="008A2867"/>
    <w:rsid w:val="008A3ADA"/>
    <w:rsid w:val="0091595B"/>
    <w:rsid w:val="0095488F"/>
    <w:rsid w:val="00971390"/>
    <w:rsid w:val="009B1BA2"/>
    <w:rsid w:val="00A15BDD"/>
    <w:rsid w:val="00A5495C"/>
    <w:rsid w:val="00A7677E"/>
    <w:rsid w:val="00A92F86"/>
    <w:rsid w:val="00AD1976"/>
    <w:rsid w:val="00B44AB2"/>
    <w:rsid w:val="00B838E4"/>
    <w:rsid w:val="00B91B37"/>
    <w:rsid w:val="00C409AC"/>
    <w:rsid w:val="00C53DB0"/>
    <w:rsid w:val="00C60634"/>
    <w:rsid w:val="00C74B26"/>
    <w:rsid w:val="00C776F2"/>
    <w:rsid w:val="00C80BEE"/>
    <w:rsid w:val="00CF0A93"/>
    <w:rsid w:val="00CF299E"/>
    <w:rsid w:val="00CF3386"/>
    <w:rsid w:val="00D323D7"/>
    <w:rsid w:val="00D55EE2"/>
    <w:rsid w:val="00DF599C"/>
    <w:rsid w:val="00E0334B"/>
    <w:rsid w:val="00E34D4D"/>
    <w:rsid w:val="00E42AEE"/>
    <w:rsid w:val="00E43A6D"/>
    <w:rsid w:val="00E517CB"/>
    <w:rsid w:val="00E81042"/>
    <w:rsid w:val="00E95B68"/>
    <w:rsid w:val="00EA44F7"/>
    <w:rsid w:val="00F04499"/>
    <w:rsid w:val="00F10092"/>
    <w:rsid w:val="00FB1245"/>
    <w:rsid w:val="00FC64CE"/>
    <w:rsid w:val="00FD0F3E"/>
    <w:rsid w:val="00FD65FD"/>
    <w:rsid w:val="00FE6E41"/>
    <w:rsid w:val="00FF53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6995"/>
  <w15:docId w15:val="{ED091FCF-3416-4A7A-9098-32D5B772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369"/>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3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7369"/>
    <w:rPr>
      <w:rFonts w:asciiTheme="minorHAnsi" w:hAnsiTheme="minorHAnsi"/>
      <w:sz w:val="22"/>
    </w:rPr>
  </w:style>
  <w:style w:type="paragraph" w:styleId="Footer">
    <w:name w:val="footer"/>
    <w:basedOn w:val="Normal"/>
    <w:link w:val="FooterChar"/>
    <w:uiPriority w:val="99"/>
    <w:unhideWhenUsed/>
    <w:rsid w:val="000C73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7369"/>
    <w:rPr>
      <w:rFonts w:asciiTheme="minorHAnsi" w:hAnsiTheme="minorHAnsi"/>
      <w:sz w:val="22"/>
    </w:rPr>
  </w:style>
  <w:style w:type="paragraph" w:styleId="FootnoteText">
    <w:name w:val="footnote text"/>
    <w:aliases w:val="Char Char Char Char Char Char Char Char Char Char Char Char,Footnote Char,Fußnote,Fußnote Char,Reference Rakstz. Char Char Char Char Char Char Char,Vēres teksts Char Char Char,Vēres teksts Char Char Char Char Char,ft,single space"/>
    <w:basedOn w:val="Normal"/>
    <w:link w:val="FootnoteTextChar"/>
    <w:uiPriority w:val="99"/>
    <w:qFormat/>
    <w:rsid w:val="000C7369"/>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Char Char Char Char Char Char Char Char Char Char Char Char Char,Footnote Char Char,Fußnote Char1,Fußnote Char Char,Reference Rakstz. Char Char Char Char Char Char Char Char,Vēres teksts Char Char Char Char,ft Char,single space Char"/>
    <w:basedOn w:val="DefaultParagraphFont"/>
    <w:link w:val="FootnoteText"/>
    <w:uiPriority w:val="99"/>
    <w:rsid w:val="000C7369"/>
    <w:rPr>
      <w:rFonts w:eastAsia="Times New Roman" w:cs="Times New Roman"/>
      <w:sz w:val="20"/>
      <w:szCs w:val="20"/>
      <w:lang w:eastAsia="lv-LV"/>
    </w:rPr>
  </w:style>
  <w:style w:type="character" w:styleId="FootnoteReference">
    <w:name w:val="footnote reference"/>
    <w:aliases w:val="Footnote Reference Number,Footnote symbol,Footnote Refernece,Footnote Reference Superscript,fr,ESPON Footnote No,ftref,Odwołanie przypisu,BVI fnr,Footnotes refss,SUPERS,Ref,de nota al pie,-E Fußnotenzeichen,Footnote reference number,E"/>
    <w:link w:val="CharCharCharChar"/>
    <w:uiPriority w:val="99"/>
    <w:qFormat/>
    <w:rsid w:val="000C7369"/>
    <w:rPr>
      <w:vertAlign w:val="superscript"/>
    </w:rPr>
  </w:style>
  <w:style w:type="paragraph" w:styleId="ListParagraph">
    <w:name w:val="List Paragraph"/>
    <w:aliases w:val="2,Strip,Saraksta rindkopa,Saraksta rindkopa1,Numbered Para 1,Dot pt,No Spacing1,List Paragraph Char Char Char,Indicator Text,List Paragraph1,Bullet 1,Bullet Points,MAIN CONTENT,IFCL - List Paragraph,List Paragraph12,OBC Bullet"/>
    <w:basedOn w:val="Normal"/>
    <w:link w:val="ListParagraphChar"/>
    <w:uiPriority w:val="34"/>
    <w:qFormat/>
    <w:rsid w:val="000C7369"/>
    <w:pPr>
      <w:spacing w:after="0" w:line="240" w:lineRule="auto"/>
      <w:ind w:left="720"/>
      <w:contextualSpacing/>
    </w:pPr>
    <w:rPr>
      <w:rFonts w:ascii="Times New Roman" w:eastAsia="Calibri" w:hAnsi="Times New Roman" w:cs="Times New Roman"/>
      <w:sz w:val="28"/>
      <w:szCs w:val="28"/>
      <w:lang w:val="en-GB"/>
    </w:rPr>
  </w:style>
  <w:style w:type="character" w:styleId="Hyperlink">
    <w:name w:val="Hyperlink"/>
    <w:basedOn w:val="DefaultParagraphFont"/>
    <w:uiPriority w:val="99"/>
    <w:unhideWhenUsed/>
    <w:rsid w:val="000C7369"/>
    <w:rPr>
      <w:color w:val="0000FF"/>
      <w:u w:val="single"/>
    </w:rPr>
  </w:style>
  <w:style w:type="character" w:customStyle="1" w:styleId="ListParagraphChar">
    <w:name w:val="List Paragraph Char"/>
    <w:aliases w:val="2 Char,Strip Char,Saraksta rindkopa Char,Saraksta rindkopa1 Char,Numbered Para 1 Char,Dot pt Char,No Spacing1 Char,List Paragraph Char Char Char Char,Indicator Text Char,List Paragraph1 Char,Bullet 1 Char,Bullet Points Char"/>
    <w:link w:val="ListParagraph"/>
    <w:uiPriority w:val="34"/>
    <w:qFormat/>
    <w:rsid w:val="000C7369"/>
    <w:rPr>
      <w:rFonts w:eastAsia="Calibri" w:cs="Times New Roman"/>
      <w:sz w:val="28"/>
      <w:szCs w:val="28"/>
      <w:lang w:val="en-GB"/>
    </w:rPr>
  </w:style>
  <w:style w:type="paragraph" w:customStyle="1" w:styleId="CharCharCharChar">
    <w:name w:val="Char Char Char Char"/>
    <w:aliases w:val="Char2"/>
    <w:basedOn w:val="Normal"/>
    <w:next w:val="Normal"/>
    <w:link w:val="FootnoteReference"/>
    <w:uiPriority w:val="99"/>
    <w:rsid w:val="000C7369"/>
    <w:pPr>
      <w:keepNext/>
      <w:keepLines/>
      <w:spacing w:before="120" w:line="240" w:lineRule="exact"/>
      <w:jc w:val="both"/>
      <w:outlineLvl w:val="0"/>
    </w:pPr>
    <w:rPr>
      <w:rFonts w:ascii="Times New Roman" w:hAnsi="Times New Roman"/>
      <w:sz w:val="24"/>
      <w:vertAlign w:val="superscript"/>
    </w:rPr>
  </w:style>
  <w:style w:type="paragraph" w:styleId="EndnoteText">
    <w:name w:val="endnote text"/>
    <w:basedOn w:val="Normal"/>
    <w:link w:val="EndnoteTextChar1"/>
    <w:uiPriority w:val="99"/>
    <w:unhideWhenUsed/>
    <w:rsid w:val="000C7369"/>
    <w:pPr>
      <w:spacing w:after="0" w:line="240" w:lineRule="auto"/>
    </w:pPr>
    <w:rPr>
      <w:rFonts w:ascii="Times New Roman" w:hAnsi="Times New Roman" w:cs="Times New Roman"/>
      <w:sz w:val="20"/>
      <w:szCs w:val="20"/>
      <w:lang w:val="en-US"/>
    </w:rPr>
  </w:style>
  <w:style w:type="character" w:customStyle="1" w:styleId="EndnoteTextChar">
    <w:name w:val="Endnote Text Char"/>
    <w:basedOn w:val="DefaultParagraphFont"/>
    <w:uiPriority w:val="99"/>
    <w:semiHidden/>
    <w:rsid w:val="000C7369"/>
    <w:rPr>
      <w:rFonts w:asciiTheme="minorHAnsi" w:hAnsiTheme="minorHAnsi"/>
      <w:sz w:val="20"/>
      <w:szCs w:val="20"/>
    </w:rPr>
  </w:style>
  <w:style w:type="character" w:customStyle="1" w:styleId="EndnoteTextChar1">
    <w:name w:val="Endnote Text Char1"/>
    <w:basedOn w:val="DefaultParagraphFont"/>
    <w:link w:val="EndnoteText"/>
    <w:uiPriority w:val="99"/>
    <w:rsid w:val="000C7369"/>
    <w:rPr>
      <w:rFonts w:cs="Times New Roman"/>
      <w:sz w:val="20"/>
      <w:szCs w:val="20"/>
      <w:lang w:val="en-US"/>
    </w:rPr>
  </w:style>
  <w:style w:type="paragraph" w:customStyle="1" w:styleId="naisf">
    <w:name w:val="naisf"/>
    <w:basedOn w:val="Normal"/>
    <w:rsid w:val="000C7369"/>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92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F86"/>
    <w:rPr>
      <w:rFonts w:ascii="Segoe UI" w:hAnsi="Segoe UI" w:cs="Segoe UI"/>
      <w:sz w:val="18"/>
      <w:szCs w:val="18"/>
    </w:rPr>
  </w:style>
  <w:style w:type="character" w:customStyle="1" w:styleId="Footnote">
    <w:name w:val="Footnote_"/>
    <w:basedOn w:val="DefaultParagraphFont"/>
    <w:link w:val="Footnote0"/>
    <w:rsid w:val="00C60634"/>
    <w:rPr>
      <w:rFonts w:eastAsia="Times New Roman" w:cs="Times New Roman"/>
      <w:b/>
      <w:bCs/>
      <w:sz w:val="18"/>
      <w:szCs w:val="18"/>
      <w:shd w:val="clear" w:color="auto" w:fill="FFFFFF"/>
      <w:lang w:val="en-US" w:bidi="en-US"/>
    </w:rPr>
  </w:style>
  <w:style w:type="paragraph" w:customStyle="1" w:styleId="Footnote0">
    <w:name w:val="Footnote"/>
    <w:basedOn w:val="Normal"/>
    <w:link w:val="Footnote"/>
    <w:rsid w:val="00C60634"/>
    <w:pPr>
      <w:widowControl w:val="0"/>
      <w:shd w:val="clear" w:color="auto" w:fill="FFFFFF"/>
      <w:spacing w:after="0" w:line="0" w:lineRule="atLeast"/>
    </w:pPr>
    <w:rPr>
      <w:rFonts w:ascii="Times New Roman" w:eastAsia="Times New Roman" w:hAnsi="Times New Roman" w:cs="Times New Roman"/>
      <w:b/>
      <w:bCs/>
      <w:sz w:val="18"/>
      <w:szCs w:val="18"/>
      <w:lang w:val="en-US" w:bidi="en-US"/>
    </w:rPr>
  </w:style>
  <w:style w:type="character" w:customStyle="1" w:styleId="Bodytext2">
    <w:name w:val="Body text (2)_"/>
    <w:basedOn w:val="DefaultParagraphFont"/>
    <w:link w:val="Bodytext20"/>
    <w:rsid w:val="00746381"/>
    <w:rPr>
      <w:rFonts w:eastAsia="Times New Roman" w:cs="Times New Roman"/>
      <w:b/>
      <w:bCs/>
      <w:sz w:val="22"/>
      <w:shd w:val="clear" w:color="auto" w:fill="FFFFFF"/>
    </w:rPr>
  </w:style>
  <w:style w:type="paragraph" w:customStyle="1" w:styleId="Bodytext20">
    <w:name w:val="Body text (2)"/>
    <w:basedOn w:val="Normal"/>
    <w:link w:val="Bodytext2"/>
    <w:rsid w:val="00746381"/>
    <w:pPr>
      <w:widowControl w:val="0"/>
      <w:shd w:val="clear" w:color="auto" w:fill="FFFFFF"/>
      <w:spacing w:after="0" w:line="274" w:lineRule="exact"/>
      <w:jc w:val="center"/>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F118E-7776-4FB6-B958-9495EDB6A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7075</Words>
  <Characters>4033</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Likumprojekta “Grozījumi Latvijas Administratīvo pārkāpumu kodeksā” sākotnējās ietekmes novērtējuma ziņojums (anotācija)</vt:lpstr>
    </vt:vector>
  </TitlesOfParts>
  <Company>Finanšu ministrija</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Latvijas Administratīvo pārkāpumu kodeksā” sākotnējās ietekmes novērtējuma ziņojums (anotācija)</dc:title>
  <dc:subject>Anotācija</dc:subject>
  <dc:creator>Irita Lukšo</dc:creator>
  <dc:description>Irita.Lukso@fm.gov.lv; tālr.67095522_x000d_
Tatjana.Trenko@fm.gov.lv; tālr.6708983</dc:description>
  <cp:lastModifiedBy>Jana Salmiņa</cp:lastModifiedBy>
  <cp:revision>36</cp:revision>
  <cp:lastPrinted>2019-02-25T07:38:00Z</cp:lastPrinted>
  <dcterms:created xsi:type="dcterms:W3CDTF">2019-02-22T04:11:00Z</dcterms:created>
  <dcterms:modified xsi:type="dcterms:W3CDTF">2019-02-25T11:51:00Z</dcterms:modified>
</cp:coreProperties>
</file>