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22005E" w:rsidRDefault="001E592D" w:rsidP="00894C55">
      <w:pPr>
        <w:shd w:val="clear" w:color="auto" w:fill="FFFFFF"/>
        <w:jc w:val="center"/>
        <w:rPr>
          <w:rFonts w:eastAsia="Times New Roman" w:cs="Times New Roman"/>
          <w:b/>
          <w:bCs/>
          <w:sz w:val="28"/>
          <w:szCs w:val="24"/>
          <w:lang w:eastAsia="lv-LV"/>
        </w:rPr>
      </w:pPr>
      <w:r w:rsidRPr="0022005E">
        <w:rPr>
          <w:rFonts w:eastAsia="Times New Roman" w:cs="Times New Roman"/>
          <w:b/>
          <w:bCs/>
          <w:sz w:val="28"/>
          <w:szCs w:val="24"/>
          <w:lang w:eastAsia="lv-LV"/>
        </w:rPr>
        <w:t>L</w:t>
      </w:r>
      <w:r w:rsidR="00A94B4E" w:rsidRPr="0022005E">
        <w:rPr>
          <w:rFonts w:eastAsia="Times New Roman" w:cs="Times New Roman"/>
          <w:b/>
          <w:bCs/>
          <w:sz w:val="28"/>
          <w:szCs w:val="24"/>
          <w:lang w:eastAsia="lv-LV"/>
        </w:rPr>
        <w:t>ikumprojekta “Grozījums</w:t>
      </w:r>
      <w:r w:rsidR="0030784C" w:rsidRPr="0022005E">
        <w:rPr>
          <w:rFonts w:eastAsia="Times New Roman" w:cs="Times New Roman"/>
          <w:b/>
          <w:bCs/>
          <w:sz w:val="28"/>
          <w:szCs w:val="24"/>
          <w:lang w:eastAsia="lv-LV"/>
        </w:rPr>
        <w:t xml:space="preserve"> likumā “Par nodokļiem un nodevām””</w:t>
      </w:r>
      <w:r w:rsidR="003B0BF9" w:rsidRPr="0022005E">
        <w:rPr>
          <w:rFonts w:eastAsia="Times New Roman" w:cs="Times New Roman"/>
          <w:b/>
          <w:bCs/>
          <w:sz w:val="28"/>
          <w:szCs w:val="24"/>
          <w:lang w:eastAsia="lv-LV"/>
        </w:rPr>
        <w:br/>
      </w:r>
      <w:r w:rsidR="00894C55" w:rsidRPr="0022005E">
        <w:rPr>
          <w:rFonts w:eastAsia="Times New Roman" w:cs="Times New Roman"/>
          <w:b/>
          <w:bCs/>
          <w:sz w:val="28"/>
          <w:szCs w:val="24"/>
          <w:lang w:eastAsia="lv-LV"/>
        </w:rPr>
        <w:t>sākotnējās ietekmes novērtējuma ziņojums (anotācija)</w:t>
      </w:r>
    </w:p>
    <w:p w:rsidR="00E5323B" w:rsidRPr="0022005E"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2005E" w:rsidRPr="0022005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Tiesību akta projekta anotācijas kopsavilkums</w:t>
            </w:r>
          </w:p>
        </w:tc>
      </w:tr>
      <w:tr w:rsidR="0022005E" w:rsidRPr="0022005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E2F76" w:rsidRPr="0022005E" w:rsidRDefault="008E2F76" w:rsidP="008E2F76">
            <w:pPr>
              <w:autoSpaceDE w:val="0"/>
              <w:autoSpaceDN w:val="0"/>
              <w:adjustRightInd w:val="0"/>
              <w:ind w:firstLine="394"/>
              <w:jc w:val="both"/>
              <w:rPr>
                <w:rFonts w:cs="Times New Roman"/>
                <w:szCs w:val="24"/>
                <w:lang w:eastAsia="lv-LV"/>
              </w:rPr>
            </w:pPr>
            <w:r w:rsidRPr="0022005E">
              <w:rPr>
                <w:rFonts w:cs="Times New Roman"/>
                <w:szCs w:val="24"/>
                <w:lang w:eastAsia="lv-LV"/>
              </w:rPr>
              <w:t xml:space="preserve">Likumprojekts </w:t>
            </w:r>
            <w:r w:rsidR="00D172D4" w:rsidRPr="0022005E">
              <w:rPr>
                <w:rFonts w:cs="Times New Roman"/>
                <w:szCs w:val="24"/>
                <w:lang w:eastAsia="lv-LV"/>
              </w:rPr>
              <w:t>“Grozījums likumā “Par nodokļiem un nodevām</w:t>
            </w:r>
            <w:r w:rsidR="00A7355C">
              <w:rPr>
                <w:rFonts w:cs="Times New Roman"/>
                <w:szCs w:val="24"/>
                <w:lang w:eastAsia="lv-LV"/>
              </w:rPr>
              <w:t>”</w:t>
            </w:r>
            <w:r w:rsidR="00D172D4" w:rsidRPr="0022005E">
              <w:rPr>
                <w:rFonts w:cs="Times New Roman"/>
                <w:szCs w:val="24"/>
                <w:lang w:eastAsia="lv-LV"/>
              </w:rPr>
              <w:t xml:space="preserve">” (turpmāk - likumprojekts) </w:t>
            </w:r>
            <w:r w:rsidRPr="0022005E">
              <w:rPr>
                <w:rFonts w:cs="Times New Roman"/>
                <w:szCs w:val="24"/>
                <w:lang w:eastAsia="lv-LV"/>
              </w:rPr>
              <w:t>tiek virzīts izskatīšanai Saeimā 2019.</w:t>
            </w:r>
            <w:r w:rsidR="00D172D4" w:rsidRPr="0022005E">
              <w:rPr>
                <w:rFonts w:cs="Times New Roman"/>
                <w:szCs w:val="24"/>
                <w:lang w:eastAsia="lv-LV"/>
              </w:rPr>
              <w:t> </w:t>
            </w:r>
            <w:r w:rsidRPr="0022005E">
              <w:rPr>
                <w:rFonts w:cs="Times New Roman"/>
                <w:szCs w:val="24"/>
                <w:lang w:eastAsia="lv-LV"/>
              </w:rPr>
              <w:t>gada valsts budžeta likumprojektu paketē.</w:t>
            </w:r>
          </w:p>
          <w:p w:rsidR="00B76DAE" w:rsidRPr="0022005E" w:rsidRDefault="00D172D4" w:rsidP="00B76DAE">
            <w:pPr>
              <w:ind w:firstLine="284"/>
              <w:jc w:val="both"/>
              <w:rPr>
                <w:rFonts w:cs="Times New Roman"/>
                <w:szCs w:val="24"/>
              </w:rPr>
            </w:pPr>
            <w:r w:rsidRPr="0022005E">
              <w:rPr>
                <w:rFonts w:eastAsia="Times New Roman" w:cs="Times New Roman"/>
                <w:iCs/>
                <w:szCs w:val="24"/>
                <w:lang w:eastAsia="lv-LV"/>
              </w:rPr>
              <w:t>Likumprojekts paredz skaidras naudas lietošanas</w:t>
            </w:r>
            <w:r w:rsidR="00B66CE9" w:rsidRPr="0022005E">
              <w:rPr>
                <w:rFonts w:eastAsia="Times New Roman" w:cs="Times New Roman"/>
                <w:iCs/>
                <w:szCs w:val="24"/>
                <w:lang w:eastAsia="lv-LV"/>
              </w:rPr>
              <w:t xml:space="preserve"> sliekšņa samazināšanu, kā arī skaidras naudas lietošanas</w:t>
            </w:r>
            <w:r w:rsidRPr="0022005E">
              <w:rPr>
                <w:rFonts w:eastAsia="Times New Roman" w:cs="Times New Roman"/>
                <w:iCs/>
                <w:szCs w:val="24"/>
                <w:lang w:eastAsia="lv-LV"/>
              </w:rPr>
              <w:t xml:space="preserve"> aizliegumu </w:t>
            </w:r>
            <w:r w:rsidRPr="0022005E">
              <w:rPr>
                <w:rFonts w:cs="Times New Roman"/>
                <w:szCs w:val="24"/>
              </w:rPr>
              <w:t>nekustam</w:t>
            </w:r>
            <w:r w:rsidR="00DF4C18" w:rsidRPr="0022005E">
              <w:rPr>
                <w:rFonts w:cs="Times New Roman"/>
                <w:szCs w:val="24"/>
              </w:rPr>
              <w:t>ā īpašuma atsavināšanas darījumos</w:t>
            </w:r>
            <w:r w:rsidRPr="0022005E">
              <w:rPr>
                <w:rFonts w:cs="Times New Roman"/>
                <w:szCs w:val="24"/>
              </w:rPr>
              <w:t xml:space="preserve"> un skaidras naudas lietošanas ierobežojumu </w:t>
            </w:r>
            <w:r w:rsidR="00B66CE9" w:rsidRPr="0022005E">
              <w:rPr>
                <w:rFonts w:cs="Times New Roman"/>
                <w:szCs w:val="24"/>
              </w:rPr>
              <w:t xml:space="preserve">konkrētu kategoriju </w:t>
            </w:r>
            <w:r w:rsidRPr="0022005E">
              <w:rPr>
                <w:rFonts w:cs="Times New Roman"/>
                <w:szCs w:val="24"/>
              </w:rPr>
              <w:t>mehānisko transpor</w:t>
            </w:r>
            <w:r w:rsidR="00DF4C18" w:rsidRPr="0022005E">
              <w:rPr>
                <w:rFonts w:cs="Times New Roman"/>
                <w:szCs w:val="24"/>
              </w:rPr>
              <w:t>tlīdzekļu atsavināšanas darījumos</w:t>
            </w:r>
            <w:r w:rsidRPr="0022005E">
              <w:rPr>
                <w:rFonts w:cs="Times New Roman"/>
                <w:szCs w:val="24"/>
              </w:rPr>
              <w:t>.</w:t>
            </w:r>
          </w:p>
          <w:p w:rsidR="00D172D4" w:rsidRPr="0022005E" w:rsidRDefault="00B76DAE" w:rsidP="00007A54">
            <w:pPr>
              <w:ind w:firstLine="284"/>
              <w:jc w:val="both"/>
              <w:rPr>
                <w:rFonts w:cs="Times New Roman"/>
              </w:rPr>
            </w:pPr>
            <w:r w:rsidRPr="0022005E">
              <w:rPr>
                <w:rFonts w:cs="Times New Roman"/>
                <w:szCs w:val="24"/>
                <w:lang w:eastAsia="lv-LV"/>
              </w:rPr>
              <w:t>Grozījumi stāsies spēkā 2019. gada 1. </w:t>
            </w:r>
            <w:r w:rsidR="00007A54" w:rsidRPr="0022005E">
              <w:rPr>
                <w:rFonts w:cs="Times New Roman"/>
                <w:szCs w:val="24"/>
                <w:lang w:eastAsia="lv-LV"/>
              </w:rPr>
              <w:t>maijā</w:t>
            </w:r>
            <w:r w:rsidRPr="0022005E">
              <w:rPr>
                <w:rFonts w:cs="Times New Roman"/>
                <w:szCs w:val="24"/>
                <w:lang w:eastAsia="lv-LV"/>
              </w:rPr>
              <w:t>.</w:t>
            </w:r>
          </w:p>
        </w:tc>
      </w:tr>
    </w:tbl>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22005E" w:rsidRPr="0022005E"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I. Tiesību akta projekta izstrādes nepieciešamība</w:t>
            </w:r>
          </w:p>
        </w:tc>
      </w:tr>
      <w:tr w:rsidR="0022005E" w:rsidRPr="0022005E" w:rsidTr="00E5323B">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1.</w:t>
            </w:r>
          </w:p>
        </w:tc>
        <w:tc>
          <w:tcPr>
            <w:tcW w:w="17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5C7CA3" w:rsidRPr="0022005E" w:rsidRDefault="008E2F76" w:rsidP="004A757D">
            <w:pPr>
              <w:pStyle w:val="NoSpacing"/>
              <w:ind w:firstLine="284"/>
              <w:jc w:val="both"/>
              <w:rPr>
                <w:rFonts w:ascii="Times New Roman" w:hAnsi="Times New Roman" w:cs="Times New Roman"/>
                <w:sz w:val="24"/>
                <w:szCs w:val="24"/>
              </w:rPr>
            </w:pPr>
            <w:r w:rsidRPr="0022005E">
              <w:rPr>
                <w:rFonts w:ascii="Times New Roman" w:hAnsi="Times New Roman" w:cs="Times New Roman"/>
                <w:sz w:val="24"/>
                <w:szCs w:val="24"/>
                <w:shd w:val="clear" w:color="auto" w:fill="FFFFFF"/>
              </w:rPr>
              <w:t>Informatīv</w:t>
            </w:r>
            <w:r w:rsidR="00F406FE" w:rsidRPr="0022005E">
              <w:rPr>
                <w:rFonts w:ascii="Times New Roman" w:hAnsi="Times New Roman" w:cs="Times New Roman"/>
                <w:sz w:val="24"/>
                <w:szCs w:val="24"/>
                <w:shd w:val="clear" w:color="auto" w:fill="FFFFFF"/>
              </w:rPr>
              <w:t>ais ziņojums</w:t>
            </w:r>
            <w:r w:rsidRPr="0022005E">
              <w:rPr>
                <w:rFonts w:ascii="Times New Roman" w:hAnsi="Times New Roman" w:cs="Times New Roman"/>
                <w:sz w:val="24"/>
                <w:szCs w:val="24"/>
                <w:shd w:val="clear" w:color="auto" w:fill="FFFFFF"/>
              </w:rPr>
              <w:t xml:space="preserve"> “Par makroekonomisko rādītāju, ieņēmumu un vispārējās valdības budžeta bilances prognozēm 2019.-2021.</w:t>
            </w:r>
            <w:r w:rsidR="00B66CE9" w:rsidRPr="0022005E">
              <w:rPr>
                <w:rFonts w:ascii="Times New Roman" w:hAnsi="Times New Roman" w:cs="Times New Roman"/>
                <w:sz w:val="24"/>
                <w:szCs w:val="24"/>
                <w:shd w:val="clear" w:color="auto" w:fill="FFFFFF"/>
              </w:rPr>
              <w:t> </w:t>
            </w:r>
            <w:r w:rsidRPr="0022005E">
              <w:rPr>
                <w:rFonts w:ascii="Times New Roman" w:hAnsi="Times New Roman" w:cs="Times New Roman"/>
                <w:sz w:val="24"/>
                <w:szCs w:val="24"/>
                <w:shd w:val="clear" w:color="auto" w:fill="FFFFFF"/>
              </w:rPr>
              <w:t>gadā”</w:t>
            </w:r>
            <w:r w:rsidR="00F406FE" w:rsidRPr="0022005E">
              <w:rPr>
                <w:rFonts w:ascii="Times New Roman" w:hAnsi="Times New Roman" w:cs="Times New Roman"/>
                <w:sz w:val="24"/>
                <w:szCs w:val="24"/>
                <w:shd w:val="clear" w:color="auto" w:fill="FFFFFF"/>
              </w:rPr>
              <w:t xml:space="preserve"> (pieņemts zināšanai Ministru kabineta 2019.</w:t>
            </w:r>
            <w:r w:rsidR="00BA51A8" w:rsidRPr="0022005E">
              <w:rPr>
                <w:rFonts w:ascii="Times New Roman" w:hAnsi="Times New Roman" w:cs="Times New Roman"/>
                <w:sz w:val="24"/>
                <w:szCs w:val="24"/>
                <w:shd w:val="clear" w:color="auto" w:fill="FFFFFF"/>
              </w:rPr>
              <w:t> </w:t>
            </w:r>
            <w:r w:rsidR="00F406FE" w:rsidRPr="0022005E">
              <w:rPr>
                <w:rFonts w:ascii="Times New Roman" w:hAnsi="Times New Roman" w:cs="Times New Roman"/>
                <w:sz w:val="24"/>
                <w:szCs w:val="24"/>
                <w:shd w:val="clear" w:color="auto" w:fill="FFFFFF"/>
              </w:rPr>
              <w:t>gada 5.</w:t>
            </w:r>
            <w:r w:rsidR="00BA51A8" w:rsidRPr="0022005E">
              <w:rPr>
                <w:rFonts w:ascii="Times New Roman" w:hAnsi="Times New Roman" w:cs="Times New Roman"/>
                <w:sz w:val="24"/>
                <w:szCs w:val="24"/>
                <w:shd w:val="clear" w:color="auto" w:fill="FFFFFF"/>
              </w:rPr>
              <w:t> </w:t>
            </w:r>
            <w:r w:rsidR="00F406FE" w:rsidRPr="0022005E">
              <w:rPr>
                <w:rFonts w:ascii="Times New Roman" w:hAnsi="Times New Roman" w:cs="Times New Roman"/>
                <w:sz w:val="24"/>
                <w:szCs w:val="24"/>
                <w:shd w:val="clear" w:color="auto" w:fill="FFFFFF"/>
              </w:rPr>
              <w:t xml:space="preserve">februāra sēdē (skatīt prot. Nr. 5 </w:t>
            </w:r>
            <w:bookmarkStart w:id="0" w:name="30"/>
            <w:r w:rsidR="00F406FE" w:rsidRPr="0022005E">
              <w:rPr>
                <w:rFonts w:ascii="Times New Roman" w:hAnsi="Times New Roman" w:cs="Times New Roman"/>
                <w:sz w:val="24"/>
                <w:szCs w:val="24"/>
              </w:rPr>
              <w:t>30.</w:t>
            </w:r>
            <w:r w:rsidR="00BA51A8" w:rsidRPr="0022005E">
              <w:rPr>
                <w:rFonts w:ascii="Times New Roman" w:hAnsi="Times New Roman" w:cs="Times New Roman"/>
                <w:sz w:val="24"/>
                <w:szCs w:val="24"/>
              </w:rPr>
              <w:t> </w:t>
            </w:r>
            <w:r w:rsidR="00F406FE" w:rsidRPr="0022005E">
              <w:rPr>
                <w:rFonts w:ascii="Times New Roman" w:hAnsi="Times New Roman" w:cs="Times New Roman"/>
                <w:sz w:val="24"/>
                <w:szCs w:val="24"/>
              </w:rPr>
              <w:t>§</w:t>
            </w:r>
            <w:bookmarkEnd w:id="0"/>
            <w:r w:rsidR="004E33DF" w:rsidRPr="0022005E">
              <w:rPr>
                <w:rFonts w:ascii="Times New Roman" w:hAnsi="Times New Roman" w:cs="Times New Roman"/>
                <w:sz w:val="24"/>
                <w:szCs w:val="24"/>
              </w:rPr>
              <w:t xml:space="preserve"> 9</w:t>
            </w:r>
            <w:r w:rsidR="00D04809" w:rsidRPr="0022005E">
              <w:rPr>
                <w:rFonts w:ascii="Times New Roman" w:hAnsi="Times New Roman" w:cs="Times New Roman"/>
                <w:sz w:val="24"/>
                <w:szCs w:val="24"/>
              </w:rPr>
              <w:t>. punktu</w:t>
            </w:r>
            <w:r w:rsidR="00F406FE" w:rsidRPr="0022005E">
              <w:rPr>
                <w:rFonts w:ascii="Times New Roman" w:hAnsi="Times New Roman" w:cs="Times New Roman"/>
                <w:sz w:val="24"/>
                <w:szCs w:val="24"/>
              </w:rPr>
              <w:t>)</w:t>
            </w:r>
            <w:r w:rsidR="004A757D" w:rsidRPr="0022005E">
              <w:rPr>
                <w:rFonts w:ascii="Times New Roman" w:hAnsi="Times New Roman" w:cs="Times New Roman"/>
                <w:sz w:val="24"/>
                <w:szCs w:val="24"/>
              </w:rPr>
              <w:t>)</w:t>
            </w:r>
            <w:r w:rsidR="00F406FE" w:rsidRPr="0022005E">
              <w:rPr>
                <w:rFonts w:ascii="Times New Roman" w:hAnsi="Times New Roman" w:cs="Times New Roman"/>
                <w:sz w:val="24"/>
                <w:szCs w:val="24"/>
              </w:rPr>
              <w:t xml:space="preserve">, saskaņā ar kuru nodokļu ieņēmumu prognozēs iekļauti </w:t>
            </w:r>
            <w:r w:rsidR="00D82C3B" w:rsidRPr="0022005E">
              <w:rPr>
                <w:rFonts w:ascii="Times New Roman" w:hAnsi="Times New Roman" w:cs="Times New Roman"/>
                <w:sz w:val="24"/>
                <w:szCs w:val="24"/>
              </w:rPr>
              <w:t xml:space="preserve">arī </w:t>
            </w:r>
            <w:r w:rsidR="00F406FE" w:rsidRPr="0022005E">
              <w:rPr>
                <w:rFonts w:ascii="Times New Roman" w:hAnsi="Times New Roman" w:cs="Times New Roman"/>
                <w:sz w:val="24"/>
                <w:szCs w:val="24"/>
              </w:rPr>
              <w:t xml:space="preserve">ieņēmumi no ēnu ekonomikas </w:t>
            </w:r>
            <w:r w:rsidR="004A757D" w:rsidRPr="0022005E">
              <w:rPr>
                <w:rFonts w:ascii="Times New Roman" w:hAnsi="Times New Roman" w:cs="Times New Roman"/>
                <w:sz w:val="24"/>
                <w:szCs w:val="24"/>
              </w:rPr>
              <w:t>ierobežošanas</w:t>
            </w:r>
            <w:r w:rsidR="00F406FE" w:rsidRPr="0022005E">
              <w:rPr>
                <w:rFonts w:ascii="Times New Roman" w:hAnsi="Times New Roman" w:cs="Times New Roman"/>
                <w:sz w:val="24"/>
                <w:szCs w:val="24"/>
              </w:rPr>
              <w:t xml:space="preserve"> pasākumiem, tajā skaitā ieņēmumi no skaidras naudas lietošanas ierobežojumiem.</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2.</w:t>
            </w:r>
          </w:p>
        </w:tc>
        <w:tc>
          <w:tcPr>
            <w:tcW w:w="17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Pašreizējā situācija un problēmas, kuru risināšanai tiesību akta projekts izstrādāts, tiesiskā regulējuma mērķis un būtība</w:t>
            </w:r>
          </w:p>
        </w:tc>
        <w:tc>
          <w:tcPr>
            <w:tcW w:w="3000" w:type="pct"/>
            <w:gridSpan w:val="2"/>
            <w:tcBorders>
              <w:top w:val="outset" w:sz="6" w:space="0" w:color="auto"/>
              <w:left w:val="outset" w:sz="6" w:space="0" w:color="auto"/>
              <w:bottom w:val="outset" w:sz="6" w:space="0" w:color="auto"/>
              <w:right w:val="outset" w:sz="6" w:space="0" w:color="auto"/>
            </w:tcBorders>
            <w:hideMark/>
          </w:tcPr>
          <w:p w:rsidR="00F74204" w:rsidRPr="0022005E" w:rsidRDefault="009C62F6" w:rsidP="00F74204">
            <w:pPr>
              <w:ind w:firstLine="284"/>
              <w:jc w:val="both"/>
              <w:rPr>
                <w:szCs w:val="24"/>
              </w:rPr>
            </w:pPr>
            <w:r w:rsidRPr="0022005E">
              <w:rPr>
                <w:szCs w:val="24"/>
              </w:rPr>
              <w:t xml:space="preserve">Šobrīd </w:t>
            </w:r>
            <w:r w:rsidR="00F74204" w:rsidRPr="0022005E">
              <w:rPr>
                <w:szCs w:val="24"/>
              </w:rPr>
              <w:t xml:space="preserve">saskaņā ar </w:t>
            </w:r>
            <w:r w:rsidRPr="0022005E">
              <w:rPr>
                <w:szCs w:val="24"/>
              </w:rPr>
              <w:t>likuma “Par nodokļiem un nodevām” 30. panta</w:t>
            </w:r>
            <w:r w:rsidR="00F74204" w:rsidRPr="0022005E">
              <w:rPr>
                <w:szCs w:val="24"/>
              </w:rPr>
              <w:t xml:space="preserve"> pirm</w:t>
            </w:r>
            <w:r w:rsidR="00A82068" w:rsidRPr="0022005E">
              <w:rPr>
                <w:szCs w:val="24"/>
              </w:rPr>
              <w:t>o</w:t>
            </w:r>
            <w:r w:rsidR="00F74204" w:rsidRPr="0022005E">
              <w:rPr>
                <w:szCs w:val="24"/>
              </w:rPr>
              <w:t xml:space="preserve"> un astoto daļu nodokļu maksātājiem, tajā skaitā arī fiziskajām personām, kas neveic saimniecisko darbību, ir aizliegums veikt skaidrā naudā darījumus, kuru summa pārsniedz 7200 </w:t>
            </w:r>
            <w:r w:rsidR="00F74204" w:rsidRPr="0022005E">
              <w:rPr>
                <w:i/>
                <w:szCs w:val="24"/>
              </w:rPr>
              <w:t>euro</w:t>
            </w:r>
            <w:r w:rsidR="00F74204" w:rsidRPr="0022005E">
              <w:rPr>
                <w:szCs w:val="24"/>
              </w:rPr>
              <w:t xml:space="preserve"> (neatkarīgi no tā, vai darījums notiek vienā operācijā vai vairākās operācijās).</w:t>
            </w:r>
          </w:p>
          <w:p w:rsidR="00883347" w:rsidRPr="00B321A2" w:rsidRDefault="00B11263" w:rsidP="00883347">
            <w:pPr>
              <w:ind w:firstLine="284"/>
              <w:jc w:val="both"/>
              <w:rPr>
                <w:szCs w:val="24"/>
              </w:rPr>
            </w:pPr>
            <w:r w:rsidRPr="0022005E">
              <w:rPr>
                <w:szCs w:val="24"/>
              </w:rPr>
              <w:t>Tomēr</w:t>
            </w:r>
            <w:r w:rsidR="00A82068" w:rsidRPr="0022005E">
              <w:rPr>
                <w:szCs w:val="24"/>
              </w:rPr>
              <w:t>,</w:t>
            </w:r>
            <w:r w:rsidRPr="0022005E">
              <w:rPr>
                <w:szCs w:val="24"/>
              </w:rPr>
              <w:t xml:space="preserve"> neskatoties uz minēto, Valsts ieņ</w:t>
            </w:r>
            <w:r w:rsidR="00B909BB" w:rsidRPr="0022005E">
              <w:rPr>
                <w:szCs w:val="24"/>
              </w:rPr>
              <w:t>ēmumu dienests nereti konstatē, ka nodokļu maksātāji meklē risinājumus, kā samazināt darījuma patieso apmēru, lai tādējā</w:t>
            </w:r>
            <w:r w:rsidR="00B909BB" w:rsidRPr="00B321A2">
              <w:rPr>
                <w:szCs w:val="24"/>
              </w:rPr>
              <w:t>di varētu veikt savstarpējos norēķinus skaidras naudas veidā.</w:t>
            </w:r>
          </w:p>
          <w:p w:rsidR="00FB64DE" w:rsidRPr="00B321A2" w:rsidRDefault="00FB64DE" w:rsidP="00FB64DE">
            <w:pPr>
              <w:ind w:firstLine="284"/>
              <w:jc w:val="both"/>
              <w:rPr>
                <w:rFonts w:cs="Times New Roman"/>
                <w:szCs w:val="24"/>
              </w:rPr>
            </w:pPr>
            <w:r w:rsidRPr="00B321A2">
              <w:t xml:space="preserve">Latvijas noziedzīgi iegūtu līdzekļu legalizācijas un terorisma finansēšanas novēršanas sistēmas 5. kārtas novērtējumā, kuru veica </w:t>
            </w:r>
            <w:proofErr w:type="spellStart"/>
            <w:r w:rsidRPr="00B321A2">
              <w:t>MoneyVal</w:t>
            </w:r>
            <w:proofErr w:type="spellEnd"/>
            <w:r w:rsidRPr="00B321A2">
              <w:t xml:space="preserve"> organizācija, tika konstatēts, ka skaidras naudas aprite rada paaugstinātus noziedzīgi iegūtu līdzekļu legalizācijas un terorisma finansēšanas riskus valstij. Likumprojektā paredzētie pasākumi, kas saistīti ar skaidras naudas aprites darījumu ierobežošanu, sniedz ieguldījumu Latvijas noziedzīgi iegūtu līdzekļu legalizācijas un terorisma </w:t>
            </w:r>
            <w:r w:rsidRPr="00B321A2">
              <w:lastRenderedPageBreak/>
              <w:t>finansēšanas novēršanas sistēmas efektivitātes paaugstināšanai.</w:t>
            </w:r>
          </w:p>
          <w:p w:rsidR="00B66CE9" w:rsidRPr="0022005E" w:rsidRDefault="00FB64DE" w:rsidP="00DF4C18">
            <w:pPr>
              <w:ind w:firstLine="284"/>
              <w:jc w:val="both"/>
              <w:rPr>
                <w:szCs w:val="24"/>
              </w:rPr>
            </w:pPr>
            <w:r w:rsidRPr="00B321A2">
              <w:rPr>
                <w:szCs w:val="24"/>
              </w:rPr>
              <w:t xml:space="preserve">Ievērojot </w:t>
            </w:r>
            <w:r w:rsidR="00883347" w:rsidRPr="00B321A2">
              <w:rPr>
                <w:szCs w:val="24"/>
              </w:rPr>
              <w:t xml:space="preserve">minēto, kā arī </w:t>
            </w:r>
            <w:r w:rsidRPr="00B321A2">
              <w:rPr>
                <w:szCs w:val="24"/>
              </w:rPr>
              <w:t>ņemot vērā</w:t>
            </w:r>
            <w:r w:rsidR="00883347" w:rsidRPr="00B321A2">
              <w:rPr>
                <w:szCs w:val="24"/>
              </w:rPr>
              <w:t>, ka skaidras naudas aprite ir ēnu ekonomikas galveno komponenšu pamat</w:t>
            </w:r>
            <w:r w:rsidR="005459F1" w:rsidRPr="00B321A2">
              <w:rPr>
                <w:szCs w:val="24"/>
              </w:rPr>
              <w:t>ā, tajā skaitā radot paaugstinātu risku</w:t>
            </w:r>
            <w:r w:rsidR="00883347" w:rsidRPr="00B321A2">
              <w:rPr>
                <w:szCs w:val="24"/>
              </w:rPr>
              <w:t xml:space="preserve"> </w:t>
            </w:r>
            <w:r w:rsidR="00883347" w:rsidRPr="0022005E">
              <w:rPr>
                <w:szCs w:val="24"/>
              </w:rPr>
              <w:t xml:space="preserve">fiktīvu un krāpniecisku darījumu veikšanai, </w:t>
            </w:r>
            <w:r w:rsidR="005459F1" w:rsidRPr="0022005E">
              <w:rPr>
                <w:szCs w:val="24"/>
              </w:rPr>
              <w:t xml:space="preserve">un </w:t>
            </w:r>
            <w:r w:rsidR="00883347" w:rsidRPr="0022005E">
              <w:rPr>
                <w:szCs w:val="24"/>
              </w:rPr>
              <w:t>iespējai legalizēt neli</w:t>
            </w:r>
            <w:r w:rsidR="00B53617" w:rsidRPr="0022005E">
              <w:rPr>
                <w:szCs w:val="24"/>
              </w:rPr>
              <w:t xml:space="preserve">kumīgi iegūtos naudas līdzekļus (piemēram, </w:t>
            </w:r>
            <w:r w:rsidR="00E1770F" w:rsidRPr="0022005E">
              <w:t>skaidrā naudā saņemto “apl</w:t>
            </w:r>
            <w:bookmarkStart w:id="1" w:name="_GoBack"/>
            <w:bookmarkEnd w:id="1"/>
            <w:r w:rsidR="00E1770F" w:rsidRPr="0022005E">
              <w:t>okšņu”</w:t>
            </w:r>
            <w:r w:rsidR="00A13B95" w:rsidRPr="0022005E">
              <w:t xml:space="preserve"> algu vai nedeklarētos ienākumus), </w:t>
            </w:r>
            <w:r w:rsidR="005459F1" w:rsidRPr="0022005E">
              <w:rPr>
                <w:szCs w:val="24"/>
              </w:rPr>
              <w:t>likumprojektā ietvertais regulējums paredz</w:t>
            </w:r>
            <w:r w:rsidR="00B66CE9" w:rsidRPr="0022005E">
              <w:rPr>
                <w:szCs w:val="24"/>
              </w:rPr>
              <w:t>:</w:t>
            </w:r>
          </w:p>
          <w:p w:rsidR="00B66CE9" w:rsidRPr="0022005E" w:rsidRDefault="00B66CE9" w:rsidP="00DF4C18">
            <w:pPr>
              <w:ind w:firstLine="284"/>
              <w:jc w:val="both"/>
              <w:rPr>
                <w:szCs w:val="24"/>
              </w:rPr>
            </w:pPr>
            <w:r w:rsidRPr="0022005E">
              <w:rPr>
                <w:szCs w:val="24"/>
              </w:rPr>
              <w:t>1)</w:t>
            </w:r>
            <w:r w:rsidR="00E1770F" w:rsidRPr="0022005E">
              <w:rPr>
                <w:szCs w:val="24"/>
              </w:rPr>
              <w:t> </w:t>
            </w:r>
            <w:r w:rsidRPr="0022005E">
              <w:rPr>
                <w:szCs w:val="24"/>
              </w:rPr>
              <w:t> skaidras naudas lietošanas sliekšņa samazināšanu;</w:t>
            </w:r>
          </w:p>
          <w:p w:rsidR="00B66CE9" w:rsidRPr="0022005E" w:rsidRDefault="00B66CE9" w:rsidP="00DF4C18">
            <w:pPr>
              <w:ind w:firstLine="284"/>
              <w:jc w:val="both"/>
              <w:rPr>
                <w:rFonts w:cs="Times New Roman"/>
                <w:szCs w:val="24"/>
              </w:rPr>
            </w:pPr>
            <w:r w:rsidRPr="0022005E">
              <w:rPr>
                <w:szCs w:val="24"/>
              </w:rPr>
              <w:t>2)  </w:t>
            </w:r>
            <w:r w:rsidR="00DF4C18" w:rsidRPr="0022005E">
              <w:rPr>
                <w:rFonts w:cs="Times New Roman"/>
                <w:szCs w:val="24"/>
              </w:rPr>
              <w:t xml:space="preserve">skaidras naudas lietošanas ierobežojumu </w:t>
            </w:r>
            <w:r w:rsidRPr="0022005E">
              <w:rPr>
                <w:rFonts w:cs="Times New Roman"/>
                <w:szCs w:val="24"/>
              </w:rPr>
              <w:t xml:space="preserve">M1 (tai skaitā M1G) </w:t>
            </w:r>
            <w:r w:rsidRPr="0022005E">
              <w:rPr>
                <w:szCs w:val="24"/>
              </w:rPr>
              <w:t>un</w:t>
            </w:r>
            <w:r w:rsidRPr="0022005E">
              <w:rPr>
                <w:rFonts w:cs="Times New Roman"/>
                <w:szCs w:val="24"/>
              </w:rPr>
              <w:t xml:space="preserve"> N1 (tai skaitā N1G) kategorijas </w:t>
            </w:r>
            <w:r w:rsidR="00DF4C18" w:rsidRPr="0022005E">
              <w:rPr>
                <w:rFonts w:cs="Times New Roman"/>
                <w:szCs w:val="24"/>
              </w:rPr>
              <w:t>mehānisko transportlīdzekļu atsavināšanas darījumos</w:t>
            </w:r>
            <w:r w:rsidRPr="0022005E">
              <w:rPr>
                <w:rFonts w:cs="Times New Roman"/>
                <w:szCs w:val="24"/>
              </w:rPr>
              <w:t>;</w:t>
            </w:r>
          </w:p>
          <w:p w:rsidR="00FB64DE" w:rsidRDefault="00B66CE9" w:rsidP="00FB64DE">
            <w:pPr>
              <w:ind w:firstLine="284"/>
              <w:jc w:val="both"/>
              <w:rPr>
                <w:rFonts w:cs="Times New Roman"/>
                <w:szCs w:val="24"/>
              </w:rPr>
            </w:pPr>
            <w:r w:rsidRPr="0022005E">
              <w:rPr>
                <w:rFonts w:cs="Times New Roman"/>
                <w:szCs w:val="24"/>
              </w:rPr>
              <w:t>3)  </w:t>
            </w:r>
            <w:r w:rsidR="00DF4C18" w:rsidRPr="0022005E">
              <w:rPr>
                <w:rFonts w:eastAsia="Times New Roman" w:cs="Times New Roman"/>
                <w:iCs/>
                <w:szCs w:val="24"/>
                <w:lang w:eastAsia="lv-LV"/>
              </w:rPr>
              <w:t xml:space="preserve">skaidras naudas lietošanas aizliegumu </w:t>
            </w:r>
            <w:r w:rsidR="00DF4C18" w:rsidRPr="0022005E">
              <w:rPr>
                <w:rFonts w:cs="Times New Roman"/>
                <w:szCs w:val="24"/>
              </w:rPr>
              <w:t>nekustamā īpašuma atsavināšanas darījumos.</w:t>
            </w:r>
          </w:p>
          <w:p w:rsidR="00B66CE9" w:rsidRPr="0022005E" w:rsidRDefault="00B66CE9" w:rsidP="00883347">
            <w:pPr>
              <w:ind w:firstLine="284"/>
              <w:jc w:val="both"/>
              <w:rPr>
                <w:rFonts w:cs="Times New Roman"/>
                <w:b/>
                <w:szCs w:val="24"/>
              </w:rPr>
            </w:pPr>
            <w:r w:rsidRPr="0022005E">
              <w:rPr>
                <w:rFonts w:cs="Times New Roman"/>
                <w:b/>
                <w:szCs w:val="24"/>
              </w:rPr>
              <w:t>Par skaidras naudas lietošanas sliekšņa samazināšanu</w:t>
            </w:r>
          </w:p>
          <w:p w:rsidR="00096DE1" w:rsidRPr="0022005E" w:rsidRDefault="00096DE1" w:rsidP="00096DE1">
            <w:pPr>
              <w:ind w:firstLine="360"/>
              <w:jc w:val="both"/>
              <w:rPr>
                <w:rFonts w:cs="Times New Roman"/>
              </w:rPr>
            </w:pPr>
            <w:r w:rsidRPr="0022005E">
              <w:rPr>
                <w:rFonts w:cs="Times New Roman"/>
              </w:rPr>
              <w:t xml:space="preserve">Atbilstoši Dr. Tāļa J. Putniņa un Dr. Arņa Saukas pētījumam “Ēnu ekonomikas indekss Baltijas valstīs 2009.–2017. gadā” (pieejams: </w:t>
            </w:r>
            <w:r w:rsidR="00B53617" w:rsidRPr="0022005E">
              <w:rPr>
                <w:rStyle w:val="Hyperlink"/>
                <w:rFonts w:cs="Times New Roman"/>
                <w:color w:val="auto"/>
                <w:u w:val="none"/>
              </w:rPr>
              <w:t>https://www.vid.gov.lv/sites/default/files/a.saukas_</w:t>
            </w:r>
            <w:r w:rsidR="00B53617" w:rsidRPr="0022005E">
              <w:rPr>
                <w:rStyle w:val="Hyperlink"/>
                <w:rFonts w:cs="Times New Roman"/>
                <w:color w:val="auto"/>
                <w:u w:val="none"/>
              </w:rPr>
              <w:br/>
              <w:t xml:space="preserve">prezentacija.pdf) </w:t>
            </w:r>
            <w:r w:rsidR="00B53617" w:rsidRPr="0022005E">
              <w:rPr>
                <w:rFonts w:cs="Times New Roman"/>
              </w:rPr>
              <w:t>viena</w:t>
            </w:r>
            <w:r w:rsidRPr="0022005E">
              <w:rPr>
                <w:rFonts w:cs="Times New Roman"/>
              </w:rPr>
              <w:t xml:space="preserve"> no ēnu ekonomikas galvenajām komponentēm ir ienākumu (peļņas) neuzrādīšana (t.i., ienākumi (peļņa), kurus uzņēmumi slēpj no valsts), darbinieku neuzrādīšana (t.i. darbinieki, kas tiek nodarbināti bez līguma) un aplokšņu algas (t.i., algas daļa, kuru uzņēmēji reāli maksā, bet slēpj šo faktu no valsts). Visu nosaukto komponenšu pastāvēšanas pamatā ir skaidra nauda, kas tiek iegūta nedeklarētos darījumos (t.i., no valsts slēpjot skaidras naudas darījumu faktu), lai gan jau tagad nodokļu maksātājiem ir pienākums katru mēnesi deklarēt darījumus, kuru summa pārsniedz 1500</w:t>
            </w:r>
            <w:r w:rsidR="004A757D" w:rsidRPr="0022005E">
              <w:rPr>
                <w:rFonts w:cs="Times New Roman"/>
              </w:rPr>
              <w:t> </w:t>
            </w:r>
            <w:r w:rsidRPr="0022005E">
              <w:rPr>
                <w:rFonts w:cs="Times New Roman"/>
                <w:i/>
              </w:rPr>
              <w:t>euro</w:t>
            </w:r>
            <w:r w:rsidRPr="0022005E">
              <w:rPr>
                <w:rFonts w:cs="Times New Roman"/>
              </w:rPr>
              <w:t>. Tāpat iespēja veikt skaidras naudas darījumus ir risks fiktīvu un krāpniecisku darījumu veikšanai, kā arī iespējai legalizēt nelikumīgi iegūtos naudas līdzekļus.</w:t>
            </w:r>
          </w:p>
          <w:p w:rsidR="00096DE1" w:rsidRPr="0022005E" w:rsidRDefault="00096DE1" w:rsidP="00096DE1">
            <w:pPr>
              <w:ind w:firstLine="360"/>
              <w:jc w:val="both"/>
              <w:rPr>
                <w:rFonts w:cs="Times New Roman"/>
              </w:rPr>
            </w:pPr>
            <w:r w:rsidRPr="0022005E">
              <w:rPr>
                <w:rFonts w:cs="Times New Roman"/>
              </w:rPr>
              <w:t>Skaidras naudas lietošana darījumos apgrūtina nodokļu administrācijai iespēju kontrolēt nodokļu (nodevu) aprēķināšanas un maksāšanas pareizību, jo nav efektīvu instrumentu skaidras naudas darījuma pierādīšanai, tai skaitā, vai skaidras naudas saņemšana/nodošana faktiski ir notikusi.</w:t>
            </w:r>
          </w:p>
          <w:p w:rsidR="00096DE1" w:rsidRPr="0022005E" w:rsidRDefault="00096DE1" w:rsidP="00096DE1">
            <w:pPr>
              <w:ind w:firstLine="360"/>
              <w:jc w:val="both"/>
              <w:rPr>
                <w:rFonts w:cs="Times New Roman"/>
              </w:rPr>
            </w:pPr>
            <w:r w:rsidRPr="0022005E">
              <w:rPr>
                <w:rFonts w:cs="Times New Roman"/>
              </w:rPr>
              <w:t xml:space="preserve">Bezskaidras naudas aprite nozīmē vieglāku un efektīvāku to izsekojamību un kontroli, ņemot vērā, ka šajā gadījumā informācija par darījuma norisi tiek atspoguļota kontu pārskatos, kurus nodokļu administrācija var pieprasīt un analizēt, veicot nodokļu kontroles pasākumus. Tāpat jāņem vērā, ka bezskaidras naudas apritē ir iesaistītas kredītiestādes un maksājumu </w:t>
            </w:r>
            <w:r w:rsidRPr="0022005E">
              <w:rPr>
                <w:rFonts w:cs="Times New Roman"/>
              </w:rPr>
              <w:lastRenderedPageBreak/>
              <w:t>pakalpojumu sniedzēji, uz kuriem attiecināmas prasības izvērtēt, vai kontā esošie līdzekļi nav saistīti ar noziedzīgi iegūtu līdzekļu legalizāciju, nepieciešamības gadījumā sniedzot attiecīgajām iestādēm informāciju par aizdomīgu vai  neparastu darījumu. Tādējādi tas ir kā papildu mehānisms, kas nodrošina, ka nodokļu administrācijas rīcībā būs informācija par nodokļu maksātājiem, kuru darījumi būtu padziļināti izvērtējami.</w:t>
            </w:r>
          </w:p>
          <w:p w:rsidR="00096DE1" w:rsidRPr="0022005E" w:rsidRDefault="00096DE1" w:rsidP="00096DE1">
            <w:pPr>
              <w:ind w:firstLine="360"/>
              <w:jc w:val="both"/>
              <w:rPr>
                <w:rFonts w:cs="Times New Roman"/>
              </w:rPr>
            </w:pPr>
            <w:r w:rsidRPr="0022005E">
              <w:rPr>
                <w:rFonts w:cs="Times New Roman"/>
              </w:rPr>
              <w:t xml:space="preserve">Skaidras naudas </w:t>
            </w:r>
            <w:r w:rsidR="00EA6C14" w:rsidRPr="0022005E">
              <w:rPr>
                <w:rFonts w:cs="Times New Roman"/>
              </w:rPr>
              <w:t xml:space="preserve">lietošanas </w:t>
            </w:r>
            <w:r w:rsidRPr="0022005E">
              <w:rPr>
                <w:rFonts w:cs="Times New Roman"/>
              </w:rPr>
              <w:t>ierobežojuma sliekšņa samazināšanai ir pozitīva ietekme uz valsts budžetu, jo tiek nodrošināta iespēja Valsts ieņēmumu dienestam kontrolēt, vai nodokļu maksātājs no attiecīgajiem darījumiem ir aprēķinājis un budžetā iemaksājis nepieciešamās nodokļu maksājumu summas.</w:t>
            </w:r>
          </w:p>
          <w:p w:rsidR="00B02C3A" w:rsidRPr="0022005E" w:rsidRDefault="00687AA9" w:rsidP="00096DE1">
            <w:pPr>
              <w:ind w:firstLine="284"/>
              <w:jc w:val="both"/>
              <w:rPr>
                <w:rFonts w:cs="Times New Roman"/>
              </w:rPr>
            </w:pPr>
            <w:r w:rsidRPr="0022005E">
              <w:rPr>
                <w:rFonts w:cs="Times New Roman"/>
              </w:rPr>
              <w:t>Jānorāda, ka</w:t>
            </w:r>
            <w:r w:rsidR="007349B0" w:rsidRPr="0022005E">
              <w:rPr>
                <w:rFonts w:cs="Times New Roman"/>
              </w:rPr>
              <w:t>,</w:t>
            </w:r>
            <w:r w:rsidRPr="0022005E">
              <w:rPr>
                <w:rFonts w:cs="Times New Roman"/>
              </w:rPr>
              <w:t xml:space="preserve"> salīdzinot informāciju par 201</w:t>
            </w:r>
            <w:r w:rsidR="007349B0" w:rsidRPr="0022005E">
              <w:rPr>
                <w:rFonts w:cs="Times New Roman"/>
              </w:rPr>
              <w:t>5</w:t>
            </w:r>
            <w:r w:rsidRPr="0022005E">
              <w:rPr>
                <w:rFonts w:cs="Times New Roman"/>
              </w:rPr>
              <w:t>. gadā un</w:t>
            </w:r>
            <w:r w:rsidR="00096DE1" w:rsidRPr="0022005E">
              <w:rPr>
                <w:rFonts w:cs="Times New Roman"/>
              </w:rPr>
              <w:t xml:space="preserve"> 2018.</w:t>
            </w:r>
            <w:r w:rsidR="00DB55FC" w:rsidRPr="0022005E">
              <w:rPr>
                <w:rFonts w:cs="Times New Roman"/>
              </w:rPr>
              <w:t> </w:t>
            </w:r>
            <w:r w:rsidR="00096DE1" w:rsidRPr="0022005E">
              <w:rPr>
                <w:rFonts w:cs="Times New Roman"/>
              </w:rPr>
              <w:t>gadā</w:t>
            </w:r>
            <w:r w:rsidRPr="0022005E">
              <w:rPr>
                <w:rFonts w:cs="Times New Roman"/>
              </w:rPr>
              <w:t xml:space="preserve"> deklarētajiem skaidras naudas darījumiem, konstatējams, ka</w:t>
            </w:r>
            <w:r w:rsidR="00096DE1" w:rsidRPr="0022005E">
              <w:rPr>
                <w:rFonts w:cs="Times New Roman"/>
              </w:rPr>
              <w:t xml:space="preserve"> nodokļu maksātāji (juridiskās personas, individuālie komersanti un fiziskās personas, kas veic saimniecisko darbību) </w:t>
            </w:r>
            <w:r w:rsidRPr="0022005E">
              <w:rPr>
                <w:rFonts w:cs="Times New Roman"/>
              </w:rPr>
              <w:t>201</w:t>
            </w:r>
            <w:r w:rsidR="00813CD7">
              <w:rPr>
                <w:rFonts w:cs="Times New Roman"/>
              </w:rPr>
              <w:t>5</w:t>
            </w:r>
            <w:r w:rsidRPr="0022005E">
              <w:rPr>
                <w:rFonts w:cs="Times New Roman"/>
              </w:rPr>
              <w:t xml:space="preserve">. gadā </w:t>
            </w:r>
            <w:r w:rsidR="00096DE1" w:rsidRPr="0022005E">
              <w:rPr>
                <w:rFonts w:cs="Times New Roman"/>
              </w:rPr>
              <w:t>ir deklarējuši savstarpēji skaidrā naudā veiktos darīj</w:t>
            </w:r>
            <w:r w:rsidR="004E33DF" w:rsidRPr="0022005E">
              <w:rPr>
                <w:rFonts w:cs="Times New Roman"/>
              </w:rPr>
              <w:t>umus, kuru summa pārsniedz 1500 </w:t>
            </w:r>
            <w:r w:rsidR="00096DE1" w:rsidRPr="0022005E">
              <w:rPr>
                <w:rFonts w:cs="Times New Roman"/>
                <w:i/>
              </w:rPr>
              <w:t>euro</w:t>
            </w:r>
            <w:r w:rsidR="00096DE1" w:rsidRPr="0022005E">
              <w:rPr>
                <w:rFonts w:cs="Times New Roman"/>
              </w:rPr>
              <w:t>,</w:t>
            </w:r>
            <w:r w:rsidRPr="0022005E">
              <w:rPr>
                <w:rFonts w:cs="Times New Roman"/>
              </w:rPr>
              <w:t xml:space="preserve"> 77 023 615,</w:t>
            </w:r>
            <w:r w:rsidR="00B02C3A" w:rsidRPr="0022005E">
              <w:rPr>
                <w:rFonts w:cs="Times New Roman"/>
              </w:rPr>
              <w:t>01</w:t>
            </w:r>
            <w:r w:rsidRPr="0022005E">
              <w:rPr>
                <w:rFonts w:cs="Times New Roman"/>
              </w:rPr>
              <w:t> </w:t>
            </w:r>
            <w:r w:rsidRPr="0022005E">
              <w:rPr>
                <w:rFonts w:cs="Times New Roman"/>
                <w:i/>
              </w:rPr>
              <w:t>euro</w:t>
            </w:r>
            <w:r w:rsidRPr="0022005E">
              <w:rPr>
                <w:rFonts w:cs="Times New Roman"/>
              </w:rPr>
              <w:t xml:space="preserve"> apmērā, savukārt 2018. gadā</w:t>
            </w:r>
            <w:r w:rsidR="00096DE1" w:rsidRPr="0022005E">
              <w:rPr>
                <w:rFonts w:cs="Times New Roman"/>
              </w:rPr>
              <w:t xml:space="preserve"> </w:t>
            </w:r>
            <w:r w:rsidRPr="0022005E">
              <w:rPr>
                <w:rFonts w:cs="Times New Roman"/>
              </w:rPr>
              <w:t>-</w:t>
            </w:r>
            <w:r w:rsidR="00096DE1" w:rsidRPr="0022005E">
              <w:rPr>
                <w:rFonts w:cs="Times New Roman"/>
              </w:rPr>
              <w:t xml:space="preserve">62 983 378,13 </w:t>
            </w:r>
            <w:r w:rsidR="00096DE1" w:rsidRPr="0022005E">
              <w:rPr>
                <w:rFonts w:cs="Times New Roman"/>
                <w:i/>
              </w:rPr>
              <w:t>euro</w:t>
            </w:r>
            <w:r w:rsidRPr="0022005E">
              <w:rPr>
                <w:rFonts w:cs="Times New Roman"/>
              </w:rPr>
              <w:t xml:space="preserve"> apmērā. Tādējādi secināms, ka</w:t>
            </w:r>
            <w:r w:rsidR="00B02C3A" w:rsidRPr="0022005E">
              <w:rPr>
                <w:rFonts w:cs="Times New Roman"/>
              </w:rPr>
              <w:t xml:space="preserve"> šajā gadījumā </w:t>
            </w:r>
            <w:r w:rsidRPr="0022005E">
              <w:rPr>
                <w:rFonts w:cs="Times New Roman"/>
              </w:rPr>
              <w:t>skaidras naudas darījumu apm</w:t>
            </w:r>
            <w:r w:rsidR="00B02C3A" w:rsidRPr="0022005E">
              <w:rPr>
                <w:rFonts w:cs="Times New Roman"/>
              </w:rPr>
              <w:t>ēram ir tenden</w:t>
            </w:r>
            <w:r w:rsidR="007349B0" w:rsidRPr="0022005E">
              <w:rPr>
                <w:rFonts w:cs="Times New Roman"/>
              </w:rPr>
              <w:t>ce samazināties.</w:t>
            </w:r>
          </w:p>
          <w:p w:rsidR="00B02C3A" w:rsidRPr="0022005E" w:rsidRDefault="00B02C3A" w:rsidP="00096DE1">
            <w:pPr>
              <w:ind w:firstLine="284"/>
              <w:jc w:val="both"/>
              <w:rPr>
                <w:rFonts w:cs="Times New Roman"/>
              </w:rPr>
            </w:pPr>
            <w:r w:rsidRPr="0022005E">
              <w:rPr>
                <w:rFonts w:cs="Times New Roman"/>
              </w:rPr>
              <w:t>Savukārt savādāka situācija ir attiecībā uz darījumiem starp iepriekš minētajām personām un fiziskajām personām, kas neve</w:t>
            </w:r>
            <w:r w:rsidR="007349B0" w:rsidRPr="0022005E">
              <w:rPr>
                <w:rFonts w:cs="Times New Roman"/>
              </w:rPr>
              <w:t>ic saimniecisko darbību. Ja 2015</w:t>
            </w:r>
            <w:r w:rsidRPr="0022005E">
              <w:rPr>
                <w:rFonts w:cs="Times New Roman"/>
              </w:rPr>
              <w:t>. gadā nodokļu maksātāji (juridiskās personas, individuālie komersanti un fiziskās personas, kas veic saimniecisko darbību), deklarēja skaidrā naudā veiktos darījumus, kur viena darījuma summa pārsniedz  3000 </w:t>
            </w:r>
            <w:r w:rsidRPr="0022005E">
              <w:rPr>
                <w:rFonts w:cs="Times New Roman"/>
                <w:i/>
              </w:rPr>
              <w:t>euro</w:t>
            </w:r>
            <w:r w:rsidRPr="0022005E">
              <w:rPr>
                <w:rFonts w:cs="Times New Roman"/>
              </w:rPr>
              <w:t>, ar fiziskām personām, kas neveic saimniecisko darbību, 34 046 726,26 </w:t>
            </w:r>
            <w:r w:rsidRPr="0022005E">
              <w:rPr>
                <w:rFonts w:cs="Times New Roman"/>
                <w:i/>
              </w:rPr>
              <w:t>euro</w:t>
            </w:r>
            <w:r w:rsidRPr="0022005E">
              <w:rPr>
                <w:rFonts w:cs="Times New Roman"/>
              </w:rPr>
              <w:t xml:space="preserve"> apmērā, tad 2018. gadā minētā summa ir pieaugusi gandrīz </w:t>
            </w:r>
            <w:r w:rsidR="00027602" w:rsidRPr="0022005E">
              <w:rPr>
                <w:rFonts w:cs="Times New Roman"/>
              </w:rPr>
              <w:t>divas reizes</w:t>
            </w:r>
            <w:r w:rsidRPr="0022005E">
              <w:rPr>
                <w:rFonts w:cs="Times New Roman"/>
              </w:rPr>
              <w:t>, proti, tika deklarēta kopējā summa 67 760 148,10 </w:t>
            </w:r>
            <w:r w:rsidRPr="0022005E">
              <w:rPr>
                <w:rFonts w:cs="Times New Roman"/>
                <w:i/>
              </w:rPr>
              <w:t xml:space="preserve">euro </w:t>
            </w:r>
            <w:r w:rsidRPr="0022005E">
              <w:rPr>
                <w:rFonts w:cs="Times New Roman"/>
              </w:rPr>
              <w:t>apmērā.</w:t>
            </w:r>
          </w:p>
          <w:p w:rsidR="00096DE1" w:rsidRPr="0022005E" w:rsidRDefault="00AE2EF7" w:rsidP="00096DE1">
            <w:pPr>
              <w:ind w:firstLine="284"/>
              <w:jc w:val="both"/>
              <w:rPr>
                <w:rFonts w:cs="Times New Roman"/>
              </w:rPr>
            </w:pPr>
            <w:r w:rsidRPr="0022005E">
              <w:rPr>
                <w:rFonts w:cs="Times New Roman"/>
              </w:rPr>
              <w:t>Tā</w:t>
            </w:r>
            <w:r w:rsidR="008B2F81" w:rsidRPr="0022005E">
              <w:rPr>
                <w:rFonts w:cs="Times New Roman"/>
              </w:rPr>
              <w:t xml:space="preserve"> kā m</w:t>
            </w:r>
            <w:r w:rsidR="00096DE1" w:rsidRPr="0022005E">
              <w:rPr>
                <w:rFonts w:cs="Times New Roman"/>
              </w:rPr>
              <w:t xml:space="preserve">inētā informācija liecina par liela apjoma un </w:t>
            </w:r>
            <w:r w:rsidR="00B53617" w:rsidRPr="0022005E">
              <w:rPr>
                <w:rFonts w:cs="Times New Roman"/>
              </w:rPr>
              <w:t>skaita</w:t>
            </w:r>
            <w:r w:rsidR="00096DE1" w:rsidRPr="0022005E">
              <w:rPr>
                <w:rFonts w:cs="Times New Roman"/>
              </w:rPr>
              <w:t xml:space="preserve"> d</w:t>
            </w:r>
            <w:r w:rsidR="008B2F81" w:rsidRPr="0022005E">
              <w:rPr>
                <w:rFonts w:cs="Times New Roman"/>
              </w:rPr>
              <w:t xml:space="preserve">arījumu veikšanu skaidrā naudā, un ievērojot, ka </w:t>
            </w:r>
            <w:r w:rsidR="00027602" w:rsidRPr="0022005E">
              <w:rPr>
                <w:rFonts w:cs="Times New Roman"/>
              </w:rPr>
              <w:t>tieši darījumu, kuru summa pārsniedz 3000 </w:t>
            </w:r>
            <w:r w:rsidR="00027602" w:rsidRPr="0022005E">
              <w:rPr>
                <w:rFonts w:cs="Times New Roman"/>
                <w:i/>
              </w:rPr>
              <w:t>euro</w:t>
            </w:r>
            <w:r w:rsidR="00027602" w:rsidRPr="0022005E">
              <w:rPr>
                <w:rFonts w:cs="Times New Roman"/>
              </w:rPr>
              <w:t xml:space="preserve">, apmērs </w:t>
            </w:r>
            <w:r w:rsidR="00B95B8F" w:rsidRPr="0022005E">
              <w:rPr>
                <w:rFonts w:cs="Times New Roman"/>
              </w:rPr>
              <w:t>triju</w:t>
            </w:r>
            <w:r w:rsidR="00027602" w:rsidRPr="0022005E">
              <w:rPr>
                <w:rFonts w:cs="Times New Roman"/>
              </w:rPr>
              <w:t xml:space="preserve"> gadu laikā ir strauji pieaudzis, ar likumprojektu tiek samazināts esošais skaidras naudas lietošanas slieksnis no 7200 </w:t>
            </w:r>
            <w:r w:rsidR="00027602" w:rsidRPr="0022005E">
              <w:rPr>
                <w:rFonts w:cs="Times New Roman"/>
                <w:i/>
              </w:rPr>
              <w:t>euro</w:t>
            </w:r>
            <w:r w:rsidR="00027602" w:rsidRPr="0022005E">
              <w:rPr>
                <w:rFonts w:cs="Times New Roman"/>
              </w:rPr>
              <w:t xml:space="preserve"> uz 3000 </w:t>
            </w:r>
            <w:r w:rsidR="00027602" w:rsidRPr="0022005E">
              <w:rPr>
                <w:rFonts w:cs="Times New Roman"/>
                <w:i/>
              </w:rPr>
              <w:t>euro</w:t>
            </w:r>
            <w:r w:rsidR="00027602" w:rsidRPr="0022005E">
              <w:rPr>
                <w:rFonts w:cs="Times New Roman"/>
              </w:rPr>
              <w:t>.</w:t>
            </w:r>
          </w:p>
          <w:p w:rsidR="00096DE1" w:rsidRPr="0022005E" w:rsidRDefault="00DB55FC" w:rsidP="00096DE1">
            <w:pPr>
              <w:ind w:firstLine="284"/>
              <w:jc w:val="both"/>
              <w:rPr>
                <w:rFonts w:cs="Times New Roman"/>
              </w:rPr>
            </w:pPr>
            <w:r w:rsidRPr="0022005E">
              <w:rPr>
                <w:rFonts w:cs="Times New Roman"/>
              </w:rPr>
              <w:t xml:space="preserve">Attiecībā uz fiziskajām personām, kas neveic saimniecisko darbību, skaidras naudas lietošanas lieguma sliekšņa samazināšana </w:t>
            </w:r>
            <w:r w:rsidR="00FB59DC" w:rsidRPr="0022005E">
              <w:rPr>
                <w:rFonts w:cs="Times New Roman"/>
              </w:rPr>
              <w:t xml:space="preserve">veicinās </w:t>
            </w:r>
            <w:r w:rsidRPr="0022005E">
              <w:rPr>
                <w:rFonts w:cs="Times New Roman"/>
              </w:rPr>
              <w:t>fizisko personu nodokļu nomaksas uzraudzība</w:t>
            </w:r>
            <w:r w:rsidR="00FB59DC" w:rsidRPr="0022005E">
              <w:rPr>
                <w:rFonts w:cs="Times New Roman"/>
              </w:rPr>
              <w:t>s pilnveidošanu</w:t>
            </w:r>
            <w:r w:rsidRPr="0022005E">
              <w:rPr>
                <w:rFonts w:cs="Times New Roman"/>
              </w:rPr>
              <w:t xml:space="preserve">, jo bezskaidras naudas lietošana norēķinos nodrošina iespēju nodokļu administrācijai, veicot konkrētus nodokļu kontroles pasākumus, izmantot kredītiestāžu </w:t>
            </w:r>
            <w:r w:rsidRPr="0022005E">
              <w:rPr>
                <w:rFonts w:cs="Times New Roman"/>
              </w:rPr>
              <w:lastRenderedPageBreak/>
              <w:t>un maksājumu pakalpojumu sniedzēju rīcībā esošo informāciju un kontrolēt, vai fiziskā persona no attiecīgajiem darījumiem ir aprēķinājusi un budžetā iemaksājusi nepieciešamās nodokļu maksājumu summas un vai personai vispār ir bijuši ienākumi tādā apjomā, lai veiktu attiecīgos darījumus.</w:t>
            </w:r>
            <w:r w:rsidRPr="0022005E">
              <w:t xml:space="preserve"> </w:t>
            </w:r>
            <w:r w:rsidRPr="0022005E">
              <w:rPr>
                <w:rFonts w:cs="Times New Roman"/>
              </w:rPr>
              <w:t>Rezultātā tiks veicināta bezskaidras naudas lietošana darījumos, tādējādi mazinot</w:t>
            </w:r>
            <w:r w:rsidR="00FB59DC" w:rsidRPr="0022005E">
              <w:rPr>
                <w:rFonts w:cs="Times New Roman"/>
              </w:rPr>
              <w:t xml:space="preserve"> iespēju legalizēt nelikumīgi iegūtus naudas līdzekļus.</w:t>
            </w:r>
          </w:p>
          <w:p w:rsidR="00883347" w:rsidRPr="0022005E" w:rsidRDefault="00DF4C18" w:rsidP="00096DE1">
            <w:pPr>
              <w:ind w:firstLine="284"/>
              <w:jc w:val="both"/>
              <w:rPr>
                <w:rFonts w:cs="Times New Roman"/>
                <w:b/>
                <w:szCs w:val="24"/>
              </w:rPr>
            </w:pPr>
            <w:r w:rsidRPr="0022005E">
              <w:rPr>
                <w:rFonts w:cs="Times New Roman"/>
                <w:b/>
                <w:szCs w:val="24"/>
              </w:rPr>
              <w:t>Par mehānisko transpor</w:t>
            </w:r>
            <w:r w:rsidR="003124D3" w:rsidRPr="0022005E">
              <w:rPr>
                <w:rFonts w:cs="Times New Roman"/>
                <w:b/>
                <w:szCs w:val="24"/>
              </w:rPr>
              <w:t>tlīdzekļu atsavināšanas darījumiem</w:t>
            </w:r>
          </w:p>
          <w:p w:rsidR="000A7C97" w:rsidRPr="0022005E" w:rsidRDefault="000A7C97" w:rsidP="000A7C97">
            <w:pPr>
              <w:ind w:firstLine="284"/>
              <w:jc w:val="both"/>
              <w:rPr>
                <w:szCs w:val="24"/>
              </w:rPr>
            </w:pPr>
            <w:r w:rsidRPr="0022005E">
              <w:rPr>
                <w:szCs w:val="24"/>
              </w:rPr>
              <w:t xml:space="preserve">Valsts ieņēmumu dienests, </w:t>
            </w:r>
            <w:r w:rsidR="009C62F6" w:rsidRPr="0022005E">
              <w:rPr>
                <w:szCs w:val="24"/>
              </w:rPr>
              <w:t>veicot pārbaudes transportlīdzekļu tirdzniecības nozarē, konstatējis, ka gan fiziskās, gan juridiskās personas, ievērojot likum</w:t>
            </w:r>
            <w:r w:rsidR="00EA6C14" w:rsidRPr="0022005E">
              <w:rPr>
                <w:szCs w:val="24"/>
              </w:rPr>
              <w:t>a</w:t>
            </w:r>
            <w:r w:rsidR="009C62F6" w:rsidRPr="0022005E">
              <w:rPr>
                <w:szCs w:val="24"/>
              </w:rPr>
              <w:t xml:space="preserve"> “Par nodokļiem un nodevām” 30. pantā noteikto ierobežojumu veikt darījumus skaidrā naudā virs 7200 </w:t>
            </w:r>
            <w:r w:rsidR="009C62F6" w:rsidRPr="0022005E">
              <w:rPr>
                <w:i/>
                <w:szCs w:val="24"/>
              </w:rPr>
              <w:t>euro</w:t>
            </w:r>
            <w:r w:rsidR="009C62F6" w:rsidRPr="0022005E">
              <w:rPr>
                <w:szCs w:val="24"/>
              </w:rPr>
              <w:t>, Ceļu satiksmes drošības direkcijā iesniegtajos dokumentos norāda, ka transportlīdzeklis iegādāts skaidrā naudā, nepārsniedzot 7200 </w:t>
            </w:r>
            <w:r w:rsidR="009C62F6" w:rsidRPr="0022005E">
              <w:rPr>
                <w:i/>
                <w:szCs w:val="24"/>
              </w:rPr>
              <w:t>euro</w:t>
            </w:r>
            <w:r w:rsidR="009C62F6" w:rsidRPr="0022005E">
              <w:rPr>
                <w:szCs w:val="24"/>
              </w:rPr>
              <w:t>. Turklāt tiek norādīta zemāka transportlīdzekļa iegādes vērtība, kas nereti ir ievērojami zemāka par transportlīdzekļa tirgus vērtību (pat 2 līdz 3 reizes). Taču pārbaudes laikā no juridiskās personas uzrādītajiem dokumentiem, transportlīdzekļu sludinājumos norādītās informācijas vai arī no fizisko personu sniegtajiem paskaidrojumiem izriet, ka transportlīdzekļa iegādes vai realizācijas vērtība ir krietni augstāka par norādīto, kā rezultātā juridiskās personas izvairās no pievienotās vērtības nodaļa nomaksa</w:t>
            </w:r>
            <w:r w:rsidR="00B43EED">
              <w:rPr>
                <w:szCs w:val="24"/>
              </w:rPr>
              <w:t>s pilnā apmērā, radot ievērojamu</w:t>
            </w:r>
            <w:r w:rsidR="009C62F6" w:rsidRPr="0022005E">
              <w:rPr>
                <w:szCs w:val="24"/>
              </w:rPr>
              <w:t>s zaudējumus valsts budžetam.</w:t>
            </w:r>
          </w:p>
          <w:p w:rsidR="00093D3E" w:rsidRPr="0022005E" w:rsidRDefault="009C62F6" w:rsidP="003A5699">
            <w:pPr>
              <w:ind w:firstLine="284"/>
              <w:jc w:val="both"/>
              <w:rPr>
                <w:rFonts w:cs="Times New Roman"/>
                <w:szCs w:val="24"/>
              </w:rPr>
            </w:pPr>
            <w:r w:rsidRPr="0022005E">
              <w:rPr>
                <w:szCs w:val="24"/>
              </w:rPr>
              <w:t xml:space="preserve">Ņemot vērā to, ka šobrīd nav noteikts aizliegums transportlīdzekļu iegādes un realizācijas darījumos veikt norēķinus skaidrā naudā (pēc ekspertu novērtējuma 90 % lietoto transportlīdzekļu tirdzniecības vietās un fizisko personu starpā norit skaidrā naudā), ir apgrūtināta iespēja noteikt transportlīdzekļa faktisko iegādes un realizācijas vērtību, kā arī ir apgrūtināta iespēja izsekot darījuma gaitai un naudas plūsmai. Līdz ar to, lai mazinātu ēnu </w:t>
            </w:r>
            <w:r w:rsidRPr="0022005E">
              <w:rPr>
                <w:rFonts w:cs="Times New Roman"/>
                <w:szCs w:val="24"/>
              </w:rPr>
              <w:t>ekonomiku transportlīdzekļu tirdzniecības nozarē, ir nepieciešams</w:t>
            </w:r>
            <w:r w:rsidR="00D6156E" w:rsidRPr="0022005E">
              <w:rPr>
                <w:rFonts w:cs="Times New Roman"/>
                <w:szCs w:val="24"/>
              </w:rPr>
              <w:t xml:space="preserve"> noteikt</w:t>
            </w:r>
            <w:r w:rsidRPr="0022005E">
              <w:rPr>
                <w:rFonts w:cs="Times New Roman"/>
                <w:szCs w:val="24"/>
              </w:rPr>
              <w:t xml:space="preserve"> </w:t>
            </w:r>
            <w:r w:rsidR="000A7C97" w:rsidRPr="0022005E">
              <w:rPr>
                <w:rFonts w:cs="Times New Roman"/>
                <w:szCs w:val="24"/>
              </w:rPr>
              <w:t xml:space="preserve">skaidras naudas lietošanas ierobežojumu </w:t>
            </w:r>
            <w:r w:rsidR="006014F6" w:rsidRPr="0022005E">
              <w:rPr>
                <w:rFonts w:cs="Times New Roman"/>
                <w:szCs w:val="24"/>
              </w:rPr>
              <w:t xml:space="preserve">atsavināšanas darījumiem ar </w:t>
            </w:r>
            <w:r w:rsidR="00D6156E" w:rsidRPr="0022005E">
              <w:rPr>
                <w:rFonts w:cs="Times New Roman"/>
                <w:szCs w:val="24"/>
              </w:rPr>
              <w:t>transportlīdzekļu</w:t>
            </w:r>
            <w:r w:rsidR="00EB1791">
              <w:rPr>
                <w:rFonts w:cs="Times New Roman"/>
                <w:szCs w:val="24"/>
              </w:rPr>
              <w:t xml:space="preserve"> kategorijām, kuras</w:t>
            </w:r>
            <w:r w:rsidR="006014F6" w:rsidRPr="0022005E">
              <w:rPr>
                <w:rFonts w:cs="Times New Roman"/>
                <w:szCs w:val="24"/>
              </w:rPr>
              <w:t xml:space="preserve"> uzrauga Valsts ieņēmumu dienests saskaņā ar Ceļu satiksmes likumā noteikto</w:t>
            </w:r>
            <w:r w:rsidR="00202B85" w:rsidRPr="0022005E">
              <w:rPr>
                <w:rFonts w:cs="Times New Roman"/>
                <w:szCs w:val="24"/>
              </w:rPr>
              <w:t xml:space="preserve">, proti, M1 (tai skaitā M1G) un N1 (tai skaitā N1G) kategorijas </w:t>
            </w:r>
            <w:r w:rsidR="00093D3E" w:rsidRPr="0022005E">
              <w:rPr>
                <w:rFonts w:cs="Times New Roman"/>
                <w:szCs w:val="24"/>
              </w:rPr>
              <w:t>transportlīdzekļiem</w:t>
            </w:r>
            <w:r w:rsidR="00202B85" w:rsidRPr="0022005E">
              <w:rPr>
                <w:rFonts w:cs="Times New Roman"/>
                <w:szCs w:val="24"/>
              </w:rPr>
              <w:t>.</w:t>
            </w:r>
          </w:p>
          <w:p w:rsidR="00093D3E" w:rsidRPr="0022005E" w:rsidDel="006014F6" w:rsidRDefault="00093D3E" w:rsidP="003A5699">
            <w:pPr>
              <w:ind w:firstLine="284"/>
              <w:jc w:val="both"/>
              <w:rPr>
                <w:rFonts w:cs="Times New Roman"/>
                <w:szCs w:val="24"/>
              </w:rPr>
            </w:pPr>
            <w:r w:rsidRPr="0022005E">
              <w:rPr>
                <w:rFonts w:cs="Times New Roman"/>
                <w:szCs w:val="24"/>
              </w:rPr>
              <w:t xml:space="preserve">Atbilstoši </w:t>
            </w:r>
            <w:r w:rsidR="00EF0857" w:rsidRPr="0022005E">
              <w:rPr>
                <w:rFonts w:cs="Times New Roman"/>
                <w:szCs w:val="24"/>
              </w:rPr>
              <w:t>Komisijas Regulas</w:t>
            </w:r>
            <w:r w:rsidRPr="0022005E">
              <w:rPr>
                <w:rFonts w:cs="Times New Roman"/>
                <w:szCs w:val="24"/>
              </w:rPr>
              <w:t xml:space="preserve"> (ES) Nr. 678/2011 (2011. gada 14. jūlijs ), ar kuru aizstāj II pielikumu un groza IV, IX un XI pielikumu Eiropas Parlamenta un Padomes Direktīvā 2007/46/EK, ar ko izveido sistēmu </w:t>
            </w:r>
            <w:r w:rsidRPr="0022005E">
              <w:rPr>
                <w:rFonts w:cs="Times New Roman"/>
                <w:szCs w:val="24"/>
              </w:rPr>
              <w:lastRenderedPageBreak/>
              <w:t>mehānisko transportlīdzekļu un to piekabju, kā arī tādiem transportlīdzekļiem paredzētu sistēmu, sastāvdaļu un atsevišķu tehnisku vienību apstiprināšanai (pamatdirektīva)</w:t>
            </w:r>
            <w:r w:rsidR="008A7E5F" w:rsidRPr="0022005E">
              <w:rPr>
                <w:rFonts w:cs="Times New Roman"/>
                <w:szCs w:val="24"/>
              </w:rPr>
              <w:t>,</w:t>
            </w:r>
            <w:r w:rsidRPr="0022005E">
              <w:rPr>
                <w:rFonts w:cs="Times New Roman"/>
                <w:szCs w:val="24"/>
              </w:rPr>
              <w:t xml:space="preserve"> </w:t>
            </w:r>
            <w:r w:rsidR="00EF0857" w:rsidRPr="0022005E">
              <w:rPr>
                <w:rFonts w:cs="Times New Roman"/>
                <w:szCs w:val="24"/>
              </w:rPr>
              <w:t>I</w:t>
            </w:r>
            <w:r w:rsidR="00F72CA0" w:rsidRPr="0022005E">
              <w:rPr>
                <w:rFonts w:cs="Times New Roman"/>
                <w:szCs w:val="24"/>
              </w:rPr>
              <w:t> </w:t>
            </w:r>
            <w:r w:rsidR="00EF0857" w:rsidRPr="0022005E">
              <w:rPr>
                <w:rFonts w:cs="Times New Roman"/>
                <w:szCs w:val="24"/>
              </w:rPr>
              <w:t xml:space="preserve">pielikuma A daļas 1. punktā </w:t>
            </w:r>
            <w:r w:rsidR="0075524E" w:rsidRPr="0022005E">
              <w:rPr>
                <w:rFonts w:cs="Times New Roman"/>
                <w:szCs w:val="24"/>
              </w:rPr>
              <w:t>noteiktajam</w:t>
            </w:r>
            <w:r w:rsidRPr="0022005E">
              <w:rPr>
                <w:rFonts w:cs="Times New Roman"/>
                <w:szCs w:val="24"/>
              </w:rPr>
              <w:t xml:space="preserve"> M1 kategorija ir mehāniskie transportlīdzekļi, </w:t>
            </w:r>
            <w:r w:rsidRPr="0022005E">
              <w:rPr>
                <w:rFonts w:eastAsia="Times New Roman" w:cs="Times New Roman"/>
                <w:szCs w:val="24"/>
                <w:lang w:eastAsia="lv-LV"/>
              </w:rPr>
              <w:t>kas projekt</w:t>
            </w:r>
            <w:r w:rsidRPr="0022005E">
              <w:rPr>
                <w:rFonts w:eastAsia="Times New Roman" w:cs="Times New Roman" w:hint="eastAsia"/>
                <w:szCs w:val="24"/>
                <w:lang w:eastAsia="lv-LV"/>
              </w:rPr>
              <w:t>ē</w:t>
            </w:r>
            <w:r w:rsidRPr="0022005E">
              <w:rPr>
                <w:rFonts w:eastAsia="Times New Roman" w:cs="Times New Roman"/>
                <w:szCs w:val="24"/>
                <w:lang w:eastAsia="lv-LV"/>
              </w:rPr>
              <w:t>ti un b</w:t>
            </w:r>
            <w:r w:rsidRPr="0022005E">
              <w:rPr>
                <w:rFonts w:eastAsia="Times New Roman" w:cs="Times New Roman" w:hint="eastAsia"/>
                <w:szCs w:val="24"/>
                <w:lang w:eastAsia="lv-LV"/>
              </w:rPr>
              <w:t>ū</w:t>
            </w:r>
            <w:r w:rsidRPr="0022005E">
              <w:rPr>
                <w:rFonts w:eastAsia="Times New Roman" w:cs="Times New Roman"/>
                <w:szCs w:val="24"/>
                <w:lang w:eastAsia="lv-LV"/>
              </w:rPr>
              <w:t>v</w:t>
            </w:r>
            <w:r w:rsidRPr="0022005E">
              <w:rPr>
                <w:rFonts w:eastAsia="Times New Roman" w:cs="Times New Roman" w:hint="eastAsia"/>
                <w:szCs w:val="24"/>
                <w:lang w:eastAsia="lv-LV"/>
              </w:rPr>
              <w:t>ē</w:t>
            </w:r>
            <w:r w:rsidRPr="0022005E">
              <w:rPr>
                <w:rFonts w:eastAsia="Times New Roman" w:cs="Times New Roman"/>
                <w:szCs w:val="24"/>
                <w:lang w:eastAsia="lv-LV"/>
              </w:rPr>
              <w:t>ti galvenok</w:t>
            </w:r>
            <w:r w:rsidRPr="0022005E">
              <w:rPr>
                <w:rFonts w:eastAsia="Times New Roman" w:cs="Times New Roman" w:hint="eastAsia"/>
                <w:szCs w:val="24"/>
                <w:lang w:eastAsia="lv-LV"/>
              </w:rPr>
              <w:t>ā</w:t>
            </w:r>
            <w:r w:rsidRPr="0022005E">
              <w:rPr>
                <w:rFonts w:eastAsia="Times New Roman" w:cs="Times New Roman"/>
                <w:szCs w:val="24"/>
                <w:lang w:eastAsia="lv-LV"/>
              </w:rPr>
              <w:t>rt cilv</w:t>
            </w:r>
            <w:r w:rsidRPr="0022005E">
              <w:rPr>
                <w:rFonts w:eastAsia="Times New Roman" w:cs="Times New Roman" w:hint="eastAsia"/>
                <w:szCs w:val="24"/>
                <w:lang w:eastAsia="lv-LV"/>
              </w:rPr>
              <w:t>ē</w:t>
            </w:r>
            <w:r w:rsidRPr="0022005E">
              <w:rPr>
                <w:rFonts w:eastAsia="Times New Roman" w:cs="Times New Roman"/>
                <w:szCs w:val="24"/>
                <w:lang w:eastAsia="lv-LV"/>
              </w:rPr>
              <w:t>ku un vi</w:t>
            </w:r>
            <w:r w:rsidRPr="0022005E">
              <w:rPr>
                <w:rFonts w:eastAsia="Times New Roman" w:cs="Times New Roman" w:hint="eastAsia"/>
                <w:szCs w:val="24"/>
                <w:lang w:eastAsia="lv-LV"/>
              </w:rPr>
              <w:t>ņ</w:t>
            </w:r>
            <w:r w:rsidRPr="0022005E">
              <w:rPr>
                <w:rFonts w:eastAsia="Times New Roman" w:cs="Times New Roman"/>
                <w:szCs w:val="24"/>
                <w:lang w:eastAsia="lv-LV"/>
              </w:rPr>
              <w:t>u bag</w:t>
            </w:r>
            <w:r w:rsidRPr="0022005E">
              <w:rPr>
                <w:rFonts w:eastAsia="Times New Roman" w:cs="Times New Roman" w:hint="eastAsia"/>
                <w:szCs w:val="24"/>
                <w:lang w:eastAsia="lv-LV"/>
              </w:rPr>
              <w:t>āž</w:t>
            </w:r>
            <w:r w:rsidRPr="0022005E">
              <w:rPr>
                <w:rFonts w:eastAsia="Times New Roman" w:cs="Times New Roman"/>
                <w:szCs w:val="24"/>
                <w:lang w:eastAsia="lv-LV"/>
              </w:rPr>
              <w:t>as p</w:t>
            </w:r>
            <w:r w:rsidRPr="0022005E">
              <w:rPr>
                <w:rFonts w:eastAsia="Times New Roman" w:cs="Times New Roman" w:hint="eastAsia"/>
                <w:szCs w:val="24"/>
                <w:lang w:eastAsia="lv-LV"/>
              </w:rPr>
              <w:t>ā</w:t>
            </w:r>
            <w:r w:rsidRPr="0022005E">
              <w:rPr>
                <w:rFonts w:eastAsia="Times New Roman" w:cs="Times New Roman"/>
                <w:szCs w:val="24"/>
                <w:lang w:eastAsia="lv-LV"/>
              </w:rPr>
              <w:t>rvad</w:t>
            </w:r>
            <w:r w:rsidRPr="0022005E">
              <w:rPr>
                <w:rFonts w:eastAsia="Times New Roman" w:cs="Times New Roman" w:hint="eastAsia"/>
                <w:szCs w:val="24"/>
                <w:lang w:eastAsia="lv-LV"/>
              </w:rPr>
              <w:t>āš</w:t>
            </w:r>
            <w:r w:rsidRPr="0022005E">
              <w:rPr>
                <w:rFonts w:eastAsia="Times New Roman" w:cs="Times New Roman"/>
                <w:szCs w:val="24"/>
                <w:lang w:eastAsia="lv-LV"/>
              </w:rPr>
              <w:t>anai, un kuros papildus transportl</w:t>
            </w:r>
            <w:r w:rsidRPr="0022005E">
              <w:rPr>
                <w:rFonts w:eastAsia="Times New Roman" w:cs="Times New Roman" w:hint="eastAsia"/>
                <w:szCs w:val="24"/>
                <w:lang w:eastAsia="lv-LV"/>
              </w:rPr>
              <w:t>ī</w:t>
            </w:r>
            <w:r w:rsidRPr="0022005E">
              <w:rPr>
                <w:rFonts w:eastAsia="Times New Roman" w:cs="Times New Roman"/>
                <w:szCs w:val="24"/>
                <w:lang w:eastAsia="lv-LV"/>
              </w:rPr>
              <w:t>dzek</w:t>
            </w:r>
            <w:r w:rsidRPr="0022005E">
              <w:rPr>
                <w:rFonts w:eastAsia="Times New Roman" w:cs="Times New Roman" w:hint="eastAsia"/>
                <w:szCs w:val="24"/>
                <w:lang w:eastAsia="lv-LV"/>
              </w:rPr>
              <w:t>ļ</w:t>
            </w:r>
            <w:r w:rsidRPr="0022005E">
              <w:rPr>
                <w:rFonts w:eastAsia="Times New Roman" w:cs="Times New Roman"/>
                <w:szCs w:val="24"/>
                <w:lang w:eastAsia="lv-LV"/>
              </w:rPr>
              <w:t>a vad</w:t>
            </w:r>
            <w:r w:rsidRPr="0022005E">
              <w:rPr>
                <w:rFonts w:eastAsia="Times New Roman" w:cs="Times New Roman" w:hint="eastAsia"/>
                <w:szCs w:val="24"/>
                <w:lang w:eastAsia="lv-LV"/>
              </w:rPr>
              <w:t>ī</w:t>
            </w:r>
            <w:r w:rsidRPr="0022005E">
              <w:rPr>
                <w:rFonts w:eastAsia="Times New Roman" w:cs="Times New Roman"/>
                <w:szCs w:val="24"/>
                <w:lang w:eastAsia="lv-LV"/>
              </w:rPr>
              <w:t>t</w:t>
            </w:r>
            <w:r w:rsidRPr="0022005E">
              <w:rPr>
                <w:rFonts w:eastAsia="Times New Roman" w:cs="Times New Roman" w:hint="eastAsia"/>
                <w:szCs w:val="24"/>
                <w:lang w:eastAsia="lv-LV"/>
              </w:rPr>
              <w:t>ā</w:t>
            </w:r>
            <w:r w:rsidRPr="0022005E">
              <w:rPr>
                <w:rFonts w:eastAsia="Times New Roman" w:cs="Times New Roman"/>
                <w:szCs w:val="24"/>
                <w:lang w:eastAsia="lv-LV"/>
              </w:rPr>
              <w:t>ja s</w:t>
            </w:r>
            <w:r w:rsidRPr="0022005E">
              <w:rPr>
                <w:rFonts w:eastAsia="Times New Roman" w:cs="Times New Roman" w:hint="eastAsia"/>
                <w:szCs w:val="24"/>
                <w:lang w:eastAsia="lv-LV"/>
              </w:rPr>
              <w:t>ē</w:t>
            </w:r>
            <w:r w:rsidRPr="0022005E">
              <w:rPr>
                <w:rFonts w:eastAsia="Times New Roman" w:cs="Times New Roman"/>
                <w:szCs w:val="24"/>
                <w:lang w:eastAsia="lv-LV"/>
              </w:rPr>
              <w:t>dvietai ir ne vair</w:t>
            </w:r>
            <w:r w:rsidRPr="0022005E">
              <w:rPr>
                <w:rFonts w:eastAsia="Times New Roman" w:cs="Times New Roman" w:hint="eastAsia"/>
                <w:szCs w:val="24"/>
                <w:lang w:eastAsia="lv-LV"/>
              </w:rPr>
              <w:t>ā</w:t>
            </w:r>
            <w:r w:rsidRPr="0022005E">
              <w:rPr>
                <w:rFonts w:eastAsia="Times New Roman" w:cs="Times New Roman"/>
                <w:szCs w:val="24"/>
                <w:lang w:eastAsia="lv-LV"/>
              </w:rPr>
              <w:t>k k</w:t>
            </w:r>
            <w:r w:rsidRPr="0022005E">
              <w:rPr>
                <w:rFonts w:eastAsia="Times New Roman" w:cs="Times New Roman" w:hint="eastAsia"/>
                <w:szCs w:val="24"/>
                <w:lang w:eastAsia="lv-LV"/>
              </w:rPr>
              <w:t>ā</w:t>
            </w:r>
            <w:r w:rsidRPr="0022005E">
              <w:rPr>
                <w:rFonts w:eastAsia="Times New Roman" w:cs="Times New Roman"/>
                <w:szCs w:val="24"/>
                <w:lang w:eastAsia="lv-LV"/>
              </w:rPr>
              <w:t xml:space="preserve"> asto</w:t>
            </w:r>
            <w:r w:rsidRPr="0022005E">
              <w:rPr>
                <w:rFonts w:eastAsia="Times New Roman" w:cs="Times New Roman" w:hint="eastAsia"/>
                <w:szCs w:val="24"/>
                <w:lang w:eastAsia="lv-LV"/>
              </w:rPr>
              <w:t>ņ</w:t>
            </w:r>
            <w:r w:rsidRPr="0022005E">
              <w:rPr>
                <w:rFonts w:eastAsia="Times New Roman" w:cs="Times New Roman"/>
                <w:szCs w:val="24"/>
                <w:lang w:eastAsia="lv-LV"/>
              </w:rPr>
              <w:t>as s</w:t>
            </w:r>
            <w:r w:rsidRPr="0022005E">
              <w:rPr>
                <w:rFonts w:eastAsia="Times New Roman" w:cs="Times New Roman" w:hint="eastAsia"/>
                <w:szCs w:val="24"/>
                <w:lang w:eastAsia="lv-LV"/>
              </w:rPr>
              <w:t>ē</w:t>
            </w:r>
            <w:r w:rsidRPr="0022005E">
              <w:rPr>
                <w:rFonts w:eastAsia="Times New Roman" w:cs="Times New Roman"/>
                <w:szCs w:val="24"/>
                <w:lang w:eastAsia="lv-LV"/>
              </w:rPr>
              <w:t>dvietas, savuk</w:t>
            </w:r>
            <w:r w:rsidRPr="0022005E">
              <w:rPr>
                <w:rFonts w:eastAsia="Times New Roman" w:cs="Times New Roman" w:hint="eastAsia"/>
                <w:szCs w:val="24"/>
                <w:lang w:eastAsia="lv-LV"/>
              </w:rPr>
              <w:t>ā</w:t>
            </w:r>
            <w:r w:rsidR="00EB1791">
              <w:rPr>
                <w:rFonts w:eastAsia="Times New Roman" w:cs="Times New Roman"/>
                <w:szCs w:val="24"/>
                <w:lang w:eastAsia="lv-LV"/>
              </w:rPr>
              <w:t xml:space="preserve">rt N1 </w:t>
            </w:r>
            <w:r w:rsidRPr="0022005E">
              <w:rPr>
                <w:rFonts w:eastAsia="Times New Roman" w:cs="Times New Roman"/>
                <w:szCs w:val="24"/>
                <w:lang w:eastAsia="lv-LV"/>
              </w:rPr>
              <w:t>- m</w:t>
            </w:r>
            <w:r w:rsidRPr="0022005E">
              <w:rPr>
                <w:rFonts w:cs="Times New Roman"/>
                <w:szCs w:val="24"/>
              </w:rPr>
              <w:t>eh</w:t>
            </w:r>
            <w:r w:rsidRPr="0022005E">
              <w:rPr>
                <w:rFonts w:cs="Times New Roman" w:hint="eastAsia"/>
                <w:szCs w:val="24"/>
              </w:rPr>
              <w:t>ā</w:t>
            </w:r>
            <w:r w:rsidRPr="0022005E">
              <w:rPr>
                <w:rFonts w:cs="Times New Roman"/>
                <w:szCs w:val="24"/>
              </w:rPr>
              <w:t>niskie transportl</w:t>
            </w:r>
            <w:r w:rsidRPr="0022005E">
              <w:rPr>
                <w:rFonts w:cs="Times New Roman" w:hint="eastAsia"/>
                <w:szCs w:val="24"/>
              </w:rPr>
              <w:t>ī</w:t>
            </w:r>
            <w:r w:rsidRPr="0022005E">
              <w:rPr>
                <w:rFonts w:cs="Times New Roman"/>
                <w:szCs w:val="24"/>
              </w:rPr>
              <w:t>dzek</w:t>
            </w:r>
            <w:r w:rsidRPr="0022005E">
              <w:rPr>
                <w:rFonts w:cs="Times New Roman" w:hint="eastAsia"/>
                <w:szCs w:val="24"/>
              </w:rPr>
              <w:t>ļ</w:t>
            </w:r>
            <w:r w:rsidRPr="0022005E">
              <w:rPr>
                <w:rFonts w:cs="Times New Roman"/>
                <w:szCs w:val="24"/>
              </w:rPr>
              <w:t>i, kas projekt</w:t>
            </w:r>
            <w:r w:rsidRPr="0022005E">
              <w:rPr>
                <w:rFonts w:cs="Times New Roman" w:hint="eastAsia"/>
                <w:szCs w:val="24"/>
              </w:rPr>
              <w:t>ē</w:t>
            </w:r>
            <w:r w:rsidRPr="0022005E">
              <w:rPr>
                <w:rFonts w:cs="Times New Roman"/>
                <w:szCs w:val="24"/>
              </w:rPr>
              <w:t>ti un b</w:t>
            </w:r>
            <w:r w:rsidRPr="0022005E">
              <w:rPr>
                <w:rFonts w:cs="Times New Roman" w:hint="eastAsia"/>
                <w:szCs w:val="24"/>
              </w:rPr>
              <w:t>ū</w:t>
            </w:r>
            <w:r w:rsidRPr="0022005E">
              <w:rPr>
                <w:rFonts w:cs="Times New Roman"/>
                <w:szCs w:val="24"/>
              </w:rPr>
              <w:t>v</w:t>
            </w:r>
            <w:r w:rsidRPr="0022005E">
              <w:rPr>
                <w:rFonts w:cs="Times New Roman" w:hint="eastAsia"/>
                <w:szCs w:val="24"/>
              </w:rPr>
              <w:t>ē</w:t>
            </w:r>
            <w:r w:rsidRPr="0022005E">
              <w:rPr>
                <w:rFonts w:cs="Times New Roman"/>
                <w:szCs w:val="24"/>
              </w:rPr>
              <w:t>ti galvenok</w:t>
            </w:r>
            <w:r w:rsidRPr="0022005E">
              <w:rPr>
                <w:rFonts w:cs="Times New Roman" w:hint="eastAsia"/>
                <w:szCs w:val="24"/>
              </w:rPr>
              <w:t>ā</w:t>
            </w:r>
            <w:r w:rsidRPr="0022005E">
              <w:rPr>
                <w:rFonts w:cs="Times New Roman"/>
                <w:szCs w:val="24"/>
              </w:rPr>
              <w:t>rt kravu p</w:t>
            </w:r>
            <w:r w:rsidRPr="0022005E">
              <w:rPr>
                <w:rFonts w:cs="Times New Roman" w:hint="eastAsia"/>
                <w:szCs w:val="24"/>
              </w:rPr>
              <w:t>ā</w:t>
            </w:r>
            <w:r w:rsidRPr="0022005E">
              <w:rPr>
                <w:rFonts w:cs="Times New Roman"/>
                <w:szCs w:val="24"/>
              </w:rPr>
              <w:t>rvad</w:t>
            </w:r>
            <w:r w:rsidRPr="0022005E">
              <w:rPr>
                <w:rFonts w:cs="Times New Roman" w:hint="eastAsia"/>
                <w:szCs w:val="24"/>
              </w:rPr>
              <w:t>āš</w:t>
            </w:r>
            <w:r w:rsidRPr="0022005E">
              <w:rPr>
                <w:rFonts w:cs="Times New Roman"/>
                <w:szCs w:val="24"/>
              </w:rPr>
              <w:t>anai un kuru maksim</w:t>
            </w:r>
            <w:r w:rsidRPr="0022005E">
              <w:rPr>
                <w:rFonts w:cs="Times New Roman" w:hint="eastAsia"/>
                <w:szCs w:val="24"/>
              </w:rPr>
              <w:t>ā</w:t>
            </w:r>
            <w:r w:rsidRPr="0022005E">
              <w:rPr>
                <w:rFonts w:cs="Times New Roman"/>
                <w:szCs w:val="24"/>
              </w:rPr>
              <w:t>l</w:t>
            </w:r>
            <w:r w:rsidRPr="0022005E">
              <w:rPr>
                <w:rFonts w:cs="Times New Roman" w:hint="eastAsia"/>
                <w:szCs w:val="24"/>
              </w:rPr>
              <w:t>ā</w:t>
            </w:r>
            <w:r w:rsidRPr="0022005E">
              <w:rPr>
                <w:rFonts w:cs="Times New Roman"/>
                <w:szCs w:val="24"/>
              </w:rPr>
              <w:t xml:space="preserve"> masa nep</w:t>
            </w:r>
            <w:r w:rsidRPr="0022005E">
              <w:rPr>
                <w:rFonts w:cs="Times New Roman" w:hint="eastAsia"/>
                <w:szCs w:val="24"/>
              </w:rPr>
              <w:t>ā</w:t>
            </w:r>
            <w:r w:rsidRPr="0022005E">
              <w:rPr>
                <w:rFonts w:cs="Times New Roman"/>
                <w:szCs w:val="24"/>
              </w:rPr>
              <w:t>rsniedz 3,5 tonnas.</w:t>
            </w:r>
          </w:p>
          <w:p w:rsidR="0097236D" w:rsidRPr="0022005E" w:rsidRDefault="00093D3E" w:rsidP="0097236D">
            <w:pPr>
              <w:ind w:firstLine="284"/>
              <w:jc w:val="both"/>
              <w:rPr>
                <w:rFonts w:cs="Times New Roman"/>
                <w:szCs w:val="24"/>
              </w:rPr>
            </w:pPr>
            <w:r w:rsidRPr="0022005E" w:rsidDel="006014F6">
              <w:rPr>
                <w:rFonts w:cs="Times New Roman"/>
                <w:szCs w:val="24"/>
              </w:rPr>
              <w:t xml:space="preserve"> </w:t>
            </w:r>
            <w:r w:rsidR="006E4127" w:rsidRPr="0022005E">
              <w:rPr>
                <w:rFonts w:cs="Times New Roman"/>
                <w:szCs w:val="24"/>
              </w:rPr>
              <w:t>Vienlaikus, ievērojot</w:t>
            </w:r>
            <w:r w:rsidR="00582BFC" w:rsidRPr="0022005E">
              <w:rPr>
                <w:rFonts w:cs="Times New Roman"/>
                <w:szCs w:val="24"/>
              </w:rPr>
              <w:t xml:space="preserve">, ka </w:t>
            </w:r>
            <w:r w:rsidR="005B0AEF" w:rsidRPr="0022005E">
              <w:rPr>
                <w:rFonts w:cs="Times New Roman"/>
                <w:szCs w:val="24"/>
              </w:rPr>
              <w:t xml:space="preserve">minēto </w:t>
            </w:r>
            <w:r w:rsidR="00582BFC" w:rsidRPr="0022005E">
              <w:rPr>
                <w:rFonts w:cs="Times New Roman"/>
                <w:szCs w:val="24"/>
              </w:rPr>
              <w:t xml:space="preserve">transportlīdzekļu atsavināšanas darījumos iesaistās fiziskās personas, kas neveic saimniecisko darbību, </w:t>
            </w:r>
            <w:r w:rsidR="002429E3" w:rsidRPr="0022005E">
              <w:rPr>
                <w:rFonts w:cs="Times New Roman"/>
                <w:szCs w:val="24"/>
              </w:rPr>
              <w:t xml:space="preserve">un kurām var būt ierobežotas iespējas veikt bezskaidras naudas norēķinus, likumprojektā ietvertā regulējuma izstrādes procesā </w:t>
            </w:r>
            <w:r w:rsidR="00582BFC" w:rsidRPr="0022005E">
              <w:rPr>
                <w:rFonts w:cs="Times New Roman"/>
                <w:szCs w:val="24"/>
              </w:rPr>
              <w:t>ir vērtēts jautājums par skaidras naudas lietošanas ierobežojuma sliekšņa noteikšanu.</w:t>
            </w:r>
          </w:p>
          <w:p w:rsidR="00F10ADF" w:rsidRPr="0022005E" w:rsidRDefault="00880835" w:rsidP="00F10ADF">
            <w:pPr>
              <w:ind w:firstLine="284"/>
              <w:jc w:val="both"/>
              <w:rPr>
                <w:rFonts w:cs="Times New Roman"/>
                <w:szCs w:val="24"/>
              </w:rPr>
            </w:pPr>
            <w:r w:rsidRPr="0022005E">
              <w:rPr>
                <w:szCs w:val="24"/>
              </w:rPr>
              <w:t xml:space="preserve">Latvijā ir noteiktas personu grupas, kuras atbilstoši normatīvajam regulējumam var saņemt sev pienākošos ienākumus skaidrā naudā. </w:t>
            </w:r>
            <w:r w:rsidRPr="0022005E">
              <w:rPr>
                <w:rFonts w:cs="Times New Roman"/>
                <w:szCs w:val="24"/>
              </w:rPr>
              <w:t>Tā, piemēram, Darba likuma 70. pants paredz, ka d</w:t>
            </w:r>
            <w:r w:rsidRPr="0022005E">
              <w:rPr>
                <w:rFonts w:cs="Times New Roman"/>
              </w:rPr>
              <w:t xml:space="preserve">arba samaksa aprēķināma un </w:t>
            </w:r>
            <w:r w:rsidRPr="0022005E">
              <w:rPr>
                <w:rFonts w:cs="Times New Roman"/>
                <w:szCs w:val="24"/>
              </w:rPr>
              <w:t xml:space="preserve">izmaksājama skaidrā naudā. Tāpat </w:t>
            </w:r>
            <w:r w:rsidR="00F10ADF" w:rsidRPr="0022005E">
              <w:rPr>
                <w:rFonts w:cs="Times New Roman"/>
                <w:szCs w:val="24"/>
              </w:rPr>
              <w:t>no</w:t>
            </w:r>
            <w:r w:rsidRPr="0022005E">
              <w:rPr>
                <w:rFonts w:cs="Times New Roman"/>
                <w:szCs w:val="24"/>
              </w:rPr>
              <w:t xml:space="preserve"> </w:t>
            </w:r>
            <w:r w:rsidR="00F10ADF" w:rsidRPr="0022005E">
              <w:rPr>
                <w:rFonts w:cs="Times New Roman"/>
                <w:szCs w:val="24"/>
              </w:rPr>
              <w:t>likuma “Par valsts pensijām” 32.</w:t>
            </w:r>
            <w:r w:rsidR="00BA51A8" w:rsidRPr="0022005E">
              <w:rPr>
                <w:rFonts w:cs="Times New Roman"/>
                <w:szCs w:val="24"/>
              </w:rPr>
              <w:t> </w:t>
            </w:r>
            <w:r w:rsidR="00F10ADF" w:rsidRPr="0022005E">
              <w:rPr>
                <w:rFonts w:cs="Times New Roman"/>
                <w:szCs w:val="24"/>
              </w:rPr>
              <w:t>panta pirmās daļas izriet, ka pensijas saņēmējam ir iespēja saņemt valsts pensiju skaidrā naudā savā dzīvesvietā.</w:t>
            </w:r>
          </w:p>
          <w:p w:rsidR="00F10ADF" w:rsidRPr="0022005E" w:rsidRDefault="00F10ADF" w:rsidP="00F10ADF">
            <w:pPr>
              <w:ind w:firstLine="284"/>
              <w:jc w:val="both"/>
              <w:rPr>
                <w:iCs/>
                <w:szCs w:val="24"/>
              </w:rPr>
            </w:pPr>
            <w:r w:rsidRPr="0022005E">
              <w:rPr>
                <w:rFonts w:cs="Times New Roman"/>
                <w:szCs w:val="24"/>
              </w:rPr>
              <w:t xml:space="preserve">Tā kā </w:t>
            </w:r>
            <w:r w:rsidRPr="0022005E">
              <w:rPr>
                <w:rFonts w:eastAsia="Times New Roman"/>
                <w:szCs w:val="24"/>
              </w:rPr>
              <w:t xml:space="preserve">pašlaik iedzīvotāji ar zemu ienākuma līmeni atsakās no maksājumu kartēm, jo maksa par tām ir </w:t>
            </w:r>
            <w:r w:rsidR="00F5722C" w:rsidRPr="0022005E">
              <w:rPr>
                <w:rFonts w:eastAsia="Times New Roman"/>
                <w:szCs w:val="24"/>
              </w:rPr>
              <w:t>pārāk</w:t>
            </w:r>
            <w:r w:rsidRPr="0022005E">
              <w:rPr>
                <w:rFonts w:eastAsia="Times New Roman"/>
                <w:szCs w:val="24"/>
              </w:rPr>
              <w:t xml:space="preserve"> augsta, salīdzinot ar gūtajiem ienākumiem</w:t>
            </w:r>
            <w:r w:rsidRPr="0022005E">
              <w:rPr>
                <w:rFonts w:cs="Times New Roman"/>
                <w:szCs w:val="24"/>
              </w:rPr>
              <w:t>,</w:t>
            </w:r>
            <w:r w:rsidR="00F5722C" w:rsidRPr="0022005E">
              <w:rPr>
                <w:rFonts w:cs="Times New Roman"/>
                <w:szCs w:val="24"/>
              </w:rPr>
              <w:t xml:space="preserve"> kā arī ievērojot </w:t>
            </w:r>
            <w:r w:rsidR="00F5722C" w:rsidRPr="0022005E">
              <w:rPr>
                <w:szCs w:val="24"/>
              </w:rPr>
              <w:t>banku un bankomātu pieejamības problēmu, it īpaši lauku apvidos, kur pēdējo gadu laikā slēgtas daudzu banku filiāles, kā arī likvidēti bankomāti,</w:t>
            </w:r>
            <w:r w:rsidRPr="0022005E">
              <w:rPr>
                <w:rFonts w:cs="Times New Roman"/>
                <w:szCs w:val="24"/>
              </w:rPr>
              <w:t xml:space="preserve"> likumprojektā ietvertais regulējums paredz, </w:t>
            </w:r>
            <w:r w:rsidR="00F5722C" w:rsidRPr="0022005E">
              <w:rPr>
                <w:rFonts w:cs="Times New Roman"/>
                <w:szCs w:val="24"/>
              </w:rPr>
              <w:t>ka</w:t>
            </w:r>
            <w:r w:rsidR="00ED4498" w:rsidRPr="0022005E">
              <w:rPr>
                <w:rFonts w:cs="Times New Roman"/>
                <w:szCs w:val="24"/>
              </w:rPr>
              <w:t xml:space="preserve"> nodokļu maksātāji</w:t>
            </w:r>
            <w:r w:rsidR="00F5722C" w:rsidRPr="0022005E">
              <w:rPr>
                <w:rFonts w:cs="Times New Roman"/>
                <w:szCs w:val="24"/>
              </w:rPr>
              <w:t xml:space="preserve"> </w:t>
            </w:r>
            <w:r w:rsidR="00F5722C" w:rsidRPr="0022005E">
              <w:rPr>
                <w:szCs w:val="24"/>
              </w:rPr>
              <w:t>mehānisko transportlīdzekļu atsavināšanas darījumus, kur</w:t>
            </w:r>
            <w:r w:rsidR="00157D7C" w:rsidRPr="0022005E">
              <w:rPr>
                <w:szCs w:val="24"/>
              </w:rPr>
              <w:t>u</w:t>
            </w:r>
            <w:r w:rsidR="00F5722C" w:rsidRPr="0022005E">
              <w:rPr>
                <w:szCs w:val="24"/>
              </w:rPr>
              <w:t xml:space="preserve"> summa </w:t>
            </w:r>
            <w:r w:rsidR="003E718D" w:rsidRPr="0022005E">
              <w:rPr>
                <w:szCs w:val="24"/>
              </w:rPr>
              <w:t>ne</w:t>
            </w:r>
            <w:r w:rsidR="00F5722C" w:rsidRPr="0022005E">
              <w:rPr>
                <w:szCs w:val="24"/>
              </w:rPr>
              <w:t>pārsniedz 1500 </w:t>
            </w:r>
            <w:r w:rsidR="00F5722C" w:rsidRPr="0022005E">
              <w:rPr>
                <w:i/>
                <w:iCs/>
                <w:szCs w:val="24"/>
              </w:rPr>
              <w:t>euro</w:t>
            </w:r>
            <w:r w:rsidR="00F5722C" w:rsidRPr="0022005E">
              <w:rPr>
                <w:iCs/>
                <w:szCs w:val="24"/>
              </w:rPr>
              <w:t xml:space="preserve">, varēs </w:t>
            </w:r>
            <w:r w:rsidR="00ED4498" w:rsidRPr="0022005E">
              <w:rPr>
                <w:iCs/>
                <w:szCs w:val="24"/>
              </w:rPr>
              <w:t xml:space="preserve">kā </w:t>
            </w:r>
            <w:r w:rsidR="00F5722C" w:rsidRPr="0022005E">
              <w:rPr>
                <w:iCs/>
                <w:szCs w:val="24"/>
              </w:rPr>
              <w:t>līdz šim veikt</w:t>
            </w:r>
            <w:r w:rsidR="00ED4498" w:rsidRPr="0022005E">
              <w:rPr>
                <w:iCs/>
                <w:szCs w:val="24"/>
              </w:rPr>
              <w:t xml:space="preserve"> arī</w:t>
            </w:r>
            <w:r w:rsidR="00F5722C" w:rsidRPr="0022005E">
              <w:rPr>
                <w:iCs/>
                <w:szCs w:val="24"/>
              </w:rPr>
              <w:t xml:space="preserve"> skaidrā naud</w:t>
            </w:r>
            <w:r w:rsidR="00ED4498" w:rsidRPr="0022005E">
              <w:rPr>
                <w:iCs/>
                <w:szCs w:val="24"/>
              </w:rPr>
              <w:t>ā.</w:t>
            </w:r>
          </w:p>
          <w:p w:rsidR="00F5722C" w:rsidRPr="0022005E" w:rsidRDefault="00ED4498" w:rsidP="00F10ADF">
            <w:pPr>
              <w:ind w:firstLine="284"/>
              <w:jc w:val="both"/>
              <w:rPr>
                <w:rFonts w:cs="Times New Roman"/>
                <w:szCs w:val="24"/>
              </w:rPr>
            </w:pPr>
            <w:r w:rsidRPr="0022005E">
              <w:rPr>
                <w:rFonts w:cs="Times New Roman"/>
                <w:szCs w:val="24"/>
              </w:rPr>
              <w:t>Minētā summa ir noteikta, ievērojot likuma “Par nodokļiem un nodevām” 30.</w:t>
            </w:r>
            <w:r w:rsidR="00BA51A8" w:rsidRPr="0022005E">
              <w:rPr>
                <w:rFonts w:cs="Times New Roman"/>
                <w:szCs w:val="24"/>
              </w:rPr>
              <w:t> </w:t>
            </w:r>
            <w:r w:rsidRPr="0022005E">
              <w:rPr>
                <w:rFonts w:cs="Times New Roman"/>
                <w:szCs w:val="24"/>
              </w:rPr>
              <w:t>panta pirmajā daļā noteikto. Proti, šobrīd atbilstoši minētajam regulējumam nodokļu maksātājiem (izņemot fiziskās personas, kas neveic saimniecisko darbību) ir pienākums katru mēnesi Ministru kabineta noteiktajā kārtībā deklarēt visus iepriekšējā mēneša laikā savstarpēji skaidrā naudā veikto</w:t>
            </w:r>
            <w:r w:rsidR="002B5912" w:rsidRPr="0022005E">
              <w:rPr>
                <w:rFonts w:cs="Times New Roman"/>
                <w:szCs w:val="24"/>
              </w:rPr>
              <w:t>s</w:t>
            </w:r>
            <w:r w:rsidRPr="0022005E">
              <w:rPr>
                <w:rFonts w:cs="Times New Roman"/>
                <w:szCs w:val="24"/>
              </w:rPr>
              <w:t xml:space="preserve"> darījumus, kuru summa pārsniedz 1500 </w:t>
            </w:r>
            <w:r w:rsidRPr="0022005E">
              <w:rPr>
                <w:rFonts w:cs="Times New Roman"/>
                <w:i/>
                <w:szCs w:val="24"/>
              </w:rPr>
              <w:t>euro.</w:t>
            </w:r>
            <w:r w:rsidRPr="0022005E">
              <w:rPr>
                <w:rFonts w:cs="Times New Roman"/>
                <w:szCs w:val="24"/>
              </w:rPr>
              <w:t xml:space="preserve"> Tātad, </w:t>
            </w:r>
            <w:r w:rsidR="006E6726" w:rsidRPr="0022005E">
              <w:rPr>
                <w:rFonts w:cs="Times New Roman"/>
                <w:szCs w:val="24"/>
              </w:rPr>
              <w:t>mehānisko transportlīdzekļu atsavināšanas darījumi, kuros tiek veikti norēķini skaidrā naudā, nepārsniedzot minēto summu, ir atzīstami par tādiem, kuriem ir mazāka ietekme uz ēnu ekonomiku un mazāka iespējamība riskantu darījumu veikšanai.</w:t>
            </w:r>
          </w:p>
          <w:p w:rsidR="006E6726" w:rsidRPr="0022005E" w:rsidRDefault="009A7A02" w:rsidP="006E6726">
            <w:pPr>
              <w:ind w:firstLine="284"/>
              <w:jc w:val="both"/>
              <w:rPr>
                <w:b/>
                <w:szCs w:val="24"/>
              </w:rPr>
            </w:pPr>
            <w:r w:rsidRPr="0022005E">
              <w:rPr>
                <w:b/>
                <w:szCs w:val="24"/>
              </w:rPr>
              <w:lastRenderedPageBreak/>
              <w:t>Par nekustamā īpašuma atsavināšanas darījumiem</w:t>
            </w:r>
          </w:p>
          <w:p w:rsidR="00862B42" w:rsidRPr="0022005E" w:rsidRDefault="006E6726" w:rsidP="006E6726">
            <w:pPr>
              <w:ind w:firstLine="284"/>
              <w:jc w:val="both"/>
              <w:rPr>
                <w:szCs w:val="24"/>
              </w:rPr>
            </w:pPr>
            <w:r w:rsidRPr="0022005E">
              <w:rPr>
                <w:szCs w:val="24"/>
              </w:rPr>
              <w:t>L</w:t>
            </w:r>
            <w:r w:rsidR="009C62F6" w:rsidRPr="0022005E">
              <w:rPr>
                <w:szCs w:val="24"/>
              </w:rPr>
              <w:t>ai arī šobrīd normatīvais regulējums paredz, ka darījuma summa virs 7200 </w:t>
            </w:r>
            <w:r w:rsidR="009C62F6" w:rsidRPr="0022005E">
              <w:rPr>
                <w:i/>
                <w:szCs w:val="24"/>
              </w:rPr>
              <w:t>euro</w:t>
            </w:r>
            <w:r w:rsidR="009C62F6" w:rsidRPr="0022005E">
              <w:rPr>
                <w:szCs w:val="24"/>
              </w:rPr>
              <w:t xml:space="preserve"> ir maksājama bezskaidras naudas veidā, tomēr šāds regulējums neizslēdz iespēju slēgt fiktīvus darījumus, kad puses ir ieinteresētas slēgt darījumus par lielākām naudas summām nekā patiesā darījuma apmērs. Tā, piemēram, fiziskā persona, uz kuru varētu tikt vērsta parādu piedziņa, var būt ieinteresēta fiktīvi atsavināt nekustamo īpašumu trešajai personai. Šajā gadījumā, ievērojot skaidras naudas ierobežojumu, nekustamā īpašuma pārdevējs var norādīt, ka darījums 7200 </w:t>
            </w:r>
            <w:r w:rsidR="009C62F6" w:rsidRPr="0022005E">
              <w:rPr>
                <w:i/>
                <w:szCs w:val="24"/>
              </w:rPr>
              <w:t>euro</w:t>
            </w:r>
            <w:r w:rsidR="009C62F6" w:rsidRPr="0022005E">
              <w:rPr>
                <w:szCs w:val="24"/>
              </w:rPr>
              <w:t xml:space="preserve"> apmērā daļēji veikts skaidrā naudā, kaut gan patiesībā šādas naudas plūsma nav notikusi, kā arī tādā veidā legalizēt nelikumīgi iegūtos naudas līdzekļus, norādot, ka summa 7200 </w:t>
            </w:r>
            <w:r w:rsidR="009C62F6" w:rsidRPr="0022005E">
              <w:rPr>
                <w:i/>
                <w:szCs w:val="24"/>
              </w:rPr>
              <w:t>euro</w:t>
            </w:r>
            <w:r w:rsidR="009C62F6" w:rsidRPr="0022005E">
              <w:rPr>
                <w:szCs w:val="24"/>
              </w:rPr>
              <w:t xml:space="preserve"> apmērā gūta nekustamā īpašuma atsavināšanas rezultātā.</w:t>
            </w:r>
          </w:p>
          <w:p w:rsidR="006E6726" w:rsidRPr="0022005E" w:rsidRDefault="006E6726" w:rsidP="004E0549">
            <w:pPr>
              <w:ind w:firstLine="284"/>
              <w:jc w:val="both"/>
              <w:rPr>
                <w:b/>
                <w:szCs w:val="24"/>
              </w:rPr>
            </w:pPr>
            <w:r w:rsidRPr="0022005E">
              <w:rPr>
                <w:szCs w:val="24"/>
              </w:rPr>
              <w:t xml:space="preserve">Ievērojot minēto, </w:t>
            </w:r>
            <w:r w:rsidR="004E0549" w:rsidRPr="0022005E">
              <w:rPr>
                <w:szCs w:val="24"/>
              </w:rPr>
              <w:t>likumprojektā ietvert</w:t>
            </w:r>
            <w:r w:rsidRPr="0022005E">
              <w:rPr>
                <w:szCs w:val="24"/>
              </w:rPr>
              <w:t>a</w:t>
            </w:r>
            <w:r w:rsidR="004E0549" w:rsidRPr="0022005E">
              <w:rPr>
                <w:szCs w:val="24"/>
              </w:rPr>
              <w:t>is</w:t>
            </w:r>
            <w:r w:rsidRPr="0022005E">
              <w:rPr>
                <w:szCs w:val="24"/>
              </w:rPr>
              <w:t>, regulējums paredz, ka nodokļu maksātājiem nebūs atļauts veikt skaidrā naudā nekustamo īpašumu atsavināšanas darījumus.</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lastRenderedPageBreak/>
              <w:t>3.</w:t>
            </w:r>
          </w:p>
        </w:tc>
        <w:tc>
          <w:tcPr>
            <w:tcW w:w="17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Projekta izstrādē iesaistītās institūcijas un publiskas personas kapitālsabiedrības</w:t>
            </w:r>
          </w:p>
        </w:tc>
        <w:tc>
          <w:tcPr>
            <w:tcW w:w="30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4A04B2" w:rsidP="0033024E">
            <w:pPr>
              <w:ind w:firstLine="284"/>
              <w:rPr>
                <w:rFonts w:eastAsia="Times New Roman" w:cs="Times New Roman"/>
                <w:iCs/>
                <w:szCs w:val="24"/>
                <w:lang w:eastAsia="lv-LV"/>
              </w:rPr>
            </w:pPr>
            <w:r w:rsidRPr="0022005E">
              <w:rPr>
                <w:rFonts w:eastAsia="Times New Roman" w:cs="Times New Roman"/>
                <w:iCs/>
                <w:szCs w:val="24"/>
                <w:lang w:eastAsia="lv-LV"/>
              </w:rPr>
              <w:t xml:space="preserve">Finanšu ministrija, </w:t>
            </w:r>
            <w:r w:rsidR="00D82C3B" w:rsidRPr="0022005E">
              <w:rPr>
                <w:rFonts w:eastAsia="Times New Roman" w:cs="Times New Roman"/>
                <w:iCs/>
                <w:szCs w:val="24"/>
                <w:lang w:eastAsia="lv-LV"/>
              </w:rPr>
              <w:t>Valsts ieņēmumu dienests</w:t>
            </w:r>
            <w:r w:rsidRPr="0022005E">
              <w:rPr>
                <w:rFonts w:eastAsia="Times New Roman" w:cs="Times New Roman"/>
                <w:iCs/>
                <w:szCs w:val="24"/>
                <w:lang w:eastAsia="lv-LV"/>
              </w:rPr>
              <w:t>.</w:t>
            </w:r>
          </w:p>
        </w:tc>
      </w:tr>
      <w:tr w:rsidR="0022005E" w:rsidRPr="0022005E" w:rsidTr="005D26DC">
        <w:trPr>
          <w:trHeight w:val="163"/>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4.</w:t>
            </w:r>
          </w:p>
        </w:tc>
        <w:tc>
          <w:tcPr>
            <w:tcW w:w="17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Cita informācija</w:t>
            </w:r>
          </w:p>
        </w:tc>
        <w:tc>
          <w:tcPr>
            <w:tcW w:w="3000" w:type="pct"/>
            <w:gridSpan w:val="2"/>
            <w:tcBorders>
              <w:top w:val="outset" w:sz="6" w:space="0" w:color="auto"/>
              <w:left w:val="outset" w:sz="6" w:space="0" w:color="auto"/>
              <w:bottom w:val="outset" w:sz="6" w:space="0" w:color="auto"/>
              <w:right w:val="outset" w:sz="6" w:space="0" w:color="auto"/>
            </w:tcBorders>
            <w:hideMark/>
          </w:tcPr>
          <w:p w:rsidR="00E5323B" w:rsidRPr="0022005E" w:rsidRDefault="005D26DC" w:rsidP="00D82C3B">
            <w:pPr>
              <w:ind w:firstLine="284"/>
              <w:jc w:val="both"/>
              <w:rPr>
                <w:rFonts w:eastAsia="Times New Roman" w:cs="Times New Roman"/>
                <w:iCs/>
                <w:szCs w:val="24"/>
                <w:lang w:eastAsia="lv-LV"/>
              </w:rPr>
            </w:pPr>
            <w:r w:rsidRPr="0022005E">
              <w:rPr>
                <w:rFonts w:eastAsia="Times New Roman" w:cs="Times New Roman"/>
                <w:iCs/>
                <w:szCs w:val="24"/>
                <w:lang w:eastAsia="lv-LV"/>
              </w:rPr>
              <w:t>Nav.</w:t>
            </w:r>
          </w:p>
        </w:tc>
      </w:tr>
    </w:tbl>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005E" w:rsidRPr="002200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II. Tiesību akta projekta ietekme uz sabiedrību, tautsaimniecības attīstību un administratīvo slogu</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22005E" w:rsidRDefault="00D86F63" w:rsidP="001016A3">
            <w:pPr>
              <w:ind w:firstLine="284"/>
              <w:jc w:val="both"/>
              <w:rPr>
                <w:rFonts w:eastAsia="Times New Roman" w:cs="Times New Roman"/>
                <w:iCs/>
                <w:szCs w:val="24"/>
                <w:lang w:eastAsia="lv-LV"/>
              </w:rPr>
            </w:pPr>
            <w:r w:rsidRPr="0022005E">
              <w:rPr>
                <w:rFonts w:cs="Times New Roman"/>
                <w:szCs w:val="24"/>
              </w:rPr>
              <w:t>Likumprojektā ietvertais tiesiskais regulējums attiecībā uz skaidras naudas lietošanas sliekšņa mazināšanu ietekmēs tos nodokļu maksātājus (tajā skaitā fiziskās personas, kas neveic saimniecisko darbību), kuri šobrīd savos darījumos (kuru summa pārsniedz 3000 </w:t>
            </w:r>
            <w:r w:rsidRPr="0022005E">
              <w:rPr>
                <w:rFonts w:cs="Times New Roman"/>
                <w:i/>
                <w:szCs w:val="24"/>
              </w:rPr>
              <w:t>euro</w:t>
            </w:r>
            <w:r w:rsidRPr="0022005E">
              <w:rPr>
                <w:rFonts w:cs="Times New Roman"/>
                <w:szCs w:val="24"/>
              </w:rPr>
              <w:t>, bet nepārsniedz 7200 </w:t>
            </w:r>
            <w:r w:rsidRPr="0022005E">
              <w:rPr>
                <w:rFonts w:cs="Times New Roman"/>
                <w:i/>
                <w:szCs w:val="24"/>
              </w:rPr>
              <w:t>euro</w:t>
            </w:r>
            <w:r w:rsidRPr="0022005E">
              <w:rPr>
                <w:rFonts w:cs="Times New Roman"/>
                <w:szCs w:val="24"/>
              </w:rPr>
              <w:t>) pārsvarā izmanto skaidru naudu</w:t>
            </w:r>
            <w:r w:rsidR="002A3522" w:rsidRPr="0022005E">
              <w:rPr>
                <w:rFonts w:cs="Times New Roman"/>
                <w:szCs w:val="24"/>
              </w:rPr>
              <w:t>. Tāpat tiesiskais regulējums skar</w:t>
            </w:r>
            <w:r w:rsidR="00D82C3B" w:rsidRPr="0022005E">
              <w:rPr>
                <w:rFonts w:cs="Times New Roman"/>
                <w:szCs w:val="24"/>
              </w:rPr>
              <w:t xml:space="preserve"> nekustamā īpašuma atsavināšanas un mehānisko transportlīdzekļu </w:t>
            </w:r>
            <w:r w:rsidR="00157D7C" w:rsidRPr="0022005E">
              <w:rPr>
                <w:rFonts w:cs="Times New Roman"/>
                <w:szCs w:val="24"/>
              </w:rPr>
              <w:t xml:space="preserve">(M1 (tai skaitā M1G) un N1 (tai skaitā N1G) kategorijas) </w:t>
            </w:r>
            <w:r w:rsidR="00D82C3B" w:rsidRPr="0022005E">
              <w:rPr>
                <w:rFonts w:cs="Times New Roman"/>
                <w:szCs w:val="24"/>
              </w:rPr>
              <w:t>a</w:t>
            </w:r>
            <w:r w:rsidR="00834CE4" w:rsidRPr="0022005E">
              <w:rPr>
                <w:rFonts w:cs="Times New Roman"/>
                <w:szCs w:val="24"/>
              </w:rPr>
              <w:t>tsavināšanas darījumu veicējus.</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D26DC" w:rsidRPr="0022005E" w:rsidRDefault="000F19A4" w:rsidP="00614189">
            <w:pPr>
              <w:pStyle w:val="NoSpacing"/>
              <w:ind w:firstLine="284"/>
              <w:jc w:val="both"/>
              <w:rPr>
                <w:rFonts w:ascii="Times New Roman" w:hAnsi="Times New Roman" w:cs="Times New Roman"/>
                <w:sz w:val="24"/>
                <w:szCs w:val="24"/>
              </w:rPr>
            </w:pPr>
            <w:r w:rsidRPr="0022005E">
              <w:rPr>
                <w:rFonts w:ascii="Times New Roman" w:hAnsi="Times New Roman" w:cs="Times New Roman"/>
                <w:sz w:val="24"/>
                <w:szCs w:val="24"/>
              </w:rPr>
              <w:t>Likumprojektā ietvertais regulējums palielina  nodokļu maksātāju administratīvo slogu, ņemot vērā, ka, ierobežojot skaidras naudas apriti darījumos, nodokļu maksātājiem būs jāizmanto kredītiestāžu vai maksājumu pakalpojumu sniedzēju sniegtie pakalpojumi, par kuriem ir veicama zināma veida samaksa (piemēram, komisijas maksa par pārskaitī</w:t>
            </w:r>
            <w:r w:rsidR="005D26DC" w:rsidRPr="0022005E">
              <w:rPr>
                <w:rFonts w:ascii="Times New Roman" w:hAnsi="Times New Roman" w:cs="Times New Roman"/>
                <w:sz w:val="24"/>
                <w:szCs w:val="24"/>
              </w:rPr>
              <w:t>j</w:t>
            </w:r>
            <w:r w:rsidRPr="0022005E">
              <w:rPr>
                <w:rFonts w:ascii="Times New Roman" w:hAnsi="Times New Roman" w:cs="Times New Roman"/>
                <w:sz w:val="24"/>
                <w:szCs w:val="24"/>
              </w:rPr>
              <w:t>uma veikšanu</w:t>
            </w:r>
            <w:r w:rsidR="00157D7C" w:rsidRPr="0022005E">
              <w:rPr>
                <w:rFonts w:ascii="Times New Roman" w:hAnsi="Times New Roman" w:cs="Times New Roman"/>
                <w:sz w:val="24"/>
                <w:szCs w:val="24"/>
              </w:rPr>
              <w:t>)</w:t>
            </w:r>
            <w:r w:rsidRPr="0022005E">
              <w:rPr>
                <w:rFonts w:ascii="Times New Roman" w:hAnsi="Times New Roman" w:cs="Times New Roman"/>
                <w:sz w:val="24"/>
                <w:szCs w:val="24"/>
              </w:rPr>
              <w:t>.</w:t>
            </w:r>
            <w:r w:rsidR="005D26DC" w:rsidRPr="0022005E">
              <w:rPr>
                <w:rFonts w:ascii="Times New Roman" w:hAnsi="Times New Roman" w:cs="Times New Roman"/>
                <w:sz w:val="24"/>
                <w:szCs w:val="24"/>
              </w:rPr>
              <w:t xml:space="preserve">  </w:t>
            </w:r>
          </w:p>
          <w:p w:rsidR="00AD5908" w:rsidRPr="0022005E" w:rsidRDefault="001E1D39" w:rsidP="001E1D39">
            <w:pPr>
              <w:pStyle w:val="NoSpacing"/>
              <w:ind w:firstLine="284"/>
              <w:jc w:val="both"/>
              <w:rPr>
                <w:rFonts w:ascii="Times New Roman" w:hAnsi="Times New Roman" w:cs="Times New Roman"/>
                <w:sz w:val="24"/>
                <w:szCs w:val="24"/>
              </w:rPr>
            </w:pPr>
            <w:r w:rsidRPr="0022005E">
              <w:rPr>
                <w:rFonts w:ascii="Times New Roman" w:hAnsi="Times New Roman" w:cs="Times New Roman"/>
                <w:sz w:val="24"/>
                <w:szCs w:val="24"/>
              </w:rPr>
              <w:lastRenderedPageBreak/>
              <w:t xml:space="preserve">Savukārt, lai neradītu administratīvās izmaksas tai sabiedrības daļai, kurai šobrīd nav kredītiestādēs vai pie maksājumu pakalpojumu sniedzējiem atvērts pieprasījuma noguldījuma vai maksājumu konts, </w:t>
            </w:r>
            <w:r w:rsidR="005D26DC" w:rsidRPr="0022005E">
              <w:rPr>
                <w:rFonts w:ascii="Times New Roman" w:hAnsi="Times New Roman" w:cs="Times New Roman"/>
                <w:sz w:val="24"/>
                <w:szCs w:val="24"/>
              </w:rPr>
              <w:t>likumprojektā ietverta</w:t>
            </w:r>
            <w:r w:rsidRPr="0022005E">
              <w:rPr>
                <w:rFonts w:ascii="Times New Roman" w:hAnsi="Times New Roman" w:cs="Times New Roman"/>
                <w:sz w:val="24"/>
                <w:szCs w:val="24"/>
              </w:rPr>
              <w:t>is regulējums</w:t>
            </w:r>
            <w:r w:rsidR="005D26DC" w:rsidRPr="0022005E">
              <w:rPr>
                <w:rFonts w:ascii="Times New Roman" w:hAnsi="Times New Roman" w:cs="Times New Roman"/>
                <w:sz w:val="24"/>
                <w:szCs w:val="24"/>
              </w:rPr>
              <w:t xml:space="preserve"> skaidras naudas lietošanas ierobežojumam mehānisko transportlīdzekļu atsavināšanas darījumos </w:t>
            </w:r>
            <w:r w:rsidR="00367AF2" w:rsidRPr="0022005E">
              <w:rPr>
                <w:rFonts w:ascii="Times New Roman" w:hAnsi="Times New Roman" w:cs="Times New Roman"/>
                <w:sz w:val="24"/>
                <w:szCs w:val="24"/>
              </w:rPr>
              <w:t>ir izstrādāts, paredzot, ka darījumi līdz 1500 </w:t>
            </w:r>
            <w:r w:rsidR="00367AF2" w:rsidRPr="0022005E">
              <w:rPr>
                <w:rFonts w:ascii="Times New Roman" w:hAnsi="Times New Roman" w:cs="Times New Roman"/>
                <w:i/>
                <w:sz w:val="24"/>
                <w:szCs w:val="24"/>
              </w:rPr>
              <w:t>euro</w:t>
            </w:r>
            <w:r w:rsidR="00367AF2" w:rsidRPr="0022005E">
              <w:rPr>
                <w:rFonts w:ascii="Times New Roman" w:hAnsi="Times New Roman" w:cs="Times New Roman"/>
                <w:sz w:val="24"/>
                <w:szCs w:val="24"/>
              </w:rPr>
              <w:t>, kā līdz šim varēs tikt veikti</w:t>
            </w:r>
            <w:r w:rsidRPr="0022005E">
              <w:rPr>
                <w:rFonts w:ascii="Times New Roman" w:hAnsi="Times New Roman" w:cs="Times New Roman"/>
                <w:sz w:val="24"/>
                <w:szCs w:val="24"/>
              </w:rPr>
              <w:t>, izmantojot arī</w:t>
            </w:r>
            <w:r w:rsidR="00367AF2" w:rsidRPr="0022005E">
              <w:rPr>
                <w:rFonts w:ascii="Times New Roman" w:hAnsi="Times New Roman" w:cs="Times New Roman"/>
                <w:sz w:val="24"/>
                <w:szCs w:val="24"/>
              </w:rPr>
              <w:t xml:space="preserve"> skaidr</w:t>
            </w:r>
            <w:r w:rsidRPr="0022005E">
              <w:rPr>
                <w:rFonts w:ascii="Times New Roman" w:hAnsi="Times New Roman" w:cs="Times New Roman"/>
                <w:sz w:val="24"/>
                <w:szCs w:val="24"/>
              </w:rPr>
              <w:t>u</w:t>
            </w:r>
            <w:r w:rsidR="00367AF2" w:rsidRPr="0022005E">
              <w:rPr>
                <w:rFonts w:ascii="Times New Roman" w:hAnsi="Times New Roman" w:cs="Times New Roman"/>
                <w:sz w:val="24"/>
                <w:szCs w:val="24"/>
              </w:rPr>
              <w:t xml:space="preserve"> naud</w:t>
            </w:r>
            <w:r w:rsidRPr="0022005E">
              <w:rPr>
                <w:rFonts w:ascii="Times New Roman" w:hAnsi="Times New Roman" w:cs="Times New Roman"/>
                <w:sz w:val="24"/>
                <w:szCs w:val="24"/>
              </w:rPr>
              <w:t>u</w:t>
            </w:r>
            <w:r w:rsidR="00367AF2" w:rsidRPr="0022005E">
              <w:rPr>
                <w:rFonts w:ascii="Times New Roman" w:hAnsi="Times New Roman" w:cs="Times New Roman"/>
                <w:sz w:val="24"/>
                <w:szCs w:val="24"/>
              </w:rPr>
              <w:t>.</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96B16" w:rsidRPr="0022005E" w:rsidRDefault="00E0402A" w:rsidP="001E1D39">
            <w:pPr>
              <w:ind w:firstLine="284"/>
              <w:jc w:val="both"/>
              <w:rPr>
                <w:rFonts w:cs="Times New Roman"/>
                <w:szCs w:val="24"/>
              </w:rPr>
            </w:pPr>
            <w:r w:rsidRPr="0022005E">
              <w:rPr>
                <w:rFonts w:cs="Times New Roman"/>
                <w:szCs w:val="24"/>
              </w:rPr>
              <w:t>Administratīvo izmaksu monetāru aprēķinu</w:t>
            </w:r>
            <w:r w:rsidR="00D46C83" w:rsidRPr="0022005E">
              <w:rPr>
                <w:rFonts w:cs="Times New Roman"/>
                <w:szCs w:val="24"/>
              </w:rPr>
              <w:t xml:space="preserve"> nav iespējams veikt, jo nav </w:t>
            </w:r>
            <w:r w:rsidR="00F637A4" w:rsidRPr="0022005E">
              <w:rPr>
                <w:rFonts w:cs="Times New Roman"/>
                <w:szCs w:val="24"/>
              </w:rPr>
              <w:t xml:space="preserve">prognozējams to personu skaits, kas </w:t>
            </w:r>
            <w:r w:rsidR="001E1D39" w:rsidRPr="0022005E">
              <w:rPr>
                <w:rFonts w:cs="Times New Roman"/>
                <w:szCs w:val="24"/>
              </w:rPr>
              <w:t>vei</w:t>
            </w:r>
            <w:r w:rsidR="00157D7C" w:rsidRPr="0022005E">
              <w:rPr>
                <w:rFonts w:cs="Times New Roman"/>
                <w:szCs w:val="24"/>
              </w:rPr>
              <w:t>c</w:t>
            </w:r>
            <w:r w:rsidR="001E1D39" w:rsidRPr="0022005E">
              <w:rPr>
                <w:rFonts w:cs="Times New Roman"/>
                <w:szCs w:val="24"/>
              </w:rPr>
              <w:t xml:space="preserve"> darījumus virs 3000 </w:t>
            </w:r>
            <w:r w:rsidR="001E1D39" w:rsidRPr="0022005E">
              <w:rPr>
                <w:rFonts w:cs="Times New Roman"/>
                <w:i/>
                <w:szCs w:val="24"/>
              </w:rPr>
              <w:t>euro</w:t>
            </w:r>
            <w:r w:rsidR="00157D7C" w:rsidRPr="0022005E">
              <w:rPr>
                <w:rFonts w:cs="Times New Roman"/>
                <w:i/>
                <w:szCs w:val="24"/>
              </w:rPr>
              <w:t xml:space="preserve"> </w:t>
            </w:r>
            <w:r w:rsidR="00157D7C" w:rsidRPr="0022005E">
              <w:rPr>
                <w:rFonts w:cs="Times New Roman"/>
                <w:szCs w:val="24"/>
              </w:rPr>
              <w:t>skaidrā naudā</w:t>
            </w:r>
            <w:r w:rsidR="001E1D39" w:rsidRPr="0022005E">
              <w:rPr>
                <w:rFonts w:cs="Times New Roman"/>
                <w:szCs w:val="24"/>
              </w:rPr>
              <w:t xml:space="preserve">, vai kuri </w:t>
            </w:r>
            <w:r w:rsidR="00F637A4" w:rsidRPr="0022005E">
              <w:rPr>
                <w:rFonts w:cs="Times New Roman"/>
                <w:szCs w:val="24"/>
              </w:rPr>
              <w:t>iesaistīsies nekustamo īpašumu v</w:t>
            </w:r>
            <w:r w:rsidR="00095FC2" w:rsidRPr="0022005E">
              <w:rPr>
                <w:rFonts w:cs="Times New Roman"/>
                <w:szCs w:val="24"/>
              </w:rPr>
              <w:t>a</w:t>
            </w:r>
            <w:r w:rsidR="00F637A4" w:rsidRPr="0022005E">
              <w:rPr>
                <w:rFonts w:cs="Times New Roman"/>
                <w:szCs w:val="24"/>
              </w:rPr>
              <w:t>i mehānisko transportlīdzekļu atsavināšanas darījumos.</w:t>
            </w:r>
            <w:r w:rsidR="001E1D39" w:rsidRPr="0022005E">
              <w:rPr>
                <w:rFonts w:cs="Times New Roman"/>
                <w:szCs w:val="24"/>
              </w:rPr>
              <w:t xml:space="preserve"> </w:t>
            </w:r>
          </w:p>
        </w:tc>
      </w:tr>
      <w:tr w:rsidR="0022005E" w:rsidRPr="0022005E" w:rsidTr="00F637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A21E85" w:rsidRPr="0022005E" w:rsidRDefault="00F637A4" w:rsidP="00A21E85">
            <w:pPr>
              <w:ind w:left="-11" w:firstLine="284"/>
              <w:jc w:val="both"/>
              <w:rPr>
                <w:rFonts w:eastAsia="Times New Roman" w:cs="Times New Roman"/>
                <w:iCs/>
                <w:szCs w:val="24"/>
                <w:lang w:eastAsia="lv-LV"/>
              </w:rPr>
            </w:pPr>
            <w:r w:rsidRPr="0022005E">
              <w:rPr>
                <w:rFonts w:eastAsia="Times New Roman" w:cs="Times New Roman"/>
                <w:iCs/>
                <w:szCs w:val="24"/>
                <w:lang w:eastAsia="lv-LV"/>
              </w:rPr>
              <w:t>Nav attiecināms.</w:t>
            </w:r>
          </w:p>
        </w:tc>
      </w:tr>
      <w:tr w:rsidR="0030784C"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2005E" w:rsidRDefault="00F637A4" w:rsidP="0034028A">
            <w:pPr>
              <w:ind w:left="-11" w:firstLine="284"/>
              <w:jc w:val="both"/>
              <w:rPr>
                <w:rFonts w:eastAsia="Times New Roman" w:cs="Times New Roman"/>
                <w:iCs/>
                <w:szCs w:val="24"/>
                <w:lang w:eastAsia="lv-LV"/>
              </w:rPr>
            </w:pPr>
            <w:r w:rsidRPr="0022005E">
              <w:rPr>
                <w:rFonts w:cs="Times New Roman"/>
                <w:szCs w:val="24"/>
              </w:rPr>
              <w:t>Nav.</w:t>
            </w:r>
          </w:p>
        </w:tc>
      </w:tr>
    </w:tbl>
    <w:p w:rsidR="00CF1B95" w:rsidRPr="0022005E"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81"/>
        <w:gridCol w:w="1059"/>
        <w:gridCol w:w="883"/>
        <w:gridCol w:w="1327"/>
        <w:gridCol w:w="1263"/>
      </w:tblGrid>
      <w:tr w:rsidR="0022005E" w:rsidRPr="0022005E" w:rsidTr="004C74A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b/>
                <w:bCs/>
                <w:iCs/>
                <w:szCs w:val="24"/>
                <w:lang w:eastAsia="lv-LV"/>
              </w:rPr>
            </w:pPr>
            <w:r w:rsidRPr="0022005E">
              <w:rPr>
                <w:rFonts w:eastAsia="Times New Roman" w:cs="Times New Roman"/>
                <w:b/>
                <w:bCs/>
                <w:iCs/>
                <w:szCs w:val="24"/>
                <w:lang w:eastAsia="lv-LV"/>
              </w:rPr>
              <w:t>III. Tiesību akta projekta ietekme uz valsts budžetu un pašvaldību budžetiem</w:t>
            </w:r>
          </w:p>
        </w:tc>
      </w:tr>
      <w:tr w:rsidR="0022005E" w:rsidRPr="0022005E" w:rsidTr="00063AC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637A4" w:rsidRPr="0022005E" w:rsidRDefault="00E937C1" w:rsidP="004C74A7">
            <w:pPr>
              <w:rPr>
                <w:rFonts w:eastAsia="Times New Roman" w:cs="Times New Roman"/>
                <w:iCs/>
                <w:szCs w:val="24"/>
                <w:lang w:eastAsia="lv-LV"/>
              </w:rPr>
            </w:pPr>
            <w:r w:rsidRPr="0022005E">
              <w:rPr>
                <w:rFonts w:eastAsia="Times New Roman" w:cs="Times New Roman"/>
                <w:iCs/>
                <w:szCs w:val="24"/>
                <w:lang w:eastAsia="lv-LV"/>
              </w:rPr>
              <w:t>2019</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Turpmākie trīs gadi (</w:t>
            </w:r>
            <w:r w:rsidRPr="0022005E">
              <w:rPr>
                <w:rFonts w:eastAsia="Times New Roman" w:cs="Times New Roman"/>
                <w:i/>
                <w:iCs/>
                <w:szCs w:val="24"/>
                <w:lang w:eastAsia="lv-LV"/>
              </w:rPr>
              <w:t>euro</w:t>
            </w:r>
            <w:r w:rsidRPr="0022005E">
              <w:rPr>
                <w:rFonts w:eastAsia="Times New Roman" w:cs="Times New Roman"/>
                <w:iCs/>
                <w:szCs w:val="24"/>
                <w:lang w:eastAsia="lv-LV"/>
              </w:rPr>
              <w:t>)</w:t>
            </w:r>
          </w:p>
        </w:tc>
      </w:tr>
      <w:tr w:rsidR="0022005E" w:rsidRPr="0022005E" w:rsidTr="00063AC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F637A4" w:rsidRPr="0022005E" w:rsidRDefault="00E937C1" w:rsidP="004C74A7">
            <w:pPr>
              <w:rPr>
                <w:rFonts w:eastAsia="Times New Roman" w:cs="Times New Roman"/>
                <w:iCs/>
                <w:szCs w:val="24"/>
                <w:lang w:eastAsia="lv-LV"/>
              </w:rPr>
            </w:pPr>
            <w:r w:rsidRPr="0022005E">
              <w:rPr>
                <w:rFonts w:eastAsia="Times New Roman" w:cs="Times New Roman"/>
                <w:iCs/>
                <w:szCs w:val="24"/>
                <w:lang w:eastAsia="lv-LV"/>
              </w:rPr>
              <w:t>2020</w:t>
            </w:r>
          </w:p>
        </w:tc>
        <w:tc>
          <w:tcPr>
            <w:tcW w:w="1221" w:type="pct"/>
            <w:gridSpan w:val="2"/>
            <w:tcBorders>
              <w:top w:val="outset" w:sz="6" w:space="0" w:color="auto"/>
              <w:left w:val="outset" w:sz="6" w:space="0" w:color="auto"/>
              <w:bottom w:val="outset" w:sz="6" w:space="0" w:color="auto"/>
              <w:right w:val="outset" w:sz="6" w:space="0" w:color="auto"/>
            </w:tcBorders>
            <w:vAlign w:val="center"/>
            <w:hideMark/>
          </w:tcPr>
          <w:p w:rsidR="00F637A4" w:rsidRPr="0022005E" w:rsidRDefault="00E937C1" w:rsidP="004C74A7">
            <w:pPr>
              <w:rPr>
                <w:rFonts w:eastAsia="Times New Roman" w:cs="Times New Roman"/>
                <w:iCs/>
                <w:szCs w:val="24"/>
                <w:lang w:eastAsia="lv-LV"/>
              </w:rPr>
            </w:pPr>
            <w:r w:rsidRPr="0022005E">
              <w:rPr>
                <w:rFonts w:eastAsia="Times New Roman" w:cs="Times New Roman"/>
                <w:iCs/>
                <w:szCs w:val="24"/>
                <w:lang w:eastAsia="lv-LV"/>
              </w:rPr>
              <w:t>2021</w:t>
            </w:r>
          </w:p>
        </w:tc>
        <w:tc>
          <w:tcPr>
            <w:tcW w:w="642"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E937C1" w:rsidP="004C74A7">
            <w:pPr>
              <w:rPr>
                <w:rFonts w:eastAsia="Times New Roman" w:cs="Times New Roman"/>
                <w:iCs/>
                <w:szCs w:val="24"/>
                <w:lang w:eastAsia="lv-LV"/>
              </w:rPr>
            </w:pPr>
            <w:r w:rsidRPr="0022005E">
              <w:rPr>
                <w:rFonts w:eastAsia="Times New Roman" w:cs="Times New Roman"/>
                <w:iCs/>
                <w:szCs w:val="24"/>
                <w:lang w:eastAsia="lv-LV"/>
              </w:rPr>
              <w:t>2022</w:t>
            </w:r>
          </w:p>
        </w:tc>
      </w:tr>
      <w:tr w:rsidR="0022005E" w:rsidRPr="0022005E" w:rsidTr="00063AC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izmaiņas kārtējā gadā, salīdzinot ar valsts budžetu kārtējam gadam</w:t>
            </w:r>
          </w:p>
        </w:tc>
        <w:tc>
          <w:tcPr>
            <w:tcW w:w="48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063AC6">
            <w:pPr>
              <w:rPr>
                <w:rFonts w:eastAsia="Times New Roman" w:cs="Times New Roman"/>
                <w:iCs/>
                <w:szCs w:val="24"/>
                <w:lang w:eastAsia="lv-LV"/>
              </w:rPr>
            </w:pPr>
            <w:r w:rsidRPr="0022005E">
              <w:rPr>
                <w:rFonts w:eastAsia="Times New Roman" w:cs="Times New Roman"/>
                <w:iCs/>
                <w:szCs w:val="24"/>
                <w:lang w:eastAsia="lv-LV"/>
              </w:rPr>
              <w:t xml:space="preserve">izmaiņas, salīdzinot ar vidēja termiņa budžeta ietvaru </w:t>
            </w:r>
            <w:r w:rsidR="007349B0" w:rsidRPr="0022005E">
              <w:rPr>
                <w:rFonts w:eastAsia="Times New Roman" w:cs="Times New Roman"/>
                <w:iCs/>
                <w:szCs w:val="24"/>
                <w:lang w:eastAsia="lv-LV"/>
              </w:rPr>
              <w:t>2020</w:t>
            </w:r>
            <w:r w:rsidR="00063AC6" w:rsidRPr="0022005E">
              <w:rPr>
                <w:rFonts w:eastAsia="Times New Roman" w:cs="Times New Roman"/>
                <w:iCs/>
                <w:szCs w:val="24"/>
                <w:lang w:eastAsia="lv-LV"/>
              </w:rPr>
              <w:t>.</w:t>
            </w:r>
            <w:r w:rsidRPr="0022005E">
              <w:rPr>
                <w:rFonts w:eastAsia="Times New Roman" w:cs="Times New Roman"/>
                <w:iCs/>
                <w:szCs w:val="24"/>
                <w:lang w:eastAsia="lv-LV"/>
              </w:rPr>
              <w:t xml:space="preserve"> gadam</w:t>
            </w:r>
          </w:p>
        </w:tc>
        <w:tc>
          <w:tcPr>
            <w:tcW w:w="48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saskaņā ar vidēja termiņa budžeta ietvaru</w:t>
            </w:r>
          </w:p>
        </w:tc>
        <w:tc>
          <w:tcPr>
            <w:tcW w:w="720"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063AC6">
            <w:pPr>
              <w:rPr>
                <w:rFonts w:eastAsia="Times New Roman" w:cs="Times New Roman"/>
                <w:iCs/>
                <w:szCs w:val="24"/>
                <w:lang w:eastAsia="lv-LV"/>
              </w:rPr>
            </w:pPr>
            <w:r w:rsidRPr="0022005E">
              <w:rPr>
                <w:rFonts w:eastAsia="Times New Roman" w:cs="Times New Roman"/>
                <w:iCs/>
                <w:szCs w:val="24"/>
                <w:lang w:eastAsia="lv-LV"/>
              </w:rPr>
              <w:t xml:space="preserve">izmaiņas, salīdzinot ar </w:t>
            </w:r>
            <w:r w:rsidR="00063AC6" w:rsidRPr="0022005E">
              <w:rPr>
                <w:rFonts w:eastAsia="Times New Roman" w:cs="Times New Roman"/>
                <w:iCs/>
                <w:szCs w:val="24"/>
                <w:lang w:eastAsia="lv-LV"/>
              </w:rPr>
              <w:t>vid</w:t>
            </w:r>
            <w:r w:rsidR="007349B0" w:rsidRPr="0022005E">
              <w:rPr>
                <w:rFonts w:eastAsia="Times New Roman" w:cs="Times New Roman"/>
                <w:iCs/>
                <w:szCs w:val="24"/>
                <w:lang w:eastAsia="lv-LV"/>
              </w:rPr>
              <w:t>ēja termiņa budžeta ietvaru 2021</w:t>
            </w:r>
            <w:r w:rsidR="00063AC6" w:rsidRPr="0022005E">
              <w:rPr>
                <w:rFonts w:eastAsia="Times New Roman" w:cs="Times New Roman"/>
                <w:iCs/>
                <w:szCs w:val="24"/>
                <w:lang w:eastAsia="lv-LV"/>
              </w:rPr>
              <w:t xml:space="preserve">. </w:t>
            </w:r>
            <w:r w:rsidRPr="0022005E">
              <w:rPr>
                <w:rFonts w:eastAsia="Times New Roman" w:cs="Times New Roman"/>
                <w:iCs/>
                <w:szCs w:val="24"/>
                <w:lang w:eastAsia="lv-LV"/>
              </w:rPr>
              <w:t>gadam</w:t>
            </w:r>
          </w:p>
        </w:tc>
        <w:tc>
          <w:tcPr>
            <w:tcW w:w="642"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063AC6">
            <w:pPr>
              <w:rPr>
                <w:rFonts w:eastAsia="Times New Roman" w:cs="Times New Roman"/>
                <w:iCs/>
                <w:szCs w:val="24"/>
                <w:lang w:eastAsia="lv-LV"/>
              </w:rPr>
            </w:pPr>
            <w:r w:rsidRPr="0022005E">
              <w:rPr>
                <w:rFonts w:eastAsia="Times New Roman" w:cs="Times New Roman"/>
                <w:iCs/>
                <w:szCs w:val="24"/>
                <w:lang w:eastAsia="lv-LV"/>
              </w:rPr>
              <w:t xml:space="preserve">izmaiņas, salīdzinot ar vidēja termiņa budžeta ietvaru </w:t>
            </w:r>
            <w:r w:rsidR="00063AC6" w:rsidRPr="0022005E">
              <w:rPr>
                <w:rFonts w:eastAsia="Times New Roman" w:cs="Times New Roman"/>
                <w:iCs/>
                <w:szCs w:val="24"/>
                <w:lang w:eastAsia="lv-LV"/>
              </w:rPr>
              <w:t>2021.</w:t>
            </w:r>
            <w:r w:rsidRPr="0022005E">
              <w:rPr>
                <w:rFonts w:eastAsia="Times New Roman" w:cs="Times New Roman"/>
                <w:iCs/>
                <w:szCs w:val="24"/>
                <w:lang w:eastAsia="lv-LV"/>
              </w:rPr>
              <w:t xml:space="preserve"> gadam</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3</w:t>
            </w:r>
          </w:p>
        </w:tc>
        <w:tc>
          <w:tcPr>
            <w:tcW w:w="48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4</w:t>
            </w:r>
          </w:p>
        </w:tc>
        <w:tc>
          <w:tcPr>
            <w:tcW w:w="567"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5</w:t>
            </w:r>
          </w:p>
        </w:tc>
        <w:tc>
          <w:tcPr>
            <w:tcW w:w="48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6</w:t>
            </w:r>
          </w:p>
        </w:tc>
        <w:tc>
          <w:tcPr>
            <w:tcW w:w="720"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7</w:t>
            </w:r>
          </w:p>
        </w:tc>
        <w:tc>
          <w:tcPr>
            <w:tcW w:w="642"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8</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F637A4" w:rsidRPr="0022005E" w:rsidRDefault="00F637A4" w:rsidP="004C74A7">
            <w:pPr>
              <w:rPr>
                <w:rFonts w:eastAsia="Times New Roman" w:cs="Times New Roman"/>
                <w:iCs/>
                <w:szCs w:val="24"/>
                <w:lang w:eastAsia="lv-LV"/>
              </w:rPr>
            </w:pPr>
            <w:r w:rsidRPr="0022005E">
              <w:rPr>
                <w:rFonts w:eastAsia="Times New Roman" w:cs="Times New Roman"/>
                <w:iCs/>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CF380D">
            <w:pPr>
              <w:jc w:val="right"/>
              <w:rPr>
                <w:rFonts w:eastAsia="Times New Roman" w:cs="Times New Roman"/>
                <w:iCs/>
                <w:szCs w:val="24"/>
                <w:lang w:eastAsia="lv-LV"/>
              </w:rPr>
            </w:pPr>
            <w:r w:rsidRPr="0022005E">
              <w:rPr>
                <w:rFonts w:eastAsia="Times New Roman" w:cs="Times New Roman"/>
                <w:iCs/>
                <w:szCs w:val="24"/>
                <w:lang w:eastAsia="lv-LV"/>
              </w:rPr>
              <w:t> </w:t>
            </w:r>
            <w:r w:rsidR="00E937C1" w:rsidRPr="0022005E">
              <w:rPr>
                <w:rFonts w:eastAsia="Times New Roman" w:cs="Times New Roman"/>
                <w:iCs/>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675</w:t>
            </w:r>
            <w:r w:rsidR="00063AC6" w:rsidRPr="0022005E">
              <w:rPr>
                <w:rFonts w:eastAsia="Times New Roman" w:cs="Times New Roman"/>
                <w:iCs/>
                <w:szCs w:val="24"/>
                <w:lang w:eastAsia="lv-LV"/>
              </w:rPr>
              <w:t> 000</w:t>
            </w:r>
          </w:p>
        </w:tc>
        <w:tc>
          <w:tcPr>
            <w:tcW w:w="484"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CF380D">
            <w:pPr>
              <w:jc w:val="right"/>
              <w:rPr>
                <w:rFonts w:eastAsia="Times New Roman" w:cs="Times New Roman"/>
                <w:iCs/>
                <w:szCs w:val="24"/>
                <w:lang w:eastAsia="lv-LV"/>
              </w:rPr>
            </w:pPr>
            <w:r w:rsidRPr="0022005E">
              <w:rPr>
                <w:rFonts w:eastAsia="Times New Roman" w:cs="Times New Roman"/>
                <w:iCs/>
                <w:szCs w:val="24"/>
                <w:lang w:eastAsia="lv-LV"/>
              </w:rPr>
              <w:t> </w:t>
            </w:r>
            <w:r w:rsidR="00063AC6" w:rsidRPr="0022005E">
              <w:rPr>
                <w:rFonts w:eastAsia="Times New Roman" w:cs="Times New Roman"/>
                <w:iCs/>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063AC6" w:rsidRPr="0022005E">
              <w:rPr>
                <w:rFonts w:eastAsia="Times New Roman" w:cs="Times New Roman"/>
                <w:iCs/>
                <w:szCs w:val="24"/>
                <w:lang w:eastAsia="lv-LV"/>
              </w:rPr>
              <w:t>00 000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F637A4" w:rsidP="00CF380D">
            <w:pPr>
              <w:jc w:val="right"/>
              <w:rPr>
                <w:rFonts w:eastAsia="Times New Roman" w:cs="Times New Roman"/>
                <w:iCs/>
                <w:szCs w:val="24"/>
                <w:lang w:eastAsia="lv-LV"/>
              </w:rPr>
            </w:pPr>
            <w:r w:rsidRPr="0022005E">
              <w:rPr>
                <w:rFonts w:eastAsia="Times New Roman" w:cs="Times New Roman"/>
                <w:iCs/>
                <w:szCs w:val="24"/>
                <w:lang w:eastAsia="lv-LV"/>
              </w:rPr>
              <w:t> </w:t>
            </w:r>
            <w:r w:rsidR="00063AC6" w:rsidRPr="0022005E">
              <w:rPr>
                <w:rFonts w:eastAsia="Times New Roman" w:cs="Times New Roman"/>
                <w:iCs/>
                <w:szCs w:val="24"/>
                <w:lang w:eastAsia="lv-LV"/>
              </w:rPr>
              <w:t>0</w:t>
            </w:r>
          </w:p>
        </w:tc>
        <w:tc>
          <w:tcPr>
            <w:tcW w:w="720"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063AC6" w:rsidRPr="0022005E">
              <w:rPr>
                <w:rFonts w:eastAsia="Times New Roman" w:cs="Times New Roman"/>
                <w:iCs/>
                <w:szCs w:val="24"/>
                <w:lang w:eastAsia="lv-LV"/>
              </w:rPr>
              <w:t>00 000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F637A4"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E937C1" w:rsidRPr="0022005E">
              <w:rPr>
                <w:rFonts w:eastAsia="Times New Roman" w:cs="Times New Roman"/>
                <w:iCs/>
                <w:szCs w:val="24"/>
                <w:lang w:eastAsia="lv-LV"/>
              </w:rPr>
              <w:t>00 000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495</w:t>
            </w:r>
            <w:r w:rsidR="00063AC6" w:rsidRPr="0022005E">
              <w:rPr>
                <w:rFonts w:eastAsia="Times New Roman" w:cs="Times New Roman"/>
                <w:iCs/>
                <w:szCs w:val="24"/>
                <w:lang w:eastAsia="lv-LV"/>
              </w:rPr>
              <w:t> 000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180</w:t>
            </w:r>
            <w:r w:rsidR="001507F5" w:rsidRPr="0022005E">
              <w:rPr>
                <w:rFonts w:eastAsia="Times New Roman" w:cs="Times New Roman"/>
                <w:iCs/>
                <w:szCs w:val="24"/>
                <w:lang w:eastAsia="lv-LV"/>
              </w:rPr>
              <w:t> 00</w:t>
            </w:r>
            <w:r w:rsidR="00063AC6" w:rsidRPr="0022005E">
              <w:rPr>
                <w:rFonts w:eastAsia="Times New Roman" w:cs="Times New Roman"/>
                <w:iCs/>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lastRenderedPageBreak/>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67</w:t>
            </w:r>
            <w:r w:rsidR="00063AC6" w:rsidRPr="0022005E">
              <w:rPr>
                <w:rFonts w:eastAsia="Times New Roman" w:cs="Times New Roman"/>
                <w:iCs/>
                <w:szCs w:val="24"/>
                <w:lang w:eastAsia="lv-LV"/>
              </w:rPr>
              <w:t>5 000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063AC6" w:rsidRPr="0022005E">
              <w:rPr>
                <w:rFonts w:eastAsia="Times New Roman" w:cs="Times New Roman"/>
                <w:iCs/>
                <w:szCs w:val="24"/>
                <w:lang w:eastAsia="lv-LV"/>
              </w:rPr>
              <w:t>00 000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063AC6" w:rsidRPr="0022005E">
              <w:rPr>
                <w:rFonts w:eastAsia="Times New Roman" w:cs="Times New Roman"/>
                <w:iCs/>
                <w:szCs w:val="24"/>
                <w:lang w:eastAsia="lv-LV"/>
              </w:rPr>
              <w:t>00 000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E2D56" w:rsidP="00CF380D">
            <w:pPr>
              <w:jc w:val="right"/>
              <w:rPr>
                <w:rFonts w:eastAsia="Times New Roman" w:cs="Times New Roman"/>
                <w:iCs/>
                <w:szCs w:val="24"/>
                <w:lang w:eastAsia="lv-LV"/>
              </w:rPr>
            </w:pPr>
            <w:r w:rsidRPr="0022005E">
              <w:rPr>
                <w:rFonts w:eastAsia="Times New Roman" w:cs="Times New Roman"/>
                <w:iCs/>
                <w:szCs w:val="24"/>
                <w:lang w:eastAsia="lv-LV"/>
              </w:rPr>
              <w:t>9</w:t>
            </w:r>
            <w:r w:rsidR="00063AC6" w:rsidRPr="0022005E">
              <w:rPr>
                <w:rFonts w:eastAsia="Times New Roman" w:cs="Times New Roman"/>
                <w:iCs/>
                <w:szCs w:val="24"/>
                <w:lang w:eastAsia="lv-LV"/>
              </w:rPr>
              <w:t>00 000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495</w:t>
            </w:r>
            <w:r w:rsidR="00063AC6" w:rsidRPr="0022005E">
              <w:rPr>
                <w:rFonts w:eastAsia="Times New Roman" w:cs="Times New Roman"/>
                <w:iCs/>
                <w:szCs w:val="24"/>
                <w:lang w:eastAsia="lv-LV"/>
              </w:rPr>
              <w:t> 000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w:t>
            </w:r>
            <w:r w:rsidR="00063AC6" w:rsidRPr="0022005E">
              <w:rPr>
                <w:rFonts w:eastAsia="Times New Roman" w:cs="Times New Roman"/>
                <w:iCs/>
                <w:szCs w:val="24"/>
                <w:lang w:eastAsia="lv-LV"/>
              </w:rPr>
              <w:t>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180</w:t>
            </w:r>
            <w:r w:rsidR="001507F5" w:rsidRPr="0022005E">
              <w:rPr>
                <w:rFonts w:eastAsia="Times New Roman" w:cs="Times New Roman"/>
                <w:iCs/>
                <w:szCs w:val="24"/>
                <w:lang w:eastAsia="lv-LV"/>
              </w:rPr>
              <w:t> 00</w:t>
            </w:r>
            <w:r w:rsidR="00063AC6" w:rsidRPr="0022005E">
              <w:rPr>
                <w:rFonts w:eastAsia="Times New Roman" w:cs="Times New Roman"/>
                <w:iCs/>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w:t>
            </w:r>
            <w:r w:rsidR="00063AC6" w:rsidRPr="0022005E">
              <w:rPr>
                <w:rFonts w:eastAsia="Times New Roman" w:cs="Times New Roman"/>
                <w:iCs/>
                <w:szCs w:val="24"/>
                <w:lang w:eastAsia="lv-LV"/>
              </w:rPr>
              <w:t>0</w:t>
            </w:r>
            <w:r w:rsidR="001507F5" w:rsidRPr="0022005E">
              <w:rPr>
                <w:rFonts w:eastAsia="Times New Roman" w:cs="Times New Roman"/>
                <w:iCs/>
                <w:szCs w:val="24"/>
                <w:lang w:eastAsia="lv-LV"/>
              </w:rPr>
              <w:t>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0</w:t>
            </w:r>
          </w:p>
        </w:tc>
        <w:tc>
          <w:tcPr>
            <w:tcW w:w="48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675 000</w:t>
            </w:r>
          </w:p>
        </w:tc>
        <w:tc>
          <w:tcPr>
            <w:tcW w:w="484" w:type="pct"/>
            <w:vMerge w:val="restar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900 000</w:t>
            </w:r>
          </w:p>
        </w:tc>
        <w:tc>
          <w:tcPr>
            <w:tcW w:w="485" w:type="pct"/>
            <w:vMerge w:val="restar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p w:rsidR="00063AC6" w:rsidRPr="0022005E" w:rsidRDefault="00063AC6" w:rsidP="00063AC6">
            <w:pPr>
              <w:jc w:val="center"/>
              <w:rPr>
                <w:rFonts w:eastAsia="Times New Roman" w:cs="Times New Roman"/>
                <w:iCs/>
                <w:szCs w:val="24"/>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900 000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900 000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495 000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660 000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CF380D">
            <w:pPr>
              <w:jc w:val="right"/>
              <w:rPr>
                <w:rFonts w:eastAsia="Times New Roman" w:cs="Times New Roman"/>
                <w:iCs/>
                <w:szCs w:val="24"/>
                <w:lang w:eastAsia="lv-LV"/>
              </w:rPr>
            </w:pPr>
            <w:r w:rsidRPr="0022005E">
              <w:rPr>
                <w:rFonts w:eastAsia="Times New Roman" w:cs="Times New Roman"/>
                <w:iCs/>
                <w:szCs w:val="24"/>
                <w:lang w:eastAsia="lv-LV"/>
              </w:rPr>
              <w:t> 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180 000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240 000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240 000</w:t>
            </w:r>
          </w:p>
        </w:tc>
        <w:tc>
          <w:tcPr>
            <w:tcW w:w="642" w:type="pct"/>
            <w:tcBorders>
              <w:top w:val="outset" w:sz="6" w:space="0" w:color="auto"/>
              <w:left w:val="outset" w:sz="6" w:space="0" w:color="auto"/>
              <w:bottom w:val="outset" w:sz="6" w:space="0" w:color="auto"/>
              <w:right w:val="outset" w:sz="6" w:space="0" w:color="auto"/>
            </w:tcBorders>
            <w:vAlign w:val="center"/>
            <w:hideMark/>
          </w:tcPr>
          <w:p w:rsidR="00063AC6" w:rsidRPr="0022005E" w:rsidRDefault="001C21B5" w:rsidP="00CF380D">
            <w:pPr>
              <w:jc w:val="right"/>
              <w:rPr>
                <w:rFonts w:eastAsia="Times New Roman" w:cs="Times New Roman"/>
                <w:iCs/>
                <w:szCs w:val="24"/>
                <w:lang w:eastAsia="lv-LV"/>
              </w:rPr>
            </w:pPr>
            <w:r w:rsidRPr="0022005E">
              <w:rPr>
                <w:rFonts w:eastAsia="Times New Roman" w:cs="Times New Roman"/>
                <w:iCs/>
                <w:szCs w:val="24"/>
                <w:lang w:eastAsia="lv-LV"/>
              </w:rPr>
              <w:t>240 000</w:t>
            </w: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 xml:space="preserve">6. Detalizēts ieņēmumu un izdevumu aprēķins (ja nepieciešams, detalizētu ieņēmumu un izdevumu aprēķinu var </w:t>
            </w:r>
            <w:r w:rsidRPr="0022005E">
              <w:rPr>
                <w:rFonts w:eastAsia="Times New Roman" w:cs="Times New Roman"/>
                <w:iCs/>
                <w:szCs w:val="24"/>
                <w:lang w:eastAsia="lv-LV"/>
              </w:rPr>
              <w:lastRenderedPageBreak/>
              <w:t>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665"/>
              <w:gridCol w:w="1332"/>
              <w:gridCol w:w="1227"/>
              <w:gridCol w:w="1226"/>
              <w:gridCol w:w="1842"/>
            </w:tblGrid>
            <w:tr w:rsidR="0022005E" w:rsidRPr="0022005E" w:rsidTr="00E772B8">
              <w:trPr>
                <w:trHeight w:val="413"/>
              </w:trPr>
              <w:tc>
                <w:tcPr>
                  <w:tcW w:w="1723" w:type="dxa"/>
                  <w:vMerge w:val="restart"/>
                  <w:tcBorders>
                    <w:top w:val="double" w:sz="4" w:space="0" w:color="auto"/>
                    <w:left w:val="nil"/>
                    <w:bottom w:val="double" w:sz="4" w:space="0" w:color="auto"/>
                    <w:right w:val="dotted" w:sz="4" w:space="0" w:color="auto"/>
                  </w:tcBorders>
                  <w:vAlign w:val="center"/>
                  <w:hideMark/>
                </w:tcPr>
                <w:p w:rsidR="001C21B5" w:rsidRPr="0022005E" w:rsidRDefault="001C21B5" w:rsidP="00063AC6">
                  <w:pPr>
                    <w:tabs>
                      <w:tab w:val="left" w:pos="851"/>
                    </w:tabs>
                    <w:jc w:val="center"/>
                    <w:rPr>
                      <w:rFonts w:cs="Times New Roman"/>
                      <w:szCs w:val="24"/>
                    </w:rPr>
                  </w:pPr>
                </w:p>
                <w:p w:rsidR="001C21B5" w:rsidRPr="0022005E" w:rsidRDefault="001C21B5" w:rsidP="00063AC6">
                  <w:pPr>
                    <w:tabs>
                      <w:tab w:val="left" w:pos="851"/>
                    </w:tabs>
                    <w:jc w:val="center"/>
                    <w:rPr>
                      <w:rFonts w:cs="Times New Roman"/>
                      <w:szCs w:val="24"/>
                    </w:rPr>
                  </w:pPr>
                </w:p>
              </w:tc>
              <w:tc>
                <w:tcPr>
                  <w:tcW w:w="5768" w:type="dxa"/>
                  <w:gridSpan w:val="4"/>
                  <w:tcBorders>
                    <w:top w:val="double" w:sz="4" w:space="0" w:color="auto"/>
                    <w:left w:val="dotted" w:sz="4" w:space="0" w:color="auto"/>
                    <w:bottom w:val="dotted" w:sz="4" w:space="0" w:color="auto"/>
                    <w:right w:val="nil"/>
                  </w:tcBorders>
                  <w:vAlign w:val="center"/>
                  <w:hideMark/>
                </w:tcPr>
                <w:p w:rsidR="001C21B5" w:rsidRPr="0022005E" w:rsidRDefault="001C21B5" w:rsidP="00063AC6">
                  <w:pPr>
                    <w:tabs>
                      <w:tab w:val="left" w:pos="851"/>
                    </w:tabs>
                    <w:jc w:val="center"/>
                    <w:rPr>
                      <w:rFonts w:cs="Times New Roman"/>
                      <w:szCs w:val="24"/>
                    </w:rPr>
                  </w:pPr>
                  <w:r w:rsidRPr="0022005E">
                    <w:rPr>
                      <w:rFonts w:cs="Times New Roman"/>
                      <w:szCs w:val="24"/>
                    </w:rPr>
                    <w:t xml:space="preserve">Plānotā fiskālā ietekme, milj. </w:t>
                  </w:r>
                  <w:r w:rsidRPr="0022005E">
                    <w:rPr>
                      <w:rFonts w:cs="Times New Roman"/>
                      <w:i/>
                      <w:szCs w:val="24"/>
                    </w:rPr>
                    <w:t>euro</w:t>
                  </w:r>
                </w:p>
              </w:tc>
            </w:tr>
            <w:tr w:rsidR="0022005E" w:rsidRPr="0022005E" w:rsidTr="00CF380D">
              <w:trPr>
                <w:trHeight w:val="412"/>
              </w:trPr>
              <w:tc>
                <w:tcPr>
                  <w:tcW w:w="1723" w:type="dxa"/>
                  <w:vMerge/>
                  <w:tcBorders>
                    <w:top w:val="double" w:sz="4" w:space="0" w:color="auto"/>
                    <w:left w:val="nil"/>
                    <w:bottom w:val="double" w:sz="4" w:space="0" w:color="auto"/>
                    <w:right w:val="dotted" w:sz="4" w:space="0" w:color="auto"/>
                  </w:tcBorders>
                  <w:vAlign w:val="center"/>
                  <w:hideMark/>
                </w:tcPr>
                <w:p w:rsidR="001C21B5" w:rsidRPr="0022005E" w:rsidRDefault="001C21B5" w:rsidP="00063AC6">
                  <w:pPr>
                    <w:tabs>
                      <w:tab w:val="left" w:pos="851"/>
                    </w:tabs>
                    <w:jc w:val="center"/>
                    <w:rPr>
                      <w:rFonts w:cs="Times New Roman"/>
                      <w:szCs w:val="24"/>
                    </w:rPr>
                  </w:pPr>
                </w:p>
              </w:tc>
              <w:tc>
                <w:tcPr>
                  <w:tcW w:w="1354" w:type="dxa"/>
                  <w:tcBorders>
                    <w:top w:val="dotted" w:sz="4" w:space="0" w:color="auto"/>
                    <w:left w:val="dotted" w:sz="4" w:space="0" w:color="auto"/>
                    <w:bottom w:val="double" w:sz="4" w:space="0" w:color="auto"/>
                    <w:right w:val="dotted" w:sz="4" w:space="0" w:color="auto"/>
                  </w:tcBorders>
                  <w:vAlign w:val="center"/>
                  <w:hideMark/>
                </w:tcPr>
                <w:p w:rsidR="001C21B5" w:rsidRPr="0022005E" w:rsidRDefault="001C21B5" w:rsidP="00063AC6">
                  <w:pPr>
                    <w:tabs>
                      <w:tab w:val="left" w:pos="851"/>
                    </w:tabs>
                    <w:jc w:val="center"/>
                    <w:rPr>
                      <w:rFonts w:cs="Times New Roman"/>
                      <w:szCs w:val="24"/>
                    </w:rPr>
                  </w:pPr>
                  <w:r w:rsidRPr="0022005E">
                    <w:rPr>
                      <w:rFonts w:cs="Times New Roman"/>
                      <w:szCs w:val="24"/>
                    </w:rPr>
                    <w:t>2019.gadā</w:t>
                  </w:r>
                </w:p>
              </w:tc>
              <w:tc>
                <w:tcPr>
                  <w:tcW w:w="1230" w:type="dxa"/>
                  <w:tcBorders>
                    <w:top w:val="dotted" w:sz="4" w:space="0" w:color="auto"/>
                    <w:left w:val="dotted" w:sz="4" w:space="0" w:color="auto"/>
                    <w:bottom w:val="double" w:sz="4" w:space="0" w:color="auto"/>
                    <w:right w:val="dotted" w:sz="4" w:space="0" w:color="auto"/>
                  </w:tcBorders>
                  <w:vAlign w:val="center"/>
                  <w:hideMark/>
                </w:tcPr>
                <w:p w:rsidR="001C21B5" w:rsidRPr="0022005E" w:rsidRDefault="001C21B5" w:rsidP="00063AC6">
                  <w:pPr>
                    <w:tabs>
                      <w:tab w:val="left" w:pos="851"/>
                    </w:tabs>
                    <w:jc w:val="center"/>
                    <w:rPr>
                      <w:rFonts w:cs="Times New Roman"/>
                      <w:szCs w:val="24"/>
                    </w:rPr>
                  </w:pPr>
                  <w:r w:rsidRPr="0022005E">
                    <w:rPr>
                      <w:rFonts w:cs="Times New Roman"/>
                      <w:szCs w:val="24"/>
                    </w:rPr>
                    <w:t>2020.gadā</w:t>
                  </w:r>
                </w:p>
              </w:tc>
              <w:tc>
                <w:tcPr>
                  <w:tcW w:w="1229" w:type="dxa"/>
                  <w:tcBorders>
                    <w:top w:val="dotted" w:sz="4" w:space="0" w:color="auto"/>
                    <w:left w:val="dotted" w:sz="4" w:space="0" w:color="auto"/>
                    <w:bottom w:val="double" w:sz="4" w:space="0" w:color="auto"/>
                    <w:right w:val="nil"/>
                  </w:tcBorders>
                  <w:vAlign w:val="center"/>
                  <w:hideMark/>
                </w:tcPr>
                <w:p w:rsidR="001C21B5" w:rsidRPr="0022005E" w:rsidRDefault="001C21B5" w:rsidP="00063AC6">
                  <w:pPr>
                    <w:tabs>
                      <w:tab w:val="left" w:pos="851"/>
                    </w:tabs>
                    <w:jc w:val="center"/>
                    <w:rPr>
                      <w:rFonts w:cs="Times New Roman"/>
                      <w:szCs w:val="24"/>
                    </w:rPr>
                  </w:pPr>
                  <w:r w:rsidRPr="0022005E">
                    <w:rPr>
                      <w:rFonts w:cs="Times New Roman"/>
                      <w:szCs w:val="24"/>
                    </w:rPr>
                    <w:t>2021.gadā</w:t>
                  </w:r>
                </w:p>
              </w:tc>
              <w:tc>
                <w:tcPr>
                  <w:tcW w:w="1955" w:type="dxa"/>
                  <w:tcBorders>
                    <w:top w:val="dotted" w:sz="4" w:space="0" w:color="auto"/>
                    <w:left w:val="dotted" w:sz="4" w:space="0" w:color="auto"/>
                    <w:bottom w:val="double" w:sz="4" w:space="0" w:color="auto"/>
                    <w:right w:val="nil"/>
                  </w:tcBorders>
                </w:tcPr>
                <w:p w:rsidR="001C21B5" w:rsidRPr="0022005E" w:rsidRDefault="00057EFB" w:rsidP="00063AC6">
                  <w:pPr>
                    <w:tabs>
                      <w:tab w:val="left" w:pos="851"/>
                    </w:tabs>
                    <w:jc w:val="center"/>
                    <w:rPr>
                      <w:rFonts w:cs="Times New Roman"/>
                      <w:szCs w:val="24"/>
                    </w:rPr>
                  </w:pPr>
                  <w:r w:rsidRPr="0022005E">
                    <w:rPr>
                      <w:rFonts w:cs="Times New Roman"/>
                      <w:szCs w:val="24"/>
                    </w:rPr>
                    <w:t>2022</w:t>
                  </w:r>
                  <w:r w:rsidR="001C21B5" w:rsidRPr="0022005E">
                    <w:rPr>
                      <w:rFonts w:cs="Times New Roman"/>
                      <w:szCs w:val="24"/>
                    </w:rPr>
                    <w:t>.gadā un turpmāk ik gadu</w:t>
                  </w:r>
                </w:p>
              </w:tc>
            </w:tr>
            <w:tr w:rsidR="0022005E" w:rsidRPr="0022005E" w:rsidTr="00CF380D">
              <w:tc>
                <w:tcPr>
                  <w:tcW w:w="1723" w:type="dxa"/>
                  <w:tcBorders>
                    <w:top w:val="single" w:sz="4" w:space="0" w:color="auto"/>
                    <w:left w:val="nil"/>
                    <w:bottom w:val="double" w:sz="4" w:space="0" w:color="auto"/>
                    <w:right w:val="dotted" w:sz="4" w:space="0" w:color="auto"/>
                  </w:tcBorders>
                  <w:hideMark/>
                </w:tcPr>
                <w:p w:rsidR="001C21B5" w:rsidRPr="0022005E" w:rsidRDefault="001C21B5" w:rsidP="001C21B5">
                  <w:pPr>
                    <w:tabs>
                      <w:tab w:val="left" w:pos="851"/>
                    </w:tabs>
                    <w:jc w:val="both"/>
                    <w:rPr>
                      <w:rFonts w:cs="Times New Roman"/>
                      <w:szCs w:val="24"/>
                    </w:rPr>
                  </w:pPr>
                  <w:r w:rsidRPr="0022005E">
                    <w:rPr>
                      <w:rFonts w:cs="Times New Roman"/>
                      <w:szCs w:val="24"/>
                    </w:rPr>
                    <w:t>Iedzīvotāju ienākuma nodoklis</w:t>
                  </w:r>
                </w:p>
              </w:tc>
              <w:tc>
                <w:tcPr>
                  <w:tcW w:w="1354"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0.225</w:t>
                  </w:r>
                </w:p>
              </w:tc>
              <w:tc>
                <w:tcPr>
                  <w:tcW w:w="1230"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229"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955"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r>
            <w:tr w:rsidR="0022005E" w:rsidRPr="0022005E" w:rsidTr="00CF380D">
              <w:tc>
                <w:tcPr>
                  <w:tcW w:w="1723" w:type="dxa"/>
                  <w:tcBorders>
                    <w:top w:val="single" w:sz="4" w:space="0" w:color="auto"/>
                    <w:left w:val="nil"/>
                    <w:bottom w:val="double" w:sz="4" w:space="0" w:color="auto"/>
                    <w:right w:val="dotted" w:sz="4" w:space="0" w:color="auto"/>
                  </w:tcBorders>
                </w:tcPr>
                <w:p w:rsidR="001C21B5" w:rsidRPr="0022005E" w:rsidRDefault="001C21B5" w:rsidP="001C21B5">
                  <w:pPr>
                    <w:tabs>
                      <w:tab w:val="left" w:pos="851"/>
                    </w:tabs>
                    <w:jc w:val="both"/>
                    <w:rPr>
                      <w:rFonts w:cs="Times New Roman"/>
                      <w:szCs w:val="24"/>
                    </w:rPr>
                  </w:pPr>
                  <w:r w:rsidRPr="0022005E">
                    <w:rPr>
                      <w:rFonts w:cs="Times New Roman"/>
                      <w:szCs w:val="24"/>
                    </w:rPr>
                    <w:lastRenderedPageBreak/>
                    <w:t>Uzņēmumu ienākumu nodoklis</w:t>
                  </w:r>
                </w:p>
              </w:tc>
              <w:tc>
                <w:tcPr>
                  <w:tcW w:w="1354"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0.225</w:t>
                  </w:r>
                </w:p>
              </w:tc>
              <w:tc>
                <w:tcPr>
                  <w:tcW w:w="1230"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229"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955"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r>
            <w:tr w:rsidR="0022005E" w:rsidRPr="0022005E" w:rsidTr="00CF380D">
              <w:tc>
                <w:tcPr>
                  <w:tcW w:w="1723" w:type="dxa"/>
                  <w:tcBorders>
                    <w:top w:val="single" w:sz="4" w:space="0" w:color="auto"/>
                    <w:left w:val="nil"/>
                    <w:bottom w:val="double" w:sz="4" w:space="0" w:color="auto"/>
                    <w:right w:val="dotted" w:sz="4" w:space="0" w:color="auto"/>
                  </w:tcBorders>
                </w:tcPr>
                <w:p w:rsidR="001C21B5" w:rsidRPr="0022005E" w:rsidRDefault="001C21B5" w:rsidP="001C21B5">
                  <w:pPr>
                    <w:tabs>
                      <w:tab w:val="left" w:pos="851"/>
                    </w:tabs>
                    <w:jc w:val="both"/>
                    <w:rPr>
                      <w:rFonts w:cs="Times New Roman"/>
                      <w:szCs w:val="24"/>
                    </w:rPr>
                  </w:pPr>
                  <w:r w:rsidRPr="0022005E">
                    <w:rPr>
                      <w:rFonts w:cs="Times New Roman"/>
                      <w:szCs w:val="24"/>
                    </w:rPr>
                    <w:t>Pievienotās vērtības nodoklis</w:t>
                  </w:r>
                </w:p>
              </w:tc>
              <w:tc>
                <w:tcPr>
                  <w:tcW w:w="1354"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0.225</w:t>
                  </w:r>
                </w:p>
              </w:tc>
              <w:tc>
                <w:tcPr>
                  <w:tcW w:w="1230" w:type="dxa"/>
                  <w:tcBorders>
                    <w:top w:val="sing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229"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c>
                <w:tcPr>
                  <w:tcW w:w="1955" w:type="dxa"/>
                  <w:tcBorders>
                    <w:top w:val="sing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0.3</w:t>
                  </w:r>
                </w:p>
              </w:tc>
            </w:tr>
            <w:tr w:rsidR="0022005E" w:rsidRPr="0022005E" w:rsidTr="00CF380D">
              <w:trPr>
                <w:trHeight w:val="355"/>
              </w:trPr>
              <w:tc>
                <w:tcPr>
                  <w:tcW w:w="1723" w:type="dxa"/>
                  <w:tcBorders>
                    <w:top w:val="double" w:sz="4" w:space="0" w:color="auto"/>
                    <w:left w:val="nil"/>
                    <w:bottom w:val="double" w:sz="4" w:space="0" w:color="auto"/>
                    <w:right w:val="dotted" w:sz="4" w:space="0" w:color="auto"/>
                  </w:tcBorders>
                  <w:vAlign w:val="bottom"/>
                  <w:hideMark/>
                </w:tcPr>
                <w:p w:rsidR="001C21B5" w:rsidRPr="0022005E" w:rsidRDefault="001C21B5" w:rsidP="001C21B5">
                  <w:pPr>
                    <w:tabs>
                      <w:tab w:val="left" w:pos="851"/>
                    </w:tabs>
                    <w:rPr>
                      <w:rFonts w:cs="Times New Roman"/>
                      <w:szCs w:val="24"/>
                    </w:rPr>
                  </w:pPr>
                  <w:r w:rsidRPr="0022005E">
                    <w:rPr>
                      <w:rFonts w:cs="Times New Roman"/>
                      <w:szCs w:val="24"/>
                    </w:rPr>
                    <w:t>KOPĀ</w:t>
                  </w:r>
                </w:p>
              </w:tc>
              <w:tc>
                <w:tcPr>
                  <w:tcW w:w="1354" w:type="dxa"/>
                  <w:tcBorders>
                    <w:top w:val="doub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0.675</w:t>
                  </w:r>
                </w:p>
              </w:tc>
              <w:tc>
                <w:tcPr>
                  <w:tcW w:w="1230" w:type="dxa"/>
                  <w:tcBorders>
                    <w:top w:val="double" w:sz="4" w:space="0" w:color="auto"/>
                    <w:left w:val="dotted" w:sz="4" w:space="0" w:color="auto"/>
                    <w:bottom w:val="double" w:sz="4" w:space="0" w:color="auto"/>
                    <w:right w:val="dotted" w:sz="4" w:space="0" w:color="auto"/>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0.9</w:t>
                  </w:r>
                </w:p>
              </w:tc>
              <w:tc>
                <w:tcPr>
                  <w:tcW w:w="1229" w:type="dxa"/>
                  <w:tcBorders>
                    <w:top w:val="doub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0.9</w:t>
                  </w:r>
                </w:p>
              </w:tc>
              <w:tc>
                <w:tcPr>
                  <w:tcW w:w="1955" w:type="dxa"/>
                  <w:tcBorders>
                    <w:top w:val="double" w:sz="4" w:space="0" w:color="auto"/>
                    <w:left w:val="dotted" w:sz="4" w:space="0" w:color="auto"/>
                    <w:bottom w:val="double" w:sz="4" w:space="0" w:color="auto"/>
                    <w:right w:val="nil"/>
                  </w:tcBorders>
                  <w:vAlign w:val="center"/>
                </w:tcPr>
                <w:p w:rsidR="001C21B5" w:rsidRPr="0022005E" w:rsidRDefault="001C21B5" w:rsidP="001C21B5">
                  <w:pPr>
                    <w:tabs>
                      <w:tab w:val="left" w:pos="851"/>
                    </w:tabs>
                    <w:jc w:val="center"/>
                    <w:rPr>
                      <w:rFonts w:cs="Times New Roman"/>
                      <w:szCs w:val="24"/>
                    </w:rPr>
                  </w:pPr>
                  <w:r w:rsidRPr="0022005E">
                    <w:rPr>
                      <w:rFonts w:cs="Times New Roman"/>
                      <w:szCs w:val="24"/>
                    </w:rPr>
                    <w:t>0.9</w:t>
                  </w:r>
                </w:p>
              </w:tc>
            </w:tr>
          </w:tbl>
          <w:p w:rsidR="00063AC6" w:rsidRPr="0022005E" w:rsidRDefault="00063AC6" w:rsidP="00063AC6">
            <w:pPr>
              <w:rPr>
                <w:rFonts w:eastAsia="Times New Roman" w:cs="Times New Roman"/>
                <w:iCs/>
                <w:szCs w:val="24"/>
                <w:lang w:eastAsia="lv-LV"/>
              </w:rPr>
            </w:pP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63AC6" w:rsidRPr="0022005E" w:rsidRDefault="00063AC6" w:rsidP="00063AC6">
            <w:pPr>
              <w:rPr>
                <w:rFonts w:eastAsia="Times New Roman" w:cs="Times New Roman"/>
                <w:iCs/>
                <w:szCs w:val="24"/>
                <w:lang w:eastAsia="lv-LV"/>
              </w:rPr>
            </w:pPr>
          </w:p>
        </w:tc>
      </w:tr>
      <w:tr w:rsidR="0022005E"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Likumprojekta ietvaros nav plānotas amata vietu skaita izmaiņas.</w:t>
            </w:r>
          </w:p>
        </w:tc>
      </w:tr>
      <w:tr w:rsidR="004C74A7" w:rsidRPr="0022005E" w:rsidTr="00063AC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063AC6" w:rsidRPr="0022005E" w:rsidRDefault="00063AC6" w:rsidP="00063AC6">
            <w:pPr>
              <w:rPr>
                <w:rFonts w:eastAsia="Times New Roman" w:cs="Times New Roman"/>
                <w:iCs/>
                <w:szCs w:val="24"/>
                <w:lang w:eastAsia="lv-LV"/>
              </w:rPr>
            </w:pPr>
            <w:r w:rsidRPr="0022005E">
              <w:rPr>
                <w:rFonts w:eastAsia="Times New Roman" w:cs="Times New Roman"/>
                <w:iCs/>
                <w:szCs w:val="24"/>
                <w:lang w:eastAsia="lv-LV"/>
              </w:rPr>
              <w:t>Nav.</w:t>
            </w:r>
          </w:p>
        </w:tc>
      </w:tr>
    </w:tbl>
    <w:p w:rsidR="00E5323B" w:rsidRPr="0022005E"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005E" w:rsidRPr="0022005E"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B95" w:rsidRPr="0022005E" w:rsidRDefault="00CF1B95" w:rsidP="007C3930">
            <w:pPr>
              <w:rPr>
                <w:rFonts w:eastAsia="Times New Roman" w:cs="Times New Roman"/>
                <w:b/>
                <w:bCs/>
                <w:iCs/>
                <w:szCs w:val="24"/>
                <w:lang w:eastAsia="lv-LV"/>
              </w:rPr>
            </w:pPr>
            <w:r w:rsidRPr="0022005E">
              <w:rPr>
                <w:rFonts w:eastAsia="Times New Roman" w:cs="Times New Roman"/>
                <w:b/>
                <w:bCs/>
                <w:iCs/>
                <w:szCs w:val="24"/>
                <w:lang w:eastAsia="lv-LV"/>
              </w:rPr>
              <w:t>IV. Tiesību akta projekta ietekme uz spēkā esošo tiesību normu sistēmu</w:t>
            </w:r>
          </w:p>
        </w:tc>
      </w:tr>
      <w:tr w:rsidR="00D04809" w:rsidRPr="0022005E" w:rsidTr="00D0480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D04809" w:rsidRPr="0022005E" w:rsidRDefault="00D04809" w:rsidP="00D04809">
            <w:pPr>
              <w:ind w:firstLine="284"/>
              <w:jc w:val="center"/>
              <w:rPr>
                <w:rFonts w:eastAsia="Times New Roman" w:cs="Times New Roman"/>
                <w:iCs/>
                <w:szCs w:val="24"/>
                <w:lang w:eastAsia="lv-LV"/>
              </w:rPr>
            </w:pPr>
            <w:r w:rsidRPr="0022005E">
              <w:rPr>
                <w:rFonts w:eastAsia="Times New Roman" w:cs="Times New Roman"/>
                <w:iCs/>
                <w:szCs w:val="24"/>
                <w:lang w:eastAsia="lv-LV"/>
              </w:rPr>
              <w:t>Likumprojekts šo jomu neskar.</w:t>
            </w:r>
          </w:p>
        </w:tc>
      </w:tr>
    </w:tbl>
    <w:p w:rsidR="00E5323B" w:rsidRPr="0022005E"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005E" w:rsidRPr="0022005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V. Tiesību akta projekta atbilstība Latvijas Republikas starptautiskajām saistībām</w:t>
            </w:r>
          </w:p>
        </w:tc>
      </w:tr>
      <w:tr w:rsidR="004C74A7" w:rsidRPr="0022005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6263" w:rsidRPr="0022005E" w:rsidRDefault="00063AC6" w:rsidP="00063AC6">
            <w:pPr>
              <w:jc w:val="center"/>
              <w:rPr>
                <w:rFonts w:eastAsia="Times New Roman" w:cs="Times New Roman"/>
                <w:b/>
                <w:bCs/>
                <w:iCs/>
                <w:szCs w:val="24"/>
                <w:lang w:eastAsia="lv-LV"/>
              </w:rPr>
            </w:pPr>
            <w:r w:rsidRPr="0022005E">
              <w:rPr>
                <w:rFonts w:cs="Times New Roman"/>
                <w:szCs w:val="24"/>
                <w:lang w:eastAsia="lv-LV"/>
              </w:rPr>
              <w:t>Likump</w:t>
            </w:r>
            <w:r w:rsidR="005E6263" w:rsidRPr="0022005E">
              <w:rPr>
                <w:rFonts w:cs="Times New Roman"/>
                <w:szCs w:val="24"/>
                <w:lang w:eastAsia="lv-LV"/>
              </w:rPr>
              <w:t>rojekts šo jomu neskar.</w:t>
            </w:r>
          </w:p>
        </w:tc>
      </w:tr>
    </w:tbl>
    <w:p w:rsidR="00E5323B" w:rsidRPr="0022005E"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005E" w:rsidRPr="002200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VI. Sabiedrības līdzdalība un komunikācijas aktivitātes</w:t>
            </w:r>
          </w:p>
        </w:tc>
      </w:tr>
      <w:tr w:rsidR="0022005E" w:rsidRPr="0022005E"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22005E" w:rsidRDefault="008F28D5" w:rsidP="00095FC2">
            <w:pPr>
              <w:ind w:firstLine="284"/>
              <w:jc w:val="both"/>
              <w:rPr>
                <w:rFonts w:cs="Times New Roman"/>
                <w:iCs/>
                <w:szCs w:val="24"/>
              </w:rPr>
            </w:pPr>
            <w:r w:rsidRPr="0022005E">
              <w:rPr>
                <w:rFonts w:eastAsia="Times New Roman" w:cs="Times New Roman"/>
                <w:szCs w:val="24"/>
                <w:lang w:eastAsia="lv-LV"/>
              </w:rPr>
              <w:t xml:space="preserve">Sabiedrība par likumprojektā iekļauto regulējumu ir informēta, ņemot vērā, ka no Ministru kabineta 2019. gada 5. februāra sēdes protokollēmuma (prot. Nr. 5 30. §) “Informatīvais ziņojums “Par makroekonomisko rādītāju, ieņēmumu un vispārējās valdības budžeta bilances prognozēm 2019.-2021.gadā”” 9. punktā izriet, ka plānots </w:t>
            </w:r>
            <w:r w:rsidRPr="0022005E">
              <w:rPr>
                <w:rFonts w:cs="Times New Roman"/>
                <w:szCs w:val="24"/>
              </w:rPr>
              <w:t>paredzēt samazināt skaidras naudas lietošanas lieguma slieksni, kā arī liegt transportlīdzekļu un nekustamā īpašuma iegādi, norēķinoties skaidrā naudā</w:t>
            </w:r>
            <w:r w:rsidR="00095FC2" w:rsidRPr="0022005E">
              <w:rPr>
                <w:rFonts w:eastAsia="Times New Roman" w:cs="Times New Roman"/>
                <w:szCs w:val="24"/>
                <w:lang w:eastAsia="lv-LV"/>
              </w:rPr>
              <w:t>.</w:t>
            </w:r>
            <w:r w:rsidRPr="0022005E">
              <w:rPr>
                <w:rFonts w:eastAsia="Times New Roman" w:cs="Times New Roman"/>
                <w:szCs w:val="24"/>
                <w:lang w:eastAsia="lv-LV"/>
              </w:rPr>
              <w:t xml:space="preserve"> </w:t>
            </w:r>
          </w:p>
        </w:tc>
      </w:tr>
      <w:tr w:rsidR="0022005E" w:rsidRPr="0022005E"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031C1D" w:rsidRPr="0022005E" w:rsidRDefault="008F28D5" w:rsidP="00031C1D">
            <w:pPr>
              <w:ind w:firstLine="284"/>
              <w:jc w:val="both"/>
              <w:rPr>
                <w:rFonts w:cs="Times New Roman"/>
                <w:iCs/>
                <w:spacing w:val="-2"/>
                <w:szCs w:val="24"/>
              </w:rPr>
            </w:pPr>
            <w:r w:rsidRPr="0022005E">
              <w:rPr>
                <w:rFonts w:eastAsia="Times New Roman" w:cs="Times New Roman"/>
                <w:szCs w:val="24"/>
                <w:lang w:eastAsia="lv-LV"/>
              </w:rPr>
              <w:t xml:space="preserve">Sabiedrības pārstāvji par likumprojektu varēs sniegt savu viedokli </w:t>
            </w:r>
            <w:r w:rsidRPr="0022005E">
              <w:rPr>
                <w:rFonts w:cs="Times New Roman"/>
                <w:bCs/>
                <w:szCs w:val="24"/>
              </w:rPr>
              <w:t>gadskārtējā valsts budžeta likumprojekta izskatīšanas procesā.</w:t>
            </w:r>
          </w:p>
        </w:tc>
      </w:tr>
      <w:tr w:rsidR="0022005E" w:rsidRPr="0022005E"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B85299" w:rsidRPr="0022005E" w:rsidRDefault="008F28D5" w:rsidP="009C2928">
            <w:pPr>
              <w:ind w:firstLine="284"/>
              <w:jc w:val="both"/>
              <w:rPr>
                <w:rFonts w:eastAsia="Times New Roman" w:cs="Times New Roman"/>
                <w:i/>
                <w:iCs/>
                <w:szCs w:val="24"/>
                <w:lang w:eastAsia="lv-LV"/>
              </w:rPr>
            </w:pPr>
            <w:r w:rsidRPr="0022005E">
              <w:rPr>
                <w:rFonts w:eastAsia="Times New Roman" w:cs="Times New Roman"/>
                <w:szCs w:val="24"/>
                <w:lang w:eastAsia="lv-LV"/>
              </w:rPr>
              <w:t>Sabiedrības pārstāvji varēs līdzdarboties likumprojekta izskatīšanas procesā, rakstveidā sniedzot viedokļus par likumprojektu.</w:t>
            </w:r>
          </w:p>
        </w:tc>
      </w:tr>
      <w:tr w:rsidR="0022005E" w:rsidRPr="0022005E" w:rsidTr="005E6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22005E" w:rsidRDefault="00907DFC" w:rsidP="00907DFC">
            <w:pPr>
              <w:ind w:firstLine="284"/>
              <w:jc w:val="both"/>
              <w:rPr>
                <w:rFonts w:eastAsia="Times New Roman" w:cs="Times New Roman"/>
                <w:iCs/>
                <w:szCs w:val="24"/>
                <w:lang w:eastAsia="lv-LV"/>
              </w:rPr>
            </w:pPr>
            <w:r w:rsidRPr="0022005E">
              <w:rPr>
                <w:rFonts w:eastAsia="Times New Roman" w:cs="Times New Roman"/>
                <w:szCs w:val="24"/>
                <w:lang w:eastAsia="lv-LV"/>
              </w:rPr>
              <w:t>Sabiedrība pēc normatīvā akta pieņemšanas tiks informēta ar publikāciju oficiālajā izdevumā “Latvijas Vēstnesis”, kā arī ievietojot to bezmaksas normatīvo aktu datu bāzē www.likumi.lv.</w:t>
            </w:r>
          </w:p>
        </w:tc>
      </w:tr>
    </w:tbl>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005E" w:rsidRPr="0022005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2005E" w:rsidRDefault="00E5323B" w:rsidP="00E5323B">
            <w:pPr>
              <w:rPr>
                <w:rFonts w:eastAsia="Times New Roman" w:cs="Times New Roman"/>
                <w:b/>
                <w:bCs/>
                <w:iCs/>
                <w:szCs w:val="24"/>
                <w:lang w:eastAsia="lv-LV"/>
              </w:rPr>
            </w:pPr>
            <w:r w:rsidRPr="0022005E">
              <w:rPr>
                <w:rFonts w:eastAsia="Times New Roman" w:cs="Times New Roman"/>
                <w:b/>
                <w:bCs/>
                <w:iCs/>
                <w:szCs w:val="24"/>
                <w:lang w:eastAsia="lv-LV"/>
              </w:rPr>
              <w:t>VII. Tiesību akta projekta izpildes nodrošināšana un tās ietekme uz institūcijām</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2005E" w:rsidRDefault="009C62F6" w:rsidP="009C62F6">
            <w:pPr>
              <w:ind w:firstLine="284"/>
              <w:rPr>
                <w:rFonts w:eastAsia="Times New Roman" w:cs="Times New Roman"/>
                <w:iCs/>
                <w:szCs w:val="24"/>
                <w:lang w:eastAsia="lv-LV"/>
              </w:rPr>
            </w:pPr>
            <w:r w:rsidRPr="0022005E">
              <w:rPr>
                <w:rFonts w:eastAsia="Times New Roman" w:cs="Times New Roman"/>
                <w:iCs/>
                <w:szCs w:val="24"/>
                <w:lang w:eastAsia="lv-LV"/>
              </w:rPr>
              <w:t>Valsts ieņēmumu dienests</w:t>
            </w:r>
            <w:r w:rsidR="008F28D5" w:rsidRPr="0022005E">
              <w:rPr>
                <w:rFonts w:eastAsia="Times New Roman" w:cs="Times New Roman"/>
                <w:iCs/>
                <w:szCs w:val="24"/>
                <w:lang w:eastAsia="lv-LV"/>
              </w:rPr>
              <w:t>.</w:t>
            </w:r>
          </w:p>
        </w:tc>
      </w:tr>
      <w:tr w:rsidR="0022005E"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7D9F" w:rsidRPr="0022005E" w:rsidRDefault="00E5323B" w:rsidP="00D77D9F">
            <w:pPr>
              <w:rPr>
                <w:rFonts w:eastAsia="Times New Roman" w:cs="Times New Roman"/>
                <w:iCs/>
                <w:szCs w:val="24"/>
                <w:lang w:eastAsia="lv-LV"/>
              </w:rPr>
            </w:pPr>
            <w:r w:rsidRPr="0022005E">
              <w:rPr>
                <w:rFonts w:eastAsia="Times New Roman" w:cs="Times New Roman"/>
                <w:iCs/>
                <w:szCs w:val="24"/>
                <w:lang w:eastAsia="lv-LV"/>
              </w:rPr>
              <w:t>Projekta izpildes ietekme uz pārvaldes funkcijām un institucionālo struktūru.</w:t>
            </w:r>
          </w:p>
          <w:p w:rsidR="00E5323B" w:rsidRPr="0022005E" w:rsidRDefault="00E5323B" w:rsidP="00D77D9F">
            <w:pPr>
              <w:rPr>
                <w:rFonts w:eastAsia="Times New Roman" w:cs="Times New Roman"/>
                <w:iCs/>
                <w:szCs w:val="24"/>
                <w:lang w:eastAsia="lv-LV"/>
              </w:rPr>
            </w:pPr>
            <w:r w:rsidRPr="0022005E">
              <w:rPr>
                <w:rFonts w:eastAsia="Times New Roman" w:cs="Times New Roman"/>
                <w:iCs/>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07DFC" w:rsidRPr="0022005E" w:rsidRDefault="00907DFC" w:rsidP="00166ACB">
            <w:pPr>
              <w:pStyle w:val="NoSpacing"/>
              <w:ind w:firstLine="284"/>
              <w:jc w:val="both"/>
              <w:rPr>
                <w:rFonts w:ascii="Times New Roman" w:hAnsi="Times New Roman" w:cs="Times New Roman"/>
                <w:sz w:val="24"/>
                <w:szCs w:val="24"/>
              </w:rPr>
            </w:pPr>
            <w:r w:rsidRPr="0022005E">
              <w:rPr>
                <w:rFonts w:ascii="Times New Roman" w:hAnsi="Times New Roman" w:cs="Times New Roman"/>
                <w:sz w:val="24"/>
                <w:szCs w:val="24"/>
              </w:rPr>
              <w:t>Likumprojekts neparedz veidot jaunas institūcijas, reorganizēt vai likvidēt esošās institūcijas.</w:t>
            </w:r>
          </w:p>
          <w:p w:rsidR="00E5323B" w:rsidRPr="0022005E" w:rsidRDefault="008F28D5" w:rsidP="008F28D5">
            <w:pPr>
              <w:pStyle w:val="NoSpacing"/>
              <w:ind w:firstLine="284"/>
              <w:jc w:val="both"/>
              <w:rPr>
                <w:rFonts w:eastAsia="Times New Roman"/>
                <w:iCs/>
                <w:sz w:val="24"/>
                <w:szCs w:val="24"/>
                <w:lang w:eastAsia="lv-LV"/>
              </w:rPr>
            </w:pPr>
            <w:r w:rsidRPr="0022005E">
              <w:rPr>
                <w:rFonts w:ascii="Times New Roman" w:eastAsia="Times New Roman" w:hAnsi="Times New Roman" w:cs="Times New Roman"/>
                <w:sz w:val="24"/>
                <w:szCs w:val="24"/>
                <w:lang w:eastAsia="lv-LV"/>
              </w:rPr>
              <w:t>Likumprojekta izpilde tiks realizēta esošo cilvēkresursu un finansējuma ietvaros.</w:t>
            </w:r>
          </w:p>
        </w:tc>
      </w:tr>
      <w:tr w:rsidR="0030784C" w:rsidRPr="0022005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2005E" w:rsidRDefault="00E5323B" w:rsidP="00E5323B">
            <w:pPr>
              <w:rPr>
                <w:rFonts w:eastAsia="Times New Roman" w:cs="Times New Roman"/>
                <w:iCs/>
                <w:szCs w:val="24"/>
                <w:lang w:eastAsia="lv-LV"/>
              </w:rPr>
            </w:pPr>
            <w:r w:rsidRPr="0022005E">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2005E" w:rsidRDefault="00907DFC" w:rsidP="00166ACB">
            <w:pPr>
              <w:ind w:firstLine="284"/>
              <w:rPr>
                <w:rFonts w:eastAsia="Times New Roman" w:cs="Times New Roman"/>
                <w:iCs/>
                <w:szCs w:val="24"/>
                <w:lang w:eastAsia="lv-LV"/>
              </w:rPr>
            </w:pPr>
            <w:r w:rsidRPr="0022005E">
              <w:rPr>
                <w:rFonts w:eastAsia="Times New Roman" w:cs="Times New Roman"/>
                <w:iCs/>
                <w:szCs w:val="24"/>
                <w:lang w:eastAsia="lv-LV"/>
              </w:rPr>
              <w:t>Nav</w:t>
            </w:r>
            <w:r w:rsidR="004A2B26" w:rsidRPr="0022005E">
              <w:rPr>
                <w:rFonts w:eastAsia="Times New Roman" w:cs="Times New Roman"/>
                <w:iCs/>
                <w:szCs w:val="24"/>
                <w:lang w:eastAsia="lv-LV"/>
              </w:rPr>
              <w:t>.</w:t>
            </w:r>
          </w:p>
        </w:tc>
      </w:tr>
    </w:tbl>
    <w:p w:rsidR="00C25B49" w:rsidRPr="0022005E" w:rsidRDefault="00C25B49" w:rsidP="00907DFC">
      <w:pPr>
        <w:rPr>
          <w:rFonts w:cs="Times New Roman"/>
          <w:sz w:val="28"/>
          <w:szCs w:val="28"/>
        </w:rPr>
      </w:pPr>
    </w:p>
    <w:p w:rsidR="00E5323B" w:rsidRPr="0022005E" w:rsidRDefault="00E5323B" w:rsidP="00907DFC">
      <w:pPr>
        <w:rPr>
          <w:rFonts w:cs="Times New Roman"/>
          <w:sz w:val="28"/>
          <w:szCs w:val="28"/>
        </w:rPr>
      </w:pPr>
    </w:p>
    <w:p w:rsidR="00907DFC" w:rsidRPr="0022005E" w:rsidRDefault="008F28D5" w:rsidP="00957BFD">
      <w:pPr>
        <w:tabs>
          <w:tab w:val="left" w:pos="0"/>
          <w:tab w:val="right" w:pos="9071"/>
        </w:tabs>
        <w:rPr>
          <w:rFonts w:eastAsia="Calibri" w:cs="Times New Roman"/>
          <w:sz w:val="28"/>
          <w:szCs w:val="28"/>
        </w:rPr>
      </w:pPr>
      <w:r w:rsidRPr="0022005E">
        <w:rPr>
          <w:rFonts w:eastAsia="Calibri" w:cs="Times New Roman"/>
          <w:sz w:val="28"/>
          <w:szCs w:val="28"/>
        </w:rPr>
        <w:t>Finanšu ministrs</w:t>
      </w:r>
      <w:r w:rsidR="00907DFC" w:rsidRPr="0022005E">
        <w:rPr>
          <w:rFonts w:eastAsia="Calibri" w:cs="Times New Roman"/>
          <w:sz w:val="28"/>
          <w:szCs w:val="28"/>
        </w:rPr>
        <w:tab/>
      </w:r>
      <w:r w:rsidRPr="0022005E">
        <w:rPr>
          <w:rFonts w:eastAsia="Calibri" w:cs="Times New Roman"/>
          <w:sz w:val="28"/>
          <w:szCs w:val="28"/>
        </w:rPr>
        <w:t>J. Reirs</w:t>
      </w:r>
    </w:p>
    <w:p w:rsidR="00907DFC" w:rsidRPr="0022005E" w:rsidRDefault="00907DFC" w:rsidP="00907DFC">
      <w:pPr>
        <w:tabs>
          <w:tab w:val="left" w:pos="6237"/>
        </w:tabs>
        <w:rPr>
          <w:rFonts w:eastAsia="Calibri" w:cs="Times New Roman"/>
          <w:sz w:val="28"/>
          <w:szCs w:val="28"/>
        </w:rPr>
      </w:pPr>
    </w:p>
    <w:p w:rsidR="00907DFC" w:rsidRDefault="00907DFC"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Default="00EE382B" w:rsidP="00907DFC">
      <w:pPr>
        <w:tabs>
          <w:tab w:val="left" w:pos="6237"/>
        </w:tabs>
        <w:rPr>
          <w:rFonts w:eastAsia="Calibri" w:cs="Times New Roman"/>
          <w:sz w:val="28"/>
          <w:szCs w:val="28"/>
        </w:rPr>
      </w:pPr>
    </w:p>
    <w:p w:rsidR="00EE382B" w:rsidRPr="0022005E" w:rsidRDefault="00EE382B" w:rsidP="00907DFC">
      <w:pPr>
        <w:tabs>
          <w:tab w:val="left" w:pos="6237"/>
        </w:tabs>
        <w:rPr>
          <w:rFonts w:eastAsia="Calibri" w:cs="Times New Roman"/>
          <w:sz w:val="28"/>
          <w:szCs w:val="28"/>
        </w:rPr>
      </w:pPr>
    </w:p>
    <w:p w:rsidR="00907DFC" w:rsidRPr="0022005E" w:rsidRDefault="00907DFC" w:rsidP="00907DFC">
      <w:pPr>
        <w:tabs>
          <w:tab w:val="left" w:pos="6237"/>
        </w:tabs>
        <w:rPr>
          <w:rFonts w:eastAsia="Calibri" w:cs="Times New Roman"/>
          <w:sz w:val="20"/>
          <w:szCs w:val="20"/>
        </w:rPr>
      </w:pPr>
      <w:r w:rsidRPr="0022005E">
        <w:rPr>
          <w:rFonts w:eastAsia="Calibri" w:cs="Times New Roman"/>
          <w:sz w:val="20"/>
          <w:szCs w:val="20"/>
        </w:rPr>
        <w:t>Šēfere 67083942</w:t>
      </w:r>
    </w:p>
    <w:p w:rsidR="00894C55" w:rsidRPr="0022005E" w:rsidRDefault="00907DFC" w:rsidP="005D2304">
      <w:pPr>
        <w:tabs>
          <w:tab w:val="left" w:pos="6237"/>
        </w:tabs>
        <w:rPr>
          <w:rFonts w:cs="Times New Roman"/>
          <w:sz w:val="20"/>
          <w:szCs w:val="20"/>
        </w:rPr>
      </w:pPr>
      <w:r w:rsidRPr="0022005E">
        <w:rPr>
          <w:rFonts w:eastAsia="Calibri" w:cs="Times New Roman"/>
          <w:sz w:val="20"/>
          <w:szCs w:val="20"/>
        </w:rPr>
        <w:t>evita.sefere@fm.gov.lv</w:t>
      </w:r>
    </w:p>
    <w:sectPr w:rsidR="00894C55" w:rsidRPr="0022005E" w:rsidSect="00CD410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2A" w:rsidRDefault="00947E2A" w:rsidP="00894C55">
      <w:r>
        <w:separator/>
      </w:r>
    </w:p>
  </w:endnote>
  <w:endnote w:type="continuationSeparator" w:id="0">
    <w:p w:rsidR="00947E2A" w:rsidRDefault="00947E2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39" w:rsidRPr="00BC0F9D" w:rsidRDefault="001E1D39"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FB64DE">
      <w:rPr>
        <w:rFonts w:cs="Times New Roman"/>
        <w:noProof/>
        <w:sz w:val="20"/>
        <w:szCs w:val="20"/>
      </w:rPr>
      <w:t>FMAnot_220219_NNL.docx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39" w:rsidRPr="00BC0F9D" w:rsidRDefault="001E1D39"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FB64DE">
      <w:rPr>
        <w:rFonts w:cs="Times New Roman"/>
        <w:noProof/>
        <w:sz w:val="20"/>
        <w:szCs w:val="20"/>
      </w:rPr>
      <w:t>FMAnot_220219_NNL.docx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2A" w:rsidRDefault="00947E2A" w:rsidP="00894C55">
      <w:r>
        <w:separator/>
      </w:r>
    </w:p>
  </w:footnote>
  <w:footnote w:type="continuationSeparator" w:id="0">
    <w:p w:rsidR="00947E2A" w:rsidRDefault="00947E2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rsidR="001E1D39" w:rsidRPr="00C25B49" w:rsidRDefault="001E1D39">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B321A2">
          <w:rPr>
            <w:rFonts w:cs="Times New Roman"/>
            <w:noProof/>
            <w:szCs w:val="20"/>
          </w:rPr>
          <w:t>10</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2"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47"/>
    <w:rsid w:val="00005F51"/>
    <w:rsid w:val="00007A54"/>
    <w:rsid w:val="00011D35"/>
    <w:rsid w:val="0001477F"/>
    <w:rsid w:val="00016BEA"/>
    <w:rsid w:val="00027602"/>
    <w:rsid w:val="00031C1D"/>
    <w:rsid w:val="00043979"/>
    <w:rsid w:val="0004675F"/>
    <w:rsid w:val="00046CAE"/>
    <w:rsid w:val="00047C24"/>
    <w:rsid w:val="0005169A"/>
    <w:rsid w:val="0005248A"/>
    <w:rsid w:val="00054F4D"/>
    <w:rsid w:val="0005622A"/>
    <w:rsid w:val="00057EFB"/>
    <w:rsid w:val="00063AC6"/>
    <w:rsid w:val="00073512"/>
    <w:rsid w:val="0007676B"/>
    <w:rsid w:val="000866BE"/>
    <w:rsid w:val="00091F4B"/>
    <w:rsid w:val="00093D3E"/>
    <w:rsid w:val="00095FC2"/>
    <w:rsid w:val="00096B16"/>
    <w:rsid w:val="00096DE1"/>
    <w:rsid w:val="000A1956"/>
    <w:rsid w:val="000A3BB0"/>
    <w:rsid w:val="000A666D"/>
    <w:rsid w:val="000A7C97"/>
    <w:rsid w:val="000B1E8D"/>
    <w:rsid w:val="000B2E31"/>
    <w:rsid w:val="000B4AD0"/>
    <w:rsid w:val="000B4E35"/>
    <w:rsid w:val="000D1D51"/>
    <w:rsid w:val="000D6548"/>
    <w:rsid w:val="000F0147"/>
    <w:rsid w:val="000F0C20"/>
    <w:rsid w:val="000F19A4"/>
    <w:rsid w:val="001013F5"/>
    <w:rsid w:val="001016A3"/>
    <w:rsid w:val="00104479"/>
    <w:rsid w:val="00105DBF"/>
    <w:rsid w:val="00107690"/>
    <w:rsid w:val="00113E92"/>
    <w:rsid w:val="00114CC1"/>
    <w:rsid w:val="00124218"/>
    <w:rsid w:val="001259F9"/>
    <w:rsid w:val="00135D36"/>
    <w:rsid w:val="001427C2"/>
    <w:rsid w:val="001507F5"/>
    <w:rsid w:val="00155446"/>
    <w:rsid w:val="00156AB0"/>
    <w:rsid w:val="00157AA0"/>
    <w:rsid w:val="00157D7C"/>
    <w:rsid w:val="0016307A"/>
    <w:rsid w:val="00163E86"/>
    <w:rsid w:val="00166ACB"/>
    <w:rsid w:val="00171171"/>
    <w:rsid w:val="001776F3"/>
    <w:rsid w:val="00181DD1"/>
    <w:rsid w:val="001822A6"/>
    <w:rsid w:val="001867A2"/>
    <w:rsid w:val="001929A0"/>
    <w:rsid w:val="00194D9E"/>
    <w:rsid w:val="00195664"/>
    <w:rsid w:val="001A3353"/>
    <w:rsid w:val="001B3032"/>
    <w:rsid w:val="001B7EFA"/>
    <w:rsid w:val="001C21B5"/>
    <w:rsid w:val="001D7845"/>
    <w:rsid w:val="001E00D8"/>
    <w:rsid w:val="001E1B4D"/>
    <w:rsid w:val="001E1D39"/>
    <w:rsid w:val="001E293C"/>
    <w:rsid w:val="001E2D56"/>
    <w:rsid w:val="001E3EC4"/>
    <w:rsid w:val="001E592D"/>
    <w:rsid w:val="001F3039"/>
    <w:rsid w:val="001F3B69"/>
    <w:rsid w:val="00202B85"/>
    <w:rsid w:val="0022005E"/>
    <w:rsid w:val="00222906"/>
    <w:rsid w:val="00225C95"/>
    <w:rsid w:val="00232EF7"/>
    <w:rsid w:val="00233630"/>
    <w:rsid w:val="002423DA"/>
    <w:rsid w:val="002429E3"/>
    <w:rsid w:val="00243426"/>
    <w:rsid w:val="00245C89"/>
    <w:rsid w:val="00256518"/>
    <w:rsid w:val="00256C2D"/>
    <w:rsid w:val="00256C64"/>
    <w:rsid w:val="0026270F"/>
    <w:rsid w:val="00264E1F"/>
    <w:rsid w:val="00266857"/>
    <w:rsid w:val="00277345"/>
    <w:rsid w:val="002836AC"/>
    <w:rsid w:val="00284AA2"/>
    <w:rsid w:val="00286551"/>
    <w:rsid w:val="00291866"/>
    <w:rsid w:val="002939FB"/>
    <w:rsid w:val="00295852"/>
    <w:rsid w:val="002A1B42"/>
    <w:rsid w:val="002A3522"/>
    <w:rsid w:val="002A4497"/>
    <w:rsid w:val="002A4897"/>
    <w:rsid w:val="002A5095"/>
    <w:rsid w:val="002A733C"/>
    <w:rsid w:val="002B0CCC"/>
    <w:rsid w:val="002B1D8B"/>
    <w:rsid w:val="002B5912"/>
    <w:rsid w:val="002D18B6"/>
    <w:rsid w:val="002D299B"/>
    <w:rsid w:val="002D3078"/>
    <w:rsid w:val="002E1C05"/>
    <w:rsid w:val="002E3C4F"/>
    <w:rsid w:val="002E6C35"/>
    <w:rsid w:val="002F5B69"/>
    <w:rsid w:val="0030116E"/>
    <w:rsid w:val="003014CA"/>
    <w:rsid w:val="003017CD"/>
    <w:rsid w:val="00304F42"/>
    <w:rsid w:val="00306460"/>
    <w:rsid w:val="003069C2"/>
    <w:rsid w:val="0030784C"/>
    <w:rsid w:val="003124D3"/>
    <w:rsid w:val="003130B8"/>
    <w:rsid w:val="00320B8F"/>
    <w:rsid w:val="00324BD7"/>
    <w:rsid w:val="00326DF1"/>
    <w:rsid w:val="0033024E"/>
    <w:rsid w:val="0034028A"/>
    <w:rsid w:val="00341A27"/>
    <w:rsid w:val="003426D9"/>
    <w:rsid w:val="003428B9"/>
    <w:rsid w:val="00345795"/>
    <w:rsid w:val="00346E0D"/>
    <w:rsid w:val="00347043"/>
    <w:rsid w:val="003514F2"/>
    <w:rsid w:val="00355862"/>
    <w:rsid w:val="00360AD3"/>
    <w:rsid w:val="00363D95"/>
    <w:rsid w:val="003641DE"/>
    <w:rsid w:val="00366EFC"/>
    <w:rsid w:val="00367AF2"/>
    <w:rsid w:val="00372C5D"/>
    <w:rsid w:val="0037302A"/>
    <w:rsid w:val="00373969"/>
    <w:rsid w:val="00380199"/>
    <w:rsid w:val="003826E2"/>
    <w:rsid w:val="00392F1D"/>
    <w:rsid w:val="003A53BF"/>
    <w:rsid w:val="003A5699"/>
    <w:rsid w:val="003B0B81"/>
    <w:rsid w:val="003B0BF9"/>
    <w:rsid w:val="003B1D30"/>
    <w:rsid w:val="003B6267"/>
    <w:rsid w:val="003C4176"/>
    <w:rsid w:val="003C773F"/>
    <w:rsid w:val="003D1061"/>
    <w:rsid w:val="003E0791"/>
    <w:rsid w:val="003E4C9D"/>
    <w:rsid w:val="003E4D12"/>
    <w:rsid w:val="003E718D"/>
    <w:rsid w:val="003F1DA8"/>
    <w:rsid w:val="003F225C"/>
    <w:rsid w:val="003F28AC"/>
    <w:rsid w:val="003F3670"/>
    <w:rsid w:val="003F41AC"/>
    <w:rsid w:val="00404248"/>
    <w:rsid w:val="0041285A"/>
    <w:rsid w:val="00414E01"/>
    <w:rsid w:val="00423BFA"/>
    <w:rsid w:val="004250F2"/>
    <w:rsid w:val="00425300"/>
    <w:rsid w:val="00436572"/>
    <w:rsid w:val="00436E40"/>
    <w:rsid w:val="00445268"/>
    <w:rsid w:val="004454FE"/>
    <w:rsid w:val="00445E18"/>
    <w:rsid w:val="00456E40"/>
    <w:rsid w:val="00457E08"/>
    <w:rsid w:val="00471F27"/>
    <w:rsid w:val="00472486"/>
    <w:rsid w:val="0047261E"/>
    <w:rsid w:val="004726BD"/>
    <w:rsid w:val="00476A96"/>
    <w:rsid w:val="0048077F"/>
    <w:rsid w:val="00480F44"/>
    <w:rsid w:val="004812AB"/>
    <w:rsid w:val="004819DA"/>
    <w:rsid w:val="004905CD"/>
    <w:rsid w:val="00497D6B"/>
    <w:rsid w:val="004A04B2"/>
    <w:rsid w:val="004A2B26"/>
    <w:rsid w:val="004A61D9"/>
    <w:rsid w:val="004A757D"/>
    <w:rsid w:val="004B7F0D"/>
    <w:rsid w:val="004C74A7"/>
    <w:rsid w:val="004D0C80"/>
    <w:rsid w:val="004D0F1E"/>
    <w:rsid w:val="004D223E"/>
    <w:rsid w:val="004E0549"/>
    <w:rsid w:val="004E0B2F"/>
    <w:rsid w:val="004E33DF"/>
    <w:rsid w:val="004F766A"/>
    <w:rsid w:val="0050178F"/>
    <w:rsid w:val="00501BA5"/>
    <w:rsid w:val="00513BF2"/>
    <w:rsid w:val="00513F85"/>
    <w:rsid w:val="00514DB2"/>
    <w:rsid w:val="00525E13"/>
    <w:rsid w:val="005304E1"/>
    <w:rsid w:val="00536CE4"/>
    <w:rsid w:val="005414A1"/>
    <w:rsid w:val="005459F1"/>
    <w:rsid w:val="005510D3"/>
    <w:rsid w:val="00553EBA"/>
    <w:rsid w:val="00554D19"/>
    <w:rsid w:val="00555D47"/>
    <w:rsid w:val="00561697"/>
    <w:rsid w:val="00565B96"/>
    <w:rsid w:val="005661CF"/>
    <w:rsid w:val="005828A1"/>
    <w:rsid w:val="00582BFC"/>
    <w:rsid w:val="00586E41"/>
    <w:rsid w:val="00590EB7"/>
    <w:rsid w:val="005971F8"/>
    <w:rsid w:val="005B0AEF"/>
    <w:rsid w:val="005C182A"/>
    <w:rsid w:val="005C335B"/>
    <w:rsid w:val="005C7CA3"/>
    <w:rsid w:val="005D094B"/>
    <w:rsid w:val="005D2304"/>
    <w:rsid w:val="005D26DC"/>
    <w:rsid w:val="005D3DB3"/>
    <w:rsid w:val="005D4DE8"/>
    <w:rsid w:val="005D7277"/>
    <w:rsid w:val="005E095A"/>
    <w:rsid w:val="005E6263"/>
    <w:rsid w:val="006014F6"/>
    <w:rsid w:val="00602B23"/>
    <w:rsid w:val="006038A2"/>
    <w:rsid w:val="00607DC3"/>
    <w:rsid w:val="00614189"/>
    <w:rsid w:val="00614500"/>
    <w:rsid w:val="006160F2"/>
    <w:rsid w:val="00617D79"/>
    <w:rsid w:val="00620DB2"/>
    <w:rsid w:val="00637358"/>
    <w:rsid w:val="006448EF"/>
    <w:rsid w:val="00653C89"/>
    <w:rsid w:val="00655F2C"/>
    <w:rsid w:val="006564DB"/>
    <w:rsid w:val="006633EE"/>
    <w:rsid w:val="00666345"/>
    <w:rsid w:val="00673813"/>
    <w:rsid w:val="006743E5"/>
    <w:rsid w:val="00677518"/>
    <w:rsid w:val="00677B7D"/>
    <w:rsid w:val="00682622"/>
    <w:rsid w:val="00687295"/>
    <w:rsid w:val="00687AA9"/>
    <w:rsid w:val="006A2882"/>
    <w:rsid w:val="006A3545"/>
    <w:rsid w:val="006A356C"/>
    <w:rsid w:val="006A41C2"/>
    <w:rsid w:val="006B3351"/>
    <w:rsid w:val="006C52AE"/>
    <w:rsid w:val="006C637A"/>
    <w:rsid w:val="006D107D"/>
    <w:rsid w:val="006D14AA"/>
    <w:rsid w:val="006D2E08"/>
    <w:rsid w:val="006D71A4"/>
    <w:rsid w:val="006E1081"/>
    <w:rsid w:val="006E4012"/>
    <w:rsid w:val="006E4127"/>
    <w:rsid w:val="006E51B7"/>
    <w:rsid w:val="006E6726"/>
    <w:rsid w:val="006F37EB"/>
    <w:rsid w:val="006F62D1"/>
    <w:rsid w:val="00700B3A"/>
    <w:rsid w:val="00700E70"/>
    <w:rsid w:val="0070250D"/>
    <w:rsid w:val="00703089"/>
    <w:rsid w:val="007038EE"/>
    <w:rsid w:val="0070578A"/>
    <w:rsid w:val="0070680D"/>
    <w:rsid w:val="00706EE0"/>
    <w:rsid w:val="00716E70"/>
    <w:rsid w:val="00720585"/>
    <w:rsid w:val="00727B1F"/>
    <w:rsid w:val="007349B0"/>
    <w:rsid w:val="007503A6"/>
    <w:rsid w:val="007530D5"/>
    <w:rsid w:val="00753426"/>
    <w:rsid w:val="0075524E"/>
    <w:rsid w:val="007607EF"/>
    <w:rsid w:val="0076132A"/>
    <w:rsid w:val="00761522"/>
    <w:rsid w:val="00763BB2"/>
    <w:rsid w:val="007702E6"/>
    <w:rsid w:val="00773AF6"/>
    <w:rsid w:val="00795F71"/>
    <w:rsid w:val="007A29EE"/>
    <w:rsid w:val="007A727F"/>
    <w:rsid w:val="007C38F2"/>
    <w:rsid w:val="007C3930"/>
    <w:rsid w:val="007D01F5"/>
    <w:rsid w:val="007D03DF"/>
    <w:rsid w:val="007E45FA"/>
    <w:rsid w:val="007E5F7A"/>
    <w:rsid w:val="007E73AB"/>
    <w:rsid w:val="007F0300"/>
    <w:rsid w:val="00800148"/>
    <w:rsid w:val="00803A9A"/>
    <w:rsid w:val="00812911"/>
    <w:rsid w:val="00813CD7"/>
    <w:rsid w:val="0081699E"/>
    <w:rsid w:val="00816C11"/>
    <w:rsid w:val="00823487"/>
    <w:rsid w:val="00824344"/>
    <w:rsid w:val="008260DA"/>
    <w:rsid w:val="00834C06"/>
    <w:rsid w:val="00834CE4"/>
    <w:rsid w:val="008374C1"/>
    <w:rsid w:val="0085234D"/>
    <w:rsid w:val="00853579"/>
    <w:rsid w:val="00860DEE"/>
    <w:rsid w:val="00862B42"/>
    <w:rsid w:val="00862E36"/>
    <w:rsid w:val="008631A7"/>
    <w:rsid w:val="00863DD2"/>
    <w:rsid w:val="00873345"/>
    <w:rsid w:val="00873644"/>
    <w:rsid w:val="00880835"/>
    <w:rsid w:val="008815FD"/>
    <w:rsid w:val="00883347"/>
    <w:rsid w:val="00891AD8"/>
    <w:rsid w:val="0089225B"/>
    <w:rsid w:val="00892FDC"/>
    <w:rsid w:val="00894C55"/>
    <w:rsid w:val="00897AE9"/>
    <w:rsid w:val="008A04DB"/>
    <w:rsid w:val="008A1452"/>
    <w:rsid w:val="008A7DBC"/>
    <w:rsid w:val="008A7E5F"/>
    <w:rsid w:val="008B2F81"/>
    <w:rsid w:val="008B591C"/>
    <w:rsid w:val="008C2512"/>
    <w:rsid w:val="008D1BA2"/>
    <w:rsid w:val="008D5F4D"/>
    <w:rsid w:val="008D728E"/>
    <w:rsid w:val="008E2F76"/>
    <w:rsid w:val="008F28D5"/>
    <w:rsid w:val="008F6724"/>
    <w:rsid w:val="009049DD"/>
    <w:rsid w:val="00907DFC"/>
    <w:rsid w:val="00910F7B"/>
    <w:rsid w:val="0092759E"/>
    <w:rsid w:val="0093156D"/>
    <w:rsid w:val="009373C6"/>
    <w:rsid w:val="00942E58"/>
    <w:rsid w:val="00945B69"/>
    <w:rsid w:val="00947E2A"/>
    <w:rsid w:val="009514EB"/>
    <w:rsid w:val="00957BFD"/>
    <w:rsid w:val="00961765"/>
    <w:rsid w:val="0096266F"/>
    <w:rsid w:val="00965F78"/>
    <w:rsid w:val="0097236D"/>
    <w:rsid w:val="00972405"/>
    <w:rsid w:val="00974C2C"/>
    <w:rsid w:val="00981670"/>
    <w:rsid w:val="0098462E"/>
    <w:rsid w:val="00995685"/>
    <w:rsid w:val="00996150"/>
    <w:rsid w:val="00997D07"/>
    <w:rsid w:val="009A2654"/>
    <w:rsid w:val="009A7A02"/>
    <w:rsid w:val="009B1873"/>
    <w:rsid w:val="009B6654"/>
    <w:rsid w:val="009C001B"/>
    <w:rsid w:val="009C1B4C"/>
    <w:rsid w:val="009C2928"/>
    <w:rsid w:val="009C3640"/>
    <w:rsid w:val="009C46A9"/>
    <w:rsid w:val="009C62F6"/>
    <w:rsid w:val="009D3FB6"/>
    <w:rsid w:val="009E6D2C"/>
    <w:rsid w:val="009F22A4"/>
    <w:rsid w:val="009F28F7"/>
    <w:rsid w:val="009F2B6D"/>
    <w:rsid w:val="009F5970"/>
    <w:rsid w:val="00A0351F"/>
    <w:rsid w:val="00A05FB9"/>
    <w:rsid w:val="00A10D22"/>
    <w:rsid w:val="00A10FC3"/>
    <w:rsid w:val="00A11DF5"/>
    <w:rsid w:val="00A13B95"/>
    <w:rsid w:val="00A140B7"/>
    <w:rsid w:val="00A148E8"/>
    <w:rsid w:val="00A17A61"/>
    <w:rsid w:val="00A17B19"/>
    <w:rsid w:val="00A21E85"/>
    <w:rsid w:val="00A2329B"/>
    <w:rsid w:val="00A40D4B"/>
    <w:rsid w:val="00A416F2"/>
    <w:rsid w:val="00A4604B"/>
    <w:rsid w:val="00A46837"/>
    <w:rsid w:val="00A6073E"/>
    <w:rsid w:val="00A63AAE"/>
    <w:rsid w:val="00A64175"/>
    <w:rsid w:val="00A66D9A"/>
    <w:rsid w:val="00A72A86"/>
    <w:rsid w:val="00A7355C"/>
    <w:rsid w:val="00A82068"/>
    <w:rsid w:val="00A90C84"/>
    <w:rsid w:val="00A93374"/>
    <w:rsid w:val="00A94B4E"/>
    <w:rsid w:val="00AB7CDC"/>
    <w:rsid w:val="00AC0430"/>
    <w:rsid w:val="00AC2E1E"/>
    <w:rsid w:val="00AC4F4A"/>
    <w:rsid w:val="00AD001C"/>
    <w:rsid w:val="00AD5908"/>
    <w:rsid w:val="00AE2EF7"/>
    <w:rsid w:val="00AE5567"/>
    <w:rsid w:val="00AF1239"/>
    <w:rsid w:val="00AF3F4B"/>
    <w:rsid w:val="00AF4C7B"/>
    <w:rsid w:val="00AF5C3E"/>
    <w:rsid w:val="00AF5C7A"/>
    <w:rsid w:val="00AF627D"/>
    <w:rsid w:val="00AF67B7"/>
    <w:rsid w:val="00AF6C36"/>
    <w:rsid w:val="00B02A0A"/>
    <w:rsid w:val="00B02C3A"/>
    <w:rsid w:val="00B03EC4"/>
    <w:rsid w:val="00B06EAD"/>
    <w:rsid w:val="00B072E5"/>
    <w:rsid w:val="00B11263"/>
    <w:rsid w:val="00B127F3"/>
    <w:rsid w:val="00B14159"/>
    <w:rsid w:val="00B15C2D"/>
    <w:rsid w:val="00B16480"/>
    <w:rsid w:val="00B2165C"/>
    <w:rsid w:val="00B24146"/>
    <w:rsid w:val="00B27E97"/>
    <w:rsid w:val="00B306E1"/>
    <w:rsid w:val="00B321A2"/>
    <w:rsid w:val="00B322A8"/>
    <w:rsid w:val="00B424DB"/>
    <w:rsid w:val="00B43EED"/>
    <w:rsid w:val="00B445F7"/>
    <w:rsid w:val="00B45638"/>
    <w:rsid w:val="00B5161E"/>
    <w:rsid w:val="00B53617"/>
    <w:rsid w:val="00B5672D"/>
    <w:rsid w:val="00B601A1"/>
    <w:rsid w:val="00B62C23"/>
    <w:rsid w:val="00B63FC9"/>
    <w:rsid w:val="00B66715"/>
    <w:rsid w:val="00B667B6"/>
    <w:rsid w:val="00B66CE9"/>
    <w:rsid w:val="00B756B0"/>
    <w:rsid w:val="00B76574"/>
    <w:rsid w:val="00B76DAE"/>
    <w:rsid w:val="00B8009B"/>
    <w:rsid w:val="00B83DF3"/>
    <w:rsid w:val="00B85299"/>
    <w:rsid w:val="00B909BB"/>
    <w:rsid w:val="00B94265"/>
    <w:rsid w:val="00B95B8F"/>
    <w:rsid w:val="00B975E7"/>
    <w:rsid w:val="00BA0A8D"/>
    <w:rsid w:val="00BA20AA"/>
    <w:rsid w:val="00BA51A8"/>
    <w:rsid w:val="00BB7B70"/>
    <w:rsid w:val="00BC0F9D"/>
    <w:rsid w:val="00BC29D9"/>
    <w:rsid w:val="00BD2382"/>
    <w:rsid w:val="00BD4425"/>
    <w:rsid w:val="00BD55F1"/>
    <w:rsid w:val="00BD7A92"/>
    <w:rsid w:val="00BE27E1"/>
    <w:rsid w:val="00BE280E"/>
    <w:rsid w:val="00BE2BBB"/>
    <w:rsid w:val="00BF5CA0"/>
    <w:rsid w:val="00BF6447"/>
    <w:rsid w:val="00C038BB"/>
    <w:rsid w:val="00C043CF"/>
    <w:rsid w:val="00C04B54"/>
    <w:rsid w:val="00C2321D"/>
    <w:rsid w:val="00C25B49"/>
    <w:rsid w:val="00C31349"/>
    <w:rsid w:val="00C37155"/>
    <w:rsid w:val="00C5572A"/>
    <w:rsid w:val="00C573D1"/>
    <w:rsid w:val="00C605AE"/>
    <w:rsid w:val="00C61C0C"/>
    <w:rsid w:val="00C63D28"/>
    <w:rsid w:val="00C67B38"/>
    <w:rsid w:val="00C73806"/>
    <w:rsid w:val="00C755AF"/>
    <w:rsid w:val="00C76EF2"/>
    <w:rsid w:val="00C80564"/>
    <w:rsid w:val="00C82D3D"/>
    <w:rsid w:val="00C8656E"/>
    <w:rsid w:val="00C913B5"/>
    <w:rsid w:val="00CB7F5A"/>
    <w:rsid w:val="00CC0D2D"/>
    <w:rsid w:val="00CC1354"/>
    <w:rsid w:val="00CC47D9"/>
    <w:rsid w:val="00CC58AE"/>
    <w:rsid w:val="00CD1743"/>
    <w:rsid w:val="00CD4102"/>
    <w:rsid w:val="00CE04BF"/>
    <w:rsid w:val="00CE22B4"/>
    <w:rsid w:val="00CE4935"/>
    <w:rsid w:val="00CE53BC"/>
    <w:rsid w:val="00CE5657"/>
    <w:rsid w:val="00CF1B95"/>
    <w:rsid w:val="00CF31C2"/>
    <w:rsid w:val="00CF380D"/>
    <w:rsid w:val="00D01061"/>
    <w:rsid w:val="00D04809"/>
    <w:rsid w:val="00D133F8"/>
    <w:rsid w:val="00D14A3E"/>
    <w:rsid w:val="00D172D4"/>
    <w:rsid w:val="00D3699D"/>
    <w:rsid w:val="00D45437"/>
    <w:rsid w:val="00D4628F"/>
    <w:rsid w:val="00D46C83"/>
    <w:rsid w:val="00D47FCD"/>
    <w:rsid w:val="00D60DB2"/>
    <w:rsid w:val="00D6156E"/>
    <w:rsid w:val="00D66350"/>
    <w:rsid w:val="00D74B10"/>
    <w:rsid w:val="00D77D9F"/>
    <w:rsid w:val="00D80647"/>
    <w:rsid w:val="00D829A8"/>
    <w:rsid w:val="00D82C3B"/>
    <w:rsid w:val="00D82DBE"/>
    <w:rsid w:val="00D830A2"/>
    <w:rsid w:val="00D86F63"/>
    <w:rsid w:val="00D87732"/>
    <w:rsid w:val="00D91923"/>
    <w:rsid w:val="00D96E80"/>
    <w:rsid w:val="00D97241"/>
    <w:rsid w:val="00DA4097"/>
    <w:rsid w:val="00DB5340"/>
    <w:rsid w:val="00DB55FC"/>
    <w:rsid w:val="00DC1DB2"/>
    <w:rsid w:val="00DC2EEE"/>
    <w:rsid w:val="00DC3DEE"/>
    <w:rsid w:val="00DC6310"/>
    <w:rsid w:val="00DD261E"/>
    <w:rsid w:val="00DE2C8E"/>
    <w:rsid w:val="00DE4F77"/>
    <w:rsid w:val="00DE5FF0"/>
    <w:rsid w:val="00DE65CA"/>
    <w:rsid w:val="00DE7CA8"/>
    <w:rsid w:val="00DF138A"/>
    <w:rsid w:val="00DF3922"/>
    <w:rsid w:val="00DF4C18"/>
    <w:rsid w:val="00E0402A"/>
    <w:rsid w:val="00E041ED"/>
    <w:rsid w:val="00E04907"/>
    <w:rsid w:val="00E1046F"/>
    <w:rsid w:val="00E151F5"/>
    <w:rsid w:val="00E1770F"/>
    <w:rsid w:val="00E21CEF"/>
    <w:rsid w:val="00E24BD6"/>
    <w:rsid w:val="00E25E77"/>
    <w:rsid w:val="00E33899"/>
    <w:rsid w:val="00E357BF"/>
    <w:rsid w:val="00E358BA"/>
    <w:rsid w:val="00E363A8"/>
    <w:rsid w:val="00E36525"/>
    <w:rsid w:val="00E3716B"/>
    <w:rsid w:val="00E37208"/>
    <w:rsid w:val="00E5323B"/>
    <w:rsid w:val="00E56F1B"/>
    <w:rsid w:val="00E652A3"/>
    <w:rsid w:val="00E6706D"/>
    <w:rsid w:val="00E677A0"/>
    <w:rsid w:val="00E8142B"/>
    <w:rsid w:val="00E81C6B"/>
    <w:rsid w:val="00E8749E"/>
    <w:rsid w:val="00E90C01"/>
    <w:rsid w:val="00E9150A"/>
    <w:rsid w:val="00E933C2"/>
    <w:rsid w:val="00E937C1"/>
    <w:rsid w:val="00E9794A"/>
    <w:rsid w:val="00EA1BDF"/>
    <w:rsid w:val="00EA486E"/>
    <w:rsid w:val="00EA6C14"/>
    <w:rsid w:val="00EB1791"/>
    <w:rsid w:val="00EB42A7"/>
    <w:rsid w:val="00EB7B54"/>
    <w:rsid w:val="00EC04FD"/>
    <w:rsid w:val="00EC5A1F"/>
    <w:rsid w:val="00EC6F58"/>
    <w:rsid w:val="00ED323C"/>
    <w:rsid w:val="00ED4498"/>
    <w:rsid w:val="00ED6A24"/>
    <w:rsid w:val="00ED7483"/>
    <w:rsid w:val="00EE31E5"/>
    <w:rsid w:val="00EE382B"/>
    <w:rsid w:val="00EE3BF6"/>
    <w:rsid w:val="00EE602D"/>
    <w:rsid w:val="00EE7BBC"/>
    <w:rsid w:val="00EF0857"/>
    <w:rsid w:val="00EF0DF7"/>
    <w:rsid w:val="00EF7155"/>
    <w:rsid w:val="00F01086"/>
    <w:rsid w:val="00F05343"/>
    <w:rsid w:val="00F10ADF"/>
    <w:rsid w:val="00F218F5"/>
    <w:rsid w:val="00F22115"/>
    <w:rsid w:val="00F25593"/>
    <w:rsid w:val="00F25789"/>
    <w:rsid w:val="00F31DD1"/>
    <w:rsid w:val="00F332E6"/>
    <w:rsid w:val="00F33915"/>
    <w:rsid w:val="00F34491"/>
    <w:rsid w:val="00F35BF8"/>
    <w:rsid w:val="00F35CBA"/>
    <w:rsid w:val="00F406FE"/>
    <w:rsid w:val="00F40F26"/>
    <w:rsid w:val="00F410F3"/>
    <w:rsid w:val="00F4791E"/>
    <w:rsid w:val="00F500C1"/>
    <w:rsid w:val="00F50350"/>
    <w:rsid w:val="00F525ED"/>
    <w:rsid w:val="00F554DB"/>
    <w:rsid w:val="00F5722C"/>
    <w:rsid w:val="00F57B0C"/>
    <w:rsid w:val="00F637A4"/>
    <w:rsid w:val="00F67387"/>
    <w:rsid w:val="00F72CA0"/>
    <w:rsid w:val="00F73776"/>
    <w:rsid w:val="00F74204"/>
    <w:rsid w:val="00F8340F"/>
    <w:rsid w:val="00F9510E"/>
    <w:rsid w:val="00F97AC1"/>
    <w:rsid w:val="00FA7111"/>
    <w:rsid w:val="00FB1F04"/>
    <w:rsid w:val="00FB2001"/>
    <w:rsid w:val="00FB59DC"/>
    <w:rsid w:val="00FB64DE"/>
    <w:rsid w:val="00FC2F48"/>
    <w:rsid w:val="00FC461B"/>
    <w:rsid w:val="00FD0DF7"/>
    <w:rsid w:val="00FD40C0"/>
    <w:rsid w:val="00FE384B"/>
    <w:rsid w:val="00FE4E31"/>
    <w:rsid w:val="00FE522D"/>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AE25E-9FC6-445B-953A-D804702D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link w:val="NoSpacingChar"/>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basedOn w:val="Normal"/>
    <w:uiPriority w:val="34"/>
    <w:qFormat/>
    <w:rsid w:val="00D45437"/>
    <w:pPr>
      <w:ind w:left="720"/>
      <w:contextualSpacing/>
    </w:pPr>
  </w:style>
  <w:style w:type="paragraph" w:styleId="FootnoteText">
    <w:name w:val="footnote text"/>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character" w:customStyle="1" w:styleId="NoSpacingChar">
    <w:name w:val="No Spacing Char"/>
    <w:basedOn w:val="DefaultParagraphFont"/>
    <w:link w:val="NoSpacing"/>
    <w:uiPriority w:val="1"/>
    <w:locked/>
    <w:rsid w:val="0097236D"/>
  </w:style>
  <w:style w:type="paragraph" w:customStyle="1" w:styleId="normal1">
    <w:name w:val="normal1"/>
    <w:basedOn w:val="Normal"/>
    <w:rsid w:val="00093D3E"/>
    <w:pPr>
      <w:spacing w:before="120" w:line="312" w:lineRule="atLeast"/>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2608">
      <w:bodyDiv w:val="1"/>
      <w:marLeft w:val="0"/>
      <w:marRight w:val="0"/>
      <w:marTop w:val="0"/>
      <w:marBottom w:val="0"/>
      <w:divBdr>
        <w:top w:val="none" w:sz="0" w:space="0" w:color="auto"/>
        <w:left w:val="none" w:sz="0" w:space="0" w:color="auto"/>
        <w:bottom w:val="none" w:sz="0" w:space="0" w:color="auto"/>
        <w:right w:val="none" w:sz="0" w:space="0" w:color="auto"/>
      </w:divBdr>
      <w:divsChild>
        <w:div w:id="24916162">
          <w:marLeft w:val="0"/>
          <w:marRight w:val="0"/>
          <w:marTop w:val="0"/>
          <w:marBottom w:val="0"/>
          <w:divBdr>
            <w:top w:val="none" w:sz="0" w:space="0" w:color="auto"/>
            <w:left w:val="none" w:sz="0" w:space="0" w:color="auto"/>
            <w:bottom w:val="none" w:sz="0" w:space="0" w:color="auto"/>
            <w:right w:val="none" w:sz="0" w:space="0" w:color="auto"/>
          </w:divBdr>
          <w:divsChild>
            <w:div w:id="82068665">
              <w:marLeft w:val="0"/>
              <w:marRight w:val="0"/>
              <w:marTop w:val="0"/>
              <w:marBottom w:val="0"/>
              <w:divBdr>
                <w:top w:val="none" w:sz="0" w:space="0" w:color="auto"/>
                <w:left w:val="none" w:sz="0" w:space="0" w:color="auto"/>
                <w:bottom w:val="none" w:sz="0" w:space="0" w:color="auto"/>
                <w:right w:val="none" w:sz="0" w:space="0" w:color="auto"/>
              </w:divBdr>
              <w:divsChild>
                <w:div w:id="292249570">
                  <w:marLeft w:val="0"/>
                  <w:marRight w:val="0"/>
                  <w:marTop w:val="0"/>
                  <w:marBottom w:val="0"/>
                  <w:divBdr>
                    <w:top w:val="none" w:sz="0" w:space="0" w:color="auto"/>
                    <w:left w:val="none" w:sz="0" w:space="0" w:color="auto"/>
                    <w:bottom w:val="none" w:sz="0" w:space="0" w:color="auto"/>
                    <w:right w:val="none" w:sz="0" w:space="0" w:color="auto"/>
                  </w:divBdr>
                  <w:divsChild>
                    <w:div w:id="2012097903">
                      <w:marLeft w:val="-150"/>
                      <w:marRight w:val="-150"/>
                      <w:marTop w:val="0"/>
                      <w:marBottom w:val="0"/>
                      <w:divBdr>
                        <w:top w:val="none" w:sz="0" w:space="0" w:color="auto"/>
                        <w:left w:val="none" w:sz="0" w:space="0" w:color="auto"/>
                        <w:bottom w:val="none" w:sz="0" w:space="0" w:color="auto"/>
                        <w:right w:val="none" w:sz="0" w:space="0" w:color="auto"/>
                      </w:divBdr>
                      <w:divsChild>
                        <w:div w:id="272906637">
                          <w:marLeft w:val="0"/>
                          <w:marRight w:val="0"/>
                          <w:marTop w:val="0"/>
                          <w:marBottom w:val="0"/>
                          <w:divBdr>
                            <w:top w:val="none" w:sz="0" w:space="0" w:color="auto"/>
                            <w:left w:val="none" w:sz="0" w:space="0" w:color="auto"/>
                            <w:bottom w:val="none" w:sz="0" w:space="0" w:color="auto"/>
                            <w:right w:val="none" w:sz="0" w:space="0" w:color="auto"/>
                          </w:divBdr>
                          <w:divsChild>
                            <w:div w:id="1406489419">
                              <w:marLeft w:val="0"/>
                              <w:marRight w:val="0"/>
                              <w:marTop w:val="0"/>
                              <w:marBottom w:val="0"/>
                              <w:divBdr>
                                <w:top w:val="none" w:sz="0" w:space="0" w:color="auto"/>
                                <w:left w:val="none" w:sz="0" w:space="0" w:color="auto"/>
                                <w:bottom w:val="none" w:sz="0" w:space="0" w:color="auto"/>
                                <w:right w:val="none" w:sz="0" w:space="0" w:color="auto"/>
                              </w:divBdr>
                              <w:divsChild>
                                <w:div w:id="981499738">
                                  <w:marLeft w:val="0"/>
                                  <w:marRight w:val="0"/>
                                  <w:marTop w:val="0"/>
                                  <w:marBottom w:val="300"/>
                                  <w:divBdr>
                                    <w:top w:val="none" w:sz="0" w:space="0" w:color="auto"/>
                                    <w:left w:val="none" w:sz="0" w:space="0" w:color="auto"/>
                                    <w:bottom w:val="none" w:sz="0" w:space="0" w:color="auto"/>
                                    <w:right w:val="none" w:sz="0" w:space="0" w:color="auto"/>
                                  </w:divBdr>
                                  <w:divsChild>
                                    <w:div w:id="1031298092">
                                      <w:marLeft w:val="0"/>
                                      <w:marRight w:val="0"/>
                                      <w:marTop w:val="0"/>
                                      <w:marBottom w:val="0"/>
                                      <w:divBdr>
                                        <w:top w:val="none" w:sz="0" w:space="0" w:color="auto"/>
                                        <w:left w:val="none" w:sz="0" w:space="0" w:color="auto"/>
                                        <w:bottom w:val="none" w:sz="0" w:space="0" w:color="auto"/>
                                        <w:right w:val="none" w:sz="0" w:space="0" w:color="auto"/>
                                      </w:divBdr>
                                      <w:divsChild>
                                        <w:div w:id="1245146515">
                                          <w:marLeft w:val="0"/>
                                          <w:marRight w:val="0"/>
                                          <w:marTop w:val="0"/>
                                          <w:marBottom w:val="0"/>
                                          <w:divBdr>
                                            <w:top w:val="none" w:sz="0" w:space="0" w:color="auto"/>
                                            <w:left w:val="none" w:sz="0" w:space="0" w:color="auto"/>
                                            <w:bottom w:val="none" w:sz="0" w:space="0" w:color="auto"/>
                                            <w:right w:val="none" w:sz="0" w:space="0" w:color="auto"/>
                                          </w:divBdr>
                                          <w:divsChild>
                                            <w:div w:id="1838959663">
                                              <w:marLeft w:val="0"/>
                                              <w:marRight w:val="0"/>
                                              <w:marTop w:val="0"/>
                                              <w:marBottom w:val="0"/>
                                              <w:divBdr>
                                                <w:top w:val="none" w:sz="0" w:space="0" w:color="auto"/>
                                                <w:left w:val="none" w:sz="0" w:space="0" w:color="auto"/>
                                                <w:bottom w:val="none" w:sz="0" w:space="0" w:color="auto"/>
                                                <w:right w:val="none" w:sz="0" w:space="0" w:color="auto"/>
                                              </w:divBdr>
                                              <w:divsChild>
                                                <w:div w:id="1166751340">
                                                  <w:marLeft w:val="0"/>
                                                  <w:marRight w:val="0"/>
                                                  <w:marTop w:val="0"/>
                                                  <w:marBottom w:val="0"/>
                                                  <w:divBdr>
                                                    <w:top w:val="none" w:sz="0" w:space="0" w:color="auto"/>
                                                    <w:left w:val="none" w:sz="0" w:space="0" w:color="auto"/>
                                                    <w:bottom w:val="none" w:sz="0" w:space="0" w:color="auto"/>
                                                    <w:right w:val="none" w:sz="0" w:space="0" w:color="auto"/>
                                                  </w:divBdr>
                                                  <w:divsChild>
                                                    <w:div w:id="916135960">
                                                      <w:marLeft w:val="0"/>
                                                      <w:marRight w:val="0"/>
                                                      <w:marTop w:val="0"/>
                                                      <w:marBottom w:val="0"/>
                                                      <w:divBdr>
                                                        <w:top w:val="none" w:sz="0" w:space="0" w:color="auto"/>
                                                        <w:left w:val="none" w:sz="0" w:space="0" w:color="auto"/>
                                                        <w:bottom w:val="none" w:sz="0" w:space="0" w:color="auto"/>
                                                        <w:right w:val="none" w:sz="0" w:space="0" w:color="auto"/>
                                                      </w:divBdr>
                                                      <w:divsChild>
                                                        <w:div w:id="1015107814">
                                                          <w:marLeft w:val="0"/>
                                                          <w:marRight w:val="0"/>
                                                          <w:marTop w:val="0"/>
                                                          <w:marBottom w:val="0"/>
                                                          <w:divBdr>
                                                            <w:top w:val="none" w:sz="0" w:space="0" w:color="auto"/>
                                                            <w:left w:val="none" w:sz="0" w:space="0" w:color="auto"/>
                                                            <w:bottom w:val="none" w:sz="0" w:space="0" w:color="auto"/>
                                                            <w:right w:val="none" w:sz="0" w:space="0" w:color="auto"/>
                                                          </w:divBdr>
                                                          <w:divsChild>
                                                            <w:div w:id="2121757442">
                                                              <w:marLeft w:val="0"/>
                                                              <w:marRight w:val="0"/>
                                                              <w:marTop w:val="0"/>
                                                              <w:marBottom w:val="0"/>
                                                              <w:divBdr>
                                                                <w:top w:val="none" w:sz="0" w:space="0" w:color="auto"/>
                                                                <w:left w:val="none" w:sz="0" w:space="0" w:color="auto"/>
                                                                <w:bottom w:val="none" w:sz="0" w:space="0" w:color="auto"/>
                                                                <w:right w:val="none" w:sz="0" w:space="0" w:color="auto"/>
                                                              </w:divBdr>
                                                              <w:divsChild>
                                                                <w:div w:id="1754203630">
                                                                  <w:marLeft w:val="0"/>
                                                                  <w:marRight w:val="0"/>
                                                                  <w:marTop w:val="0"/>
                                                                  <w:marBottom w:val="0"/>
                                                                  <w:divBdr>
                                                                    <w:top w:val="none" w:sz="0" w:space="0" w:color="auto"/>
                                                                    <w:left w:val="none" w:sz="0" w:space="0" w:color="auto"/>
                                                                    <w:bottom w:val="none" w:sz="0" w:space="0" w:color="auto"/>
                                                                    <w:right w:val="none" w:sz="0" w:space="0" w:color="auto"/>
                                                                  </w:divBdr>
                                                                  <w:divsChild>
                                                                    <w:div w:id="668482497">
                                                                      <w:marLeft w:val="0"/>
                                                                      <w:marRight w:val="0"/>
                                                                      <w:marTop w:val="0"/>
                                                                      <w:marBottom w:val="0"/>
                                                                      <w:divBdr>
                                                                        <w:top w:val="none" w:sz="0" w:space="0" w:color="auto"/>
                                                                        <w:left w:val="none" w:sz="0" w:space="0" w:color="auto"/>
                                                                        <w:bottom w:val="none" w:sz="0" w:space="0" w:color="auto"/>
                                                                        <w:right w:val="none" w:sz="0" w:space="0" w:color="auto"/>
                                                                      </w:divBdr>
                                                                      <w:divsChild>
                                                                        <w:div w:id="1120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9463295">
      <w:bodyDiv w:val="1"/>
      <w:marLeft w:val="0"/>
      <w:marRight w:val="0"/>
      <w:marTop w:val="0"/>
      <w:marBottom w:val="0"/>
      <w:divBdr>
        <w:top w:val="none" w:sz="0" w:space="0" w:color="auto"/>
        <w:left w:val="none" w:sz="0" w:space="0" w:color="auto"/>
        <w:bottom w:val="none" w:sz="0" w:space="0" w:color="auto"/>
        <w:right w:val="none" w:sz="0" w:space="0" w:color="auto"/>
      </w:divBdr>
      <w:divsChild>
        <w:div w:id="1455053097">
          <w:marLeft w:val="0"/>
          <w:marRight w:val="0"/>
          <w:marTop w:val="0"/>
          <w:marBottom w:val="0"/>
          <w:divBdr>
            <w:top w:val="none" w:sz="0" w:space="0" w:color="auto"/>
            <w:left w:val="none" w:sz="0" w:space="0" w:color="auto"/>
            <w:bottom w:val="none" w:sz="0" w:space="0" w:color="auto"/>
            <w:right w:val="none" w:sz="0" w:space="0" w:color="auto"/>
          </w:divBdr>
          <w:divsChild>
            <w:div w:id="525024479">
              <w:marLeft w:val="0"/>
              <w:marRight w:val="0"/>
              <w:marTop w:val="0"/>
              <w:marBottom w:val="0"/>
              <w:divBdr>
                <w:top w:val="none" w:sz="0" w:space="0" w:color="auto"/>
                <w:left w:val="none" w:sz="0" w:space="0" w:color="auto"/>
                <w:bottom w:val="none" w:sz="0" w:space="0" w:color="auto"/>
                <w:right w:val="none" w:sz="0" w:space="0" w:color="auto"/>
              </w:divBdr>
              <w:divsChild>
                <w:div w:id="1582256812">
                  <w:marLeft w:val="0"/>
                  <w:marRight w:val="0"/>
                  <w:marTop w:val="0"/>
                  <w:marBottom w:val="0"/>
                  <w:divBdr>
                    <w:top w:val="none" w:sz="0" w:space="0" w:color="auto"/>
                    <w:left w:val="none" w:sz="0" w:space="0" w:color="auto"/>
                    <w:bottom w:val="none" w:sz="0" w:space="0" w:color="auto"/>
                    <w:right w:val="none" w:sz="0" w:space="0" w:color="auto"/>
                  </w:divBdr>
                  <w:divsChild>
                    <w:div w:id="997197316">
                      <w:marLeft w:val="-150"/>
                      <w:marRight w:val="-150"/>
                      <w:marTop w:val="0"/>
                      <w:marBottom w:val="0"/>
                      <w:divBdr>
                        <w:top w:val="none" w:sz="0" w:space="0" w:color="auto"/>
                        <w:left w:val="none" w:sz="0" w:space="0" w:color="auto"/>
                        <w:bottom w:val="none" w:sz="0" w:space="0" w:color="auto"/>
                        <w:right w:val="none" w:sz="0" w:space="0" w:color="auto"/>
                      </w:divBdr>
                      <w:divsChild>
                        <w:div w:id="1102531394">
                          <w:marLeft w:val="0"/>
                          <w:marRight w:val="0"/>
                          <w:marTop w:val="0"/>
                          <w:marBottom w:val="0"/>
                          <w:divBdr>
                            <w:top w:val="none" w:sz="0" w:space="0" w:color="auto"/>
                            <w:left w:val="none" w:sz="0" w:space="0" w:color="auto"/>
                            <w:bottom w:val="none" w:sz="0" w:space="0" w:color="auto"/>
                            <w:right w:val="none" w:sz="0" w:space="0" w:color="auto"/>
                          </w:divBdr>
                          <w:divsChild>
                            <w:div w:id="45227999">
                              <w:marLeft w:val="0"/>
                              <w:marRight w:val="0"/>
                              <w:marTop w:val="0"/>
                              <w:marBottom w:val="0"/>
                              <w:divBdr>
                                <w:top w:val="none" w:sz="0" w:space="0" w:color="auto"/>
                                <w:left w:val="none" w:sz="0" w:space="0" w:color="auto"/>
                                <w:bottom w:val="none" w:sz="0" w:space="0" w:color="auto"/>
                                <w:right w:val="none" w:sz="0" w:space="0" w:color="auto"/>
                              </w:divBdr>
                              <w:divsChild>
                                <w:div w:id="253980189">
                                  <w:marLeft w:val="0"/>
                                  <w:marRight w:val="0"/>
                                  <w:marTop w:val="0"/>
                                  <w:marBottom w:val="300"/>
                                  <w:divBdr>
                                    <w:top w:val="none" w:sz="0" w:space="0" w:color="auto"/>
                                    <w:left w:val="none" w:sz="0" w:space="0" w:color="auto"/>
                                    <w:bottom w:val="none" w:sz="0" w:space="0" w:color="auto"/>
                                    <w:right w:val="none" w:sz="0" w:space="0" w:color="auto"/>
                                  </w:divBdr>
                                  <w:divsChild>
                                    <w:div w:id="2027948844">
                                      <w:marLeft w:val="0"/>
                                      <w:marRight w:val="0"/>
                                      <w:marTop w:val="0"/>
                                      <w:marBottom w:val="0"/>
                                      <w:divBdr>
                                        <w:top w:val="none" w:sz="0" w:space="0" w:color="auto"/>
                                        <w:left w:val="none" w:sz="0" w:space="0" w:color="auto"/>
                                        <w:bottom w:val="none" w:sz="0" w:space="0" w:color="auto"/>
                                        <w:right w:val="none" w:sz="0" w:space="0" w:color="auto"/>
                                      </w:divBdr>
                                      <w:divsChild>
                                        <w:div w:id="532160657">
                                          <w:marLeft w:val="0"/>
                                          <w:marRight w:val="0"/>
                                          <w:marTop w:val="0"/>
                                          <w:marBottom w:val="0"/>
                                          <w:divBdr>
                                            <w:top w:val="none" w:sz="0" w:space="0" w:color="auto"/>
                                            <w:left w:val="none" w:sz="0" w:space="0" w:color="auto"/>
                                            <w:bottom w:val="none" w:sz="0" w:space="0" w:color="auto"/>
                                            <w:right w:val="none" w:sz="0" w:space="0" w:color="auto"/>
                                          </w:divBdr>
                                          <w:divsChild>
                                            <w:div w:id="1224606104">
                                              <w:marLeft w:val="0"/>
                                              <w:marRight w:val="0"/>
                                              <w:marTop w:val="0"/>
                                              <w:marBottom w:val="0"/>
                                              <w:divBdr>
                                                <w:top w:val="none" w:sz="0" w:space="0" w:color="auto"/>
                                                <w:left w:val="none" w:sz="0" w:space="0" w:color="auto"/>
                                                <w:bottom w:val="none" w:sz="0" w:space="0" w:color="auto"/>
                                                <w:right w:val="none" w:sz="0" w:space="0" w:color="auto"/>
                                              </w:divBdr>
                                              <w:divsChild>
                                                <w:div w:id="1008748754">
                                                  <w:marLeft w:val="0"/>
                                                  <w:marRight w:val="0"/>
                                                  <w:marTop w:val="0"/>
                                                  <w:marBottom w:val="0"/>
                                                  <w:divBdr>
                                                    <w:top w:val="none" w:sz="0" w:space="0" w:color="auto"/>
                                                    <w:left w:val="none" w:sz="0" w:space="0" w:color="auto"/>
                                                    <w:bottom w:val="none" w:sz="0" w:space="0" w:color="auto"/>
                                                    <w:right w:val="none" w:sz="0" w:space="0" w:color="auto"/>
                                                  </w:divBdr>
                                                  <w:divsChild>
                                                    <w:div w:id="113140898">
                                                      <w:marLeft w:val="0"/>
                                                      <w:marRight w:val="0"/>
                                                      <w:marTop w:val="0"/>
                                                      <w:marBottom w:val="0"/>
                                                      <w:divBdr>
                                                        <w:top w:val="none" w:sz="0" w:space="0" w:color="auto"/>
                                                        <w:left w:val="none" w:sz="0" w:space="0" w:color="auto"/>
                                                        <w:bottom w:val="none" w:sz="0" w:space="0" w:color="auto"/>
                                                        <w:right w:val="none" w:sz="0" w:space="0" w:color="auto"/>
                                                      </w:divBdr>
                                                      <w:divsChild>
                                                        <w:div w:id="1800026263">
                                                          <w:marLeft w:val="0"/>
                                                          <w:marRight w:val="0"/>
                                                          <w:marTop w:val="0"/>
                                                          <w:marBottom w:val="0"/>
                                                          <w:divBdr>
                                                            <w:top w:val="none" w:sz="0" w:space="0" w:color="auto"/>
                                                            <w:left w:val="none" w:sz="0" w:space="0" w:color="auto"/>
                                                            <w:bottom w:val="none" w:sz="0" w:space="0" w:color="auto"/>
                                                            <w:right w:val="none" w:sz="0" w:space="0" w:color="auto"/>
                                                          </w:divBdr>
                                                          <w:divsChild>
                                                            <w:div w:id="1311865130">
                                                              <w:marLeft w:val="0"/>
                                                              <w:marRight w:val="0"/>
                                                              <w:marTop w:val="0"/>
                                                              <w:marBottom w:val="0"/>
                                                              <w:divBdr>
                                                                <w:top w:val="none" w:sz="0" w:space="0" w:color="auto"/>
                                                                <w:left w:val="none" w:sz="0" w:space="0" w:color="auto"/>
                                                                <w:bottom w:val="none" w:sz="0" w:space="0" w:color="auto"/>
                                                                <w:right w:val="none" w:sz="0" w:space="0" w:color="auto"/>
                                                              </w:divBdr>
                                                              <w:divsChild>
                                                                <w:div w:id="153882026">
                                                                  <w:marLeft w:val="0"/>
                                                                  <w:marRight w:val="0"/>
                                                                  <w:marTop w:val="0"/>
                                                                  <w:marBottom w:val="0"/>
                                                                  <w:divBdr>
                                                                    <w:top w:val="none" w:sz="0" w:space="0" w:color="auto"/>
                                                                    <w:left w:val="none" w:sz="0" w:space="0" w:color="auto"/>
                                                                    <w:bottom w:val="none" w:sz="0" w:space="0" w:color="auto"/>
                                                                    <w:right w:val="none" w:sz="0" w:space="0" w:color="auto"/>
                                                                  </w:divBdr>
                                                                  <w:divsChild>
                                                                    <w:div w:id="1362588230">
                                                                      <w:marLeft w:val="0"/>
                                                                      <w:marRight w:val="0"/>
                                                                      <w:marTop w:val="0"/>
                                                                      <w:marBottom w:val="0"/>
                                                                      <w:divBdr>
                                                                        <w:top w:val="none" w:sz="0" w:space="0" w:color="auto"/>
                                                                        <w:left w:val="none" w:sz="0" w:space="0" w:color="auto"/>
                                                                        <w:bottom w:val="none" w:sz="0" w:space="0" w:color="auto"/>
                                                                        <w:right w:val="none" w:sz="0" w:space="0" w:color="auto"/>
                                                                      </w:divBdr>
                                                                      <w:divsChild>
                                                                        <w:div w:id="2039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8086243">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7832ABC-B473-4E85-9EF0-6460CAE6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12442</Words>
  <Characters>7093</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likumprojekta "Grozījums likumā "Par nodokļiem un nodevām"" sākotnējās ietekmes novērtējuma ziņojums (anotācija)</vt:lpstr>
    </vt:vector>
  </TitlesOfParts>
  <Company>Finanšu ministrija</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nodokļiem un nodevām"" sākotnējās ietekmes novērtējuma ziņojums (anotācija)</dc:title>
  <dc:subject>Anotācija</dc:subject>
  <dc:creator>evita.sefere@fm.gov.lv</dc:creator>
  <dc:description>67083942, evita.sefere@fm.gov.lv</dc:description>
  <cp:lastModifiedBy>Evita Šēfere</cp:lastModifiedBy>
  <cp:revision>39</cp:revision>
  <cp:lastPrinted>2019-02-22T09:04:00Z</cp:lastPrinted>
  <dcterms:created xsi:type="dcterms:W3CDTF">2019-02-21T13:52:00Z</dcterms:created>
  <dcterms:modified xsi:type="dcterms:W3CDTF">2019-02-22T09:38:00Z</dcterms:modified>
</cp:coreProperties>
</file>