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83" w:rsidRDefault="00272A83" w:rsidP="00436629">
      <w:pPr>
        <w:shd w:val="clear" w:color="auto" w:fill="FFFFFF"/>
        <w:jc w:val="center"/>
        <w:rPr>
          <w:b/>
          <w:bCs/>
          <w:sz w:val="24"/>
          <w:szCs w:val="24"/>
        </w:rPr>
      </w:pPr>
    </w:p>
    <w:p w:rsidR="00272A83" w:rsidRDefault="00272A83" w:rsidP="00436629">
      <w:pPr>
        <w:shd w:val="clear" w:color="auto" w:fill="FFFFFF"/>
        <w:jc w:val="center"/>
        <w:rPr>
          <w:b/>
          <w:bCs/>
          <w:sz w:val="24"/>
          <w:szCs w:val="24"/>
        </w:rPr>
      </w:pPr>
    </w:p>
    <w:p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rsidR="00436629" w:rsidRPr="003212D3" w:rsidRDefault="00BC55DC" w:rsidP="00436629">
      <w:pPr>
        <w:shd w:val="clear" w:color="auto" w:fill="FFFFFF"/>
        <w:jc w:val="center"/>
        <w:rPr>
          <w:b/>
          <w:bCs/>
          <w:sz w:val="24"/>
          <w:szCs w:val="24"/>
        </w:rPr>
      </w:pPr>
      <w:r>
        <w:rPr>
          <w:b/>
          <w:bCs/>
          <w:sz w:val="24"/>
          <w:szCs w:val="24"/>
        </w:rPr>
        <w:t xml:space="preserve">2019.gada </w:t>
      </w:r>
      <w:r w:rsidR="00436629" w:rsidRPr="003212D3">
        <w:rPr>
          <w:b/>
          <w:bCs/>
          <w:sz w:val="24"/>
          <w:szCs w:val="24"/>
        </w:rPr>
        <w:t>vienošanās un domstarpību</w:t>
      </w:r>
    </w:p>
    <w:p w:rsidR="00436629" w:rsidRPr="003212D3" w:rsidRDefault="00436629" w:rsidP="00436629">
      <w:pPr>
        <w:shd w:val="clear" w:color="auto" w:fill="FFFFFF"/>
        <w:jc w:val="center"/>
        <w:rPr>
          <w:sz w:val="24"/>
          <w:szCs w:val="24"/>
        </w:rPr>
      </w:pPr>
    </w:p>
    <w:p w:rsidR="00436629" w:rsidRPr="003212D3" w:rsidRDefault="00436629" w:rsidP="00436629">
      <w:pPr>
        <w:shd w:val="clear" w:color="auto" w:fill="FFFFFF"/>
        <w:jc w:val="center"/>
        <w:rPr>
          <w:b/>
          <w:bCs/>
          <w:sz w:val="24"/>
          <w:szCs w:val="24"/>
        </w:rPr>
      </w:pPr>
      <w:r w:rsidRPr="003212D3">
        <w:rPr>
          <w:b/>
          <w:bCs/>
          <w:sz w:val="24"/>
          <w:szCs w:val="24"/>
        </w:rPr>
        <w:t>PROTOKOLS</w:t>
      </w:r>
    </w:p>
    <w:p w:rsidR="007D3EA0" w:rsidRPr="003212D3" w:rsidRDefault="007D3EA0"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A5168B">
            <w:pPr>
              <w:shd w:val="clear" w:color="auto" w:fill="FFFFFF"/>
              <w:jc w:val="right"/>
              <w:rPr>
                <w:sz w:val="24"/>
                <w:szCs w:val="24"/>
              </w:rPr>
            </w:pPr>
            <w:r w:rsidRPr="003212D3">
              <w:rPr>
                <w:sz w:val="24"/>
                <w:szCs w:val="24"/>
              </w:rPr>
              <w:t>201</w:t>
            </w:r>
            <w:r w:rsidR="00A5168B">
              <w:rPr>
                <w:sz w:val="24"/>
                <w:szCs w:val="24"/>
              </w:rPr>
              <w:t>9</w:t>
            </w:r>
            <w:r w:rsidRPr="003212D3">
              <w:rPr>
                <w:sz w:val="24"/>
                <w:szCs w:val="24"/>
              </w:rPr>
              <w:t xml:space="preserve">.gada </w:t>
            </w:r>
            <w:r w:rsidR="00AD39FE">
              <w:rPr>
                <w:sz w:val="24"/>
                <w:szCs w:val="24"/>
              </w:rPr>
              <w:t>___</w:t>
            </w:r>
            <w:r w:rsidR="005C4247">
              <w:rPr>
                <w:sz w:val="24"/>
                <w:szCs w:val="24"/>
              </w:rPr>
              <w:t>.</w:t>
            </w:r>
            <w:r w:rsidR="008E7FCE">
              <w:rPr>
                <w:sz w:val="24"/>
                <w:szCs w:val="24"/>
              </w:rPr>
              <w:t>________</w:t>
            </w:r>
          </w:p>
        </w:tc>
      </w:tr>
      <w:tr w:rsidR="00436629" w:rsidRPr="003212D3" w:rsidTr="00404F82">
        <w:trPr>
          <w:cantSplit/>
        </w:trPr>
        <w:tc>
          <w:tcPr>
            <w:tcW w:w="3967" w:type="dxa"/>
            <w:tcBorders>
              <w:top w:val="nil"/>
              <w:left w:val="nil"/>
              <w:bottom w:val="nil"/>
              <w:right w:val="nil"/>
            </w:tcBorders>
          </w:tcPr>
          <w:p w:rsidR="00436629" w:rsidRPr="003212D3" w:rsidRDefault="00436629" w:rsidP="00404F82">
            <w:pPr>
              <w:shd w:val="clear" w:color="auto" w:fill="FFFFFF"/>
              <w:rPr>
                <w:sz w:val="24"/>
                <w:szCs w:val="24"/>
              </w:rPr>
            </w:pPr>
          </w:p>
        </w:tc>
        <w:tc>
          <w:tcPr>
            <w:tcW w:w="886" w:type="dxa"/>
            <w:tcBorders>
              <w:top w:val="nil"/>
              <w:left w:val="nil"/>
              <w:bottom w:val="nil"/>
              <w:right w:val="nil"/>
            </w:tcBorders>
          </w:tcPr>
          <w:p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rsidR="00436629" w:rsidRPr="003212D3" w:rsidRDefault="00436629" w:rsidP="00404F82">
            <w:pPr>
              <w:shd w:val="clear" w:color="auto" w:fill="FFFFFF"/>
              <w:jc w:val="right"/>
              <w:rPr>
                <w:sz w:val="24"/>
                <w:szCs w:val="24"/>
              </w:rPr>
            </w:pPr>
          </w:p>
        </w:tc>
      </w:tr>
    </w:tbl>
    <w:p w:rsidR="00436629" w:rsidRDefault="00436629" w:rsidP="00436629">
      <w:pPr>
        <w:shd w:val="clear" w:color="auto" w:fill="FFFFFF"/>
        <w:ind w:firstLine="709"/>
        <w:jc w:val="both"/>
        <w:rPr>
          <w:sz w:val="24"/>
          <w:szCs w:val="24"/>
        </w:rPr>
      </w:pPr>
    </w:p>
    <w:p w:rsidR="00272A83" w:rsidRPr="006C3414" w:rsidRDefault="00272A83" w:rsidP="00436629">
      <w:pPr>
        <w:shd w:val="clear" w:color="auto" w:fill="FFFFFF"/>
        <w:ind w:firstLine="709"/>
        <w:jc w:val="both"/>
        <w:rPr>
          <w:sz w:val="24"/>
          <w:szCs w:val="24"/>
        </w:rPr>
      </w:pPr>
    </w:p>
    <w:p w:rsidR="00436629" w:rsidRPr="003212D3" w:rsidRDefault="00436629" w:rsidP="00436629">
      <w:pPr>
        <w:shd w:val="clear" w:color="auto" w:fill="FFFFFF"/>
        <w:ind w:firstLine="567"/>
        <w:jc w:val="both"/>
        <w:rPr>
          <w:sz w:val="24"/>
          <w:szCs w:val="24"/>
        </w:rPr>
      </w:pPr>
      <w:r w:rsidRPr="006C3414">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6C3414">
        <w:rPr>
          <w:bCs/>
          <w:sz w:val="24"/>
          <w:szCs w:val="24"/>
        </w:rPr>
        <w:t xml:space="preserve"> Ministru kabinets un Latvijas Pašvaldību savienība vienojas protokolā iekļaut sadaļu par gadskārtējo budžetu (201</w:t>
      </w:r>
      <w:r w:rsidR="00D87EB5">
        <w:rPr>
          <w:bCs/>
          <w:sz w:val="24"/>
          <w:szCs w:val="24"/>
        </w:rPr>
        <w:t>9</w:t>
      </w:r>
      <w:r w:rsidRPr="006C3414">
        <w:rPr>
          <w:bCs/>
          <w:sz w:val="24"/>
          <w:szCs w:val="24"/>
        </w:rPr>
        <w:t>.gads), izskatot sekojošus jautājumus:</w:t>
      </w:r>
    </w:p>
    <w:p w:rsidR="00C3442F" w:rsidRDefault="00C3442F" w:rsidP="00D8067B">
      <w:pPr>
        <w:shd w:val="clear" w:color="auto" w:fill="FFFFFF"/>
        <w:ind w:firstLine="567"/>
        <w:jc w:val="both"/>
        <w:rPr>
          <w:b/>
          <w:sz w:val="24"/>
          <w:szCs w:val="24"/>
        </w:rPr>
      </w:pPr>
    </w:p>
    <w:p w:rsidR="00272A83" w:rsidRPr="003212D3" w:rsidRDefault="00272A83" w:rsidP="00D8067B">
      <w:pPr>
        <w:shd w:val="clear" w:color="auto" w:fill="FFFFFF"/>
        <w:ind w:firstLine="567"/>
        <w:jc w:val="both"/>
        <w:rPr>
          <w:b/>
          <w:sz w:val="24"/>
          <w:szCs w:val="24"/>
        </w:rPr>
      </w:pPr>
    </w:p>
    <w:p w:rsidR="00436629" w:rsidRPr="0037603B" w:rsidRDefault="00436629" w:rsidP="00436629">
      <w:pPr>
        <w:pStyle w:val="BodyText"/>
        <w:shd w:val="clear" w:color="auto" w:fill="FFFFFF"/>
        <w:jc w:val="center"/>
        <w:rPr>
          <w:rFonts w:ascii="Times New Roman" w:hAnsi="Times New Roman"/>
          <w:b/>
          <w:bCs/>
          <w:sz w:val="24"/>
          <w:szCs w:val="24"/>
        </w:rPr>
      </w:pPr>
      <w:r w:rsidRPr="003212D3">
        <w:rPr>
          <w:rFonts w:ascii="Times New Roman" w:hAnsi="Times New Roman"/>
          <w:b/>
          <w:bCs/>
          <w:sz w:val="24"/>
          <w:szCs w:val="24"/>
        </w:rPr>
        <w:t>1. Nodokļu ieņēmumi</w:t>
      </w:r>
    </w:p>
    <w:p w:rsidR="00436629" w:rsidRDefault="00436629" w:rsidP="00230EE7">
      <w:pPr>
        <w:shd w:val="clear" w:color="auto" w:fill="FFFFFF"/>
        <w:ind w:firstLine="567"/>
        <w:jc w:val="both"/>
        <w:rPr>
          <w:b/>
          <w:bCs/>
          <w:sz w:val="24"/>
          <w:szCs w:val="24"/>
        </w:rPr>
      </w:pPr>
    </w:p>
    <w:p w:rsidR="0017274D" w:rsidRPr="00F07849" w:rsidRDefault="0017274D" w:rsidP="00A014D8">
      <w:pPr>
        <w:spacing w:after="60"/>
        <w:ind w:firstLine="567"/>
        <w:jc w:val="both"/>
        <w:rPr>
          <w:b/>
          <w:iCs/>
          <w:sz w:val="24"/>
          <w:szCs w:val="24"/>
        </w:rPr>
      </w:pPr>
      <w:r w:rsidRPr="00F07849">
        <w:rPr>
          <w:b/>
          <w:iCs/>
          <w:sz w:val="24"/>
          <w:szCs w:val="24"/>
        </w:rPr>
        <w:t>Latvijas Pašvaldības savienības viedoklis:</w:t>
      </w:r>
    </w:p>
    <w:p w:rsidR="00A014D8" w:rsidRPr="00F07849" w:rsidRDefault="00A014D8" w:rsidP="00DA43D3">
      <w:pPr>
        <w:ind w:firstLine="567"/>
        <w:jc w:val="both"/>
        <w:rPr>
          <w:rFonts w:eastAsia="Calibri"/>
          <w:color w:val="000000" w:themeColor="text1"/>
          <w:sz w:val="24"/>
          <w:szCs w:val="24"/>
        </w:rPr>
      </w:pPr>
      <w:r w:rsidRPr="00F07849">
        <w:rPr>
          <w:rFonts w:eastAsia="Calibri"/>
          <w:color w:val="000000" w:themeColor="text1"/>
          <w:sz w:val="24"/>
          <w:szCs w:val="24"/>
        </w:rPr>
        <w:t xml:space="preserve">Pašvaldību budžetu nodokļu ieņēmumi </w:t>
      </w:r>
      <w:r w:rsidR="00990236" w:rsidRPr="00F07849">
        <w:rPr>
          <w:rFonts w:eastAsia="Calibri"/>
          <w:color w:val="000000" w:themeColor="text1"/>
          <w:sz w:val="24"/>
          <w:szCs w:val="24"/>
        </w:rPr>
        <w:t>kopā ar speciālo dotāciju 2019.</w:t>
      </w:r>
      <w:r w:rsidRPr="00F07849">
        <w:rPr>
          <w:rFonts w:eastAsia="Calibri"/>
          <w:color w:val="000000" w:themeColor="text1"/>
          <w:sz w:val="24"/>
          <w:szCs w:val="24"/>
        </w:rPr>
        <w:t>gadā ir 19,6% no kopbudžeta nodokļu ieņēmumiem, neieskaitot valsts sociālās apdrošināšanas obligātās iemaksas valsts pamatbudžetā veselības aprūpes finansēšanai.</w:t>
      </w:r>
    </w:p>
    <w:p w:rsidR="00990236" w:rsidRPr="00F07849" w:rsidRDefault="00990236" w:rsidP="00DA43D3">
      <w:pPr>
        <w:ind w:firstLine="567"/>
        <w:jc w:val="both"/>
        <w:rPr>
          <w:rFonts w:eastAsia="Calibri"/>
          <w:color w:val="000000" w:themeColor="text1"/>
          <w:sz w:val="24"/>
          <w:szCs w:val="24"/>
        </w:rPr>
      </w:pPr>
      <w:r w:rsidRPr="00F07849">
        <w:rPr>
          <w:rFonts w:eastAsia="Calibri"/>
          <w:color w:val="000000" w:themeColor="text1"/>
          <w:sz w:val="24"/>
          <w:szCs w:val="24"/>
        </w:rPr>
        <w:t xml:space="preserve">Pašvaldībām garantēt valsts budžeta likumā noteikto iedzīvotāju ienākuma nodokļa (turpmāk – IIN) ieņēmumu prognozi 100% apmērā. </w:t>
      </w:r>
    </w:p>
    <w:p w:rsidR="0017274D" w:rsidRPr="00F07849" w:rsidRDefault="0017274D" w:rsidP="00DA43D3">
      <w:pPr>
        <w:ind w:firstLine="567"/>
        <w:jc w:val="both"/>
        <w:rPr>
          <w:rFonts w:eastAsia="Calibri"/>
          <w:color w:val="000000" w:themeColor="text1"/>
          <w:sz w:val="24"/>
          <w:szCs w:val="24"/>
        </w:rPr>
      </w:pPr>
    </w:p>
    <w:p w:rsidR="00CF2145" w:rsidRPr="00F07849" w:rsidRDefault="00CF2145" w:rsidP="00CF2145">
      <w:pPr>
        <w:shd w:val="clear" w:color="auto" w:fill="FFFFFF"/>
        <w:ind w:firstLine="567"/>
        <w:jc w:val="both"/>
        <w:rPr>
          <w:b/>
          <w:sz w:val="24"/>
          <w:szCs w:val="24"/>
        </w:rPr>
      </w:pPr>
      <w:r w:rsidRPr="00F07849">
        <w:rPr>
          <w:b/>
          <w:sz w:val="24"/>
          <w:szCs w:val="24"/>
        </w:rPr>
        <w:t>Ministru kabineta viedoklis:</w:t>
      </w:r>
    </w:p>
    <w:p w:rsidR="00CF2145" w:rsidRPr="00F07849" w:rsidRDefault="00CF2145" w:rsidP="00CF2145">
      <w:pPr>
        <w:shd w:val="clear" w:color="auto" w:fill="FFFFFF"/>
        <w:ind w:firstLine="567"/>
        <w:jc w:val="both"/>
        <w:rPr>
          <w:sz w:val="24"/>
          <w:szCs w:val="24"/>
        </w:rPr>
      </w:pPr>
      <w:r w:rsidRPr="00F07849">
        <w:rPr>
          <w:sz w:val="24"/>
          <w:szCs w:val="24"/>
        </w:rPr>
        <w:t xml:space="preserve">2019.gada pagaidu budžeta pamatprincipos noteica, ka tiek turpināta nemainīga valsts politika un atbilstoši tai, pašvaldību budžetu nodokļu ieņēmumi kopā ar speciālo dotāciju </w:t>
      </w:r>
      <w:r w:rsidR="00C2237F" w:rsidRPr="00C2237F">
        <w:rPr>
          <w:sz w:val="24"/>
          <w:szCs w:val="24"/>
        </w:rPr>
        <w:t xml:space="preserve">(tajā skaitā IIN ieņēmumi kopā ar speciālo dotāciju nav mazāki  kā 1,47 miljardu </w:t>
      </w:r>
      <w:proofErr w:type="spellStart"/>
      <w:r w:rsidR="00C2237F" w:rsidRPr="0044684F">
        <w:rPr>
          <w:i/>
          <w:sz w:val="24"/>
          <w:szCs w:val="24"/>
        </w:rPr>
        <w:t>euro</w:t>
      </w:r>
      <w:proofErr w:type="spellEnd"/>
      <w:r w:rsidR="00C2237F" w:rsidRPr="00C2237F">
        <w:rPr>
          <w:sz w:val="24"/>
          <w:szCs w:val="24"/>
        </w:rPr>
        <w:t>)</w:t>
      </w:r>
      <w:r w:rsidR="00C2237F">
        <w:rPr>
          <w:sz w:val="24"/>
          <w:szCs w:val="24"/>
        </w:rPr>
        <w:t xml:space="preserve"> </w:t>
      </w:r>
      <w:r w:rsidRPr="00F07849">
        <w:rPr>
          <w:sz w:val="24"/>
          <w:szCs w:val="24"/>
        </w:rPr>
        <w:t>ir 19,6</w:t>
      </w:r>
      <w:r w:rsidR="00990236" w:rsidRPr="00F07849">
        <w:rPr>
          <w:sz w:val="24"/>
          <w:szCs w:val="24"/>
        </w:rPr>
        <w:t>%</w:t>
      </w:r>
      <w:r w:rsidRPr="00F07849">
        <w:rPr>
          <w:sz w:val="24"/>
          <w:szCs w:val="24"/>
        </w:rPr>
        <w:t xml:space="preserve"> no plānotajiem kopbudžeta nodokļu ieņēmumiem, neieskaitot valsts sociālās apdrošināšanas obligātās iemaksas valsts pamatbudžetā</w:t>
      </w:r>
      <w:r w:rsidR="008F436A">
        <w:rPr>
          <w:sz w:val="24"/>
          <w:szCs w:val="24"/>
        </w:rPr>
        <w:t xml:space="preserve"> veselības aprūpes finansēšanai.</w:t>
      </w:r>
    </w:p>
    <w:p w:rsidR="00CF2145" w:rsidRPr="00F07849" w:rsidRDefault="00CF2145" w:rsidP="00CF2145">
      <w:pPr>
        <w:shd w:val="clear" w:color="auto" w:fill="FFFFFF"/>
        <w:ind w:firstLine="567"/>
        <w:jc w:val="both"/>
        <w:rPr>
          <w:sz w:val="24"/>
          <w:szCs w:val="24"/>
        </w:rPr>
      </w:pPr>
      <w:r w:rsidRPr="00F07849">
        <w:rPr>
          <w:sz w:val="24"/>
          <w:szCs w:val="24"/>
        </w:rPr>
        <w:t xml:space="preserve">Valsts budžetā 2019.gadam tiek nodrošināts pašvaldībām, ka pašvaldību budžetos garantētie </w:t>
      </w:r>
      <w:r w:rsidR="00990236" w:rsidRPr="00F07849">
        <w:rPr>
          <w:sz w:val="24"/>
          <w:szCs w:val="24"/>
        </w:rPr>
        <w:t>IIN</w:t>
      </w:r>
      <w:r w:rsidRPr="00F07849">
        <w:rPr>
          <w:sz w:val="24"/>
          <w:szCs w:val="24"/>
        </w:rPr>
        <w:t xml:space="preserve"> ieņēmumi kopā ar speciālo dotāciju nav mazāki kā 1,47 miljardu </w:t>
      </w:r>
      <w:proofErr w:type="spellStart"/>
      <w:r w:rsidRPr="00F07849">
        <w:rPr>
          <w:i/>
          <w:sz w:val="24"/>
          <w:szCs w:val="24"/>
        </w:rPr>
        <w:t>euro</w:t>
      </w:r>
      <w:proofErr w:type="spellEnd"/>
      <w:r w:rsidRPr="00F07849">
        <w:rPr>
          <w:sz w:val="24"/>
          <w:szCs w:val="24"/>
        </w:rPr>
        <w:t xml:space="preserve"> apmērā, atbilstoši no 2019.gada 1.janvāra noteiktajam apjomam sadalījumā pa pašvaldībām, kas nodrošina visām pašvaldībām izlīdzināto ieņēmumu pieaugumu pret 2018.gadu. </w:t>
      </w:r>
    </w:p>
    <w:p w:rsidR="00CF2145" w:rsidRPr="00F07849" w:rsidRDefault="00CF2145" w:rsidP="00CF2145">
      <w:pPr>
        <w:shd w:val="clear" w:color="auto" w:fill="FFFFFF"/>
        <w:ind w:firstLine="567"/>
        <w:jc w:val="both"/>
        <w:rPr>
          <w:sz w:val="24"/>
          <w:szCs w:val="24"/>
        </w:rPr>
      </w:pPr>
      <w:r w:rsidRPr="00F07849">
        <w:rPr>
          <w:sz w:val="24"/>
          <w:szCs w:val="24"/>
        </w:rPr>
        <w:t xml:space="preserve">Pašvaldībām tiek garantēti IIN ieņēmumi no plānotās prognozes, ievērojot šādu sadalījumu pa ceturkšņiem: I ceturksnī – 22%, II ceturksnī – 24%, III ceturksnī – 26%, IV ceturksnī - 28%. Gadījumā, ja tiek konstatēta IIN ieņēmumu neizpilde par ceturksni (no gada sākuma), ar finanšu ministra atļauju to kompensē no valsts pamatbudžetā ieskaitāmās IIN daļas. Ja pašvaldībām tiek izmaksāta kompensācija, bet turpmākajā periodā prognoze pārpildās, Finanšu ministrijai ir tiesības no </w:t>
      </w:r>
      <w:proofErr w:type="spellStart"/>
      <w:r w:rsidRPr="00F07849">
        <w:rPr>
          <w:sz w:val="24"/>
          <w:szCs w:val="24"/>
        </w:rPr>
        <w:t>pārpildes</w:t>
      </w:r>
      <w:proofErr w:type="spellEnd"/>
      <w:r w:rsidRPr="00F07849">
        <w:rPr>
          <w:sz w:val="24"/>
          <w:szCs w:val="24"/>
        </w:rPr>
        <w:t xml:space="preserve"> ieturēt izmaksāto kompensāciju un atdot to valsts budžetam.</w:t>
      </w:r>
    </w:p>
    <w:p w:rsidR="00CF2145" w:rsidRPr="00F07849" w:rsidRDefault="00CF2145" w:rsidP="005D5ABF">
      <w:pPr>
        <w:ind w:firstLine="567"/>
        <w:rPr>
          <w:b/>
          <w:sz w:val="24"/>
          <w:szCs w:val="24"/>
        </w:rPr>
      </w:pPr>
    </w:p>
    <w:p w:rsidR="00990236" w:rsidRPr="00F07849" w:rsidRDefault="00990236" w:rsidP="00990236">
      <w:pPr>
        <w:ind w:firstLine="567"/>
        <w:jc w:val="both"/>
        <w:rPr>
          <w:b/>
          <w:iCs/>
          <w:sz w:val="24"/>
          <w:szCs w:val="24"/>
        </w:rPr>
      </w:pPr>
      <w:r w:rsidRPr="00F07849">
        <w:rPr>
          <w:b/>
          <w:iCs/>
          <w:sz w:val="24"/>
          <w:szCs w:val="24"/>
        </w:rPr>
        <w:t>Puses vienojas:</w:t>
      </w:r>
    </w:p>
    <w:p w:rsidR="00990236" w:rsidRPr="00F07849" w:rsidRDefault="00990236" w:rsidP="00990236">
      <w:pPr>
        <w:ind w:firstLine="567"/>
        <w:jc w:val="both"/>
        <w:rPr>
          <w:sz w:val="24"/>
          <w:szCs w:val="24"/>
        </w:rPr>
      </w:pPr>
      <w:r w:rsidRPr="00F07849">
        <w:rPr>
          <w:iCs/>
          <w:sz w:val="24"/>
          <w:szCs w:val="24"/>
        </w:rPr>
        <w:t>Kopumā atbalstīt nodokļu ieņēmumus, kas tiek ieskaitīti pašvaldību budžetos 2019.gadā atbilstoši  protokola 1.pielikumā minētajam apmēram.</w:t>
      </w:r>
      <w:r w:rsidRPr="00F07849">
        <w:rPr>
          <w:sz w:val="24"/>
          <w:szCs w:val="24"/>
        </w:rPr>
        <w:t xml:space="preserve"> </w:t>
      </w:r>
    </w:p>
    <w:p w:rsidR="00990236" w:rsidRPr="00F07849" w:rsidRDefault="00990236" w:rsidP="005D5ABF">
      <w:pPr>
        <w:ind w:firstLine="567"/>
        <w:rPr>
          <w:b/>
          <w:sz w:val="24"/>
          <w:szCs w:val="24"/>
        </w:rPr>
      </w:pPr>
    </w:p>
    <w:p w:rsidR="00990236" w:rsidRPr="00F07849" w:rsidRDefault="00990236" w:rsidP="00436629">
      <w:pPr>
        <w:ind w:firstLine="567"/>
        <w:jc w:val="center"/>
        <w:rPr>
          <w:b/>
          <w:sz w:val="24"/>
          <w:szCs w:val="24"/>
        </w:rPr>
      </w:pPr>
    </w:p>
    <w:p w:rsidR="00272A83" w:rsidRDefault="00272A83" w:rsidP="00436629">
      <w:pPr>
        <w:ind w:firstLine="567"/>
        <w:jc w:val="center"/>
        <w:rPr>
          <w:b/>
          <w:sz w:val="24"/>
          <w:szCs w:val="24"/>
        </w:rPr>
      </w:pPr>
    </w:p>
    <w:p w:rsidR="00272A83" w:rsidRDefault="00272A83" w:rsidP="00436629">
      <w:pPr>
        <w:ind w:firstLine="567"/>
        <w:jc w:val="center"/>
        <w:rPr>
          <w:b/>
          <w:sz w:val="24"/>
          <w:szCs w:val="24"/>
        </w:rPr>
      </w:pPr>
    </w:p>
    <w:p w:rsidR="00272A83" w:rsidRDefault="00272A83" w:rsidP="00436629">
      <w:pPr>
        <w:ind w:firstLine="567"/>
        <w:jc w:val="center"/>
        <w:rPr>
          <w:b/>
          <w:sz w:val="24"/>
          <w:szCs w:val="24"/>
        </w:rPr>
      </w:pPr>
    </w:p>
    <w:p w:rsidR="009F46C9" w:rsidRDefault="009F46C9" w:rsidP="00436629">
      <w:pPr>
        <w:ind w:firstLine="567"/>
        <w:jc w:val="center"/>
        <w:rPr>
          <w:b/>
          <w:sz w:val="24"/>
          <w:szCs w:val="24"/>
        </w:rPr>
      </w:pPr>
    </w:p>
    <w:p w:rsidR="00436629" w:rsidRPr="00F07849" w:rsidRDefault="00436629" w:rsidP="00436629">
      <w:pPr>
        <w:ind w:firstLine="567"/>
        <w:jc w:val="center"/>
        <w:rPr>
          <w:b/>
          <w:sz w:val="24"/>
          <w:szCs w:val="24"/>
        </w:rPr>
      </w:pPr>
      <w:r w:rsidRPr="00F07849">
        <w:rPr>
          <w:b/>
          <w:sz w:val="24"/>
          <w:szCs w:val="24"/>
        </w:rPr>
        <w:t>2. Valsts</w:t>
      </w:r>
      <w:r w:rsidR="00D8067B" w:rsidRPr="00F07849">
        <w:rPr>
          <w:b/>
          <w:sz w:val="24"/>
          <w:szCs w:val="24"/>
        </w:rPr>
        <w:t xml:space="preserve"> budžeta </w:t>
      </w:r>
      <w:proofErr w:type="spellStart"/>
      <w:r w:rsidR="00D8067B" w:rsidRPr="00F07849">
        <w:rPr>
          <w:b/>
          <w:sz w:val="24"/>
          <w:szCs w:val="24"/>
        </w:rPr>
        <w:t>transferti</w:t>
      </w:r>
      <w:proofErr w:type="spellEnd"/>
      <w:r w:rsidR="00D8067B" w:rsidRPr="00F07849">
        <w:rPr>
          <w:b/>
          <w:sz w:val="24"/>
          <w:szCs w:val="24"/>
        </w:rPr>
        <w:t xml:space="preserve"> pašvaldībām</w:t>
      </w:r>
    </w:p>
    <w:p w:rsidR="00436629" w:rsidRPr="00F07849" w:rsidRDefault="00436629" w:rsidP="00436629">
      <w:pPr>
        <w:pStyle w:val="BodyText"/>
        <w:shd w:val="clear" w:color="auto" w:fill="FFFFFF"/>
        <w:ind w:firstLine="567"/>
        <w:jc w:val="left"/>
        <w:rPr>
          <w:rFonts w:ascii="Times New Roman" w:hAnsi="Times New Roman"/>
          <w:b/>
          <w:bCs/>
          <w:sz w:val="24"/>
          <w:szCs w:val="24"/>
          <w:u w:val="single"/>
        </w:rPr>
      </w:pPr>
      <w:bookmarkStart w:id="0" w:name="OLE_LINK1"/>
      <w:bookmarkStart w:id="1" w:name="OLE_LINK2"/>
    </w:p>
    <w:p w:rsidR="00376286" w:rsidRPr="00F07849" w:rsidRDefault="00060A4C" w:rsidP="00F65E4B">
      <w:pPr>
        <w:ind w:firstLine="567"/>
        <w:rPr>
          <w:b/>
          <w:iCs/>
          <w:sz w:val="24"/>
          <w:szCs w:val="24"/>
        </w:rPr>
      </w:pPr>
      <w:r w:rsidRPr="00F07849">
        <w:rPr>
          <w:b/>
          <w:iCs/>
          <w:sz w:val="24"/>
          <w:szCs w:val="24"/>
        </w:rPr>
        <w:t>Puses vienojas</w:t>
      </w:r>
      <w:r w:rsidR="00D2132A" w:rsidRPr="00F07849">
        <w:rPr>
          <w:b/>
          <w:iCs/>
          <w:sz w:val="24"/>
          <w:szCs w:val="24"/>
        </w:rPr>
        <w:t>:</w:t>
      </w:r>
    </w:p>
    <w:p w:rsidR="00376286" w:rsidRPr="00F07849" w:rsidRDefault="00376286" w:rsidP="00F65E4B">
      <w:pPr>
        <w:ind w:firstLine="567"/>
        <w:jc w:val="both"/>
        <w:rPr>
          <w:sz w:val="24"/>
          <w:szCs w:val="24"/>
        </w:rPr>
      </w:pPr>
      <w:r w:rsidRPr="00F07849">
        <w:rPr>
          <w:iCs/>
          <w:sz w:val="24"/>
          <w:szCs w:val="24"/>
        </w:rPr>
        <w:t>Kopumā atbalstīt piedāvāto valsts budžeta finansējuma sadalījumu caur nozaru ministrijām pašvaldību budžetiem atbilstoši protokol</w:t>
      </w:r>
      <w:r w:rsidR="000B676C" w:rsidRPr="00F07849">
        <w:rPr>
          <w:iCs/>
          <w:sz w:val="24"/>
          <w:szCs w:val="24"/>
        </w:rPr>
        <w:t>a 2.pielikumā minētajam apmēram</w:t>
      </w:r>
      <w:r w:rsidR="00EF7260" w:rsidRPr="00F07849">
        <w:rPr>
          <w:iCs/>
          <w:sz w:val="24"/>
          <w:szCs w:val="24"/>
        </w:rPr>
        <w:t>.</w:t>
      </w:r>
      <w:r w:rsidRPr="00F07849">
        <w:rPr>
          <w:sz w:val="24"/>
          <w:szCs w:val="24"/>
        </w:rPr>
        <w:t xml:space="preserve"> </w:t>
      </w:r>
    </w:p>
    <w:bookmarkEnd w:id="0"/>
    <w:bookmarkEnd w:id="1"/>
    <w:p w:rsidR="0092339D" w:rsidRDefault="0092339D" w:rsidP="0039092F">
      <w:pPr>
        <w:jc w:val="center"/>
        <w:rPr>
          <w:b/>
          <w:bCs/>
          <w:sz w:val="24"/>
          <w:szCs w:val="24"/>
        </w:rPr>
      </w:pPr>
    </w:p>
    <w:p w:rsidR="00591997" w:rsidRDefault="00591997" w:rsidP="0039092F">
      <w:pPr>
        <w:jc w:val="center"/>
        <w:rPr>
          <w:b/>
          <w:bCs/>
          <w:sz w:val="24"/>
          <w:szCs w:val="24"/>
        </w:rPr>
      </w:pPr>
    </w:p>
    <w:p w:rsidR="00436629" w:rsidRPr="00F07849" w:rsidRDefault="00436629" w:rsidP="0039092F">
      <w:pPr>
        <w:jc w:val="center"/>
        <w:rPr>
          <w:b/>
          <w:bCs/>
          <w:sz w:val="24"/>
          <w:szCs w:val="24"/>
        </w:rPr>
      </w:pPr>
      <w:r w:rsidRPr="00F07849">
        <w:rPr>
          <w:b/>
          <w:bCs/>
          <w:sz w:val="24"/>
          <w:szCs w:val="24"/>
        </w:rPr>
        <w:t>3. Pašvaldību aizņēmumi</w:t>
      </w:r>
      <w:r w:rsidR="00C94DCE">
        <w:rPr>
          <w:b/>
          <w:bCs/>
          <w:sz w:val="24"/>
          <w:szCs w:val="24"/>
        </w:rPr>
        <w:t>, galvojumi</w:t>
      </w:r>
      <w:r w:rsidRPr="00F07849">
        <w:rPr>
          <w:b/>
          <w:bCs/>
          <w:sz w:val="24"/>
          <w:szCs w:val="24"/>
        </w:rPr>
        <w:t xml:space="preserve"> un </w:t>
      </w:r>
      <w:r w:rsidR="00BC55DC" w:rsidRPr="00F07849">
        <w:rPr>
          <w:b/>
          <w:bCs/>
          <w:sz w:val="24"/>
          <w:szCs w:val="24"/>
        </w:rPr>
        <w:t xml:space="preserve">citas </w:t>
      </w:r>
      <w:r w:rsidRPr="00F07849">
        <w:rPr>
          <w:b/>
          <w:bCs/>
          <w:sz w:val="24"/>
          <w:szCs w:val="24"/>
        </w:rPr>
        <w:t>ilgtermiņa saistības</w:t>
      </w:r>
    </w:p>
    <w:p w:rsidR="002A4209" w:rsidRPr="00F07849" w:rsidRDefault="002A4209" w:rsidP="00436629">
      <w:pPr>
        <w:pStyle w:val="BodyText"/>
        <w:shd w:val="clear" w:color="auto" w:fill="FFFFFF"/>
        <w:jc w:val="center"/>
        <w:rPr>
          <w:rFonts w:ascii="Times New Roman" w:hAnsi="Times New Roman"/>
          <w:b/>
          <w:bCs/>
          <w:sz w:val="24"/>
          <w:szCs w:val="24"/>
        </w:rPr>
      </w:pPr>
    </w:p>
    <w:p w:rsidR="00BA20A9" w:rsidRDefault="00BA20A9" w:rsidP="00BA20A9">
      <w:pPr>
        <w:ind w:firstLine="567"/>
        <w:jc w:val="both"/>
        <w:rPr>
          <w:b/>
          <w:strike/>
          <w:sz w:val="24"/>
          <w:szCs w:val="24"/>
        </w:rPr>
      </w:pPr>
      <w:r w:rsidRPr="00F07849">
        <w:rPr>
          <w:b/>
          <w:iCs/>
          <w:sz w:val="24"/>
          <w:szCs w:val="24"/>
        </w:rPr>
        <w:t>Latvijas Pašvaldības savienības viedoklis</w:t>
      </w:r>
      <w:r w:rsidRPr="00914ADC">
        <w:rPr>
          <w:b/>
          <w:sz w:val="24"/>
          <w:szCs w:val="24"/>
        </w:rPr>
        <w:t>:</w:t>
      </w:r>
    </w:p>
    <w:p w:rsidR="00BA20A9" w:rsidRDefault="00BA20A9" w:rsidP="00BA20A9">
      <w:pPr>
        <w:pStyle w:val="ListParagraph"/>
        <w:ind w:left="0" w:firstLine="567"/>
        <w:contextualSpacing w:val="0"/>
        <w:jc w:val="both"/>
        <w:rPr>
          <w:sz w:val="24"/>
          <w:szCs w:val="24"/>
        </w:rPr>
      </w:pPr>
      <w:r w:rsidRPr="006C2B4E">
        <w:rPr>
          <w:sz w:val="24"/>
          <w:szCs w:val="24"/>
        </w:rPr>
        <w:t xml:space="preserve">Ja tiek mainīti pašvaldību aizņemšanās nosacījumi – atcelti aizņēmumu mērķi un noteikts pašvaldības līdzfinansējums, tad 2019.gadā: </w:t>
      </w:r>
    </w:p>
    <w:p w:rsidR="00BA20A9" w:rsidRPr="006C2B4E" w:rsidRDefault="00BA20A9" w:rsidP="00BA20A9">
      <w:pPr>
        <w:pStyle w:val="ListParagraph"/>
        <w:numPr>
          <w:ilvl w:val="0"/>
          <w:numId w:val="46"/>
        </w:numPr>
        <w:tabs>
          <w:tab w:val="left" w:pos="851"/>
        </w:tabs>
        <w:ind w:left="0" w:firstLine="567"/>
        <w:contextualSpacing w:val="0"/>
        <w:jc w:val="both"/>
        <w:rPr>
          <w:sz w:val="24"/>
          <w:szCs w:val="24"/>
        </w:rPr>
      </w:pPr>
      <w:r w:rsidRPr="006C2B4E">
        <w:rPr>
          <w:sz w:val="24"/>
          <w:szCs w:val="24"/>
        </w:rPr>
        <w:t>Bez pašvaldības līdzfinansējuma tiek nodrošināti:</w:t>
      </w:r>
    </w:p>
    <w:p w:rsidR="00BA20A9" w:rsidRPr="006C2B4E" w:rsidRDefault="00BA20A9" w:rsidP="00BA20A9">
      <w:pPr>
        <w:pStyle w:val="ListParagraph"/>
        <w:numPr>
          <w:ilvl w:val="1"/>
          <w:numId w:val="46"/>
        </w:numPr>
        <w:tabs>
          <w:tab w:val="left" w:pos="1418"/>
        </w:tabs>
        <w:ind w:left="1276" w:hanging="425"/>
        <w:contextualSpacing w:val="0"/>
        <w:jc w:val="both"/>
        <w:rPr>
          <w:sz w:val="24"/>
          <w:szCs w:val="24"/>
        </w:rPr>
      </w:pPr>
      <w:r w:rsidRPr="006C2B4E">
        <w:rPr>
          <w:sz w:val="24"/>
          <w:szCs w:val="24"/>
        </w:rPr>
        <w:t>aizņēmumi ES, pārējās ārvalstu finanšu palīdzības projektu īstenošanai un EKII līdzfinansēto projektu īstenošanai;</w:t>
      </w:r>
    </w:p>
    <w:p w:rsidR="00BA20A9" w:rsidRPr="006C2B4E" w:rsidRDefault="00BA20A9" w:rsidP="00BA20A9">
      <w:pPr>
        <w:pStyle w:val="ListParagraph"/>
        <w:numPr>
          <w:ilvl w:val="1"/>
          <w:numId w:val="46"/>
        </w:numPr>
        <w:tabs>
          <w:tab w:val="left" w:pos="1418"/>
        </w:tabs>
        <w:ind w:left="1276" w:hanging="425"/>
        <w:contextualSpacing w:val="0"/>
        <w:jc w:val="both"/>
        <w:rPr>
          <w:sz w:val="24"/>
          <w:szCs w:val="24"/>
        </w:rPr>
      </w:pPr>
      <w:r w:rsidRPr="006C2B4E">
        <w:rPr>
          <w:sz w:val="24"/>
          <w:szCs w:val="24"/>
        </w:rPr>
        <w:t xml:space="preserve">aizņēmumi ES fondu ierobežotās projektu iesniegumu atlases projektu </w:t>
      </w:r>
      <w:proofErr w:type="spellStart"/>
      <w:r w:rsidRPr="006C2B4E">
        <w:rPr>
          <w:sz w:val="24"/>
          <w:szCs w:val="24"/>
        </w:rPr>
        <w:t>priekšfinansēšanai</w:t>
      </w:r>
      <w:proofErr w:type="spellEnd"/>
      <w:r w:rsidRPr="006C2B4E">
        <w:rPr>
          <w:sz w:val="24"/>
          <w:szCs w:val="24"/>
        </w:rPr>
        <w:t xml:space="preserve"> (projekta uzsākšana pirms līguma noslēgšanas ar CFLA par ES projekta īstenošanu );</w:t>
      </w:r>
    </w:p>
    <w:p w:rsidR="00BA20A9" w:rsidRPr="006C2B4E" w:rsidRDefault="00BB7822" w:rsidP="00BA20A9">
      <w:pPr>
        <w:pStyle w:val="ListParagraph"/>
        <w:numPr>
          <w:ilvl w:val="1"/>
          <w:numId w:val="46"/>
        </w:numPr>
        <w:tabs>
          <w:tab w:val="left" w:pos="1418"/>
        </w:tabs>
        <w:ind w:left="1276" w:hanging="425"/>
        <w:contextualSpacing w:val="0"/>
        <w:jc w:val="both"/>
        <w:rPr>
          <w:sz w:val="24"/>
          <w:szCs w:val="24"/>
        </w:rPr>
      </w:pPr>
      <w:r>
        <w:rPr>
          <w:sz w:val="24"/>
          <w:szCs w:val="24"/>
        </w:rPr>
        <w:t>vidēja termiņa aizņēmumi 2018.</w:t>
      </w:r>
      <w:r w:rsidR="00BA20A9" w:rsidRPr="006C2B4E">
        <w:rPr>
          <w:sz w:val="24"/>
          <w:szCs w:val="24"/>
        </w:rPr>
        <w:t>gadā uzsākto projektu finansēšanai 2019.gadā (izņemot projektus, kuriem aizņēmumu atļaujā ir norādīta piebilde par līdzfinansējuma nodrošināšanu 2019.gadā);</w:t>
      </w:r>
    </w:p>
    <w:p w:rsidR="00BA20A9" w:rsidRPr="006C2B4E" w:rsidRDefault="00BA20A9" w:rsidP="00BA20A9">
      <w:pPr>
        <w:pStyle w:val="ListParagraph"/>
        <w:numPr>
          <w:ilvl w:val="1"/>
          <w:numId w:val="46"/>
        </w:numPr>
        <w:tabs>
          <w:tab w:val="left" w:pos="1418"/>
        </w:tabs>
        <w:ind w:left="1276" w:hanging="425"/>
        <w:contextualSpacing w:val="0"/>
        <w:jc w:val="both"/>
        <w:rPr>
          <w:sz w:val="24"/>
          <w:szCs w:val="24"/>
        </w:rPr>
      </w:pPr>
      <w:r w:rsidRPr="006C2B4E">
        <w:rPr>
          <w:sz w:val="24"/>
          <w:szCs w:val="24"/>
        </w:rPr>
        <w:t>2018.gadā uzsākto projektu (izņemot ceļu un kultūras iestāžu investīciju projektus) finansēšanai 2019.gadā, ja projekta finansēšanai 2018.gadā ir saņemts valsts budžeta aizdevums ar aizdevuma izņemšanu 2018.gadā;</w:t>
      </w:r>
    </w:p>
    <w:p w:rsidR="00BA20A9" w:rsidRPr="006C2B4E" w:rsidRDefault="00BA20A9" w:rsidP="00BA20A9">
      <w:pPr>
        <w:pStyle w:val="ListParagraph"/>
        <w:numPr>
          <w:ilvl w:val="1"/>
          <w:numId w:val="46"/>
        </w:numPr>
        <w:tabs>
          <w:tab w:val="left" w:pos="1418"/>
        </w:tabs>
        <w:ind w:left="1276" w:hanging="425"/>
        <w:contextualSpacing w:val="0"/>
        <w:jc w:val="both"/>
        <w:rPr>
          <w:sz w:val="24"/>
          <w:szCs w:val="24"/>
        </w:rPr>
      </w:pPr>
      <w:r w:rsidRPr="006C2B4E">
        <w:rPr>
          <w:sz w:val="24"/>
          <w:szCs w:val="24"/>
        </w:rPr>
        <w:t>aizņēmumi izglītības iestāžu un sociālo iestāžu investīciju projektiem.</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sz w:val="24"/>
          <w:szCs w:val="24"/>
        </w:rPr>
        <w:t>Aizņēmumiem pārējo investīciju projektu īstenošanai pašvaldības budžeta līdzfinansējums nav lielāks par 10% no pašvaldības kopējām projekta izmaksām.</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rFonts w:eastAsia="Calibri"/>
          <w:sz w:val="24"/>
          <w:szCs w:val="24"/>
        </w:rPr>
        <w:t>Pašvaldībām, kuras valsts pagaidu budžeta 2019.gadam laikā ir saņēmušas valsts aizdevumu budžeta un finanšu vadībai, lai nodrošinātu finanšu resursus investīciju projekta finansēšanai, atļaut slēgt vienošanos pie aizdevuma līguma par aizdevuma atmaksas termiņa pagarināšanu, ievērojot noteiktos aizņēmuma līdzfinansējuma apmēra nosacījumus.</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sz w:val="24"/>
          <w:szCs w:val="24"/>
        </w:rPr>
        <w:t>Pašvaldības budžeta līdzfinansējums tiek veikts līdz aizdevuma izmaksu pieprasījuma iesniegšanai vai vienlaikus ar aizdevuma izmaksu.</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sz w:val="24"/>
          <w:szCs w:val="24"/>
        </w:rPr>
        <w:t>2019.gadā pašvaldību aizņēmumu limita ietvaros investīciju projekta “Mežaparka Lielās estrādes rekonstrukcija” īstenošanai paredzēti 25,6 milj. </w:t>
      </w:r>
      <w:proofErr w:type="spellStart"/>
      <w:r w:rsidRPr="006C2B4E">
        <w:rPr>
          <w:i/>
          <w:sz w:val="24"/>
          <w:szCs w:val="24"/>
        </w:rPr>
        <w:t>euro</w:t>
      </w:r>
      <w:proofErr w:type="spellEnd"/>
      <w:r w:rsidRPr="006C2B4E">
        <w:rPr>
          <w:sz w:val="24"/>
          <w:szCs w:val="24"/>
        </w:rPr>
        <w:t xml:space="preserve">. Lai nesamazinātu iespējas pašvaldībām saņemt nepieciešamos aizņēmumus ES un citas ārvalstu finanšu palīdzības līdzfinansēto projektu un pašvaldību investīciju projektu īstenošanai, 2019.gadā palielināt pašvaldību aizņēmumu kopējo palielinājumu par 25 milj. </w:t>
      </w:r>
      <w:proofErr w:type="spellStart"/>
      <w:r w:rsidRPr="006C2B4E">
        <w:rPr>
          <w:i/>
          <w:sz w:val="24"/>
          <w:szCs w:val="24"/>
        </w:rPr>
        <w:t>euro</w:t>
      </w:r>
      <w:proofErr w:type="spellEnd"/>
      <w:r w:rsidRPr="006C2B4E">
        <w:rPr>
          <w:sz w:val="24"/>
          <w:szCs w:val="24"/>
        </w:rPr>
        <w:t xml:space="preserve">, pārdalot to no citiem valsts aizdevuma saņēmējiem. </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sz w:val="24"/>
          <w:szCs w:val="24"/>
        </w:rPr>
        <w:t xml:space="preserve">Saglabāt 2018.gada budžetā noteikto nosacījumu, ka netiek noteikti mērķi pašvaldību galvojumiem savu kapitālsabiedrību aizņēmumiem investīciju projektu īstenošanai. </w:t>
      </w:r>
    </w:p>
    <w:p w:rsidR="00BA20A9" w:rsidRPr="006C2B4E" w:rsidRDefault="00BA20A9" w:rsidP="00BA20A9">
      <w:pPr>
        <w:pStyle w:val="ListParagraph"/>
        <w:numPr>
          <w:ilvl w:val="0"/>
          <w:numId w:val="46"/>
        </w:numPr>
        <w:tabs>
          <w:tab w:val="left" w:pos="851"/>
        </w:tabs>
        <w:ind w:left="0" w:firstLine="567"/>
        <w:jc w:val="both"/>
        <w:rPr>
          <w:sz w:val="24"/>
          <w:szCs w:val="24"/>
        </w:rPr>
      </w:pPr>
      <w:r w:rsidRPr="006C2B4E">
        <w:rPr>
          <w:sz w:val="24"/>
          <w:szCs w:val="24"/>
        </w:rPr>
        <w:t xml:space="preserve">Papildināt 2018.gadā noteiktos nosacījumus, kādos pašvaldības var uzņemties citas ilgtermiņa saistības atbilstoši likuma “Par pašvaldību budžetiem” 22. pantam, ar šādiem nosacījumiem: </w:t>
      </w:r>
    </w:p>
    <w:p w:rsidR="00BA20A9" w:rsidRPr="006C2B4E" w:rsidRDefault="00BA20A9" w:rsidP="00BA20A9">
      <w:pPr>
        <w:pStyle w:val="ListParagraph"/>
        <w:numPr>
          <w:ilvl w:val="1"/>
          <w:numId w:val="46"/>
        </w:numPr>
        <w:ind w:left="1418" w:hanging="567"/>
        <w:jc w:val="both"/>
        <w:rPr>
          <w:sz w:val="24"/>
          <w:szCs w:val="24"/>
        </w:rPr>
      </w:pPr>
      <w:r w:rsidRPr="006C2B4E">
        <w:rPr>
          <w:sz w:val="24"/>
          <w:szCs w:val="24"/>
        </w:rPr>
        <w:t>līdz 5 gadiem arī informācijas tehnoloģiju sistēmu izstrādēm;</w:t>
      </w:r>
    </w:p>
    <w:p w:rsidR="00BA20A9" w:rsidRPr="006C2B4E" w:rsidRDefault="00BA20A9" w:rsidP="00BA20A9">
      <w:pPr>
        <w:pStyle w:val="ListParagraph"/>
        <w:numPr>
          <w:ilvl w:val="1"/>
          <w:numId w:val="46"/>
        </w:numPr>
        <w:ind w:left="1418" w:hanging="567"/>
        <w:jc w:val="both"/>
        <w:rPr>
          <w:sz w:val="24"/>
          <w:szCs w:val="24"/>
        </w:rPr>
      </w:pPr>
      <w:r w:rsidRPr="006C2B4E">
        <w:rPr>
          <w:sz w:val="24"/>
          <w:szCs w:val="24"/>
        </w:rPr>
        <w:t>līdz 20 gadiem energoefektivitātes projektiem, ja pašvaldība tos īsteno atbilstoši Energoefektivitātes likuma 14.pantam.</w:t>
      </w:r>
    </w:p>
    <w:p w:rsidR="00BA20A9" w:rsidRDefault="00BA20A9" w:rsidP="00BA20A9">
      <w:pPr>
        <w:ind w:firstLine="567"/>
        <w:jc w:val="both"/>
        <w:rPr>
          <w:rFonts w:eastAsia="Calibri"/>
          <w:b/>
          <w:bCs/>
          <w:sz w:val="24"/>
          <w:szCs w:val="24"/>
        </w:rPr>
      </w:pPr>
    </w:p>
    <w:p w:rsidR="00BA20A9" w:rsidRDefault="00BA20A9" w:rsidP="00BA20A9">
      <w:pPr>
        <w:ind w:firstLine="567"/>
        <w:jc w:val="both"/>
        <w:rPr>
          <w:rFonts w:eastAsia="Calibri"/>
          <w:b/>
          <w:bCs/>
          <w:sz w:val="24"/>
          <w:szCs w:val="24"/>
        </w:rPr>
      </w:pPr>
      <w:r w:rsidRPr="00800670">
        <w:rPr>
          <w:rFonts w:eastAsia="Calibri"/>
          <w:b/>
          <w:bCs/>
          <w:sz w:val="24"/>
          <w:szCs w:val="24"/>
        </w:rPr>
        <w:t>Ministru kabineta viedoklis:</w:t>
      </w:r>
    </w:p>
    <w:p w:rsidR="00BA20A9" w:rsidRPr="00BC3F4B" w:rsidRDefault="00BA20A9" w:rsidP="00BA20A9">
      <w:pPr>
        <w:ind w:firstLine="567"/>
        <w:jc w:val="both"/>
        <w:rPr>
          <w:rFonts w:eastAsia="Calibri"/>
          <w:b/>
          <w:bCs/>
          <w:sz w:val="24"/>
          <w:szCs w:val="24"/>
        </w:rPr>
      </w:pPr>
      <w:r>
        <w:rPr>
          <w:rFonts w:eastAsia="Calibri"/>
          <w:sz w:val="24"/>
          <w:szCs w:val="24"/>
        </w:rPr>
        <w:t>Lai 2019.gadā nodrošinātu fiskāli atbildīgu pašvaldību saistību uzņemšanos:</w:t>
      </w:r>
    </w:p>
    <w:p w:rsidR="00BA20A9" w:rsidRDefault="00BA20A9" w:rsidP="00BA20A9">
      <w:pPr>
        <w:pStyle w:val="ListParagraph"/>
        <w:numPr>
          <w:ilvl w:val="0"/>
          <w:numId w:val="38"/>
        </w:numPr>
        <w:tabs>
          <w:tab w:val="left" w:pos="851"/>
        </w:tabs>
        <w:ind w:left="0" w:firstLine="567"/>
        <w:jc w:val="both"/>
        <w:rPr>
          <w:rFonts w:eastAsia="Calibri"/>
          <w:sz w:val="24"/>
          <w:szCs w:val="24"/>
        </w:rPr>
      </w:pPr>
      <w:r w:rsidRPr="009406AC">
        <w:rPr>
          <w:rFonts w:eastAsia="Calibri"/>
          <w:sz w:val="24"/>
          <w:szCs w:val="24"/>
        </w:rPr>
        <w:t xml:space="preserve">Atcelt aizņēmuma mērķus. </w:t>
      </w:r>
    </w:p>
    <w:p w:rsidR="00BA20A9" w:rsidRPr="00BC3F4B" w:rsidRDefault="00BA20A9" w:rsidP="00BA20A9">
      <w:pPr>
        <w:pStyle w:val="ListParagraph"/>
        <w:numPr>
          <w:ilvl w:val="0"/>
          <w:numId w:val="38"/>
        </w:numPr>
        <w:tabs>
          <w:tab w:val="left" w:pos="851"/>
        </w:tabs>
        <w:ind w:left="0" w:firstLine="567"/>
        <w:jc w:val="both"/>
        <w:rPr>
          <w:rFonts w:eastAsia="Calibri"/>
          <w:sz w:val="24"/>
          <w:szCs w:val="24"/>
        </w:rPr>
      </w:pPr>
      <w:r w:rsidRPr="00BC3F4B">
        <w:rPr>
          <w:rFonts w:eastAsia="Calibri"/>
          <w:sz w:val="24"/>
          <w:szCs w:val="24"/>
        </w:rPr>
        <w:lastRenderedPageBreak/>
        <w:t>Vidējā termiņa aizņēmumiem, kam ir noslēgti aizdevuma līgumi līdz 01.01.2019.,  tiek saglabāts piešķirtais aizņēmuma apmērs, ievērojot aizņēmumu atļaujā noteiktos nosacījumus (</w:t>
      </w:r>
      <w:r w:rsidRPr="00BC3F4B">
        <w:rPr>
          <w:iCs/>
          <w:sz w:val="24"/>
          <w:szCs w:val="24"/>
        </w:rPr>
        <w:t xml:space="preserve">aizņēmumu atļaujā </w:t>
      </w:r>
      <w:r>
        <w:rPr>
          <w:iCs/>
          <w:sz w:val="24"/>
          <w:szCs w:val="24"/>
        </w:rPr>
        <w:t xml:space="preserve">norādītā piebilde par līdzfinansējumu </w:t>
      </w:r>
      <w:r w:rsidRPr="00BC3F4B">
        <w:rPr>
          <w:iCs/>
          <w:sz w:val="24"/>
          <w:szCs w:val="24"/>
        </w:rPr>
        <w:t xml:space="preserve">apmēra nodrošināšanu 2019.gadā). </w:t>
      </w:r>
    </w:p>
    <w:p w:rsidR="00BA20A9" w:rsidRPr="00BC3F4B" w:rsidRDefault="00BA20A9" w:rsidP="00BA20A9">
      <w:pPr>
        <w:pStyle w:val="ListParagraph"/>
        <w:numPr>
          <w:ilvl w:val="0"/>
          <w:numId w:val="38"/>
        </w:numPr>
        <w:tabs>
          <w:tab w:val="left" w:pos="851"/>
        </w:tabs>
        <w:ind w:left="0" w:firstLine="567"/>
        <w:jc w:val="both"/>
        <w:rPr>
          <w:rFonts w:eastAsia="Calibri"/>
          <w:sz w:val="24"/>
          <w:szCs w:val="24"/>
        </w:rPr>
      </w:pPr>
      <w:r w:rsidRPr="00BC3F4B">
        <w:rPr>
          <w:rFonts w:eastAsia="Calibri"/>
          <w:sz w:val="24"/>
          <w:szCs w:val="24"/>
        </w:rPr>
        <w:t>Aizņēmumi projektiem bez pašvaldības budžeta līdzfinansējuma:</w:t>
      </w:r>
    </w:p>
    <w:p w:rsidR="00BA20A9" w:rsidRDefault="00BA20A9" w:rsidP="00BA20A9">
      <w:pPr>
        <w:pStyle w:val="ListParagraph"/>
        <w:numPr>
          <w:ilvl w:val="1"/>
          <w:numId w:val="47"/>
        </w:numPr>
        <w:ind w:left="1276" w:hanging="425"/>
        <w:jc w:val="both"/>
        <w:rPr>
          <w:rFonts w:eastAsia="Calibri"/>
          <w:sz w:val="24"/>
          <w:szCs w:val="24"/>
        </w:rPr>
      </w:pPr>
      <w:r>
        <w:rPr>
          <w:rFonts w:eastAsia="Calibri"/>
          <w:sz w:val="24"/>
          <w:szCs w:val="24"/>
        </w:rPr>
        <w:t xml:space="preserve"> </w:t>
      </w:r>
      <w:r w:rsidRPr="00BC3F4B">
        <w:rPr>
          <w:rFonts w:eastAsia="Calibri"/>
          <w:sz w:val="24"/>
          <w:szCs w:val="24"/>
        </w:rPr>
        <w:t>ES un  pārējās ārvalstu finanšu palīdzības līdzfinansēto  projektu īstenošana.</w:t>
      </w:r>
    </w:p>
    <w:p w:rsidR="00BA20A9" w:rsidRPr="00BC3F4B" w:rsidRDefault="00BA20A9" w:rsidP="00BA20A9">
      <w:pPr>
        <w:pStyle w:val="ListParagraph"/>
        <w:numPr>
          <w:ilvl w:val="1"/>
          <w:numId w:val="47"/>
        </w:numPr>
        <w:ind w:left="1276" w:hanging="425"/>
        <w:jc w:val="both"/>
        <w:rPr>
          <w:rFonts w:eastAsia="Calibri"/>
          <w:sz w:val="24"/>
          <w:szCs w:val="24"/>
        </w:rPr>
      </w:pPr>
      <w:r>
        <w:rPr>
          <w:rFonts w:eastAsia="Calibri"/>
          <w:sz w:val="24"/>
          <w:szCs w:val="24"/>
        </w:rPr>
        <w:t xml:space="preserve"> </w:t>
      </w:r>
      <w:r w:rsidRPr="00BC3F4B">
        <w:rPr>
          <w:rFonts w:eastAsia="Calibri"/>
          <w:sz w:val="24"/>
          <w:szCs w:val="24"/>
        </w:rPr>
        <w:t xml:space="preserve">EKII līdzfinansēto projektu īstenošana, kuros </w:t>
      </w:r>
      <w:r w:rsidRPr="00BC3F4B">
        <w:rPr>
          <w:rFonts w:eastAsia="Calibri"/>
          <w:color w:val="000000"/>
          <w:sz w:val="24"/>
          <w:szCs w:val="24"/>
        </w:rPr>
        <w:t>aizņēmuma apmērs neattiecināmajām izmaksām  nepārsniedz projekta  attiecināmo izmaksu kopsummu.</w:t>
      </w:r>
    </w:p>
    <w:p w:rsidR="00BA20A9" w:rsidRPr="00BC3F4B" w:rsidRDefault="00BA20A9" w:rsidP="00BA20A9">
      <w:pPr>
        <w:pStyle w:val="ListParagraph"/>
        <w:numPr>
          <w:ilvl w:val="1"/>
          <w:numId w:val="47"/>
        </w:numPr>
        <w:ind w:left="1276" w:hanging="425"/>
        <w:jc w:val="both"/>
        <w:rPr>
          <w:rFonts w:eastAsia="Calibri"/>
          <w:sz w:val="24"/>
          <w:szCs w:val="24"/>
        </w:rPr>
      </w:pPr>
      <w:r>
        <w:rPr>
          <w:rFonts w:eastAsia="Calibri"/>
          <w:sz w:val="24"/>
          <w:szCs w:val="24"/>
        </w:rPr>
        <w:t xml:space="preserve"> </w:t>
      </w:r>
      <w:r w:rsidRPr="00BC3F4B">
        <w:rPr>
          <w:rFonts w:eastAsia="Calibri"/>
          <w:sz w:val="24"/>
          <w:szCs w:val="24"/>
        </w:rPr>
        <w:t>Valsts nozīmes sporta, aizsardzības infrastruktūras attīstības projektu īstenošana, kuri tiek realizēti ar valsts budžeta līdzfinansējumu.</w:t>
      </w:r>
    </w:p>
    <w:p w:rsidR="00BA20A9" w:rsidRPr="00BC3F4B" w:rsidRDefault="00BA20A9" w:rsidP="00BA20A9">
      <w:pPr>
        <w:pStyle w:val="ListParagraph"/>
        <w:numPr>
          <w:ilvl w:val="0"/>
          <w:numId w:val="47"/>
        </w:numPr>
        <w:tabs>
          <w:tab w:val="left" w:pos="851"/>
        </w:tabs>
        <w:ind w:left="0" w:firstLine="567"/>
        <w:jc w:val="both"/>
        <w:rPr>
          <w:iCs/>
          <w:sz w:val="24"/>
          <w:szCs w:val="24"/>
        </w:rPr>
      </w:pPr>
      <w:r w:rsidRPr="00BC3F4B">
        <w:rPr>
          <w:rFonts w:eastAsia="Calibri"/>
          <w:sz w:val="24"/>
          <w:szCs w:val="24"/>
        </w:rPr>
        <w:t xml:space="preserve">Aizņēmumi pārējo investīciju projektu īstenošanai ar pašvaldības budžeta līdzfinansējumu ne mazā kā 25%, ievērojot šādus nosacījumus:  </w:t>
      </w:r>
    </w:p>
    <w:p w:rsidR="00BA20A9" w:rsidRPr="009406AC" w:rsidRDefault="00BA20A9" w:rsidP="00011F5C">
      <w:pPr>
        <w:numPr>
          <w:ilvl w:val="0"/>
          <w:numId w:val="40"/>
        </w:numPr>
        <w:ind w:left="1701" w:hanging="425"/>
        <w:contextualSpacing/>
        <w:jc w:val="both"/>
        <w:rPr>
          <w:rFonts w:eastAsia="Calibri"/>
          <w:sz w:val="24"/>
          <w:szCs w:val="24"/>
        </w:rPr>
      </w:pPr>
      <w:r w:rsidRPr="009406AC">
        <w:rPr>
          <w:rFonts w:eastAsia="Calibri"/>
          <w:sz w:val="24"/>
          <w:szCs w:val="24"/>
        </w:rPr>
        <w:t>pašvaldības budžeta līdzfinansējums sākot ar 2019.gadu nav mazāks par 25% un aizņēmuma apmērs nav lielāks par 75% no pašvaldības kopējām projekta izmaksām.</w:t>
      </w:r>
    </w:p>
    <w:p w:rsidR="00BA20A9" w:rsidRPr="009406AC" w:rsidRDefault="00BA20A9" w:rsidP="00011F5C">
      <w:pPr>
        <w:numPr>
          <w:ilvl w:val="0"/>
          <w:numId w:val="40"/>
        </w:numPr>
        <w:ind w:left="1701" w:hanging="425"/>
        <w:contextualSpacing/>
        <w:jc w:val="both"/>
        <w:rPr>
          <w:rFonts w:eastAsia="Calibri"/>
          <w:sz w:val="24"/>
          <w:szCs w:val="24"/>
          <w:lang w:eastAsia="lv-LV"/>
        </w:rPr>
      </w:pPr>
      <w:r w:rsidRPr="009406AC">
        <w:rPr>
          <w:rFonts w:eastAsia="Calibri"/>
          <w:sz w:val="24"/>
          <w:szCs w:val="24"/>
        </w:rPr>
        <w:t>projektos, kuru finansēšanai nepieciešamas vidējā termiņa aizņēmums,  pašvaldības budžeta līdzfinansējums 2019.gadā nav mazāks par 25% no pašvaldības kopējām projekta 2019.gada izmaksām.</w:t>
      </w:r>
    </w:p>
    <w:p w:rsidR="00BA20A9" w:rsidRPr="009406AC" w:rsidRDefault="00BA20A9" w:rsidP="00011F5C">
      <w:pPr>
        <w:numPr>
          <w:ilvl w:val="0"/>
          <w:numId w:val="40"/>
        </w:numPr>
        <w:ind w:left="1701" w:hanging="425"/>
        <w:contextualSpacing/>
        <w:jc w:val="both"/>
        <w:rPr>
          <w:rFonts w:eastAsia="Calibri"/>
          <w:sz w:val="24"/>
          <w:szCs w:val="24"/>
        </w:rPr>
      </w:pPr>
      <w:r w:rsidRPr="009406AC">
        <w:rPr>
          <w:rFonts w:eastAsia="Calibri"/>
          <w:sz w:val="24"/>
          <w:szCs w:val="24"/>
        </w:rPr>
        <w:t xml:space="preserve">pašvaldības budžeta līdzfinansējums tiek veikts līdz aizdevuma izmaksu pieprasījuma iesniegšanai vai vienlaikus ar aizdevuma izmaksu. </w:t>
      </w:r>
    </w:p>
    <w:p w:rsidR="00BA20A9" w:rsidRDefault="00BA20A9" w:rsidP="00BA20A9">
      <w:pPr>
        <w:pStyle w:val="ListParagraph"/>
        <w:numPr>
          <w:ilvl w:val="0"/>
          <w:numId w:val="47"/>
        </w:numPr>
        <w:tabs>
          <w:tab w:val="left" w:pos="851"/>
        </w:tabs>
        <w:ind w:left="0" w:firstLine="567"/>
        <w:jc w:val="both"/>
        <w:rPr>
          <w:rFonts w:eastAsia="Calibri"/>
          <w:sz w:val="24"/>
          <w:szCs w:val="24"/>
        </w:rPr>
      </w:pPr>
      <w:r w:rsidRPr="00BC3F4B">
        <w:rPr>
          <w:rFonts w:eastAsia="Calibri"/>
          <w:sz w:val="24"/>
          <w:szCs w:val="24"/>
        </w:rPr>
        <w:t xml:space="preserve">2019.gadā kā vienreizēju risinājumu paredzēt: </w:t>
      </w:r>
    </w:p>
    <w:p w:rsidR="00BA20A9" w:rsidRPr="00BC3F4B" w:rsidRDefault="00BA20A9" w:rsidP="00BA20A9">
      <w:pPr>
        <w:pStyle w:val="ListParagraph"/>
        <w:numPr>
          <w:ilvl w:val="1"/>
          <w:numId w:val="47"/>
        </w:numPr>
        <w:tabs>
          <w:tab w:val="left" w:pos="1276"/>
        </w:tabs>
        <w:ind w:left="1418" w:hanging="567"/>
        <w:jc w:val="both"/>
        <w:rPr>
          <w:rFonts w:eastAsia="Calibri"/>
          <w:sz w:val="24"/>
          <w:szCs w:val="24"/>
        </w:rPr>
      </w:pPr>
      <w:r>
        <w:rPr>
          <w:rFonts w:eastAsia="Calibri"/>
          <w:sz w:val="24"/>
          <w:szCs w:val="24"/>
        </w:rPr>
        <w:t xml:space="preserve"> </w:t>
      </w:r>
      <w:r w:rsidRPr="00BC3F4B">
        <w:rPr>
          <w:rFonts w:eastAsia="Calibri"/>
          <w:sz w:val="24"/>
          <w:szCs w:val="24"/>
        </w:rPr>
        <w:t xml:space="preserve">Aizņēmumus 2018.gadā uzsākto projektu (izņemot ceļu un kultūras iestāžu investīciju projektus) finansēšanai 2019.gadā, ievērojot šādus nosacījumus: </w:t>
      </w:r>
    </w:p>
    <w:p w:rsidR="00BA20A9" w:rsidRPr="009406AC" w:rsidRDefault="00BA20A9" w:rsidP="00BA20A9">
      <w:pPr>
        <w:pStyle w:val="ListParagraph"/>
        <w:numPr>
          <w:ilvl w:val="0"/>
          <w:numId w:val="44"/>
        </w:numPr>
        <w:ind w:left="1701" w:hanging="425"/>
        <w:jc w:val="both"/>
        <w:rPr>
          <w:rFonts w:eastAsia="Calibri"/>
          <w:sz w:val="24"/>
          <w:szCs w:val="24"/>
        </w:rPr>
      </w:pPr>
      <w:r w:rsidRPr="009406AC">
        <w:rPr>
          <w:rFonts w:eastAsia="Calibri"/>
          <w:sz w:val="24"/>
          <w:szCs w:val="24"/>
        </w:rPr>
        <w:t>projekta finansēšanai 2018.gadā ir saņemts valsts budžeta aizdevums ar aizdevuma izņemšanu tikai 2018.gadā,</w:t>
      </w:r>
    </w:p>
    <w:p w:rsidR="00BA20A9" w:rsidRPr="009406AC" w:rsidRDefault="00BA20A9" w:rsidP="00BA20A9">
      <w:pPr>
        <w:pStyle w:val="ListParagraph"/>
        <w:numPr>
          <w:ilvl w:val="0"/>
          <w:numId w:val="44"/>
        </w:numPr>
        <w:ind w:left="1701" w:hanging="425"/>
        <w:jc w:val="both"/>
        <w:rPr>
          <w:rFonts w:eastAsia="Calibri"/>
          <w:sz w:val="24"/>
          <w:szCs w:val="24"/>
        </w:rPr>
      </w:pPr>
      <w:r w:rsidRPr="009406AC">
        <w:rPr>
          <w:rFonts w:eastAsia="Calibri"/>
          <w:sz w:val="24"/>
          <w:szCs w:val="24"/>
        </w:rPr>
        <w:t>līdz 2019.gada aizdevuma pieprasījuma iesniegšanai ir veikta apmaksa ne mazāk kā 20% apmērā no būvdarbu līgumā paredzētās summas.</w:t>
      </w:r>
    </w:p>
    <w:p w:rsidR="00BA20A9" w:rsidRDefault="00BA20A9" w:rsidP="00BA20A9">
      <w:pPr>
        <w:pStyle w:val="ListParagraph"/>
        <w:numPr>
          <w:ilvl w:val="1"/>
          <w:numId w:val="47"/>
        </w:numPr>
        <w:tabs>
          <w:tab w:val="left" w:pos="1276"/>
        </w:tabs>
        <w:ind w:left="1276" w:hanging="425"/>
        <w:jc w:val="both"/>
        <w:rPr>
          <w:rFonts w:eastAsia="Calibri"/>
          <w:sz w:val="24"/>
          <w:szCs w:val="24"/>
        </w:rPr>
      </w:pPr>
      <w:r w:rsidRPr="00374B83">
        <w:rPr>
          <w:rFonts w:eastAsia="Calibri"/>
          <w:sz w:val="24"/>
          <w:szCs w:val="24"/>
        </w:rPr>
        <w:t>Paš</w:t>
      </w:r>
      <w:r>
        <w:rPr>
          <w:rFonts w:eastAsia="Calibri"/>
          <w:sz w:val="24"/>
          <w:szCs w:val="24"/>
        </w:rPr>
        <w:t xml:space="preserve">valdībām, kuras valsts pagaidu </w:t>
      </w:r>
      <w:r w:rsidRPr="00374B83">
        <w:rPr>
          <w:rFonts w:eastAsia="Calibri"/>
          <w:sz w:val="24"/>
          <w:szCs w:val="24"/>
        </w:rPr>
        <w:t>budžeta 2019.gadam laikā ir saņēmušas valsts aizdevumu budžeta un finanšu vadībai, lai nodrošinātu finanšu resursus investīciju projekta finansēšanai, Ministru kabineta noteiktajā kārtībā un ievērojot noteiktos aizņēmuma līdzfinans</w:t>
      </w:r>
      <w:r>
        <w:rPr>
          <w:rFonts w:eastAsia="Calibri"/>
          <w:sz w:val="24"/>
          <w:szCs w:val="24"/>
        </w:rPr>
        <w:t xml:space="preserve">ējuma apmēra nosacījumus </w:t>
      </w:r>
      <w:r w:rsidRPr="00374B83">
        <w:rPr>
          <w:rFonts w:eastAsia="Calibri"/>
          <w:sz w:val="24"/>
          <w:szCs w:val="24"/>
        </w:rPr>
        <w:t xml:space="preserve">slēgt vienošanos pie aizdevuma līguma par aizdevuma atmaksas termiņa pagarināšanu. </w:t>
      </w:r>
    </w:p>
    <w:p w:rsidR="00F22EF2" w:rsidRPr="007C686B" w:rsidRDefault="00F22EF2" w:rsidP="00F22EF2">
      <w:pPr>
        <w:pStyle w:val="ListParagraph"/>
        <w:numPr>
          <w:ilvl w:val="0"/>
          <w:numId w:val="47"/>
        </w:numPr>
        <w:tabs>
          <w:tab w:val="left" w:pos="851"/>
        </w:tabs>
        <w:ind w:left="0" w:firstLine="567"/>
        <w:jc w:val="both"/>
      </w:pPr>
      <w:r w:rsidRPr="007C686B">
        <w:rPr>
          <w:sz w:val="24"/>
          <w:szCs w:val="24"/>
        </w:rPr>
        <w:t>Kopējā 2019.gada valsts budžeta aizdevumu palielinājuma ietvaros n</w:t>
      </w:r>
      <w:r w:rsidRPr="007C686B">
        <w:rPr>
          <w:sz w:val="24"/>
          <w:szCs w:val="24"/>
          <w:lang w:eastAsia="lv-LV"/>
        </w:rPr>
        <w:t xml:space="preserve">oteikt pašvaldību aizņēmumu kopējo palielinājumu 25,5 </w:t>
      </w:r>
      <w:proofErr w:type="spellStart"/>
      <w:r w:rsidRPr="007C686B">
        <w:rPr>
          <w:i/>
          <w:sz w:val="24"/>
          <w:szCs w:val="24"/>
          <w:lang w:eastAsia="lv-LV"/>
        </w:rPr>
        <w:t>euro</w:t>
      </w:r>
      <w:proofErr w:type="spellEnd"/>
      <w:r w:rsidRPr="007C686B">
        <w:rPr>
          <w:sz w:val="24"/>
          <w:szCs w:val="24"/>
          <w:lang w:eastAsia="lv-LV"/>
        </w:rPr>
        <w:t xml:space="preserve"> apmērā </w:t>
      </w:r>
      <w:r w:rsidRPr="007C686B">
        <w:rPr>
          <w:sz w:val="24"/>
          <w:szCs w:val="24"/>
        </w:rPr>
        <w:t>projekta „Mežaparka Lielās estrādes rekonstrukcija” īstenošanai.</w:t>
      </w:r>
    </w:p>
    <w:p w:rsidR="00BA20A9" w:rsidRPr="006C2B4E" w:rsidRDefault="00BA20A9" w:rsidP="00BA20A9">
      <w:pPr>
        <w:pStyle w:val="ListParagraph"/>
        <w:numPr>
          <w:ilvl w:val="0"/>
          <w:numId w:val="47"/>
        </w:numPr>
        <w:tabs>
          <w:tab w:val="left" w:pos="851"/>
        </w:tabs>
        <w:ind w:left="0" w:firstLine="567"/>
        <w:jc w:val="both"/>
        <w:rPr>
          <w:bCs/>
          <w:sz w:val="24"/>
          <w:szCs w:val="24"/>
          <w:lang w:eastAsia="lv-LV"/>
        </w:rPr>
      </w:pPr>
      <w:r w:rsidRPr="006C2B4E">
        <w:rPr>
          <w:rFonts w:eastAsia="Calibri"/>
          <w:sz w:val="24"/>
          <w:szCs w:val="24"/>
        </w:rPr>
        <w:t xml:space="preserve">Saglabāt 2018.gada budžetā noteikto nosacījumu, ka </w:t>
      </w:r>
      <w:r w:rsidRPr="006C2B4E">
        <w:rPr>
          <w:color w:val="000000"/>
          <w:sz w:val="24"/>
          <w:szCs w:val="24"/>
        </w:rPr>
        <w:t xml:space="preserve">netiek noteikti mērķi pašvaldību galvojumiem </w:t>
      </w:r>
      <w:r w:rsidRPr="006C2B4E">
        <w:rPr>
          <w:sz w:val="24"/>
          <w:szCs w:val="24"/>
        </w:rPr>
        <w:t xml:space="preserve">savu kapitālsabiedrību aizņēmumiem investīciju projektu īstenošanai. </w:t>
      </w:r>
    </w:p>
    <w:p w:rsidR="00BA20A9" w:rsidRPr="006C2B4E" w:rsidRDefault="00BA20A9" w:rsidP="00BA20A9">
      <w:pPr>
        <w:pStyle w:val="ListParagraph"/>
        <w:numPr>
          <w:ilvl w:val="0"/>
          <w:numId w:val="47"/>
        </w:numPr>
        <w:tabs>
          <w:tab w:val="left" w:pos="851"/>
        </w:tabs>
        <w:ind w:left="0" w:firstLine="567"/>
        <w:jc w:val="both"/>
        <w:rPr>
          <w:bCs/>
          <w:sz w:val="24"/>
          <w:szCs w:val="24"/>
          <w:lang w:eastAsia="lv-LV"/>
        </w:rPr>
      </w:pPr>
      <w:r w:rsidRPr="006C2B4E">
        <w:rPr>
          <w:rFonts w:eastAsia="Calibri"/>
          <w:sz w:val="24"/>
          <w:szCs w:val="24"/>
        </w:rPr>
        <w:t xml:space="preserve">Saglabāt 2018.gada budžetā noteiktos izņēmuma gadījumus, kādos pašvaldībām 2019.gadā ir tiesības uzņemties citas ilgtermiņa saistības atbilstoši likuma “Par pašvaldību budžetiem” 22. pantam. </w:t>
      </w:r>
    </w:p>
    <w:p w:rsidR="00990236" w:rsidRPr="00B86D48" w:rsidRDefault="00990236" w:rsidP="0039092F">
      <w:pPr>
        <w:ind w:firstLine="567"/>
        <w:rPr>
          <w:sz w:val="24"/>
          <w:szCs w:val="24"/>
        </w:rPr>
      </w:pPr>
    </w:p>
    <w:p w:rsidR="00B8188C" w:rsidRPr="00B86D48" w:rsidRDefault="00B8188C" w:rsidP="00B8188C">
      <w:pPr>
        <w:tabs>
          <w:tab w:val="left" w:pos="851"/>
        </w:tabs>
        <w:ind w:firstLine="567"/>
        <w:jc w:val="both"/>
        <w:rPr>
          <w:sz w:val="24"/>
          <w:szCs w:val="24"/>
        </w:rPr>
      </w:pPr>
    </w:p>
    <w:p w:rsidR="00436629" w:rsidRPr="003212D3" w:rsidRDefault="00436629" w:rsidP="00581481">
      <w:pPr>
        <w:pStyle w:val="BodyText"/>
        <w:shd w:val="clear" w:color="auto" w:fill="FFFFFF"/>
        <w:jc w:val="center"/>
        <w:rPr>
          <w:rFonts w:ascii="Times New Roman" w:hAnsi="Times New Roman"/>
          <w:b/>
          <w:bCs/>
          <w:sz w:val="24"/>
          <w:szCs w:val="24"/>
        </w:rPr>
      </w:pPr>
      <w:r w:rsidRPr="00B86D48">
        <w:rPr>
          <w:rFonts w:ascii="Times New Roman" w:hAnsi="Times New Roman"/>
          <w:b/>
          <w:bCs/>
          <w:sz w:val="24"/>
          <w:szCs w:val="24"/>
        </w:rPr>
        <w:t>4. Pašvaldību finanšu izlīdzināšana</w:t>
      </w:r>
      <w:r w:rsidRPr="003212D3">
        <w:rPr>
          <w:rFonts w:ascii="Times New Roman" w:hAnsi="Times New Roman"/>
          <w:b/>
          <w:bCs/>
          <w:sz w:val="24"/>
          <w:szCs w:val="24"/>
        </w:rPr>
        <w:t xml:space="preserve"> </w:t>
      </w:r>
    </w:p>
    <w:p w:rsidR="00436629" w:rsidRPr="003212D3" w:rsidRDefault="00436629" w:rsidP="00436629">
      <w:pPr>
        <w:shd w:val="clear" w:color="auto" w:fill="FFFFFF"/>
        <w:ind w:firstLine="567"/>
        <w:jc w:val="both"/>
        <w:rPr>
          <w:b/>
          <w:bCs/>
          <w:sz w:val="24"/>
          <w:szCs w:val="24"/>
        </w:rPr>
      </w:pPr>
    </w:p>
    <w:p w:rsidR="00FA5477" w:rsidRPr="006C3414" w:rsidRDefault="00DA43D3" w:rsidP="00FA5477">
      <w:pPr>
        <w:ind w:firstLine="567"/>
        <w:rPr>
          <w:b/>
          <w:sz w:val="24"/>
          <w:szCs w:val="24"/>
        </w:rPr>
      </w:pPr>
      <w:r>
        <w:rPr>
          <w:b/>
          <w:sz w:val="24"/>
          <w:szCs w:val="24"/>
        </w:rPr>
        <w:t>Puses vienojas</w:t>
      </w:r>
      <w:r w:rsidR="00FA5477" w:rsidRPr="006C3414">
        <w:rPr>
          <w:b/>
          <w:sz w:val="24"/>
          <w:szCs w:val="24"/>
        </w:rPr>
        <w:t>:</w:t>
      </w:r>
    </w:p>
    <w:p w:rsidR="003E0225" w:rsidRPr="0067126C" w:rsidRDefault="003E0225" w:rsidP="00381BBA">
      <w:pPr>
        <w:pStyle w:val="ListParagraph"/>
        <w:shd w:val="clear" w:color="auto" w:fill="FFFFFF"/>
        <w:ind w:left="0" w:firstLine="567"/>
        <w:jc w:val="both"/>
        <w:rPr>
          <w:bCs/>
          <w:sz w:val="24"/>
          <w:szCs w:val="24"/>
        </w:rPr>
      </w:pPr>
      <w:r w:rsidRPr="0067126C">
        <w:rPr>
          <w:bCs/>
          <w:sz w:val="24"/>
          <w:szCs w:val="24"/>
        </w:rPr>
        <w:t>Dotācijas apmēru par personu, k</w:t>
      </w:r>
      <w:r w:rsidR="00381BBA" w:rsidRPr="0067126C">
        <w:rPr>
          <w:bCs/>
          <w:sz w:val="24"/>
          <w:szCs w:val="24"/>
        </w:rPr>
        <w:t>ura</w:t>
      </w:r>
      <w:r w:rsidRPr="0067126C">
        <w:rPr>
          <w:bCs/>
          <w:sz w:val="24"/>
          <w:szCs w:val="24"/>
        </w:rPr>
        <w:t xml:space="preserve"> ievietota </w:t>
      </w:r>
      <w:r w:rsidR="00381BBA" w:rsidRPr="0067126C">
        <w:rPr>
          <w:bCs/>
          <w:sz w:val="24"/>
          <w:szCs w:val="24"/>
        </w:rPr>
        <w:t>sociālās aprūpes centrā</w:t>
      </w:r>
      <w:r w:rsidRPr="0067126C">
        <w:rPr>
          <w:bCs/>
          <w:sz w:val="24"/>
          <w:szCs w:val="24"/>
        </w:rPr>
        <w:t xml:space="preserve"> līdz 1998.gada 1.janvārim, noteikt </w:t>
      </w:r>
      <w:r w:rsidR="00381BBA" w:rsidRPr="0067126C">
        <w:rPr>
          <w:bCs/>
          <w:sz w:val="24"/>
          <w:szCs w:val="24"/>
        </w:rPr>
        <w:t>5 2</w:t>
      </w:r>
      <w:r w:rsidR="006F0F56">
        <w:rPr>
          <w:bCs/>
          <w:sz w:val="24"/>
          <w:szCs w:val="24"/>
        </w:rPr>
        <w:t>20</w:t>
      </w:r>
      <w:r w:rsidR="00381BBA" w:rsidRPr="0067126C">
        <w:rPr>
          <w:bCs/>
          <w:sz w:val="24"/>
          <w:szCs w:val="24"/>
        </w:rPr>
        <w:t xml:space="preserve"> </w:t>
      </w:r>
      <w:proofErr w:type="spellStart"/>
      <w:r w:rsidR="00381BBA" w:rsidRPr="0067126C">
        <w:rPr>
          <w:bCs/>
          <w:i/>
          <w:sz w:val="24"/>
          <w:szCs w:val="24"/>
        </w:rPr>
        <w:t>euro</w:t>
      </w:r>
      <w:proofErr w:type="spellEnd"/>
      <w:r w:rsidR="00381BBA" w:rsidRPr="0067126C">
        <w:rPr>
          <w:bCs/>
          <w:sz w:val="24"/>
          <w:szCs w:val="24"/>
        </w:rPr>
        <w:t xml:space="preserve"> </w:t>
      </w:r>
      <w:r w:rsidR="00724241" w:rsidRPr="0067126C">
        <w:rPr>
          <w:bCs/>
          <w:sz w:val="24"/>
          <w:szCs w:val="24"/>
        </w:rPr>
        <w:t>apmērā</w:t>
      </w:r>
      <w:r w:rsidR="00381BBA" w:rsidRPr="0067126C">
        <w:rPr>
          <w:bCs/>
          <w:sz w:val="24"/>
          <w:szCs w:val="24"/>
        </w:rPr>
        <w:t xml:space="preserve"> </w:t>
      </w:r>
      <w:r w:rsidR="00D01617" w:rsidRPr="0067126C">
        <w:rPr>
          <w:bCs/>
          <w:sz w:val="24"/>
          <w:szCs w:val="24"/>
        </w:rPr>
        <w:t>(</w:t>
      </w:r>
      <w:r w:rsidR="00381BBA" w:rsidRPr="0067126C">
        <w:rPr>
          <w:bCs/>
          <w:sz w:val="24"/>
          <w:szCs w:val="24"/>
        </w:rPr>
        <w:t>43</w:t>
      </w:r>
      <w:r w:rsidR="006F0F56">
        <w:rPr>
          <w:bCs/>
          <w:sz w:val="24"/>
          <w:szCs w:val="24"/>
        </w:rPr>
        <w:t>5</w:t>
      </w:r>
      <w:r w:rsidRPr="0067126C">
        <w:rPr>
          <w:bCs/>
          <w:sz w:val="24"/>
          <w:szCs w:val="24"/>
        </w:rPr>
        <w:t xml:space="preserve"> </w:t>
      </w:r>
      <w:proofErr w:type="spellStart"/>
      <w:r w:rsidRPr="0067126C">
        <w:rPr>
          <w:bCs/>
          <w:i/>
          <w:sz w:val="24"/>
          <w:szCs w:val="24"/>
        </w:rPr>
        <w:t>euro</w:t>
      </w:r>
      <w:proofErr w:type="spellEnd"/>
      <w:r w:rsidR="00381BBA" w:rsidRPr="0067126C">
        <w:rPr>
          <w:bCs/>
          <w:sz w:val="24"/>
          <w:szCs w:val="24"/>
        </w:rPr>
        <w:t xml:space="preserve"> mēnesī</w:t>
      </w:r>
      <w:r w:rsidR="00D01617" w:rsidRPr="0067126C">
        <w:rPr>
          <w:bCs/>
          <w:sz w:val="24"/>
          <w:szCs w:val="24"/>
        </w:rPr>
        <w:t>).</w:t>
      </w:r>
    </w:p>
    <w:p w:rsidR="003E0225" w:rsidRPr="00787905" w:rsidRDefault="003E0225" w:rsidP="00F82DB3">
      <w:pPr>
        <w:pStyle w:val="ListParagraph"/>
        <w:shd w:val="clear" w:color="auto" w:fill="FFFFFF"/>
        <w:ind w:left="0" w:firstLine="567"/>
        <w:jc w:val="both"/>
        <w:rPr>
          <w:bCs/>
          <w:sz w:val="24"/>
          <w:szCs w:val="24"/>
        </w:rPr>
      </w:pPr>
    </w:p>
    <w:p w:rsidR="00591997" w:rsidRDefault="00591997" w:rsidP="00436629">
      <w:pPr>
        <w:jc w:val="center"/>
        <w:rPr>
          <w:b/>
          <w:sz w:val="24"/>
          <w:szCs w:val="24"/>
        </w:rPr>
      </w:pPr>
    </w:p>
    <w:p w:rsidR="009F46C9" w:rsidRDefault="009F46C9" w:rsidP="00436629">
      <w:pPr>
        <w:jc w:val="center"/>
        <w:rPr>
          <w:b/>
          <w:sz w:val="24"/>
          <w:szCs w:val="24"/>
        </w:rPr>
      </w:pPr>
    </w:p>
    <w:p w:rsidR="009F46C9" w:rsidRDefault="009F46C9" w:rsidP="00436629">
      <w:pPr>
        <w:jc w:val="center"/>
        <w:rPr>
          <w:b/>
          <w:sz w:val="24"/>
          <w:szCs w:val="24"/>
        </w:rPr>
      </w:pPr>
    </w:p>
    <w:p w:rsidR="009F46C9" w:rsidRDefault="009F46C9" w:rsidP="00436629">
      <w:pPr>
        <w:jc w:val="center"/>
        <w:rPr>
          <w:b/>
          <w:sz w:val="24"/>
          <w:szCs w:val="24"/>
        </w:rPr>
      </w:pPr>
    </w:p>
    <w:p w:rsidR="009F46C9" w:rsidRDefault="009F46C9" w:rsidP="00436629">
      <w:pPr>
        <w:jc w:val="center"/>
        <w:rPr>
          <w:b/>
          <w:sz w:val="24"/>
          <w:szCs w:val="24"/>
        </w:rPr>
      </w:pPr>
    </w:p>
    <w:p w:rsidR="00436629" w:rsidRPr="0037603B" w:rsidRDefault="00334E7C" w:rsidP="00436629">
      <w:pPr>
        <w:jc w:val="center"/>
        <w:rPr>
          <w:b/>
          <w:sz w:val="24"/>
          <w:szCs w:val="24"/>
        </w:rPr>
      </w:pPr>
      <w:r w:rsidRPr="003212D3">
        <w:rPr>
          <w:b/>
          <w:sz w:val="24"/>
          <w:szCs w:val="24"/>
        </w:rPr>
        <w:lastRenderedPageBreak/>
        <w:t>5</w:t>
      </w:r>
      <w:r w:rsidR="00436629" w:rsidRPr="003212D3">
        <w:rPr>
          <w:b/>
          <w:sz w:val="24"/>
          <w:szCs w:val="24"/>
        </w:rPr>
        <w:t>. Nozaru ministriju jautājumi</w:t>
      </w:r>
    </w:p>
    <w:p w:rsidR="00436629" w:rsidRPr="0037603B" w:rsidRDefault="00436629" w:rsidP="00436629">
      <w:pPr>
        <w:ind w:firstLine="567"/>
        <w:jc w:val="both"/>
        <w:rPr>
          <w:b/>
          <w:color w:val="000000"/>
          <w:sz w:val="24"/>
          <w:szCs w:val="24"/>
          <w:u w:val="single"/>
          <w:lang w:eastAsia="lv-LV"/>
        </w:rPr>
      </w:pPr>
    </w:p>
    <w:p w:rsidR="00CF34C2" w:rsidRPr="006C3414" w:rsidRDefault="00CF34C2" w:rsidP="00CF34C2">
      <w:pPr>
        <w:ind w:firstLine="567"/>
        <w:jc w:val="both"/>
        <w:rPr>
          <w:b/>
          <w:sz w:val="24"/>
          <w:szCs w:val="24"/>
          <w:u w:val="single"/>
          <w:lang w:eastAsia="lv-LV"/>
        </w:rPr>
      </w:pPr>
      <w:r w:rsidRPr="006C3414">
        <w:rPr>
          <w:b/>
          <w:sz w:val="24"/>
          <w:szCs w:val="24"/>
          <w:u w:val="single"/>
          <w:lang w:eastAsia="lv-LV"/>
        </w:rPr>
        <w:t>Ekonomikas ministrijas jomā:</w:t>
      </w:r>
      <w:r w:rsidR="00CA7D86">
        <w:rPr>
          <w:b/>
          <w:sz w:val="24"/>
          <w:szCs w:val="24"/>
          <w:u w:val="single"/>
          <w:lang w:eastAsia="lv-LV"/>
        </w:rPr>
        <w:t xml:space="preserve"> </w:t>
      </w:r>
    </w:p>
    <w:p w:rsidR="00CF34C2" w:rsidRPr="006C3414" w:rsidRDefault="00CF34C2" w:rsidP="00CF34C2">
      <w:pPr>
        <w:ind w:firstLine="567"/>
        <w:rPr>
          <w:b/>
          <w:sz w:val="24"/>
          <w:szCs w:val="24"/>
        </w:rPr>
      </w:pPr>
    </w:p>
    <w:p w:rsidR="00CF34C2" w:rsidRPr="006C3414" w:rsidRDefault="00CF34C2" w:rsidP="00CF34C2">
      <w:pPr>
        <w:ind w:firstLine="567"/>
        <w:rPr>
          <w:b/>
          <w:sz w:val="24"/>
          <w:szCs w:val="24"/>
        </w:rPr>
      </w:pPr>
      <w:r w:rsidRPr="006C3414">
        <w:rPr>
          <w:b/>
          <w:sz w:val="24"/>
          <w:szCs w:val="24"/>
        </w:rPr>
        <w:t>Latvijas Pašvaldības savienības viedoklis:</w:t>
      </w:r>
    </w:p>
    <w:p w:rsidR="00341E6B" w:rsidRPr="00341E6B" w:rsidRDefault="00341E6B" w:rsidP="00341E6B">
      <w:pPr>
        <w:shd w:val="clear" w:color="auto" w:fill="FFFFFF"/>
        <w:ind w:firstLine="567"/>
        <w:jc w:val="both"/>
        <w:rPr>
          <w:bCs/>
          <w:sz w:val="24"/>
          <w:szCs w:val="24"/>
        </w:rPr>
      </w:pPr>
      <w:r w:rsidRPr="00341E6B">
        <w:rPr>
          <w:bCs/>
          <w:sz w:val="24"/>
          <w:szCs w:val="24"/>
        </w:rPr>
        <w:t>Atbilstoši likuma “Par palīdzību dzīvokļa jautājumu risināšanā” 26.</w:t>
      </w:r>
      <w:r w:rsidRPr="00341E6B">
        <w:rPr>
          <w:bCs/>
          <w:sz w:val="24"/>
          <w:szCs w:val="24"/>
          <w:vertAlign w:val="superscript"/>
        </w:rPr>
        <w:t xml:space="preserve">1 </w:t>
      </w:r>
      <w:r w:rsidRPr="00341E6B">
        <w:rPr>
          <w:bCs/>
          <w:sz w:val="24"/>
          <w:szCs w:val="24"/>
        </w:rPr>
        <w:t xml:space="preserve">pantam dzīvojamās telpas atbrīvošanas pabalstu izmaksājušas 9 pašvaldības 4,5 milj. </w:t>
      </w:r>
      <w:proofErr w:type="spellStart"/>
      <w:r w:rsidRPr="00341E6B">
        <w:rPr>
          <w:bCs/>
          <w:i/>
          <w:sz w:val="24"/>
          <w:szCs w:val="24"/>
        </w:rPr>
        <w:t>euro</w:t>
      </w:r>
      <w:proofErr w:type="spellEnd"/>
      <w:r w:rsidRPr="00341E6B">
        <w:rPr>
          <w:bCs/>
          <w:sz w:val="24"/>
          <w:szCs w:val="24"/>
        </w:rPr>
        <w:t xml:space="preserve"> apmērā, t. sk. Rīga – 4,35 milj. </w:t>
      </w:r>
      <w:proofErr w:type="spellStart"/>
      <w:r w:rsidRPr="00341E6B">
        <w:rPr>
          <w:bCs/>
          <w:i/>
          <w:sz w:val="24"/>
          <w:szCs w:val="24"/>
        </w:rPr>
        <w:t>euro</w:t>
      </w:r>
      <w:proofErr w:type="spellEnd"/>
      <w:r w:rsidRPr="00341E6B">
        <w:rPr>
          <w:bCs/>
          <w:sz w:val="24"/>
          <w:szCs w:val="24"/>
        </w:rPr>
        <w:t xml:space="preserve">, Ogres novada pašvaldība – </w:t>
      </w:r>
      <w:r>
        <w:rPr>
          <w:bCs/>
          <w:sz w:val="24"/>
          <w:szCs w:val="24"/>
        </w:rPr>
        <w:t>0,</w:t>
      </w:r>
      <w:r w:rsidRPr="00341E6B">
        <w:rPr>
          <w:bCs/>
          <w:sz w:val="24"/>
          <w:szCs w:val="24"/>
        </w:rPr>
        <w:t>1</w:t>
      </w:r>
      <w:r>
        <w:rPr>
          <w:bCs/>
          <w:sz w:val="24"/>
          <w:szCs w:val="24"/>
        </w:rPr>
        <w:t>1</w:t>
      </w:r>
      <w:r w:rsidRPr="00341E6B">
        <w:rPr>
          <w:bCs/>
          <w:sz w:val="24"/>
          <w:szCs w:val="24"/>
        </w:rPr>
        <w:t xml:space="preserve"> </w:t>
      </w:r>
      <w:r>
        <w:rPr>
          <w:bCs/>
          <w:sz w:val="24"/>
          <w:szCs w:val="24"/>
        </w:rPr>
        <w:t xml:space="preserve">milj. </w:t>
      </w:r>
      <w:proofErr w:type="spellStart"/>
      <w:r w:rsidRPr="00272A83">
        <w:rPr>
          <w:bCs/>
          <w:i/>
          <w:sz w:val="24"/>
          <w:szCs w:val="24"/>
        </w:rPr>
        <w:t>euro</w:t>
      </w:r>
      <w:proofErr w:type="spellEnd"/>
      <w:r w:rsidRPr="00341E6B">
        <w:rPr>
          <w:bCs/>
          <w:sz w:val="24"/>
          <w:szCs w:val="24"/>
        </w:rPr>
        <w:t xml:space="preserve">, Tukuma novada pašvaldība – </w:t>
      </w:r>
      <w:r>
        <w:rPr>
          <w:bCs/>
          <w:sz w:val="24"/>
          <w:szCs w:val="24"/>
        </w:rPr>
        <w:t>0,0</w:t>
      </w:r>
      <w:r w:rsidRPr="00341E6B">
        <w:rPr>
          <w:bCs/>
          <w:sz w:val="24"/>
          <w:szCs w:val="24"/>
        </w:rPr>
        <w:t xml:space="preserve">7 </w:t>
      </w:r>
      <w:r>
        <w:rPr>
          <w:bCs/>
          <w:sz w:val="24"/>
          <w:szCs w:val="24"/>
        </w:rPr>
        <w:t xml:space="preserve">milj. </w:t>
      </w:r>
      <w:proofErr w:type="spellStart"/>
      <w:r w:rsidRPr="00341E6B">
        <w:rPr>
          <w:bCs/>
          <w:i/>
          <w:sz w:val="24"/>
          <w:szCs w:val="24"/>
        </w:rPr>
        <w:t>euro</w:t>
      </w:r>
      <w:proofErr w:type="spellEnd"/>
      <w:r w:rsidRPr="00341E6B">
        <w:rPr>
          <w:bCs/>
          <w:sz w:val="24"/>
          <w:szCs w:val="24"/>
        </w:rPr>
        <w:t xml:space="preserve">. </w:t>
      </w:r>
    </w:p>
    <w:p w:rsidR="00341E6B" w:rsidRPr="00341E6B" w:rsidRDefault="00341E6B" w:rsidP="00341E6B">
      <w:pPr>
        <w:shd w:val="clear" w:color="auto" w:fill="FFFFFF"/>
        <w:ind w:firstLine="567"/>
        <w:jc w:val="both"/>
        <w:rPr>
          <w:bCs/>
          <w:sz w:val="24"/>
          <w:szCs w:val="24"/>
        </w:rPr>
      </w:pPr>
      <w:r w:rsidRPr="00341E6B">
        <w:rPr>
          <w:bCs/>
          <w:sz w:val="24"/>
          <w:szCs w:val="24"/>
        </w:rPr>
        <w:t>Lai nodrošinātu finansējumu likuma “Par palīdzību dzīvokļa jautājumu risināšanā” 26.</w:t>
      </w:r>
      <w:r w:rsidRPr="00341E6B">
        <w:rPr>
          <w:bCs/>
          <w:sz w:val="24"/>
          <w:szCs w:val="24"/>
          <w:vertAlign w:val="superscript"/>
        </w:rPr>
        <w:t>2</w:t>
      </w:r>
      <w:r w:rsidRPr="00341E6B">
        <w:rPr>
          <w:bCs/>
          <w:sz w:val="24"/>
          <w:szCs w:val="24"/>
        </w:rPr>
        <w:t xml:space="preserve"> panta pirmajā daļā paredzētā pienākuma – valsts dalības dzīvojamās telpas atbrīvošanas pabalsta finansiālajā nodrošināšanā – izpildi, 2019.gada valsts budžeta šim mērķim paredzēt finansējumu vismaz 4,35 milj. </w:t>
      </w:r>
      <w:proofErr w:type="spellStart"/>
      <w:r w:rsidRPr="00272A83">
        <w:rPr>
          <w:bCs/>
          <w:i/>
          <w:sz w:val="24"/>
          <w:szCs w:val="24"/>
        </w:rPr>
        <w:t>euro</w:t>
      </w:r>
      <w:proofErr w:type="spellEnd"/>
      <w:r w:rsidRPr="00341E6B">
        <w:rPr>
          <w:bCs/>
          <w:sz w:val="24"/>
          <w:szCs w:val="24"/>
        </w:rPr>
        <w:t xml:space="preserve"> apmērā.</w:t>
      </w:r>
    </w:p>
    <w:p w:rsidR="00272A83" w:rsidRDefault="00272A83" w:rsidP="00CF34C2">
      <w:pPr>
        <w:shd w:val="clear" w:color="auto" w:fill="FFFFFF"/>
        <w:ind w:firstLine="567"/>
        <w:jc w:val="both"/>
        <w:rPr>
          <w:b/>
          <w:bCs/>
          <w:sz w:val="24"/>
          <w:szCs w:val="24"/>
        </w:rPr>
      </w:pPr>
    </w:p>
    <w:p w:rsidR="00CF34C2" w:rsidRPr="006C3414" w:rsidRDefault="00CF34C2" w:rsidP="00CF34C2">
      <w:pPr>
        <w:shd w:val="clear" w:color="auto" w:fill="FFFFFF"/>
        <w:ind w:firstLine="567"/>
        <w:jc w:val="both"/>
        <w:rPr>
          <w:b/>
          <w:bCs/>
          <w:sz w:val="24"/>
          <w:szCs w:val="24"/>
        </w:rPr>
      </w:pPr>
      <w:r w:rsidRPr="006C3414">
        <w:rPr>
          <w:b/>
          <w:bCs/>
          <w:sz w:val="24"/>
          <w:szCs w:val="24"/>
        </w:rPr>
        <w:t>Ministru kabineta viedoklis:</w:t>
      </w:r>
    </w:p>
    <w:p w:rsidR="00584395" w:rsidRDefault="00584395" w:rsidP="00EA1D47">
      <w:pPr>
        <w:ind w:firstLine="567"/>
        <w:jc w:val="both"/>
        <w:rPr>
          <w:bCs/>
          <w:sz w:val="24"/>
          <w:szCs w:val="24"/>
        </w:rPr>
      </w:pPr>
      <w:r>
        <w:rPr>
          <w:bCs/>
          <w:sz w:val="24"/>
          <w:szCs w:val="24"/>
        </w:rPr>
        <w:t>Saskaņā ar likuma “</w:t>
      </w:r>
      <w:r w:rsidRPr="006C3414">
        <w:rPr>
          <w:rFonts w:eastAsia="Calibri"/>
          <w:sz w:val="24"/>
          <w:szCs w:val="24"/>
        </w:rPr>
        <w:t>Par palīdzību dzīvokļa jautājumu risināšanā”</w:t>
      </w:r>
      <w:r>
        <w:rPr>
          <w:rFonts w:eastAsia="Calibri"/>
          <w:sz w:val="24"/>
          <w:szCs w:val="24"/>
        </w:rPr>
        <w:t xml:space="preserve"> 26.</w:t>
      </w:r>
      <w:r w:rsidRPr="00584395">
        <w:rPr>
          <w:rFonts w:eastAsia="Calibri"/>
          <w:sz w:val="24"/>
          <w:szCs w:val="24"/>
          <w:vertAlign w:val="superscript"/>
        </w:rPr>
        <w:t>2</w:t>
      </w:r>
      <w:r>
        <w:rPr>
          <w:rFonts w:eastAsia="Calibri"/>
          <w:sz w:val="24"/>
          <w:szCs w:val="24"/>
        </w:rPr>
        <w:t xml:space="preserve"> pantu v</w:t>
      </w:r>
      <w:r w:rsidRPr="00584395">
        <w:rPr>
          <w:bCs/>
          <w:sz w:val="24"/>
          <w:szCs w:val="24"/>
        </w:rPr>
        <w:t>alsts piešķir pašvaldībām mērķdotāciju dzīvojamās telpas atbrīvošanas pabalsta izmaksu nodrošināšanai atbilstoši gadskārtējā valsts budžetā paredzētajiem līdzekļiem</w:t>
      </w:r>
      <w:r>
        <w:rPr>
          <w:bCs/>
          <w:sz w:val="24"/>
          <w:szCs w:val="24"/>
        </w:rPr>
        <w:t xml:space="preserve">. Likumprojektā “Par valsts budžetu 2019.gadam” finansējums </w:t>
      </w:r>
      <w:r w:rsidR="00472D4D" w:rsidRPr="00584395">
        <w:rPr>
          <w:bCs/>
          <w:sz w:val="24"/>
          <w:szCs w:val="24"/>
        </w:rPr>
        <w:t xml:space="preserve">dzīvojamās telpas atbrīvošanas pabalsta izmaksu nodrošināšanai </w:t>
      </w:r>
      <w:r>
        <w:rPr>
          <w:bCs/>
          <w:sz w:val="24"/>
          <w:szCs w:val="24"/>
        </w:rPr>
        <w:t>nav paredzēts.</w:t>
      </w:r>
    </w:p>
    <w:p w:rsidR="00CF34C2" w:rsidRPr="006C3414" w:rsidRDefault="00CF34C2" w:rsidP="00CF34C2">
      <w:pPr>
        <w:tabs>
          <w:tab w:val="left" w:pos="567"/>
        </w:tabs>
        <w:ind w:right="-96" w:firstLine="567"/>
        <w:jc w:val="both"/>
        <w:rPr>
          <w:sz w:val="24"/>
          <w:szCs w:val="24"/>
          <w:lang w:eastAsia="lv-LV"/>
        </w:rPr>
      </w:pPr>
    </w:p>
    <w:p w:rsidR="00CF34C2" w:rsidRPr="006C3414" w:rsidRDefault="005D166E" w:rsidP="00CF34C2">
      <w:pPr>
        <w:shd w:val="clear" w:color="auto" w:fill="FFFFFF"/>
        <w:ind w:firstLine="567"/>
        <w:jc w:val="both"/>
        <w:rPr>
          <w:b/>
          <w:bCs/>
          <w:sz w:val="24"/>
          <w:szCs w:val="24"/>
        </w:rPr>
      </w:pPr>
      <w:r>
        <w:rPr>
          <w:b/>
          <w:bCs/>
          <w:sz w:val="24"/>
          <w:szCs w:val="24"/>
        </w:rPr>
        <w:t>Puses vienojas</w:t>
      </w:r>
      <w:r w:rsidR="00CF34C2" w:rsidRPr="006C3414">
        <w:rPr>
          <w:b/>
          <w:bCs/>
          <w:sz w:val="24"/>
          <w:szCs w:val="24"/>
        </w:rPr>
        <w:t>:</w:t>
      </w:r>
    </w:p>
    <w:p w:rsidR="008E13F1" w:rsidRPr="005D166E" w:rsidRDefault="008E13F1" w:rsidP="005D166E">
      <w:pPr>
        <w:tabs>
          <w:tab w:val="left" w:pos="567"/>
          <w:tab w:val="left" w:pos="851"/>
        </w:tabs>
        <w:ind w:firstLine="567"/>
        <w:jc w:val="both"/>
        <w:rPr>
          <w:sz w:val="24"/>
          <w:szCs w:val="24"/>
          <w:lang w:eastAsia="lv-LV"/>
        </w:rPr>
      </w:pPr>
      <w:r w:rsidRPr="005D166E">
        <w:rPr>
          <w:sz w:val="24"/>
          <w:szCs w:val="24"/>
          <w:lang w:eastAsia="lv-LV"/>
        </w:rPr>
        <w:t>Ekonomikas ministrijai pēc likuma "Grozījumi likumā "Par palīdzību dzīvokļu jautājumu risināšanā"" spēkā stāšanās un saskaņojuma saņemšanas no Eiropas Komisijas par atbilstību komercdarbības atbalsta kontroles regulējumam iesniegs izskatīšanai Ministru kabineta sēdē noteikumu projektu "Noteikumi par aizdevumiem dzīvojamo īres māju būvniecībai, atjaunošanai, pārbūvei vai jaunuzceltu, atjaunotu vai pārbūvētu dzīvojamo īres māju iegādei";</w:t>
      </w:r>
    </w:p>
    <w:p w:rsidR="008E13F1" w:rsidRDefault="008E13F1" w:rsidP="005D166E">
      <w:pPr>
        <w:tabs>
          <w:tab w:val="left" w:pos="567"/>
          <w:tab w:val="left" w:pos="851"/>
        </w:tabs>
        <w:ind w:firstLine="567"/>
        <w:jc w:val="both"/>
        <w:rPr>
          <w:sz w:val="24"/>
          <w:szCs w:val="24"/>
          <w:lang w:eastAsia="lv-LV"/>
        </w:rPr>
      </w:pPr>
      <w:r w:rsidRPr="005D166E">
        <w:rPr>
          <w:sz w:val="24"/>
          <w:szCs w:val="24"/>
          <w:lang w:eastAsia="lv-LV"/>
        </w:rPr>
        <w:t xml:space="preserve">Finanšu ministrijai likumprojektā "Par valsts budžetu 2019.gadam" noteikt, ka pašvaldības galvojums, kas sniegts savu kapitālsabiedrību aizņēmumam dzīvojamo īres māju būvniecībai, atjaunošanai, pārbūvei vai jaunuzceltu, atjaunotu vai pārbūvētu dzīvojamo īres māju iegādei, saistību apmērā (aizņēmumu, galvojumu un citas ilgtermiņa saistību apmērā pret 2019.gada pamatbudžeta ieņēmumiem bez valsts budžeta </w:t>
      </w:r>
      <w:proofErr w:type="spellStart"/>
      <w:r w:rsidRPr="005D166E">
        <w:rPr>
          <w:sz w:val="24"/>
          <w:szCs w:val="24"/>
          <w:lang w:eastAsia="lv-LV"/>
        </w:rPr>
        <w:t>transfertiem</w:t>
      </w:r>
      <w:proofErr w:type="spellEnd"/>
      <w:r w:rsidRPr="005D166E">
        <w:rPr>
          <w:sz w:val="24"/>
          <w:szCs w:val="24"/>
          <w:lang w:eastAsia="lv-LV"/>
        </w:rPr>
        <w:t xml:space="preserve"> noteikta mērķa finansēšanai  un iemaksām pašvaldību finanšu izlīdzināšanas fondā) </w:t>
      </w:r>
      <w:r w:rsidR="00C56ADB" w:rsidRPr="0044684F">
        <w:rPr>
          <w:sz w:val="24"/>
          <w:szCs w:val="24"/>
          <w:lang w:eastAsia="lv-LV"/>
        </w:rPr>
        <w:t>iekļau</w:t>
      </w:r>
      <w:r w:rsidR="009406AC" w:rsidRPr="0044684F">
        <w:rPr>
          <w:sz w:val="24"/>
          <w:szCs w:val="24"/>
          <w:lang w:eastAsia="lv-LV"/>
        </w:rPr>
        <w:t>j</w:t>
      </w:r>
      <w:r w:rsidRPr="005D166E">
        <w:rPr>
          <w:sz w:val="24"/>
          <w:szCs w:val="24"/>
          <w:lang w:eastAsia="lv-LV"/>
        </w:rPr>
        <w:t xml:space="preserve"> 75% apmērā no galvotās aizņēmuma summas.</w:t>
      </w:r>
    </w:p>
    <w:p w:rsidR="005D166E" w:rsidRDefault="005D166E" w:rsidP="005D166E">
      <w:pPr>
        <w:tabs>
          <w:tab w:val="left" w:pos="567"/>
          <w:tab w:val="left" w:pos="851"/>
        </w:tabs>
        <w:ind w:firstLine="567"/>
        <w:jc w:val="both"/>
        <w:rPr>
          <w:sz w:val="24"/>
          <w:szCs w:val="24"/>
          <w:lang w:eastAsia="lv-LV"/>
        </w:rPr>
      </w:pPr>
    </w:p>
    <w:p w:rsidR="005D166E" w:rsidRPr="005D166E" w:rsidRDefault="005D166E" w:rsidP="005D166E">
      <w:pPr>
        <w:ind w:firstLine="567"/>
        <w:rPr>
          <w:rFonts w:eastAsia="Calibri"/>
          <w:b/>
          <w:bCs/>
          <w:sz w:val="24"/>
          <w:szCs w:val="24"/>
        </w:rPr>
      </w:pPr>
      <w:r w:rsidRPr="005D166E">
        <w:rPr>
          <w:rFonts w:eastAsia="Calibri"/>
          <w:b/>
          <w:bCs/>
          <w:sz w:val="24"/>
          <w:szCs w:val="24"/>
        </w:rPr>
        <w:t>Latvijas Pašvaldības savienības viedoklis:</w:t>
      </w:r>
    </w:p>
    <w:p w:rsidR="005D166E" w:rsidRPr="005D166E" w:rsidRDefault="005D166E" w:rsidP="005D166E">
      <w:pPr>
        <w:autoSpaceDE w:val="0"/>
        <w:autoSpaceDN w:val="0"/>
        <w:ind w:firstLine="567"/>
        <w:jc w:val="both"/>
        <w:rPr>
          <w:rFonts w:eastAsia="Calibri"/>
          <w:sz w:val="24"/>
          <w:szCs w:val="24"/>
        </w:rPr>
      </w:pPr>
      <w:r w:rsidRPr="005D166E">
        <w:rPr>
          <w:rFonts w:eastAsia="Calibri"/>
          <w:sz w:val="24"/>
          <w:szCs w:val="24"/>
        </w:rPr>
        <w:t>Lai nodrošinātu iedzīvotajiem kvalitatīvu un pieejamāku mājokli reģ</w:t>
      </w:r>
      <w:r w:rsidRPr="00B86D48">
        <w:rPr>
          <w:rFonts w:eastAsia="Calibri"/>
          <w:sz w:val="24"/>
          <w:szCs w:val="24"/>
        </w:rPr>
        <w:t>ionos, 2019.</w:t>
      </w:r>
      <w:r w:rsidRPr="005D166E">
        <w:rPr>
          <w:rFonts w:eastAsia="Calibri"/>
          <w:sz w:val="24"/>
          <w:szCs w:val="24"/>
        </w:rPr>
        <w:t>gadā paredzēt valsts atbalsta programmu pašvaldību kapitālsabiedrībām jaunu īres māju būvniecībai atbilstoši Deklarācijas par Artura Krišjāņa Kariņa vadītā Ministr</w:t>
      </w:r>
      <w:r w:rsidR="0039092F" w:rsidRPr="00B86D48">
        <w:rPr>
          <w:rFonts w:eastAsia="Calibri"/>
          <w:sz w:val="24"/>
          <w:szCs w:val="24"/>
        </w:rPr>
        <w:t>u kabineta iecerēto darbību 51.punktam.</w:t>
      </w:r>
    </w:p>
    <w:p w:rsidR="005D166E" w:rsidRPr="005D166E" w:rsidRDefault="005D166E" w:rsidP="005D166E">
      <w:pPr>
        <w:ind w:firstLine="556"/>
        <w:jc w:val="both"/>
        <w:rPr>
          <w:rFonts w:eastAsia="Calibri"/>
          <w:sz w:val="24"/>
          <w:szCs w:val="24"/>
        </w:rPr>
      </w:pPr>
      <w:r w:rsidRPr="005D166E">
        <w:rPr>
          <w:rFonts w:eastAsia="Calibri"/>
          <w:sz w:val="24"/>
          <w:szCs w:val="24"/>
        </w:rPr>
        <w:t>Līdz š.g. 31.augustam Finanšu ministrijai un Ekonomikas ministrijai sadarbībā ar pašvaldībām izvērtēt:</w:t>
      </w:r>
    </w:p>
    <w:p w:rsidR="005D166E" w:rsidRPr="005D166E" w:rsidRDefault="005D166E" w:rsidP="0039092F">
      <w:pPr>
        <w:numPr>
          <w:ilvl w:val="1"/>
          <w:numId w:val="33"/>
        </w:numPr>
        <w:tabs>
          <w:tab w:val="left" w:pos="851"/>
        </w:tabs>
        <w:ind w:left="1134" w:hanging="567"/>
        <w:contextualSpacing/>
        <w:jc w:val="both"/>
        <w:rPr>
          <w:rFonts w:eastAsia="Calibri"/>
          <w:sz w:val="24"/>
          <w:szCs w:val="24"/>
        </w:rPr>
      </w:pPr>
      <w:r w:rsidRPr="005D166E">
        <w:rPr>
          <w:rFonts w:eastAsia="Calibri"/>
          <w:sz w:val="24"/>
          <w:szCs w:val="24"/>
        </w:rPr>
        <w:t xml:space="preserve">iespēju piemērot valsts atbalstu </w:t>
      </w:r>
      <w:proofErr w:type="spellStart"/>
      <w:r w:rsidRPr="005D166E">
        <w:rPr>
          <w:rFonts w:eastAsia="Calibri"/>
          <w:sz w:val="24"/>
          <w:szCs w:val="24"/>
        </w:rPr>
        <w:t>granta</w:t>
      </w:r>
      <w:proofErr w:type="spellEnd"/>
      <w:r w:rsidRPr="005D166E">
        <w:rPr>
          <w:rFonts w:eastAsia="Calibri"/>
          <w:sz w:val="24"/>
          <w:szCs w:val="24"/>
        </w:rPr>
        <w:t xml:space="preserve"> veidā ar atbalsta intensitāti līdz 30% no projekta kopējām būvniecības izmaksām;</w:t>
      </w:r>
    </w:p>
    <w:p w:rsidR="005D166E" w:rsidRPr="005D166E" w:rsidRDefault="005D166E" w:rsidP="0039092F">
      <w:pPr>
        <w:numPr>
          <w:ilvl w:val="1"/>
          <w:numId w:val="33"/>
        </w:numPr>
        <w:tabs>
          <w:tab w:val="left" w:pos="851"/>
        </w:tabs>
        <w:ind w:left="1134" w:hanging="567"/>
        <w:contextualSpacing/>
        <w:jc w:val="both"/>
        <w:rPr>
          <w:rFonts w:eastAsia="Calibri"/>
          <w:sz w:val="24"/>
          <w:szCs w:val="24"/>
        </w:rPr>
      </w:pPr>
      <w:r w:rsidRPr="005D166E">
        <w:rPr>
          <w:rFonts w:eastAsia="Calibri"/>
          <w:sz w:val="24"/>
          <w:szCs w:val="24"/>
        </w:rPr>
        <w:t xml:space="preserve">iespēju veikt  izmaiņas Pievienotās vērtības nodokļa likumā, paredzot, ka par daudzdzīvokļu īres namu būvniecības pakalpojumiem drīkst atskaitīt priekšnodokli 100% apmērā un  tas nav jāatmaksā Valsts  budžetā. </w:t>
      </w:r>
    </w:p>
    <w:p w:rsidR="005D166E" w:rsidRPr="005D166E" w:rsidRDefault="005D166E" w:rsidP="005D166E">
      <w:pPr>
        <w:tabs>
          <w:tab w:val="left" w:pos="567"/>
          <w:tab w:val="left" w:pos="851"/>
        </w:tabs>
        <w:ind w:firstLine="567"/>
        <w:jc w:val="both"/>
        <w:rPr>
          <w:sz w:val="24"/>
          <w:szCs w:val="24"/>
          <w:lang w:eastAsia="lv-LV"/>
        </w:rPr>
      </w:pPr>
    </w:p>
    <w:p w:rsidR="004E65A1" w:rsidRPr="0039092F" w:rsidRDefault="0039092F" w:rsidP="002C7704">
      <w:pPr>
        <w:ind w:firstLine="567"/>
        <w:jc w:val="both"/>
        <w:rPr>
          <w:b/>
          <w:sz w:val="24"/>
          <w:szCs w:val="24"/>
          <w:lang w:eastAsia="lv-LV"/>
        </w:rPr>
      </w:pPr>
      <w:r w:rsidRPr="0039092F">
        <w:rPr>
          <w:b/>
          <w:sz w:val="24"/>
          <w:szCs w:val="24"/>
          <w:lang w:eastAsia="lv-LV"/>
        </w:rPr>
        <w:t>Ministru kabineta viedok</w:t>
      </w:r>
      <w:r>
        <w:rPr>
          <w:b/>
          <w:sz w:val="24"/>
          <w:szCs w:val="24"/>
          <w:lang w:eastAsia="lv-LV"/>
        </w:rPr>
        <w:t>l</w:t>
      </w:r>
      <w:r w:rsidRPr="0039092F">
        <w:rPr>
          <w:b/>
          <w:sz w:val="24"/>
          <w:szCs w:val="24"/>
          <w:lang w:eastAsia="lv-LV"/>
        </w:rPr>
        <w:t>is:</w:t>
      </w:r>
    </w:p>
    <w:p w:rsidR="0039092F" w:rsidRDefault="0039092F" w:rsidP="002C7704">
      <w:pPr>
        <w:ind w:firstLine="567"/>
        <w:jc w:val="both"/>
        <w:rPr>
          <w:rFonts w:eastAsia="Calibri"/>
          <w:sz w:val="24"/>
          <w:szCs w:val="24"/>
        </w:rPr>
      </w:pPr>
      <w:r>
        <w:rPr>
          <w:sz w:val="24"/>
          <w:szCs w:val="24"/>
          <w:lang w:eastAsia="lv-LV"/>
        </w:rPr>
        <w:t xml:space="preserve">Likumprojektā “Par valsts budžetu 2019.gadam” nav paredzēta valsts atbalsta programma  </w:t>
      </w:r>
      <w:r w:rsidRPr="005D166E">
        <w:rPr>
          <w:rFonts w:eastAsia="Calibri"/>
          <w:sz w:val="24"/>
          <w:szCs w:val="24"/>
        </w:rPr>
        <w:t>pašvaldību kapitālsabiedrī</w:t>
      </w:r>
      <w:r w:rsidRPr="0039092F">
        <w:rPr>
          <w:rFonts w:eastAsia="Calibri"/>
          <w:sz w:val="24"/>
          <w:szCs w:val="24"/>
        </w:rPr>
        <w:t xml:space="preserve">bām jaunu īres māju būvniecībai. </w:t>
      </w:r>
    </w:p>
    <w:p w:rsidR="0039092F" w:rsidRPr="0039092F" w:rsidRDefault="0039092F" w:rsidP="002C7704">
      <w:pPr>
        <w:ind w:firstLine="567"/>
        <w:jc w:val="both"/>
        <w:rPr>
          <w:sz w:val="24"/>
          <w:szCs w:val="24"/>
          <w:lang w:eastAsia="lv-LV"/>
        </w:rPr>
      </w:pPr>
      <w:r>
        <w:rPr>
          <w:rFonts w:eastAsia="Calibri"/>
          <w:sz w:val="24"/>
          <w:szCs w:val="24"/>
        </w:rPr>
        <w:t xml:space="preserve">Finanšu ministrijai izvērtēt </w:t>
      </w:r>
      <w:r w:rsidRPr="0039092F">
        <w:rPr>
          <w:sz w:val="24"/>
          <w:szCs w:val="24"/>
          <w:lang w:eastAsia="lv-LV"/>
        </w:rPr>
        <w:t xml:space="preserve">2019.gada īres mājokļu būvniecības projektu reģionos īstenošanas progresu un sadarbībā ar Ekonomikas ministriju sagatavot priekšlikumus </w:t>
      </w:r>
      <w:r w:rsidRPr="0039092F">
        <w:rPr>
          <w:sz w:val="24"/>
          <w:szCs w:val="24"/>
          <w:lang w:eastAsia="lv-LV"/>
        </w:rPr>
        <w:lastRenderedPageBreak/>
        <w:t>iespējamiem atbalsta pasākumiem, kuru apmērs nepārsniedz minēto projektu īstenošanas rezultātā samaksātā pievienotās vērtības nodokļa apmēru.</w:t>
      </w:r>
    </w:p>
    <w:p w:rsidR="0039092F" w:rsidRDefault="0039092F" w:rsidP="002C7704">
      <w:pPr>
        <w:ind w:firstLine="567"/>
        <w:jc w:val="both"/>
        <w:rPr>
          <w:b/>
          <w:sz w:val="24"/>
          <w:szCs w:val="24"/>
          <w:u w:val="single"/>
          <w:lang w:eastAsia="lv-LV"/>
        </w:rPr>
      </w:pPr>
    </w:p>
    <w:p w:rsidR="00272A83" w:rsidRDefault="00272A83" w:rsidP="002C7704">
      <w:pPr>
        <w:ind w:firstLine="567"/>
        <w:jc w:val="both"/>
        <w:rPr>
          <w:b/>
          <w:sz w:val="24"/>
          <w:szCs w:val="24"/>
          <w:u w:val="single"/>
          <w:lang w:eastAsia="lv-LV"/>
        </w:rPr>
      </w:pPr>
    </w:p>
    <w:p w:rsidR="00EA7627" w:rsidRPr="006C3414" w:rsidRDefault="00EA7627" w:rsidP="002C7704">
      <w:pPr>
        <w:ind w:firstLine="567"/>
        <w:jc w:val="both"/>
        <w:rPr>
          <w:b/>
          <w:sz w:val="24"/>
          <w:szCs w:val="24"/>
          <w:u w:val="single"/>
          <w:lang w:eastAsia="lv-LV"/>
        </w:rPr>
      </w:pPr>
      <w:r w:rsidRPr="006C3414">
        <w:rPr>
          <w:b/>
          <w:sz w:val="24"/>
          <w:szCs w:val="24"/>
          <w:u w:val="single"/>
          <w:lang w:eastAsia="lv-LV"/>
        </w:rPr>
        <w:t>Finanšu ministrijas jomā:</w:t>
      </w:r>
    </w:p>
    <w:p w:rsidR="005D5ABF" w:rsidRPr="006C3414" w:rsidRDefault="005D5ABF" w:rsidP="005D5ABF">
      <w:pPr>
        <w:ind w:firstLine="567"/>
        <w:rPr>
          <w:b/>
          <w:sz w:val="24"/>
          <w:szCs w:val="24"/>
        </w:rPr>
      </w:pPr>
    </w:p>
    <w:p w:rsidR="00925BE1" w:rsidRPr="00925BE1" w:rsidRDefault="00925BE1" w:rsidP="00925BE1">
      <w:pPr>
        <w:ind w:firstLine="567"/>
        <w:jc w:val="both"/>
        <w:rPr>
          <w:b/>
          <w:sz w:val="24"/>
          <w:szCs w:val="24"/>
        </w:rPr>
      </w:pPr>
      <w:r w:rsidRPr="00925BE1">
        <w:rPr>
          <w:b/>
          <w:sz w:val="24"/>
          <w:szCs w:val="24"/>
        </w:rPr>
        <w:t>Puses vienojas:</w:t>
      </w:r>
    </w:p>
    <w:p w:rsidR="00925BE1" w:rsidRDefault="00925BE1" w:rsidP="00925BE1">
      <w:pPr>
        <w:ind w:firstLine="567"/>
        <w:jc w:val="both"/>
        <w:rPr>
          <w:sz w:val="24"/>
          <w:szCs w:val="24"/>
        </w:rPr>
      </w:pPr>
      <w:r w:rsidRPr="00CA4F8C">
        <w:rPr>
          <w:sz w:val="24"/>
          <w:szCs w:val="24"/>
        </w:rPr>
        <w:t>Direktīvas 2014/55/ES par elektroniskajiem rēķiniem publiskā iepirkuma procedūrās pārņemšanai nepieciešamie likumprojekti, kas paredz grozījumus Publisko iepirkumu likumā, grozījumus Sabiedrisko pakalpojumu sniedzēju iepirkumu likumā, grozījumus Aizsardzības un drošības iepirkumu likumā un grozījumus Publiskās un privātās partnerības likumā</w:t>
      </w:r>
      <w:r>
        <w:rPr>
          <w:sz w:val="24"/>
          <w:szCs w:val="24"/>
        </w:rPr>
        <w:t>,</w:t>
      </w:r>
      <w:r w:rsidRPr="00CA4F8C">
        <w:rPr>
          <w:sz w:val="24"/>
          <w:szCs w:val="24"/>
        </w:rPr>
        <w:t xml:space="preserve"> </w:t>
      </w:r>
      <w:r>
        <w:rPr>
          <w:sz w:val="24"/>
          <w:szCs w:val="24"/>
        </w:rPr>
        <w:t xml:space="preserve">ir </w:t>
      </w:r>
      <w:r w:rsidRPr="00CA4F8C">
        <w:rPr>
          <w:sz w:val="24"/>
          <w:szCs w:val="24"/>
        </w:rPr>
        <w:t xml:space="preserve">atbalstīti Saeimā </w:t>
      </w:r>
      <w:r w:rsidR="00090379">
        <w:rPr>
          <w:sz w:val="24"/>
          <w:szCs w:val="24"/>
        </w:rPr>
        <w:t>3</w:t>
      </w:r>
      <w:r w:rsidRPr="00CA4F8C">
        <w:rPr>
          <w:sz w:val="24"/>
          <w:szCs w:val="24"/>
        </w:rPr>
        <w:t xml:space="preserve">.lasījumā. </w:t>
      </w:r>
    </w:p>
    <w:p w:rsidR="00090379" w:rsidRPr="00CA4F8C" w:rsidRDefault="00090379" w:rsidP="00090379">
      <w:pPr>
        <w:ind w:firstLine="567"/>
        <w:jc w:val="both"/>
        <w:rPr>
          <w:sz w:val="24"/>
          <w:szCs w:val="24"/>
        </w:rPr>
      </w:pPr>
      <w:r w:rsidRPr="00CA4F8C">
        <w:rPr>
          <w:sz w:val="24"/>
          <w:szCs w:val="24"/>
        </w:rPr>
        <w:t>Ministr</w:t>
      </w:r>
      <w:r>
        <w:rPr>
          <w:sz w:val="24"/>
          <w:szCs w:val="24"/>
        </w:rPr>
        <w:t>u</w:t>
      </w:r>
      <w:r w:rsidRPr="00CA4F8C">
        <w:rPr>
          <w:sz w:val="24"/>
          <w:szCs w:val="24"/>
        </w:rPr>
        <w:t xml:space="preserve"> kabineta noteikumu </w:t>
      </w:r>
      <w:r>
        <w:rPr>
          <w:sz w:val="24"/>
          <w:szCs w:val="24"/>
        </w:rPr>
        <w:t xml:space="preserve">projektā </w:t>
      </w:r>
      <w:r w:rsidRPr="00CA4F8C">
        <w:rPr>
          <w:sz w:val="24"/>
          <w:szCs w:val="24"/>
        </w:rPr>
        <w:t>“Noteikumi par piemērojamo elektroniskā rēķina standartu un tā pamatelementu izmantošanas specifikāciju un aprites kārtību”</w:t>
      </w:r>
      <w:r>
        <w:rPr>
          <w:sz w:val="24"/>
          <w:szCs w:val="24"/>
        </w:rPr>
        <w:t>, kas ir sagatavots a</w:t>
      </w:r>
      <w:r w:rsidRPr="00CA4F8C">
        <w:rPr>
          <w:sz w:val="24"/>
          <w:szCs w:val="24"/>
        </w:rPr>
        <w:t>tbilstoši minētajos likumprojektos paredzētajam deleģējumam</w:t>
      </w:r>
      <w:r>
        <w:rPr>
          <w:sz w:val="24"/>
          <w:szCs w:val="24"/>
        </w:rPr>
        <w:t xml:space="preserve">, </w:t>
      </w:r>
      <w:r w:rsidRPr="00CA4F8C">
        <w:rPr>
          <w:sz w:val="24"/>
          <w:szCs w:val="24"/>
        </w:rPr>
        <w:t>paredz</w:t>
      </w:r>
      <w:r>
        <w:rPr>
          <w:sz w:val="24"/>
          <w:szCs w:val="24"/>
        </w:rPr>
        <w:t>ēts</w:t>
      </w:r>
      <w:r w:rsidRPr="00CA4F8C">
        <w:rPr>
          <w:sz w:val="24"/>
          <w:szCs w:val="24"/>
        </w:rPr>
        <w:t xml:space="preserve"> pienākum</w:t>
      </w:r>
      <w:r>
        <w:rPr>
          <w:sz w:val="24"/>
          <w:szCs w:val="24"/>
        </w:rPr>
        <w:t>s</w:t>
      </w:r>
      <w:r w:rsidRPr="00CA4F8C">
        <w:rPr>
          <w:sz w:val="24"/>
          <w:szCs w:val="24"/>
        </w:rPr>
        <w:t xml:space="preserve"> pieņemt un apstrādāt elektronisko</w:t>
      </w:r>
      <w:r>
        <w:rPr>
          <w:sz w:val="24"/>
          <w:szCs w:val="24"/>
        </w:rPr>
        <w:t>s</w:t>
      </w:r>
      <w:r w:rsidRPr="00CA4F8C">
        <w:rPr>
          <w:sz w:val="24"/>
          <w:szCs w:val="24"/>
        </w:rPr>
        <w:t xml:space="preserve"> rēķinu</w:t>
      </w:r>
      <w:r>
        <w:rPr>
          <w:sz w:val="24"/>
          <w:szCs w:val="24"/>
        </w:rPr>
        <w:t>s</w:t>
      </w:r>
      <w:r w:rsidRPr="00CA4F8C">
        <w:rPr>
          <w:sz w:val="24"/>
          <w:szCs w:val="24"/>
        </w:rPr>
        <w:t>, ja piegādātājs izvēlas rēķinu</w:t>
      </w:r>
      <w:r>
        <w:rPr>
          <w:sz w:val="24"/>
          <w:szCs w:val="24"/>
        </w:rPr>
        <w:t>s</w:t>
      </w:r>
      <w:r w:rsidRPr="00CA4F8C">
        <w:rPr>
          <w:sz w:val="24"/>
          <w:szCs w:val="24"/>
        </w:rPr>
        <w:t xml:space="preserve"> iesniegt elektroniskā veidā</w:t>
      </w:r>
      <w:r>
        <w:rPr>
          <w:sz w:val="24"/>
          <w:szCs w:val="24"/>
        </w:rPr>
        <w:t>, savukārt a</w:t>
      </w:r>
      <w:r w:rsidRPr="00CA4F8C">
        <w:rPr>
          <w:sz w:val="24"/>
          <w:szCs w:val="24"/>
        </w:rPr>
        <w:t>ttiecībā uz saņemto elektronisko rēķinu tālāku apstrādi</w:t>
      </w:r>
      <w:r>
        <w:rPr>
          <w:sz w:val="24"/>
          <w:szCs w:val="24"/>
        </w:rPr>
        <w:t xml:space="preserve"> katrai pašvaldībai tiek saglabāta iespēja izvēlēties </w:t>
      </w:r>
      <w:r w:rsidRPr="00CA4F8C">
        <w:rPr>
          <w:sz w:val="24"/>
          <w:szCs w:val="24"/>
        </w:rPr>
        <w:t xml:space="preserve">sev </w:t>
      </w:r>
      <w:r>
        <w:rPr>
          <w:sz w:val="24"/>
          <w:szCs w:val="24"/>
        </w:rPr>
        <w:t xml:space="preserve">piemērotāko </w:t>
      </w:r>
      <w:r w:rsidRPr="00CA4F8C">
        <w:rPr>
          <w:sz w:val="24"/>
          <w:szCs w:val="24"/>
        </w:rPr>
        <w:t>risinājum</w:t>
      </w:r>
      <w:r>
        <w:rPr>
          <w:sz w:val="24"/>
          <w:szCs w:val="24"/>
        </w:rPr>
        <w:t>u</w:t>
      </w:r>
      <w:r w:rsidRPr="00CA4F8C">
        <w:rPr>
          <w:sz w:val="24"/>
          <w:szCs w:val="24"/>
        </w:rPr>
        <w:t xml:space="preserve"> atbilstoši savām vajadzībām un iespējām</w:t>
      </w:r>
      <w:r>
        <w:rPr>
          <w:sz w:val="24"/>
          <w:szCs w:val="24"/>
        </w:rPr>
        <w:t>.</w:t>
      </w:r>
    </w:p>
    <w:p w:rsidR="00090379" w:rsidRDefault="00090379" w:rsidP="00090379">
      <w:pPr>
        <w:ind w:firstLine="567"/>
        <w:jc w:val="both"/>
        <w:rPr>
          <w:sz w:val="24"/>
          <w:szCs w:val="24"/>
        </w:rPr>
      </w:pPr>
      <w:r w:rsidRPr="00CA4F8C">
        <w:rPr>
          <w:sz w:val="24"/>
          <w:szCs w:val="24"/>
        </w:rPr>
        <w:t>Vienlaikus Ministru kabinets aicina katru pašvaldību izvērtēt ieguvumus attiecībā uz resursu ietaupījumu nākotnē, ko var sniegt rēķinu elektroniska un automatizēta apstrāde</w:t>
      </w:r>
      <w:r>
        <w:rPr>
          <w:sz w:val="24"/>
          <w:szCs w:val="24"/>
        </w:rPr>
        <w:t>.</w:t>
      </w:r>
    </w:p>
    <w:p w:rsidR="00090379" w:rsidRDefault="00090379" w:rsidP="00DA69F8">
      <w:pPr>
        <w:ind w:firstLine="567"/>
        <w:rPr>
          <w:b/>
          <w:sz w:val="24"/>
          <w:szCs w:val="24"/>
          <w:u w:val="single"/>
        </w:rPr>
      </w:pPr>
    </w:p>
    <w:p w:rsidR="00272A83" w:rsidRDefault="00272A83" w:rsidP="00DA69F8">
      <w:pPr>
        <w:ind w:firstLine="567"/>
        <w:rPr>
          <w:b/>
          <w:sz w:val="24"/>
          <w:szCs w:val="24"/>
          <w:u w:val="single"/>
        </w:rPr>
      </w:pPr>
    </w:p>
    <w:p w:rsidR="00C11368" w:rsidRDefault="00C11368" w:rsidP="00DA69F8">
      <w:pPr>
        <w:ind w:firstLine="567"/>
        <w:rPr>
          <w:b/>
          <w:sz w:val="24"/>
          <w:szCs w:val="24"/>
          <w:u w:val="single"/>
        </w:rPr>
      </w:pPr>
      <w:r w:rsidRPr="00C11368">
        <w:rPr>
          <w:b/>
          <w:sz w:val="24"/>
          <w:szCs w:val="24"/>
          <w:u w:val="single"/>
        </w:rPr>
        <w:t>Tieslietu ministrijas un Finanšu ministrijas jomā:</w:t>
      </w:r>
    </w:p>
    <w:p w:rsidR="00F07849" w:rsidRDefault="00F07849" w:rsidP="00DA69F8">
      <w:pPr>
        <w:ind w:firstLine="567"/>
        <w:rPr>
          <w:b/>
          <w:sz w:val="24"/>
          <w:szCs w:val="24"/>
          <w:u w:val="single"/>
        </w:rPr>
      </w:pPr>
    </w:p>
    <w:p w:rsidR="00F07849" w:rsidRPr="00F07849" w:rsidRDefault="00F07849" w:rsidP="00DA69F8">
      <w:pPr>
        <w:ind w:firstLine="567"/>
        <w:rPr>
          <w:b/>
          <w:sz w:val="24"/>
          <w:szCs w:val="24"/>
        </w:rPr>
      </w:pPr>
      <w:r w:rsidRPr="00F07849">
        <w:rPr>
          <w:b/>
          <w:sz w:val="24"/>
          <w:szCs w:val="24"/>
        </w:rPr>
        <w:t>Puses vienojas:</w:t>
      </w:r>
    </w:p>
    <w:p w:rsidR="00AD49C7" w:rsidRPr="00AD49C7" w:rsidRDefault="00AD49C7" w:rsidP="00C15108">
      <w:pPr>
        <w:pStyle w:val="NoSpacing"/>
        <w:ind w:firstLine="567"/>
        <w:jc w:val="both"/>
        <w:rPr>
          <w:rFonts w:ascii="Times New Roman" w:hAnsi="Times New Roman"/>
          <w:sz w:val="24"/>
          <w:szCs w:val="24"/>
        </w:rPr>
      </w:pPr>
      <w:r w:rsidRPr="00AD49C7">
        <w:rPr>
          <w:rFonts w:ascii="Times New Roman" w:hAnsi="Times New Roman"/>
          <w:sz w:val="24"/>
          <w:szCs w:val="24"/>
        </w:rPr>
        <w:t xml:space="preserve">Ņemot vērā likuma “Par Valsts ieņēmumu dienestu” 8.panta 3.punktā noteikto pienākumu Valsts ieņēmumu dienestam uzskaitīt valstij piekritīgo mantu un  atbilstoši Civillikumā noteiktajam, ka nekustamas bezīpašnieka lietas piekrīt valstij, kā arī Latvijas Pašvaldības savienības prasības atbildīgajām institūcijām: </w:t>
      </w:r>
    </w:p>
    <w:p w:rsidR="00F07849" w:rsidRPr="00F07849" w:rsidRDefault="00F07849" w:rsidP="00C15108">
      <w:pPr>
        <w:pStyle w:val="NoSpacing"/>
        <w:ind w:firstLine="567"/>
        <w:jc w:val="both"/>
        <w:rPr>
          <w:rFonts w:ascii="Times New Roman" w:hAnsi="Times New Roman"/>
          <w:sz w:val="24"/>
          <w:szCs w:val="24"/>
        </w:rPr>
      </w:pPr>
      <w:r w:rsidRPr="00AD49C7">
        <w:rPr>
          <w:rFonts w:ascii="Times New Roman" w:hAnsi="Times New Roman"/>
          <w:sz w:val="24"/>
          <w:szCs w:val="24"/>
        </w:rPr>
        <w:t xml:space="preserve">1) uzskaitīt visas bezīpašnieka nekustamās lietas, kas palikušas pēc </w:t>
      </w:r>
      <w:r w:rsidRPr="00F07849">
        <w:rPr>
          <w:rFonts w:ascii="Times New Roman" w:hAnsi="Times New Roman"/>
          <w:sz w:val="24"/>
          <w:szCs w:val="24"/>
        </w:rPr>
        <w:t>juridisko personu izslēgšanas no Uzņēmumu reģistra vestajiem reģistriem, savietojot valsts reģistros esošo informāciju;</w:t>
      </w:r>
    </w:p>
    <w:p w:rsidR="00F07849" w:rsidRPr="00F07849" w:rsidRDefault="00F07849" w:rsidP="00C15108">
      <w:pPr>
        <w:pStyle w:val="NoSpacing"/>
        <w:ind w:firstLine="567"/>
        <w:jc w:val="both"/>
        <w:rPr>
          <w:rFonts w:ascii="Times New Roman" w:hAnsi="Times New Roman"/>
          <w:sz w:val="24"/>
          <w:szCs w:val="24"/>
        </w:rPr>
      </w:pPr>
      <w:r w:rsidRPr="00F07849">
        <w:rPr>
          <w:rFonts w:ascii="Times New Roman" w:hAnsi="Times New Roman"/>
          <w:sz w:val="24"/>
          <w:szCs w:val="24"/>
        </w:rPr>
        <w:t xml:space="preserve">2) uzskaitīt visas bezīpašnieka nekustamas lietas, jo nevienam nav noteikts pienākums veikt nepieciešamās darbības, lai valsts reģistros reģistrētās nekustamās lietas bez piederības tiktu saprātīgā termiņā atzītas par bezīpašnieka mantu, kas piekritīga valstij; </w:t>
      </w:r>
    </w:p>
    <w:p w:rsidR="00F07849" w:rsidRPr="00F07849" w:rsidRDefault="00F07849" w:rsidP="00C15108">
      <w:pPr>
        <w:pStyle w:val="NoSpacing"/>
        <w:ind w:firstLine="567"/>
        <w:jc w:val="both"/>
        <w:rPr>
          <w:rFonts w:ascii="Times New Roman" w:hAnsi="Times New Roman"/>
          <w:sz w:val="24"/>
          <w:szCs w:val="24"/>
        </w:rPr>
      </w:pPr>
      <w:r w:rsidRPr="00F07849">
        <w:rPr>
          <w:rFonts w:ascii="Times New Roman" w:hAnsi="Times New Roman"/>
          <w:sz w:val="24"/>
          <w:szCs w:val="24"/>
        </w:rPr>
        <w:t>3) veikt nepieciešamās darbības gadījumos, kad valsts reģistros reģistrētam nekustamam īpašumam nav mantinieku un šādu nekustamu īpašumu saprātīgā termiņā ir jāatzīst par bezmantinieka mantu, kas pierīt valstij,</w:t>
      </w:r>
    </w:p>
    <w:p w:rsidR="00F07849" w:rsidRPr="00F07849" w:rsidRDefault="00C15108" w:rsidP="00C15108">
      <w:pPr>
        <w:pStyle w:val="NoSpacing"/>
        <w:ind w:firstLine="567"/>
        <w:jc w:val="both"/>
        <w:rPr>
          <w:rFonts w:ascii="Times New Roman" w:hAnsi="Times New Roman"/>
          <w:sz w:val="24"/>
          <w:szCs w:val="24"/>
        </w:rPr>
      </w:pPr>
      <w:r>
        <w:rPr>
          <w:rFonts w:ascii="Times New Roman" w:hAnsi="Times New Roman"/>
          <w:sz w:val="24"/>
          <w:szCs w:val="24"/>
        </w:rPr>
        <w:t>P</w:t>
      </w:r>
      <w:r w:rsidR="00F07849" w:rsidRPr="00F07849">
        <w:rPr>
          <w:rFonts w:ascii="Times New Roman" w:hAnsi="Times New Roman"/>
          <w:sz w:val="24"/>
          <w:szCs w:val="24"/>
        </w:rPr>
        <w:t>uses vienojas veikt šādus pasākumus:</w:t>
      </w:r>
    </w:p>
    <w:p w:rsidR="00F07849" w:rsidRPr="00F07849" w:rsidRDefault="00F07849" w:rsidP="00C15108">
      <w:pPr>
        <w:pStyle w:val="NoSpacing"/>
        <w:numPr>
          <w:ilvl w:val="0"/>
          <w:numId w:val="41"/>
        </w:numPr>
        <w:tabs>
          <w:tab w:val="left" w:pos="993"/>
        </w:tabs>
        <w:ind w:left="0" w:firstLine="567"/>
        <w:jc w:val="both"/>
        <w:rPr>
          <w:rFonts w:ascii="Times New Roman" w:hAnsi="Times New Roman"/>
          <w:sz w:val="24"/>
          <w:szCs w:val="24"/>
        </w:rPr>
      </w:pPr>
      <w:r w:rsidRPr="00F07849">
        <w:rPr>
          <w:rFonts w:ascii="Times New Roman" w:hAnsi="Times New Roman"/>
          <w:sz w:val="24"/>
          <w:szCs w:val="24"/>
        </w:rPr>
        <w:t xml:space="preserve">Tieslietu ministrijai sadarbībā ar Finanšu ministriju izvērtēt </w:t>
      </w:r>
      <w:proofErr w:type="spellStart"/>
      <w:r w:rsidRPr="00F07849">
        <w:rPr>
          <w:rFonts w:ascii="Times New Roman" w:hAnsi="Times New Roman"/>
          <w:sz w:val="24"/>
          <w:szCs w:val="24"/>
        </w:rPr>
        <w:t>Tiesībsarga</w:t>
      </w:r>
      <w:proofErr w:type="spellEnd"/>
      <w:r w:rsidRPr="00F07849">
        <w:rPr>
          <w:rFonts w:ascii="Times New Roman" w:hAnsi="Times New Roman"/>
          <w:sz w:val="24"/>
          <w:szCs w:val="24"/>
        </w:rPr>
        <w:t xml:space="preserve"> norādītos jautājumus saistībā ar mantu, kas palikusi pēc juridiskas personas likvidācijas, un nepieciešamības gadījumā līdz 2020.gada 1.jūnijam iesniegt izskatīšanai Ministru kabinetā grozījumus normatīvajos aktos, kas nosaka tiesisko regulējumu mantai, kas palikusi pēc juridisku personu izslēgšanas no komercreģistra vai Uzņēmumu reģistra maksātnespējas un likvidācijas procesa ietvaros.</w:t>
      </w:r>
    </w:p>
    <w:p w:rsidR="00F07849" w:rsidRPr="00F07849" w:rsidRDefault="00F07849" w:rsidP="00C15108">
      <w:pPr>
        <w:pStyle w:val="NoSpacing"/>
        <w:ind w:firstLine="567"/>
        <w:jc w:val="both"/>
        <w:rPr>
          <w:rFonts w:ascii="Times New Roman" w:hAnsi="Times New Roman"/>
          <w:sz w:val="24"/>
          <w:szCs w:val="24"/>
        </w:rPr>
      </w:pPr>
      <w:r w:rsidRPr="00F07849">
        <w:rPr>
          <w:rFonts w:ascii="Times New Roman" w:hAnsi="Times New Roman"/>
          <w:sz w:val="24"/>
          <w:szCs w:val="24"/>
        </w:rPr>
        <w:t>Ministru kabinets apņemas atgriezties pie diskusijas par tālākiem bezīpašnieka un bezmantinieka mantas pārņemšanas procesa uzlabojumiem, t.sk. saistībā ar valsts reģistros esošo datu savietojamību, strādājot pie 2020. gada valsts budžeta projekta, jo Latvijas Pašvaldības savienības viedoklī pieprasītie risinājumi prasa papildu valsts budžeta finansējumu.</w:t>
      </w:r>
    </w:p>
    <w:p w:rsidR="00F07849" w:rsidRPr="00F07849" w:rsidRDefault="00C15108" w:rsidP="00C15108">
      <w:pPr>
        <w:pStyle w:val="NoSpacing"/>
        <w:numPr>
          <w:ilvl w:val="0"/>
          <w:numId w:val="41"/>
        </w:numPr>
        <w:tabs>
          <w:tab w:val="left" w:pos="851"/>
        </w:tabs>
        <w:ind w:left="0" w:firstLine="567"/>
        <w:jc w:val="both"/>
        <w:rPr>
          <w:rFonts w:ascii="Times New Roman" w:hAnsi="Times New Roman"/>
          <w:sz w:val="24"/>
          <w:szCs w:val="24"/>
        </w:rPr>
      </w:pPr>
      <w:r>
        <w:rPr>
          <w:rFonts w:ascii="Times New Roman" w:hAnsi="Times New Roman"/>
          <w:sz w:val="24"/>
          <w:szCs w:val="24"/>
        </w:rPr>
        <w:t>A</w:t>
      </w:r>
      <w:r w:rsidR="00F07849" w:rsidRPr="00F07849">
        <w:rPr>
          <w:rFonts w:ascii="Times New Roman" w:hAnsi="Times New Roman"/>
          <w:sz w:val="24"/>
          <w:szCs w:val="24"/>
        </w:rPr>
        <w:t xml:space="preserve">ttiecībā uz valstij piekrītošo bezīpašnieka lietu pārņemšanu - šobrīd pastāv un darbojas mehānismi, kurus pašvaldības var izmantot, lai atzītu tās teritorijā esošu īpašumu par valstij piekrītošu bezīpašnieka mantu vai bezmantinieka mantu un pēc tam to saņemtu bez </w:t>
      </w:r>
      <w:r w:rsidR="00F07849" w:rsidRPr="00F07849">
        <w:rPr>
          <w:rFonts w:ascii="Times New Roman" w:hAnsi="Times New Roman"/>
          <w:sz w:val="24"/>
          <w:szCs w:val="24"/>
        </w:rPr>
        <w:lastRenderedPageBreak/>
        <w:t>atlīdzības pašvaldību funkciju īstenošanai, taču Ministru kabinets piekrīt tam, ka procesu varētu vienkāršot, virzot likumu grozījumus, kas saīsina laiku, kurā mantai nav īpašnieka, kas par to rūpējās (apsaimnieko).</w:t>
      </w:r>
    </w:p>
    <w:p w:rsidR="00F07849" w:rsidRPr="00F07849" w:rsidRDefault="00F07849" w:rsidP="00C15108">
      <w:pPr>
        <w:pStyle w:val="NoSpacing"/>
        <w:ind w:firstLine="567"/>
        <w:jc w:val="both"/>
        <w:rPr>
          <w:rFonts w:ascii="Times New Roman" w:hAnsi="Times New Roman"/>
          <w:sz w:val="24"/>
          <w:szCs w:val="24"/>
        </w:rPr>
      </w:pPr>
      <w:r w:rsidRPr="00F07849">
        <w:rPr>
          <w:rFonts w:ascii="Times New Roman" w:hAnsi="Times New Roman"/>
          <w:sz w:val="24"/>
          <w:szCs w:val="24"/>
        </w:rPr>
        <w:t>Tieslietu ministrija sadarbībā ar Latvijas Pašvaldību savienību,  nozares ekspertiem un Finanšu ministriju apņemas veikt analīzi par risinājumiem, lai saīsinātu laiku un mazinātu administratīvo slogu, t.sk izmantojot valsts informāciju sistēmu sniegtās iespējas, kā arī izvērtēt šādus iespējamos risinājumus:</w:t>
      </w:r>
    </w:p>
    <w:p w:rsidR="00F07849" w:rsidRPr="00F07849" w:rsidRDefault="00F07849" w:rsidP="00C15108">
      <w:pPr>
        <w:pStyle w:val="NoSpacing"/>
        <w:ind w:left="851" w:hanging="284"/>
        <w:jc w:val="both"/>
        <w:rPr>
          <w:rFonts w:ascii="Times New Roman" w:hAnsi="Times New Roman"/>
          <w:sz w:val="24"/>
          <w:szCs w:val="24"/>
        </w:rPr>
      </w:pPr>
      <w:r w:rsidRPr="00F07849">
        <w:rPr>
          <w:rFonts w:ascii="Times New Roman" w:hAnsi="Times New Roman"/>
          <w:sz w:val="24"/>
          <w:szCs w:val="24"/>
        </w:rPr>
        <w:t>a) bezīpašnieka dzīvokļi (Dzīvokļu īpašuma likuma izpratnē), dzīvojamās mājas un kopīpašuma daļas dzīvokļos un dzīvojamās mājas piekrīt pašvaldībai, kuras teritorijā tās atrodas (CL 930. panta piezīme);</w:t>
      </w:r>
    </w:p>
    <w:p w:rsidR="00F07849" w:rsidRPr="00F07849" w:rsidRDefault="00F07849" w:rsidP="00C15108">
      <w:pPr>
        <w:pStyle w:val="NoSpacing"/>
        <w:ind w:left="851" w:hanging="284"/>
        <w:jc w:val="both"/>
        <w:rPr>
          <w:rFonts w:ascii="Times New Roman" w:hAnsi="Times New Roman"/>
          <w:sz w:val="24"/>
          <w:szCs w:val="24"/>
        </w:rPr>
      </w:pPr>
      <w:r w:rsidRPr="00F07849">
        <w:rPr>
          <w:rFonts w:ascii="Times New Roman" w:hAnsi="Times New Roman"/>
          <w:sz w:val="24"/>
          <w:szCs w:val="24"/>
        </w:rPr>
        <w:t>b) bezīpašnieka dzīvokļi (Dzīvokļu īpašuma likuma izpratnē), dzīvojamās mājas un kopīpašuma daļas dzīvokļos un dzīvojamās mājas, kas palikuši pāri pēc sabiedrības izslēgšanas no komercreģistra un uz kurām nav pieteikti ar hipotēku vai komercķīlu nodrošināti parādi vai atsavināšanas aizlieguma atzīmes, piekrīt pašvaldībai, kuras teritorijā tās atrodas;</w:t>
      </w:r>
    </w:p>
    <w:p w:rsidR="00F07849" w:rsidRPr="00F07849" w:rsidRDefault="00F07849" w:rsidP="00C15108">
      <w:pPr>
        <w:pStyle w:val="NoSpacing"/>
        <w:ind w:left="851" w:hanging="284"/>
        <w:jc w:val="both"/>
        <w:rPr>
          <w:rFonts w:ascii="Times New Roman" w:hAnsi="Times New Roman"/>
          <w:sz w:val="24"/>
          <w:szCs w:val="24"/>
        </w:rPr>
      </w:pPr>
      <w:r w:rsidRPr="00F07849">
        <w:rPr>
          <w:rFonts w:ascii="Times New Roman" w:hAnsi="Times New Roman"/>
          <w:sz w:val="24"/>
          <w:szCs w:val="24"/>
        </w:rPr>
        <w:t>c) bezmantinieka mantojuma masā, uz kuru nav pieteiktas kreditoru pretenzijas, ietilpstoši bezīpašnieka dzīvokļi (Dzīvokļu īpašuma likuma izpratnē), dzīvojamās mājas un kopīpašuma daļas dzīvokļos un dzīvojamās mājas piekrīt pašvaldībai, kuras teritorijā tās atrodas.</w:t>
      </w:r>
    </w:p>
    <w:p w:rsidR="00F07849" w:rsidRPr="00F07849" w:rsidRDefault="00F07849" w:rsidP="00C15108">
      <w:pPr>
        <w:pStyle w:val="NoSpacing"/>
        <w:ind w:firstLine="567"/>
        <w:jc w:val="both"/>
        <w:rPr>
          <w:rFonts w:ascii="Times New Roman" w:hAnsi="Times New Roman"/>
          <w:sz w:val="24"/>
          <w:szCs w:val="24"/>
        </w:rPr>
      </w:pPr>
      <w:r w:rsidRPr="00F07849">
        <w:rPr>
          <w:rFonts w:ascii="Times New Roman" w:hAnsi="Times New Roman"/>
          <w:sz w:val="24"/>
          <w:szCs w:val="24"/>
        </w:rPr>
        <w:t>Atbilstoši izvēlētajiem risinājumiem, par kuriem ir vienošanās ar Latvijas Pašvaldību savienību, Tieslietu ministrijai līdz 2020. gada 1. jūlijam pilnveidot tiesisko regulējumu.</w:t>
      </w:r>
    </w:p>
    <w:p w:rsidR="00F07849" w:rsidRPr="00F07849" w:rsidRDefault="00F07849" w:rsidP="00F07849">
      <w:pPr>
        <w:pStyle w:val="NoSpacing"/>
        <w:ind w:firstLine="720"/>
        <w:jc w:val="both"/>
        <w:rPr>
          <w:rFonts w:ascii="Times New Roman" w:hAnsi="Times New Roman"/>
          <w:sz w:val="24"/>
          <w:szCs w:val="24"/>
        </w:rPr>
      </w:pPr>
      <w:r w:rsidRPr="00F07849">
        <w:rPr>
          <w:rFonts w:ascii="Times New Roman" w:hAnsi="Times New Roman"/>
          <w:sz w:val="24"/>
          <w:szCs w:val="24"/>
        </w:rPr>
        <w:t>3) Tieslietu ministrija sadarbībā ar Latvijas Pašvaldību savienību,  nozares ekspertiem un Finanšu ministriju veikt analīzi un līdz 2020. gada 1. jūlijam pilnveidot tiesisko regulējumu mantojuma tiesību jomā attiecībā uz bezmantinieku mantu, tai skaitā primāri izmantojot valsts informāciju sistēmu sniegtās priekšrocības procesu daļējā automatizācijā.</w:t>
      </w:r>
    </w:p>
    <w:p w:rsidR="00D44309" w:rsidRDefault="00D44309" w:rsidP="008D1116">
      <w:pPr>
        <w:rPr>
          <w:b/>
          <w:sz w:val="24"/>
          <w:szCs w:val="24"/>
          <w:u w:val="single"/>
        </w:rPr>
      </w:pPr>
    </w:p>
    <w:p w:rsidR="00C56ADB" w:rsidRDefault="00C56ADB" w:rsidP="008D1116">
      <w:pPr>
        <w:rPr>
          <w:b/>
          <w:sz w:val="24"/>
          <w:szCs w:val="24"/>
          <w:u w:val="single"/>
        </w:rPr>
      </w:pPr>
    </w:p>
    <w:p w:rsidR="00513D76" w:rsidRPr="006C3414" w:rsidRDefault="00513D76" w:rsidP="002C7704">
      <w:pPr>
        <w:ind w:firstLine="567"/>
        <w:rPr>
          <w:b/>
          <w:sz w:val="24"/>
          <w:szCs w:val="24"/>
          <w:u w:val="single"/>
        </w:rPr>
      </w:pPr>
      <w:r w:rsidRPr="006C3414">
        <w:rPr>
          <w:b/>
          <w:sz w:val="24"/>
          <w:szCs w:val="24"/>
          <w:u w:val="single"/>
        </w:rPr>
        <w:t>Izglītības un zinātnes ministrijas jomā:</w:t>
      </w:r>
    </w:p>
    <w:p w:rsidR="00513D76" w:rsidRPr="006C3414" w:rsidRDefault="00513D76" w:rsidP="00513D76">
      <w:pPr>
        <w:rPr>
          <w:b/>
          <w:sz w:val="24"/>
          <w:szCs w:val="24"/>
        </w:rPr>
      </w:pPr>
    </w:p>
    <w:p w:rsidR="003F23DE" w:rsidRPr="006C3414" w:rsidRDefault="00A37EE9" w:rsidP="003F23DE">
      <w:pPr>
        <w:shd w:val="clear" w:color="auto" w:fill="FFFFFF"/>
        <w:ind w:firstLine="567"/>
        <w:jc w:val="both"/>
        <w:rPr>
          <w:b/>
          <w:bCs/>
          <w:sz w:val="24"/>
          <w:szCs w:val="24"/>
        </w:rPr>
      </w:pPr>
      <w:r w:rsidRPr="00693984">
        <w:rPr>
          <w:b/>
          <w:bCs/>
          <w:sz w:val="24"/>
          <w:szCs w:val="24"/>
        </w:rPr>
        <w:t>Puses vienojas</w:t>
      </w:r>
      <w:r w:rsidR="003F23DE" w:rsidRPr="00693984">
        <w:rPr>
          <w:b/>
          <w:bCs/>
          <w:sz w:val="24"/>
          <w:szCs w:val="24"/>
        </w:rPr>
        <w:t>:</w:t>
      </w:r>
    </w:p>
    <w:p w:rsidR="0076754D" w:rsidRPr="00A37EE9" w:rsidRDefault="00A37EE9" w:rsidP="00A37EE9">
      <w:pPr>
        <w:shd w:val="clear" w:color="auto" w:fill="FFFFFF"/>
        <w:ind w:firstLine="567"/>
        <w:jc w:val="both"/>
        <w:rPr>
          <w:bCs/>
          <w:sz w:val="24"/>
          <w:szCs w:val="24"/>
        </w:rPr>
      </w:pPr>
      <w:r w:rsidRPr="00A37EE9">
        <w:rPr>
          <w:bCs/>
          <w:sz w:val="24"/>
          <w:szCs w:val="24"/>
        </w:rPr>
        <w:t xml:space="preserve">Iekļaut likumā </w:t>
      </w:r>
      <w:r>
        <w:rPr>
          <w:bCs/>
          <w:sz w:val="24"/>
          <w:szCs w:val="24"/>
        </w:rPr>
        <w:t>“Par valsts budžetu 2019.</w:t>
      </w:r>
      <w:r w:rsidRPr="00A37EE9">
        <w:rPr>
          <w:bCs/>
          <w:sz w:val="24"/>
          <w:szCs w:val="24"/>
        </w:rPr>
        <w:t>gadam</w:t>
      </w:r>
      <w:r>
        <w:rPr>
          <w:bCs/>
          <w:sz w:val="24"/>
          <w:szCs w:val="24"/>
        </w:rPr>
        <w:t>”</w:t>
      </w:r>
      <w:r w:rsidRPr="00A37EE9">
        <w:rPr>
          <w:bCs/>
          <w:sz w:val="24"/>
          <w:szCs w:val="24"/>
        </w:rPr>
        <w:t xml:space="preserve"> normu,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w:t>
      </w:r>
      <w:r>
        <w:rPr>
          <w:bCs/>
          <w:sz w:val="24"/>
          <w:szCs w:val="24"/>
        </w:rPr>
        <w:t xml:space="preserve"> vēlāk kā līdz 2019.gada 31.</w:t>
      </w:r>
      <w:r w:rsidRPr="00A37EE9">
        <w:rPr>
          <w:bCs/>
          <w:sz w:val="24"/>
          <w:szCs w:val="24"/>
        </w:rPr>
        <w:t>augustam.</w:t>
      </w:r>
    </w:p>
    <w:p w:rsidR="005D5ABF" w:rsidRDefault="005D5ABF" w:rsidP="00513D76">
      <w:pPr>
        <w:shd w:val="clear" w:color="auto" w:fill="FFFFFF"/>
        <w:ind w:firstLine="567"/>
        <w:jc w:val="both"/>
        <w:rPr>
          <w:b/>
          <w:bCs/>
          <w:sz w:val="24"/>
          <w:szCs w:val="24"/>
          <w:u w:val="single"/>
        </w:rPr>
      </w:pPr>
    </w:p>
    <w:p w:rsidR="00700462" w:rsidRPr="00596A44" w:rsidRDefault="00700462" w:rsidP="00596A44">
      <w:pPr>
        <w:ind w:firstLine="567"/>
        <w:jc w:val="both"/>
        <w:rPr>
          <w:b/>
          <w:bCs/>
          <w:sz w:val="24"/>
          <w:szCs w:val="24"/>
        </w:rPr>
      </w:pPr>
      <w:r w:rsidRPr="00596A44">
        <w:rPr>
          <w:b/>
          <w:bCs/>
          <w:sz w:val="24"/>
          <w:szCs w:val="24"/>
        </w:rPr>
        <w:t>Puses vienojas:</w:t>
      </w:r>
    </w:p>
    <w:p w:rsidR="004C122D" w:rsidRPr="004C122D" w:rsidRDefault="004C122D" w:rsidP="004C122D">
      <w:pPr>
        <w:ind w:firstLine="567"/>
        <w:jc w:val="both"/>
        <w:rPr>
          <w:bCs/>
          <w:sz w:val="24"/>
          <w:szCs w:val="24"/>
        </w:rPr>
      </w:pPr>
      <w:r w:rsidRPr="004C122D">
        <w:rPr>
          <w:bCs/>
          <w:sz w:val="24"/>
          <w:szCs w:val="24"/>
        </w:rPr>
        <w:t>Izglītības un zinātnes ministrijai sadarbībā ar Latvijas Pašvaldību savienību sagatavot priekšlikumus grozījumiem Izglītības likumā, izslēdzot Izglītības likuma 17.panta 2.</w:t>
      </w:r>
      <w:r w:rsidRPr="004C122D">
        <w:rPr>
          <w:bCs/>
          <w:sz w:val="24"/>
          <w:szCs w:val="24"/>
          <w:vertAlign w:val="superscript"/>
        </w:rPr>
        <w:t>5</w:t>
      </w:r>
      <w:r w:rsidRPr="004C122D">
        <w:rPr>
          <w:bCs/>
          <w:sz w:val="24"/>
          <w:szCs w:val="24"/>
        </w:rPr>
        <w:t xml:space="preserve"> daļu, kas uzliek par pienākumu pašvaldībām piedalīties privātās izglītības iestādes uzturēšanas izdevumu finansēšanā, ja šī privātā izglītības iestāde ir sabiedriskā labuma organizācija vai sociālais uzņēmums.</w:t>
      </w:r>
    </w:p>
    <w:p w:rsidR="00323483" w:rsidRDefault="00323483" w:rsidP="004C122D">
      <w:pPr>
        <w:ind w:firstLine="567"/>
        <w:jc w:val="both"/>
        <w:rPr>
          <w:b/>
          <w:sz w:val="24"/>
          <w:szCs w:val="24"/>
          <w:highlight w:val="yellow"/>
        </w:rPr>
      </w:pPr>
    </w:p>
    <w:p w:rsidR="009C7DA9" w:rsidRDefault="009C7DA9" w:rsidP="00513D76">
      <w:pPr>
        <w:shd w:val="clear" w:color="auto" w:fill="FFFFFF"/>
        <w:ind w:firstLine="567"/>
        <w:jc w:val="both"/>
        <w:rPr>
          <w:b/>
          <w:bCs/>
          <w:sz w:val="24"/>
          <w:szCs w:val="24"/>
          <w:u w:val="single"/>
        </w:rPr>
      </w:pPr>
    </w:p>
    <w:p w:rsidR="00A374C5" w:rsidRPr="006C3414" w:rsidRDefault="00A374C5" w:rsidP="00513D76">
      <w:pPr>
        <w:shd w:val="clear" w:color="auto" w:fill="FFFFFF"/>
        <w:ind w:firstLine="567"/>
        <w:jc w:val="both"/>
        <w:rPr>
          <w:b/>
          <w:bCs/>
          <w:sz w:val="24"/>
          <w:szCs w:val="24"/>
          <w:u w:val="single"/>
        </w:rPr>
      </w:pPr>
      <w:r w:rsidRPr="006C3414">
        <w:rPr>
          <w:b/>
          <w:bCs/>
          <w:sz w:val="24"/>
          <w:szCs w:val="24"/>
          <w:u w:val="single"/>
        </w:rPr>
        <w:t>Satiksmes ministrijas jomā:</w:t>
      </w:r>
    </w:p>
    <w:p w:rsidR="00AD49C7" w:rsidRDefault="00AD49C7" w:rsidP="00AD49C7">
      <w:pPr>
        <w:tabs>
          <w:tab w:val="left" w:pos="567"/>
        </w:tabs>
        <w:spacing w:after="60"/>
        <w:ind w:right="-96"/>
        <w:jc w:val="both"/>
        <w:rPr>
          <w:rFonts w:eastAsia="Calibri"/>
          <w:sz w:val="24"/>
          <w:szCs w:val="24"/>
        </w:rPr>
      </w:pPr>
    </w:p>
    <w:p w:rsidR="00AD49C7" w:rsidRPr="00301225" w:rsidRDefault="00AD49C7" w:rsidP="00C15108">
      <w:pPr>
        <w:tabs>
          <w:tab w:val="left" w:pos="567"/>
        </w:tabs>
        <w:ind w:right="-96" w:firstLine="567"/>
        <w:jc w:val="both"/>
        <w:rPr>
          <w:rFonts w:eastAsia="Calibri"/>
          <w:b/>
          <w:sz w:val="24"/>
          <w:szCs w:val="24"/>
        </w:rPr>
      </w:pPr>
      <w:r w:rsidRPr="00301225">
        <w:rPr>
          <w:rFonts w:eastAsia="Calibri"/>
          <w:b/>
          <w:sz w:val="24"/>
          <w:szCs w:val="24"/>
        </w:rPr>
        <w:t>Puses vienojas:</w:t>
      </w:r>
    </w:p>
    <w:p w:rsidR="00AD49C7" w:rsidRPr="00301225" w:rsidRDefault="00AD49C7" w:rsidP="00C15108">
      <w:pPr>
        <w:tabs>
          <w:tab w:val="left" w:pos="567"/>
        </w:tabs>
        <w:ind w:right="-96" w:firstLine="567"/>
        <w:jc w:val="both"/>
        <w:rPr>
          <w:rFonts w:eastAsia="Calibri"/>
          <w:sz w:val="24"/>
          <w:szCs w:val="24"/>
        </w:rPr>
      </w:pPr>
      <w:r w:rsidRPr="00301225">
        <w:rPr>
          <w:rFonts w:eastAsia="Calibri"/>
          <w:sz w:val="24"/>
          <w:szCs w:val="24"/>
        </w:rPr>
        <w:t xml:space="preserve">Satiksmes ministrijas budžeta apakšprogrammā 23.04.00 “Mērķdotācijas pašvaldību autoceļiem (ielām)” 2019.gadam paredzēt finansējumu 50,86 milj. </w:t>
      </w:r>
      <w:proofErr w:type="spellStart"/>
      <w:r w:rsidRPr="00301225">
        <w:rPr>
          <w:rFonts w:eastAsia="Calibri"/>
          <w:i/>
          <w:sz w:val="24"/>
          <w:szCs w:val="24"/>
        </w:rPr>
        <w:t>euro</w:t>
      </w:r>
      <w:proofErr w:type="spellEnd"/>
      <w:r w:rsidRPr="00301225">
        <w:rPr>
          <w:rFonts w:eastAsia="Calibri"/>
          <w:sz w:val="24"/>
          <w:szCs w:val="24"/>
        </w:rPr>
        <w:t xml:space="preserve"> apmērā. </w:t>
      </w:r>
    </w:p>
    <w:p w:rsidR="00AD49C7" w:rsidRPr="00AD49C7" w:rsidRDefault="00AD49C7" w:rsidP="00C15108">
      <w:pPr>
        <w:tabs>
          <w:tab w:val="left" w:pos="567"/>
        </w:tabs>
        <w:ind w:right="-96" w:firstLine="567"/>
        <w:jc w:val="both"/>
        <w:rPr>
          <w:rFonts w:eastAsia="Calibri"/>
          <w:sz w:val="24"/>
          <w:szCs w:val="24"/>
        </w:rPr>
      </w:pPr>
      <w:r w:rsidRPr="00301225">
        <w:rPr>
          <w:rFonts w:eastAsia="Calibri"/>
          <w:sz w:val="24"/>
          <w:szCs w:val="24"/>
        </w:rPr>
        <w:t xml:space="preserve">2019.gadā valsts vietējiem (grants) autoceļiem nodrošināt finansējumu ne mazāk kā  18,6 milj. </w:t>
      </w:r>
      <w:proofErr w:type="spellStart"/>
      <w:r w:rsidRPr="00301225">
        <w:rPr>
          <w:rFonts w:eastAsia="Calibri"/>
          <w:i/>
          <w:sz w:val="24"/>
          <w:szCs w:val="24"/>
        </w:rPr>
        <w:t>euro</w:t>
      </w:r>
      <w:proofErr w:type="spellEnd"/>
      <w:r w:rsidRPr="00301225">
        <w:rPr>
          <w:rFonts w:eastAsia="Calibri"/>
          <w:sz w:val="24"/>
          <w:szCs w:val="24"/>
        </w:rPr>
        <w:t xml:space="preserve"> apmērā.</w:t>
      </w:r>
    </w:p>
    <w:p w:rsidR="00AD49C7" w:rsidRDefault="00AD49C7" w:rsidP="00F109A5">
      <w:pPr>
        <w:tabs>
          <w:tab w:val="left" w:pos="567"/>
        </w:tabs>
        <w:spacing w:after="60"/>
        <w:ind w:right="-96" w:firstLine="567"/>
        <w:jc w:val="both"/>
        <w:rPr>
          <w:rFonts w:eastAsia="Calibri"/>
          <w:sz w:val="24"/>
          <w:szCs w:val="24"/>
        </w:rPr>
      </w:pPr>
    </w:p>
    <w:p w:rsidR="009B3471" w:rsidRDefault="009B3471" w:rsidP="00301225">
      <w:pPr>
        <w:ind w:right="-483" w:firstLine="567"/>
        <w:jc w:val="both"/>
        <w:rPr>
          <w:rFonts w:eastAsia="Calibri"/>
          <w:b/>
          <w:sz w:val="24"/>
          <w:szCs w:val="22"/>
        </w:rPr>
      </w:pPr>
    </w:p>
    <w:p w:rsidR="00301225" w:rsidRPr="001603CD" w:rsidRDefault="00301225" w:rsidP="00301225">
      <w:pPr>
        <w:ind w:right="-483" w:firstLine="567"/>
        <w:jc w:val="both"/>
        <w:rPr>
          <w:rFonts w:eastAsia="Calibri"/>
          <w:b/>
          <w:sz w:val="24"/>
          <w:szCs w:val="22"/>
        </w:rPr>
      </w:pPr>
      <w:bookmarkStart w:id="2" w:name="_GoBack"/>
      <w:bookmarkEnd w:id="2"/>
      <w:r w:rsidRPr="001603CD">
        <w:rPr>
          <w:rFonts w:eastAsia="Calibri"/>
          <w:b/>
          <w:sz w:val="24"/>
          <w:szCs w:val="22"/>
        </w:rPr>
        <w:t>Puses vienojas:</w:t>
      </w:r>
    </w:p>
    <w:p w:rsidR="00301225" w:rsidRDefault="00301225" w:rsidP="00301225">
      <w:pPr>
        <w:ind w:right="-483" w:firstLine="567"/>
        <w:jc w:val="both"/>
        <w:rPr>
          <w:rFonts w:eastAsia="Calibri"/>
          <w:sz w:val="24"/>
          <w:szCs w:val="22"/>
        </w:rPr>
      </w:pPr>
      <w:r w:rsidRPr="00301225">
        <w:rPr>
          <w:rFonts w:eastAsia="Calibri"/>
          <w:sz w:val="24"/>
          <w:szCs w:val="22"/>
        </w:rPr>
        <w:t>Nodrošināt sabiedriskā transporta pakalpojumu sniedzējiem</w:t>
      </w:r>
      <w:r w:rsidRPr="001603CD">
        <w:rPr>
          <w:rFonts w:eastAsia="Calibri"/>
          <w:sz w:val="24"/>
          <w:szCs w:val="22"/>
        </w:rPr>
        <w:t xml:space="preserve"> zaudējumu kompensāciju   2019.</w:t>
      </w:r>
      <w:r w:rsidRPr="00301225">
        <w:rPr>
          <w:rFonts w:eastAsia="Calibri"/>
          <w:sz w:val="24"/>
          <w:szCs w:val="22"/>
        </w:rPr>
        <w:t>gadā atb</w:t>
      </w:r>
      <w:r w:rsidRPr="001603CD">
        <w:rPr>
          <w:rFonts w:eastAsia="Calibri"/>
          <w:sz w:val="24"/>
          <w:szCs w:val="22"/>
        </w:rPr>
        <w:t>ilstoši Ministru kabineta 2015.gada 28. jūlija noteikumiem Nr.</w:t>
      </w:r>
      <w:r w:rsidRPr="00301225">
        <w:rPr>
          <w:rFonts w:eastAsia="Calibri"/>
          <w:sz w:val="24"/>
          <w:szCs w:val="22"/>
        </w:rPr>
        <w:t>435 “Kārtība, kādā nosaka un kompensē ar sabiedriskā transporta pakalpojumu sniegšanu saistītos zaudējumus un izdevumus un nosaka sabiedriskā transporta pakalpojuma tarifu”. Gala norēķini ar pārvadātājiem tiek veikti pēc pārvadātāju gada pārskata iesniegšanas un faktisko zaudējumu aprēķina veikšanas.</w:t>
      </w:r>
    </w:p>
    <w:p w:rsidR="00272A83" w:rsidRDefault="00272A83" w:rsidP="00301225">
      <w:pPr>
        <w:ind w:right="-483" w:firstLine="567"/>
        <w:jc w:val="both"/>
        <w:rPr>
          <w:rFonts w:eastAsia="Calibri"/>
          <w:sz w:val="24"/>
          <w:szCs w:val="22"/>
        </w:rPr>
      </w:pPr>
    </w:p>
    <w:p w:rsidR="00272A83" w:rsidRDefault="00272A83" w:rsidP="00301225">
      <w:pPr>
        <w:ind w:right="-483" w:firstLine="567"/>
        <w:jc w:val="both"/>
        <w:rPr>
          <w:rFonts w:eastAsia="Calibri"/>
          <w:b/>
          <w:sz w:val="24"/>
          <w:szCs w:val="22"/>
          <w:u w:val="single"/>
        </w:rPr>
      </w:pPr>
    </w:p>
    <w:p w:rsidR="00272A83" w:rsidRPr="00272A83" w:rsidRDefault="00272A83" w:rsidP="00301225">
      <w:pPr>
        <w:ind w:right="-483" w:firstLine="567"/>
        <w:jc w:val="both"/>
        <w:rPr>
          <w:rFonts w:eastAsia="Calibri"/>
          <w:b/>
          <w:sz w:val="24"/>
          <w:szCs w:val="22"/>
          <w:u w:val="single"/>
        </w:rPr>
      </w:pPr>
      <w:r w:rsidRPr="00272A83">
        <w:rPr>
          <w:rFonts w:eastAsia="Calibri"/>
          <w:b/>
          <w:sz w:val="24"/>
          <w:szCs w:val="22"/>
          <w:u w:val="single"/>
        </w:rPr>
        <w:t>Labklājības ministrijas jomā:</w:t>
      </w:r>
    </w:p>
    <w:p w:rsidR="00272A83" w:rsidRDefault="00272A83" w:rsidP="00301225">
      <w:pPr>
        <w:ind w:right="-483" w:firstLine="567"/>
        <w:jc w:val="both"/>
        <w:rPr>
          <w:rFonts w:eastAsia="Calibri"/>
          <w:sz w:val="24"/>
          <w:szCs w:val="22"/>
        </w:rPr>
      </w:pPr>
    </w:p>
    <w:p w:rsidR="00272A83" w:rsidRPr="00272A83" w:rsidRDefault="00272A83" w:rsidP="00301225">
      <w:pPr>
        <w:ind w:right="-483" w:firstLine="567"/>
        <w:jc w:val="both"/>
        <w:rPr>
          <w:rFonts w:eastAsia="Calibri"/>
          <w:b/>
          <w:sz w:val="24"/>
          <w:szCs w:val="22"/>
        </w:rPr>
      </w:pPr>
      <w:r w:rsidRPr="00272A83">
        <w:rPr>
          <w:rFonts w:eastAsia="Calibri"/>
          <w:b/>
          <w:sz w:val="24"/>
          <w:szCs w:val="22"/>
        </w:rPr>
        <w:t>Puses vienojas:</w:t>
      </w:r>
    </w:p>
    <w:p w:rsidR="00272A83" w:rsidRDefault="00272A83" w:rsidP="00301225">
      <w:pPr>
        <w:ind w:right="-483" w:firstLine="567"/>
        <w:jc w:val="both"/>
        <w:rPr>
          <w:rFonts w:eastAsia="Calibri"/>
          <w:sz w:val="24"/>
          <w:szCs w:val="22"/>
        </w:rPr>
      </w:pPr>
      <w:r>
        <w:rPr>
          <w:rFonts w:eastAsia="Calibri"/>
          <w:sz w:val="24"/>
          <w:szCs w:val="22"/>
        </w:rPr>
        <w:t xml:space="preserve">Noteikt, ka 2019.gadā garantētais minimālais ienākumu līmenis personai tiek saglabāts 53 </w:t>
      </w:r>
      <w:proofErr w:type="spellStart"/>
      <w:r w:rsidRPr="00272A83">
        <w:rPr>
          <w:rFonts w:eastAsia="Calibri"/>
          <w:i/>
          <w:sz w:val="24"/>
          <w:szCs w:val="22"/>
        </w:rPr>
        <w:t>euro</w:t>
      </w:r>
      <w:proofErr w:type="spellEnd"/>
      <w:r w:rsidRPr="00272A83">
        <w:rPr>
          <w:rFonts w:eastAsia="Calibri"/>
          <w:i/>
          <w:sz w:val="24"/>
          <w:szCs w:val="22"/>
        </w:rPr>
        <w:t xml:space="preserve"> </w:t>
      </w:r>
      <w:r w:rsidRPr="00272A83">
        <w:rPr>
          <w:rFonts w:eastAsia="Calibri"/>
          <w:sz w:val="24"/>
          <w:szCs w:val="22"/>
        </w:rPr>
        <w:t>mēnesī.</w:t>
      </w:r>
    </w:p>
    <w:p w:rsidR="00272A83" w:rsidRPr="00272A83" w:rsidRDefault="00272A83" w:rsidP="00301225">
      <w:pPr>
        <w:ind w:right="-483" w:firstLine="567"/>
        <w:jc w:val="both"/>
        <w:rPr>
          <w:rFonts w:eastAsia="Calibri"/>
          <w:sz w:val="24"/>
          <w:szCs w:val="22"/>
        </w:rPr>
      </w:pPr>
    </w:p>
    <w:p w:rsidR="00272A83" w:rsidRPr="00301225" w:rsidRDefault="00272A83" w:rsidP="00301225">
      <w:pPr>
        <w:ind w:right="-483" w:firstLine="567"/>
        <w:jc w:val="both"/>
        <w:rPr>
          <w:rFonts w:eastAsia="Calibri"/>
          <w:sz w:val="24"/>
          <w:szCs w:val="22"/>
        </w:rPr>
      </w:pPr>
    </w:p>
    <w:tbl>
      <w:tblPr>
        <w:tblW w:w="13998" w:type="dxa"/>
        <w:tblInd w:w="-401" w:type="dxa"/>
        <w:tblLayout w:type="fixed"/>
        <w:tblLook w:val="0000" w:firstRow="0" w:lastRow="0" w:firstColumn="0" w:lastColumn="0" w:noHBand="0" w:noVBand="0"/>
      </w:tblPr>
      <w:tblGrid>
        <w:gridCol w:w="4642"/>
        <w:gridCol w:w="4678"/>
        <w:gridCol w:w="4678"/>
      </w:tblGrid>
      <w:tr w:rsidR="009F3779" w:rsidRPr="005B2FA9" w:rsidTr="006A6CBE">
        <w:tc>
          <w:tcPr>
            <w:tcW w:w="4642" w:type="dxa"/>
          </w:tcPr>
          <w:p w:rsidR="00BD5C84" w:rsidRDefault="00BD5C84" w:rsidP="00404F82">
            <w:pPr>
              <w:shd w:val="clear" w:color="auto" w:fill="FFFFFF"/>
              <w:jc w:val="center"/>
              <w:rPr>
                <w:sz w:val="24"/>
                <w:szCs w:val="24"/>
              </w:rPr>
            </w:pPr>
          </w:p>
          <w:p w:rsidR="00BD5C84" w:rsidRDefault="00BD5C84" w:rsidP="00404F82">
            <w:pPr>
              <w:shd w:val="clear" w:color="auto" w:fill="FFFFFF"/>
              <w:jc w:val="center"/>
              <w:rPr>
                <w:sz w:val="24"/>
                <w:szCs w:val="24"/>
              </w:rPr>
            </w:pPr>
          </w:p>
          <w:p w:rsidR="009F3779" w:rsidRPr="005B2FA9" w:rsidRDefault="009F3779" w:rsidP="007351B9">
            <w:pPr>
              <w:shd w:val="clear" w:color="auto" w:fill="FFFFFF"/>
              <w:jc w:val="center"/>
              <w:rPr>
                <w:sz w:val="24"/>
                <w:szCs w:val="24"/>
              </w:rPr>
            </w:pPr>
            <w:r w:rsidRPr="005B2FA9">
              <w:rPr>
                <w:sz w:val="24"/>
                <w:szCs w:val="24"/>
              </w:rPr>
              <w:t>Ministru prezident</w:t>
            </w:r>
            <w:r>
              <w:rPr>
                <w:sz w:val="24"/>
                <w:szCs w:val="24"/>
              </w:rPr>
              <w:t>s</w:t>
            </w:r>
          </w:p>
        </w:tc>
        <w:tc>
          <w:tcPr>
            <w:tcW w:w="4678" w:type="dxa"/>
          </w:tcPr>
          <w:p w:rsidR="00813A72" w:rsidRDefault="00813A72" w:rsidP="00404F82">
            <w:pPr>
              <w:shd w:val="clear" w:color="auto" w:fill="FFFFFF"/>
              <w:jc w:val="center"/>
              <w:rPr>
                <w:sz w:val="24"/>
                <w:szCs w:val="24"/>
              </w:rPr>
            </w:pPr>
          </w:p>
          <w:p w:rsidR="00813A72" w:rsidRDefault="00813A72" w:rsidP="00404F82">
            <w:pPr>
              <w:shd w:val="clear" w:color="auto" w:fill="FFFFFF"/>
              <w:jc w:val="center"/>
              <w:rPr>
                <w:sz w:val="24"/>
                <w:szCs w:val="24"/>
              </w:rPr>
            </w:pPr>
          </w:p>
          <w:p w:rsidR="009F3779" w:rsidRPr="005B2FA9" w:rsidRDefault="009F3779" w:rsidP="00404F82">
            <w:pPr>
              <w:shd w:val="clear" w:color="auto" w:fill="FFFFFF"/>
              <w:jc w:val="center"/>
              <w:rPr>
                <w:sz w:val="24"/>
                <w:szCs w:val="24"/>
              </w:rPr>
            </w:pPr>
            <w:r w:rsidRPr="005B2FA9">
              <w:rPr>
                <w:sz w:val="24"/>
                <w:szCs w:val="24"/>
              </w:rPr>
              <w:t>Latvijas Pašvaldību savienības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c>
          <w:tcPr>
            <w:tcW w:w="4642" w:type="dxa"/>
          </w:tcPr>
          <w:p w:rsidR="009F3779" w:rsidRPr="005B2FA9" w:rsidRDefault="009F3779" w:rsidP="00404F82">
            <w:pPr>
              <w:shd w:val="clear" w:color="auto" w:fill="FFFFFF"/>
              <w:jc w:val="center"/>
              <w:rPr>
                <w:sz w:val="24"/>
                <w:szCs w:val="24"/>
              </w:rPr>
            </w:pPr>
          </w:p>
        </w:tc>
        <w:tc>
          <w:tcPr>
            <w:tcW w:w="4678" w:type="dxa"/>
          </w:tcPr>
          <w:p w:rsidR="009F3779" w:rsidRPr="005B2FA9" w:rsidRDefault="009F3779" w:rsidP="00404F82">
            <w:pPr>
              <w:shd w:val="clear" w:color="auto" w:fill="FFFFFF"/>
              <w:jc w:val="center"/>
              <w:rPr>
                <w:sz w:val="24"/>
                <w:szCs w:val="24"/>
              </w:rPr>
            </w:pPr>
            <w:r w:rsidRPr="005B2FA9">
              <w:rPr>
                <w:sz w:val="24"/>
                <w:szCs w:val="24"/>
              </w:rPr>
              <w:t>priekšsēdis</w:t>
            </w:r>
          </w:p>
        </w:tc>
        <w:tc>
          <w:tcPr>
            <w:tcW w:w="4678" w:type="dxa"/>
          </w:tcPr>
          <w:p w:rsidR="009F3779" w:rsidRPr="005B2FA9" w:rsidRDefault="009F3779" w:rsidP="00404F82">
            <w:pPr>
              <w:shd w:val="clear" w:color="auto" w:fill="FFFFFF"/>
              <w:jc w:val="center"/>
              <w:rPr>
                <w:sz w:val="24"/>
                <w:szCs w:val="24"/>
              </w:rPr>
            </w:pPr>
          </w:p>
        </w:tc>
      </w:tr>
      <w:tr w:rsidR="009F3779" w:rsidRPr="005B2FA9" w:rsidTr="006A6CBE">
        <w:trPr>
          <w:trHeight w:val="236"/>
        </w:trPr>
        <w:tc>
          <w:tcPr>
            <w:tcW w:w="4642" w:type="dxa"/>
          </w:tcPr>
          <w:p w:rsidR="006A6CBE" w:rsidRDefault="006A6CBE" w:rsidP="006A6CBE">
            <w:pPr>
              <w:shd w:val="clear" w:color="auto" w:fill="FFFFFF"/>
              <w:rPr>
                <w:sz w:val="24"/>
                <w:szCs w:val="24"/>
              </w:rPr>
            </w:pPr>
          </w:p>
          <w:p w:rsidR="00CC2368" w:rsidRPr="005B2FA9" w:rsidRDefault="00CC2368" w:rsidP="006A6CBE">
            <w:pPr>
              <w:shd w:val="clear" w:color="auto" w:fill="FFFFFF"/>
              <w:rPr>
                <w:sz w:val="24"/>
                <w:szCs w:val="24"/>
              </w:rPr>
            </w:pPr>
          </w:p>
        </w:tc>
        <w:tc>
          <w:tcPr>
            <w:tcW w:w="4678" w:type="dxa"/>
          </w:tcPr>
          <w:p w:rsidR="009F3779" w:rsidRPr="005B2FA9" w:rsidRDefault="009F3779" w:rsidP="006A6CBE">
            <w:pPr>
              <w:shd w:val="clear" w:color="auto" w:fill="FFFFFF"/>
              <w:rPr>
                <w:sz w:val="24"/>
                <w:szCs w:val="24"/>
              </w:rPr>
            </w:pPr>
          </w:p>
        </w:tc>
        <w:tc>
          <w:tcPr>
            <w:tcW w:w="4678" w:type="dxa"/>
          </w:tcPr>
          <w:p w:rsidR="009F3779" w:rsidRDefault="009F3779" w:rsidP="00404F82">
            <w:pPr>
              <w:shd w:val="clear" w:color="auto" w:fill="FFFFFF"/>
              <w:jc w:val="center"/>
              <w:rPr>
                <w:sz w:val="24"/>
                <w:szCs w:val="24"/>
              </w:rPr>
            </w:pPr>
          </w:p>
        </w:tc>
      </w:tr>
      <w:tr w:rsidR="009F3779" w:rsidRPr="005B2FA9" w:rsidTr="006A6CBE">
        <w:trPr>
          <w:trHeight w:val="361"/>
        </w:trPr>
        <w:tc>
          <w:tcPr>
            <w:tcW w:w="4642" w:type="dxa"/>
          </w:tcPr>
          <w:p w:rsidR="0092339D" w:rsidRDefault="0092339D" w:rsidP="007351B9">
            <w:pPr>
              <w:shd w:val="clear" w:color="auto" w:fill="FFFFFF"/>
              <w:ind w:left="1287"/>
              <w:rPr>
                <w:sz w:val="24"/>
                <w:szCs w:val="24"/>
              </w:rPr>
            </w:pPr>
          </w:p>
          <w:p w:rsidR="009F3779" w:rsidRPr="005B2FA9" w:rsidRDefault="001A6248" w:rsidP="007351B9">
            <w:pPr>
              <w:shd w:val="clear" w:color="auto" w:fill="FFFFFF"/>
              <w:ind w:left="1287"/>
              <w:rPr>
                <w:sz w:val="24"/>
                <w:szCs w:val="24"/>
              </w:rPr>
            </w:pPr>
            <w:proofErr w:type="spellStart"/>
            <w:r>
              <w:rPr>
                <w:sz w:val="24"/>
                <w:szCs w:val="24"/>
              </w:rPr>
              <w:t>A.K.Kariņš</w:t>
            </w:r>
            <w:proofErr w:type="spellEnd"/>
          </w:p>
        </w:tc>
        <w:tc>
          <w:tcPr>
            <w:tcW w:w="4678" w:type="dxa"/>
          </w:tcPr>
          <w:p w:rsidR="0092339D" w:rsidRDefault="0092339D" w:rsidP="00530F4C">
            <w:pPr>
              <w:shd w:val="clear" w:color="auto" w:fill="FFFFFF"/>
              <w:jc w:val="center"/>
              <w:rPr>
                <w:sz w:val="24"/>
                <w:szCs w:val="24"/>
              </w:rPr>
            </w:pPr>
          </w:p>
          <w:p w:rsidR="009F3779" w:rsidRPr="005B2FA9" w:rsidRDefault="004720A5" w:rsidP="00530F4C">
            <w:pPr>
              <w:shd w:val="clear" w:color="auto" w:fill="FFFFFF"/>
              <w:jc w:val="center"/>
              <w:rPr>
                <w:sz w:val="24"/>
                <w:szCs w:val="24"/>
              </w:rPr>
            </w:pPr>
            <w:proofErr w:type="spellStart"/>
            <w:r>
              <w:rPr>
                <w:sz w:val="24"/>
                <w:szCs w:val="24"/>
              </w:rPr>
              <w:t>G.Kaminskis</w:t>
            </w:r>
            <w:proofErr w:type="spellEnd"/>
          </w:p>
        </w:tc>
        <w:tc>
          <w:tcPr>
            <w:tcW w:w="4678" w:type="dxa"/>
          </w:tcPr>
          <w:p w:rsidR="009F3779" w:rsidRPr="005B2FA9" w:rsidRDefault="009F3779" w:rsidP="00404F82">
            <w:pPr>
              <w:shd w:val="clear" w:color="auto" w:fill="FFFFFF"/>
              <w:jc w:val="center"/>
              <w:rPr>
                <w:sz w:val="24"/>
                <w:szCs w:val="24"/>
              </w:rPr>
            </w:pPr>
          </w:p>
        </w:tc>
      </w:tr>
    </w:tbl>
    <w:p w:rsidR="00C939F4" w:rsidRDefault="00C939F4" w:rsidP="00E92855">
      <w:pPr>
        <w:rPr>
          <w:sz w:val="24"/>
          <w:szCs w:val="24"/>
        </w:rPr>
      </w:pPr>
    </w:p>
    <w:p w:rsidR="0092339D" w:rsidRDefault="0092339D" w:rsidP="00EF51B1">
      <w:pPr>
        <w:rPr>
          <w:sz w:val="24"/>
          <w:szCs w:val="24"/>
        </w:rPr>
      </w:pPr>
    </w:p>
    <w:p w:rsidR="00272A83" w:rsidRDefault="00272A83" w:rsidP="00EF51B1">
      <w:pPr>
        <w:rPr>
          <w:sz w:val="24"/>
          <w:szCs w:val="24"/>
        </w:rPr>
      </w:pPr>
    </w:p>
    <w:p w:rsidR="00272A83" w:rsidRDefault="00272A83" w:rsidP="00EF51B1">
      <w:pPr>
        <w:rPr>
          <w:sz w:val="24"/>
          <w:szCs w:val="24"/>
        </w:rPr>
      </w:pPr>
    </w:p>
    <w:p w:rsidR="00272A83" w:rsidRDefault="00272A83" w:rsidP="00EF51B1">
      <w:pPr>
        <w:rPr>
          <w:sz w:val="24"/>
          <w:szCs w:val="24"/>
        </w:rPr>
      </w:pPr>
    </w:p>
    <w:p w:rsidR="00272A83" w:rsidRDefault="00272A83" w:rsidP="00EF51B1">
      <w:pPr>
        <w:rPr>
          <w:sz w:val="24"/>
          <w:szCs w:val="24"/>
        </w:rPr>
      </w:pPr>
    </w:p>
    <w:p w:rsidR="00272A83" w:rsidRDefault="00272A83" w:rsidP="00EF51B1">
      <w:pPr>
        <w:rPr>
          <w:sz w:val="24"/>
          <w:szCs w:val="24"/>
        </w:rPr>
      </w:pPr>
    </w:p>
    <w:p w:rsidR="00272A83" w:rsidRDefault="00272A83" w:rsidP="00EF51B1">
      <w:pPr>
        <w:rPr>
          <w:sz w:val="24"/>
          <w:szCs w:val="24"/>
        </w:rPr>
      </w:pPr>
    </w:p>
    <w:p w:rsidR="00EF51B1" w:rsidRDefault="004C3367" w:rsidP="00EF51B1">
      <w:pPr>
        <w:rPr>
          <w:sz w:val="24"/>
          <w:szCs w:val="24"/>
        </w:rPr>
      </w:pPr>
      <w:r>
        <w:rPr>
          <w:sz w:val="24"/>
          <w:szCs w:val="24"/>
        </w:rPr>
        <w:t>Fi</w:t>
      </w:r>
      <w:r w:rsidR="00EF51B1">
        <w:rPr>
          <w:sz w:val="24"/>
          <w:szCs w:val="24"/>
        </w:rPr>
        <w:t>nanšu ministr</w:t>
      </w:r>
      <w:r w:rsidR="00FE1238">
        <w:rPr>
          <w:sz w:val="24"/>
          <w:szCs w:val="24"/>
        </w:rPr>
        <w:t>s</w:t>
      </w:r>
      <w:r w:rsidR="00EF51B1">
        <w:rPr>
          <w:sz w:val="24"/>
          <w:szCs w:val="24"/>
        </w:rPr>
        <w:tab/>
      </w:r>
      <w:r w:rsidR="00EF51B1">
        <w:rPr>
          <w:sz w:val="24"/>
          <w:szCs w:val="24"/>
        </w:rPr>
        <w:tab/>
      </w:r>
      <w:r w:rsidR="00EF51B1">
        <w:rPr>
          <w:sz w:val="24"/>
          <w:szCs w:val="24"/>
        </w:rPr>
        <w:tab/>
      </w:r>
      <w:r w:rsidR="00EF51B1">
        <w:rPr>
          <w:sz w:val="24"/>
          <w:szCs w:val="24"/>
        </w:rPr>
        <w:tab/>
      </w:r>
      <w:r w:rsidR="00EF51B1">
        <w:rPr>
          <w:sz w:val="24"/>
          <w:szCs w:val="24"/>
        </w:rPr>
        <w:tab/>
      </w:r>
      <w:r w:rsidR="007F1A21">
        <w:rPr>
          <w:sz w:val="24"/>
          <w:szCs w:val="24"/>
        </w:rPr>
        <w:tab/>
      </w:r>
      <w:r w:rsidR="007F1A21">
        <w:rPr>
          <w:sz w:val="24"/>
          <w:szCs w:val="24"/>
        </w:rPr>
        <w:tab/>
      </w:r>
      <w:r w:rsidR="00EF51B1">
        <w:rPr>
          <w:sz w:val="24"/>
          <w:szCs w:val="24"/>
        </w:rPr>
        <w:tab/>
      </w:r>
      <w:proofErr w:type="spellStart"/>
      <w:r w:rsidR="001A6248">
        <w:rPr>
          <w:sz w:val="24"/>
          <w:szCs w:val="24"/>
        </w:rPr>
        <w:t>J.Reirs</w:t>
      </w:r>
      <w:proofErr w:type="spellEnd"/>
    </w:p>
    <w:sectPr w:rsidR="00EF51B1" w:rsidSect="00E92855">
      <w:headerReference w:type="default" r:id="rId8"/>
      <w:footerReference w:type="default" r:id="rId9"/>
      <w:headerReference w:type="first" r:id="rId10"/>
      <w:footerReference w:type="first" r:id="rId11"/>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EF" w:rsidRDefault="006A75EF" w:rsidP="00436629">
      <w:r>
        <w:separator/>
      </w:r>
    </w:p>
  </w:endnote>
  <w:endnote w:type="continuationSeparator" w:id="0">
    <w:p w:rsidR="006A75EF" w:rsidRDefault="006A75EF"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B1" w:rsidRDefault="003E45B3" w:rsidP="00EF51B1">
    <w:pPr>
      <w:tabs>
        <w:tab w:val="center" w:pos="4320"/>
        <w:tab w:val="right" w:pos="8640"/>
      </w:tabs>
      <w:jc w:val="both"/>
    </w:pPr>
    <w:r>
      <w:t>FMprot_</w:t>
    </w:r>
    <w:r w:rsidR="009C7DA9">
      <w:t>2</w:t>
    </w:r>
    <w:r w:rsidR="00323483">
      <w:t>7</w:t>
    </w:r>
    <w:r>
      <w:t>0219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B1" w:rsidRDefault="003E45B3" w:rsidP="0076754D">
    <w:pPr>
      <w:tabs>
        <w:tab w:val="center" w:pos="4320"/>
        <w:tab w:val="right" w:pos="8640"/>
      </w:tabs>
      <w:jc w:val="both"/>
    </w:pPr>
    <w:r>
      <w:t>FMprot_</w:t>
    </w:r>
    <w:r w:rsidR="009C7DA9">
      <w:t>2</w:t>
    </w:r>
    <w:r w:rsidR="00323483">
      <w:t>7</w:t>
    </w:r>
    <w:r>
      <w:t>0219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EF" w:rsidRDefault="006A75EF" w:rsidP="00436629">
      <w:r>
        <w:separator/>
      </w:r>
    </w:p>
  </w:footnote>
  <w:footnote w:type="continuationSeparator" w:id="0">
    <w:p w:rsidR="006A75EF" w:rsidRDefault="006A75EF"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Pr="001F13CF" w:rsidRDefault="007F0E65">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9B3471">
      <w:rPr>
        <w:rStyle w:val="PageNumber"/>
        <w:bCs/>
        <w:noProof/>
      </w:rPr>
      <w:t>2</w:t>
    </w:r>
    <w:r w:rsidRPr="001F13CF">
      <w:rPr>
        <w:rStyle w:val="PageNumber"/>
        <w:bCs/>
      </w:rPr>
      <w:fldChar w:fldCharType="end"/>
    </w:r>
  </w:p>
  <w:p w:rsidR="007F0E65" w:rsidRDefault="007F0E65">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5" w:rsidRDefault="007F0E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1AE"/>
    <w:multiLevelType w:val="hybridMultilevel"/>
    <w:tmpl w:val="C7E2A700"/>
    <w:lvl w:ilvl="0" w:tplc="3D902432">
      <w:start w:val="1"/>
      <w:numFmt w:val="decimal"/>
      <w:lvlText w:val="%1)"/>
      <w:lvlJc w:val="left"/>
      <w:pPr>
        <w:ind w:left="1080" w:hanging="360"/>
      </w:pPr>
      <w:rPr>
        <w:rFonts w:ascii="Times New Roman" w:eastAsiaTheme="minorEastAsia" w:hAnsi="Times New Roman" w:cs="Times New Roman"/>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006D8F"/>
    <w:multiLevelType w:val="hybridMultilevel"/>
    <w:tmpl w:val="9C04D4B4"/>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A5E628A"/>
    <w:multiLevelType w:val="hybridMultilevel"/>
    <w:tmpl w:val="F32EAF2E"/>
    <w:lvl w:ilvl="0" w:tplc="A7F86DC6">
      <w:start w:val="1"/>
      <w:numFmt w:val="decimal"/>
      <w:lvlText w:val="%1)"/>
      <w:lvlJc w:val="left"/>
      <w:pPr>
        <w:ind w:left="1440" w:hanging="360"/>
      </w:pPr>
      <w:rPr>
        <w:rFonts w:hint="default"/>
        <w:color w:val="auto"/>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233210"/>
    <w:multiLevelType w:val="multilevel"/>
    <w:tmpl w:val="A60A5A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570C8"/>
    <w:multiLevelType w:val="hybridMultilevel"/>
    <w:tmpl w:val="13225362"/>
    <w:lvl w:ilvl="0" w:tplc="7E0871A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66A1B2B"/>
    <w:multiLevelType w:val="multilevel"/>
    <w:tmpl w:val="B3F2CC0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43F0B"/>
    <w:multiLevelType w:val="hybridMultilevel"/>
    <w:tmpl w:val="06AE8842"/>
    <w:lvl w:ilvl="0" w:tplc="B650C488">
      <w:start w:val="1"/>
      <w:numFmt w:val="decimal"/>
      <w:lvlText w:val="%1."/>
      <w:lvlJc w:val="left"/>
      <w:pPr>
        <w:ind w:left="360" w:hanging="360"/>
      </w:pPr>
      <w:rPr>
        <w:rFonts w:ascii="Times New Roman" w:eastAsiaTheme="minorHAnsi" w:hAnsi="Times New Roman" w:cstheme="minorBidi"/>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AAB4CD7"/>
    <w:multiLevelType w:val="hybridMultilevel"/>
    <w:tmpl w:val="50E6E5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84CC2"/>
    <w:multiLevelType w:val="hybridMultilevel"/>
    <w:tmpl w:val="68947EFA"/>
    <w:lvl w:ilvl="0" w:tplc="32763C3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EF13026"/>
    <w:multiLevelType w:val="multilevel"/>
    <w:tmpl w:val="23302E76"/>
    <w:lvl w:ilvl="0">
      <w:start w:val="1"/>
      <w:numFmt w:val="decimal"/>
      <w:lvlText w:val="%1."/>
      <w:lvlJc w:val="left"/>
      <w:pPr>
        <w:ind w:left="360" w:hanging="360"/>
      </w:pPr>
      <w:rPr>
        <w:rFonts w:ascii="Times New Roman" w:eastAsia="Times New Roman" w:hAnsi="Times New Roman" w:cs="Times New Roman"/>
        <w:b w:val="0"/>
        <w:strike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EF1833"/>
    <w:multiLevelType w:val="hybridMultilevel"/>
    <w:tmpl w:val="04FED268"/>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465FD"/>
    <w:multiLevelType w:val="multilevel"/>
    <w:tmpl w:val="669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2" w15:restartNumberingAfterBreak="0">
    <w:nsid w:val="283772AC"/>
    <w:multiLevelType w:val="hybridMultilevel"/>
    <w:tmpl w:val="FD8A50A2"/>
    <w:lvl w:ilvl="0" w:tplc="A7F86DC6">
      <w:start w:val="1"/>
      <w:numFmt w:val="decimal"/>
      <w:lvlText w:val="%1)"/>
      <w:lvlJc w:val="left"/>
      <w:pPr>
        <w:ind w:left="927" w:hanging="360"/>
      </w:pPr>
      <w:rPr>
        <w:rFonts w:hint="default"/>
        <w:color w:val="auto"/>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AEC47F5"/>
    <w:multiLevelType w:val="hybridMultilevel"/>
    <w:tmpl w:val="A2BA20D2"/>
    <w:lvl w:ilvl="0" w:tplc="7E0871AE">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4" w15:restartNumberingAfterBreak="0">
    <w:nsid w:val="321C228B"/>
    <w:multiLevelType w:val="hybridMultilevel"/>
    <w:tmpl w:val="4C86421E"/>
    <w:lvl w:ilvl="0" w:tplc="D0D03DAE">
      <w:start w:val="1"/>
      <w:numFmt w:val="lowerLetter"/>
      <w:lvlText w:val="%1)"/>
      <w:lvlJc w:val="left"/>
      <w:pPr>
        <w:ind w:left="1778" w:hanging="360"/>
      </w:pPr>
      <w:rPr>
        <w:rFonts w:ascii="Times New Roman" w:eastAsia="Calibri" w:hAnsi="Times New Roman" w:cs="Times New Roman"/>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5" w15:restartNumberingAfterBreak="0">
    <w:nsid w:val="32372F3D"/>
    <w:multiLevelType w:val="multilevel"/>
    <w:tmpl w:val="ECF04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8A08D0"/>
    <w:multiLevelType w:val="hybridMultilevel"/>
    <w:tmpl w:val="16F4FB80"/>
    <w:lvl w:ilvl="0" w:tplc="D1E85C4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4D34D26"/>
    <w:multiLevelType w:val="multilevel"/>
    <w:tmpl w:val="E50ED9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38CE06C2"/>
    <w:multiLevelType w:val="hybridMultilevel"/>
    <w:tmpl w:val="3A8EB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22164C"/>
    <w:multiLevelType w:val="hybridMultilevel"/>
    <w:tmpl w:val="526C7FE0"/>
    <w:lvl w:ilvl="0" w:tplc="0426000F">
      <w:start w:val="1"/>
      <w:numFmt w:val="decimal"/>
      <w:lvlText w:val="%1."/>
      <w:lvlJc w:val="left"/>
      <w:pPr>
        <w:ind w:left="927" w:hanging="360"/>
      </w:pPr>
      <w:rPr>
        <w:rFonts w:hint="default"/>
        <w:color w:val="auto"/>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21" w15:restartNumberingAfterBreak="0">
    <w:nsid w:val="404A24EE"/>
    <w:multiLevelType w:val="hybridMultilevel"/>
    <w:tmpl w:val="0CF0CA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3A30B77"/>
    <w:multiLevelType w:val="hybridMultilevel"/>
    <w:tmpl w:val="14EA940E"/>
    <w:lvl w:ilvl="0" w:tplc="E1529A68">
      <w:start w:val="20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F95005"/>
    <w:multiLevelType w:val="hybridMultilevel"/>
    <w:tmpl w:val="22D6D35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18824BF"/>
    <w:multiLevelType w:val="hybridMultilevel"/>
    <w:tmpl w:val="43741366"/>
    <w:lvl w:ilvl="0" w:tplc="8CB8F4E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22B7F88"/>
    <w:multiLevelType w:val="hybridMultilevel"/>
    <w:tmpl w:val="74A2E4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6F3003"/>
    <w:multiLevelType w:val="hybridMultilevel"/>
    <w:tmpl w:val="507E79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45F14A5"/>
    <w:multiLevelType w:val="hybridMultilevel"/>
    <w:tmpl w:val="49C8CF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177828"/>
    <w:multiLevelType w:val="hybridMultilevel"/>
    <w:tmpl w:val="D690E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756C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305386"/>
    <w:multiLevelType w:val="multilevel"/>
    <w:tmpl w:val="9D925DD8"/>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1" w15:restartNumberingAfterBreak="0">
    <w:nsid w:val="60963109"/>
    <w:multiLevelType w:val="hybridMultilevel"/>
    <w:tmpl w:val="B862F6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60A60741"/>
    <w:multiLevelType w:val="hybridMultilevel"/>
    <w:tmpl w:val="5B6CD55E"/>
    <w:lvl w:ilvl="0" w:tplc="9A6CA58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3" w15:restartNumberingAfterBreak="0">
    <w:nsid w:val="61A41AE3"/>
    <w:multiLevelType w:val="hybridMultilevel"/>
    <w:tmpl w:val="3E9EA506"/>
    <w:lvl w:ilvl="0" w:tplc="7E0871A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63C40FB4"/>
    <w:multiLevelType w:val="hybridMultilevel"/>
    <w:tmpl w:val="38CE9472"/>
    <w:lvl w:ilvl="0" w:tplc="87788378">
      <w:start w:val="1"/>
      <w:numFmt w:val="decimal"/>
      <w:lvlText w:val="%1."/>
      <w:lvlJc w:val="left"/>
      <w:pPr>
        <w:ind w:left="2062" w:hanging="360"/>
      </w:pPr>
      <w:rPr>
        <w:rFonts w:eastAsiaTheme="majorEastAsia" w:cstheme="minorBidi" w:hint="default"/>
        <w:b w:val="0"/>
        <w:sz w:val="26"/>
      </w:r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5" w15:restartNumberingAfterBreak="0">
    <w:nsid w:val="64724066"/>
    <w:multiLevelType w:val="hybridMultilevel"/>
    <w:tmpl w:val="32FA056E"/>
    <w:lvl w:ilvl="0" w:tplc="71C03002">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6" w15:restartNumberingAfterBreak="0">
    <w:nsid w:val="66EF36D3"/>
    <w:multiLevelType w:val="hybridMultilevel"/>
    <w:tmpl w:val="E5301DF8"/>
    <w:lvl w:ilvl="0" w:tplc="A7365400">
      <w:start w:val="1"/>
      <w:numFmt w:val="decimal"/>
      <w:lvlText w:val="%1)"/>
      <w:lvlJc w:val="left"/>
      <w:pPr>
        <w:ind w:left="433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71B48A7"/>
    <w:multiLevelType w:val="hybridMultilevel"/>
    <w:tmpl w:val="087272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A242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1B3F38"/>
    <w:multiLevelType w:val="hybridMultilevel"/>
    <w:tmpl w:val="01FA573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0" w15:restartNumberingAfterBreak="0">
    <w:nsid w:val="72A90352"/>
    <w:multiLevelType w:val="multilevel"/>
    <w:tmpl w:val="087AA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340743"/>
    <w:multiLevelType w:val="hybridMultilevel"/>
    <w:tmpl w:val="67D0F50A"/>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42" w15:restartNumberingAfterBreak="0">
    <w:nsid w:val="79B73D9C"/>
    <w:multiLevelType w:val="hybridMultilevel"/>
    <w:tmpl w:val="70D8AF92"/>
    <w:lvl w:ilvl="0" w:tplc="7E0871A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1"/>
  </w:num>
  <w:num w:numId="5">
    <w:abstractNumId w:val="8"/>
  </w:num>
  <w:num w:numId="6">
    <w:abstractNumId w:val="20"/>
  </w:num>
  <w:num w:numId="7">
    <w:abstractNumId w:val="36"/>
  </w:num>
  <w:num w:numId="8">
    <w:abstractNumId w:val="0"/>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3"/>
  </w:num>
  <w:num w:numId="15">
    <w:abstractNumId w:val="7"/>
  </w:num>
  <w:num w:numId="16">
    <w:abstractNumId w:val="23"/>
  </w:num>
  <w:num w:numId="17">
    <w:abstractNumId w:val="34"/>
  </w:num>
  <w:num w:numId="18">
    <w:abstractNumId w:val="39"/>
  </w:num>
  <w:num w:numId="19">
    <w:abstractNumId w:val="28"/>
  </w:num>
  <w:num w:numId="20">
    <w:abstractNumId w:val="37"/>
  </w:num>
  <w:num w:numId="21">
    <w:abstractNumId w:val="24"/>
  </w:num>
  <w:num w:numId="22">
    <w:abstractNumId w:val="42"/>
  </w:num>
  <w:num w:numId="23">
    <w:abstractNumId w:val="2"/>
  </w:num>
  <w:num w:numId="24">
    <w:abstractNumId w:val="12"/>
  </w:num>
  <w:num w:numId="25">
    <w:abstractNumId w:val="22"/>
  </w:num>
  <w:num w:numId="26">
    <w:abstractNumId w:val="4"/>
  </w:num>
  <w:num w:numId="27">
    <w:abstractNumId w:val="26"/>
  </w:num>
  <w:num w:numId="28">
    <w:abstractNumId w:val="33"/>
  </w:num>
  <w:num w:numId="29">
    <w:abstractNumId w:val="15"/>
  </w:num>
  <w:num w:numId="30">
    <w:abstractNumId w:val="19"/>
  </w:num>
  <w:num w:numId="31">
    <w:abstractNumId w:val="31"/>
  </w:num>
  <w:num w:numId="32">
    <w:abstractNumId w:val="2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5"/>
  </w:num>
  <w:num w:numId="36">
    <w:abstractNumId w:val="9"/>
  </w:num>
  <w:num w:numId="37">
    <w:abstractNumId w:val="40"/>
  </w:num>
  <w:num w:numId="38">
    <w:abstractNumId w:val="6"/>
    <w:lvlOverride w:ilvl="0">
      <w:startOverride w:val="1"/>
    </w:lvlOverride>
    <w:lvlOverride w:ilvl="1"/>
    <w:lvlOverride w:ilvl="2"/>
    <w:lvlOverride w:ilvl="3"/>
    <w:lvlOverride w:ilvl="4"/>
    <w:lvlOverride w:ilvl="5"/>
    <w:lvlOverride w:ilvl="6"/>
    <w:lvlOverride w:ilvl="7"/>
    <w:lvlOverride w:ilvl="8"/>
  </w:num>
  <w:num w:numId="3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
  </w:num>
  <w:num w:numId="44">
    <w:abstractNumId w:val="3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10D2"/>
    <w:rsid w:val="000019D0"/>
    <w:rsid w:val="00001C0D"/>
    <w:rsid w:val="00001C25"/>
    <w:rsid w:val="0000232E"/>
    <w:rsid w:val="000048AD"/>
    <w:rsid w:val="0000589D"/>
    <w:rsid w:val="0001114B"/>
    <w:rsid w:val="000118FD"/>
    <w:rsid w:val="00011F5C"/>
    <w:rsid w:val="00013B53"/>
    <w:rsid w:val="00022F91"/>
    <w:rsid w:val="00024996"/>
    <w:rsid w:val="00030500"/>
    <w:rsid w:val="0003053C"/>
    <w:rsid w:val="0003088C"/>
    <w:rsid w:val="00031409"/>
    <w:rsid w:val="000328A5"/>
    <w:rsid w:val="00033D97"/>
    <w:rsid w:val="00034653"/>
    <w:rsid w:val="000359AE"/>
    <w:rsid w:val="000370DA"/>
    <w:rsid w:val="00044383"/>
    <w:rsid w:val="00047058"/>
    <w:rsid w:val="00047DA0"/>
    <w:rsid w:val="000502DE"/>
    <w:rsid w:val="00054FC0"/>
    <w:rsid w:val="000556D4"/>
    <w:rsid w:val="00055787"/>
    <w:rsid w:val="00056D45"/>
    <w:rsid w:val="00060A4C"/>
    <w:rsid w:val="00061BBC"/>
    <w:rsid w:val="000627D6"/>
    <w:rsid w:val="00064EF8"/>
    <w:rsid w:val="00065262"/>
    <w:rsid w:val="000661FE"/>
    <w:rsid w:val="000668C8"/>
    <w:rsid w:val="000675FA"/>
    <w:rsid w:val="00067933"/>
    <w:rsid w:val="00067B58"/>
    <w:rsid w:val="0007037B"/>
    <w:rsid w:val="00070A09"/>
    <w:rsid w:val="00073F19"/>
    <w:rsid w:val="00080DA7"/>
    <w:rsid w:val="00081F40"/>
    <w:rsid w:val="000823DD"/>
    <w:rsid w:val="000838C1"/>
    <w:rsid w:val="00083AFA"/>
    <w:rsid w:val="00084649"/>
    <w:rsid w:val="0008744F"/>
    <w:rsid w:val="0008753B"/>
    <w:rsid w:val="00090379"/>
    <w:rsid w:val="00090F7B"/>
    <w:rsid w:val="00092D76"/>
    <w:rsid w:val="000937B1"/>
    <w:rsid w:val="000A01F8"/>
    <w:rsid w:val="000A0F14"/>
    <w:rsid w:val="000A6825"/>
    <w:rsid w:val="000A7673"/>
    <w:rsid w:val="000B0445"/>
    <w:rsid w:val="000B554C"/>
    <w:rsid w:val="000B6237"/>
    <w:rsid w:val="000B676C"/>
    <w:rsid w:val="000B79D4"/>
    <w:rsid w:val="000C066A"/>
    <w:rsid w:val="000C117D"/>
    <w:rsid w:val="000C19C8"/>
    <w:rsid w:val="000D0357"/>
    <w:rsid w:val="000D1EA4"/>
    <w:rsid w:val="000D3A27"/>
    <w:rsid w:val="000D3FFB"/>
    <w:rsid w:val="000D4B3F"/>
    <w:rsid w:val="000D5A3A"/>
    <w:rsid w:val="000E3BAC"/>
    <w:rsid w:val="000E3CDA"/>
    <w:rsid w:val="000E4D31"/>
    <w:rsid w:val="000E5C10"/>
    <w:rsid w:val="000E75B2"/>
    <w:rsid w:val="000F1CA1"/>
    <w:rsid w:val="000F2A4A"/>
    <w:rsid w:val="000F3073"/>
    <w:rsid w:val="000F7053"/>
    <w:rsid w:val="001000C4"/>
    <w:rsid w:val="0010203A"/>
    <w:rsid w:val="001033CD"/>
    <w:rsid w:val="00103755"/>
    <w:rsid w:val="00103926"/>
    <w:rsid w:val="00103FC6"/>
    <w:rsid w:val="001046F3"/>
    <w:rsid w:val="00104ACE"/>
    <w:rsid w:val="001062B5"/>
    <w:rsid w:val="00110958"/>
    <w:rsid w:val="00110B46"/>
    <w:rsid w:val="00111294"/>
    <w:rsid w:val="00111B9C"/>
    <w:rsid w:val="00112CE1"/>
    <w:rsid w:val="0011445C"/>
    <w:rsid w:val="00114AA2"/>
    <w:rsid w:val="00117814"/>
    <w:rsid w:val="00121862"/>
    <w:rsid w:val="00123E83"/>
    <w:rsid w:val="001261A5"/>
    <w:rsid w:val="001274BF"/>
    <w:rsid w:val="00127C26"/>
    <w:rsid w:val="001303FC"/>
    <w:rsid w:val="00130EB2"/>
    <w:rsid w:val="0013200C"/>
    <w:rsid w:val="00133981"/>
    <w:rsid w:val="00133A7C"/>
    <w:rsid w:val="00136E7C"/>
    <w:rsid w:val="001375F2"/>
    <w:rsid w:val="00141062"/>
    <w:rsid w:val="00143A2B"/>
    <w:rsid w:val="00143C50"/>
    <w:rsid w:val="001447E0"/>
    <w:rsid w:val="001463F1"/>
    <w:rsid w:val="001469D1"/>
    <w:rsid w:val="00146F8A"/>
    <w:rsid w:val="001479D2"/>
    <w:rsid w:val="00151C74"/>
    <w:rsid w:val="00152814"/>
    <w:rsid w:val="00152C7C"/>
    <w:rsid w:val="00154B67"/>
    <w:rsid w:val="00156CC7"/>
    <w:rsid w:val="00157EEA"/>
    <w:rsid w:val="001603CD"/>
    <w:rsid w:val="00164E0C"/>
    <w:rsid w:val="0016706F"/>
    <w:rsid w:val="00167974"/>
    <w:rsid w:val="0017274D"/>
    <w:rsid w:val="00172E4C"/>
    <w:rsid w:val="00173599"/>
    <w:rsid w:val="00173AB7"/>
    <w:rsid w:val="00174874"/>
    <w:rsid w:val="00175E4B"/>
    <w:rsid w:val="00176E8C"/>
    <w:rsid w:val="00177514"/>
    <w:rsid w:val="00183EB3"/>
    <w:rsid w:val="00186E70"/>
    <w:rsid w:val="00191D22"/>
    <w:rsid w:val="00192D7E"/>
    <w:rsid w:val="001957AD"/>
    <w:rsid w:val="0019596F"/>
    <w:rsid w:val="00195E0E"/>
    <w:rsid w:val="001A0023"/>
    <w:rsid w:val="001A0651"/>
    <w:rsid w:val="001A0BB2"/>
    <w:rsid w:val="001A12CC"/>
    <w:rsid w:val="001A3DBC"/>
    <w:rsid w:val="001A6248"/>
    <w:rsid w:val="001B1543"/>
    <w:rsid w:val="001B2DED"/>
    <w:rsid w:val="001B3AAB"/>
    <w:rsid w:val="001B446C"/>
    <w:rsid w:val="001B4A09"/>
    <w:rsid w:val="001B61A6"/>
    <w:rsid w:val="001B65ED"/>
    <w:rsid w:val="001C0F0F"/>
    <w:rsid w:val="001C2D41"/>
    <w:rsid w:val="001C496B"/>
    <w:rsid w:val="001D203A"/>
    <w:rsid w:val="001D3960"/>
    <w:rsid w:val="001D4D37"/>
    <w:rsid w:val="001E1392"/>
    <w:rsid w:val="001E3703"/>
    <w:rsid w:val="001E3DF6"/>
    <w:rsid w:val="001E4AEB"/>
    <w:rsid w:val="001F1006"/>
    <w:rsid w:val="001F2846"/>
    <w:rsid w:val="001F46B8"/>
    <w:rsid w:val="001F69C7"/>
    <w:rsid w:val="001F768E"/>
    <w:rsid w:val="002025A4"/>
    <w:rsid w:val="00206414"/>
    <w:rsid w:val="00212383"/>
    <w:rsid w:val="00212581"/>
    <w:rsid w:val="002126D8"/>
    <w:rsid w:val="00212BA0"/>
    <w:rsid w:val="002141E6"/>
    <w:rsid w:val="00215930"/>
    <w:rsid w:val="00220969"/>
    <w:rsid w:val="0022383C"/>
    <w:rsid w:val="00225438"/>
    <w:rsid w:val="00226ADD"/>
    <w:rsid w:val="00230D1B"/>
    <w:rsid w:val="00230EE7"/>
    <w:rsid w:val="002324BE"/>
    <w:rsid w:val="00233413"/>
    <w:rsid w:val="00234049"/>
    <w:rsid w:val="0023485D"/>
    <w:rsid w:val="0023512D"/>
    <w:rsid w:val="00237A5D"/>
    <w:rsid w:val="002421A2"/>
    <w:rsid w:val="00242675"/>
    <w:rsid w:val="00242EED"/>
    <w:rsid w:val="002440CB"/>
    <w:rsid w:val="002449BE"/>
    <w:rsid w:val="002450E0"/>
    <w:rsid w:val="002455C5"/>
    <w:rsid w:val="0024799F"/>
    <w:rsid w:val="0025080F"/>
    <w:rsid w:val="00250E34"/>
    <w:rsid w:val="00250E3D"/>
    <w:rsid w:val="002527F4"/>
    <w:rsid w:val="00256CEF"/>
    <w:rsid w:val="00257B84"/>
    <w:rsid w:val="00257BB3"/>
    <w:rsid w:val="00260DBF"/>
    <w:rsid w:val="00264526"/>
    <w:rsid w:val="00266A02"/>
    <w:rsid w:val="00267B7A"/>
    <w:rsid w:val="002706A8"/>
    <w:rsid w:val="0027077E"/>
    <w:rsid w:val="002708C9"/>
    <w:rsid w:val="00272A83"/>
    <w:rsid w:val="0027370F"/>
    <w:rsid w:val="00273DDD"/>
    <w:rsid w:val="00274E02"/>
    <w:rsid w:val="0027595A"/>
    <w:rsid w:val="00275F5C"/>
    <w:rsid w:val="00280344"/>
    <w:rsid w:val="00281FC6"/>
    <w:rsid w:val="00283838"/>
    <w:rsid w:val="00283EEE"/>
    <w:rsid w:val="0029030A"/>
    <w:rsid w:val="002910C0"/>
    <w:rsid w:val="002921D6"/>
    <w:rsid w:val="00295753"/>
    <w:rsid w:val="00296336"/>
    <w:rsid w:val="002971E2"/>
    <w:rsid w:val="00297402"/>
    <w:rsid w:val="002A0164"/>
    <w:rsid w:val="002A22ED"/>
    <w:rsid w:val="002A23A2"/>
    <w:rsid w:val="002A4209"/>
    <w:rsid w:val="002A50A5"/>
    <w:rsid w:val="002A5233"/>
    <w:rsid w:val="002B081D"/>
    <w:rsid w:val="002B0C0C"/>
    <w:rsid w:val="002B0F69"/>
    <w:rsid w:val="002B2126"/>
    <w:rsid w:val="002B3DF8"/>
    <w:rsid w:val="002B626F"/>
    <w:rsid w:val="002B6B36"/>
    <w:rsid w:val="002B6E4F"/>
    <w:rsid w:val="002C1714"/>
    <w:rsid w:val="002C181E"/>
    <w:rsid w:val="002C265C"/>
    <w:rsid w:val="002C2CF8"/>
    <w:rsid w:val="002C7704"/>
    <w:rsid w:val="002D0F16"/>
    <w:rsid w:val="002D1779"/>
    <w:rsid w:val="002D261B"/>
    <w:rsid w:val="002D2D3A"/>
    <w:rsid w:val="002D3780"/>
    <w:rsid w:val="002D43D2"/>
    <w:rsid w:val="002D6A14"/>
    <w:rsid w:val="002D6B64"/>
    <w:rsid w:val="002E05A6"/>
    <w:rsid w:val="002E10A8"/>
    <w:rsid w:val="002E328F"/>
    <w:rsid w:val="002E4495"/>
    <w:rsid w:val="002E48CC"/>
    <w:rsid w:val="002E515B"/>
    <w:rsid w:val="002E5AB3"/>
    <w:rsid w:val="002E5F02"/>
    <w:rsid w:val="002E646D"/>
    <w:rsid w:val="002E7564"/>
    <w:rsid w:val="002F24F1"/>
    <w:rsid w:val="002F3121"/>
    <w:rsid w:val="002F3485"/>
    <w:rsid w:val="002F68E1"/>
    <w:rsid w:val="00300508"/>
    <w:rsid w:val="00300539"/>
    <w:rsid w:val="00301225"/>
    <w:rsid w:val="0030292E"/>
    <w:rsid w:val="003051AF"/>
    <w:rsid w:val="00305258"/>
    <w:rsid w:val="003061D8"/>
    <w:rsid w:val="0030716F"/>
    <w:rsid w:val="003112D7"/>
    <w:rsid w:val="00311939"/>
    <w:rsid w:val="00312025"/>
    <w:rsid w:val="00313636"/>
    <w:rsid w:val="00314F4C"/>
    <w:rsid w:val="00315372"/>
    <w:rsid w:val="003177C0"/>
    <w:rsid w:val="00320D6B"/>
    <w:rsid w:val="003212D3"/>
    <w:rsid w:val="0032181B"/>
    <w:rsid w:val="00323483"/>
    <w:rsid w:val="00324862"/>
    <w:rsid w:val="00327BC4"/>
    <w:rsid w:val="003339B5"/>
    <w:rsid w:val="0033421D"/>
    <w:rsid w:val="00334621"/>
    <w:rsid w:val="00334781"/>
    <w:rsid w:val="00334D8F"/>
    <w:rsid w:val="00334E7C"/>
    <w:rsid w:val="00340A49"/>
    <w:rsid w:val="00341E6B"/>
    <w:rsid w:val="003473E6"/>
    <w:rsid w:val="00347874"/>
    <w:rsid w:val="00353840"/>
    <w:rsid w:val="00353A2D"/>
    <w:rsid w:val="00357BE2"/>
    <w:rsid w:val="00363C57"/>
    <w:rsid w:val="00365699"/>
    <w:rsid w:val="0036573E"/>
    <w:rsid w:val="00374B83"/>
    <w:rsid w:val="00375CF1"/>
    <w:rsid w:val="0037606F"/>
    <w:rsid w:val="00376286"/>
    <w:rsid w:val="00377A39"/>
    <w:rsid w:val="0038042D"/>
    <w:rsid w:val="0038045D"/>
    <w:rsid w:val="00381110"/>
    <w:rsid w:val="00381BBA"/>
    <w:rsid w:val="00384C1A"/>
    <w:rsid w:val="00384CEE"/>
    <w:rsid w:val="00385C20"/>
    <w:rsid w:val="003866B1"/>
    <w:rsid w:val="003866D3"/>
    <w:rsid w:val="0039092F"/>
    <w:rsid w:val="0039603B"/>
    <w:rsid w:val="003A0D72"/>
    <w:rsid w:val="003A1C8F"/>
    <w:rsid w:val="003A39B1"/>
    <w:rsid w:val="003A559A"/>
    <w:rsid w:val="003A64AA"/>
    <w:rsid w:val="003A76CF"/>
    <w:rsid w:val="003B095C"/>
    <w:rsid w:val="003B142D"/>
    <w:rsid w:val="003B2039"/>
    <w:rsid w:val="003B2222"/>
    <w:rsid w:val="003B54EC"/>
    <w:rsid w:val="003B7850"/>
    <w:rsid w:val="003C1777"/>
    <w:rsid w:val="003C2F0E"/>
    <w:rsid w:val="003C5608"/>
    <w:rsid w:val="003C5E57"/>
    <w:rsid w:val="003C65AF"/>
    <w:rsid w:val="003D046A"/>
    <w:rsid w:val="003D06D9"/>
    <w:rsid w:val="003D0C4D"/>
    <w:rsid w:val="003D186C"/>
    <w:rsid w:val="003D2259"/>
    <w:rsid w:val="003D353B"/>
    <w:rsid w:val="003D4394"/>
    <w:rsid w:val="003D51A7"/>
    <w:rsid w:val="003E0225"/>
    <w:rsid w:val="003E0AC3"/>
    <w:rsid w:val="003E3836"/>
    <w:rsid w:val="003E45B3"/>
    <w:rsid w:val="003E70D3"/>
    <w:rsid w:val="003E773A"/>
    <w:rsid w:val="003E7FC1"/>
    <w:rsid w:val="003F04EA"/>
    <w:rsid w:val="003F23DE"/>
    <w:rsid w:val="003F3183"/>
    <w:rsid w:val="003F6790"/>
    <w:rsid w:val="00401B84"/>
    <w:rsid w:val="00402301"/>
    <w:rsid w:val="00402480"/>
    <w:rsid w:val="00404F82"/>
    <w:rsid w:val="004052DB"/>
    <w:rsid w:val="00406A06"/>
    <w:rsid w:val="00407B24"/>
    <w:rsid w:val="0041296D"/>
    <w:rsid w:val="00412F66"/>
    <w:rsid w:val="00414B3D"/>
    <w:rsid w:val="004202AE"/>
    <w:rsid w:val="004211E3"/>
    <w:rsid w:val="0042159E"/>
    <w:rsid w:val="004219D3"/>
    <w:rsid w:val="00422251"/>
    <w:rsid w:val="0042540A"/>
    <w:rsid w:val="0042628B"/>
    <w:rsid w:val="004309E6"/>
    <w:rsid w:val="00431EAF"/>
    <w:rsid w:val="00433420"/>
    <w:rsid w:val="0043375B"/>
    <w:rsid w:val="00435F65"/>
    <w:rsid w:val="00436629"/>
    <w:rsid w:val="00437A80"/>
    <w:rsid w:val="00437CA0"/>
    <w:rsid w:val="00442C52"/>
    <w:rsid w:val="00442F76"/>
    <w:rsid w:val="0044408E"/>
    <w:rsid w:val="00445A96"/>
    <w:rsid w:val="0044684F"/>
    <w:rsid w:val="004511E3"/>
    <w:rsid w:val="004521CB"/>
    <w:rsid w:val="0045221E"/>
    <w:rsid w:val="00452A04"/>
    <w:rsid w:val="004533C0"/>
    <w:rsid w:val="004542CE"/>
    <w:rsid w:val="004549BA"/>
    <w:rsid w:val="00455B05"/>
    <w:rsid w:val="00456F99"/>
    <w:rsid w:val="00462429"/>
    <w:rsid w:val="00464446"/>
    <w:rsid w:val="00471A49"/>
    <w:rsid w:val="00472054"/>
    <w:rsid w:val="004720A5"/>
    <w:rsid w:val="004728EB"/>
    <w:rsid w:val="00472D4D"/>
    <w:rsid w:val="00473D5A"/>
    <w:rsid w:val="0047446A"/>
    <w:rsid w:val="004753CD"/>
    <w:rsid w:val="00475BA4"/>
    <w:rsid w:val="00477180"/>
    <w:rsid w:val="00481F43"/>
    <w:rsid w:val="00482BA1"/>
    <w:rsid w:val="00487D95"/>
    <w:rsid w:val="00490BA4"/>
    <w:rsid w:val="00492397"/>
    <w:rsid w:val="00492541"/>
    <w:rsid w:val="00493AAC"/>
    <w:rsid w:val="00494643"/>
    <w:rsid w:val="00497938"/>
    <w:rsid w:val="004A1630"/>
    <w:rsid w:val="004A1E8F"/>
    <w:rsid w:val="004A4FA0"/>
    <w:rsid w:val="004A606C"/>
    <w:rsid w:val="004A7DBA"/>
    <w:rsid w:val="004B005D"/>
    <w:rsid w:val="004B10D1"/>
    <w:rsid w:val="004B1EF7"/>
    <w:rsid w:val="004B43D9"/>
    <w:rsid w:val="004C0E3F"/>
    <w:rsid w:val="004C122D"/>
    <w:rsid w:val="004C28FB"/>
    <w:rsid w:val="004C296D"/>
    <w:rsid w:val="004C3367"/>
    <w:rsid w:val="004C66A6"/>
    <w:rsid w:val="004C7208"/>
    <w:rsid w:val="004D1344"/>
    <w:rsid w:val="004D1959"/>
    <w:rsid w:val="004D1BB5"/>
    <w:rsid w:val="004D1C65"/>
    <w:rsid w:val="004D2DEB"/>
    <w:rsid w:val="004D44D7"/>
    <w:rsid w:val="004D7441"/>
    <w:rsid w:val="004E02EB"/>
    <w:rsid w:val="004E1B4C"/>
    <w:rsid w:val="004E209D"/>
    <w:rsid w:val="004E3540"/>
    <w:rsid w:val="004E4F94"/>
    <w:rsid w:val="004E65A1"/>
    <w:rsid w:val="004E6906"/>
    <w:rsid w:val="004F120E"/>
    <w:rsid w:val="004F5695"/>
    <w:rsid w:val="004F58A0"/>
    <w:rsid w:val="004F72B2"/>
    <w:rsid w:val="00501B90"/>
    <w:rsid w:val="005043C4"/>
    <w:rsid w:val="00506FC4"/>
    <w:rsid w:val="005078EA"/>
    <w:rsid w:val="0051193D"/>
    <w:rsid w:val="00511A03"/>
    <w:rsid w:val="00511A04"/>
    <w:rsid w:val="0051254E"/>
    <w:rsid w:val="00513D76"/>
    <w:rsid w:val="00514055"/>
    <w:rsid w:val="005171BA"/>
    <w:rsid w:val="005178EC"/>
    <w:rsid w:val="00530F4C"/>
    <w:rsid w:val="00531032"/>
    <w:rsid w:val="00536804"/>
    <w:rsid w:val="00537874"/>
    <w:rsid w:val="0054016E"/>
    <w:rsid w:val="00541A00"/>
    <w:rsid w:val="00550348"/>
    <w:rsid w:val="005520AE"/>
    <w:rsid w:val="005534EA"/>
    <w:rsid w:val="005552A9"/>
    <w:rsid w:val="00557AE3"/>
    <w:rsid w:val="00564C20"/>
    <w:rsid w:val="00566B23"/>
    <w:rsid w:val="005712E7"/>
    <w:rsid w:val="00571801"/>
    <w:rsid w:val="0057206D"/>
    <w:rsid w:val="00577399"/>
    <w:rsid w:val="00580792"/>
    <w:rsid w:val="00580BD2"/>
    <w:rsid w:val="00581481"/>
    <w:rsid w:val="00584395"/>
    <w:rsid w:val="00584746"/>
    <w:rsid w:val="005850A3"/>
    <w:rsid w:val="0059149F"/>
    <w:rsid w:val="005916BA"/>
    <w:rsid w:val="00591997"/>
    <w:rsid w:val="00593A6F"/>
    <w:rsid w:val="005956A7"/>
    <w:rsid w:val="00595ED7"/>
    <w:rsid w:val="00596358"/>
    <w:rsid w:val="00596A44"/>
    <w:rsid w:val="00596E84"/>
    <w:rsid w:val="005972D2"/>
    <w:rsid w:val="005A28BA"/>
    <w:rsid w:val="005A2D95"/>
    <w:rsid w:val="005A4C52"/>
    <w:rsid w:val="005A62A0"/>
    <w:rsid w:val="005A7B0D"/>
    <w:rsid w:val="005B1829"/>
    <w:rsid w:val="005B1F4E"/>
    <w:rsid w:val="005B2FA9"/>
    <w:rsid w:val="005B4016"/>
    <w:rsid w:val="005B479F"/>
    <w:rsid w:val="005B6027"/>
    <w:rsid w:val="005B6FF8"/>
    <w:rsid w:val="005C1826"/>
    <w:rsid w:val="005C22F2"/>
    <w:rsid w:val="005C2D8F"/>
    <w:rsid w:val="005C2F83"/>
    <w:rsid w:val="005C3A93"/>
    <w:rsid w:val="005C4247"/>
    <w:rsid w:val="005D166E"/>
    <w:rsid w:val="005D1F6A"/>
    <w:rsid w:val="005D5ABF"/>
    <w:rsid w:val="005D61B4"/>
    <w:rsid w:val="005D7432"/>
    <w:rsid w:val="005D7BBA"/>
    <w:rsid w:val="005E05FB"/>
    <w:rsid w:val="005E0B65"/>
    <w:rsid w:val="005E0D9C"/>
    <w:rsid w:val="005E511D"/>
    <w:rsid w:val="005E73A7"/>
    <w:rsid w:val="005F0883"/>
    <w:rsid w:val="005F1A59"/>
    <w:rsid w:val="005F1B4D"/>
    <w:rsid w:val="005F2C9C"/>
    <w:rsid w:val="005F6523"/>
    <w:rsid w:val="005F6BA6"/>
    <w:rsid w:val="0060394E"/>
    <w:rsid w:val="006043BE"/>
    <w:rsid w:val="0060468C"/>
    <w:rsid w:val="006046AE"/>
    <w:rsid w:val="00605014"/>
    <w:rsid w:val="00607F10"/>
    <w:rsid w:val="0061017C"/>
    <w:rsid w:val="00615278"/>
    <w:rsid w:val="00615BA3"/>
    <w:rsid w:val="006168F7"/>
    <w:rsid w:val="00622093"/>
    <w:rsid w:val="0062386A"/>
    <w:rsid w:val="00623FE4"/>
    <w:rsid w:val="00625777"/>
    <w:rsid w:val="006261A1"/>
    <w:rsid w:val="0063171F"/>
    <w:rsid w:val="006326E3"/>
    <w:rsid w:val="006341C1"/>
    <w:rsid w:val="00634690"/>
    <w:rsid w:val="006351FA"/>
    <w:rsid w:val="00635437"/>
    <w:rsid w:val="00637FD8"/>
    <w:rsid w:val="00643560"/>
    <w:rsid w:val="00643B26"/>
    <w:rsid w:val="0064477E"/>
    <w:rsid w:val="00646789"/>
    <w:rsid w:val="0064781D"/>
    <w:rsid w:val="00651DE5"/>
    <w:rsid w:val="00655FCF"/>
    <w:rsid w:val="00656004"/>
    <w:rsid w:val="006560A4"/>
    <w:rsid w:val="00660B46"/>
    <w:rsid w:val="00664517"/>
    <w:rsid w:val="006645A4"/>
    <w:rsid w:val="00665531"/>
    <w:rsid w:val="006678B6"/>
    <w:rsid w:val="00667A63"/>
    <w:rsid w:val="00667D33"/>
    <w:rsid w:val="0067126C"/>
    <w:rsid w:val="006728C5"/>
    <w:rsid w:val="0067295F"/>
    <w:rsid w:val="00676734"/>
    <w:rsid w:val="00677957"/>
    <w:rsid w:val="0068136A"/>
    <w:rsid w:val="00683AF6"/>
    <w:rsid w:val="00691C91"/>
    <w:rsid w:val="0069234B"/>
    <w:rsid w:val="006924CE"/>
    <w:rsid w:val="00692F2F"/>
    <w:rsid w:val="006932C5"/>
    <w:rsid w:val="00693984"/>
    <w:rsid w:val="0069424A"/>
    <w:rsid w:val="00696FC3"/>
    <w:rsid w:val="00697404"/>
    <w:rsid w:val="006A0AE7"/>
    <w:rsid w:val="006A2709"/>
    <w:rsid w:val="006A41B6"/>
    <w:rsid w:val="006A5412"/>
    <w:rsid w:val="006A6CBE"/>
    <w:rsid w:val="006A7204"/>
    <w:rsid w:val="006A75EF"/>
    <w:rsid w:val="006B0F5C"/>
    <w:rsid w:val="006B1460"/>
    <w:rsid w:val="006B2765"/>
    <w:rsid w:val="006B2E9E"/>
    <w:rsid w:val="006B3C49"/>
    <w:rsid w:val="006B6A11"/>
    <w:rsid w:val="006B6E82"/>
    <w:rsid w:val="006B72F6"/>
    <w:rsid w:val="006B77C9"/>
    <w:rsid w:val="006C010A"/>
    <w:rsid w:val="006C0186"/>
    <w:rsid w:val="006C116A"/>
    <w:rsid w:val="006C3414"/>
    <w:rsid w:val="006C4959"/>
    <w:rsid w:val="006C58D1"/>
    <w:rsid w:val="006C613A"/>
    <w:rsid w:val="006D03BE"/>
    <w:rsid w:val="006D0C54"/>
    <w:rsid w:val="006D1F79"/>
    <w:rsid w:val="006D248F"/>
    <w:rsid w:val="006D2F30"/>
    <w:rsid w:val="006D3252"/>
    <w:rsid w:val="006D43AF"/>
    <w:rsid w:val="006D4EBF"/>
    <w:rsid w:val="006D5E2F"/>
    <w:rsid w:val="006D61D9"/>
    <w:rsid w:val="006D67AB"/>
    <w:rsid w:val="006E61DF"/>
    <w:rsid w:val="006E6A39"/>
    <w:rsid w:val="006E7425"/>
    <w:rsid w:val="006F0F56"/>
    <w:rsid w:val="006F0FD8"/>
    <w:rsid w:val="006F28C0"/>
    <w:rsid w:val="006F32A0"/>
    <w:rsid w:val="006F350F"/>
    <w:rsid w:val="006F4A26"/>
    <w:rsid w:val="006F7B55"/>
    <w:rsid w:val="00700462"/>
    <w:rsid w:val="0070288C"/>
    <w:rsid w:val="00705C10"/>
    <w:rsid w:val="007077A4"/>
    <w:rsid w:val="0071332C"/>
    <w:rsid w:val="007137F1"/>
    <w:rsid w:val="00713826"/>
    <w:rsid w:val="00716BE8"/>
    <w:rsid w:val="007175A2"/>
    <w:rsid w:val="00723416"/>
    <w:rsid w:val="00723B2E"/>
    <w:rsid w:val="00724241"/>
    <w:rsid w:val="00724C0E"/>
    <w:rsid w:val="00724C92"/>
    <w:rsid w:val="007266ED"/>
    <w:rsid w:val="00726CB0"/>
    <w:rsid w:val="00726F8C"/>
    <w:rsid w:val="00727A76"/>
    <w:rsid w:val="00727F51"/>
    <w:rsid w:val="0073157C"/>
    <w:rsid w:val="0073171A"/>
    <w:rsid w:val="00732A3A"/>
    <w:rsid w:val="007351B9"/>
    <w:rsid w:val="00741E88"/>
    <w:rsid w:val="00743128"/>
    <w:rsid w:val="007440B4"/>
    <w:rsid w:val="00744CFA"/>
    <w:rsid w:val="00746F30"/>
    <w:rsid w:val="00747F09"/>
    <w:rsid w:val="007506ED"/>
    <w:rsid w:val="00750BF9"/>
    <w:rsid w:val="00756FE7"/>
    <w:rsid w:val="00764BFE"/>
    <w:rsid w:val="00765DAB"/>
    <w:rsid w:val="0076754D"/>
    <w:rsid w:val="00767FE9"/>
    <w:rsid w:val="00770FA3"/>
    <w:rsid w:val="0077221A"/>
    <w:rsid w:val="00772CA9"/>
    <w:rsid w:val="007745D7"/>
    <w:rsid w:val="00774F35"/>
    <w:rsid w:val="00775141"/>
    <w:rsid w:val="00775367"/>
    <w:rsid w:val="00776A36"/>
    <w:rsid w:val="00776AF2"/>
    <w:rsid w:val="00777953"/>
    <w:rsid w:val="007814D3"/>
    <w:rsid w:val="00782B87"/>
    <w:rsid w:val="00782BCD"/>
    <w:rsid w:val="00782C99"/>
    <w:rsid w:val="00787905"/>
    <w:rsid w:val="00791FC1"/>
    <w:rsid w:val="00797716"/>
    <w:rsid w:val="007A1992"/>
    <w:rsid w:val="007A19FD"/>
    <w:rsid w:val="007A3128"/>
    <w:rsid w:val="007A6550"/>
    <w:rsid w:val="007A78D0"/>
    <w:rsid w:val="007B2AF2"/>
    <w:rsid w:val="007B3933"/>
    <w:rsid w:val="007B5145"/>
    <w:rsid w:val="007B7F2B"/>
    <w:rsid w:val="007C1AA1"/>
    <w:rsid w:val="007C2DF2"/>
    <w:rsid w:val="007C3B19"/>
    <w:rsid w:val="007C4048"/>
    <w:rsid w:val="007C686B"/>
    <w:rsid w:val="007C7F9C"/>
    <w:rsid w:val="007D0EE8"/>
    <w:rsid w:val="007D197F"/>
    <w:rsid w:val="007D3AD7"/>
    <w:rsid w:val="007D3EA0"/>
    <w:rsid w:val="007D767A"/>
    <w:rsid w:val="007D79B2"/>
    <w:rsid w:val="007E001C"/>
    <w:rsid w:val="007E0109"/>
    <w:rsid w:val="007E1C9A"/>
    <w:rsid w:val="007E5439"/>
    <w:rsid w:val="007E5CA3"/>
    <w:rsid w:val="007E7D36"/>
    <w:rsid w:val="007F009B"/>
    <w:rsid w:val="007F0E65"/>
    <w:rsid w:val="007F1A21"/>
    <w:rsid w:val="007F1DBA"/>
    <w:rsid w:val="007F233E"/>
    <w:rsid w:val="007F2698"/>
    <w:rsid w:val="007F4347"/>
    <w:rsid w:val="007F64B2"/>
    <w:rsid w:val="007F7A5D"/>
    <w:rsid w:val="00800670"/>
    <w:rsid w:val="00802114"/>
    <w:rsid w:val="0080234A"/>
    <w:rsid w:val="0080265B"/>
    <w:rsid w:val="00802F08"/>
    <w:rsid w:val="00804848"/>
    <w:rsid w:val="008076D7"/>
    <w:rsid w:val="0080772E"/>
    <w:rsid w:val="00807DAE"/>
    <w:rsid w:val="008103FE"/>
    <w:rsid w:val="008113FC"/>
    <w:rsid w:val="008117BE"/>
    <w:rsid w:val="0081313F"/>
    <w:rsid w:val="00813A72"/>
    <w:rsid w:val="00815BED"/>
    <w:rsid w:val="00820B40"/>
    <w:rsid w:val="0082135C"/>
    <w:rsid w:val="008222E0"/>
    <w:rsid w:val="00823010"/>
    <w:rsid w:val="008238EB"/>
    <w:rsid w:val="00823AAB"/>
    <w:rsid w:val="00825719"/>
    <w:rsid w:val="008264A7"/>
    <w:rsid w:val="008318F6"/>
    <w:rsid w:val="00831CBD"/>
    <w:rsid w:val="008327D5"/>
    <w:rsid w:val="008329E8"/>
    <w:rsid w:val="0083633B"/>
    <w:rsid w:val="00840124"/>
    <w:rsid w:val="008404AF"/>
    <w:rsid w:val="00840C41"/>
    <w:rsid w:val="0084251F"/>
    <w:rsid w:val="0084436B"/>
    <w:rsid w:val="008459C3"/>
    <w:rsid w:val="00847485"/>
    <w:rsid w:val="00852899"/>
    <w:rsid w:val="00852A03"/>
    <w:rsid w:val="00853EF4"/>
    <w:rsid w:val="008545C6"/>
    <w:rsid w:val="00855CD3"/>
    <w:rsid w:val="0085678C"/>
    <w:rsid w:val="00856EEE"/>
    <w:rsid w:val="00857807"/>
    <w:rsid w:val="00860F19"/>
    <w:rsid w:val="00863C95"/>
    <w:rsid w:val="008642F0"/>
    <w:rsid w:val="00864CE1"/>
    <w:rsid w:val="008657B1"/>
    <w:rsid w:val="008672CC"/>
    <w:rsid w:val="00867814"/>
    <w:rsid w:val="008744C9"/>
    <w:rsid w:val="00876EAB"/>
    <w:rsid w:val="008803E3"/>
    <w:rsid w:val="00880F1C"/>
    <w:rsid w:val="00881648"/>
    <w:rsid w:val="00883AE8"/>
    <w:rsid w:val="00885F1A"/>
    <w:rsid w:val="00887A03"/>
    <w:rsid w:val="00887FC6"/>
    <w:rsid w:val="00893569"/>
    <w:rsid w:val="00894923"/>
    <w:rsid w:val="00894DCB"/>
    <w:rsid w:val="008957CC"/>
    <w:rsid w:val="008959BA"/>
    <w:rsid w:val="00895F47"/>
    <w:rsid w:val="00897288"/>
    <w:rsid w:val="008A59C2"/>
    <w:rsid w:val="008A6494"/>
    <w:rsid w:val="008B1A0F"/>
    <w:rsid w:val="008B2888"/>
    <w:rsid w:val="008B3B0C"/>
    <w:rsid w:val="008B4E10"/>
    <w:rsid w:val="008B5587"/>
    <w:rsid w:val="008B58A7"/>
    <w:rsid w:val="008B6F39"/>
    <w:rsid w:val="008B7B5D"/>
    <w:rsid w:val="008C2DB1"/>
    <w:rsid w:val="008C7498"/>
    <w:rsid w:val="008D1116"/>
    <w:rsid w:val="008D2642"/>
    <w:rsid w:val="008D521A"/>
    <w:rsid w:val="008D55D0"/>
    <w:rsid w:val="008D7383"/>
    <w:rsid w:val="008D74CF"/>
    <w:rsid w:val="008D75DB"/>
    <w:rsid w:val="008E01BC"/>
    <w:rsid w:val="008E026F"/>
    <w:rsid w:val="008E0BF7"/>
    <w:rsid w:val="008E13F1"/>
    <w:rsid w:val="008E2406"/>
    <w:rsid w:val="008E2A78"/>
    <w:rsid w:val="008E2CF8"/>
    <w:rsid w:val="008E2FCB"/>
    <w:rsid w:val="008E7FCE"/>
    <w:rsid w:val="008F0E59"/>
    <w:rsid w:val="008F19AC"/>
    <w:rsid w:val="008F436A"/>
    <w:rsid w:val="008F53D3"/>
    <w:rsid w:val="008F7365"/>
    <w:rsid w:val="008F7589"/>
    <w:rsid w:val="009002BD"/>
    <w:rsid w:val="0090275D"/>
    <w:rsid w:val="00904693"/>
    <w:rsid w:val="009054B0"/>
    <w:rsid w:val="00906667"/>
    <w:rsid w:val="00906FF2"/>
    <w:rsid w:val="0090798C"/>
    <w:rsid w:val="0090798F"/>
    <w:rsid w:val="009113E3"/>
    <w:rsid w:val="00911EC3"/>
    <w:rsid w:val="009128A6"/>
    <w:rsid w:val="00916621"/>
    <w:rsid w:val="00920861"/>
    <w:rsid w:val="00920E6F"/>
    <w:rsid w:val="00921128"/>
    <w:rsid w:val="00921C85"/>
    <w:rsid w:val="00922C02"/>
    <w:rsid w:val="0092339D"/>
    <w:rsid w:val="00923B9A"/>
    <w:rsid w:val="00924609"/>
    <w:rsid w:val="00924CF7"/>
    <w:rsid w:val="00925BE1"/>
    <w:rsid w:val="00925D18"/>
    <w:rsid w:val="009260A5"/>
    <w:rsid w:val="00927590"/>
    <w:rsid w:val="00933FC9"/>
    <w:rsid w:val="0093455F"/>
    <w:rsid w:val="00936143"/>
    <w:rsid w:val="00937384"/>
    <w:rsid w:val="00940549"/>
    <w:rsid w:val="009406AC"/>
    <w:rsid w:val="009410B0"/>
    <w:rsid w:val="009412BF"/>
    <w:rsid w:val="009417B4"/>
    <w:rsid w:val="00944868"/>
    <w:rsid w:val="009456CC"/>
    <w:rsid w:val="0094616A"/>
    <w:rsid w:val="009506B0"/>
    <w:rsid w:val="00951F1B"/>
    <w:rsid w:val="009544E4"/>
    <w:rsid w:val="009546B1"/>
    <w:rsid w:val="00955A14"/>
    <w:rsid w:val="00960770"/>
    <w:rsid w:val="00963976"/>
    <w:rsid w:val="00965623"/>
    <w:rsid w:val="00972E8B"/>
    <w:rsid w:val="00974167"/>
    <w:rsid w:val="0097549F"/>
    <w:rsid w:val="00976472"/>
    <w:rsid w:val="00977215"/>
    <w:rsid w:val="00983775"/>
    <w:rsid w:val="009841A7"/>
    <w:rsid w:val="00990236"/>
    <w:rsid w:val="009912EB"/>
    <w:rsid w:val="00992C70"/>
    <w:rsid w:val="00994F10"/>
    <w:rsid w:val="009A2E15"/>
    <w:rsid w:val="009A7021"/>
    <w:rsid w:val="009B1831"/>
    <w:rsid w:val="009B2FC5"/>
    <w:rsid w:val="009B3471"/>
    <w:rsid w:val="009C05AB"/>
    <w:rsid w:val="009C2717"/>
    <w:rsid w:val="009C5133"/>
    <w:rsid w:val="009C748F"/>
    <w:rsid w:val="009C7DA9"/>
    <w:rsid w:val="009D0148"/>
    <w:rsid w:val="009D7817"/>
    <w:rsid w:val="009E1923"/>
    <w:rsid w:val="009E6EBC"/>
    <w:rsid w:val="009F1A54"/>
    <w:rsid w:val="009F3779"/>
    <w:rsid w:val="009F40B6"/>
    <w:rsid w:val="009F46C9"/>
    <w:rsid w:val="009F5086"/>
    <w:rsid w:val="009F51E9"/>
    <w:rsid w:val="00A00860"/>
    <w:rsid w:val="00A00861"/>
    <w:rsid w:val="00A00E36"/>
    <w:rsid w:val="00A014D8"/>
    <w:rsid w:val="00A068A8"/>
    <w:rsid w:val="00A10D9C"/>
    <w:rsid w:val="00A118F3"/>
    <w:rsid w:val="00A11B27"/>
    <w:rsid w:val="00A120E7"/>
    <w:rsid w:val="00A13EAC"/>
    <w:rsid w:val="00A1502D"/>
    <w:rsid w:val="00A2154E"/>
    <w:rsid w:val="00A243E6"/>
    <w:rsid w:val="00A27E1B"/>
    <w:rsid w:val="00A338D2"/>
    <w:rsid w:val="00A33E70"/>
    <w:rsid w:val="00A34102"/>
    <w:rsid w:val="00A34F8A"/>
    <w:rsid w:val="00A3537B"/>
    <w:rsid w:val="00A374C5"/>
    <w:rsid w:val="00A37EE9"/>
    <w:rsid w:val="00A406F1"/>
    <w:rsid w:val="00A40C04"/>
    <w:rsid w:val="00A412CE"/>
    <w:rsid w:val="00A41E8A"/>
    <w:rsid w:val="00A42A34"/>
    <w:rsid w:val="00A46853"/>
    <w:rsid w:val="00A5168B"/>
    <w:rsid w:val="00A536B2"/>
    <w:rsid w:val="00A5575C"/>
    <w:rsid w:val="00A60B37"/>
    <w:rsid w:val="00A63095"/>
    <w:rsid w:val="00A63744"/>
    <w:rsid w:val="00A65101"/>
    <w:rsid w:val="00A6634C"/>
    <w:rsid w:val="00A70C1E"/>
    <w:rsid w:val="00A71621"/>
    <w:rsid w:val="00A724EB"/>
    <w:rsid w:val="00A7374E"/>
    <w:rsid w:val="00A7450A"/>
    <w:rsid w:val="00A80C19"/>
    <w:rsid w:val="00A80E00"/>
    <w:rsid w:val="00A8212F"/>
    <w:rsid w:val="00A82439"/>
    <w:rsid w:val="00A96352"/>
    <w:rsid w:val="00A97D9D"/>
    <w:rsid w:val="00AA607D"/>
    <w:rsid w:val="00AB17E0"/>
    <w:rsid w:val="00AB1A14"/>
    <w:rsid w:val="00AB3316"/>
    <w:rsid w:val="00AB6A27"/>
    <w:rsid w:val="00AB7FF8"/>
    <w:rsid w:val="00AC0A15"/>
    <w:rsid w:val="00AC5F0B"/>
    <w:rsid w:val="00AC63CB"/>
    <w:rsid w:val="00AD08CC"/>
    <w:rsid w:val="00AD1E65"/>
    <w:rsid w:val="00AD37D6"/>
    <w:rsid w:val="00AD39FE"/>
    <w:rsid w:val="00AD49C7"/>
    <w:rsid w:val="00AD5D5D"/>
    <w:rsid w:val="00AD67AF"/>
    <w:rsid w:val="00AD7B41"/>
    <w:rsid w:val="00AE30D0"/>
    <w:rsid w:val="00AE3130"/>
    <w:rsid w:val="00AE528A"/>
    <w:rsid w:val="00AE64DB"/>
    <w:rsid w:val="00AE6B3F"/>
    <w:rsid w:val="00AE6EDC"/>
    <w:rsid w:val="00AE73F2"/>
    <w:rsid w:val="00AF3EA2"/>
    <w:rsid w:val="00AF44C8"/>
    <w:rsid w:val="00AF6F36"/>
    <w:rsid w:val="00AF7968"/>
    <w:rsid w:val="00B03E86"/>
    <w:rsid w:val="00B04B45"/>
    <w:rsid w:val="00B0580C"/>
    <w:rsid w:val="00B062EE"/>
    <w:rsid w:val="00B11A18"/>
    <w:rsid w:val="00B11B88"/>
    <w:rsid w:val="00B129E5"/>
    <w:rsid w:val="00B13A6D"/>
    <w:rsid w:val="00B15464"/>
    <w:rsid w:val="00B155EF"/>
    <w:rsid w:val="00B156FF"/>
    <w:rsid w:val="00B1608D"/>
    <w:rsid w:val="00B23A3B"/>
    <w:rsid w:val="00B24E71"/>
    <w:rsid w:val="00B27F85"/>
    <w:rsid w:val="00B338DB"/>
    <w:rsid w:val="00B33C04"/>
    <w:rsid w:val="00B34EE5"/>
    <w:rsid w:val="00B35223"/>
    <w:rsid w:val="00B35E1A"/>
    <w:rsid w:val="00B36CEE"/>
    <w:rsid w:val="00B43660"/>
    <w:rsid w:val="00B445B5"/>
    <w:rsid w:val="00B456DA"/>
    <w:rsid w:val="00B524E1"/>
    <w:rsid w:val="00B52746"/>
    <w:rsid w:val="00B5300B"/>
    <w:rsid w:val="00B564F4"/>
    <w:rsid w:val="00B57EC6"/>
    <w:rsid w:val="00B605F1"/>
    <w:rsid w:val="00B612A6"/>
    <w:rsid w:val="00B63B75"/>
    <w:rsid w:val="00B674B3"/>
    <w:rsid w:val="00B67968"/>
    <w:rsid w:val="00B67C64"/>
    <w:rsid w:val="00B70C94"/>
    <w:rsid w:val="00B70CD2"/>
    <w:rsid w:val="00B731C7"/>
    <w:rsid w:val="00B74DE2"/>
    <w:rsid w:val="00B766E0"/>
    <w:rsid w:val="00B76AB9"/>
    <w:rsid w:val="00B8160C"/>
    <w:rsid w:val="00B8188C"/>
    <w:rsid w:val="00B833DE"/>
    <w:rsid w:val="00B83B25"/>
    <w:rsid w:val="00B83C78"/>
    <w:rsid w:val="00B86163"/>
    <w:rsid w:val="00B86229"/>
    <w:rsid w:val="00B86D48"/>
    <w:rsid w:val="00B86E38"/>
    <w:rsid w:val="00B923E1"/>
    <w:rsid w:val="00B93AF5"/>
    <w:rsid w:val="00B94187"/>
    <w:rsid w:val="00B941A3"/>
    <w:rsid w:val="00B95308"/>
    <w:rsid w:val="00B95441"/>
    <w:rsid w:val="00B96B83"/>
    <w:rsid w:val="00BA0D0E"/>
    <w:rsid w:val="00BA20A9"/>
    <w:rsid w:val="00BA2FB1"/>
    <w:rsid w:val="00BA3CFB"/>
    <w:rsid w:val="00BA4311"/>
    <w:rsid w:val="00BA4DA1"/>
    <w:rsid w:val="00BB0BDA"/>
    <w:rsid w:val="00BB13B5"/>
    <w:rsid w:val="00BB14C6"/>
    <w:rsid w:val="00BB3563"/>
    <w:rsid w:val="00BB3BC1"/>
    <w:rsid w:val="00BB4616"/>
    <w:rsid w:val="00BB46D4"/>
    <w:rsid w:val="00BB74D5"/>
    <w:rsid w:val="00BB7822"/>
    <w:rsid w:val="00BC1A17"/>
    <w:rsid w:val="00BC3A9A"/>
    <w:rsid w:val="00BC3F7F"/>
    <w:rsid w:val="00BC423C"/>
    <w:rsid w:val="00BC44EE"/>
    <w:rsid w:val="00BC4878"/>
    <w:rsid w:val="00BC5474"/>
    <w:rsid w:val="00BC55DC"/>
    <w:rsid w:val="00BC5A40"/>
    <w:rsid w:val="00BD1533"/>
    <w:rsid w:val="00BD310C"/>
    <w:rsid w:val="00BD3D11"/>
    <w:rsid w:val="00BD5C84"/>
    <w:rsid w:val="00BD65F6"/>
    <w:rsid w:val="00BE0562"/>
    <w:rsid w:val="00BE0634"/>
    <w:rsid w:val="00BE6569"/>
    <w:rsid w:val="00BF2626"/>
    <w:rsid w:val="00BF2734"/>
    <w:rsid w:val="00BF54AE"/>
    <w:rsid w:val="00C003E9"/>
    <w:rsid w:val="00C03C7A"/>
    <w:rsid w:val="00C043DC"/>
    <w:rsid w:val="00C04BD3"/>
    <w:rsid w:val="00C04C38"/>
    <w:rsid w:val="00C11368"/>
    <w:rsid w:val="00C15108"/>
    <w:rsid w:val="00C157E1"/>
    <w:rsid w:val="00C15C1D"/>
    <w:rsid w:val="00C168B9"/>
    <w:rsid w:val="00C21BB2"/>
    <w:rsid w:val="00C21D69"/>
    <w:rsid w:val="00C2237F"/>
    <w:rsid w:val="00C23914"/>
    <w:rsid w:val="00C263B9"/>
    <w:rsid w:val="00C30999"/>
    <w:rsid w:val="00C30E23"/>
    <w:rsid w:val="00C3442F"/>
    <w:rsid w:val="00C35EBF"/>
    <w:rsid w:val="00C35EDE"/>
    <w:rsid w:val="00C363EC"/>
    <w:rsid w:val="00C376C3"/>
    <w:rsid w:val="00C41916"/>
    <w:rsid w:val="00C41925"/>
    <w:rsid w:val="00C44FBB"/>
    <w:rsid w:val="00C465B5"/>
    <w:rsid w:val="00C47EEB"/>
    <w:rsid w:val="00C50EAB"/>
    <w:rsid w:val="00C52F04"/>
    <w:rsid w:val="00C52F0A"/>
    <w:rsid w:val="00C5372A"/>
    <w:rsid w:val="00C544C4"/>
    <w:rsid w:val="00C54D84"/>
    <w:rsid w:val="00C5526D"/>
    <w:rsid w:val="00C56ADB"/>
    <w:rsid w:val="00C57BEF"/>
    <w:rsid w:val="00C601FB"/>
    <w:rsid w:val="00C61C9D"/>
    <w:rsid w:val="00C63018"/>
    <w:rsid w:val="00C63EB3"/>
    <w:rsid w:val="00C64536"/>
    <w:rsid w:val="00C64869"/>
    <w:rsid w:val="00C657AA"/>
    <w:rsid w:val="00C66D4D"/>
    <w:rsid w:val="00C6749B"/>
    <w:rsid w:val="00C67ED4"/>
    <w:rsid w:val="00C70A6B"/>
    <w:rsid w:val="00C7182F"/>
    <w:rsid w:val="00C725E2"/>
    <w:rsid w:val="00C73045"/>
    <w:rsid w:val="00C733DF"/>
    <w:rsid w:val="00C7472D"/>
    <w:rsid w:val="00C75B78"/>
    <w:rsid w:val="00C75E9C"/>
    <w:rsid w:val="00C760D9"/>
    <w:rsid w:val="00C768E9"/>
    <w:rsid w:val="00C801A8"/>
    <w:rsid w:val="00C82066"/>
    <w:rsid w:val="00C834AC"/>
    <w:rsid w:val="00C835F9"/>
    <w:rsid w:val="00C90EB3"/>
    <w:rsid w:val="00C939F4"/>
    <w:rsid w:val="00C93DC6"/>
    <w:rsid w:val="00C94DCE"/>
    <w:rsid w:val="00C968E7"/>
    <w:rsid w:val="00CA2CF2"/>
    <w:rsid w:val="00CA4465"/>
    <w:rsid w:val="00CA4F8C"/>
    <w:rsid w:val="00CA7D86"/>
    <w:rsid w:val="00CB10FD"/>
    <w:rsid w:val="00CB6269"/>
    <w:rsid w:val="00CB78D4"/>
    <w:rsid w:val="00CC20F8"/>
    <w:rsid w:val="00CC2368"/>
    <w:rsid w:val="00CC3844"/>
    <w:rsid w:val="00CC6736"/>
    <w:rsid w:val="00CD07FF"/>
    <w:rsid w:val="00CD17FD"/>
    <w:rsid w:val="00CD2891"/>
    <w:rsid w:val="00CD2DC1"/>
    <w:rsid w:val="00CD4275"/>
    <w:rsid w:val="00CD517C"/>
    <w:rsid w:val="00CD61E1"/>
    <w:rsid w:val="00CD63FE"/>
    <w:rsid w:val="00CD683E"/>
    <w:rsid w:val="00CD6F2A"/>
    <w:rsid w:val="00CE0766"/>
    <w:rsid w:val="00CE1937"/>
    <w:rsid w:val="00CE3AFF"/>
    <w:rsid w:val="00CE4278"/>
    <w:rsid w:val="00CE6CFB"/>
    <w:rsid w:val="00CF1AB6"/>
    <w:rsid w:val="00CF2145"/>
    <w:rsid w:val="00CF2498"/>
    <w:rsid w:val="00CF34C2"/>
    <w:rsid w:val="00CF3E8F"/>
    <w:rsid w:val="00CF46A5"/>
    <w:rsid w:val="00CF5F9E"/>
    <w:rsid w:val="00CF762C"/>
    <w:rsid w:val="00D01617"/>
    <w:rsid w:val="00D02FB6"/>
    <w:rsid w:val="00D04864"/>
    <w:rsid w:val="00D05192"/>
    <w:rsid w:val="00D05DA9"/>
    <w:rsid w:val="00D06504"/>
    <w:rsid w:val="00D06900"/>
    <w:rsid w:val="00D07FB9"/>
    <w:rsid w:val="00D13FBB"/>
    <w:rsid w:val="00D2132A"/>
    <w:rsid w:val="00D22789"/>
    <w:rsid w:val="00D235CB"/>
    <w:rsid w:val="00D23C45"/>
    <w:rsid w:val="00D2647C"/>
    <w:rsid w:val="00D26F28"/>
    <w:rsid w:val="00D30CDD"/>
    <w:rsid w:val="00D31B4F"/>
    <w:rsid w:val="00D368A0"/>
    <w:rsid w:val="00D408A1"/>
    <w:rsid w:val="00D42865"/>
    <w:rsid w:val="00D4325E"/>
    <w:rsid w:val="00D44309"/>
    <w:rsid w:val="00D45DB0"/>
    <w:rsid w:val="00D47366"/>
    <w:rsid w:val="00D517A7"/>
    <w:rsid w:val="00D5310D"/>
    <w:rsid w:val="00D53F40"/>
    <w:rsid w:val="00D544DC"/>
    <w:rsid w:val="00D54DD0"/>
    <w:rsid w:val="00D56034"/>
    <w:rsid w:val="00D566A2"/>
    <w:rsid w:val="00D56DE8"/>
    <w:rsid w:val="00D5722D"/>
    <w:rsid w:val="00D57282"/>
    <w:rsid w:val="00D602F3"/>
    <w:rsid w:val="00D62E2D"/>
    <w:rsid w:val="00D63161"/>
    <w:rsid w:val="00D729AC"/>
    <w:rsid w:val="00D73A58"/>
    <w:rsid w:val="00D73D45"/>
    <w:rsid w:val="00D75B96"/>
    <w:rsid w:val="00D773B4"/>
    <w:rsid w:val="00D8067B"/>
    <w:rsid w:val="00D83803"/>
    <w:rsid w:val="00D86F3C"/>
    <w:rsid w:val="00D872BE"/>
    <w:rsid w:val="00D87EB5"/>
    <w:rsid w:val="00D9000B"/>
    <w:rsid w:val="00D9011B"/>
    <w:rsid w:val="00D90C07"/>
    <w:rsid w:val="00D91D68"/>
    <w:rsid w:val="00D928E5"/>
    <w:rsid w:val="00D92D94"/>
    <w:rsid w:val="00D93FC6"/>
    <w:rsid w:val="00D9565D"/>
    <w:rsid w:val="00D9583A"/>
    <w:rsid w:val="00D95CEA"/>
    <w:rsid w:val="00D964A9"/>
    <w:rsid w:val="00DA10FC"/>
    <w:rsid w:val="00DA291D"/>
    <w:rsid w:val="00DA3E80"/>
    <w:rsid w:val="00DA43D3"/>
    <w:rsid w:val="00DA598B"/>
    <w:rsid w:val="00DA69F8"/>
    <w:rsid w:val="00DB3C66"/>
    <w:rsid w:val="00DB5313"/>
    <w:rsid w:val="00DC1A95"/>
    <w:rsid w:val="00DC4593"/>
    <w:rsid w:val="00DC4A39"/>
    <w:rsid w:val="00DC5569"/>
    <w:rsid w:val="00DC6BB0"/>
    <w:rsid w:val="00DC7BCF"/>
    <w:rsid w:val="00DD08D8"/>
    <w:rsid w:val="00DD0D03"/>
    <w:rsid w:val="00DD0F6D"/>
    <w:rsid w:val="00DD3F89"/>
    <w:rsid w:val="00DD4EE5"/>
    <w:rsid w:val="00DE173D"/>
    <w:rsid w:val="00DE436D"/>
    <w:rsid w:val="00DE7B8E"/>
    <w:rsid w:val="00DF09A7"/>
    <w:rsid w:val="00DF09F2"/>
    <w:rsid w:val="00DF0B12"/>
    <w:rsid w:val="00DF142F"/>
    <w:rsid w:val="00DF3A9A"/>
    <w:rsid w:val="00DF5003"/>
    <w:rsid w:val="00DF5C9D"/>
    <w:rsid w:val="00DF6212"/>
    <w:rsid w:val="00DF64FB"/>
    <w:rsid w:val="00DF6FC4"/>
    <w:rsid w:val="00DF76D2"/>
    <w:rsid w:val="00E01058"/>
    <w:rsid w:val="00E01D56"/>
    <w:rsid w:val="00E03577"/>
    <w:rsid w:val="00E03EA8"/>
    <w:rsid w:val="00E04592"/>
    <w:rsid w:val="00E046BD"/>
    <w:rsid w:val="00E04D99"/>
    <w:rsid w:val="00E12068"/>
    <w:rsid w:val="00E21FFB"/>
    <w:rsid w:val="00E2220D"/>
    <w:rsid w:val="00E26C9B"/>
    <w:rsid w:val="00E27FC3"/>
    <w:rsid w:val="00E301DE"/>
    <w:rsid w:val="00E3336D"/>
    <w:rsid w:val="00E35065"/>
    <w:rsid w:val="00E357DD"/>
    <w:rsid w:val="00E36B4A"/>
    <w:rsid w:val="00E427BE"/>
    <w:rsid w:val="00E434E7"/>
    <w:rsid w:val="00E4432E"/>
    <w:rsid w:val="00E55CD6"/>
    <w:rsid w:val="00E565C6"/>
    <w:rsid w:val="00E5765D"/>
    <w:rsid w:val="00E60080"/>
    <w:rsid w:val="00E60B01"/>
    <w:rsid w:val="00E61BC2"/>
    <w:rsid w:val="00E64AB3"/>
    <w:rsid w:val="00E70089"/>
    <w:rsid w:val="00E706DC"/>
    <w:rsid w:val="00E7340B"/>
    <w:rsid w:val="00E77397"/>
    <w:rsid w:val="00E773D1"/>
    <w:rsid w:val="00E83C0B"/>
    <w:rsid w:val="00E87241"/>
    <w:rsid w:val="00E901BD"/>
    <w:rsid w:val="00E922EF"/>
    <w:rsid w:val="00E92855"/>
    <w:rsid w:val="00E93031"/>
    <w:rsid w:val="00E940AC"/>
    <w:rsid w:val="00E957EE"/>
    <w:rsid w:val="00EA033E"/>
    <w:rsid w:val="00EA0C5C"/>
    <w:rsid w:val="00EA1CBA"/>
    <w:rsid w:val="00EA1D47"/>
    <w:rsid w:val="00EA7456"/>
    <w:rsid w:val="00EA7627"/>
    <w:rsid w:val="00EB2E6E"/>
    <w:rsid w:val="00EB5095"/>
    <w:rsid w:val="00EB57F3"/>
    <w:rsid w:val="00ED22DD"/>
    <w:rsid w:val="00ED375B"/>
    <w:rsid w:val="00ED494D"/>
    <w:rsid w:val="00ED51B5"/>
    <w:rsid w:val="00EE1778"/>
    <w:rsid w:val="00EE294A"/>
    <w:rsid w:val="00EE340D"/>
    <w:rsid w:val="00EE68C8"/>
    <w:rsid w:val="00EE78B5"/>
    <w:rsid w:val="00EF0BDC"/>
    <w:rsid w:val="00EF28BB"/>
    <w:rsid w:val="00EF3076"/>
    <w:rsid w:val="00EF36A9"/>
    <w:rsid w:val="00EF51B1"/>
    <w:rsid w:val="00EF6C13"/>
    <w:rsid w:val="00EF7235"/>
    <w:rsid w:val="00EF7260"/>
    <w:rsid w:val="00EF73A7"/>
    <w:rsid w:val="00EF7A7C"/>
    <w:rsid w:val="00F00E0F"/>
    <w:rsid w:val="00F01595"/>
    <w:rsid w:val="00F02121"/>
    <w:rsid w:val="00F02DEE"/>
    <w:rsid w:val="00F07849"/>
    <w:rsid w:val="00F109A5"/>
    <w:rsid w:val="00F10B53"/>
    <w:rsid w:val="00F110D9"/>
    <w:rsid w:val="00F11195"/>
    <w:rsid w:val="00F1146B"/>
    <w:rsid w:val="00F127FB"/>
    <w:rsid w:val="00F12BBB"/>
    <w:rsid w:val="00F138C4"/>
    <w:rsid w:val="00F15240"/>
    <w:rsid w:val="00F16427"/>
    <w:rsid w:val="00F1665D"/>
    <w:rsid w:val="00F16D1B"/>
    <w:rsid w:val="00F16F80"/>
    <w:rsid w:val="00F20062"/>
    <w:rsid w:val="00F20EE1"/>
    <w:rsid w:val="00F2113F"/>
    <w:rsid w:val="00F22EF2"/>
    <w:rsid w:val="00F2321B"/>
    <w:rsid w:val="00F245C2"/>
    <w:rsid w:val="00F24B9D"/>
    <w:rsid w:val="00F26443"/>
    <w:rsid w:val="00F304A6"/>
    <w:rsid w:val="00F30D9F"/>
    <w:rsid w:val="00F311BD"/>
    <w:rsid w:val="00F31DB6"/>
    <w:rsid w:val="00F3303E"/>
    <w:rsid w:val="00F330ED"/>
    <w:rsid w:val="00F340F9"/>
    <w:rsid w:val="00F3418F"/>
    <w:rsid w:val="00F40F01"/>
    <w:rsid w:val="00F414FF"/>
    <w:rsid w:val="00F417A0"/>
    <w:rsid w:val="00F43ED6"/>
    <w:rsid w:val="00F4408B"/>
    <w:rsid w:val="00F44F63"/>
    <w:rsid w:val="00F45085"/>
    <w:rsid w:val="00F477C1"/>
    <w:rsid w:val="00F52746"/>
    <w:rsid w:val="00F54F6B"/>
    <w:rsid w:val="00F57759"/>
    <w:rsid w:val="00F60741"/>
    <w:rsid w:val="00F643CE"/>
    <w:rsid w:val="00F65585"/>
    <w:rsid w:val="00F65E4B"/>
    <w:rsid w:val="00F6717D"/>
    <w:rsid w:val="00F6747F"/>
    <w:rsid w:val="00F67F65"/>
    <w:rsid w:val="00F7303A"/>
    <w:rsid w:val="00F75E90"/>
    <w:rsid w:val="00F7692E"/>
    <w:rsid w:val="00F82331"/>
    <w:rsid w:val="00F82DB3"/>
    <w:rsid w:val="00F82F8E"/>
    <w:rsid w:val="00F83238"/>
    <w:rsid w:val="00F85B0C"/>
    <w:rsid w:val="00F85CDB"/>
    <w:rsid w:val="00F90129"/>
    <w:rsid w:val="00F90EC3"/>
    <w:rsid w:val="00F92EA8"/>
    <w:rsid w:val="00F948EA"/>
    <w:rsid w:val="00FA0946"/>
    <w:rsid w:val="00FA26C3"/>
    <w:rsid w:val="00FA4CDD"/>
    <w:rsid w:val="00FA5477"/>
    <w:rsid w:val="00FA6BFF"/>
    <w:rsid w:val="00FA6DD6"/>
    <w:rsid w:val="00FB1CA4"/>
    <w:rsid w:val="00FB4067"/>
    <w:rsid w:val="00FB4276"/>
    <w:rsid w:val="00FB4B4D"/>
    <w:rsid w:val="00FB5D2F"/>
    <w:rsid w:val="00FC0278"/>
    <w:rsid w:val="00FC2A45"/>
    <w:rsid w:val="00FC5BF7"/>
    <w:rsid w:val="00FC5FE0"/>
    <w:rsid w:val="00FD3D9B"/>
    <w:rsid w:val="00FD4C43"/>
    <w:rsid w:val="00FD525F"/>
    <w:rsid w:val="00FD6DB9"/>
    <w:rsid w:val="00FE0326"/>
    <w:rsid w:val="00FE1238"/>
    <w:rsid w:val="00FE1B77"/>
    <w:rsid w:val="00FE3E7C"/>
    <w:rsid w:val="00FE7513"/>
    <w:rsid w:val="00FF0392"/>
    <w:rsid w:val="00FF15C0"/>
    <w:rsid w:val="00FF3A66"/>
    <w:rsid w:val="00FF3ACA"/>
    <w:rsid w:val="00FF49A3"/>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262D"/>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83"/>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uiPriority w:val="99"/>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4F4C"/>
    <w:rPr>
      <w:rFonts w:ascii="Calibri" w:hAnsi="Calibri"/>
      <w:sz w:val="22"/>
      <w:szCs w:val="21"/>
    </w:rPr>
  </w:style>
  <w:style w:type="character" w:styleId="Hyperlink">
    <w:name w:val="Hyperlink"/>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styleId="BodyText2">
    <w:name w:val="Body Text 2"/>
    <w:basedOn w:val="Normal"/>
    <w:link w:val="BodyText2Char"/>
    <w:uiPriority w:val="99"/>
    <w:semiHidden/>
    <w:unhideWhenUsed/>
    <w:rsid w:val="00CF34C2"/>
    <w:pPr>
      <w:spacing w:after="120" w:line="480" w:lineRule="auto"/>
    </w:pPr>
  </w:style>
  <w:style w:type="character" w:customStyle="1" w:styleId="BodyText2Char">
    <w:name w:val="Body Text 2 Char"/>
    <w:basedOn w:val="DefaultParagraphFont"/>
    <w:link w:val="BodyText2"/>
    <w:uiPriority w:val="99"/>
    <w:semiHidden/>
    <w:rsid w:val="00CF34C2"/>
    <w:rPr>
      <w:rFonts w:eastAsia="Times New Roman" w:cs="Times New Roman"/>
      <w:sz w:val="20"/>
      <w:szCs w:val="20"/>
    </w:rPr>
  </w:style>
  <w:style w:type="paragraph" w:styleId="NoSpacing">
    <w:name w:val="No Spacing"/>
    <w:basedOn w:val="Normal"/>
    <w:uiPriority w:val="1"/>
    <w:qFormat/>
    <w:rsid w:val="00F0784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289870424">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1893290">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60408583">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0598304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05809110">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770344824">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1972401568">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6096899">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104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0EDE-B2B9-4065-B1AE-14BF7865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12021</Words>
  <Characters>6852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MK un LPS vienošanās un domstarpību protokola projekts</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protokola projekts</dc:title>
  <dc:subject>Protokola projekts</dc:subject>
  <dc:creator>Inese Runkovska</dc:creator>
  <dc:description>67095604, e-pasts: inese.runkovska@fm.gov.lv</dc:description>
  <cp:lastModifiedBy>Inese Runkovska</cp:lastModifiedBy>
  <cp:revision>18</cp:revision>
  <cp:lastPrinted>2019-02-27T09:41:00Z</cp:lastPrinted>
  <dcterms:created xsi:type="dcterms:W3CDTF">2019-02-25T12:00:00Z</dcterms:created>
  <dcterms:modified xsi:type="dcterms:W3CDTF">2019-02-27T10:07:00Z</dcterms:modified>
</cp:coreProperties>
</file>