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81" w:rsidRPr="003A05D0" w:rsidRDefault="00495F81" w:rsidP="00495F81">
      <w:pPr>
        <w:suppressAutoHyphens/>
        <w:spacing w:after="0" w:line="240" w:lineRule="auto"/>
        <w:jc w:val="center"/>
        <w:rPr>
          <w:rFonts w:ascii="Times New Roman" w:eastAsia="Times New Roman" w:hAnsi="Times New Roman"/>
          <w:b/>
          <w:bCs/>
          <w:sz w:val="24"/>
          <w:szCs w:val="24"/>
          <w:lang w:eastAsia="ar-SA"/>
        </w:rPr>
      </w:pPr>
      <w:r w:rsidRPr="003A05D0">
        <w:rPr>
          <w:rFonts w:ascii="Times New Roman" w:eastAsia="Times New Roman" w:hAnsi="Times New Roman"/>
          <w:b/>
          <w:bCs/>
          <w:sz w:val="24"/>
          <w:szCs w:val="24"/>
          <w:lang w:eastAsia="ar-SA"/>
        </w:rPr>
        <w:t>Likumprojekta „Grozījumi likumā „Par obligāto sociālo apdrošināšanu pret nelaimes gadījumiem darbā un arodslimībām””</w:t>
      </w:r>
    </w:p>
    <w:p w:rsidR="00495F81" w:rsidRPr="003A05D0" w:rsidRDefault="00495F81" w:rsidP="00495F81">
      <w:pPr>
        <w:suppressAutoHyphens/>
        <w:spacing w:after="0" w:line="240" w:lineRule="auto"/>
        <w:jc w:val="center"/>
        <w:rPr>
          <w:rFonts w:ascii="Times New Roman" w:eastAsia="Times New Roman" w:hAnsi="Times New Roman"/>
          <w:b/>
          <w:sz w:val="24"/>
          <w:szCs w:val="24"/>
          <w:lang w:eastAsia="ar-SA"/>
        </w:rPr>
      </w:pPr>
      <w:r w:rsidRPr="003A05D0">
        <w:rPr>
          <w:rFonts w:ascii="Times New Roman" w:eastAsia="Times New Roman" w:hAnsi="Times New Roman"/>
          <w:b/>
          <w:sz w:val="24"/>
          <w:szCs w:val="24"/>
          <w:lang w:eastAsia="ar-SA"/>
        </w:rPr>
        <w:t>sākotnējās ietekmes novērtējuma ziņojums (anotācija)</w:t>
      </w:r>
    </w:p>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168"/>
      </w:tblGrid>
      <w:tr w:rsidR="00495F81" w:rsidRPr="003A05D0" w:rsidTr="003F635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76" w:lineRule="auto"/>
              <w:rPr>
                <w:rFonts w:ascii="Times New Roman" w:eastAsia="Times New Roman" w:hAnsi="Times New Roman" w:cs="Times New Roman"/>
                <w:b/>
                <w:bCs/>
                <w:iCs/>
                <w:sz w:val="24"/>
                <w:szCs w:val="24"/>
                <w:lang w:val="sv-SE"/>
              </w:rPr>
            </w:pPr>
            <w:r w:rsidRPr="003A05D0">
              <w:rPr>
                <w:rFonts w:ascii="Times New Roman" w:eastAsia="Times New Roman" w:hAnsi="Times New Roman" w:cs="Times New Roman"/>
                <w:b/>
                <w:bCs/>
                <w:iCs/>
                <w:sz w:val="24"/>
                <w:szCs w:val="24"/>
                <w:lang w:val="sv-SE"/>
              </w:rPr>
              <w:t>Tiesību akta projekta anotācijas kopsavilkums</w:t>
            </w:r>
          </w:p>
        </w:tc>
      </w:tr>
      <w:tr w:rsidR="00495F81" w:rsidRPr="003A05D0" w:rsidTr="003F6359">
        <w:trPr>
          <w:tblCellSpacing w:w="15" w:type="dxa"/>
        </w:trPr>
        <w:tc>
          <w:tcPr>
            <w:tcW w:w="163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76" w:lineRule="auto"/>
              <w:rPr>
                <w:rFonts w:ascii="Times New Roman" w:eastAsia="Times New Roman" w:hAnsi="Times New Roman" w:cs="Times New Roman"/>
                <w:iCs/>
                <w:sz w:val="24"/>
                <w:szCs w:val="24"/>
                <w:lang w:val="sv-SE"/>
              </w:rPr>
            </w:pPr>
            <w:r w:rsidRPr="003A05D0">
              <w:rPr>
                <w:rFonts w:ascii="Times New Roman" w:eastAsia="Times New Roman" w:hAnsi="Times New Roman" w:cs="Times New Roman"/>
                <w:iCs/>
                <w:sz w:val="24"/>
                <w:szCs w:val="24"/>
                <w:lang w:val="sv-SE"/>
              </w:rPr>
              <w:t xml:space="preserve">Mērķis, risinājums un projekta spēkā stāšanās laiks </w:t>
            </w:r>
          </w:p>
        </w:tc>
        <w:tc>
          <w:tcPr>
            <w:tcW w:w="3321" w:type="pct"/>
            <w:tcBorders>
              <w:top w:val="outset" w:sz="6" w:space="0" w:color="auto"/>
              <w:left w:val="outset" w:sz="6" w:space="0" w:color="auto"/>
              <w:bottom w:val="outset" w:sz="6" w:space="0" w:color="auto"/>
              <w:right w:val="outset" w:sz="6" w:space="0" w:color="auto"/>
            </w:tcBorders>
          </w:tcPr>
          <w:p w:rsidR="00495F81" w:rsidRPr="003A05D0" w:rsidRDefault="00495F81" w:rsidP="003F6359">
            <w:pPr>
              <w:suppressAutoHyphens/>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Likumprojekts </w:t>
            </w:r>
            <w:r w:rsidRPr="003A05D0">
              <w:rPr>
                <w:rFonts w:ascii="Times New Roman" w:eastAsia="Times New Roman" w:hAnsi="Times New Roman"/>
                <w:bCs/>
                <w:sz w:val="24"/>
                <w:szCs w:val="24"/>
                <w:lang w:eastAsia="ar-SA"/>
              </w:rPr>
              <w:t xml:space="preserve">„Grozījumi likumā „Par obligāto sociālo apdrošināšanu pret nelaimes gadījumiem darbā un arodslimībām”” </w:t>
            </w:r>
            <w:r w:rsidRPr="003A05D0">
              <w:rPr>
                <w:rFonts w:ascii="Times New Roman" w:eastAsia="Times New Roman" w:hAnsi="Times New Roman" w:cs="Times New Roman"/>
                <w:iCs/>
                <w:noProof/>
                <w:sz w:val="24"/>
                <w:szCs w:val="24"/>
                <w:lang w:eastAsia="lv-LV"/>
              </w:rPr>
              <w:t>(turpmāk – likumprojekts) izstrādāts pēc Labklājības ministrijas iniciatīvas.</w:t>
            </w:r>
          </w:p>
          <w:p w:rsidR="00495F81" w:rsidRPr="00485418"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Likumprojekta mērķis ir pilnveidot vidējās apdrošināšanas iemaksu  algas </w:t>
            </w:r>
            <w:r w:rsidR="008A0F02">
              <w:rPr>
                <w:rFonts w:ascii="Times New Roman" w:eastAsia="Times New Roman" w:hAnsi="Times New Roman" w:cs="Times New Roman"/>
                <w:iCs/>
                <w:noProof/>
                <w:sz w:val="24"/>
                <w:szCs w:val="24"/>
                <w:lang w:eastAsia="lv-LV"/>
              </w:rPr>
              <w:t xml:space="preserve">(turpmāk – iemaksu alga) </w:t>
            </w:r>
            <w:r w:rsidRPr="003A05D0">
              <w:rPr>
                <w:rFonts w:ascii="Times New Roman" w:eastAsia="Times New Roman" w:hAnsi="Times New Roman" w:cs="Times New Roman"/>
                <w:iCs/>
                <w:noProof/>
                <w:sz w:val="24"/>
                <w:szCs w:val="24"/>
                <w:lang w:eastAsia="lv-LV"/>
              </w:rPr>
              <w:t xml:space="preserve">aprēķināšanas kārtību un harmonizēt to ar algas aprēķināšanas veidiem, kurus paredz citi tiesību akti. Likumprojekts paredz personai, kurai vienlaicīgi ir tiesības uz diviem pakalpojumiem, saņemt sev izdevīgāko, kā arī precizē atsevišķas likuma normas saistībā ar slimības pabalsta </w:t>
            </w:r>
            <w:r w:rsidR="00933146">
              <w:rPr>
                <w:rFonts w:ascii="Times New Roman" w:eastAsia="Times New Roman" w:hAnsi="Times New Roman" w:cs="Times New Roman"/>
                <w:iCs/>
                <w:noProof/>
                <w:sz w:val="24"/>
                <w:szCs w:val="24"/>
                <w:lang w:eastAsia="lv-LV"/>
              </w:rPr>
              <w:t xml:space="preserve">un atlīdzības </w:t>
            </w:r>
            <w:r w:rsidRPr="00485418">
              <w:rPr>
                <w:rFonts w:ascii="Times New Roman" w:eastAsia="Times New Roman" w:hAnsi="Times New Roman" w:cs="Times New Roman"/>
                <w:iCs/>
                <w:noProof/>
                <w:sz w:val="24"/>
                <w:szCs w:val="24"/>
                <w:lang w:eastAsia="lv-LV"/>
              </w:rPr>
              <w:t>izmaksu.</w:t>
            </w:r>
          </w:p>
          <w:p w:rsidR="00495F81" w:rsidRPr="003A05D0" w:rsidRDefault="00495F81" w:rsidP="00711600">
            <w:pPr>
              <w:spacing w:after="0" w:line="240" w:lineRule="auto"/>
              <w:jc w:val="both"/>
            </w:pPr>
            <w:r w:rsidRPr="00485418">
              <w:rPr>
                <w:rFonts w:ascii="Times New Roman" w:eastAsia="Times New Roman" w:hAnsi="Times New Roman" w:cs="Times New Roman"/>
                <w:iCs/>
                <w:noProof/>
                <w:sz w:val="24"/>
                <w:szCs w:val="24"/>
                <w:lang w:eastAsia="lv-LV"/>
              </w:rPr>
              <w:t xml:space="preserve">Paredzēts, ka likumprojekts stāsies spēkā </w:t>
            </w:r>
            <w:r w:rsidR="00711600">
              <w:rPr>
                <w:rFonts w:ascii="Times New Roman" w:eastAsia="Times New Roman" w:hAnsi="Times New Roman" w:cs="Times New Roman"/>
                <w:iCs/>
                <w:noProof/>
                <w:sz w:val="24"/>
                <w:szCs w:val="24"/>
                <w:lang w:eastAsia="lv-LV"/>
              </w:rPr>
              <w:t>2020.gada 1.janvārī</w:t>
            </w:r>
            <w:r w:rsidRPr="00485418">
              <w:rPr>
                <w:rFonts w:ascii="Times New Roman" w:eastAsia="Times New Roman" w:hAnsi="Times New Roman" w:cs="Times New Roman"/>
                <w:iCs/>
                <w:noProof/>
                <w:sz w:val="24"/>
                <w:szCs w:val="24"/>
                <w:lang w:eastAsia="lv-LV"/>
              </w:rPr>
              <w:t xml:space="preserve"> ar atrunu, ka atsevišķas likuma normas stājas spēkā 2021.gada 1.janvārī.</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4"/>
        <w:gridCol w:w="1370"/>
        <w:gridCol w:w="7497"/>
      </w:tblGrid>
      <w:tr w:rsidR="00495F81" w:rsidRPr="003A05D0" w:rsidTr="003F6359">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 Tiesību akta projekta izstrādes nepieciešamība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Pamatojums</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ministrijas iniciatīva.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pStyle w:val="ListParagraph"/>
              <w:numPr>
                <w:ilvl w:val="0"/>
                <w:numId w:val="1"/>
              </w:numPr>
              <w:spacing w:after="120" w:line="240" w:lineRule="auto"/>
              <w:ind w:left="0" w:firstLine="0"/>
              <w:jc w:val="both"/>
              <w:rPr>
                <w:rFonts w:ascii="Times New Roman" w:hAnsi="Times New Roman" w:cs="Times New Roman"/>
                <w:sz w:val="24"/>
                <w:szCs w:val="24"/>
              </w:rPr>
            </w:pPr>
            <w:r w:rsidRPr="003A05D0">
              <w:rPr>
                <w:rFonts w:ascii="Times New Roman" w:hAnsi="Times New Roman" w:cs="Times New Roman"/>
                <w:sz w:val="24"/>
                <w:szCs w:val="24"/>
              </w:rPr>
              <w:t>Gadījumā, ja personai konstatēta arodslimība vai viņa cietusi nelaimes gadījumā darbā, aprēķinot iemaksu algu slimības pabalstam,</w:t>
            </w:r>
            <w:r w:rsidR="008A0F02">
              <w:rPr>
                <w:rFonts w:ascii="Times New Roman" w:hAnsi="Times New Roman" w:cs="Times New Roman"/>
                <w:sz w:val="24"/>
                <w:szCs w:val="24"/>
              </w:rPr>
              <w:t xml:space="preserve"> apbedīšanas pabalstam,</w:t>
            </w:r>
            <w:r w:rsidRPr="003A05D0">
              <w:rPr>
                <w:rFonts w:ascii="Times New Roman" w:hAnsi="Times New Roman" w:cs="Times New Roman"/>
                <w:sz w:val="24"/>
                <w:szCs w:val="24"/>
              </w:rPr>
              <w:t xml:space="preserve"> atlīdzībai par darbspēju zaudējumu un atlīdzībai par apgādnieka zaudējumu</w:t>
            </w:r>
            <w:r>
              <w:rPr>
                <w:rFonts w:ascii="Times New Roman" w:hAnsi="Times New Roman" w:cs="Times New Roman"/>
                <w:sz w:val="24"/>
                <w:szCs w:val="24"/>
              </w:rPr>
              <w:t xml:space="preserve"> (turpmāk kopā arī – atlīdzība)</w:t>
            </w:r>
            <w:r w:rsidRPr="003A05D0">
              <w:rPr>
                <w:rFonts w:ascii="Times New Roman" w:hAnsi="Times New Roman" w:cs="Times New Roman"/>
                <w:sz w:val="24"/>
                <w:szCs w:val="24"/>
              </w:rPr>
              <w:t xml:space="preserve">, piemēro likumu </w:t>
            </w:r>
            <w:r w:rsidRPr="003A05D0">
              <w:rPr>
                <w:rFonts w:ascii="Times New Roman" w:eastAsia="Times New Roman" w:hAnsi="Times New Roman" w:cs="Times New Roman"/>
                <w:sz w:val="24"/>
                <w:szCs w:val="24"/>
              </w:rPr>
              <w:t xml:space="preserve">„Par obligāto sociālo apdrošināšanu pret nelaimes gadījumiem darbā un arodslimībām” </w:t>
            </w:r>
            <w:r>
              <w:rPr>
                <w:rFonts w:ascii="Times New Roman" w:eastAsia="Times New Roman" w:hAnsi="Times New Roman" w:cs="Times New Roman"/>
                <w:sz w:val="24"/>
                <w:szCs w:val="24"/>
              </w:rPr>
              <w:t xml:space="preserve">(turpmāk – Likums) </w:t>
            </w:r>
            <w:r w:rsidRPr="003A05D0">
              <w:rPr>
                <w:rFonts w:ascii="Times New Roman" w:eastAsia="Times New Roman" w:hAnsi="Times New Roman" w:cs="Times New Roman"/>
                <w:sz w:val="24"/>
                <w:szCs w:val="24"/>
              </w:rPr>
              <w:t>un 1999.gada 16.februāra Ministru kabineta noteikumus Nr.50 „Obligātās sociālās apdrošināšanas pret nelaimes gadījumiem darbā un arodslimībām apdrošināšanas atlīdzības piešķiršanas un aprēķināšanas kārtība”.</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Saskaņā ar iepriekš minēto normatīvo regulējumu iemaksu alga apdrošināšanas atlīdzībām tiek aprēķināta no apdrošinātās personas iemaksu algas par 12 mēnešu periodu, šo periodu beidzot divus kalendāros mēnešus pirms mēneša, kurā iestājies apdrošināšanas gadījums.</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 xml:space="preserve">Valsts sociālā apdrošināšana atbilstoši veiktajām sociālajām iemaksām garantē noteiktu ienākumu atvietojumu. Tādējādi nodrošinot vienu no būtiskākajiem sistēmas pamatprincipiem – </w:t>
            </w:r>
            <w:r>
              <w:rPr>
                <w:rFonts w:ascii="Times New Roman" w:hAnsi="Times New Roman"/>
                <w:sz w:val="24"/>
                <w:szCs w:val="24"/>
              </w:rPr>
              <w:t xml:space="preserve">nodrošinot </w:t>
            </w:r>
            <w:r w:rsidRPr="003A05D0">
              <w:rPr>
                <w:rFonts w:ascii="Times New Roman" w:hAnsi="Times New Roman"/>
                <w:sz w:val="24"/>
                <w:szCs w:val="24"/>
              </w:rPr>
              <w:t>personas zaudētajiem ienākumiem atbilstošu sociālās apdrošināšanas pakalpojumu. Piemērojot esošo iemaksu algas aprēķina kārtību, atsevišķos gadījumos netiek ievērots taisnīguma un samērīguma princips, jo sociālās apdrošināšanas pakalpojums tiek aprēķināts neatbilstoši personas zaudētajiem ienākumiem.</w:t>
            </w:r>
          </w:p>
          <w:p w:rsidR="00495F81" w:rsidRPr="003A05D0" w:rsidRDefault="00495F81" w:rsidP="003F6359">
            <w:pPr>
              <w:spacing w:before="60"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Bieži vien nosakot iemaksu algu atlīdzības aprēķināšanai, piemēro tiesu praksi un aprēķinā neiekļauj tos mēnešus, kad persona mēneša daļu ir slimojusi un tādēļ tajā gūtie ienākumi ir mazāki (AT 16.03.2015. spriedums lietā A420610610; Administratīvās tiesas 20.01.2017.spriedums lietā Nr. A420236916). Tāpat arī tiesību normās nav atrunāta iemaksu algas </w:t>
            </w:r>
            <w:r w:rsidRPr="003A05D0">
              <w:rPr>
                <w:rFonts w:ascii="Times New Roman" w:hAnsi="Times New Roman" w:cs="Times New Roman"/>
                <w:sz w:val="24"/>
                <w:szCs w:val="24"/>
              </w:rPr>
              <w:lastRenderedPageBreak/>
              <w:t>aprēķināšanas kārtība gadījumos, kad paredzētajā 12 mēnešu perioda daļā persona nav guvusi ienākumus slimības dēļ un pārējā daļā ienākumi nav gūti, jo pēc ilgstošas slimības persona ir atbrīvota no darba. Tā kā praksē šād</w:t>
            </w:r>
            <w:r>
              <w:rPr>
                <w:rFonts w:ascii="Times New Roman" w:hAnsi="Times New Roman" w:cs="Times New Roman"/>
                <w:sz w:val="24"/>
                <w:szCs w:val="24"/>
              </w:rPr>
              <w:t>u</w:t>
            </w:r>
            <w:r w:rsidRPr="003A05D0">
              <w:rPr>
                <w:rFonts w:ascii="Times New Roman" w:hAnsi="Times New Roman" w:cs="Times New Roman"/>
                <w:sz w:val="24"/>
                <w:szCs w:val="24"/>
              </w:rPr>
              <w:t xml:space="preserve"> situācij</w:t>
            </w:r>
            <w:r>
              <w:rPr>
                <w:rFonts w:ascii="Times New Roman" w:hAnsi="Times New Roman" w:cs="Times New Roman"/>
                <w:sz w:val="24"/>
                <w:szCs w:val="24"/>
              </w:rPr>
              <w:t>u</w:t>
            </w:r>
            <w:r w:rsidRPr="003A05D0">
              <w:rPr>
                <w:rFonts w:ascii="Times New Roman" w:hAnsi="Times New Roman" w:cs="Times New Roman"/>
                <w:sz w:val="24"/>
                <w:szCs w:val="24"/>
              </w:rPr>
              <w:t xml:space="preserve"> ir diezgan daudz, secināms, ka </w:t>
            </w:r>
            <w:r w:rsidR="008A0F02">
              <w:rPr>
                <w:rFonts w:ascii="Times New Roman" w:hAnsi="Times New Roman" w:cs="Times New Roman"/>
                <w:sz w:val="24"/>
                <w:szCs w:val="24"/>
              </w:rPr>
              <w:t>iemaksu</w:t>
            </w:r>
            <w:r w:rsidRPr="003A05D0">
              <w:rPr>
                <w:rFonts w:ascii="Times New Roman" w:hAnsi="Times New Roman" w:cs="Times New Roman"/>
                <w:sz w:val="24"/>
                <w:szCs w:val="24"/>
              </w:rPr>
              <w:t xml:space="preserve"> algas aprēķināšanai atlīdzības gadījumā 12 mēneši ir pārāk </w:t>
            </w:r>
            <w:r>
              <w:rPr>
                <w:rFonts w:ascii="Times New Roman" w:hAnsi="Times New Roman" w:cs="Times New Roman"/>
                <w:sz w:val="24"/>
                <w:szCs w:val="24"/>
              </w:rPr>
              <w:t>īss</w:t>
            </w:r>
            <w:r w:rsidRPr="003A05D0">
              <w:rPr>
                <w:rFonts w:ascii="Times New Roman" w:hAnsi="Times New Roman" w:cs="Times New Roman"/>
                <w:sz w:val="24"/>
                <w:szCs w:val="24"/>
              </w:rPr>
              <w:t xml:space="preserve"> periods. Tā kā atlīdzība par darbspēju zaudējum</w:t>
            </w:r>
            <w:r>
              <w:rPr>
                <w:rFonts w:ascii="Times New Roman" w:hAnsi="Times New Roman" w:cs="Times New Roman"/>
                <w:sz w:val="24"/>
                <w:szCs w:val="24"/>
              </w:rPr>
              <w:t>u,</w:t>
            </w:r>
            <w:r w:rsidRPr="003A05D0">
              <w:rPr>
                <w:rFonts w:ascii="Times New Roman" w:hAnsi="Times New Roman" w:cs="Times New Roman"/>
                <w:sz w:val="24"/>
                <w:szCs w:val="24"/>
              </w:rPr>
              <w:t xml:space="preserve"> tāpat kā invaliditātes pensija</w:t>
            </w:r>
            <w:r>
              <w:rPr>
                <w:rFonts w:ascii="Times New Roman" w:hAnsi="Times New Roman" w:cs="Times New Roman"/>
                <w:sz w:val="24"/>
                <w:szCs w:val="24"/>
              </w:rPr>
              <w:t>,</w:t>
            </w:r>
            <w:r w:rsidRPr="003A05D0">
              <w:rPr>
                <w:rFonts w:ascii="Times New Roman" w:hAnsi="Times New Roman" w:cs="Times New Roman"/>
                <w:sz w:val="24"/>
                <w:szCs w:val="24"/>
              </w:rPr>
              <w:t xml:space="preserve"> </w:t>
            </w:r>
            <w:r w:rsidR="008A0F02">
              <w:rPr>
                <w:rFonts w:ascii="Times New Roman" w:hAnsi="Times New Roman" w:cs="Times New Roman"/>
                <w:sz w:val="24"/>
                <w:szCs w:val="24"/>
              </w:rPr>
              <w:t>nav īstermiņa</w:t>
            </w:r>
            <w:r w:rsidRPr="003A05D0">
              <w:rPr>
                <w:rFonts w:ascii="Times New Roman" w:hAnsi="Times New Roman" w:cs="Times New Roman"/>
                <w:sz w:val="24"/>
                <w:szCs w:val="24"/>
              </w:rPr>
              <w:t xml:space="preserve"> pakalpojums, tad</w:t>
            </w:r>
            <w:r w:rsidR="008A0F02">
              <w:rPr>
                <w:rFonts w:ascii="Times New Roman" w:hAnsi="Times New Roman" w:cs="Times New Roman"/>
                <w:sz w:val="24"/>
                <w:szCs w:val="24"/>
              </w:rPr>
              <w:t>,</w:t>
            </w:r>
            <w:r w:rsidRPr="003A05D0">
              <w:rPr>
                <w:rFonts w:ascii="Times New Roman" w:hAnsi="Times New Roman" w:cs="Times New Roman"/>
                <w:sz w:val="24"/>
                <w:szCs w:val="24"/>
              </w:rPr>
              <w:t xml:space="preserve"> lai vienādotu apdrošināšanas pakalpojumu aprēķināšanas principu</w:t>
            </w:r>
            <w:r w:rsidR="008A0F02">
              <w:rPr>
                <w:rFonts w:ascii="Times New Roman" w:hAnsi="Times New Roman" w:cs="Times New Roman"/>
                <w:sz w:val="24"/>
                <w:szCs w:val="24"/>
              </w:rPr>
              <w:t>,</w:t>
            </w:r>
            <w:r w:rsidRPr="003A05D0">
              <w:rPr>
                <w:rFonts w:ascii="Times New Roman" w:hAnsi="Times New Roman" w:cs="Times New Roman"/>
                <w:sz w:val="24"/>
                <w:szCs w:val="24"/>
              </w:rPr>
              <w:t xml:space="preserve"> personām, kurām ir noteikta invaliditāte, vidējās iemaksu algas aprēķinu </w:t>
            </w:r>
            <w:r>
              <w:rPr>
                <w:rFonts w:ascii="Times New Roman" w:hAnsi="Times New Roman" w:cs="Times New Roman"/>
                <w:sz w:val="24"/>
                <w:szCs w:val="24"/>
              </w:rPr>
              <w:t xml:space="preserve">Likumā nepieciešams </w:t>
            </w:r>
            <w:r w:rsidRPr="003A05D0">
              <w:rPr>
                <w:rFonts w:ascii="Times New Roman" w:hAnsi="Times New Roman" w:cs="Times New Roman"/>
                <w:sz w:val="24"/>
                <w:szCs w:val="24"/>
              </w:rPr>
              <w:t>noteikt analogi kā invaliditātes pensijām saskaņā ar likumu "Par valsts pensijām", t.i.. mē</w:t>
            </w:r>
            <w:r w:rsidRPr="003A05D0">
              <w:rPr>
                <w:rFonts w:ascii="Times New Roman" w:hAnsi="Times New Roman"/>
                <w:sz w:val="24"/>
                <w:szCs w:val="24"/>
                <w:lang w:eastAsia="lv-LV"/>
              </w:rPr>
              <w:t xml:space="preserve">neša </w:t>
            </w:r>
            <w:r w:rsidRPr="003A05D0">
              <w:rPr>
                <w:rFonts w:ascii="Times New Roman" w:hAnsi="Times New Roman"/>
                <w:sz w:val="24"/>
                <w:szCs w:val="24"/>
              </w:rPr>
              <w:t xml:space="preserve">iemaksu algu atlīdzības aprēķināšanai </w:t>
            </w:r>
            <w:r w:rsidR="008A0F02">
              <w:rPr>
                <w:rFonts w:ascii="Times New Roman" w:hAnsi="Times New Roman"/>
                <w:sz w:val="24"/>
                <w:szCs w:val="24"/>
              </w:rPr>
              <w:t>noteikt</w:t>
            </w:r>
            <w:r w:rsidRPr="003A05D0">
              <w:rPr>
                <w:rFonts w:ascii="Times New Roman" w:hAnsi="Times New Roman"/>
                <w:sz w:val="24"/>
                <w:szCs w:val="24"/>
              </w:rPr>
              <w:t xml:space="preserve"> no apdrošinātās personas iemaksu algas par jebkuriem 36 mēnešiem pēc kārtas pēdējo piecu gadu laikā pirms apdrošināšanas gadījuma iestāšanās dienas.</w:t>
            </w:r>
            <w:r w:rsidRPr="003A05D0">
              <w:rPr>
                <w:rFonts w:ascii="Times New Roman" w:hAnsi="Times New Roman" w:cs="Times New Roman"/>
                <w:sz w:val="24"/>
                <w:szCs w:val="24"/>
              </w:rPr>
              <w:t xml:space="preserve"> Savukārt</w:t>
            </w:r>
            <w:r>
              <w:rPr>
                <w:rFonts w:ascii="Times New Roman" w:hAnsi="Times New Roman" w:cs="Times New Roman"/>
                <w:sz w:val="24"/>
                <w:szCs w:val="24"/>
              </w:rPr>
              <w:t>, lai harmonizētu tiesību normas, Likumā jā</w:t>
            </w:r>
            <w:r w:rsidRPr="003A05D0">
              <w:rPr>
                <w:rFonts w:ascii="Times New Roman" w:hAnsi="Times New Roman" w:cs="Times New Roman"/>
                <w:sz w:val="24"/>
                <w:szCs w:val="24"/>
              </w:rPr>
              <w:t>no</w:t>
            </w:r>
            <w:r>
              <w:rPr>
                <w:rFonts w:ascii="Times New Roman" w:hAnsi="Times New Roman" w:cs="Times New Roman"/>
                <w:sz w:val="24"/>
                <w:szCs w:val="24"/>
              </w:rPr>
              <w:t xml:space="preserve">saka, ka </w:t>
            </w:r>
            <w:r w:rsidRPr="003A05D0">
              <w:rPr>
                <w:rFonts w:ascii="Times New Roman" w:hAnsi="Times New Roman" w:cs="Times New Roman"/>
                <w:sz w:val="24"/>
                <w:szCs w:val="24"/>
              </w:rPr>
              <w:t xml:space="preserve">slimības </w:t>
            </w:r>
            <w:r>
              <w:rPr>
                <w:rFonts w:ascii="Times New Roman" w:hAnsi="Times New Roman" w:cs="Times New Roman"/>
                <w:sz w:val="24"/>
                <w:szCs w:val="24"/>
              </w:rPr>
              <w:t xml:space="preserve">un apbedīšanas </w:t>
            </w:r>
            <w:r w:rsidRPr="003A05D0">
              <w:rPr>
                <w:rFonts w:ascii="Times New Roman" w:hAnsi="Times New Roman" w:cs="Times New Roman"/>
                <w:sz w:val="24"/>
                <w:szCs w:val="24"/>
              </w:rPr>
              <w:t xml:space="preserve">pabalsta aprēķināšanai iemaksu algu </w:t>
            </w:r>
            <w:r>
              <w:rPr>
                <w:rFonts w:ascii="Times New Roman" w:hAnsi="Times New Roman" w:cs="Times New Roman"/>
                <w:sz w:val="24"/>
                <w:szCs w:val="24"/>
              </w:rPr>
              <w:t xml:space="preserve">aprēķina </w:t>
            </w:r>
            <w:r w:rsidRPr="003A05D0">
              <w:rPr>
                <w:rFonts w:ascii="Times New Roman" w:hAnsi="Times New Roman" w:cs="Times New Roman"/>
                <w:sz w:val="24"/>
                <w:szCs w:val="24"/>
              </w:rPr>
              <w:t xml:space="preserve">atbilstoši likumā „Par maternitātes un slimības </w:t>
            </w:r>
            <w:r w:rsidRPr="00485418">
              <w:rPr>
                <w:rFonts w:ascii="Times New Roman" w:hAnsi="Times New Roman" w:cs="Times New Roman"/>
                <w:sz w:val="24"/>
                <w:szCs w:val="24"/>
              </w:rPr>
              <w:t>apdrošināšanai” slimības un apbedīšanas pabalsta aprēķināšanai noteiktajam.  Jaunā iemaksu algas aprēķināšanas kārtība attiecībā uz slimības un apbedīšanas pabalsta aprēķināšanu stātos spēkā no 2020.gada 1.janvāra, bet attiecībā uz atlīdzībām – no 2021.gada 1.janvāra. Vienlaikus Likuma pārejas noteikumos tiek atrunāta kārtība</w:t>
            </w:r>
            <w:r w:rsidRPr="00485418">
              <w:rPr>
                <w:rFonts w:ascii="Times New Roman" w:hAnsi="Times New Roman"/>
                <w:sz w:val="24"/>
                <w:szCs w:val="24"/>
                <w:lang w:eastAsia="lv-LV"/>
              </w:rPr>
              <w:t>, - ja apdrošināšanas gadījums iestājies līdz stājusies spēkā jaunā algas aprēķināšanas kārtība, tad pakalpojuma aprēķināšanai izmanto personas vidējo apdrošināšanas iemaksu algu, kas noteikta saskaņā ar tiesību normām, kas bija spēkā līdz šo izmaiņu veikšanai (grozījumi Likuma 12. panta pirmajā daļā, 1</w:t>
            </w:r>
            <w:r w:rsidR="004A6031">
              <w:rPr>
                <w:rFonts w:ascii="Times New Roman" w:hAnsi="Times New Roman"/>
                <w:sz w:val="24"/>
                <w:szCs w:val="24"/>
                <w:lang w:eastAsia="lv-LV"/>
              </w:rPr>
              <w:t>.</w:t>
            </w:r>
            <w:r w:rsidRPr="00485418">
              <w:rPr>
                <w:rFonts w:ascii="Times New Roman" w:hAnsi="Times New Roman"/>
                <w:sz w:val="24"/>
                <w:szCs w:val="24"/>
                <w:vertAlign w:val="superscript"/>
                <w:lang w:eastAsia="lv-LV"/>
              </w:rPr>
              <w:t>1</w:t>
            </w:r>
            <w:r w:rsidRPr="00485418">
              <w:rPr>
                <w:rFonts w:ascii="Times New Roman" w:hAnsi="Times New Roman"/>
                <w:sz w:val="24"/>
                <w:szCs w:val="24"/>
                <w:lang w:eastAsia="lv-LV"/>
              </w:rPr>
              <w:t xml:space="preserve"> </w:t>
            </w:r>
            <w:r w:rsidR="00166020">
              <w:rPr>
                <w:rFonts w:ascii="Times New Roman" w:hAnsi="Times New Roman"/>
                <w:sz w:val="24"/>
                <w:szCs w:val="24"/>
                <w:lang w:eastAsia="lv-LV"/>
              </w:rPr>
              <w:t>daļa, pārejas noteikumu 23.,</w:t>
            </w:r>
            <w:r w:rsidR="004A6031">
              <w:rPr>
                <w:rFonts w:ascii="Times New Roman" w:hAnsi="Times New Roman"/>
                <w:sz w:val="24"/>
                <w:szCs w:val="24"/>
                <w:lang w:eastAsia="lv-LV"/>
              </w:rPr>
              <w:t xml:space="preserve"> </w:t>
            </w:r>
            <w:r w:rsidR="00166020">
              <w:rPr>
                <w:rFonts w:ascii="Times New Roman" w:hAnsi="Times New Roman"/>
                <w:sz w:val="24"/>
                <w:szCs w:val="24"/>
                <w:lang w:eastAsia="lv-LV"/>
              </w:rPr>
              <w:t>24</w:t>
            </w:r>
            <w:r w:rsidRPr="00485418">
              <w:rPr>
                <w:rFonts w:ascii="Times New Roman" w:hAnsi="Times New Roman"/>
                <w:sz w:val="24"/>
                <w:szCs w:val="24"/>
                <w:lang w:eastAsia="lv-LV"/>
              </w:rPr>
              <w:t>. un 27.punkts).</w:t>
            </w:r>
          </w:p>
          <w:p w:rsidR="00495F81" w:rsidRPr="003A05D0" w:rsidRDefault="00495F81" w:rsidP="003F6359">
            <w:pPr>
              <w:spacing w:after="0" w:line="240" w:lineRule="auto"/>
              <w:ind w:firstLine="650"/>
              <w:jc w:val="both"/>
              <w:rPr>
                <w:rFonts w:ascii="Times New Roman" w:eastAsia="Times New Roman" w:hAnsi="Times New Roman" w:cs="Times New Roman"/>
                <w:iCs/>
                <w:noProof/>
                <w:sz w:val="24"/>
                <w:szCs w:val="24"/>
                <w:lang w:eastAsia="lv-LV"/>
              </w:rPr>
            </w:pPr>
          </w:p>
          <w:p w:rsidR="00495F81" w:rsidRPr="003A05D0" w:rsidRDefault="00495F81" w:rsidP="003F6359">
            <w:pPr>
              <w:pStyle w:val="BodyTextIndent"/>
              <w:numPr>
                <w:ilvl w:val="0"/>
                <w:numId w:val="1"/>
              </w:numPr>
              <w:spacing w:after="0"/>
              <w:ind w:left="0" w:firstLine="0"/>
              <w:jc w:val="both"/>
              <w:rPr>
                <w:lang w:val="lv-LV"/>
              </w:rPr>
            </w:pPr>
            <w:r w:rsidRPr="003A05D0">
              <w:rPr>
                <w:lang w:val="lv-LV"/>
              </w:rPr>
              <w:t xml:space="preserve">Sociālās apdrošināšanas sistēmā pastāv princips, ka personai negūtos darba ienākumus neatlīdzina vairākkārt. Gadījumā, ja personai, kurai konstatēta arodslimība vai noticis nelaimes gadījums darbā un piešķirta atlīdzība, </w:t>
            </w:r>
            <w:r w:rsidR="00471158" w:rsidRPr="00471158">
              <w:rPr>
                <w:shd w:val="clear" w:color="auto" w:fill="FFFFFF"/>
                <w:lang w:val="lv-LV"/>
              </w:rPr>
              <w:t>Veselības un darbspēju ekspertīzes ārstu valsts komisija</w:t>
            </w:r>
            <w:r w:rsidR="00471158" w:rsidRPr="003A05D0">
              <w:rPr>
                <w:lang w:val="lv-LV"/>
              </w:rPr>
              <w:t xml:space="preserve"> </w:t>
            </w:r>
            <w:r w:rsidR="00471158">
              <w:rPr>
                <w:lang w:val="lv-LV"/>
              </w:rPr>
              <w:t xml:space="preserve">(turpmāk – </w:t>
            </w:r>
            <w:r w:rsidRPr="003A05D0">
              <w:rPr>
                <w:lang w:val="lv-LV"/>
              </w:rPr>
              <w:t>VDEĀVK</w:t>
            </w:r>
            <w:r w:rsidR="00471158">
              <w:rPr>
                <w:lang w:val="lv-LV"/>
              </w:rPr>
              <w:t>)</w:t>
            </w:r>
            <w:r w:rsidRPr="003A05D0">
              <w:rPr>
                <w:lang w:val="lv-LV"/>
              </w:rPr>
              <w:t xml:space="preserve"> noteikusi darbspēju zudumu saistībā ar kādu citu cēloni, piemēram, vispārējā saslimšana, šobrīd likumdošana pieļauj piešķirt otru pakalpojumu, t.i.</w:t>
            </w:r>
            <w:r w:rsidR="00C06847">
              <w:rPr>
                <w:lang w:val="lv-LV"/>
              </w:rPr>
              <w:t>,</w:t>
            </w:r>
            <w:r w:rsidRPr="003A05D0">
              <w:rPr>
                <w:lang w:val="lv-LV"/>
              </w:rPr>
              <w:t xml:space="preserve"> invaliditātes pensiju. </w:t>
            </w:r>
          </w:p>
          <w:tbl>
            <w:tblPr>
              <w:tblW w:w="8811" w:type="dxa"/>
              <w:tblInd w:w="93" w:type="dxa"/>
              <w:tblLayout w:type="fixed"/>
              <w:tblLook w:val="04A0" w:firstRow="1" w:lastRow="0" w:firstColumn="1" w:lastColumn="0" w:noHBand="0" w:noVBand="1"/>
            </w:tblPr>
            <w:tblGrid>
              <w:gridCol w:w="8811"/>
            </w:tblGrid>
            <w:tr w:rsidR="00495F81" w:rsidRPr="003A05D0" w:rsidTr="003F6359">
              <w:trPr>
                <w:trHeight w:val="810"/>
              </w:trPr>
              <w:tc>
                <w:tcPr>
                  <w:tcW w:w="8811" w:type="dxa"/>
                  <w:tcBorders>
                    <w:top w:val="nil"/>
                    <w:left w:val="nil"/>
                    <w:bottom w:val="nil"/>
                    <w:right w:val="nil"/>
                  </w:tcBorders>
                  <w:shd w:val="clear" w:color="auto" w:fill="auto"/>
                  <w:vAlign w:val="center"/>
                </w:tcPr>
                <w:tbl>
                  <w:tblPr>
                    <w:tblW w:w="6999" w:type="dxa"/>
                    <w:tblLayout w:type="fixed"/>
                    <w:tblLook w:val="04A0" w:firstRow="1" w:lastRow="0" w:firstColumn="1" w:lastColumn="0" w:noHBand="0" w:noVBand="1"/>
                  </w:tblPr>
                  <w:tblGrid>
                    <w:gridCol w:w="3030"/>
                    <w:gridCol w:w="1134"/>
                    <w:gridCol w:w="734"/>
                    <w:gridCol w:w="258"/>
                    <w:gridCol w:w="750"/>
                    <w:gridCol w:w="242"/>
                    <w:gridCol w:w="851"/>
                  </w:tblGrid>
                  <w:tr w:rsidR="00495F81" w:rsidRPr="003A05D0" w:rsidTr="003F6359">
                    <w:trPr>
                      <w:trHeight w:val="810"/>
                    </w:trPr>
                    <w:tc>
                      <w:tcPr>
                        <w:tcW w:w="6999" w:type="dxa"/>
                        <w:gridSpan w:val="7"/>
                        <w:tcBorders>
                          <w:top w:val="nil"/>
                          <w:left w:val="nil"/>
                          <w:bottom w:val="nil"/>
                          <w:right w:val="nil"/>
                        </w:tcBorders>
                        <w:shd w:val="clear" w:color="auto" w:fill="auto"/>
                        <w:vAlign w:val="center"/>
                        <w:hideMark/>
                      </w:tcPr>
                      <w:p w:rsidR="00495F81" w:rsidRPr="003A05D0" w:rsidRDefault="00495F81" w:rsidP="003F6359">
                        <w:pPr>
                          <w:spacing w:after="0" w:line="240" w:lineRule="auto"/>
                          <w:jc w:val="center"/>
                          <w:rPr>
                            <w:rFonts w:ascii="Times New Roman" w:eastAsia="Times New Roman" w:hAnsi="Times New Roman"/>
                            <w:b/>
                            <w:bCs/>
                            <w:sz w:val="24"/>
                            <w:szCs w:val="24"/>
                            <w:lang w:eastAsia="lv-LV"/>
                          </w:rPr>
                        </w:pPr>
                        <w:r w:rsidRPr="003A05D0">
                          <w:rPr>
                            <w:rFonts w:ascii="Times New Roman" w:eastAsia="Times New Roman" w:hAnsi="Times New Roman"/>
                            <w:b/>
                            <w:bCs/>
                            <w:sz w:val="24"/>
                            <w:szCs w:val="24"/>
                            <w:lang w:eastAsia="lv-LV"/>
                          </w:rPr>
                          <w:t>Uzskaitē esošie invaliditātes pensijas saņēmēji, kas vienlaicīgi ir uzskaitē kā apdrošināšanas atlīdzības saņēmēji</w:t>
                        </w:r>
                      </w:p>
                    </w:tc>
                  </w:tr>
                  <w:tr w:rsidR="00495F81" w:rsidRPr="003A05D0" w:rsidTr="003F6359">
                    <w:trPr>
                      <w:trHeight w:val="255"/>
                    </w:trPr>
                    <w:tc>
                      <w:tcPr>
                        <w:tcW w:w="3030"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b/>
                            <w:bCs/>
                            <w:sz w:val="24"/>
                            <w:szCs w:val="24"/>
                            <w:lang w:eastAsia="lv-LV"/>
                          </w:rPr>
                        </w:pPr>
                        <w:r w:rsidRPr="003A05D0">
                          <w:rPr>
                            <w:rFonts w:ascii="Times New Roman" w:eastAsia="Times New Roman" w:hAnsi="Times New Roman"/>
                            <w:b/>
                            <w:bCs/>
                            <w:sz w:val="24"/>
                            <w:szCs w:val="24"/>
                            <w:lang w:eastAsia="lv-LV"/>
                          </w:rPr>
                          <w:t>201</w:t>
                        </w:r>
                        <w:r>
                          <w:rPr>
                            <w:rFonts w:ascii="Times New Roman" w:eastAsia="Times New Roman" w:hAnsi="Times New Roman"/>
                            <w:b/>
                            <w:bCs/>
                            <w:sz w:val="24"/>
                            <w:szCs w:val="24"/>
                            <w:lang w:eastAsia="lv-LV"/>
                          </w:rPr>
                          <w:t>8</w:t>
                        </w:r>
                        <w:r w:rsidRPr="003A05D0">
                          <w:rPr>
                            <w:rFonts w:ascii="Times New Roman" w:eastAsia="Times New Roman" w:hAnsi="Times New Roman"/>
                            <w:b/>
                            <w:bCs/>
                            <w:sz w:val="24"/>
                            <w:szCs w:val="24"/>
                            <w:lang w:eastAsia="lv-LV"/>
                          </w:rPr>
                          <w:t xml:space="preserve">.gada </w:t>
                        </w:r>
                        <w:r>
                          <w:rPr>
                            <w:rFonts w:ascii="Times New Roman" w:eastAsia="Times New Roman" w:hAnsi="Times New Roman"/>
                            <w:b/>
                            <w:bCs/>
                            <w:sz w:val="24"/>
                            <w:szCs w:val="24"/>
                            <w:lang w:eastAsia="lv-LV"/>
                          </w:rPr>
                          <w:t>septembris</w:t>
                        </w:r>
                      </w:p>
                    </w:tc>
                    <w:tc>
                      <w:tcPr>
                        <w:tcW w:w="186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00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242"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851"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135"/>
                    </w:trPr>
                    <w:tc>
                      <w:tcPr>
                        <w:tcW w:w="3030"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86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008" w:type="dxa"/>
                        <w:gridSpan w:val="2"/>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242"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851" w:type="dxa"/>
                        <w:tcBorders>
                          <w:top w:val="nil"/>
                          <w:left w:val="nil"/>
                          <w:bottom w:val="nil"/>
                          <w:right w:val="nil"/>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255"/>
                    </w:trPr>
                    <w:tc>
                      <w:tcPr>
                        <w:tcW w:w="30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Darbspēju zaudējuma procents</w:t>
                        </w:r>
                      </w:p>
                    </w:tc>
                    <w:tc>
                      <w:tcPr>
                        <w:tcW w:w="3118" w:type="dxa"/>
                        <w:gridSpan w:val="5"/>
                        <w:tcBorders>
                          <w:top w:val="single" w:sz="4" w:space="0" w:color="auto"/>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Invaliditātes grupa</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Kopā</w:t>
                        </w:r>
                      </w:p>
                    </w:tc>
                  </w:tr>
                  <w:tr w:rsidR="00495F81" w:rsidRPr="003A05D0" w:rsidTr="003F6359">
                    <w:trPr>
                      <w:trHeight w:val="255"/>
                    </w:trPr>
                    <w:tc>
                      <w:tcPr>
                        <w:tcW w:w="3030" w:type="dxa"/>
                        <w:vMerge/>
                        <w:tcBorders>
                          <w:top w:val="single" w:sz="4" w:space="0" w:color="auto"/>
                          <w:left w:val="single" w:sz="4" w:space="0" w:color="auto"/>
                          <w:bottom w:val="single" w:sz="4" w:space="0" w:color="auto"/>
                          <w:right w:val="single" w:sz="4" w:space="0" w:color="auto"/>
                        </w:tcBorders>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c>
                      <w:tcPr>
                        <w:tcW w:w="1134" w:type="dxa"/>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1.grupa</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2.grupa</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rsidR="00495F81" w:rsidRPr="003A05D0" w:rsidRDefault="00495F81" w:rsidP="003F6359">
                        <w:pPr>
                          <w:spacing w:after="0" w:line="240" w:lineRule="auto"/>
                          <w:jc w:val="center"/>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3.grupa</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10% - 24%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w:t>
                        </w:r>
                        <w:r>
                          <w:rPr>
                            <w:rFonts w:ascii="Times New Roman" w:eastAsia="Times New Roman" w:hAnsi="Times New Roman"/>
                            <w:sz w:val="24"/>
                            <w:szCs w:val="24"/>
                            <w:lang w:eastAsia="lv-LV"/>
                          </w:rPr>
                          <w:t>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2</w:t>
                        </w:r>
                        <w:r>
                          <w:rPr>
                            <w:rFonts w:ascii="Times New Roman" w:eastAsia="Times New Roman" w:hAnsi="Times New Roman"/>
                            <w:sz w:val="24"/>
                            <w:szCs w:val="24"/>
                            <w:lang w:eastAsia="lv-LV"/>
                          </w:rPr>
                          <w:t>4</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tabs>
                            <w:tab w:val="left" w:pos="576"/>
                          </w:tab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49</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25% - 49%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17</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145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471</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633</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ar 50% - 79% darbspēju zaudējuma pakāpi</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68</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77</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150</w:t>
                        </w:r>
                      </w:p>
                    </w:tc>
                  </w:tr>
                  <w:tr w:rsidR="00495F81" w:rsidRPr="003A05D0" w:rsidTr="003F6359">
                    <w:trPr>
                      <w:trHeight w:val="375"/>
                    </w:trPr>
                    <w:tc>
                      <w:tcPr>
                        <w:tcW w:w="3030" w:type="dxa"/>
                        <w:tcBorders>
                          <w:top w:val="nil"/>
                          <w:left w:val="single" w:sz="4" w:space="0" w:color="auto"/>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Kopā</w:t>
                        </w:r>
                      </w:p>
                    </w:tc>
                    <w:tc>
                      <w:tcPr>
                        <w:tcW w:w="1134"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236</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572</w:t>
                        </w:r>
                      </w:p>
                    </w:tc>
                    <w:tc>
                      <w:tcPr>
                        <w:tcW w:w="851" w:type="dxa"/>
                        <w:tcBorders>
                          <w:top w:val="nil"/>
                          <w:left w:val="nil"/>
                          <w:bottom w:val="single" w:sz="4" w:space="0" w:color="auto"/>
                          <w:right w:val="single" w:sz="4" w:space="0" w:color="auto"/>
                        </w:tcBorders>
                        <w:shd w:val="clear" w:color="auto" w:fill="auto"/>
                        <w:noWrap/>
                        <w:vAlign w:val="center"/>
                        <w:hideMark/>
                      </w:tcPr>
                      <w:p w:rsidR="00495F81" w:rsidRPr="003A05D0" w:rsidRDefault="00495F81" w:rsidP="003F6359">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832</w:t>
                        </w:r>
                      </w:p>
                    </w:tc>
                  </w:tr>
                </w:tbl>
                <w:p w:rsidR="00495F81" w:rsidRPr="003A05D0" w:rsidRDefault="00495F81" w:rsidP="003F6359">
                  <w:pPr>
                    <w:spacing w:after="0" w:line="240" w:lineRule="auto"/>
                    <w:jc w:val="center"/>
                    <w:rPr>
                      <w:rFonts w:ascii="Times New Roman" w:eastAsia="Times New Roman" w:hAnsi="Times New Roman"/>
                      <w:b/>
                      <w:bCs/>
                      <w:sz w:val="24"/>
                      <w:szCs w:val="24"/>
                      <w:lang w:eastAsia="lv-LV"/>
                    </w:rPr>
                  </w:pPr>
                </w:p>
              </w:tc>
            </w:tr>
          </w:tbl>
          <w:p w:rsidR="00495F81" w:rsidRPr="003A05D0" w:rsidRDefault="00495F81" w:rsidP="003F6359">
            <w:pPr>
              <w:pStyle w:val="ListParagraph"/>
              <w:spacing w:after="0" w:line="240" w:lineRule="auto"/>
              <w:ind w:left="0" w:firstLine="720"/>
              <w:jc w:val="both"/>
              <w:rPr>
                <w:rFonts w:ascii="Times New Roman" w:hAnsi="Times New Roman"/>
                <w:sz w:val="24"/>
                <w:szCs w:val="24"/>
              </w:rPr>
            </w:pPr>
          </w:p>
          <w:p w:rsidR="00495F81" w:rsidRPr="003A05D0" w:rsidRDefault="00495F81" w:rsidP="003F6359">
            <w:pPr>
              <w:pStyle w:val="ListParagraph"/>
              <w:spacing w:after="0" w:line="240" w:lineRule="auto"/>
              <w:ind w:left="0" w:firstLine="720"/>
              <w:jc w:val="both"/>
              <w:rPr>
                <w:rFonts w:ascii="Times New Roman" w:hAnsi="Times New Roman"/>
                <w:sz w:val="24"/>
                <w:szCs w:val="24"/>
              </w:rPr>
            </w:pPr>
            <w:r w:rsidRPr="003A05D0">
              <w:rPr>
                <w:rFonts w:ascii="Times New Roman" w:hAnsi="Times New Roman"/>
                <w:sz w:val="24"/>
                <w:szCs w:val="24"/>
              </w:rPr>
              <w:t xml:space="preserve">Tādejādi, ja personai sociālās apdrošināšanas riski sakrīt, tad, ņemot vērā, ka zaudēto darba ienākumu atvietojums jau tiek kompensēts ar vienu sociālās apdrošināšanas pakalpojumu, nav pamata no sociālās </w:t>
            </w:r>
            <w:r w:rsidRPr="003A05D0">
              <w:rPr>
                <w:rFonts w:ascii="Times New Roman" w:hAnsi="Times New Roman"/>
                <w:sz w:val="24"/>
                <w:szCs w:val="24"/>
              </w:rPr>
              <w:lastRenderedPageBreak/>
              <w:t>apdrošināšanas līdzekļiem to kompensēt vēlreiz. Tādā gadījumā būtu jādod iespēja izvēlēties personai izdevīgāko pakalpojuma veidu. Līdzīgas normas, kas izslēdz iespēju saņemt vairākus sociālās apdrošināšanas pakalpojumus vienlaikus, ir iekļautas arī citos sociālās apdrošināšanas jomu reglamentējošos likumos.</w:t>
            </w:r>
          </w:p>
          <w:p w:rsidR="00495F81" w:rsidRPr="003A05D0" w:rsidRDefault="00495F81" w:rsidP="003F6359">
            <w:pPr>
              <w:pStyle w:val="BodyTextIndent"/>
              <w:spacing w:after="0"/>
              <w:ind w:left="0" w:firstLine="700"/>
              <w:jc w:val="both"/>
              <w:rPr>
                <w:lang w:val="lv-LV"/>
              </w:rPr>
            </w:pPr>
            <w:r w:rsidRPr="003A05D0">
              <w:rPr>
                <w:lang w:val="lv-LV"/>
              </w:rPr>
              <w:t xml:space="preserve">Normatīvie akti nosaka, ka persona vienlaicīgi nevar saņemt slimības pabalstu un bezdarbnieka pabalstu vai bezdarbnieka pabalstu un vecuma pensiju, tāpat personai vienlaikus neizmaksā invaliditātes pensiju un vecuma pensiju vai invaliditātes pensiju un apgādnieka zaudējuma pensiju. </w:t>
            </w:r>
          </w:p>
          <w:p w:rsidR="00495F81" w:rsidRPr="003A05D0" w:rsidRDefault="00495F81" w:rsidP="003F6359">
            <w:pPr>
              <w:autoSpaceDE w:val="0"/>
              <w:autoSpaceDN w:val="0"/>
              <w:adjustRightInd w:val="0"/>
              <w:spacing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Arī Satversmes tiesa ar 2010.gada 29.oktobra spriedumu lietā Nr.2010-17-01, izskatot atlīdzības par darbspēju zaudējumu un vecuma pensijas vienlaicīgu saņemšanu, atzinusi, ka likuma 20.panta devītā daļa atbilst Latvijas Republikas Satversmes 1., 91., 105. un 109.pantam. Minētajā spriedumā ir norādīts, ka “Satversmes 109.pants neparedz personai tiesības prasīt, lai tās negūtie darba ienākumi gadījumā, ja tie jau tiek kompensēti sakarā ar vienu sociālo risku, tiktu kompensēti vēlreiz - arī sakarā ar otru sociālo risku.” </w:t>
            </w:r>
          </w:p>
          <w:p w:rsidR="00495F81" w:rsidRPr="003A05D0" w:rsidRDefault="00495F81" w:rsidP="003F6359">
            <w:pPr>
              <w:shd w:val="clear" w:color="auto" w:fill="FFFFFF"/>
              <w:tabs>
                <w:tab w:val="left" w:pos="1134"/>
              </w:tabs>
              <w:spacing w:after="0" w:line="240" w:lineRule="auto"/>
              <w:ind w:firstLine="709"/>
              <w:jc w:val="both"/>
              <w:rPr>
                <w:rFonts w:ascii="Times New Roman" w:hAnsi="Times New Roman"/>
                <w:sz w:val="24"/>
                <w:szCs w:val="24"/>
                <w:lang w:eastAsia="lv-LV"/>
              </w:rPr>
            </w:pPr>
            <w:r>
              <w:rPr>
                <w:rFonts w:ascii="Times New Roman" w:hAnsi="Times New Roman" w:cs="Times New Roman"/>
                <w:sz w:val="24"/>
                <w:szCs w:val="24"/>
              </w:rPr>
              <w:t>Attiecīgi p</w:t>
            </w:r>
            <w:r w:rsidRPr="003A05D0">
              <w:rPr>
                <w:rFonts w:ascii="Times New Roman" w:hAnsi="Times New Roman" w:cs="Times New Roman"/>
                <w:sz w:val="24"/>
                <w:szCs w:val="24"/>
              </w:rPr>
              <w:t>ersona varēs saņemt vienu pakalpojumu, sev izdevīgāko, tajos gadījumos, kas tikai iestāsies pēc šī likuma spēkā stāšanās. Savukārt attiecībā uz personām, kuras šobrīd jau saņem gan atlīdzību, gan invaliditātes pensiju, lai ievērotu tiesiskās paļāvības principu,</w:t>
            </w:r>
            <w:r w:rsidRPr="003A05D0">
              <w:rPr>
                <w:rFonts w:ascii="Times New Roman" w:hAnsi="Times New Roman"/>
                <w:sz w:val="24"/>
                <w:szCs w:val="24"/>
                <w:lang w:eastAsia="lv-LV"/>
              </w:rPr>
              <w:t xml:space="preserve"> piešķirto atlīdzību un invaliditātes pensiju turpinās izmaksāt līdz lēmumā par pakalpojuma piešķiršanu, pārrēķināšanu vai izmaksas termiņa pagarināšanu noteikt</w:t>
            </w:r>
            <w:r>
              <w:rPr>
                <w:rFonts w:ascii="Times New Roman" w:hAnsi="Times New Roman"/>
                <w:sz w:val="24"/>
                <w:szCs w:val="24"/>
                <w:lang w:eastAsia="lv-LV"/>
              </w:rPr>
              <w:t xml:space="preserve">ajam </w:t>
            </w:r>
            <w:r w:rsidRPr="003A05D0">
              <w:rPr>
                <w:rFonts w:ascii="Times New Roman" w:hAnsi="Times New Roman"/>
                <w:sz w:val="24"/>
                <w:szCs w:val="24"/>
                <w:lang w:eastAsia="lv-LV"/>
              </w:rPr>
              <w:t>laik</w:t>
            </w:r>
            <w:r>
              <w:rPr>
                <w:rFonts w:ascii="Times New Roman" w:hAnsi="Times New Roman"/>
                <w:sz w:val="24"/>
                <w:szCs w:val="24"/>
                <w:lang w:eastAsia="lv-LV"/>
              </w:rPr>
              <w:t>am</w:t>
            </w:r>
            <w:r w:rsidRPr="003A05D0">
              <w:rPr>
                <w:rFonts w:ascii="Times New Roman" w:hAnsi="Times New Roman"/>
                <w:sz w:val="24"/>
                <w:szCs w:val="24"/>
                <w:lang w:eastAsia="lv-LV"/>
              </w:rPr>
              <w:t xml:space="preserve"> (grozījumi </w:t>
            </w:r>
            <w:r>
              <w:rPr>
                <w:rFonts w:ascii="Times New Roman" w:hAnsi="Times New Roman"/>
                <w:sz w:val="24"/>
                <w:szCs w:val="24"/>
                <w:lang w:eastAsia="lv-LV"/>
              </w:rPr>
              <w:t>L</w:t>
            </w:r>
            <w:r w:rsidRPr="003A05D0">
              <w:rPr>
                <w:rFonts w:ascii="Times New Roman" w:hAnsi="Times New Roman"/>
                <w:sz w:val="24"/>
                <w:szCs w:val="24"/>
                <w:lang w:eastAsia="lv-LV"/>
              </w:rPr>
              <w:t>ikuma 14.pantā, pārejas noteikumu 2</w:t>
            </w:r>
            <w:r>
              <w:rPr>
                <w:rFonts w:ascii="Times New Roman" w:hAnsi="Times New Roman"/>
                <w:sz w:val="24"/>
                <w:szCs w:val="24"/>
                <w:lang w:eastAsia="lv-LV"/>
              </w:rPr>
              <w:t>5</w:t>
            </w:r>
            <w:r w:rsidRPr="003A05D0">
              <w:rPr>
                <w:rFonts w:ascii="Times New Roman" w:hAnsi="Times New Roman"/>
                <w:sz w:val="24"/>
                <w:szCs w:val="24"/>
                <w:lang w:eastAsia="lv-LV"/>
              </w:rPr>
              <w:t>.punkts).</w:t>
            </w:r>
          </w:p>
          <w:p w:rsidR="00495F81" w:rsidRPr="003A05D0" w:rsidRDefault="00495F81" w:rsidP="003F6359">
            <w:pPr>
              <w:shd w:val="clear" w:color="auto" w:fill="FFFFFF"/>
              <w:tabs>
                <w:tab w:val="left" w:pos="1134"/>
              </w:tabs>
              <w:spacing w:after="0" w:line="240" w:lineRule="auto"/>
              <w:ind w:firstLine="709"/>
              <w:jc w:val="both"/>
              <w:rPr>
                <w:rFonts w:ascii="Times New Roman" w:hAnsi="Times New Roman"/>
                <w:sz w:val="24"/>
                <w:szCs w:val="24"/>
                <w:lang w:eastAsia="lv-LV"/>
              </w:rPr>
            </w:pPr>
          </w:p>
          <w:p w:rsidR="00495F81" w:rsidRPr="003A05D0" w:rsidRDefault="00495F81" w:rsidP="003F6359">
            <w:pPr>
              <w:spacing w:after="0" w:line="240" w:lineRule="auto"/>
              <w:jc w:val="both"/>
              <w:rPr>
                <w:rFonts w:ascii="Times New Roman" w:hAnsi="Times New Roman" w:cs="Times New Roman"/>
                <w:sz w:val="24"/>
                <w:szCs w:val="24"/>
              </w:rPr>
            </w:pPr>
            <w:r w:rsidRPr="003A05D0">
              <w:rPr>
                <w:rFonts w:ascii="Times New Roman" w:hAnsi="Times New Roman" w:cs="Times New Roman"/>
                <w:sz w:val="24"/>
                <w:szCs w:val="24"/>
              </w:rPr>
              <w:t xml:space="preserve"> 3) Apdrošinātajai personai, kurai noticis nelaimes gadījums darbā vai, ja apdrošinātā persona saslimusi ar arodslimību, slimības pabalsta izmaksu pārtrauc ar atlīdzības piešķiršanas dienu (Likuma 19.panta trešās daļas 1.p.) vai ar dienu, kad personai nosaka darbspēju zaudējuma pakāpi (Likuma 19. panta trešās daļas 2. punkts).</w:t>
            </w:r>
          </w:p>
          <w:p w:rsidR="00495F81" w:rsidRDefault="00495F81" w:rsidP="003F6359">
            <w:pPr>
              <w:pStyle w:val="BodyTextIndent2"/>
              <w:spacing w:after="0" w:line="240" w:lineRule="auto"/>
              <w:ind w:left="0"/>
              <w:jc w:val="both"/>
            </w:pPr>
            <w:r w:rsidRPr="003A05D0">
              <w:t xml:space="preserve">Taču slimības pabalsta izmaksu nepārtrauc, ja personai ir noteikts 10-24% darbspēju zaudējums. </w:t>
            </w:r>
            <w:proofErr w:type="gramStart"/>
            <w:r w:rsidRPr="003A05D0">
              <w:t xml:space="preserve">Pie </w:t>
            </w:r>
            <w:r>
              <w:t>t</w:t>
            </w:r>
            <w:r w:rsidRPr="003A05D0">
              <w:t>am</w:t>
            </w:r>
            <w:proofErr w:type="gramEnd"/>
            <w:r w:rsidRPr="003A05D0">
              <w:t xml:space="preserve">, ja pārejoša darbnespēja nav saistīta ar arodslimību, šāds ierobežojums nepastāv un apdrošinātajai personai ir tiesības invaliditātes laikā saņemt slimības pabalstu. </w:t>
            </w:r>
            <w:r w:rsidR="001F785C">
              <w:t xml:space="preserve">Grozījumi nepieciešami, lai harmonizētu tiesību normas un būtu noteikts līdzīgs ienākumu atvietojums darbnespējas gadījumā neatkarīgi no personai noteiktās invaliditātes cēloņa. </w:t>
            </w:r>
            <w:r w:rsidRPr="003A05D0">
              <w:t xml:space="preserve">Izmaksājot darbnespējas periodā slimības pabalstu, tiek ievēroti Likuma 19.panta otrajā daļā noteiktie ierobežojumi, t.i., līdz darbspēju atgūšanas dienai, bet ne ilgāku par 26 nedēļām (skaitot no darbnespējas pirmās dienas), ja darbnespēja ir nepārtraukta, vai ne ilgāku par 52 nedēļām triju gadu periodā, ja darbnespēja atkārtojas ar pārtraukumiem (grozījumi </w:t>
            </w:r>
            <w:r>
              <w:t>L</w:t>
            </w:r>
            <w:r w:rsidRPr="003A05D0">
              <w:t>ikuma 19.pantā).</w:t>
            </w:r>
          </w:p>
          <w:p w:rsidR="001F785C" w:rsidRDefault="001F785C" w:rsidP="003F6359">
            <w:pPr>
              <w:pStyle w:val="BodyTextIndent2"/>
              <w:spacing w:after="0" w:line="240" w:lineRule="auto"/>
              <w:ind w:left="0"/>
              <w:jc w:val="both"/>
            </w:pPr>
          </w:p>
          <w:p w:rsidR="00933146" w:rsidRDefault="001F785C" w:rsidP="00933146">
            <w:pPr>
              <w:pStyle w:val="naiskr"/>
              <w:spacing w:before="0" w:beforeAutospacing="0" w:after="0" w:afterAutospacing="0"/>
              <w:ind w:firstLine="134"/>
              <w:jc w:val="both"/>
            </w:pPr>
            <w:r>
              <w:t>4)</w:t>
            </w:r>
            <w:r w:rsidR="00933146">
              <w:t xml:space="preserve"> </w:t>
            </w:r>
            <w:r w:rsidR="00933146" w:rsidRPr="00F4776D">
              <w:t xml:space="preserve">Ja apdrošinātā persona, kas saņem atlīdzību par darbspēju zaudējumu, saskaņā ar VDEĀVK atzinumu (atzinumu par īpašas kopšanas nepieciešamību) nevar sevi apkopt </w:t>
            </w:r>
            <w:r w:rsidR="00933146">
              <w:t xml:space="preserve">un tai ir nepieciešama otra cilvēka palīdzība </w:t>
            </w:r>
            <w:r w:rsidR="00471158" w:rsidRPr="003A05D0">
              <w:rPr>
                <w:iCs/>
                <w:noProof/>
              </w:rPr>
              <w:t>Valsts sociālās apdrošināšanas aģentūra (turpmāk  - VSAA</w:t>
            </w:r>
            <w:r w:rsidR="00471158">
              <w:rPr>
                <w:iCs/>
                <w:noProof/>
              </w:rPr>
              <w:t>)</w:t>
            </w:r>
            <w:r w:rsidR="00471158">
              <w:t xml:space="preserve"> </w:t>
            </w:r>
            <w:r w:rsidR="00933146">
              <w:t>ir tiesīga palielināt šai personai piešķirto atlīdzību par darbspēju zaudējumu līdz 50% no atlīdzības, kas tai pienākas (likuma 20.panta (6) daļa).</w:t>
            </w:r>
          </w:p>
          <w:p w:rsidR="00933146" w:rsidRPr="00F4776D" w:rsidRDefault="00933146" w:rsidP="00933146">
            <w:pPr>
              <w:pStyle w:val="naiskr"/>
              <w:spacing w:before="0" w:beforeAutospacing="0" w:after="0" w:afterAutospacing="0"/>
              <w:ind w:firstLine="360"/>
              <w:jc w:val="both"/>
            </w:pPr>
            <w:r>
              <w:t xml:space="preserve">Šī tiesību norma ir spēkā no 1997.gada 1.janvāra. Savukārt, ar </w:t>
            </w:r>
            <w:r>
              <w:lastRenderedPageBreak/>
              <w:t xml:space="preserve">2009.gada 1.janvāri, saskaņā ar Valsts sociālo pabalstu likuma 12.1. punktu personām, kurām nepieciešama īpaša kopšana </w:t>
            </w:r>
            <w:proofErr w:type="gramStart"/>
            <w:r>
              <w:t>tiek piešķirts valsts sociālais</w:t>
            </w:r>
            <w:proofErr w:type="gramEnd"/>
            <w:r>
              <w:t xml:space="preserve"> pabalsts 213,43 eiro apmērā. Līdz ar to, lai dubultā netiktu kompensēta personas kopšana, no likuma izslēdzama 20.panta sestā daļa.</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Likumprojekta mērķis ir pilnveidot vidējās apdrošināšanas iemaksu  algas aprēķināšanas kārtību un </w:t>
            </w:r>
            <w:r>
              <w:rPr>
                <w:rFonts w:ascii="Times New Roman" w:eastAsia="Times New Roman" w:hAnsi="Times New Roman" w:cs="Times New Roman"/>
                <w:iCs/>
                <w:noProof/>
                <w:sz w:val="24"/>
                <w:szCs w:val="24"/>
                <w:lang w:eastAsia="lv-LV"/>
              </w:rPr>
              <w:t>saskaņot</w:t>
            </w:r>
            <w:r w:rsidRPr="003A05D0">
              <w:rPr>
                <w:rFonts w:ascii="Times New Roman" w:eastAsia="Times New Roman" w:hAnsi="Times New Roman" w:cs="Times New Roman"/>
                <w:iCs/>
                <w:noProof/>
                <w:sz w:val="24"/>
                <w:szCs w:val="24"/>
                <w:lang w:eastAsia="lv-LV"/>
              </w:rPr>
              <w:t xml:space="preserve"> to ar algas aprēķināšanas veidiem, kurus paredz citi tiesību akti</w:t>
            </w:r>
            <w:r>
              <w:rPr>
                <w:rFonts w:ascii="Times New Roman" w:eastAsia="Times New Roman" w:hAnsi="Times New Roman" w:cs="Times New Roman"/>
                <w:iCs/>
                <w:noProof/>
                <w:sz w:val="24"/>
                <w:szCs w:val="24"/>
                <w:lang w:eastAsia="lv-LV"/>
              </w:rPr>
              <w:t xml:space="preserve"> (ļikums „Par valsts pensijām”, likums „Par maternitātes un slimības apdrošināšanu”)</w:t>
            </w:r>
            <w:r w:rsidRPr="003A05D0">
              <w:rPr>
                <w:rFonts w:ascii="Times New Roman" w:eastAsia="Times New Roman" w:hAnsi="Times New Roman" w:cs="Times New Roman"/>
                <w:iCs/>
                <w:noProof/>
                <w:sz w:val="24"/>
                <w:szCs w:val="24"/>
                <w:lang w:eastAsia="lv-LV"/>
              </w:rPr>
              <w:t>. Likumprojekts paredz personai, kurai vienlaicīgi ir tiesības uz diviem pakalpojumiem, saņemt sev izdevīgāko, kā arī precizē atsevišķas likuma normas saistībā ar slimības pabalsta</w:t>
            </w:r>
            <w:r w:rsidR="00933146">
              <w:rPr>
                <w:rFonts w:ascii="Times New Roman" w:eastAsia="Times New Roman" w:hAnsi="Times New Roman" w:cs="Times New Roman"/>
                <w:iCs/>
                <w:noProof/>
                <w:sz w:val="24"/>
                <w:szCs w:val="24"/>
                <w:lang w:eastAsia="lv-LV"/>
              </w:rPr>
              <w:t xml:space="preserve"> un atlīdzības</w:t>
            </w:r>
            <w:r w:rsidRPr="003A05D0">
              <w:rPr>
                <w:rFonts w:ascii="Times New Roman" w:eastAsia="Times New Roman" w:hAnsi="Times New Roman" w:cs="Times New Roman"/>
                <w:iCs/>
                <w:noProof/>
                <w:sz w:val="24"/>
                <w:szCs w:val="24"/>
                <w:lang w:eastAsia="lv-LV"/>
              </w:rPr>
              <w:t xml:space="preserve"> izmaksu.</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paredz:</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mēneša v</w:t>
            </w:r>
            <w:r w:rsidRPr="003A05D0">
              <w:rPr>
                <w:rFonts w:ascii="Times New Roman" w:hAnsi="Times New Roman"/>
                <w:sz w:val="24"/>
                <w:szCs w:val="24"/>
              </w:rPr>
              <w:t>idējo apdrošināšanas iemaksu algu atlīdzības par darbspēju zaudējumu un atlīdzības par apgādnieka zaudējumu aprēķināšanai nosaka no apdrošinātās personas apdrošināšanas iemaksu algas par jebkuriem 36 mēnešiem pēc kārtas pēdējo piecu gadu laikā pirms apdrošināšanas gadījuma iestāšanās dienas (</w:t>
            </w:r>
            <w:r w:rsidRPr="003A05D0">
              <w:rPr>
                <w:rFonts w:ascii="Times New Roman" w:hAnsi="Times New Roman"/>
                <w:sz w:val="24"/>
                <w:szCs w:val="24"/>
                <w:lang w:eastAsia="lv-LV"/>
              </w:rPr>
              <w:t>likumprojekta 1.pants);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rPr>
              <w:t xml:space="preserve">kalendārās dienas vidējo apdrošināšanas iemaksu algu slimības </w:t>
            </w:r>
            <w:r>
              <w:rPr>
                <w:rFonts w:ascii="Times New Roman" w:hAnsi="Times New Roman"/>
                <w:sz w:val="24"/>
                <w:szCs w:val="24"/>
              </w:rPr>
              <w:t xml:space="preserve">un apbedīšanas </w:t>
            </w:r>
            <w:r w:rsidRPr="003A05D0">
              <w:rPr>
                <w:rFonts w:ascii="Times New Roman" w:hAnsi="Times New Roman"/>
                <w:sz w:val="24"/>
                <w:szCs w:val="24"/>
              </w:rPr>
              <w:t xml:space="preserve">pabalsta aprēķināšanai nosaka atbilstoši likumā „Par maternitātes un slimības apdrošināšanu” slimības </w:t>
            </w:r>
            <w:r>
              <w:rPr>
                <w:rFonts w:ascii="Times New Roman" w:hAnsi="Times New Roman"/>
                <w:sz w:val="24"/>
                <w:szCs w:val="24"/>
              </w:rPr>
              <w:t xml:space="preserve">un apbedīšanas </w:t>
            </w:r>
            <w:r w:rsidRPr="003A05D0">
              <w:rPr>
                <w:rFonts w:ascii="Times New Roman" w:hAnsi="Times New Roman"/>
                <w:sz w:val="24"/>
                <w:szCs w:val="24"/>
              </w:rPr>
              <w:t>pabalsta aprēķināšanai noteiktajam (</w:t>
            </w:r>
            <w:r w:rsidRPr="003A05D0">
              <w:rPr>
                <w:rFonts w:ascii="Times New Roman" w:hAnsi="Times New Roman"/>
                <w:sz w:val="24"/>
                <w:szCs w:val="24"/>
                <w:lang w:eastAsia="lv-LV"/>
              </w:rPr>
              <w:t>likumprojekta 1.pants);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personai izdevīgākā viena pakalpojuma piešķiršana  </w:t>
            </w:r>
            <w:r w:rsidRPr="003A05D0">
              <w:rPr>
                <w:rFonts w:ascii="Times New Roman" w:hAnsi="Times New Roman"/>
                <w:sz w:val="24"/>
                <w:szCs w:val="24"/>
              </w:rPr>
              <w:t>(</w:t>
            </w:r>
            <w:r w:rsidRPr="003A05D0">
              <w:rPr>
                <w:rFonts w:ascii="Times New Roman" w:hAnsi="Times New Roman"/>
                <w:sz w:val="24"/>
                <w:szCs w:val="24"/>
                <w:lang w:eastAsia="lv-LV"/>
              </w:rPr>
              <w:t>likumprojekta 2.un 5.pants);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slimības pabalstu izmaksā visā darbnespējas periodā, ievērojot noteiktos izmaksas ierobežojumus (likumprojekta 3.pants);</w:t>
            </w:r>
          </w:p>
          <w:p w:rsidR="00BD7200" w:rsidRPr="00BD7200" w:rsidRDefault="00495F81" w:rsidP="00BD7200">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ņemot vērā, ka atlīdzības aprēķināšanai noteikts daudz garāks periods (36 mēneši 5 gadu periodā), nav nepieciešams vēl vairāk atkāpties, ja pirms arodslimības konstatēšanas bijusi pārejoša darbnespēja (likumprojekta 4.pants);</w:t>
            </w:r>
          </w:p>
          <w:p w:rsidR="00495F81" w:rsidRPr="003A05D0" w:rsidRDefault="00495F81" w:rsidP="003F6359">
            <w:pPr>
              <w:pStyle w:val="ListParagraph"/>
              <w:numPr>
                <w:ilvl w:val="0"/>
                <w:numId w:val="2"/>
              </w:numPr>
              <w:spacing w:after="0" w:line="240" w:lineRule="auto"/>
              <w:jc w:val="both"/>
              <w:rPr>
                <w:rFonts w:ascii="Times New Roman" w:eastAsia="Times New Roman" w:hAnsi="Times New Roman" w:cs="Times New Roman"/>
                <w:iCs/>
                <w:noProof/>
                <w:sz w:val="24"/>
                <w:szCs w:val="24"/>
                <w:lang w:eastAsia="lv-LV"/>
              </w:rPr>
            </w:pPr>
            <w:r w:rsidRPr="003A05D0">
              <w:rPr>
                <w:rFonts w:ascii="Times New Roman" w:hAnsi="Times New Roman"/>
                <w:sz w:val="24"/>
                <w:szCs w:val="24"/>
                <w:lang w:eastAsia="lv-LV"/>
              </w:rPr>
              <w:t xml:space="preserve">noteikt, ka </w:t>
            </w:r>
            <w:r w:rsidRPr="00485418">
              <w:rPr>
                <w:rFonts w:ascii="Times New Roman" w:hAnsi="Times New Roman"/>
                <w:sz w:val="24"/>
                <w:szCs w:val="24"/>
                <w:lang w:eastAsia="lv-LV"/>
              </w:rPr>
              <w:t>jaunā vidējās apdrošināšanas iemaksu algas aprēķināšanas kārtība attiecībā uz atlīdzību aprēķināšanu stāsies spēkā 2021.gadā,</w:t>
            </w:r>
            <w:r w:rsidRPr="003A05D0">
              <w:rPr>
                <w:rFonts w:ascii="Times New Roman" w:hAnsi="Times New Roman"/>
                <w:sz w:val="24"/>
                <w:szCs w:val="24"/>
                <w:lang w:eastAsia="lv-LV"/>
              </w:rPr>
              <w:t xml:space="preserve"> vienlaikus attiecīgie Ministru kabineta noteikumi tiks izstrādāti līdz 2020.gada 31.decembrim (likumprojekta 5.pants).</w:t>
            </w:r>
          </w:p>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71158" w:rsidP="003F6359">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495F81" w:rsidRPr="003A05D0" w:rsidTr="003F6359">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73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4029"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Cs/>
                <w:noProof/>
                <w:sz w:val="24"/>
                <w:szCs w:val="24"/>
                <w:lang w:eastAsia="lv-LV"/>
              </w:rPr>
            </w:pPr>
            <w:r w:rsidRPr="00485418">
              <w:rPr>
                <w:rFonts w:ascii="Times New Roman" w:hAnsi="Times New Roman" w:cs="Times New Roman"/>
                <w:sz w:val="24"/>
                <w:szCs w:val="24"/>
              </w:rPr>
              <w:t>Personas, kas cietušas nelaimes gadījumā darbā vai kurām konstatēta arodslimība.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sz w:val="24"/>
                <w:szCs w:val="24"/>
                <w:lang w:eastAsia="lv-LV"/>
              </w:rPr>
            </w:pPr>
            <w:r w:rsidRPr="003A05D0">
              <w:rPr>
                <w:rFonts w:ascii="Times New Roman" w:hAnsi="Times New Roman"/>
                <w:iCs/>
                <w:sz w:val="24"/>
                <w:szCs w:val="24"/>
              </w:rPr>
              <w:t xml:space="preserve">Likumprojekta tiesiskais regulējums nemaina sabiedrības tiesības un pienākumus, kā arī veicamās darbības. </w:t>
            </w:r>
            <w:r w:rsidRPr="003A05D0">
              <w:rPr>
                <w:rFonts w:ascii="Times New Roman" w:eastAsia="Times New Roman" w:hAnsi="Times New Roman"/>
                <w:iCs/>
                <w:sz w:val="24"/>
                <w:szCs w:val="24"/>
                <w:lang w:eastAsia="lv-LV"/>
              </w:rPr>
              <w:t>Likumprojekts nerada papildus administratīvo slogu.</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BD7200" w:rsidRPr="00A7401A" w:rsidRDefault="00495F81" w:rsidP="00BD7200">
      <w:pPr>
        <w:pStyle w:val="Quote"/>
        <w:rPr>
          <w:rFonts w:ascii="Times New Roman" w:eastAsia="Times New Roman" w:hAnsi="Times New Roman" w:cs="Times New Roman"/>
          <w:iCs w:val="0"/>
          <w:noProof/>
          <w:color w:val="auto"/>
          <w:sz w:val="24"/>
          <w:szCs w:val="24"/>
          <w:lang w:eastAsia="lv-LV"/>
        </w:rPr>
      </w:pPr>
      <w:r w:rsidRPr="00A7401A">
        <w:rPr>
          <w:noProof/>
          <w:color w:val="auto"/>
          <w:sz w:val="24"/>
          <w:szCs w:val="24"/>
          <w:lang w:eastAsia="lv-LV"/>
        </w:rPr>
        <w:t> </w:t>
      </w:r>
      <w:r w:rsidRPr="00A7401A">
        <w:rPr>
          <w:rFonts w:ascii="Times New Roman" w:eastAsia="Times New Roman" w:hAnsi="Times New Roman" w:cs="Times New Roman"/>
          <w:noProof/>
          <w:color w:val="auto"/>
          <w:sz w:val="24"/>
          <w:szCs w:val="24"/>
          <w:lang w:eastAsia="lv-LV"/>
        </w:rPr>
        <w:t xml:space="preserve">  </w:t>
      </w:r>
      <w:r w:rsidR="00BD7200" w:rsidRPr="00A7401A">
        <w:rPr>
          <w:noProof/>
          <w:color w:val="auto"/>
          <w:sz w:val="24"/>
          <w:szCs w:val="24"/>
          <w:lang w:eastAsia="lv-LV"/>
        </w:rPr>
        <w:t> </w:t>
      </w:r>
      <w:r w:rsidR="00BD7200" w:rsidRPr="00A7401A">
        <w:rPr>
          <w:rFonts w:ascii="Times New Roman" w:eastAsia="Times New Roman" w:hAnsi="Times New Roman" w:cs="Times New Roman"/>
          <w:noProof/>
          <w:color w:val="auto"/>
          <w:sz w:val="24"/>
          <w:szCs w:val="24"/>
          <w:lang w:eastAsia="lv-LV"/>
        </w:rPr>
        <w:t xml:space="preserve">  </w:t>
      </w:r>
    </w:p>
    <w:tbl>
      <w:tblPr>
        <w:tblW w:w="10192" w:type="dxa"/>
        <w:jc w:val="center"/>
        <w:tblLook w:val="04A0" w:firstRow="1" w:lastRow="0" w:firstColumn="1" w:lastColumn="0" w:noHBand="0" w:noVBand="1"/>
      </w:tblPr>
      <w:tblGrid>
        <w:gridCol w:w="2575"/>
        <w:gridCol w:w="1219"/>
        <w:gridCol w:w="1007"/>
        <w:gridCol w:w="1235"/>
        <w:gridCol w:w="1007"/>
        <w:gridCol w:w="1135"/>
        <w:gridCol w:w="1007"/>
        <w:gridCol w:w="1007"/>
      </w:tblGrid>
      <w:tr w:rsidR="00A7401A" w:rsidRPr="00A7401A" w:rsidTr="0081498B">
        <w:trPr>
          <w:trHeight w:val="315"/>
          <w:jc w:val="center"/>
        </w:trPr>
        <w:tc>
          <w:tcPr>
            <w:tcW w:w="10060"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b/>
                <w:bCs/>
                <w:sz w:val="24"/>
                <w:szCs w:val="24"/>
                <w:lang w:eastAsia="lv-LV"/>
              </w:rPr>
            </w:pPr>
            <w:r w:rsidRPr="00A7401A">
              <w:rPr>
                <w:rFonts w:ascii="Times New Roman" w:eastAsia="Times New Roman" w:hAnsi="Times New Roman" w:cs="Times New Roman"/>
                <w:b/>
                <w:bCs/>
                <w:sz w:val="24"/>
                <w:szCs w:val="24"/>
                <w:lang w:eastAsia="lv-LV"/>
              </w:rPr>
              <w:t>III. Tiesību akta projekta ietekme uz valsts budžetu un pašvaldību budžetiem</w:t>
            </w:r>
          </w:p>
        </w:tc>
      </w:tr>
      <w:tr w:rsidR="00A7401A" w:rsidRPr="00A7401A" w:rsidTr="0081498B">
        <w:trPr>
          <w:trHeight w:val="315"/>
          <w:jc w:val="center"/>
        </w:trPr>
        <w:tc>
          <w:tcPr>
            <w:tcW w:w="2542"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Rādītāji</w:t>
            </w:r>
          </w:p>
          <w:p w:rsidR="00BD7200" w:rsidRPr="00A7401A" w:rsidRDefault="00BD7200" w:rsidP="0081498B">
            <w:pPr>
              <w:jc w:val="center"/>
              <w:rPr>
                <w:rFonts w:ascii="Times New Roman" w:hAnsi="Times New Roman" w:cs="Times New Roman"/>
                <w:sz w:val="20"/>
              </w:rPr>
            </w:pPr>
          </w:p>
        </w:tc>
        <w:tc>
          <w:tcPr>
            <w:tcW w:w="2197"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2019</w:t>
            </w:r>
          </w:p>
        </w:tc>
        <w:tc>
          <w:tcPr>
            <w:tcW w:w="5321" w:type="dxa"/>
            <w:gridSpan w:val="5"/>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jc w:val="center"/>
              <w:rPr>
                <w:rFonts w:ascii="Times New Roman" w:hAnsi="Times New Roman" w:cs="Times New Roman"/>
                <w:sz w:val="20"/>
              </w:rPr>
            </w:pPr>
            <w:r w:rsidRPr="00A7401A">
              <w:rPr>
                <w:rFonts w:ascii="Times New Roman" w:hAnsi="Times New Roman" w:cs="Times New Roman"/>
                <w:sz w:val="20"/>
              </w:rPr>
              <w:t>Turpmākie trīs gadi (</w:t>
            </w:r>
            <w:proofErr w:type="spellStart"/>
            <w:r w:rsidRPr="00A7401A">
              <w:rPr>
                <w:rFonts w:ascii="Times New Roman" w:hAnsi="Times New Roman" w:cs="Times New Roman"/>
                <w:sz w:val="20"/>
              </w:rPr>
              <w:t>euro</w:t>
            </w:r>
            <w:proofErr w:type="spellEnd"/>
            <w:r w:rsidRPr="00A7401A">
              <w:rPr>
                <w:rFonts w:ascii="Times New Roman" w:hAnsi="Times New Roman" w:cs="Times New Roman"/>
                <w:sz w:val="20"/>
              </w:rPr>
              <w:t>)</w:t>
            </w:r>
          </w:p>
        </w:tc>
      </w:tr>
      <w:tr w:rsidR="00A7401A" w:rsidRPr="00A7401A" w:rsidTr="0081498B">
        <w:trPr>
          <w:trHeight w:val="315"/>
          <w:jc w:val="center"/>
        </w:trPr>
        <w:tc>
          <w:tcPr>
            <w:tcW w:w="2542"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p>
        </w:tc>
        <w:tc>
          <w:tcPr>
            <w:tcW w:w="2197" w:type="dxa"/>
            <w:gridSpan w:val="2"/>
            <w:vMerge/>
            <w:tcBorders>
              <w:top w:val="single" w:sz="8" w:space="0" w:color="414142"/>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p>
        </w:tc>
        <w:tc>
          <w:tcPr>
            <w:tcW w:w="2213" w:type="dxa"/>
            <w:gridSpan w:val="2"/>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2020</w:t>
            </w:r>
          </w:p>
        </w:tc>
        <w:tc>
          <w:tcPr>
            <w:tcW w:w="2114" w:type="dxa"/>
            <w:gridSpan w:val="2"/>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2021</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2022</w:t>
            </w:r>
          </w:p>
        </w:tc>
      </w:tr>
      <w:tr w:rsidR="00A7401A" w:rsidRPr="00A7401A" w:rsidTr="0081498B">
        <w:trPr>
          <w:trHeight w:val="975"/>
          <w:jc w:val="center"/>
        </w:trPr>
        <w:tc>
          <w:tcPr>
            <w:tcW w:w="2542"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valsts pagaidu budžetu*</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kārtējā gadā, salīdzinot ar valsts budžetu kārtējam gadam</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vidēja termiņa budžeta ietvaru</w:t>
            </w:r>
            <w:r w:rsidR="001D2446" w:rsidRPr="00A7401A">
              <w:rPr>
                <w:rFonts w:ascii="Times New Roman" w:hAnsi="Times New Roman" w:cs="Times New Roman"/>
                <w:sz w:val="20"/>
              </w:rPr>
              <w:t>*</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 2020. gadam</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saskaņā ar vidēja termiņa budžeta ietvaru*</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w:t>
            </w:r>
            <w:proofErr w:type="gramStart"/>
            <w:r w:rsidRPr="00A7401A">
              <w:rPr>
                <w:rFonts w:ascii="Times New Roman" w:hAnsi="Times New Roman" w:cs="Times New Roman"/>
                <w:sz w:val="20"/>
              </w:rPr>
              <w:t xml:space="preserve">  </w:t>
            </w:r>
            <w:proofErr w:type="gramEnd"/>
            <w:r w:rsidRPr="00A7401A">
              <w:rPr>
                <w:rFonts w:ascii="Times New Roman" w:hAnsi="Times New Roman" w:cs="Times New Roman"/>
                <w:sz w:val="20"/>
              </w:rPr>
              <w:t>2021. gadam</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18"/>
                <w:lang w:eastAsia="lv-LV"/>
              </w:rPr>
            </w:pPr>
            <w:r w:rsidRPr="00A7401A">
              <w:rPr>
                <w:rFonts w:ascii="Times New Roman" w:hAnsi="Times New Roman" w:cs="Times New Roman"/>
                <w:sz w:val="20"/>
              </w:rPr>
              <w:t>izmaiņas, salīdzinot ar vidēja termiņa budžeta ietvaru 2021. gadam</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2</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3</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4</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5</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6</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7</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8</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 Budžeta ieņēmumi</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103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1.1. valsts pamatbudžets, tai skaitā ieņēmumi no maksas pakalpojumiem un citi pašu ieņēmumi</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1.2. valsts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78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04.04.00 Invaliditātes, maternitātes un slimības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664 045 781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spacing w:line="240" w:lineRule="auto"/>
              <w:jc w:val="center"/>
              <w:rPr>
                <w:sz w:val="18"/>
                <w:szCs w:val="18"/>
              </w:rPr>
            </w:pPr>
            <w:r w:rsidRPr="00A7401A">
              <w:rPr>
                <w:sz w:val="18"/>
                <w:szCs w:val="18"/>
              </w:rPr>
              <w:t>704 778 981</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755 696 088</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1.3. pašvaldību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 Budžeta izdevumi</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2.1. valsts pamatbudžets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 </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2.2. valsts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78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04.04.00 Invaliditātes, maternitātes un slimības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1D2446" w:rsidP="0081498B">
            <w:pPr>
              <w:jc w:val="center"/>
              <w:rPr>
                <w:sz w:val="18"/>
                <w:szCs w:val="18"/>
              </w:rPr>
            </w:pPr>
            <w:r w:rsidRPr="00A7401A">
              <w:rPr>
                <w:sz w:val="18"/>
                <w:szCs w:val="18"/>
              </w:rPr>
              <w:t>655 899 076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720 004 340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777 417 734</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52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jc w:val="right"/>
              <w:rPr>
                <w:rFonts w:ascii="Times New Roman" w:eastAsia="Times New Roman" w:hAnsi="Times New Roman" w:cs="Times New Roman"/>
                <w:i/>
                <w:iCs/>
                <w:sz w:val="20"/>
                <w:szCs w:val="20"/>
                <w:lang w:eastAsia="lv-LV"/>
              </w:rPr>
            </w:pPr>
            <w:r w:rsidRPr="00A7401A">
              <w:rPr>
                <w:rFonts w:ascii="Times New Roman" w:eastAsia="Times New Roman" w:hAnsi="Times New Roman" w:cs="Times New Roman"/>
                <w:i/>
                <w:iCs/>
                <w:sz w:val="20"/>
                <w:szCs w:val="20"/>
                <w:lang w:eastAsia="lv-LV"/>
              </w:rPr>
              <w:t xml:space="preserve"> -Invaliditātes pensijas (EKK 6212)</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169 826 655</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182 233 730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192 557 440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lastRenderedPageBreak/>
              <w:t>2.3. pašvaldību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 </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000000" w:fill="D9D9D9"/>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 Finansiālā ietekme</w:t>
            </w:r>
          </w:p>
        </w:tc>
        <w:tc>
          <w:tcPr>
            <w:tcW w:w="1203"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jc w:val="center"/>
              <w:rPr>
                <w:sz w:val="18"/>
                <w:szCs w:val="18"/>
              </w:rPr>
            </w:pPr>
            <w:r w:rsidRPr="00A7401A">
              <w:rPr>
                <w:sz w:val="18"/>
                <w:szCs w:val="18"/>
              </w:rPr>
              <w:t>8 146 705</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-15 225 359</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000000" w:fill="D9D9D9"/>
            <w:vAlign w:val="center"/>
          </w:tcPr>
          <w:p w:rsidR="00BD7200" w:rsidRPr="00A7401A" w:rsidRDefault="003C7181" w:rsidP="0081498B">
            <w:pPr>
              <w:spacing w:line="240" w:lineRule="auto"/>
              <w:jc w:val="center"/>
              <w:rPr>
                <w:sz w:val="18"/>
                <w:szCs w:val="18"/>
              </w:rPr>
            </w:pPr>
            <w:r w:rsidRPr="00A7401A">
              <w:rPr>
                <w:sz w:val="18"/>
                <w:szCs w:val="18"/>
              </w:rPr>
              <w:t>-21 721 646</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000000" w:fill="D9D9D9"/>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3.1. valsts pamatbudžets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3.2. speciālais budžets</w:t>
            </w:r>
          </w:p>
        </w:tc>
        <w:tc>
          <w:tcPr>
            <w:tcW w:w="1203"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jc w:val="center"/>
              <w:rPr>
                <w:sz w:val="18"/>
                <w:szCs w:val="18"/>
              </w:rPr>
            </w:pPr>
            <w:r w:rsidRPr="00A7401A">
              <w:rPr>
                <w:sz w:val="18"/>
                <w:szCs w:val="18"/>
              </w:rPr>
              <w:t>8 146 705</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0</w:t>
            </w:r>
          </w:p>
        </w:tc>
        <w:tc>
          <w:tcPr>
            <w:tcW w:w="1219"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-15 225 359</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16 291</w:t>
            </w:r>
          </w:p>
        </w:tc>
        <w:tc>
          <w:tcPr>
            <w:tcW w:w="1120" w:type="dxa"/>
            <w:tcBorders>
              <w:top w:val="nil"/>
              <w:left w:val="nil"/>
              <w:bottom w:val="single" w:sz="8" w:space="0" w:color="414142"/>
              <w:right w:val="single" w:sz="8" w:space="0" w:color="414142"/>
            </w:tcBorders>
            <w:shd w:val="clear" w:color="auto" w:fill="auto"/>
            <w:vAlign w:val="center"/>
          </w:tcPr>
          <w:p w:rsidR="00BD7200" w:rsidRPr="00A7401A" w:rsidRDefault="003C7181" w:rsidP="0081498B">
            <w:pPr>
              <w:spacing w:line="240" w:lineRule="auto"/>
              <w:jc w:val="center"/>
              <w:rPr>
                <w:sz w:val="18"/>
                <w:szCs w:val="18"/>
              </w:rPr>
            </w:pPr>
            <w:r w:rsidRPr="00A7401A">
              <w:rPr>
                <w:sz w:val="18"/>
                <w:szCs w:val="18"/>
              </w:rPr>
              <w:t>-21 721 646</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156 803</w:t>
            </w:r>
          </w:p>
        </w:tc>
        <w:tc>
          <w:tcPr>
            <w:tcW w:w="994" w:type="dxa"/>
            <w:tcBorders>
              <w:top w:val="nil"/>
              <w:left w:val="nil"/>
              <w:bottom w:val="single" w:sz="8" w:space="0" w:color="414142"/>
              <w:right w:val="single" w:sz="8" w:space="0" w:color="414142"/>
            </w:tcBorders>
            <w:shd w:val="clear" w:color="auto" w:fill="auto"/>
            <w:vAlign w:val="center"/>
          </w:tcPr>
          <w:p w:rsidR="00BD7200" w:rsidRPr="00A7401A" w:rsidRDefault="00BD7200" w:rsidP="0081498B">
            <w:pPr>
              <w:spacing w:line="240" w:lineRule="auto"/>
              <w:jc w:val="center"/>
              <w:rPr>
                <w:sz w:val="18"/>
                <w:szCs w:val="18"/>
              </w:rPr>
            </w:pPr>
            <w:r w:rsidRPr="00A7401A">
              <w:rPr>
                <w:sz w:val="18"/>
                <w:szCs w:val="18"/>
              </w:rPr>
              <w:t>268 805</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3.3. pašvaldību budžets</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jc w:val="center"/>
              <w:rPr>
                <w:sz w:val="18"/>
                <w:szCs w:val="18"/>
              </w:rPr>
            </w:pPr>
            <w:r w:rsidRPr="00A7401A">
              <w:rPr>
                <w:sz w:val="18"/>
                <w:szCs w:val="18"/>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103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203"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 Precizēta finansiālā ietekme</w:t>
            </w:r>
          </w:p>
        </w:tc>
        <w:tc>
          <w:tcPr>
            <w:tcW w:w="1203"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val="restart"/>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X</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5.1. valsts pamatbudžets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5.2. speciālais 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5.3. pašvaldību budžets</w:t>
            </w:r>
          </w:p>
        </w:tc>
        <w:tc>
          <w:tcPr>
            <w:tcW w:w="1203"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219"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1120" w:type="dxa"/>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Times New Roman" w:eastAsia="Times New Roman" w:hAnsi="Times New Roman" w:cs="Times New Roman"/>
                <w:sz w:val="18"/>
                <w:szCs w:val="18"/>
                <w:lang w:eastAsia="lv-LV"/>
              </w:rPr>
            </w:pP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c>
          <w:tcPr>
            <w:tcW w:w="994" w:type="dxa"/>
            <w:tcBorders>
              <w:top w:val="nil"/>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center"/>
              <w:rPr>
                <w:rFonts w:ascii="Times New Roman" w:eastAsia="Times New Roman" w:hAnsi="Times New Roman" w:cs="Times New Roman"/>
                <w:sz w:val="18"/>
                <w:szCs w:val="18"/>
                <w:lang w:eastAsia="lv-LV"/>
              </w:rPr>
            </w:pPr>
            <w:r w:rsidRPr="00A7401A">
              <w:rPr>
                <w:rFonts w:ascii="Times New Roman" w:eastAsia="Times New Roman" w:hAnsi="Times New Roman" w:cs="Times New Roman"/>
                <w:sz w:val="18"/>
                <w:szCs w:val="18"/>
                <w:lang w:eastAsia="lv-LV"/>
              </w:rPr>
              <w:t>0</w:t>
            </w:r>
          </w:p>
        </w:tc>
      </w:tr>
      <w:tr w:rsidR="00A7401A" w:rsidRPr="00A7401A" w:rsidTr="0081498B">
        <w:trPr>
          <w:trHeight w:val="154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7518" w:type="dxa"/>
            <w:gridSpan w:val="7"/>
            <w:vMerge w:val="restart"/>
            <w:tcBorders>
              <w:top w:val="single" w:sz="8" w:space="0" w:color="414142"/>
              <w:left w:val="single" w:sz="8" w:space="0" w:color="414142"/>
              <w:bottom w:val="single" w:sz="8" w:space="0" w:color="414142"/>
              <w:right w:val="single" w:sz="8" w:space="0" w:color="414142"/>
            </w:tcBorders>
            <w:shd w:val="clear" w:color="auto" w:fill="auto"/>
            <w:hideMark/>
          </w:tcPr>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Attiecībā uz normu, ka ar 2020.gada 1.janvāri persona varēs izvēlēties sev izdevīgāko apdrošināšanas pakalpojumu, aprēķinā pieņemts, ka personas izvēlēsies apdrošināšanas atlīdzību (</w:t>
            </w:r>
            <w:proofErr w:type="spellStart"/>
            <w:r w:rsidRPr="00A7401A">
              <w:rPr>
                <w:rFonts w:ascii="Times New Roman" w:eastAsia="Times New Roman" w:hAnsi="Times New Roman" w:cs="Times New Roman"/>
                <w:lang w:eastAsia="lv-LV"/>
              </w:rPr>
              <w:t>jaunpiešķirtie</w:t>
            </w:r>
            <w:proofErr w:type="spellEnd"/>
            <w:r w:rsidRPr="00A7401A">
              <w:rPr>
                <w:rFonts w:ascii="Times New Roman" w:eastAsia="Times New Roman" w:hAnsi="Times New Roman" w:cs="Times New Roman"/>
                <w:lang w:eastAsia="lv-LV"/>
              </w:rPr>
              <w:t xml:space="preserve"> pakalpojumi). Atbilstoši VSAA datiem atlīdzību par darbspēju zaudējumu apmērs pārsniedz </w:t>
            </w:r>
            <w:proofErr w:type="spellStart"/>
            <w:r w:rsidRPr="00A7401A">
              <w:rPr>
                <w:rFonts w:ascii="Times New Roman" w:eastAsia="Times New Roman" w:hAnsi="Times New Roman" w:cs="Times New Roman"/>
                <w:lang w:eastAsia="lv-LV"/>
              </w:rPr>
              <w:t>jaunpiešķirto</w:t>
            </w:r>
            <w:proofErr w:type="spellEnd"/>
            <w:r w:rsidRPr="00A7401A">
              <w:rPr>
                <w:rFonts w:ascii="Times New Roman" w:eastAsia="Times New Roman" w:hAnsi="Times New Roman" w:cs="Times New Roman"/>
                <w:lang w:eastAsia="lv-LV"/>
              </w:rPr>
              <w:t xml:space="preserve"> invaliditātes pensiju vidējo piešķirto apmēru (2018.gadā attiecīgi 325,13 EUR un 166,54 EUR). Līdz ar to izdevumu samazinājums Invaliditātes, maternitātes un slimības speciālajā budžetā: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21"/>
              <w:gridCol w:w="992"/>
              <w:gridCol w:w="1063"/>
              <w:gridCol w:w="1215"/>
            </w:tblGrid>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2020</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2021</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2022</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Invaliditātes pensiju skaits, vidēji mēnesī</w:t>
                  </w:r>
                  <w:r w:rsidRPr="00A7401A">
                    <w:rPr>
                      <w:rFonts w:eastAsia="Times New Roman" w:cstheme="minorHAnsi"/>
                      <w:i/>
                      <w:sz w:val="20"/>
                      <w:lang w:eastAsia="lv-LV"/>
                    </w:rPr>
                    <w:t>*</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8</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77</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132</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Vidējais pensijas apmērs, EUR</w:t>
                  </w:r>
                  <w:r w:rsidRPr="00A7401A">
                    <w:rPr>
                      <w:rFonts w:eastAsia="Times New Roman" w:cstheme="minorHAnsi"/>
                      <w:i/>
                      <w:sz w:val="20"/>
                      <w:lang w:eastAsia="lv-LV"/>
                    </w:rPr>
                    <w:t>**</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169.70</w:t>
                  </w:r>
                </w:p>
              </w:tc>
            </w:tr>
            <w:tr w:rsidR="00A7401A" w:rsidRPr="00A7401A" w:rsidTr="0081498B">
              <w:trPr>
                <w:trHeight w:val="57"/>
              </w:trPr>
              <w:tc>
                <w:tcPr>
                  <w:tcW w:w="2788" w:type="pct"/>
                  <w:shd w:val="clear" w:color="auto" w:fill="auto"/>
                  <w:noWrap/>
                  <w:vAlign w:val="center"/>
                  <w:hideMark/>
                </w:tcPr>
                <w:p w:rsidR="00BD7200" w:rsidRPr="00A7401A" w:rsidRDefault="00BD7200" w:rsidP="0081498B">
                  <w:pPr>
                    <w:spacing w:after="0" w:line="240" w:lineRule="auto"/>
                    <w:rPr>
                      <w:rFonts w:eastAsia="Times New Roman" w:cstheme="minorHAnsi"/>
                      <w:sz w:val="20"/>
                      <w:lang w:eastAsia="lv-LV"/>
                    </w:rPr>
                  </w:pPr>
                  <w:r w:rsidRPr="00A7401A">
                    <w:rPr>
                      <w:rFonts w:eastAsia="Times New Roman" w:cstheme="minorHAnsi"/>
                      <w:sz w:val="20"/>
                      <w:lang w:eastAsia="lv-LV"/>
                    </w:rPr>
                    <w:t>Izdevumu samazinājums, EUR gadā</w:t>
                  </w:r>
                </w:p>
              </w:tc>
              <w:tc>
                <w:tcPr>
                  <w:tcW w:w="671"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16 291</w:t>
                  </w:r>
                </w:p>
              </w:tc>
              <w:tc>
                <w:tcPr>
                  <w:tcW w:w="719"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156 803</w:t>
                  </w:r>
                </w:p>
              </w:tc>
              <w:tc>
                <w:tcPr>
                  <w:tcW w:w="822" w:type="pct"/>
                  <w:shd w:val="clear" w:color="auto" w:fill="auto"/>
                  <w:noWrap/>
                  <w:vAlign w:val="center"/>
                  <w:hideMark/>
                </w:tcPr>
                <w:p w:rsidR="00BD7200" w:rsidRPr="00A7401A" w:rsidRDefault="00BD7200" w:rsidP="0081498B">
                  <w:pPr>
                    <w:spacing w:after="0" w:line="240" w:lineRule="auto"/>
                    <w:jc w:val="center"/>
                    <w:rPr>
                      <w:rFonts w:cstheme="minorHAnsi"/>
                      <w:sz w:val="20"/>
                    </w:rPr>
                  </w:pPr>
                  <w:r w:rsidRPr="00A7401A">
                    <w:rPr>
                      <w:rFonts w:cstheme="minorHAnsi"/>
                      <w:sz w:val="20"/>
                    </w:rPr>
                    <w:t>268 805</w:t>
                  </w:r>
                </w:p>
              </w:tc>
            </w:tr>
          </w:tbl>
          <w:p w:rsidR="00BD7200" w:rsidRPr="00A7401A" w:rsidRDefault="00BD7200" w:rsidP="0081498B">
            <w:pPr>
              <w:spacing w:after="0" w:line="240" w:lineRule="auto"/>
              <w:jc w:val="both"/>
              <w:rPr>
                <w:rFonts w:ascii="Times New Roman" w:eastAsia="Times New Roman" w:hAnsi="Times New Roman" w:cs="Times New Roman"/>
                <w:i/>
                <w:sz w:val="20"/>
                <w:lang w:eastAsia="lv-LV"/>
              </w:rPr>
            </w:pPr>
            <w:r w:rsidRPr="00A7401A">
              <w:rPr>
                <w:rFonts w:ascii="Times New Roman" w:eastAsia="Times New Roman" w:hAnsi="Times New Roman" w:cs="Times New Roman"/>
                <w:i/>
                <w:sz w:val="20"/>
                <w:lang w:eastAsia="lv-LV"/>
              </w:rPr>
              <w:t>*Prognoze, ņemot vērā VSAA datus par invaliditātes pensiju saņēmējiem, kas vienlaicīgi saņem arī apdrošināšanas atlīdzības,</w:t>
            </w:r>
            <w:r w:rsidRPr="00A7401A">
              <w:rPr>
                <w:rFonts w:ascii="Times New Roman" w:hAnsi="Times New Roman" w:cs="Times New Roman"/>
                <w:sz w:val="20"/>
              </w:rPr>
              <w:t xml:space="preserve"> </w:t>
            </w:r>
            <w:r w:rsidRPr="00A7401A">
              <w:rPr>
                <w:rFonts w:ascii="Times New Roman" w:eastAsia="Times New Roman" w:hAnsi="Times New Roman" w:cs="Times New Roman"/>
                <w:i/>
                <w:sz w:val="20"/>
                <w:lang w:eastAsia="lv-LV"/>
              </w:rPr>
              <w:t>2018.gada septembrī (1,1% no kopskaita); īpatsvars</w:t>
            </w:r>
            <w:r w:rsidRPr="00A7401A">
              <w:rPr>
                <w:rFonts w:ascii="Times New Roman" w:hAnsi="Times New Roman" w:cs="Times New Roman"/>
                <w:sz w:val="20"/>
              </w:rPr>
              <w:t xml:space="preserve"> </w:t>
            </w:r>
            <w:r w:rsidRPr="00A7401A">
              <w:rPr>
                <w:rFonts w:ascii="Times New Roman" w:eastAsia="Times New Roman" w:hAnsi="Times New Roman" w:cs="Times New Roman"/>
                <w:i/>
                <w:sz w:val="20"/>
                <w:lang w:eastAsia="lv-LV"/>
              </w:rPr>
              <w:t>piemērots plānotajam invaliditātes pensiju kontingentam saskaņā ar budžeta bāzes projektu 2019., 2020. un 2021.gadam, 2022.gadam pieņemot 2021.g.skaitu.</w:t>
            </w:r>
          </w:p>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i/>
                <w:sz w:val="20"/>
                <w:lang w:eastAsia="lv-LV"/>
              </w:rPr>
              <w:t xml:space="preserve">** </w:t>
            </w:r>
            <w:proofErr w:type="spellStart"/>
            <w:r w:rsidRPr="00A7401A">
              <w:rPr>
                <w:rFonts w:ascii="Times New Roman" w:eastAsia="Times New Roman" w:hAnsi="Times New Roman" w:cs="Times New Roman"/>
                <w:i/>
                <w:sz w:val="20"/>
                <w:lang w:eastAsia="lv-LV"/>
              </w:rPr>
              <w:t>jaunpiešķirto</w:t>
            </w:r>
            <w:proofErr w:type="spellEnd"/>
            <w:r w:rsidRPr="00A7401A">
              <w:rPr>
                <w:rFonts w:ascii="Times New Roman" w:eastAsia="Times New Roman" w:hAnsi="Times New Roman" w:cs="Times New Roman"/>
                <w:i/>
                <w:sz w:val="20"/>
                <w:lang w:eastAsia="lv-LV"/>
              </w:rPr>
              <w:t xml:space="preserve"> invaliditātes pensiju vidējais piešķirtais apmērs 2018.gada decembrī (aprēķins bez piemaksas).</w:t>
            </w: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6.1. detalizēts ieņēmumu aprēķins</w:t>
            </w:r>
          </w:p>
        </w:tc>
        <w:tc>
          <w:tcPr>
            <w:tcW w:w="7518" w:type="dxa"/>
            <w:gridSpan w:val="7"/>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Calibri" w:eastAsia="Times New Roman" w:hAnsi="Calibri" w:cs="Calibri"/>
                <w:lang w:eastAsia="lv-LV"/>
              </w:rPr>
            </w:pPr>
          </w:p>
        </w:tc>
      </w:tr>
      <w:tr w:rsidR="00A7401A" w:rsidRPr="00A7401A" w:rsidTr="0081498B">
        <w:trPr>
          <w:trHeight w:val="315"/>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6.2. detalizēts izdevumu aprēķins</w:t>
            </w:r>
          </w:p>
        </w:tc>
        <w:tc>
          <w:tcPr>
            <w:tcW w:w="7518" w:type="dxa"/>
            <w:gridSpan w:val="7"/>
            <w:vMerge/>
            <w:tcBorders>
              <w:top w:val="nil"/>
              <w:left w:val="single" w:sz="8" w:space="0" w:color="414142"/>
              <w:bottom w:val="single" w:sz="8" w:space="0" w:color="414142"/>
              <w:right w:val="single" w:sz="8" w:space="0" w:color="414142"/>
            </w:tcBorders>
            <w:vAlign w:val="center"/>
            <w:hideMark/>
          </w:tcPr>
          <w:p w:rsidR="00BD7200" w:rsidRPr="00A7401A" w:rsidRDefault="00BD7200" w:rsidP="0081498B">
            <w:pPr>
              <w:spacing w:after="0" w:line="240" w:lineRule="auto"/>
              <w:rPr>
                <w:rFonts w:ascii="Calibri" w:eastAsia="Times New Roman" w:hAnsi="Calibri" w:cs="Calibri"/>
                <w:lang w:eastAsia="lv-LV"/>
              </w:rPr>
            </w:pPr>
          </w:p>
        </w:tc>
      </w:tr>
      <w:tr w:rsidR="00A7401A" w:rsidRPr="00A7401A" w:rsidTr="0081498B">
        <w:trPr>
          <w:trHeight w:val="33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7. Amata vietu skaita izmaiņas</w:t>
            </w:r>
          </w:p>
        </w:tc>
        <w:tc>
          <w:tcPr>
            <w:tcW w:w="7518" w:type="dxa"/>
            <w:gridSpan w:val="7"/>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Likumprojekts šo jomu neskar.</w:t>
            </w:r>
            <w:bookmarkStart w:id="0" w:name="_GoBack"/>
            <w:bookmarkEnd w:id="0"/>
          </w:p>
        </w:tc>
      </w:tr>
      <w:tr w:rsidR="00A7401A" w:rsidRPr="00A7401A" w:rsidTr="0081498B">
        <w:trPr>
          <w:trHeight w:val="330"/>
          <w:jc w:val="center"/>
        </w:trPr>
        <w:tc>
          <w:tcPr>
            <w:tcW w:w="2542" w:type="dxa"/>
            <w:tcBorders>
              <w:top w:val="nil"/>
              <w:left w:val="single" w:sz="8" w:space="0" w:color="414142"/>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rPr>
                <w:rFonts w:ascii="Times New Roman" w:eastAsia="Times New Roman" w:hAnsi="Times New Roman" w:cs="Times New Roman"/>
                <w:sz w:val="20"/>
                <w:szCs w:val="20"/>
                <w:lang w:eastAsia="lv-LV"/>
              </w:rPr>
            </w:pPr>
            <w:r w:rsidRPr="00A7401A">
              <w:rPr>
                <w:rFonts w:ascii="Times New Roman" w:eastAsia="Times New Roman" w:hAnsi="Times New Roman" w:cs="Times New Roman"/>
                <w:sz w:val="20"/>
                <w:szCs w:val="20"/>
                <w:lang w:eastAsia="lv-LV"/>
              </w:rPr>
              <w:t>8. Cita informācija</w:t>
            </w:r>
          </w:p>
        </w:tc>
        <w:tc>
          <w:tcPr>
            <w:tcW w:w="7518" w:type="dxa"/>
            <w:gridSpan w:val="7"/>
            <w:tcBorders>
              <w:top w:val="single" w:sz="8" w:space="0" w:color="414142"/>
              <w:left w:val="nil"/>
              <w:bottom w:val="single" w:sz="8" w:space="0" w:color="414142"/>
              <w:right w:val="single" w:sz="8" w:space="0" w:color="414142"/>
            </w:tcBorders>
            <w:shd w:val="clear" w:color="auto" w:fill="auto"/>
            <w:vAlign w:val="center"/>
            <w:hideMark/>
          </w:tcPr>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lang w:eastAsia="lv-LV"/>
              </w:rPr>
              <w:t xml:space="preserve">Attiecībā uz normu par mēneša vidējās apdrošināšanas iemaksu algas aprēķinu, nosakot apdrošinātās personas apdrošināšanas iemaksu algu par jebkuriem 36 mēnešiem pēc kārtas pēdējo piecu gadu laikā pirms apdrošināšanas gadījuma iestāšanās dienas (likumprojekta 1.pants), ar 2021.gadu varētu palielināties </w:t>
            </w:r>
            <w:proofErr w:type="spellStart"/>
            <w:r w:rsidRPr="00A7401A">
              <w:rPr>
                <w:rFonts w:ascii="Times New Roman" w:eastAsia="Times New Roman" w:hAnsi="Times New Roman" w:cs="Times New Roman"/>
                <w:lang w:eastAsia="lv-LV"/>
              </w:rPr>
              <w:t>jaunpiešķirto</w:t>
            </w:r>
            <w:proofErr w:type="spellEnd"/>
            <w:r w:rsidRPr="00A7401A">
              <w:rPr>
                <w:rFonts w:ascii="Times New Roman" w:eastAsia="Times New Roman" w:hAnsi="Times New Roman" w:cs="Times New Roman"/>
                <w:lang w:eastAsia="lv-LV"/>
              </w:rPr>
              <w:t xml:space="preserve"> atlīdzību par darbspēju zaudējumu un atlīdzību par apgādnieka zaudējumu apmēri atsevišķos gadījumos. Iespējamo palielinājumu aprēķināt nav iespējams, jo nav zināms kā izmaiņas ietekmēs atlīdzības apmēru katrā konkrētā gadījumā. Iespējams izmaiņas vidējās apdrošināšanas iemaksu algas aprēķināšanas kārtībā ar 2021.gadu varētu palielināt valsts sociālās apdrošināšanas darba negadījumu speciālā budžeta (</w:t>
            </w:r>
            <w:r w:rsidRPr="00A7401A">
              <w:rPr>
                <w:rFonts w:ascii="Times New Roman" w:eastAsia="Times New Roman" w:hAnsi="Times New Roman" w:cs="Times New Roman"/>
                <w:i/>
                <w:lang w:eastAsia="lv-LV"/>
              </w:rPr>
              <w:t xml:space="preserve">apakšprogramma 04.03.00) </w:t>
            </w:r>
            <w:r w:rsidRPr="00A7401A">
              <w:rPr>
                <w:rFonts w:ascii="Times New Roman" w:eastAsia="Times New Roman" w:hAnsi="Times New Roman" w:cs="Times New Roman"/>
                <w:lang w:eastAsia="lv-LV"/>
              </w:rPr>
              <w:t xml:space="preserve">izdevumus atlīdzību izmaksai. </w:t>
            </w:r>
          </w:p>
        </w:tc>
      </w:tr>
      <w:tr w:rsidR="00BD7200" w:rsidRPr="00A7401A" w:rsidTr="0081498B">
        <w:trPr>
          <w:trHeight w:val="330"/>
          <w:jc w:val="center"/>
        </w:trPr>
        <w:tc>
          <w:tcPr>
            <w:tcW w:w="10060" w:type="dxa"/>
            <w:gridSpan w:val="8"/>
            <w:tcBorders>
              <w:top w:val="single" w:sz="8" w:space="0" w:color="414142"/>
              <w:left w:val="single" w:sz="8" w:space="0" w:color="414142"/>
              <w:bottom w:val="single" w:sz="8" w:space="0" w:color="414142"/>
              <w:right w:val="single" w:sz="8" w:space="0" w:color="414142"/>
            </w:tcBorders>
            <w:shd w:val="clear" w:color="auto" w:fill="auto"/>
            <w:vAlign w:val="center"/>
          </w:tcPr>
          <w:p w:rsidR="00BD7200" w:rsidRPr="00A7401A" w:rsidRDefault="00BD7200" w:rsidP="0081498B">
            <w:pPr>
              <w:spacing w:after="0" w:line="240" w:lineRule="auto"/>
              <w:jc w:val="both"/>
              <w:rPr>
                <w:rFonts w:ascii="Times New Roman" w:eastAsia="Times New Roman" w:hAnsi="Times New Roman" w:cs="Times New Roman"/>
                <w:lang w:eastAsia="lv-LV"/>
              </w:rPr>
            </w:pPr>
            <w:r w:rsidRPr="00A7401A">
              <w:rPr>
                <w:rFonts w:ascii="Times New Roman" w:eastAsia="Times New Roman" w:hAnsi="Times New Roman" w:cs="Times New Roman"/>
                <w:i/>
                <w:iCs/>
                <w:noProof/>
                <w:szCs w:val="24"/>
                <w:lang w:eastAsia="lv-LV"/>
              </w:rPr>
              <w:t>*</w:t>
            </w:r>
            <w:r w:rsidR="001D2446" w:rsidRPr="00A7401A">
              <w:rPr>
                <w:rFonts w:ascii="Times New Roman" w:eastAsia="Times New Roman" w:hAnsi="Times New Roman" w:cs="Times New Roman"/>
                <w:i/>
                <w:iCs/>
                <w:noProof/>
                <w:szCs w:val="24"/>
                <w:lang w:eastAsia="lv-LV"/>
              </w:rPr>
              <w:t xml:space="preserve"> Atbilstoši LM apstiprinātajam maksimāli pieļaujamam valsts </w:t>
            </w:r>
            <w:r w:rsidR="003766EF" w:rsidRPr="00A7401A">
              <w:rPr>
                <w:rFonts w:ascii="Times New Roman" w:eastAsia="Times New Roman" w:hAnsi="Times New Roman" w:cs="Times New Roman"/>
                <w:i/>
                <w:iCs/>
                <w:noProof/>
                <w:szCs w:val="24"/>
                <w:lang w:eastAsia="lv-LV"/>
              </w:rPr>
              <w:t xml:space="preserve">speciālā </w:t>
            </w:r>
            <w:r w:rsidR="001D2446" w:rsidRPr="00A7401A">
              <w:rPr>
                <w:rFonts w:ascii="Times New Roman" w:eastAsia="Times New Roman" w:hAnsi="Times New Roman" w:cs="Times New Roman"/>
                <w:i/>
                <w:iCs/>
                <w:noProof/>
                <w:szCs w:val="24"/>
                <w:lang w:eastAsia="lv-LV"/>
              </w:rPr>
              <w:t xml:space="preserve">budžeta izdevumu apjomam. </w:t>
            </w:r>
          </w:p>
        </w:tc>
      </w:tr>
    </w:tbl>
    <w:p w:rsidR="00495F81" w:rsidRPr="00A7401A" w:rsidRDefault="00495F81" w:rsidP="00495F81">
      <w:pPr>
        <w:spacing w:after="0" w:line="240" w:lineRule="auto"/>
        <w:rPr>
          <w:rFonts w:ascii="Times New Roman" w:eastAsia="Times New Roman" w:hAnsi="Times New Roman" w:cs="Times New Roman"/>
          <w:iCs/>
          <w:noProof/>
          <w:sz w:val="24"/>
          <w:szCs w:val="24"/>
          <w:lang w:eastAsia="lv-LV"/>
        </w:rPr>
      </w:pPr>
    </w:p>
    <w:p w:rsidR="00BD7200" w:rsidRPr="003A05D0" w:rsidRDefault="00BD7200"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49"/>
        <w:gridCol w:w="1779"/>
        <w:gridCol w:w="6893"/>
      </w:tblGrid>
      <w:tr w:rsidR="00495F81" w:rsidRPr="003A05D0" w:rsidTr="003F635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hd w:val="clear" w:color="auto" w:fill="FFFFFF"/>
              <w:jc w:val="both"/>
              <w:rPr>
                <w:rFonts w:ascii="Times New Roman" w:eastAsia="Times New Roman" w:hAnsi="Times New Roman"/>
                <w:sz w:val="24"/>
                <w:szCs w:val="24"/>
                <w:lang w:eastAsia="lv-LV"/>
              </w:rPr>
            </w:pPr>
            <w:r w:rsidRPr="003A05D0">
              <w:rPr>
                <w:rFonts w:ascii="Times New Roman" w:eastAsia="Times New Roman" w:hAnsi="Times New Roman"/>
                <w:sz w:val="24"/>
                <w:szCs w:val="24"/>
                <w:lang w:eastAsia="lv-LV"/>
              </w:rPr>
              <w:t xml:space="preserve">Līdz 2020.gada 31.decembrim jāizstrādā Ministru kabineta noteikumi par vidējās apdrošināšanas iemaksu algas aprēķināšanas </w:t>
            </w:r>
            <w:r w:rsidRPr="003A05D0">
              <w:rPr>
                <w:rFonts w:ascii="Times New Roman" w:eastAsia="Times New Roman" w:hAnsi="Times New Roman"/>
                <w:sz w:val="24"/>
                <w:szCs w:val="24"/>
                <w:lang w:eastAsia="lv-LV"/>
              </w:rPr>
              <w:lastRenderedPageBreak/>
              <w:t>nosacījumiem un kārtību. Līdz attiecīgo noteikumu spēkā stāšanās dienai, bet ne ilgāk kā līdz 20</w:t>
            </w:r>
            <w:r w:rsidR="00BD7200">
              <w:rPr>
                <w:rFonts w:ascii="Times New Roman" w:eastAsia="Times New Roman" w:hAnsi="Times New Roman"/>
                <w:sz w:val="24"/>
                <w:szCs w:val="24"/>
                <w:lang w:eastAsia="lv-LV"/>
              </w:rPr>
              <w:t>20</w:t>
            </w:r>
            <w:r w:rsidRPr="003A05D0">
              <w:rPr>
                <w:rFonts w:ascii="Times New Roman" w:eastAsia="Times New Roman" w:hAnsi="Times New Roman"/>
                <w:sz w:val="24"/>
                <w:szCs w:val="24"/>
                <w:lang w:eastAsia="lv-LV"/>
              </w:rPr>
              <w:t>.gada 31.decembrim, piemērojami Ministru kabineta 1999.gada 16.februāra MK noteikumi Nr.50  „Obligātās sociālās apdrošināšanas pret nelaimes gadījumiem darbā un arodslimībām apdrošināšanas atlīdzības piešķiršanas un aprēķināšanas kārtība”, ciktāl tie nav pretrunā ar šo likumu.</w:t>
            </w:r>
          </w:p>
          <w:p w:rsidR="00495F81" w:rsidRPr="003A05D0" w:rsidRDefault="00495F81" w:rsidP="003F6359">
            <w:pPr>
              <w:pStyle w:val="naisf"/>
              <w:jc w:val="both"/>
              <w:rPr>
                <w:b/>
                <w:i/>
                <w:iCs/>
              </w:rPr>
            </w:pPr>
            <w:r w:rsidRPr="003A05D0">
              <w:t>Ar 2021.gada 1.janvāri spēku zaudēs Ministru kabineta 1999.gada 16.februāra MK noteikumi Nr.50  „Obligātās sociālās apdrošināšanas pret nelaimes gadījumiem darbā un arodslimībām apdrošināšanas atlīdzības piešķiršanas un aprēķināšanas kārtība”.</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495F81" w:rsidRPr="003A05D0" w:rsidTr="003F6359">
        <w:trPr>
          <w:tblCellSpacing w:w="15" w:type="dxa"/>
        </w:trPr>
        <w:tc>
          <w:tcPr>
            <w:tcW w:w="27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55"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04"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Default="00495F81" w:rsidP="00495F81">
      <w:pPr>
        <w:spacing w:after="0" w:line="240" w:lineRule="auto"/>
        <w:rPr>
          <w:rFonts w:ascii="Times New Roman" w:eastAsia="Times New Roman" w:hAnsi="Times New Roman" w:cs="Times New Roman"/>
          <w:iCs/>
          <w:noProof/>
          <w:sz w:val="24"/>
          <w:szCs w:val="24"/>
          <w:lang w:eastAsia="lv-LV"/>
        </w:rPr>
      </w:pPr>
    </w:p>
    <w:p w:rsidR="00495F81" w:rsidRDefault="00495F81" w:rsidP="00495F81">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5F81" w:rsidRPr="003A05D0" w:rsidTr="003F635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495F81" w:rsidRPr="003A05D0" w:rsidTr="003F635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495F81" w:rsidRPr="003A05D0" w:rsidRDefault="00495F81" w:rsidP="003F6359">
            <w:pPr>
              <w:spacing w:after="0" w:line="240" w:lineRule="auto"/>
              <w:jc w:val="center"/>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Likumprojekts šo jomu neskar.</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 Sabiedrības līdzdalība un komunikācijas aktivitātes</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jc w:val="both"/>
              <w:rPr>
                <w:rFonts w:ascii="Times New Roman" w:eastAsia="Times New Roman" w:hAnsi="Times New Roman" w:cs="Times New Roman"/>
                <w:i/>
                <w:sz w:val="24"/>
                <w:szCs w:val="24"/>
                <w:lang w:eastAsia="lv-LV"/>
              </w:rPr>
            </w:pPr>
            <w:r w:rsidRPr="003A05D0">
              <w:rPr>
                <w:rFonts w:ascii="Times New Roman" w:eastAsia="Times New Roman" w:hAnsi="Times New Roman" w:cs="Times New Roman"/>
                <w:sz w:val="24"/>
                <w:szCs w:val="24"/>
                <w:lang w:eastAsia="lv-LV"/>
              </w:rPr>
              <w:t xml:space="preserve">Likumprojekts </w:t>
            </w:r>
            <w:proofErr w:type="gramStart"/>
            <w:r>
              <w:rPr>
                <w:rFonts w:ascii="Times New Roman" w:eastAsia="Times New Roman" w:hAnsi="Times New Roman" w:cs="Times New Roman"/>
                <w:sz w:val="24"/>
                <w:szCs w:val="24"/>
                <w:lang w:eastAsia="lv-LV"/>
              </w:rPr>
              <w:t xml:space="preserve">2018.gada 23.oktobrī </w:t>
            </w:r>
            <w:r w:rsidRPr="003A05D0">
              <w:rPr>
                <w:rFonts w:ascii="Times New Roman" w:eastAsia="Times New Roman" w:hAnsi="Times New Roman" w:cs="Times New Roman"/>
                <w:sz w:val="24"/>
                <w:szCs w:val="24"/>
                <w:lang w:eastAsia="lv-LV"/>
              </w:rPr>
              <w:t>publicēts Labklājības ministrijas tīmekļa vietnē sadaļā “LM dokumentu projekti”</w:t>
            </w:r>
            <w:proofErr w:type="gramEnd"/>
            <w:r w:rsidRPr="003A05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ar lūgumu sniegt priekšlikumus par likumprojektu līdz š.g. 30.oktobrim,</w:t>
            </w:r>
            <w:r w:rsidRPr="003A05D0">
              <w:rPr>
                <w:rFonts w:ascii="Times New Roman" w:eastAsia="Times New Roman" w:hAnsi="Times New Roman" w:cs="Times New Roman"/>
                <w:sz w:val="24"/>
                <w:szCs w:val="24"/>
                <w:lang w:eastAsia="lv-LV"/>
              </w:rPr>
              <w:t xml:space="preserve"> tādējādi dodot iespēju sabiedrībai līdzdarboties likumprojekta izstrādes procesā. </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495F81" w:rsidRPr="003A05D0" w:rsidRDefault="00BD7200" w:rsidP="00BD7200">
            <w:pPr>
              <w:spacing w:after="0" w:line="240" w:lineRule="auto"/>
              <w:jc w:val="both"/>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 xml:space="preserve">Likumprojektā ietvertie grozījumi </w:t>
            </w:r>
            <w:r w:rsidR="00495F81" w:rsidRPr="003A05D0">
              <w:rPr>
                <w:rFonts w:ascii="Times New Roman" w:eastAsia="Times New Roman" w:hAnsi="Times New Roman" w:cs="Times New Roman"/>
                <w:iCs/>
                <w:noProof/>
                <w:sz w:val="24"/>
                <w:szCs w:val="24"/>
                <w:lang w:eastAsia="lv-LV"/>
              </w:rPr>
              <w:t>tika prezentēt</w:t>
            </w:r>
            <w:r>
              <w:rPr>
                <w:rFonts w:ascii="Times New Roman" w:eastAsia="Times New Roman" w:hAnsi="Times New Roman" w:cs="Times New Roman"/>
                <w:iCs/>
                <w:noProof/>
                <w:sz w:val="24"/>
                <w:szCs w:val="24"/>
                <w:lang w:eastAsia="lv-LV"/>
              </w:rPr>
              <w:t>i</w:t>
            </w:r>
            <w:r w:rsidR="00495F81" w:rsidRPr="003A05D0">
              <w:rPr>
                <w:rFonts w:ascii="Times New Roman" w:eastAsia="Times New Roman" w:hAnsi="Times New Roman" w:cs="Times New Roman"/>
                <w:iCs/>
                <w:noProof/>
                <w:sz w:val="24"/>
                <w:szCs w:val="24"/>
                <w:lang w:eastAsia="lv-LV"/>
              </w:rPr>
              <w:t xml:space="preserve"> Nacionālās trīspusējās sadarbības padomes Sociālās drošības apakšpadomes (SDA) sanāksmē 201</w:t>
            </w:r>
            <w:r>
              <w:rPr>
                <w:rFonts w:ascii="Times New Roman" w:eastAsia="Times New Roman" w:hAnsi="Times New Roman" w:cs="Times New Roman"/>
                <w:iCs/>
                <w:noProof/>
                <w:sz w:val="24"/>
                <w:szCs w:val="24"/>
                <w:lang w:eastAsia="lv-LV"/>
              </w:rPr>
              <w:t>9</w:t>
            </w:r>
            <w:r w:rsidR="00495F81" w:rsidRPr="003A05D0">
              <w:rPr>
                <w:rFonts w:ascii="Times New Roman" w:eastAsia="Times New Roman" w:hAnsi="Times New Roman" w:cs="Times New Roman"/>
                <w:iCs/>
                <w:noProof/>
                <w:sz w:val="24"/>
                <w:szCs w:val="24"/>
                <w:lang w:eastAsia="lv-LV"/>
              </w:rPr>
              <w:t>.gada 2</w:t>
            </w:r>
            <w:r>
              <w:rPr>
                <w:rFonts w:ascii="Times New Roman" w:eastAsia="Times New Roman" w:hAnsi="Times New Roman" w:cs="Times New Roman"/>
                <w:iCs/>
                <w:noProof/>
                <w:sz w:val="24"/>
                <w:szCs w:val="24"/>
                <w:lang w:eastAsia="lv-LV"/>
              </w:rPr>
              <w:t>0</w:t>
            </w:r>
            <w:r w:rsidR="00495F81" w:rsidRPr="003A05D0">
              <w:rPr>
                <w:rFonts w:ascii="Times New Roman" w:eastAsia="Times New Roman" w:hAnsi="Times New Roman" w:cs="Times New Roman"/>
                <w:iCs/>
                <w:noProof/>
                <w:sz w:val="24"/>
                <w:szCs w:val="24"/>
                <w:lang w:eastAsia="lv-LV"/>
              </w:rPr>
              <w:t xml:space="preserve">.februārī. SDA </w:t>
            </w:r>
            <w:r>
              <w:rPr>
                <w:rFonts w:ascii="Times New Roman" w:eastAsia="Times New Roman" w:hAnsi="Times New Roman" w:cs="Times New Roman"/>
                <w:iCs/>
                <w:noProof/>
                <w:sz w:val="24"/>
                <w:szCs w:val="24"/>
                <w:lang w:eastAsia="lv-LV"/>
              </w:rPr>
              <w:t>likumprojektu konceptuāli atbalstīja.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495F81" w:rsidRPr="00485418" w:rsidRDefault="00495F81" w:rsidP="003F6359">
            <w:pPr>
              <w:spacing w:after="0" w:line="240" w:lineRule="auto"/>
              <w:jc w:val="both"/>
              <w:rPr>
                <w:rFonts w:ascii="Times New Roman" w:eastAsia="Times New Roman" w:hAnsi="Times New Roman" w:cs="Times New Roman"/>
                <w:iCs/>
                <w:noProof/>
                <w:sz w:val="24"/>
                <w:szCs w:val="24"/>
                <w:lang w:eastAsia="lv-LV"/>
              </w:rPr>
            </w:pPr>
            <w:r w:rsidRPr="00485418">
              <w:rPr>
                <w:rFonts w:ascii="Times New Roman" w:eastAsia="Calibri" w:hAnsi="Times New Roman" w:cs="Times New Roman"/>
                <w:sz w:val="24"/>
                <w:szCs w:val="24"/>
              </w:rPr>
              <w:t>Atsauksmes un viedokļi par likumprojektu netika saņemti.</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495F81" w:rsidRPr="00485418" w:rsidRDefault="00495F81" w:rsidP="003F6359">
            <w:pPr>
              <w:spacing w:after="0" w:line="240" w:lineRule="auto"/>
              <w:rPr>
                <w:rFonts w:ascii="Times New Roman" w:eastAsia="Times New Roman" w:hAnsi="Times New Roman" w:cs="Times New Roman"/>
                <w:iCs/>
                <w:noProof/>
                <w:sz w:val="24"/>
                <w:szCs w:val="24"/>
                <w:lang w:eastAsia="lv-LV"/>
              </w:rPr>
            </w:pPr>
            <w:r w:rsidRPr="00485418">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460"/>
        <w:gridCol w:w="6170"/>
      </w:tblGrid>
      <w:tr w:rsidR="00495F81" w:rsidRPr="003A05D0" w:rsidTr="003F635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95F81" w:rsidRPr="003A05D0" w:rsidRDefault="00495F81" w:rsidP="003F6359">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Projekta izpildes ietekme uz pārvaldes funkcijām un institucionālo struktūru.</w:t>
            </w:r>
            <w:r w:rsidRPr="003A05D0">
              <w:rPr>
                <w:rFonts w:ascii="Times New Roman" w:eastAsia="Times New Roman" w:hAnsi="Times New Roman" w:cs="Times New Roman"/>
                <w:iCs/>
                <w:noProof/>
                <w:sz w:val="24"/>
                <w:szCs w:val="24"/>
                <w:lang w:eastAsia="lv-LV"/>
              </w:rPr>
              <w:br/>
              <w:t xml:space="preserve">Jaunu institūciju izveide, esošu institūciju likvidācija </w:t>
            </w:r>
            <w:r w:rsidRPr="003A05D0">
              <w:rPr>
                <w:rFonts w:ascii="Times New Roman" w:eastAsia="Times New Roman" w:hAnsi="Times New Roman" w:cs="Times New Roman"/>
                <w:iCs/>
                <w:noProof/>
                <w:sz w:val="24"/>
                <w:szCs w:val="24"/>
                <w:lang w:eastAsia="lv-LV"/>
              </w:rPr>
              <w:lastRenderedPageBreak/>
              <w:t>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Nav plānota esošu institūciju likvidācija vai reorganizācija. Pēc likuma spēkā stāšanās tā īstenošana notiks, izmantojot esošos cilvēkresursus.</w:t>
            </w:r>
          </w:p>
        </w:tc>
      </w:tr>
      <w:tr w:rsidR="00495F81" w:rsidRPr="003A05D0" w:rsidTr="003F63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495F81" w:rsidRPr="003A05D0" w:rsidRDefault="00495F81" w:rsidP="003F6359">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spacing w:after="0" w:line="240" w:lineRule="auto"/>
        <w:rPr>
          <w:rFonts w:ascii="Times New Roman" w:hAnsi="Times New Roman" w:cs="Times New Roman"/>
          <w:noProof/>
          <w:sz w:val="28"/>
          <w:szCs w:val="28"/>
        </w:rPr>
      </w:pPr>
    </w:p>
    <w:p w:rsidR="00495F81" w:rsidRPr="003A05D0" w:rsidRDefault="00495F81" w:rsidP="00495F81">
      <w:pPr>
        <w:tabs>
          <w:tab w:val="left" w:pos="6237"/>
        </w:tabs>
        <w:spacing w:after="0" w:line="240" w:lineRule="auto"/>
        <w:ind w:firstLine="720"/>
        <w:rPr>
          <w:rFonts w:ascii="Times New Roman" w:hAnsi="Times New Roman" w:cs="Times New Roman"/>
          <w:noProof/>
          <w:sz w:val="28"/>
          <w:szCs w:val="28"/>
        </w:rPr>
      </w:pPr>
      <w:r w:rsidRPr="003A05D0">
        <w:rPr>
          <w:rFonts w:ascii="Times New Roman" w:hAnsi="Times New Roman" w:cs="Times New Roman"/>
          <w:noProof/>
          <w:sz w:val="28"/>
          <w:szCs w:val="28"/>
        </w:rPr>
        <w:t>Labklājības ministr</w:t>
      </w:r>
      <w:r w:rsidR="00BD7200">
        <w:rPr>
          <w:rFonts w:ascii="Times New Roman" w:hAnsi="Times New Roman" w:cs="Times New Roman"/>
          <w:noProof/>
          <w:sz w:val="28"/>
          <w:szCs w:val="28"/>
        </w:rPr>
        <w:t>e</w:t>
      </w:r>
      <w:r w:rsidRPr="003A05D0">
        <w:rPr>
          <w:rFonts w:ascii="Times New Roman" w:hAnsi="Times New Roman" w:cs="Times New Roman"/>
          <w:noProof/>
          <w:sz w:val="28"/>
          <w:szCs w:val="28"/>
        </w:rPr>
        <w:tab/>
        <w:t xml:space="preserve">                 </w:t>
      </w:r>
      <w:r w:rsidR="005020C4">
        <w:rPr>
          <w:rFonts w:ascii="Times New Roman" w:hAnsi="Times New Roman" w:cs="Times New Roman"/>
          <w:noProof/>
          <w:sz w:val="28"/>
          <w:szCs w:val="28"/>
        </w:rPr>
        <w:t>R.Petraviča</w:t>
      </w:r>
    </w:p>
    <w:p w:rsidR="00495F81" w:rsidRPr="003A05D0" w:rsidRDefault="00495F81" w:rsidP="00495F81">
      <w:pPr>
        <w:spacing w:after="0" w:line="240" w:lineRule="auto"/>
        <w:ind w:firstLine="720"/>
        <w:rPr>
          <w:rFonts w:ascii="Times New Roman" w:hAnsi="Times New Roman" w:cs="Times New Roman"/>
          <w:noProof/>
          <w:sz w:val="28"/>
          <w:szCs w:val="28"/>
        </w:rPr>
      </w:pPr>
    </w:p>
    <w:p w:rsidR="00495F81" w:rsidRPr="003A05D0" w:rsidRDefault="00495F81" w:rsidP="00495F81">
      <w:pPr>
        <w:tabs>
          <w:tab w:val="left" w:pos="6237"/>
        </w:tabs>
        <w:spacing w:after="0" w:line="240" w:lineRule="auto"/>
        <w:rPr>
          <w:rFonts w:ascii="Times New Roman" w:hAnsi="Times New Roman" w:cs="Times New Roman"/>
          <w:noProof/>
          <w:sz w:val="28"/>
          <w:szCs w:val="28"/>
        </w:rPr>
      </w:pPr>
    </w:p>
    <w:p w:rsidR="00495F81" w:rsidRPr="003A05D0" w:rsidRDefault="00495F81" w:rsidP="00495F81">
      <w:pPr>
        <w:tabs>
          <w:tab w:val="left" w:pos="6237"/>
        </w:tabs>
        <w:spacing w:after="0" w:line="240" w:lineRule="auto"/>
        <w:ind w:firstLine="720"/>
        <w:rPr>
          <w:rFonts w:ascii="Times New Roman" w:hAnsi="Times New Roman" w:cs="Times New Roman"/>
          <w:noProof/>
          <w:sz w:val="28"/>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p>
    <w:p w:rsidR="00495F81" w:rsidRPr="003A05D0" w:rsidRDefault="00495F81" w:rsidP="00495F81">
      <w:pPr>
        <w:tabs>
          <w:tab w:val="left" w:pos="6237"/>
        </w:tabs>
        <w:spacing w:after="0" w:line="240" w:lineRule="auto"/>
        <w:rPr>
          <w:rFonts w:ascii="Times New Roman" w:hAnsi="Times New Roman" w:cs="Times New Roman"/>
          <w:noProof/>
          <w:sz w:val="24"/>
          <w:szCs w:val="28"/>
        </w:rPr>
      </w:pPr>
      <w:r w:rsidRPr="003A05D0">
        <w:rPr>
          <w:rFonts w:ascii="Times New Roman" w:hAnsi="Times New Roman" w:cs="Times New Roman"/>
          <w:noProof/>
          <w:sz w:val="24"/>
          <w:szCs w:val="28"/>
        </w:rPr>
        <w:t>D.Trušinska, 67021553</w:t>
      </w:r>
    </w:p>
    <w:p w:rsidR="00495F81" w:rsidRPr="003A05D0" w:rsidRDefault="00495F81" w:rsidP="00495F81">
      <w:pPr>
        <w:tabs>
          <w:tab w:val="left" w:pos="6237"/>
        </w:tabs>
        <w:spacing w:after="0" w:line="240" w:lineRule="auto"/>
        <w:rPr>
          <w:rFonts w:ascii="Times New Roman" w:hAnsi="Times New Roman" w:cs="Times New Roman"/>
          <w:noProof/>
          <w:sz w:val="24"/>
          <w:szCs w:val="28"/>
        </w:rPr>
      </w:pPr>
      <w:r w:rsidRPr="003A05D0">
        <w:rPr>
          <w:rFonts w:ascii="Times New Roman" w:hAnsi="Times New Roman" w:cs="Times New Roman"/>
          <w:noProof/>
          <w:sz w:val="24"/>
          <w:szCs w:val="28"/>
        </w:rPr>
        <w:t>Dace.Trusinska@lm.gov.lv</w:t>
      </w:r>
    </w:p>
    <w:p w:rsidR="00495F81" w:rsidRDefault="00495F81" w:rsidP="00495F81"/>
    <w:p w:rsidR="00495F81" w:rsidRDefault="00495F81" w:rsidP="00495F81"/>
    <w:p w:rsidR="00905ACF" w:rsidRDefault="00905ACF"/>
    <w:sectPr w:rsidR="00905ACF" w:rsidSect="00BA0AA1">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77" w:rsidRDefault="002D6677" w:rsidP="003A6ABB">
      <w:pPr>
        <w:spacing w:after="0" w:line="240" w:lineRule="auto"/>
      </w:pPr>
      <w:r>
        <w:separator/>
      </w:r>
    </w:p>
  </w:endnote>
  <w:endnote w:type="continuationSeparator" w:id="0">
    <w:p w:rsidR="002D6677" w:rsidRDefault="002D6677" w:rsidP="003A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1" w:rsidRPr="00894C55" w:rsidRDefault="00F77F87">
    <w:pPr>
      <w:pStyle w:val="Footer"/>
      <w:rPr>
        <w:rFonts w:ascii="Times New Roman" w:hAnsi="Times New Roman" w:cs="Times New Roman"/>
        <w:sz w:val="20"/>
        <w:szCs w:val="20"/>
      </w:rPr>
    </w:pPr>
    <w:r>
      <w:rPr>
        <w:rFonts w:ascii="Times New Roman" w:hAnsi="Times New Roman" w:cs="Times New Roman"/>
        <w:sz w:val="20"/>
        <w:szCs w:val="20"/>
      </w:rPr>
      <w:t>LManot_</w:t>
    </w:r>
    <w:r w:rsidR="004A6031">
      <w:rPr>
        <w:rFonts w:ascii="Times New Roman" w:hAnsi="Times New Roman" w:cs="Times New Roman"/>
        <w:sz w:val="20"/>
        <w:szCs w:val="20"/>
      </w:rPr>
      <w:t>0403</w:t>
    </w:r>
    <w:r w:rsidR="00BD7200">
      <w:rPr>
        <w:rFonts w:ascii="Times New Roman" w:hAnsi="Times New Roman" w:cs="Times New Roman"/>
        <w:sz w:val="20"/>
        <w:szCs w:val="20"/>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AA1" w:rsidRPr="009A2654" w:rsidRDefault="00F77F87">
    <w:pPr>
      <w:pStyle w:val="Footer"/>
      <w:rPr>
        <w:rFonts w:ascii="Times New Roman" w:hAnsi="Times New Roman" w:cs="Times New Roman"/>
        <w:sz w:val="20"/>
        <w:szCs w:val="20"/>
      </w:rPr>
    </w:pPr>
    <w:r>
      <w:rPr>
        <w:rFonts w:ascii="Times New Roman" w:hAnsi="Times New Roman" w:cs="Times New Roman"/>
        <w:sz w:val="20"/>
        <w:szCs w:val="20"/>
      </w:rPr>
      <w:t>LManot_</w:t>
    </w:r>
    <w:r w:rsidR="004A6031">
      <w:rPr>
        <w:rFonts w:ascii="Times New Roman" w:hAnsi="Times New Roman" w:cs="Times New Roman"/>
        <w:sz w:val="20"/>
        <w:szCs w:val="20"/>
      </w:rPr>
      <w:t>0403</w:t>
    </w:r>
    <w:r w:rsidR="00BD7200">
      <w:rPr>
        <w:rFonts w:ascii="Times New Roman" w:hAnsi="Times New Roman" w:cs="Times New Roman"/>
        <w:sz w:val="20"/>
        <w:szCs w:val="20"/>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77" w:rsidRDefault="002D6677" w:rsidP="003A6ABB">
      <w:pPr>
        <w:spacing w:after="0" w:line="240" w:lineRule="auto"/>
      </w:pPr>
      <w:r>
        <w:separator/>
      </w:r>
    </w:p>
  </w:footnote>
  <w:footnote w:type="continuationSeparator" w:id="0">
    <w:p w:rsidR="002D6677" w:rsidRDefault="002D6677" w:rsidP="003A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A0AA1" w:rsidRPr="00C25B49" w:rsidRDefault="00F77F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7401A">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65BD"/>
    <w:multiLevelType w:val="hybridMultilevel"/>
    <w:tmpl w:val="EF38BC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1D61B49"/>
    <w:multiLevelType w:val="hybridMultilevel"/>
    <w:tmpl w:val="0122C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4739FE"/>
    <w:multiLevelType w:val="hybridMultilevel"/>
    <w:tmpl w:val="8C18DE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81"/>
    <w:rsid w:val="000007D1"/>
    <w:rsid w:val="00002048"/>
    <w:rsid w:val="00003790"/>
    <w:rsid w:val="0000383E"/>
    <w:rsid w:val="00005F51"/>
    <w:rsid w:val="00011342"/>
    <w:rsid w:val="00013003"/>
    <w:rsid w:val="0001453B"/>
    <w:rsid w:val="00016458"/>
    <w:rsid w:val="00023ED3"/>
    <w:rsid w:val="000251DA"/>
    <w:rsid w:val="0003096D"/>
    <w:rsid w:val="0003315A"/>
    <w:rsid w:val="00034935"/>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6E5F"/>
    <w:rsid w:val="0015027A"/>
    <w:rsid w:val="00152651"/>
    <w:rsid w:val="0015430F"/>
    <w:rsid w:val="00155211"/>
    <w:rsid w:val="00160473"/>
    <w:rsid w:val="00161E51"/>
    <w:rsid w:val="00166020"/>
    <w:rsid w:val="001677DF"/>
    <w:rsid w:val="00171268"/>
    <w:rsid w:val="0017149A"/>
    <w:rsid w:val="00180E23"/>
    <w:rsid w:val="001877A1"/>
    <w:rsid w:val="0019570A"/>
    <w:rsid w:val="001A0666"/>
    <w:rsid w:val="001A32C8"/>
    <w:rsid w:val="001A49F2"/>
    <w:rsid w:val="001A4F97"/>
    <w:rsid w:val="001A7073"/>
    <w:rsid w:val="001B0C2A"/>
    <w:rsid w:val="001B2115"/>
    <w:rsid w:val="001B27C5"/>
    <w:rsid w:val="001B5C66"/>
    <w:rsid w:val="001B73F2"/>
    <w:rsid w:val="001C011B"/>
    <w:rsid w:val="001C13AC"/>
    <w:rsid w:val="001C2260"/>
    <w:rsid w:val="001C7804"/>
    <w:rsid w:val="001D2446"/>
    <w:rsid w:val="001D3509"/>
    <w:rsid w:val="001D4F8C"/>
    <w:rsid w:val="001D66EF"/>
    <w:rsid w:val="001D6B38"/>
    <w:rsid w:val="001E16AD"/>
    <w:rsid w:val="001E6583"/>
    <w:rsid w:val="001F1061"/>
    <w:rsid w:val="001F366A"/>
    <w:rsid w:val="001F64A4"/>
    <w:rsid w:val="001F785C"/>
    <w:rsid w:val="00200EFB"/>
    <w:rsid w:val="002025C4"/>
    <w:rsid w:val="002075AD"/>
    <w:rsid w:val="00216D1B"/>
    <w:rsid w:val="00220916"/>
    <w:rsid w:val="00221E9F"/>
    <w:rsid w:val="00222BD6"/>
    <w:rsid w:val="002242B3"/>
    <w:rsid w:val="00224F59"/>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71E13"/>
    <w:rsid w:val="002727D5"/>
    <w:rsid w:val="00272F11"/>
    <w:rsid w:val="00273BB1"/>
    <w:rsid w:val="00274BD0"/>
    <w:rsid w:val="00277A72"/>
    <w:rsid w:val="00280692"/>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CAA"/>
    <w:rsid w:val="002C72D7"/>
    <w:rsid w:val="002D0FBC"/>
    <w:rsid w:val="002D58D5"/>
    <w:rsid w:val="002D6677"/>
    <w:rsid w:val="002D6BC3"/>
    <w:rsid w:val="002D753D"/>
    <w:rsid w:val="002F1A31"/>
    <w:rsid w:val="00301A6C"/>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66EF"/>
    <w:rsid w:val="003770FD"/>
    <w:rsid w:val="00391E15"/>
    <w:rsid w:val="00392694"/>
    <w:rsid w:val="00393F09"/>
    <w:rsid w:val="003A2114"/>
    <w:rsid w:val="003A3670"/>
    <w:rsid w:val="003A3DE6"/>
    <w:rsid w:val="003A54CC"/>
    <w:rsid w:val="003A5C4D"/>
    <w:rsid w:val="003A6ABB"/>
    <w:rsid w:val="003A76BA"/>
    <w:rsid w:val="003B1B92"/>
    <w:rsid w:val="003B1B9D"/>
    <w:rsid w:val="003B241F"/>
    <w:rsid w:val="003B3271"/>
    <w:rsid w:val="003B3D57"/>
    <w:rsid w:val="003B405E"/>
    <w:rsid w:val="003B518A"/>
    <w:rsid w:val="003B72BC"/>
    <w:rsid w:val="003C15F9"/>
    <w:rsid w:val="003C4417"/>
    <w:rsid w:val="003C7181"/>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20D5"/>
    <w:rsid w:val="0042414D"/>
    <w:rsid w:val="00426F66"/>
    <w:rsid w:val="00431574"/>
    <w:rsid w:val="00432CEF"/>
    <w:rsid w:val="0043302D"/>
    <w:rsid w:val="00433C24"/>
    <w:rsid w:val="004401C8"/>
    <w:rsid w:val="004406B4"/>
    <w:rsid w:val="00443227"/>
    <w:rsid w:val="00444C27"/>
    <w:rsid w:val="00445425"/>
    <w:rsid w:val="004511B8"/>
    <w:rsid w:val="00452DB7"/>
    <w:rsid w:val="00453FB8"/>
    <w:rsid w:val="00454159"/>
    <w:rsid w:val="004638D6"/>
    <w:rsid w:val="0046701B"/>
    <w:rsid w:val="004672D6"/>
    <w:rsid w:val="00471158"/>
    <w:rsid w:val="0047156D"/>
    <w:rsid w:val="004715AD"/>
    <w:rsid w:val="00476D7E"/>
    <w:rsid w:val="0047789D"/>
    <w:rsid w:val="00482437"/>
    <w:rsid w:val="00483DE3"/>
    <w:rsid w:val="004869CF"/>
    <w:rsid w:val="0049081D"/>
    <w:rsid w:val="00493ADB"/>
    <w:rsid w:val="00493B2F"/>
    <w:rsid w:val="00495F81"/>
    <w:rsid w:val="00496A7A"/>
    <w:rsid w:val="00497660"/>
    <w:rsid w:val="004A3840"/>
    <w:rsid w:val="004A5697"/>
    <w:rsid w:val="004A6031"/>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4718"/>
    <w:rsid w:val="004E4CD6"/>
    <w:rsid w:val="004E5CCA"/>
    <w:rsid w:val="004E5D2E"/>
    <w:rsid w:val="004F00C0"/>
    <w:rsid w:val="004F0ACD"/>
    <w:rsid w:val="004F1DE7"/>
    <w:rsid w:val="004F2C07"/>
    <w:rsid w:val="004F30EA"/>
    <w:rsid w:val="004F31A8"/>
    <w:rsid w:val="004F42D9"/>
    <w:rsid w:val="004F6366"/>
    <w:rsid w:val="00500173"/>
    <w:rsid w:val="005020C4"/>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302D8"/>
    <w:rsid w:val="00630727"/>
    <w:rsid w:val="00631302"/>
    <w:rsid w:val="0063174D"/>
    <w:rsid w:val="00631CB3"/>
    <w:rsid w:val="00633934"/>
    <w:rsid w:val="00634643"/>
    <w:rsid w:val="006358C3"/>
    <w:rsid w:val="006462B0"/>
    <w:rsid w:val="006551DE"/>
    <w:rsid w:val="00655F02"/>
    <w:rsid w:val="00656093"/>
    <w:rsid w:val="006564BB"/>
    <w:rsid w:val="00656961"/>
    <w:rsid w:val="00657532"/>
    <w:rsid w:val="00657C10"/>
    <w:rsid w:val="00665CE4"/>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C0BE9"/>
    <w:rsid w:val="006C14B3"/>
    <w:rsid w:val="006C2B27"/>
    <w:rsid w:val="006C62EB"/>
    <w:rsid w:val="006D1174"/>
    <w:rsid w:val="006D238C"/>
    <w:rsid w:val="006E110E"/>
    <w:rsid w:val="006E23B2"/>
    <w:rsid w:val="006E7373"/>
    <w:rsid w:val="006F17FC"/>
    <w:rsid w:val="006F2F2C"/>
    <w:rsid w:val="006F3D25"/>
    <w:rsid w:val="00701C20"/>
    <w:rsid w:val="00702178"/>
    <w:rsid w:val="00706047"/>
    <w:rsid w:val="00706E80"/>
    <w:rsid w:val="0071160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D57"/>
    <w:rsid w:val="00746B7C"/>
    <w:rsid w:val="007508B7"/>
    <w:rsid w:val="00750D09"/>
    <w:rsid w:val="007525C5"/>
    <w:rsid w:val="0075356C"/>
    <w:rsid w:val="0075607E"/>
    <w:rsid w:val="00760642"/>
    <w:rsid w:val="00761191"/>
    <w:rsid w:val="00766256"/>
    <w:rsid w:val="00770931"/>
    <w:rsid w:val="007806B5"/>
    <w:rsid w:val="00780CB0"/>
    <w:rsid w:val="00783221"/>
    <w:rsid w:val="00784CF0"/>
    <w:rsid w:val="00787D52"/>
    <w:rsid w:val="0079231A"/>
    <w:rsid w:val="00795DF3"/>
    <w:rsid w:val="0079771A"/>
    <w:rsid w:val="007B1A9C"/>
    <w:rsid w:val="007B4185"/>
    <w:rsid w:val="007B548D"/>
    <w:rsid w:val="007C452F"/>
    <w:rsid w:val="007C6908"/>
    <w:rsid w:val="007C6A68"/>
    <w:rsid w:val="007C7091"/>
    <w:rsid w:val="007C7AD3"/>
    <w:rsid w:val="007D02C0"/>
    <w:rsid w:val="007D344D"/>
    <w:rsid w:val="007D5538"/>
    <w:rsid w:val="007D5ABB"/>
    <w:rsid w:val="007F21DA"/>
    <w:rsid w:val="007F7820"/>
    <w:rsid w:val="007F7EB5"/>
    <w:rsid w:val="0080360C"/>
    <w:rsid w:val="00803EDE"/>
    <w:rsid w:val="00806204"/>
    <w:rsid w:val="00807BCE"/>
    <w:rsid w:val="00810812"/>
    <w:rsid w:val="0081595C"/>
    <w:rsid w:val="0081608E"/>
    <w:rsid w:val="00820598"/>
    <w:rsid w:val="00821B64"/>
    <w:rsid w:val="00821E4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0F02"/>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3146"/>
    <w:rsid w:val="0093474C"/>
    <w:rsid w:val="00936A2A"/>
    <w:rsid w:val="00936F7D"/>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9F6A37"/>
    <w:rsid w:val="00A00D32"/>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63BB"/>
    <w:rsid w:val="00A62DF0"/>
    <w:rsid w:val="00A631E8"/>
    <w:rsid w:val="00A66E9D"/>
    <w:rsid w:val="00A705C7"/>
    <w:rsid w:val="00A70DED"/>
    <w:rsid w:val="00A7104F"/>
    <w:rsid w:val="00A72E00"/>
    <w:rsid w:val="00A7401A"/>
    <w:rsid w:val="00A75F2F"/>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348C"/>
    <w:rsid w:val="00AC457A"/>
    <w:rsid w:val="00AC53B8"/>
    <w:rsid w:val="00AC5678"/>
    <w:rsid w:val="00AC6541"/>
    <w:rsid w:val="00AC7928"/>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487"/>
    <w:rsid w:val="00B00B5A"/>
    <w:rsid w:val="00B018FC"/>
    <w:rsid w:val="00B01B60"/>
    <w:rsid w:val="00B020DB"/>
    <w:rsid w:val="00B03603"/>
    <w:rsid w:val="00B04FA4"/>
    <w:rsid w:val="00B055D8"/>
    <w:rsid w:val="00B07B26"/>
    <w:rsid w:val="00B12107"/>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A20A0"/>
    <w:rsid w:val="00BB14C1"/>
    <w:rsid w:val="00BB1799"/>
    <w:rsid w:val="00BC31F6"/>
    <w:rsid w:val="00BC4ABD"/>
    <w:rsid w:val="00BC546C"/>
    <w:rsid w:val="00BC6334"/>
    <w:rsid w:val="00BD1A20"/>
    <w:rsid w:val="00BD30FC"/>
    <w:rsid w:val="00BD4F4F"/>
    <w:rsid w:val="00BD5216"/>
    <w:rsid w:val="00BD6D83"/>
    <w:rsid w:val="00BD7200"/>
    <w:rsid w:val="00BE2272"/>
    <w:rsid w:val="00BE3BEC"/>
    <w:rsid w:val="00BE4007"/>
    <w:rsid w:val="00BF02C8"/>
    <w:rsid w:val="00BF0ADA"/>
    <w:rsid w:val="00BF0B52"/>
    <w:rsid w:val="00BF1BD3"/>
    <w:rsid w:val="00BF3837"/>
    <w:rsid w:val="00BF5213"/>
    <w:rsid w:val="00C00854"/>
    <w:rsid w:val="00C01F56"/>
    <w:rsid w:val="00C02920"/>
    <w:rsid w:val="00C04ED5"/>
    <w:rsid w:val="00C06847"/>
    <w:rsid w:val="00C0787D"/>
    <w:rsid w:val="00C10CE7"/>
    <w:rsid w:val="00C12152"/>
    <w:rsid w:val="00C14FB3"/>
    <w:rsid w:val="00C1583F"/>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11E"/>
    <w:rsid w:val="00C72669"/>
    <w:rsid w:val="00C74DCE"/>
    <w:rsid w:val="00C75757"/>
    <w:rsid w:val="00C76429"/>
    <w:rsid w:val="00C806AF"/>
    <w:rsid w:val="00C8157D"/>
    <w:rsid w:val="00C84088"/>
    <w:rsid w:val="00C84390"/>
    <w:rsid w:val="00C84EE4"/>
    <w:rsid w:val="00C874CB"/>
    <w:rsid w:val="00C91F19"/>
    <w:rsid w:val="00C9375A"/>
    <w:rsid w:val="00C93E48"/>
    <w:rsid w:val="00C943CA"/>
    <w:rsid w:val="00C9521A"/>
    <w:rsid w:val="00C957C1"/>
    <w:rsid w:val="00C97EBC"/>
    <w:rsid w:val="00CA1361"/>
    <w:rsid w:val="00CA150F"/>
    <w:rsid w:val="00CA4A6A"/>
    <w:rsid w:val="00CA4D3F"/>
    <w:rsid w:val="00CB17D9"/>
    <w:rsid w:val="00CB383C"/>
    <w:rsid w:val="00CB69AF"/>
    <w:rsid w:val="00CB7C96"/>
    <w:rsid w:val="00CC285D"/>
    <w:rsid w:val="00CC5928"/>
    <w:rsid w:val="00CD04E0"/>
    <w:rsid w:val="00CD10B6"/>
    <w:rsid w:val="00CD1587"/>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1EBE"/>
    <w:rsid w:val="00D8494A"/>
    <w:rsid w:val="00D9041A"/>
    <w:rsid w:val="00D93AD9"/>
    <w:rsid w:val="00D94B6A"/>
    <w:rsid w:val="00D95D63"/>
    <w:rsid w:val="00D95F8B"/>
    <w:rsid w:val="00D9607E"/>
    <w:rsid w:val="00D97758"/>
    <w:rsid w:val="00DA0352"/>
    <w:rsid w:val="00DA4F10"/>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670EC"/>
    <w:rsid w:val="00E70D31"/>
    <w:rsid w:val="00E7274C"/>
    <w:rsid w:val="00E73DA5"/>
    <w:rsid w:val="00E747D8"/>
    <w:rsid w:val="00E76268"/>
    <w:rsid w:val="00E76A48"/>
    <w:rsid w:val="00E846D2"/>
    <w:rsid w:val="00E86C0F"/>
    <w:rsid w:val="00E91E80"/>
    <w:rsid w:val="00E93DFB"/>
    <w:rsid w:val="00E95284"/>
    <w:rsid w:val="00E956E5"/>
    <w:rsid w:val="00E96E01"/>
    <w:rsid w:val="00EA37B5"/>
    <w:rsid w:val="00EA771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77F87"/>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F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5F81"/>
  </w:style>
  <w:style w:type="paragraph" w:styleId="Footer">
    <w:name w:val="footer"/>
    <w:basedOn w:val="Normal"/>
    <w:link w:val="FooterChar"/>
    <w:uiPriority w:val="99"/>
    <w:unhideWhenUsed/>
    <w:rsid w:val="00495F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5F81"/>
  </w:style>
  <w:style w:type="paragraph" w:styleId="ListParagraph">
    <w:name w:val="List Paragraph"/>
    <w:basedOn w:val="Normal"/>
    <w:uiPriority w:val="34"/>
    <w:qFormat/>
    <w:rsid w:val="00495F81"/>
    <w:pPr>
      <w:ind w:left="720"/>
      <w:contextualSpacing/>
    </w:pPr>
  </w:style>
  <w:style w:type="paragraph" w:styleId="BodyTextIndent">
    <w:name w:val="Body Text Indent"/>
    <w:basedOn w:val="Normal"/>
    <w:link w:val="BodyTextIndentChar"/>
    <w:rsid w:val="00495F81"/>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495F81"/>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495F81"/>
    <w:pPr>
      <w:spacing w:after="120" w:line="480" w:lineRule="auto"/>
      <w:ind w:left="283"/>
    </w:pPr>
    <w:rPr>
      <w:rFonts w:ascii="Times New Roman" w:eastAsia="Times New Roman" w:hAnsi="Times New Roman" w:cs="Times New Roman"/>
      <w:sz w:val="24"/>
      <w:szCs w:val="24"/>
      <w:lang w:eastAsia="lv-LV"/>
    </w:rPr>
  </w:style>
  <w:style w:type="character" w:customStyle="1" w:styleId="BodyTextIndent2Char">
    <w:name w:val="Body Text Indent 2 Char"/>
    <w:basedOn w:val="DefaultParagraphFont"/>
    <w:link w:val="BodyTextIndent2"/>
    <w:rsid w:val="00495F81"/>
    <w:rPr>
      <w:rFonts w:ascii="Times New Roman" w:eastAsia="Times New Roman" w:hAnsi="Times New Roman" w:cs="Times New Roman"/>
      <w:sz w:val="24"/>
      <w:szCs w:val="24"/>
      <w:lang w:eastAsia="lv-LV"/>
    </w:rPr>
  </w:style>
  <w:style w:type="paragraph" w:customStyle="1" w:styleId="naisf">
    <w:name w:val="naisf"/>
    <w:basedOn w:val="Normal"/>
    <w:link w:val="naisfChar"/>
    <w:rsid w:val="00495F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495F81"/>
    <w:rPr>
      <w:rFonts w:ascii="Times New Roman" w:eastAsia="Times New Roman" w:hAnsi="Times New Roman" w:cs="Times New Roman"/>
      <w:sz w:val="24"/>
      <w:szCs w:val="24"/>
      <w:lang w:eastAsia="lv-LV"/>
    </w:rPr>
  </w:style>
  <w:style w:type="paragraph" w:styleId="Quote">
    <w:name w:val="Quote"/>
    <w:basedOn w:val="Normal"/>
    <w:next w:val="Normal"/>
    <w:link w:val="QuoteChar"/>
    <w:uiPriority w:val="29"/>
    <w:qFormat/>
    <w:rsid w:val="00495F81"/>
    <w:rPr>
      <w:i/>
      <w:iCs/>
      <w:color w:val="000000" w:themeColor="text1"/>
    </w:rPr>
  </w:style>
  <w:style w:type="character" w:customStyle="1" w:styleId="QuoteChar">
    <w:name w:val="Quote Char"/>
    <w:basedOn w:val="DefaultParagraphFont"/>
    <w:link w:val="Quote"/>
    <w:uiPriority w:val="29"/>
    <w:rsid w:val="00495F81"/>
    <w:rPr>
      <w:i/>
      <w:iCs/>
      <w:color w:val="000000" w:themeColor="text1"/>
    </w:rPr>
  </w:style>
  <w:style w:type="paragraph" w:customStyle="1" w:styleId="naiskr">
    <w:name w:val="naiskr"/>
    <w:basedOn w:val="Normal"/>
    <w:rsid w:val="0093314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11820</Words>
  <Characters>6738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Grozījumi likumā „Par obligāto sociālo apdrošināšanu pret nelaimes gadījumiem darbā un arodslimībām”</vt:lpstr>
    </vt:vector>
  </TitlesOfParts>
  <Company/>
  <LinksUpToDate>false</LinksUpToDate>
  <CharactersWithSpaces>18521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dc:description>D.Trušinska, 67021553
Dace.Trusinska@lm.gov.lv</dc:description>
  <cp:lastModifiedBy>Dace Trusinska</cp:lastModifiedBy>
  <cp:revision>3</cp:revision>
  <dcterms:created xsi:type="dcterms:W3CDTF">2019-03-04T14:24:00Z</dcterms:created>
  <dcterms:modified xsi:type="dcterms:W3CDTF">2019-03-04T14:33:00Z</dcterms:modified>
</cp:coreProperties>
</file>