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7B" w:rsidRPr="00812A83" w:rsidRDefault="00BC197B" w:rsidP="00BC197B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/>
          <w:spacing w:val="0"/>
          <w:sz w:val="28"/>
          <w:szCs w:val="28"/>
        </w:rPr>
      </w:pPr>
      <w:r w:rsidRPr="00812A83">
        <w:rPr>
          <w:rFonts w:ascii="Times New Roman" w:hAnsi="Times New Roman"/>
          <w:i/>
          <w:sz w:val="28"/>
          <w:szCs w:val="28"/>
        </w:rPr>
        <w:t>Projekts</w:t>
      </w:r>
    </w:p>
    <w:p w:rsidR="00BC197B" w:rsidRPr="00812A83" w:rsidRDefault="00BC197B" w:rsidP="00BC197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12A83">
        <w:rPr>
          <w:rFonts w:ascii="Times New Roman" w:hAnsi="Times New Roman"/>
          <w:sz w:val="28"/>
          <w:szCs w:val="28"/>
        </w:rPr>
        <w:t xml:space="preserve">LATVIJAS REPUBLIKAS MINISTRU KABINETS  </w:t>
      </w:r>
    </w:p>
    <w:p w:rsidR="00BC197B" w:rsidRPr="00812A83" w:rsidRDefault="00BC197B" w:rsidP="00BC197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197B" w:rsidRPr="00812A83" w:rsidRDefault="00BC197B" w:rsidP="00BC197B">
      <w:pPr>
        <w:widowControl w:val="0"/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2A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12A83">
        <w:rPr>
          <w:rFonts w:ascii="Times New Roman" w:hAnsi="Times New Roman"/>
          <w:sz w:val="28"/>
          <w:szCs w:val="28"/>
        </w:rPr>
        <w:t>.gada</w:t>
      </w:r>
      <w:r>
        <w:rPr>
          <w:rFonts w:ascii="Times New Roman" w:hAnsi="Times New Roman"/>
          <w:sz w:val="28"/>
          <w:szCs w:val="28"/>
        </w:rPr>
        <w:tab/>
      </w:r>
      <w:r w:rsidRPr="00812A83">
        <w:rPr>
          <w:rFonts w:ascii="Times New Roman" w:hAnsi="Times New Roman"/>
          <w:sz w:val="28"/>
          <w:szCs w:val="28"/>
        </w:rPr>
        <w:t>Noteikumi Nr.___</w:t>
      </w:r>
    </w:p>
    <w:p w:rsidR="00BC197B" w:rsidRPr="00812A83" w:rsidRDefault="00BC197B" w:rsidP="00BC197B">
      <w:pPr>
        <w:widowControl w:val="0"/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2A83">
        <w:rPr>
          <w:rFonts w:ascii="Times New Roman" w:hAnsi="Times New Roman"/>
          <w:sz w:val="28"/>
          <w:szCs w:val="28"/>
        </w:rPr>
        <w:t>Rīgā</w:t>
      </w:r>
      <w:r w:rsidRPr="00812A83">
        <w:rPr>
          <w:rFonts w:ascii="Times New Roman" w:hAnsi="Times New Roman"/>
          <w:sz w:val="28"/>
          <w:szCs w:val="28"/>
        </w:rPr>
        <w:tab/>
        <w:t xml:space="preserve">(prot. Nr._____.§) </w:t>
      </w:r>
    </w:p>
    <w:p w:rsidR="00BC197B" w:rsidRDefault="00BC197B" w:rsidP="00BC197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3519" w:rsidRPr="00ED3519" w:rsidRDefault="00ED3519" w:rsidP="00ED3519">
      <w:pPr>
        <w:pStyle w:val="Footer"/>
        <w:tabs>
          <w:tab w:val="left" w:pos="72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201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6</w:t>
      </w:r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. gada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31</w:t>
      </w:r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maija</w:t>
      </w:r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noteikumos Nr.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331</w:t>
      </w:r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„</w:t>
      </w:r>
      <w:r w:rsidR="001227D4" w:rsidRPr="001227D4">
        <w:t xml:space="preserve"> </w:t>
      </w:r>
      <w:r w:rsidR="001227D4" w:rsidRPr="001227D4">
        <w:rPr>
          <w:rFonts w:ascii="Times New Roman" w:hAnsi="Times New Roman"/>
          <w:b/>
          <w:sz w:val="28"/>
          <w:szCs w:val="28"/>
        </w:rPr>
        <w:t>Noteikumi par pasākumiem, kas saistīti ar civilās aviācijas nelaimes gadījumiem</w:t>
      </w:r>
      <w:r w:rsidRPr="00ED3519">
        <w:rPr>
          <w:rFonts w:ascii="Times New Roman" w:eastAsia="Times New Roman" w:hAnsi="Times New Roman"/>
          <w:b/>
          <w:sz w:val="28"/>
          <w:szCs w:val="28"/>
          <w:lang w:eastAsia="lv-LV"/>
        </w:rPr>
        <w:t>”</w:t>
      </w:r>
    </w:p>
    <w:p w:rsidR="00BC197B" w:rsidRDefault="00BC197B" w:rsidP="00BC197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1227D4" w:rsidRDefault="00BC197B" w:rsidP="00BC197B">
      <w:pPr>
        <w:shd w:val="clear" w:color="auto" w:fill="FFFFFF"/>
        <w:spacing w:after="0" w:line="240" w:lineRule="auto"/>
        <w:contextualSpacing/>
        <w:jc w:val="right"/>
        <w:rPr>
          <w:rStyle w:val="apple-converted-space"/>
          <w:rFonts w:ascii="Times New Roman" w:hAnsi="Times New Roman"/>
          <w:i/>
          <w:iCs/>
          <w:sz w:val="28"/>
          <w:szCs w:val="28"/>
        </w:rPr>
      </w:pPr>
      <w:r w:rsidRPr="00EC219B">
        <w:rPr>
          <w:rFonts w:ascii="Times New Roman" w:hAnsi="Times New Roman"/>
          <w:i/>
          <w:iCs/>
          <w:sz w:val="28"/>
          <w:szCs w:val="28"/>
        </w:rPr>
        <w:t>Izdoti saskaņā ar</w:t>
      </w:r>
      <w:r w:rsidRPr="00EC219B"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  <w:r w:rsidR="001227D4">
        <w:rPr>
          <w:rStyle w:val="apple-converted-space"/>
          <w:rFonts w:ascii="Times New Roman" w:hAnsi="Times New Roman"/>
          <w:i/>
          <w:iCs/>
          <w:sz w:val="28"/>
          <w:szCs w:val="28"/>
        </w:rPr>
        <w:t>l</w:t>
      </w:r>
      <w:r w:rsidRPr="00EC219B">
        <w:rPr>
          <w:rFonts w:ascii="Times New Roman" w:hAnsi="Times New Roman"/>
          <w:i/>
          <w:sz w:val="28"/>
          <w:szCs w:val="28"/>
        </w:rPr>
        <w:t>ikuma</w:t>
      </w:r>
      <w:r w:rsidRPr="00EC219B"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</w:p>
    <w:p w:rsidR="00BC197B" w:rsidRPr="00EC219B" w:rsidRDefault="001227D4" w:rsidP="00BC197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“Par aviāciju” </w:t>
      </w:r>
      <w:hyperlink r:id="rId7" w:anchor="p16" w:tgtFrame="_blank" w:history="1">
        <w:r w:rsidR="00BC197B" w:rsidRPr="00EC219B">
          <w:rPr>
            <w:rStyle w:val="Hyperlink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6</w:t>
        </w:r>
        <w:r>
          <w:rPr>
            <w:rStyle w:val="Hyperlink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6</w:t>
        </w:r>
        <w:r w:rsidR="00BC197B" w:rsidRPr="00EC219B">
          <w:rPr>
            <w:rStyle w:val="Hyperlink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.panta</w:t>
        </w:r>
      </w:hyperlink>
      <w:r w:rsidR="00BC197B" w:rsidRPr="00EC219B"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 </w:t>
      </w:r>
      <w:r w:rsidR="00BC197B" w:rsidRPr="00EC219B">
        <w:rPr>
          <w:rFonts w:ascii="Times New Roman" w:hAnsi="Times New Roman"/>
          <w:i/>
          <w:iCs/>
          <w:sz w:val="28"/>
          <w:szCs w:val="28"/>
        </w:rPr>
        <w:t>pirmo daļu</w:t>
      </w:r>
    </w:p>
    <w:p w:rsidR="00BC197B" w:rsidRDefault="00BC197B" w:rsidP="00BC197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</w:p>
    <w:p w:rsidR="001227D4" w:rsidRPr="00430162" w:rsidRDefault="001227D4" w:rsidP="001227D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430162">
        <w:rPr>
          <w:rFonts w:ascii="Times New Roman" w:hAnsi="Times New Roman"/>
          <w:b w:val="0"/>
        </w:rPr>
        <w:t>Izdarīt Ministru kabineta 201</w:t>
      </w:r>
      <w:r>
        <w:rPr>
          <w:rFonts w:ascii="Times New Roman" w:hAnsi="Times New Roman"/>
          <w:b w:val="0"/>
        </w:rPr>
        <w:t>6</w:t>
      </w:r>
      <w:r w:rsidRPr="00430162">
        <w:rPr>
          <w:rFonts w:ascii="Times New Roman" w:hAnsi="Times New Roman"/>
          <w:b w:val="0"/>
        </w:rPr>
        <w:t xml:space="preserve">. gada </w:t>
      </w:r>
      <w:r>
        <w:rPr>
          <w:rFonts w:ascii="Times New Roman" w:hAnsi="Times New Roman"/>
          <w:b w:val="0"/>
        </w:rPr>
        <w:t>31. maija</w:t>
      </w:r>
      <w:r w:rsidRPr="00430162">
        <w:rPr>
          <w:rFonts w:ascii="Times New Roman" w:hAnsi="Times New Roman"/>
          <w:b w:val="0"/>
        </w:rPr>
        <w:t xml:space="preserve"> noteikumos Nr. </w:t>
      </w:r>
      <w:r>
        <w:rPr>
          <w:rFonts w:ascii="Times New Roman" w:hAnsi="Times New Roman"/>
          <w:b w:val="0"/>
        </w:rPr>
        <w:t>3</w:t>
      </w:r>
      <w:r w:rsidR="007B724B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>1</w:t>
      </w:r>
      <w:r w:rsidRPr="00430162">
        <w:rPr>
          <w:rFonts w:ascii="Times New Roman" w:hAnsi="Times New Roman"/>
          <w:b w:val="0"/>
        </w:rPr>
        <w:t xml:space="preserve"> „</w:t>
      </w:r>
      <w:r w:rsidRPr="001227D4">
        <w:rPr>
          <w:rFonts w:ascii="Times New Roman" w:hAnsi="Times New Roman"/>
          <w:b w:val="0"/>
        </w:rPr>
        <w:t>Noteikumi par pasākumiem, kas saistīti ar civilās aviācijas nelaimes gadījumiem</w:t>
      </w:r>
      <w:r w:rsidRPr="00430162">
        <w:rPr>
          <w:rFonts w:ascii="Times New Roman" w:hAnsi="Times New Roman"/>
          <w:b w:val="0"/>
        </w:rPr>
        <w:t>” (Latvijas Vēstnesis, 201</w:t>
      </w:r>
      <w:r>
        <w:rPr>
          <w:rFonts w:ascii="Times New Roman" w:hAnsi="Times New Roman"/>
          <w:b w:val="0"/>
        </w:rPr>
        <w:t>6, 107. nr.</w:t>
      </w:r>
      <w:r w:rsidRPr="00430162">
        <w:rPr>
          <w:rFonts w:ascii="Times New Roman" w:hAnsi="Times New Roman"/>
          <w:b w:val="0"/>
        </w:rPr>
        <w:t>) šādus grozījumus:</w:t>
      </w:r>
    </w:p>
    <w:p w:rsidR="001227D4" w:rsidRPr="001227D4" w:rsidRDefault="001227D4" w:rsidP="00BC197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</w:p>
    <w:p w:rsidR="00BC197B" w:rsidRPr="00CB25F0" w:rsidRDefault="00BC197B" w:rsidP="00BC197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BC197B" w:rsidRDefault="009A1858" w:rsidP="00BC285F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0" w:name="p1"/>
      <w:bookmarkStart w:id="1" w:name="p-235347"/>
      <w:bookmarkEnd w:id="0"/>
      <w:bookmarkEnd w:id="1"/>
      <w:r>
        <w:rPr>
          <w:sz w:val="28"/>
          <w:szCs w:val="28"/>
        </w:rPr>
        <w:t>Izteikt</w:t>
      </w:r>
      <w:r w:rsidR="00BC285F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="00BC285F">
        <w:rPr>
          <w:sz w:val="28"/>
          <w:szCs w:val="28"/>
        </w:rPr>
        <w:t>.apakšpunktu šādā redakcijā:</w:t>
      </w:r>
    </w:p>
    <w:p w:rsidR="000639F4" w:rsidRDefault="000639F4" w:rsidP="000639F4">
      <w:pPr>
        <w:pStyle w:val="tv213"/>
        <w:shd w:val="clear" w:color="auto" w:fill="FFFFFF"/>
        <w:spacing w:before="0" w:beforeAutospacing="0" w:after="0" w:afterAutospacing="0"/>
        <w:ind w:left="1069"/>
        <w:contextualSpacing/>
        <w:jc w:val="both"/>
        <w:rPr>
          <w:sz w:val="28"/>
          <w:szCs w:val="28"/>
        </w:rPr>
      </w:pPr>
    </w:p>
    <w:p w:rsidR="00BC285F" w:rsidRDefault="00BC285F" w:rsidP="00E15F1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“1.</w:t>
      </w:r>
      <w:r w:rsidR="009A1858">
        <w:rPr>
          <w:sz w:val="28"/>
          <w:szCs w:val="28"/>
        </w:rPr>
        <w:t>3</w:t>
      </w:r>
      <w:r>
        <w:rPr>
          <w:sz w:val="28"/>
          <w:szCs w:val="28"/>
        </w:rPr>
        <w:t>. Kārtību, kādā notiek</w:t>
      </w:r>
      <w:r w:rsidR="00C147A8">
        <w:rPr>
          <w:sz w:val="28"/>
          <w:szCs w:val="28"/>
        </w:rPr>
        <w:t xml:space="preserve"> civilās aviācijas nelaimes gadījumos iesaistīto institūciju sadarbība un koordinācijas </w:t>
      </w:r>
      <w:r w:rsidR="000A1AF3">
        <w:rPr>
          <w:sz w:val="28"/>
          <w:szCs w:val="28"/>
        </w:rPr>
        <w:t>pas</w:t>
      </w:r>
      <w:r w:rsidR="00C147A8">
        <w:rPr>
          <w:sz w:val="28"/>
          <w:szCs w:val="28"/>
        </w:rPr>
        <w:t>ākumi</w:t>
      </w:r>
      <w:r w:rsidR="000B6B48">
        <w:rPr>
          <w:sz w:val="28"/>
          <w:szCs w:val="28"/>
        </w:rPr>
        <w:t>.</w:t>
      </w:r>
      <w:r w:rsidR="000A1AF3">
        <w:rPr>
          <w:sz w:val="28"/>
          <w:szCs w:val="28"/>
        </w:rPr>
        <w:t>”</w:t>
      </w:r>
    </w:p>
    <w:p w:rsidR="00BC197B" w:rsidRPr="00CB25F0" w:rsidRDefault="00BC197B" w:rsidP="00BC197B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C197B" w:rsidRDefault="00B818B1" w:rsidP="00B818B1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2" w:name="p2"/>
      <w:bookmarkStart w:id="3" w:name="p-332710"/>
      <w:bookmarkEnd w:id="2"/>
      <w:bookmarkEnd w:id="3"/>
      <w:r>
        <w:rPr>
          <w:sz w:val="28"/>
          <w:szCs w:val="28"/>
        </w:rPr>
        <w:t>Papildināt notiekumus ar 15.punktu šādā redakcijā:</w:t>
      </w:r>
    </w:p>
    <w:p w:rsidR="00B818B1" w:rsidRDefault="00B818B1" w:rsidP="00B818B1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818B1" w:rsidRDefault="00B818B1" w:rsidP="00E15F1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“15. Transporta nelaimes gadījumu un incidentu izmeklēšanas birojs liela mēroga </w:t>
      </w:r>
      <w:r w:rsidR="00822F24">
        <w:rPr>
          <w:sz w:val="28"/>
          <w:szCs w:val="28"/>
        </w:rPr>
        <w:t xml:space="preserve">civilās </w:t>
      </w:r>
      <w:r>
        <w:rPr>
          <w:sz w:val="28"/>
          <w:szCs w:val="28"/>
        </w:rPr>
        <w:t>aviācijas nelaimes gadījum</w:t>
      </w:r>
      <w:r w:rsidR="00F438AB">
        <w:rPr>
          <w:sz w:val="28"/>
          <w:szCs w:val="28"/>
        </w:rPr>
        <w:t>u</w:t>
      </w:r>
      <w:r>
        <w:rPr>
          <w:sz w:val="28"/>
          <w:szCs w:val="28"/>
        </w:rPr>
        <w:t xml:space="preserve"> izmeklēšanu </w:t>
      </w:r>
      <w:r w:rsidR="00E15F17">
        <w:rPr>
          <w:sz w:val="28"/>
          <w:szCs w:val="28"/>
        </w:rPr>
        <w:t xml:space="preserve">veic </w:t>
      </w:r>
      <w:r>
        <w:rPr>
          <w:sz w:val="28"/>
          <w:szCs w:val="28"/>
        </w:rPr>
        <w:t xml:space="preserve">saskaņā ar Transporta nelaimes gadījumu un incidentu izmeklēšanas biroja </w:t>
      </w:r>
      <w:r w:rsidR="00F438AB">
        <w:rPr>
          <w:sz w:val="28"/>
          <w:szCs w:val="28"/>
        </w:rPr>
        <w:t>rokasgrāmatu, kurā ietverts</w:t>
      </w:r>
      <w:r>
        <w:rPr>
          <w:sz w:val="28"/>
          <w:szCs w:val="28"/>
        </w:rPr>
        <w:t xml:space="preserve"> </w:t>
      </w:r>
      <w:r w:rsidR="00F438AB">
        <w:rPr>
          <w:sz w:val="28"/>
          <w:szCs w:val="28"/>
        </w:rPr>
        <w:t>izmeklēšanas vadības plāns</w:t>
      </w:r>
      <w:r>
        <w:rPr>
          <w:sz w:val="28"/>
          <w:szCs w:val="28"/>
        </w:rPr>
        <w:t xml:space="preserve"> un </w:t>
      </w:r>
      <w:r w:rsidR="00F438AB">
        <w:rPr>
          <w:sz w:val="28"/>
          <w:szCs w:val="28"/>
        </w:rPr>
        <w:t>aprakstītas procedūras</w:t>
      </w:r>
      <w:r>
        <w:rPr>
          <w:sz w:val="28"/>
          <w:szCs w:val="28"/>
        </w:rPr>
        <w:t>.”</w:t>
      </w:r>
    </w:p>
    <w:p w:rsidR="00BC197B" w:rsidRDefault="00BC197B" w:rsidP="00BC197B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C197B" w:rsidRPr="001337B6" w:rsidRDefault="00BC197B" w:rsidP="00BC197B">
      <w:pPr>
        <w:pStyle w:val="tv21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D52435" w:rsidRPr="001337B6" w:rsidRDefault="00D52435" w:rsidP="00D52435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Ministru prezidents</w:t>
      </w:r>
      <w:r w:rsidRPr="001337B6">
        <w:rPr>
          <w:sz w:val="28"/>
          <w:szCs w:val="28"/>
        </w:rPr>
        <w:tab/>
      </w:r>
      <w:r w:rsidR="007B724B">
        <w:rPr>
          <w:sz w:val="28"/>
          <w:szCs w:val="28"/>
        </w:rPr>
        <w:t xml:space="preserve">A. </w:t>
      </w:r>
      <w:r>
        <w:rPr>
          <w:sz w:val="28"/>
          <w:szCs w:val="28"/>
        </w:rPr>
        <w:t>K</w:t>
      </w:r>
      <w:r w:rsidR="007B724B">
        <w:rPr>
          <w:sz w:val="28"/>
          <w:szCs w:val="28"/>
        </w:rPr>
        <w:t>.</w:t>
      </w:r>
      <w:r>
        <w:rPr>
          <w:sz w:val="28"/>
          <w:szCs w:val="28"/>
        </w:rPr>
        <w:t xml:space="preserve"> Kariņš</w:t>
      </w:r>
    </w:p>
    <w:p w:rsidR="00D52435" w:rsidRDefault="00D52435" w:rsidP="00D52435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:rsidR="00D52435" w:rsidRPr="001337B6" w:rsidRDefault="00D52435" w:rsidP="00D52435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:rsidR="00D52435" w:rsidRPr="001337B6" w:rsidRDefault="007B724B" w:rsidP="00D52435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D52435">
        <w:rPr>
          <w:sz w:val="28"/>
          <w:szCs w:val="28"/>
        </w:rPr>
        <w:t>atiksmes</w:t>
      </w:r>
      <w:r w:rsidR="00D52435" w:rsidRPr="001337B6">
        <w:rPr>
          <w:sz w:val="28"/>
          <w:szCs w:val="28"/>
        </w:rPr>
        <w:t xml:space="preserve"> ministrs</w:t>
      </w:r>
      <w:r w:rsidR="00D52435">
        <w:rPr>
          <w:sz w:val="28"/>
          <w:szCs w:val="28"/>
        </w:rPr>
        <w:tab/>
        <w:t>T</w:t>
      </w:r>
      <w:r>
        <w:rPr>
          <w:sz w:val="28"/>
          <w:szCs w:val="28"/>
        </w:rPr>
        <w:t>.</w:t>
      </w:r>
      <w:r w:rsidR="00D52435">
        <w:rPr>
          <w:sz w:val="28"/>
          <w:szCs w:val="28"/>
        </w:rPr>
        <w:t xml:space="preserve"> </w:t>
      </w:r>
      <w:proofErr w:type="spellStart"/>
      <w:r w:rsidR="00D52435">
        <w:rPr>
          <w:sz w:val="28"/>
          <w:szCs w:val="28"/>
        </w:rPr>
        <w:t>Linkaits</w:t>
      </w:r>
      <w:proofErr w:type="spellEnd"/>
    </w:p>
    <w:p w:rsidR="00BC197B" w:rsidRPr="001337B6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:rsidR="00BC197B" w:rsidRPr="001337B6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:rsidR="00BC197B" w:rsidRPr="001337B6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Iesniedzējs:</w:t>
      </w:r>
    </w:p>
    <w:p w:rsidR="00BC197B" w:rsidRPr="001337B6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:rsidR="00BC197B" w:rsidRPr="001337B6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satiksme</w:t>
      </w:r>
      <w:r w:rsidRPr="001337B6">
        <w:rPr>
          <w:sz w:val="28"/>
          <w:szCs w:val="28"/>
        </w:rPr>
        <w:t>s ministrs</w:t>
      </w:r>
      <w:r>
        <w:rPr>
          <w:sz w:val="28"/>
          <w:szCs w:val="28"/>
        </w:rPr>
        <w:tab/>
      </w:r>
      <w:r w:rsidR="00D52435">
        <w:rPr>
          <w:sz w:val="28"/>
          <w:szCs w:val="28"/>
        </w:rPr>
        <w:t>T</w:t>
      </w:r>
      <w:r w:rsidR="007B724B">
        <w:rPr>
          <w:sz w:val="28"/>
          <w:szCs w:val="28"/>
        </w:rPr>
        <w:t>.</w:t>
      </w:r>
      <w:r w:rsidR="00D52435">
        <w:rPr>
          <w:sz w:val="28"/>
          <w:szCs w:val="28"/>
        </w:rPr>
        <w:t xml:space="preserve"> </w:t>
      </w:r>
      <w:proofErr w:type="spellStart"/>
      <w:r w:rsidR="00D52435">
        <w:rPr>
          <w:sz w:val="28"/>
          <w:szCs w:val="28"/>
        </w:rPr>
        <w:t>Linkaits</w:t>
      </w:r>
      <w:proofErr w:type="spellEnd"/>
    </w:p>
    <w:p w:rsidR="00BC197B" w:rsidRPr="001337B6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</w:p>
    <w:p w:rsidR="00BC197B" w:rsidRDefault="00BC197B" w:rsidP="00BC197B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  <w:rPr>
          <w:sz w:val="28"/>
          <w:szCs w:val="28"/>
        </w:rPr>
      </w:pPr>
      <w:r w:rsidRPr="001337B6">
        <w:rPr>
          <w:sz w:val="28"/>
          <w:szCs w:val="28"/>
        </w:rPr>
        <w:t>Vīza:</w:t>
      </w:r>
    </w:p>
    <w:p w:rsidR="004978F7" w:rsidRDefault="007B724B" w:rsidP="00B5320A">
      <w:pPr>
        <w:pStyle w:val="tv213"/>
        <w:shd w:val="clear" w:color="auto" w:fill="FFFFFF"/>
        <w:tabs>
          <w:tab w:val="left" w:pos="7088"/>
        </w:tabs>
        <w:spacing w:after="0"/>
        <w:contextualSpacing/>
        <w:jc w:val="both"/>
      </w:pPr>
      <w:r>
        <w:rPr>
          <w:sz w:val="28"/>
          <w:szCs w:val="28"/>
        </w:rPr>
        <w:t>v</w:t>
      </w:r>
      <w:r w:rsidR="00BC197B" w:rsidRPr="001337B6">
        <w:rPr>
          <w:sz w:val="28"/>
          <w:szCs w:val="28"/>
        </w:rPr>
        <w:t>alsts sek</w:t>
      </w:r>
      <w:bookmarkStart w:id="4" w:name="_GoBack"/>
      <w:bookmarkEnd w:id="4"/>
      <w:r w:rsidR="00BC197B" w:rsidRPr="001337B6">
        <w:rPr>
          <w:sz w:val="28"/>
          <w:szCs w:val="28"/>
        </w:rPr>
        <w:t>retārs</w:t>
      </w:r>
      <w:r w:rsidR="00BC197B" w:rsidRPr="001337B6">
        <w:rPr>
          <w:sz w:val="28"/>
          <w:szCs w:val="28"/>
        </w:rPr>
        <w:tab/>
      </w:r>
      <w:r w:rsidR="00BC197B">
        <w:rPr>
          <w:sz w:val="28"/>
          <w:szCs w:val="28"/>
        </w:rPr>
        <w:t>K.Ozoliņš</w:t>
      </w:r>
    </w:p>
    <w:sectPr w:rsidR="004978F7" w:rsidSect="002A289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B6" w:rsidRDefault="006C61B6" w:rsidP="00BC197B">
      <w:pPr>
        <w:spacing w:after="0" w:line="240" w:lineRule="auto"/>
      </w:pPr>
      <w:r>
        <w:separator/>
      </w:r>
    </w:p>
  </w:endnote>
  <w:endnote w:type="continuationSeparator" w:id="0">
    <w:p w:rsidR="006C61B6" w:rsidRDefault="006C61B6" w:rsidP="00BC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B" w:rsidRPr="00825B2E" w:rsidRDefault="00B2530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B5320A">
      <w:rPr>
        <w:rFonts w:ascii="Times New Roman" w:hAnsi="Times New Roman"/>
        <w:noProof/>
        <w:sz w:val="20"/>
        <w:szCs w:val="20"/>
      </w:rPr>
      <w:t>SAMnot_170119_Aviac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19" w:rsidRPr="00825B2E" w:rsidRDefault="00ED3519" w:rsidP="00ED3519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B5320A">
      <w:rPr>
        <w:rFonts w:ascii="Times New Roman" w:hAnsi="Times New Roman"/>
        <w:noProof/>
        <w:sz w:val="20"/>
        <w:szCs w:val="20"/>
      </w:rPr>
      <w:t>SAMnot_</w:t>
    </w:r>
    <w:r w:rsidR="00BF0CC1">
      <w:rPr>
        <w:rFonts w:ascii="Times New Roman" w:hAnsi="Times New Roman"/>
        <w:noProof/>
        <w:sz w:val="20"/>
        <w:szCs w:val="20"/>
      </w:rPr>
      <w:t>0</w:t>
    </w:r>
    <w:r w:rsidR="00695B62">
      <w:rPr>
        <w:rFonts w:ascii="Times New Roman" w:hAnsi="Times New Roman"/>
        <w:noProof/>
        <w:sz w:val="20"/>
        <w:szCs w:val="20"/>
      </w:rPr>
      <w:t>7</w:t>
    </w:r>
    <w:r w:rsidR="00BF0CC1">
      <w:rPr>
        <w:rFonts w:ascii="Times New Roman" w:hAnsi="Times New Roman"/>
        <w:noProof/>
        <w:sz w:val="20"/>
        <w:szCs w:val="20"/>
      </w:rPr>
      <w:t>0</w:t>
    </w:r>
    <w:r w:rsidR="00DF0519">
      <w:rPr>
        <w:rFonts w:ascii="Times New Roman" w:hAnsi="Times New Roman"/>
        <w:noProof/>
        <w:sz w:val="20"/>
        <w:szCs w:val="20"/>
      </w:rPr>
      <w:t>3</w:t>
    </w:r>
    <w:r w:rsidR="00B5320A">
      <w:rPr>
        <w:rFonts w:ascii="Times New Roman" w:hAnsi="Times New Roman"/>
        <w:noProof/>
        <w:sz w:val="20"/>
        <w:szCs w:val="20"/>
      </w:rPr>
      <w:t>19_Aviac</w:t>
    </w:r>
    <w:r>
      <w:rPr>
        <w:rFonts w:ascii="Times New Roman" w:hAnsi="Times New Roman"/>
        <w:sz w:val="20"/>
        <w:szCs w:val="20"/>
      </w:rPr>
      <w:fldChar w:fldCharType="end"/>
    </w:r>
  </w:p>
  <w:p w:rsidR="005E3196" w:rsidRDefault="006C6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B6" w:rsidRDefault="006C61B6" w:rsidP="00BC197B">
      <w:pPr>
        <w:spacing w:after="0" w:line="240" w:lineRule="auto"/>
      </w:pPr>
      <w:r>
        <w:separator/>
      </w:r>
    </w:p>
  </w:footnote>
  <w:footnote w:type="continuationSeparator" w:id="0">
    <w:p w:rsidR="006C61B6" w:rsidRDefault="006C61B6" w:rsidP="00BC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52733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FF5996" w:rsidRPr="00496BBE" w:rsidRDefault="00B25306" w:rsidP="00496BBE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496BBE">
          <w:rPr>
            <w:rFonts w:ascii="Times New Roman" w:hAnsi="Times New Roman"/>
            <w:sz w:val="20"/>
            <w:szCs w:val="20"/>
          </w:rPr>
          <w:fldChar w:fldCharType="begin"/>
        </w:r>
        <w:r w:rsidRPr="00496BB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96BBE">
          <w:rPr>
            <w:rFonts w:ascii="Times New Roman" w:hAnsi="Times New Roman"/>
            <w:sz w:val="20"/>
            <w:szCs w:val="20"/>
          </w:rPr>
          <w:fldChar w:fldCharType="separate"/>
        </w:r>
        <w:r w:rsidR="00B5320A">
          <w:rPr>
            <w:rFonts w:ascii="Times New Roman" w:hAnsi="Times New Roman"/>
            <w:noProof/>
            <w:sz w:val="20"/>
            <w:szCs w:val="20"/>
          </w:rPr>
          <w:t>2</w:t>
        </w:r>
        <w:r w:rsidRPr="00496BB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8BA"/>
    <w:multiLevelType w:val="hybridMultilevel"/>
    <w:tmpl w:val="0B16A188"/>
    <w:lvl w:ilvl="0" w:tplc="12DE4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7B"/>
    <w:rsid w:val="00031168"/>
    <w:rsid w:val="000639F4"/>
    <w:rsid w:val="00075BAE"/>
    <w:rsid w:val="000A1AF3"/>
    <w:rsid w:val="000B6B48"/>
    <w:rsid w:val="001227D4"/>
    <w:rsid w:val="002654EC"/>
    <w:rsid w:val="00367165"/>
    <w:rsid w:val="003734C8"/>
    <w:rsid w:val="004512B8"/>
    <w:rsid w:val="004978F7"/>
    <w:rsid w:val="00622FEC"/>
    <w:rsid w:val="00695B62"/>
    <w:rsid w:val="006C61B6"/>
    <w:rsid w:val="007B724B"/>
    <w:rsid w:val="00822F24"/>
    <w:rsid w:val="008C591E"/>
    <w:rsid w:val="00976916"/>
    <w:rsid w:val="009A1858"/>
    <w:rsid w:val="00B25306"/>
    <w:rsid w:val="00B5320A"/>
    <w:rsid w:val="00B818B1"/>
    <w:rsid w:val="00BC197B"/>
    <w:rsid w:val="00BC285F"/>
    <w:rsid w:val="00BF0CC1"/>
    <w:rsid w:val="00C147A8"/>
    <w:rsid w:val="00C96D19"/>
    <w:rsid w:val="00D52435"/>
    <w:rsid w:val="00D93695"/>
    <w:rsid w:val="00DF0519"/>
    <w:rsid w:val="00E15F17"/>
    <w:rsid w:val="00ED3519"/>
    <w:rsid w:val="00F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A0E442C-FCED-4A2A-BA64-28099DBC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7B"/>
    <w:pPr>
      <w:spacing w:after="200" w:line="276" w:lineRule="auto"/>
    </w:pPr>
    <w:rPr>
      <w:rFonts w:ascii="Calibri" w:hAnsi="Calibri" w:cs="Times New Roman"/>
      <w:spacing w:val="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BC197B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C197B"/>
  </w:style>
  <w:style w:type="character" w:styleId="Hyperlink">
    <w:name w:val="Hyperlink"/>
    <w:basedOn w:val="DefaultParagraphFont"/>
    <w:uiPriority w:val="99"/>
    <w:unhideWhenUsed/>
    <w:rsid w:val="00BC19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7B"/>
    <w:rPr>
      <w:rFonts w:ascii="Calibri" w:hAnsi="Calibri" w:cs="Times New Roman"/>
      <w:spacing w:val="7"/>
    </w:rPr>
  </w:style>
  <w:style w:type="paragraph" w:styleId="Footer">
    <w:name w:val="footer"/>
    <w:basedOn w:val="Normal"/>
    <w:link w:val="FooterChar"/>
    <w:unhideWhenUsed/>
    <w:rsid w:val="00BC1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197B"/>
    <w:rPr>
      <w:rFonts w:ascii="Calibri" w:hAnsi="Calibri" w:cs="Times New Roman"/>
      <w:spacing w:val="7"/>
    </w:rPr>
  </w:style>
  <w:style w:type="paragraph" w:customStyle="1" w:styleId="tv20787921">
    <w:name w:val="tv207_87_921"/>
    <w:basedOn w:val="Normal"/>
    <w:rsid w:val="001227D4"/>
    <w:pPr>
      <w:spacing w:after="567" w:line="360" w:lineRule="auto"/>
      <w:jc w:val="center"/>
    </w:pPr>
    <w:rPr>
      <w:rFonts w:ascii="Verdana" w:eastAsia="Times New Roman" w:hAnsi="Verdana"/>
      <w:b/>
      <w:bCs/>
      <w:spacing w:val="0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A8"/>
    <w:rPr>
      <w:rFonts w:ascii="Segoe UI" w:hAnsi="Segoe UI" w:cs="Segoe UI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.likumi.lv/ta/id/63545-valsts-parvaldes-iekarta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projekts"Grozījumi Ministru kabineta 2016. gada 31. maija noteikumos Nr. 331 „ Noteikumi par pasākumiem, kas saistīti ar civilās aviācijas nelaimes gadījumiem”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projekts"Grozījumi Ministru kabineta 2016. gada 31. maija noteikumos Nr. 331 „ Noteikumi par pasākumiem, kas saistīti ar civilās aviācijas nelaimes gadījumiem”</dc:title>
  <dc:subject/>
  <dc:creator>Ivars Bacis</dc:creator>
  <cp:keywords/>
  <dc:description>ivars.bacis@taiib.gov.lv, 67288178</dc:description>
  <cp:lastModifiedBy>Ivars Bacis</cp:lastModifiedBy>
  <cp:revision>3</cp:revision>
  <cp:lastPrinted>2019-02-06T11:23:00Z</cp:lastPrinted>
  <dcterms:created xsi:type="dcterms:W3CDTF">2019-03-05T08:41:00Z</dcterms:created>
  <dcterms:modified xsi:type="dcterms:W3CDTF">2019-03-05T13:25:00Z</dcterms:modified>
</cp:coreProperties>
</file>