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61DE" w14:textId="2F5F14C4" w:rsidR="00AC4412" w:rsidRPr="00A3357E" w:rsidRDefault="005E07E7" w:rsidP="00A3357E">
      <w:pPr>
        <w:spacing w:after="120"/>
        <w:jc w:val="center"/>
        <w:rPr>
          <w:b/>
          <w:sz w:val="24"/>
          <w:szCs w:val="24"/>
        </w:rPr>
      </w:pPr>
      <w:r w:rsidRPr="005E07E7">
        <w:rPr>
          <w:b/>
          <w:sz w:val="24"/>
          <w:szCs w:val="24"/>
        </w:rPr>
        <w:t xml:space="preserve">Ministru kabineta noteikumu projekta </w:t>
      </w:r>
      <w:r w:rsidR="00112B76">
        <w:rPr>
          <w:b/>
          <w:sz w:val="24"/>
          <w:szCs w:val="24"/>
        </w:rPr>
        <w:t>“</w:t>
      </w:r>
      <w:r w:rsidR="00E6730E">
        <w:rPr>
          <w:b/>
          <w:sz w:val="24"/>
          <w:szCs w:val="24"/>
        </w:rPr>
        <w:t>Grozījum</w:t>
      </w:r>
      <w:r w:rsidR="00D429E7">
        <w:rPr>
          <w:b/>
          <w:sz w:val="24"/>
          <w:szCs w:val="24"/>
        </w:rPr>
        <w:t>i</w:t>
      </w:r>
      <w:r w:rsidR="00112B76" w:rsidRPr="00112B76">
        <w:rPr>
          <w:b/>
          <w:sz w:val="24"/>
          <w:szCs w:val="24"/>
        </w:rPr>
        <w:t xml:space="preserve"> Ministru kabineta 2013.gada 2</w:t>
      </w:r>
      <w:r w:rsidR="0037515C">
        <w:rPr>
          <w:b/>
          <w:sz w:val="24"/>
          <w:szCs w:val="24"/>
        </w:rPr>
        <w:t>4.septembra noteikumos Nr.1000 “</w:t>
      </w:r>
      <w:r w:rsidR="00112B76" w:rsidRPr="00112B76">
        <w:rPr>
          <w:b/>
          <w:sz w:val="24"/>
          <w:szCs w:val="24"/>
        </w:rPr>
        <w:t>Valsts akciju sabiedrības "Ce</w:t>
      </w:r>
      <w:r w:rsidR="0037515C">
        <w:rPr>
          <w:b/>
          <w:sz w:val="24"/>
          <w:szCs w:val="24"/>
        </w:rPr>
        <w:t>ļu satiksmes drošības direkcija”</w:t>
      </w:r>
      <w:r w:rsidR="00112B76" w:rsidRPr="00112B76">
        <w:rPr>
          <w:b/>
          <w:sz w:val="24"/>
          <w:szCs w:val="24"/>
        </w:rPr>
        <w:t xml:space="preserve"> publi</w:t>
      </w:r>
      <w:r w:rsidR="0037515C">
        <w:rPr>
          <w:b/>
          <w:sz w:val="24"/>
          <w:szCs w:val="24"/>
        </w:rPr>
        <w:t>sko maksas pakalpojumu cenrādis”</w:t>
      </w:r>
      <w:r w:rsidR="00112B76">
        <w:rPr>
          <w:b/>
          <w:sz w:val="24"/>
          <w:szCs w:val="24"/>
        </w:rPr>
        <w:t xml:space="preserve"> </w:t>
      </w:r>
      <w:r w:rsidRPr="005E07E7">
        <w:rPr>
          <w:b/>
          <w:sz w:val="24"/>
          <w:szCs w:val="24"/>
        </w:rPr>
        <w:t>sākotnējās ietekmes novērtējuma ziņojums (anotācija)</w:t>
      </w:r>
      <w:r w:rsidR="00787478">
        <w:rPr>
          <w:b/>
          <w:sz w:val="24"/>
          <w:szCs w:val="24"/>
        </w:rPr>
        <w:t xml:space="preserve"> </w:t>
      </w:r>
      <w:r w:rsidR="00896DAF">
        <w:rPr>
          <w:b/>
          <w:sz w:val="24"/>
          <w:szCs w:val="24"/>
        </w:rPr>
        <w:t xml:space="preserve"> </w:t>
      </w:r>
    </w:p>
    <w:tbl>
      <w:tblPr>
        <w:tblW w:w="493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76"/>
        <w:gridCol w:w="5454"/>
      </w:tblGrid>
      <w:tr w:rsidR="00AC4412" w:rsidRPr="00AC4412" w14:paraId="16B81139" w14:textId="77777777" w:rsidTr="00A3357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8D461C8" w14:textId="77777777" w:rsidR="00AC4412" w:rsidRPr="000439EF" w:rsidRDefault="00AC4412" w:rsidP="00AC4412">
            <w:pPr>
              <w:spacing w:before="100" w:beforeAutospacing="1" w:line="300" w:lineRule="atLeast"/>
              <w:ind w:firstLine="0"/>
              <w:jc w:val="center"/>
              <w:rPr>
                <w:rFonts w:eastAsia="Times New Roman"/>
                <w:b/>
                <w:bCs/>
                <w:sz w:val="24"/>
                <w:szCs w:val="24"/>
                <w:lang w:eastAsia="lv-LV"/>
              </w:rPr>
            </w:pPr>
            <w:r w:rsidRPr="000439EF">
              <w:rPr>
                <w:rFonts w:eastAsia="Times New Roman"/>
                <w:b/>
                <w:bCs/>
                <w:sz w:val="24"/>
                <w:szCs w:val="24"/>
                <w:lang w:eastAsia="lv-LV"/>
              </w:rPr>
              <w:t>Tiesību akta projekta anotācijas kopsavilkums</w:t>
            </w:r>
          </w:p>
        </w:tc>
      </w:tr>
      <w:tr w:rsidR="00AC4412" w:rsidRPr="00AC4412" w14:paraId="1968F5BF" w14:textId="77777777" w:rsidTr="00A3357E">
        <w:tc>
          <w:tcPr>
            <w:tcW w:w="1946" w:type="pct"/>
            <w:tcBorders>
              <w:top w:val="outset" w:sz="6" w:space="0" w:color="414142"/>
              <w:left w:val="outset" w:sz="6" w:space="0" w:color="414142"/>
              <w:bottom w:val="outset" w:sz="6" w:space="0" w:color="414142"/>
              <w:right w:val="outset" w:sz="6" w:space="0" w:color="414142"/>
            </w:tcBorders>
            <w:hideMark/>
          </w:tcPr>
          <w:p w14:paraId="2E7969D6" w14:textId="4CEB57E2" w:rsidR="00AC4412" w:rsidRPr="000439EF" w:rsidRDefault="00AC4412" w:rsidP="00AC4412">
            <w:pPr>
              <w:spacing w:line="240" w:lineRule="auto"/>
              <w:ind w:firstLine="0"/>
              <w:jc w:val="left"/>
              <w:rPr>
                <w:rFonts w:eastAsia="Times New Roman"/>
                <w:sz w:val="24"/>
                <w:szCs w:val="24"/>
                <w:lang w:eastAsia="lv-LV"/>
              </w:rPr>
            </w:pPr>
            <w:r w:rsidRPr="000439EF">
              <w:rPr>
                <w:rFonts w:eastAsia="Times New Roman"/>
                <w:sz w:val="24"/>
                <w:szCs w:val="24"/>
                <w:lang w:eastAsia="lv-LV"/>
              </w:rPr>
              <w:t xml:space="preserve">Mērķis, risinājums </w:t>
            </w:r>
            <w:r w:rsidR="00814FA6" w:rsidRPr="000439EF">
              <w:rPr>
                <w:rFonts w:eastAsia="Times New Roman"/>
                <w:sz w:val="24"/>
                <w:szCs w:val="24"/>
                <w:lang w:eastAsia="lv-LV"/>
              </w:rPr>
              <w:t xml:space="preserve"> </w:t>
            </w:r>
            <w:r w:rsidRPr="000439EF">
              <w:rPr>
                <w:rFonts w:eastAsia="Times New Roman"/>
                <w:sz w:val="24"/>
                <w:szCs w:val="24"/>
                <w:lang w:eastAsia="lv-LV"/>
              </w:rPr>
              <w:t>un projekta spēkā stāšanās laiks (500 zīmes bez atstarpēm)</w:t>
            </w:r>
          </w:p>
        </w:tc>
        <w:tc>
          <w:tcPr>
            <w:tcW w:w="3054" w:type="pct"/>
            <w:hideMark/>
          </w:tcPr>
          <w:p w14:paraId="5FA8DDFA" w14:textId="165E0F25" w:rsidR="006870B1" w:rsidRDefault="00362F28" w:rsidP="00A2064D">
            <w:pPr>
              <w:spacing w:line="240" w:lineRule="auto"/>
              <w:ind w:firstLine="0"/>
              <w:rPr>
                <w:rFonts w:eastAsia="Times New Roman"/>
                <w:sz w:val="24"/>
                <w:szCs w:val="24"/>
                <w:lang w:eastAsia="lv-LV"/>
              </w:rPr>
            </w:pPr>
            <w:r>
              <w:rPr>
                <w:rFonts w:eastAsia="Times New Roman"/>
                <w:sz w:val="24"/>
                <w:szCs w:val="24"/>
                <w:lang w:eastAsia="lv-LV"/>
              </w:rPr>
              <w:t>Noteikuma</w:t>
            </w:r>
            <w:r w:rsidR="00A66EFC" w:rsidRPr="00A66EFC">
              <w:rPr>
                <w:rFonts w:eastAsia="Times New Roman"/>
                <w:sz w:val="24"/>
                <w:szCs w:val="24"/>
                <w:lang w:eastAsia="lv-LV"/>
              </w:rPr>
              <w:t xml:space="preserve"> projekta mērķis ir</w:t>
            </w:r>
            <w:r w:rsidR="0058709A">
              <w:rPr>
                <w:rFonts w:eastAsia="Times New Roman"/>
                <w:sz w:val="24"/>
                <w:szCs w:val="24"/>
                <w:lang w:eastAsia="lv-LV"/>
              </w:rPr>
              <w:t xml:space="preserve"> </w:t>
            </w:r>
            <w:r w:rsidR="00863A67">
              <w:rPr>
                <w:rFonts w:eastAsia="Times New Roman"/>
                <w:sz w:val="24"/>
                <w:szCs w:val="24"/>
                <w:lang w:eastAsia="lv-LV"/>
              </w:rPr>
              <w:t>v</w:t>
            </w:r>
            <w:r w:rsidR="00863A67" w:rsidRPr="00051117">
              <w:rPr>
                <w:rFonts w:eastAsia="Times New Roman"/>
                <w:sz w:val="24"/>
                <w:szCs w:val="24"/>
                <w:lang w:eastAsia="lv-LV"/>
              </w:rPr>
              <w:t>alsts akciju sabiedrības "Ceļu satiksmes drošības direkcija”</w:t>
            </w:r>
            <w:r w:rsidR="00863A67">
              <w:rPr>
                <w:rFonts w:eastAsia="Times New Roman"/>
                <w:sz w:val="24"/>
                <w:szCs w:val="24"/>
                <w:lang w:eastAsia="lv-LV"/>
              </w:rPr>
              <w:t xml:space="preserve"> (turpmāk – CSDD)</w:t>
            </w:r>
            <w:r w:rsidR="00863A67" w:rsidRPr="00051117">
              <w:rPr>
                <w:rFonts w:eastAsia="Times New Roman"/>
                <w:sz w:val="24"/>
                <w:szCs w:val="24"/>
                <w:lang w:eastAsia="lv-LV"/>
              </w:rPr>
              <w:t xml:space="preserve"> </w:t>
            </w:r>
            <w:r w:rsidR="00863A67">
              <w:rPr>
                <w:rFonts w:eastAsia="Times New Roman"/>
                <w:sz w:val="24"/>
                <w:szCs w:val="24"/>
                <w:lang w:eastAsia="lv-LV"/>
              </w:rPr>
              <w:t>publisko pakalpojumu cenrādī</w:t>
            </w:r>
            <w:r w:rsidR="00863A67" w:rsidRPr="00A66EFC">
              <w:rPr>
                <w:rFonts w:eastAsia="Times New Roman"/>
                <w:sz w:val="24"/>
                <w:szCs w:val="24"/>
                <w:lang w:eastAsia="lv-LV"/>
              </w:rPr>
              <w:t xml:space="preserve"> </w:t>
            </w:r>
            <w:r w:rsidR="0058709A">
              <w:rPr>
                <w:rFonts w:eastAsia="Times New Roman"/>
                <w:sz w:val="24"/>
                <w:szCs w:val="24"/>
                <w:lang w:eastAsia="lv-LV"/>
              </w:rPr>
              <w:t>precizēt pakalpojumu klāstu un pakalpojumu cenu par mopēdu vadīšanas eksāmenu</w:t>
            </w:r>
            <w:r w:rsidR="007C19DD">
              <w:rPr>
                <w:rFonts w:eastAsia="Times New Roman"/>
                <w:sz w:val="24"/>
                <w:szCs w:val="24"/>
                <w:lang w:eastAsia="lv-LV"/>
              </w:rPr>
              <w:t>, atteikties no maksas par atkārtotu teorētisko eksāmenu velosipēda vadītāja kvalifikācijas iegūšanai</w:t>
            </w:r>
            <w:r w:rsidR="0058709A">
              <w:rPr>
                <w:rFonts w:eastAsia="Times New Roman"/>
                <w:sz w:val="24"/>
                <w:szCs w:val="24"/>
                <w:lang w:eastAsia="lv-LV"/>
              </w:rPr>
              <w:t>, kā arī</w:t>
            </w:r>
            <w:r w:rsidR="00A66EFC">
              <w:rPr>
                <w:rFonts w:eastAsia="Times New Roman"/>
                <w:sz w:val="24"/>
                <w:szCs w:val="24"/>
                <w:lang w:eastAsia="lv-LV"/>
              </w:rPr>
              <w:t xml:space="preserve"> noteikt </w:t>
            </w:r>
            <w:r w:rsidR="00A66EFC" w:rsidRPr="00A66EFC">
              <w:rPr>
                <w:rFonts w:eastAsia="Times New Roman"/>
                <w:sz w:val="24"/>
                <w:szCs w:val="24"/>
                <w:lang w:eastAsia="lv-LV"/>
              </w:rPr>
              <w:t>maks</w:t>
            </w:r>
            <w:r w:rsidR="00A66EFC">
              <w:rPr>
                <w:rFonts w:eastAsia="Times New Roman"/>
                <w:sz w:val="24"/>
                <w:szCs w:val="24"/>
                <w:lang w:eastAsia="lv-LV"/>
              </w:rPr>
              <w:t>u</w:t>
            </w:r>
            <w:r w:rsidR="00A66EFC" w:rsidRPr="00A66EFC">
              <w:rPr>
                <w:rFonts w:eastAsia="Times New Roman"/>
                <w:sz w:val="24"/>
                <w:szCs w:val="24"/>
                <w:lang w:eastAsia="lv-LV"/>
              </w:rPr>
              <w:t xml:space="preserve"> par </w:t>
            </w:r>
            <w:r w:rsidR="00262242">
              <w:rPr>
                <w:rFonts w:eastAsia="Times New Roman"/>
                <w:sz w:val="24"/>
                <w:szCs w:val="24"/>
                <w:lang w:eastAsia="lv-LV"/>
              </w:rPr>
              <w:t>p</w:t>
            </w:r>
            <w:r w:rsidR="00262242" w:rsidRPr="00262242">
              <w:rPr>
                <w:rFonts w:eastAsia="Times New Roman"/>
                <w:sz w:val="24"/>
                <w:szCs w:val="24"/>
                <w:lang w:eastAsia="lv-LV"/>
              </w:rPr>
              <w:t>ārbaud</w:t>
            </w:r>
            <w:r w:rsidR="00262242">
              <w:rPr>
                <w:rFonts w:eastAsia="Times New Roman"/>
                <w:sz w:val="24"/>
                <w:szCs w:val="24"/>
                <w:lang w:eastAsia="lv-LV"/>
              </w:rPr>
              <w:t>i</w:t>
            </w:r>
            <w:r w:rsidR="00262242" w:rsidRPr="00262242">
              <w:rPr>
                <w:rFonts w:eastAsia="Times New Roman"/>
                <w:sz w:val="24"/>
                <w:szCs w:val="24"/>
                <w:lang w:eastAsia="lv-LV"/>
              </w:rPr>
              <w:t xml:space="preserve"> par transportlīdzekļa atbilstību vēsturiskā spēkrata statusam</w:t>
            </w:r>
            <w:r w:rsidR="00C551E9">
              <w:rPr>
                <w:rFonts w:eastAsia="Times New Roman"/>
                <w:sz w:val="24"/>
                <w:szCs w:val="24"/>
                <w:lang w:eastAsia="lv-LV"/>
              </w:rPr>
              <w:t xml:space="preserve">, </w:t>
            </w:r>
            <w:r w:rsidR="00262242">
              <w:rPr>
                <w:rFonts w:eastAsia="Times New Roman"/>
                <w:sz w:val="24"/>
                <w:szCs w:val="24"/>
                <w:lang w:eastAsia="lv-LV"/>
              </w:rPr>
              <w:t>a</w:t>
            </w:r>
            <w:r w:rsidR="00262242" w:rsidRPr="00262242">
              <w:rPr>
                <w:rFonts w:eastAsia="Times New Roman"/>
                <w:sz w:val="24"/>
                <w:szCs w:val="24"/>
                <w:lang w:eastAsia="lv-LV"/>
              </w:rPr>
              <w:t>pliecinājuma par transportlīdzekļa atbilstību vēsturiskā spēkrata statusam noformēšan</w:t>
            </w:r>
            <w:r w:rsidR="00262242">
              <w:rPr>
                <w:rFonts w:eastAsia="Times New Roman"/>
                <w:sz w:val="24"/>
                <w:szCs w:val="24"/>
                <w:lang w:eastAsia="lv-LV"/>
              </w:rPr>
              <w:t>u un a</w:t>
            </w:r>
            <w:r w:rsidR="00262242" w:rsidRPr="00262242">
              <w:rPr>
                <w:rFonts w:eastAsia="Times New Roman"/>
                <w:sz w:val="24"/>
                <w:szCs w:val="24"/>
                <w:lang w:eastAsia="lv-LV"/>
              </w:rPr>
              <w:t>pliecinājuma par transportlīdzekļa atbilstību vēsturiskā spēkrata statusam atkārtot</w:t>
            </w:r>
            <w:r w:rsidR="00262242">
              <w:rPr>
                <w:rFonts w:eastAsia="Times New Roman"/>
                <w:sz w:val="24"/>
                <w:szCs w:val="24"/>
                <w:lang w:eastAsia="lv-LV"/>
              </w:rPr>
              <w:t>u</w:t>
            </w:r>
            <w:r w:rsidR="00262242" w:rsidRPr="00262242">
              <w:rPr>
                <w:rFonts w:eastAsia="Times New Roman"/>
                <w:sz w:val="24"/>
                <w:szCs w:val="24"/>
                <w:lang w:eastAsia="lv-LV"/>
              </w:rPr>
              <w:t xml:space="preserve"> noformēšan</w:t>
            </w:r>
            <w:r w:rsidR="00262242">
              <w:rPr>
                <w:rFonts w:eastAsia="Times New Roman"/>
                <w:sz w:val="24"/>
                <w:szCs w:val="24"/>
                <w:lang w:eastAsia="lv-LV"/>
              </w:rPr>
              <w:t>u</w:t>
            </w:r>
            <w:r w:rsidR="00262242" w:rsidRPr="00262242">
              <w:rPr>
                <w:rFonts w:eastAsia="Times New Roman"/>
                <w:sz w:val="24"/>
                <w:szCs w:val="24"/>
                <w:lang w:eastAsia="lv-LV"/>
              </w:rPr>
              <w:t xml:space="preserve"> pēc termiņa beigām</w:t>
            </w:r>
            <w:r w:rsidR="00A66EFC" w:rsidRPr="00A66EFC">
              <w:rPr>
                <w:rFonts w:eastAsia="Times New Roman"/>
                <w:sz w:val="24"/>
                <w:szCs w:val="24"/>
                <w:lang w:eastAsia="lv-LV"/>
              </w:rPr>
              <w:t xml:space="preserve">. </w:t>
            </w:r>
          </w:p>
          <w:p w14:paraId="6BBAA15F" w14:textId="05A0CB57" w:rsidR="00A66EFC" w:rsidRDefault="00A66EFC" w:rsidP="00A2064D">
            <w:pPr>
              <w:spacing w:line="240" w:lineRule="auto"/>
              <w:ind w:firstLine="0"/>
              <w:rPr>
                <w:rFonts w:eastAsia="Times New Roman"/>
                <w:sz w:val="24"/>
                <w:szCs w:val="24"/>
                <w:lang w:eastAsia="lv-LV"/>
              </w:rPr>
            </w:pPr>
            <w:r>
              <w:rPr>
                <w:rFonts w:eastAsia="Times New Roman"/>
                <w:sz w:val="24"/>
                <w:szCs w:val="24"/>
                <w:lang w:eastAsia="lv-LV"/>
              </w:rPr>
              <w:t>L</w:t>
            </w:r>
            <w:r w:rsidRPr="00A66EFC">
              <w:rPr>
                <w:rFonts w:eastAsia="Times New Roman"/>
                <w:sz w:val="24"/>
                <w:szCs w:val="24"/>
                <w:lang w:eastAsia="lv-LV"/>
              </w:rPr>
              <w:t xml:space="preserve">īdz šim </w:t>
            </w:r>
            <w:r>
              <w:rPr>
                <w:rFonts w:eastAsia="Times New Roman"/>
                <w:sz w:val="24"/>
                <w:szCs w:val="24"/>
                <w:lang w:eastAsia="lv-LV"/>
              </w:rPr>
              <w:t xml:space="preserve">maksa tika noteikta </w:t>
            </w:r>
            <w:r w:rsidRPr="00A66EFC">
              <w:rPr>
                <w:rFonts w:eastAsia="Times New Roman"/>
                <w:sz w:val="24"/>
                <w:szCs w:val="24"/>
                <w:lang w:eastAsia="lv-LV"/>
              </w:rPr>
              <w:t>CSDD maksas pakalpojumu, kas nav publiskie pakalpojumi, cenrā</w:t>
            </w:r>
            <w:r>
              <w:rPr>
                <w:rFonts w:eastAsia="Times New Roman"/>
                <w:sz w:val="24"/>
                <w:szCs w:val="24"/>
                <w:lang w:eastAsia="lv-LV"/>
              </w:rPr>
              <w:t>dī</w:t>
            </w:r>
            <w:r w:rsidRPr="00A66EFC">
              <w:rPr>
                <w:rFonts w:eastAsia="Times New Roman"/>
                <w:sz w:val="24"/>
                <w:szCs w:val="24"/>
                <w:lang w:eastAsia="lv-LV"/>
              </w:rPr>
              <w:t xml:space="preserve"> (apstiprināts CSDD valdes 25.04.2018, sēdē, protokols Nr.19, lēmums Nr.4.1)</w:t>
            </w:r>
            <w:r>
              <w:rPr>
                <w:rFonts w:eastAsia="Times New Roman"/>
                <w:sz w:val="24"/>
                <w:szCs w:val="24"/>
                <w:lang w:eastAsia="lv-LV"/>
              </w:rPr>
              <w:t xml:space="preserve">, bet pēc </w:t>
            </w:r>
            <w:r w:rsidR="00E67656">
              <w:rPr>
                <w:rFonts w:eastAsia="Times New Roman"/>
                <w:sz w:val="24"/>
                <w:szCs w:val="24"/>
                <w:lang w:eastAsia="lv-LV"/>
              </w:rPr>
              <w:t xml:space="preserve">Ministru kabineta </w:t>
            </w:r>
            <w:r w:rsidR="00C539A9" w:rsidRPr="00C539A9">
              <w:rPr>
                <w:rFonts w:eastAsia="Times New Roman"/>
                <w:sz w:val="24"/>
                <w:szCs w:val="24"/>
                <w:lang w:eastAsia="lv-LV"/>
              </w:rPr>
              <w:t xml:space="preserve">2018.gada 14.augusta </w:t>
            </w:r>
            <w:r w:rsidR="00C21A9F" w:rsidRPr="00C21A9F">
              <w:rPr>
                <w:rFonts w:eastAsia="Times New Roman"/>
                <w:sz w:val="24"/>
                <w:szCs w:val="24"/>
                <w:lang w:eastAsia="lv-LV"/>
              </w:rPr>
              <w:t>noteikum</w:t>
            </w:r>
            <w:r w:rsidR="00282403">
              <w:rPr>
                <w:rFonts w:eastAsia="Times New Roman"/>
                <w:sz w:val="24"/>
                <w:szCs w:val="24"/>
                <w:lang w:eastAsia="lv-LV"/>
              </w:rPr>
              <w:t>u</w:t>
            </w:r>
            <w:r w:rsidR="00C21A9F" w:rsidRPr="00C21A9F">
              <w:rPr>
                <w:rFonts w:eastAsia="Times New Roman"/>
                <w:sz w:val="24"/>
                <w:szCs w:val="24"/>
                <w:lang w:eastAsia="lv-LV"/>
              </w:rPr>
              <w:t xml:space="preserve"> Nr. 498 </w:t>
            </w:r>
            <w:r w:rsidR="00E67656">
              <w:rPr>
                <w:rFonts w:eastAsia="Times New Roman"/>
                <w:sz w:val="24"/>
                <w:szCs w:val="24"/>
                <w:lang w:eastAsia="lv-LV"/>
              </w:rPr>
              <w:t>“</w:t>
            </w:r>
            <w:r w:rsidR="00C21A9F" w:rsidRPr="00C21A9F">
              <w:rPr>
                <w:rFonts w:eastAsia="Times New Roman"/>
                <w:sz w:val="24"/>
                <w:szCs w:val="24"/>
                <w:lang w:eastAsia="lv-LV"/>
              </w:rPr>
              <w:t>Vēsturisko spēkratu noteikumi</w:t>
            </w:r>
            <w:r w:rsidR="00E67656">
              <w:rPr>
                <w:rFonts w:eastAsia="Times New Roman"/>
                <w:sz w:val="24"/>
                <w:szCs w:val="24"/>
                <w:lang w:eastAsia="lv-LV"/>
              </w:rPr>
              <w:t>”</w:t>
            </w:r>
            <w:r w:rsidR="00362F28">
              <w:rPr>
                <w:rFonts w:eastAsia="Times New Roman"/>
                <w:sz w:val="24"/>
                <w:szCs w:val="24"/>
                <w:lang w:eastAsia="lv-LV"/>
              </w:rPr>
              <w:t xml:space="preserve"> </w:t>
            </w:r>
            <w:r w:rsidR="00362F28">
              <w:rPr>
                <w:sz w:val="24"/>
                <w:szCs w:val="24"/>
              </w:rPr>
              <w:t xml:space="preserve">(turpmāk - </w:t>
            </w:r>
            <w:r w:rsidR="00362F28" w:rsidRPr="00E67656">
              <w:rPr>
                <w:sz w:val="24"/>
                <w:szCs w:val="24"/>
              </w:rPr>
              <w:t>Vēsturisko spēkratu noteikumi</w:t>
            </w:r>
            <w:r w:rsidR="00362F28">
              <w:rPr>
                <w:sz w:val="24"/>
                <w:szCs w:val="24"/>
              </w:rPr>
              <w:t>)</w:t>
            </w:r>
            <w:r w:rsidR="00362F28">
              <w:rPr>
                <w:sz w:val="24"/>
                <w:szCs w:val="24"/>
              </w:rPr>
              <w:t>,</w:t>
            </w:r>
            <w:r>
              <w:rPr>
                <w:rFonts w:eastAsia="Times New Roman"/>
                <w:sz w:val="24"/>
                <w:szCs w:val="24"/>
                <w:lang w:eastAsia="lv-LV"/>
              </w:rPr>
              <w:t xml:space="preserve"> kuros noteikts pienākums veikt samaksu par </w:t>
            </w:r>
            <w:r w:rsidRPr="00A66EFC">
              <w:rPr>
                <w:rFonts w:eastAsia="Times New Roman"/>
                <w:sz w:val="24"/>
                <w:szCs w:val="24"/>
                <w:lang w:eastAsia="lv-LV"/>
              </w:rPr>
              <w:t>atbilstības vēsturiskā spēkrata statusam pārbaudi</w:t>
            </w:r>
            <w:r w:rsidR="00262242">
              <w:rPr>
                <w:rFonts w:eastAsia="Times New Roman"/>
                <w:sz w:val="24"/>
                <w:szCs w:val="24"/>
                <w:lang w:eastAsia="lv-LV"/>
              </w:rPr>
              <w:t>,</w:t>
            </w:r>
            <w:r>
              <w:rPr>
                <w:rFonts w:eastAsia="Times New Roman"/>
                <w:sz w:val="24"/>
                <w:szCs w:val="24"/>
                <w:lang w:eastAsia="lv-LV"/>
              </w:rPr>
              <w:t xml:space="preserve"> pieņemšanas, maksa tiks noteikta </w:t>
            </w:r>
            <w:r w:rsidRPr="00A66EFC">
              <w:rPr>
                <w:rFonts w:eastAsia="Times New Roman"/>
                <w:sz w:val="24"/>
                <w:szCs w:val="24"/>
                <w:lang w:eastAsia="lv-LV"/>
              </w:rPr>
              <w:t xml:space="preserve">CSDD </w:t>
            </w:r>
            <w:r>
              <w:rPr>
                <w:rFonts w:eastAsia="Times New Roman"/>
                <w:sz w:val="24"/>
                <w:szCs w:val="24"/>
                <w:lang w:eastAsia="lv-LV"/>
              </w:rPr>
              <w:t xml:space="preserve">publisko </w:t>
            </w:r>
            <w:r w:rsidRPr="00A66EFC">
              <w:rPr>
                <w:rFonts w:eastAsia="Times New Roman"/>
                <w:sz w:val="24"/>
                <w:szCs w:val="24"/>
                <w:lang w:eastAsia="lv-LV"/>
              </w:rPr>
              <w:t>maksas pakalpojumu</w:t>
            </w:r>
            <w:r>
              <w:rPr>
                <w:rFonts w:eastAsia="Times New Roman"/>
                <w:sz w:val="24"/>
                <w:szCs w:val="24"/>
                <w:lang w:eastAsia="lv-LV"/>
              </w:rPr>
              <w:t xml:space="preserve"> cenrādī.</w:t>
            </w:r>
          </w:p>
          <w:p w14:paraId="02DDFE14" w14:textId="243F75FF" w:rsidR="003924D7" w:rsidRPr="00290A97" w:rsidRDefault="00362F28" w:rsidP="00A2064D">
            <w:pPr>
              <w:spacing w:line="240" w:lineRule="auto"/>
              <w:ind w:firstLine="0"/>
              <w:rPr>
                <w:rFonts w:eastAsia="Times New Roman"/>
                <w:sz w:val="24"/>
                <w:szCs w:val="24"/>
                <w:lang w:eastAsia="lv-LV"/>
              </w:rPr>
            </w:pPr>
            <w:r>
              <w:rPr>
                <w:rFonts w:eastAsia="Times New Roman"/>
                <w:sz w:val="24"/>
                <w:szCs w:val="24"/>
                <w:lang w:eastAsia="lv-LV"/>
              </w:rPr>
              <w:t>Noteikumu</w:t>
            </w:r>
            <w:r w:rsidR="00A66EFC" w:rsidRPr="00A66EFC">
              <w:rPr>
                <w:rFonts w:eastAsia="Times New Roman"/>
                <w:sz w:val="24"/>
                <w:szCs w:val="24"/>
                <w:lang w:eastAsia="lv-LV"/>
              </w:rPr>
              <w:t xml:space="preserve"> projekts stājas spēkā Oficiālo publikāciju un tiesiskās informācijas likumā noteiktajā vispārējā kārtībā.</w:t>
            </w:r>
          </w:p>
        </w:tc>
      </w:tr>
    </w:tbl>
    <w:p w14:paraId="72880659" w14:textId="54DD1E42" w:rsidR="00D57AEC" w:rsidRDefault="002C009C" w:rsidP="00E37BE8">
      <w:pPr>
        <w:spacing w:after="120"/>
        <w:jc w:val="center"/>
        <w:rPr>
          <w:rFonts w:eastAsia="Times New Roman"/>
          <w:b/>
          <w:sz w:val="24"/>
          <w:szCs w:val="24"/>
          <w:lang w:eastAsia="lv-LV"/>
        </w:rPr>
      </w:pPr>
      <w:r>
        <w:rPr>
          <w:rFonts w:eastAsia="Times New Roman"/>
          <w:b/>
          <w:sz w:val="24"/>
          <w:szCs w:val="24"/>
          <w:lang w:eastAsia="lv-LV"/>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49"/>
        <w:gridCol w:w="6554"/>
      </w:tblGrid>
      <w:tr w:rsidR="00532F34" w:rsidRPr="0027189F" w14:paraId="2DB76447" w14:textId="77777777" w:rsidTr="006B545A">
        <w:trPr>
          <w:trHeight w:val="331"/>
        </w:trPr>
        <w:tc>
          <w:tcPr>
            <w:tcW w:w="8959" w:type="dxa"/>
            <w:gridSpan w:val="3"/>
            <w:shd w:val="clear" w:color="auto" w:fill="auto"/>
          </w:tcPr>
          <w:p w14:paraId="67687758" w14:textId="77777777" w:rsidR="00532F34" w:rsidRPr="00AD4676" w:rsidRDefault="00532F34" w:rsidP="00E37BE8">
            <w:pPr>
              <w:spacing w:before="100" w:beforeAutospacing="1" w:after="120" w:line="240" w:lineRule="auto"/>
              <w:ind w:firstLine="0"/>
              <w:jc w:val="center"/>
              <w:rPr>
                <w:rFonts w:eastAsia="Times New Roman"/>
                <w:sz w:val="24"/>
                <w:szCs w:val="24"/>
                <w:lang w:eastAsia="lv-LV"/>
              </w:rPr>
            </w:pPr>
            <w:r w:rsidRPr="00AD4676">
              <w:rPr>
                <w:rFonts w:eastAsia="Times New Roman"/>
                <w:b/>
                <w:bCs/>
                <w:sz w:val="24"/>
                <w:szCs w:val="24"/>
                <w:lang w:eastAsia="lv-LV"/>
              </w:rPr>
              <w:t>I. Tiesību akta projekta izstrādes nepieciešamība</w:t>
            </w:r>
          </w:p>
        </w:tc>
      </w:tr>
      <w:tr w:rsidR="00532F34" w:rsidRPr="0027189F" w14:paraId="63101E54" w14:textId="77777777" w:rsidTr="006B545A">
        <w:trPr>
          <w:trHeight w:val="581"/>
        </w:trPr>
        <w:tc>
          <w:tcPr>
            <w:tcW w:w="456" w:type="dxa"/>
            <w:shd w:val="clear" w:color="auto" w:fill="auto"/>
          </w:tcPr>
          <w:p w14:paraId="6F8ED48D"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1.</w:t>
            </w:r>
          </w:p>
        </w:tc>
        <w:tc>
          <w:tcPr>
            <w:tcW w:w="1841" w:type="dxa"/>
            <w:shd w:val="clear" w:color="auto" w:fill="auto"/>
          </w:tcPr>
          <w:p w14:paraId="557D207B" w14:textId="0F9040D3"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Pamatojums</w:t>
            </w:r>
          </w:p>
        </w:tc>
        <w:tc>
          <w:tcPr>
            <w:tcW w:w="6662" w:type="dxa"/>
            <w:shd w:val="clear" w:color="auto" w:fill="auto"/>
          </w:tcPr>
          <w:p w14:paraId="2F83819D" w14:textId="40A9CBC9" w:rsidR="00051117" w:rsidRPr="00AF3922" w:rsidRDefault="00272A0B" w:rsidP="00272A0B">
            <w:pPr>
              <w:pStyle w:val="NoSpacing"/>
              <w:spacing w:after="120"/>
              <w:ind w:firstLine="0"/>
              <w:rPr>
                <w:sz w:val="24"/>
                <w:szCs w:val="24"/>
              </w:rPr>
            </w:pPr>
            <w:r w:rsidRPr="00272A0B">
              <w:rPr>
                <w:sz w:val="24"/>
                <w:szCs w:val="24"/>
              </w:rPr>
              <w:t>Ceļu satiksmes likuma</w:t>
            </w:r>
            <w:r>
              <w:rPr>
                <w:sz w:val="24"/>
                <w:szCs w:val="24"/>
              </w:rPr>
              <w:t xml:space="preserve"> </w:t>
            </w:r>
            <w:r w:rsidRPr="00272A0B">
              <w:rPr>
                <w:sz w:val="24"/>
                <w:szCs w:val="24"/>
              </w:rPr>
              <w:t>4.panta piekt</w:t>
            </w:r>
            <w:r>
              <w:rPr>
                <w:sz w:val="24"/>
                <w:szCs w:val="24"/>
              </w:rPr>
              <w:t>ā</w:t>
            </w:r>
            <w:r w:rsidRPr="00272A0B">
              <w:rPr>
                <w:sz w:val="24"/>
                <w:szCs w:val="24"/>
              </w:rPr>
              <w:t xml:space="preserve"> daļ</w:t>
            </w:r>
            <w:r>
              <w:rPr>
                <w:sz w:val="24"/>
                <w:szCs w:val="24"/>
              </w:rPr>
              <w:t>a.</w:t>
            </w:r>
          </w:p>
        </w:tc>
      </w:tr>
      <w:tr w:rsidR="00532F34" w:rsidRPr="0027189F" w14:paraId="2D9387D1" w14:textId="77777777" w:rsidTr="006B545A">
        <w:trPr>
          <w:trHeight w:val="685"/>
        </w:trPr>
        <w:tc>
          <w:tcPr>
            <w:tcW w:w="456" w:type="dxa"/>
            <w:shd w:val="clear" w:color="auto" w:fill="auto"/>
          </w:tcPr>
          <w:p w14:paraId="7C68627D"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2.</w:t>
            </w:r>
          </w:p>
        </w:tc>
        <w:tc>
          <w:tcPr>
            <w:tcW w:w="1841" w:type="dxa"/>
            <w:shd w:val="clear" w:color="auto" w:fill="auto"/>
          </w:tcPr>
          <w:p w14:paraId="4B975DC7" w14:textId="604793CA"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sz w:val="24"/>
                <w:szCs w:val="24"/>
              </w:rPr>
              <w:t>Pašreizējā situācija un problēmas, kuru risināšanai tiesību akta projekts izstrādāts, tiesiskā regulējuma mērķis un būtība</w:t>
            </w:r>
          </w:p>
        </w:tc>
        <w:tc>
          <w:tcPr>
            <w:tcW w:w="6662" w:type="dxa"/>
            <w:shd w:val="clear" w:color="auto" w:fill="auto"/>
          </w:tcPr>
          <w:p w14:paraId="3380C2E2" w14:textId="5883D105" w:rsidR="002B561A" w:rsidRDefault="00272A0B" w:rsidP="00B96484">
            <w:pPr>
              <w:pStyle w:val="NoSpacing"/>
              <w:spacing w:after="120"/>
              <w:ind w:firstLine="0"/>
              <w:rPr>
                <w:sz w:val="24"/>
                <w:szCs w:val="24"/>
              </w:rPr>
            </w:pPr>
            <w:r>
              <w:rPr>
                <w:sz w:val="24"/>
                <w:szCs w:val="24"/>
              </w:rPr>
              <w:t xml:space="preserve">Normatīvajos aktos noteiktajā kārtībā spēkā stājušies ir </w:t>
            </w:r>
            <w:r w:rsidRPr="00E67656">
              <w:rPr>
                <w:sz w:val="24"/>
                <w:szCs w:val="24"/>
              </w:rPr>
              <w:t>Ministru kabineta</w:t>
            </w:r>
            <w:r>
              <w:rPr>
                <w:sz w:val="24"/>
                <w:szCs w:val="24"/>
              </w:rPr>
              <w:t xml:space="preserve"> 2018.gada 14.augusta</w:t>
            </w:r>
            <w:r w:rsidRPr="00E67656">
              <w:rPr>
                <w:sz w:val="24"/>
                <w:szCs w:val="24"/>
              </w:rPr>
              <w:t xml:space="preserve"> noteikumi Nr. 498 “Vēsturisko spēkratu noteikumi”</w:t>
            </w:r>
            <w:r w:rsidR="00282403">
              <w:rPr>
                <w:sz w:val="24"/>
                <w:szCs w:val="24"/>
              </w:rPr>
              <w:t>.</w:t>
            </w:r>
            <w:r>
              <w:rPr>
                <w:sz w:val="24"/>
                <w:szCs w:val="24"/>
              </w:rPr>
              <w:t xml:space="preserve"> </w:t>
            </w:r>
            <w:r w:rsidR="00362F28">
              <w:rPr>
                <w:sz w:val="24"/>
                <w:szCs w:val="24"/>
              </w:rPr>
              <w:t>Vēsturisko spēkratu noteikumos</w:t>
            </w:r>
            <w:r>
              <w:rPr>
                <w:sz w:val="24"/>
                <w:szCs w:val="24"/>
              </w:rPr>
              <w:t xml:space="preserve"> noteiktas </w:t>
            </w:r>
            <w:r w:rsidRPr="007E069C">
              <w:rPr>
                <w:sz w:val="24"/>
                <w:szCs w:val="24"/>
              </w:rPr>
              <w:t>vispārīgās prasības, kādām jāatbilst transportlīdzeklim, lai to varētu reģistrēt kā vēsturisku spēkratu, kā arī kārtību, kādā transportlīdzeklim piešķir un anulē vēsturiskā spēkrata statusu.</w:t>
            </w:r>
            <w:r>
              <w:rPr>
                <w:sz w:val="24"/>
                <w:szCs w:val="24"/>
              </w:rPr>
              <w:t xml:space="preserve"> Tāpat </w:t>
            </w:r>
            <w:r w:rsidR="00362F28">
              <w:rPr>
                <w:sz w:val="24"/>
                <w:szCs w:val="24"/>
              </w:rPr>
              <w:t xml:space="preserve">Vēsturisko spēkratu </w:t>
            </w:r>
            <w:r>
              <w:rPr>
                <w:sz w:val="24"/>
                <w:szCs w:val="24"/>
              </w:rPr>
              <w:t>n</w:t>
            </w:r>
            <w:r w:rsidRPr="00317536">
              <w:rPr>
                <w:sz w:val="24"/>
                <w:szCs w:val="24"/>
              </w:rPr>
              <w:t>oteikum</w:t>
            </w:r>
            <w:r>
              <w:rPr>
                <w:sz w:val="24"/>
                <w:szCs w:val="24"/>
              </w:rPr>
              <w:t>os</w:t>
            </w:r>
            <w:r w:rsidRPr="00317536">
              <w:rPr>
                <w:sz w:val="24"/>
                <w:szCs w:val="24"/>
              </w:rPr>
              <w:t xml:space="preserve"> minēt</w:t>
            </w:r>
            <w:r>
              <w:rPr>
                <w:sz w:val="24"/>
                <w:szCs w:val="24"/>
              </w:rPr>
              <w:t>s samaksas pienākums</w:t>
            </w:r>
            <w:r w:rsidRPr="00317536">
              <w:rPr>
                <w:sz w:val="24"/>
                <w:szCs w:val="24"/>
              </w:rPr>
              <w:t xml:space="preserve"> par transportlīdzekļa atbilstības vēsturiskā spēkrata statusa</w:t>
            </w:r>
            <w:r>
              <w:rPr>
                <w:sz w:val="24"/>
                <w:szCs w:val="24"/>
              </w:rPr>
              <w:t>m</w:t>
            </w:r>
            <w:r w:rsidRPr="00317536">
              <w:rPr>
                <w:sz w:val="24"/>
                <w:szCs w:val="24"/>
              </w:rPr>
              <w:t xml:space="preserve"> pārbaudi</w:t>
            </w:r>
            <w:r>
              <w:rPr>
                <w:sz w:val="24"/>
                <w:szCs w:val="24"/>
              </w:rPr>
              <w:t xml:space="preserve">. Savukārt no iepriekšminētās pārbaudes un </w:t>
            </w:r>
            <w:r w:rsidRPr="00262242">
              <w:rPr>
                <w:sz w:val="24"/>
                <w:szCs w:val="24"/>
              </w:rPr>
              <w:t>Vēsturisko spēkratu noteikum</w:t>
            </w:r>
            <w:r w:rsidR="00282403">
              <w:rPr>
                <w:sz w:val="24"/>
                <w:szCs w:val="24"/>
              </w:rPr>
              <w:t>u</w:t>
            </w:r>
            <w:r w:rsidRPr="00262242">
              <w:rPr>
                <w:sz w:val="24"/>
                <w:szCs w:val="24"/>
              </w:rPr>
              <w:t xml:space="preserve"> 13.punkt</w:t>
            </w:r>
            <w:r>
              <w:rPr>
                <w:sz w:val="24"/>
                <w:szCs w:val="24"/>
              </w:rPr>
              <w:t>a izriet</w:t>
            </w:r>
            <w:r w:rsidRPr="00262242">
              <w:rPr>
                <w:sz w:val="24"/>
                <w:szCs w:val="24"/>
              </w:rPr>
              <w:t>, ka, pamatojoties uz lēmumu par vēsturiskā spēkrata statusa piešķiršanu</w:t>
            </w:r>
            <w:r>
              <w:rPr>
                <w:sz w:val="24"/>
                <w:szCs w:val="24"/>
              </w:rPr>
              <w:t xml:space="preserve"> CSDD</w:t>
            </w:r>
            <w:r w:rsidRPr="00262242">
              <w:rPr>
                <w:sz w:val="24"/>
                <w:szCs w:val="24"/>
              </w:rPr>
              <w:t xml:space="preserve"> izsniedz transportlīdzekļa īpašniekam vai viņa pilnvarotai personai apliecinājumu par transportlīdzekļa atbilstību vēsturiskā spēkrata statusam.</w:t>
            </w:r>
            <w:r w:rsidR="00B96484">
              <w:rPr>
                <w:sz w:val="24"/>
                <w:szCs w:val="24"/>
              </w:rPr>
              <w:br/>
            </w:r>
            <w:r w:rsidR="00BF4847" w:rsidRPr="00C15C65">
              <w:rPr>
                <w:sz w:val="24"/>
                <w:szCs w:val="24"/>
              </w:rPr>
              <w:t xml:space="preserve">Ministru kabineta </w:t>
            </w:r>
            <w:r w:rsidR="003D62D6" w:rsidRPr="00C15C65">
              <w:rPr>
                <w:sz w:val="24"/>
                <w:szCs w:val="24"/>
              </w:rPr>
              <w:t xml:space="preserve">2010.gada 2.februāra </w:t>
            </w:r>
            <w:r w:rsidR="00BF4847" w:rsidRPr="00C15C65">
              <w:rPr>
                <w:sz w:val="24"/>
                <w:szCs w:val="24"/>
              </w:rPr>
              <w:t xml:space="preserve">noteikumi Nr.103 </w:t>
            </w:r>
            <w:r w:rsidR="00BF4847" w:rsidRPr="00C15C65">
              <w:rPr>
                <w:sz w:val="24"/>
                <w:szCs w:val="24"/>
              </w:rPr>
              <w:lastRenderedPageBreak/>
              <w:t xml:space="preserve">"Transportlīdzekļu vadītāja tiesību iegūšanas un atjaunošanas kārtība un vadītāja apliecības izsniegšanas, apmaiņas, atjaunošanas un iznīcināšanas kārtība" </w:t>
            </w:r>
            <w:r w:rsidR="00137D0C" w:rsidRPr="00C15C65">
              <w:rPr>
                <w:sz w:val="24"/>
                <w:szCs w:val="24"/>
              </w:rPr>
              <w:t>ne</w:t>
            </w:r>
            <w:r w:rsidR="00AF1AAA" w:rsidRPr="00C15C65">
              <w:rPr>
                <w:sz w:val="24"/>
                <w:szCs w:val="24"/>
              </w:rPr>
              <w:t>paredz velosipēda vadītāja apliecība</w:t>
            </w:r>
            <w:r w:rsidR="00EC138C" w:rsidRPr="00C15C65">
              <w:rPr>
                <w:sz w:val="24"/>
                <w:szCs w:val="24"/>
              </w:rPr>
              <w:t xml:space="preserve">s iegūšanu </w:t>
            </w:r>
            <w:r w:rsidR="00C15C65" w:rsidRPr="00C15C65">
              <w:rPr>
                <w:sz w:val="24"/>
                <w:szCs w:val="24"/>
              </w:rPr>
              <w:t>par maksu</w:t>
            </w:r>
            <w:r w:rsidR="00EC138C" w:rsidRPr="00C15C65">
              <w:rPr>
                <w:sz w:val="24"/>
                <w:szCs w:val="24"/>
              </w:rPr>
              <w:t>,</w:t>
            </w:r>
            <w:r w:rsidR="00EC138C">
              <w:rPr>
                <w:sz w:val="24"/>
                <w:szCs w:val="24"/>
              </w:rPr>
              <w:t xml:space="preserve"> tāpēc, ņemot vērā, ka pirmreizējā </w:t>
            </w:r>
            <w:r w:rsidR="00EC138C" w:rsidRPr="00EC138C">
              <w:rPr>
                <w:sz w:val="24"/>
                <w:szCs w:val="24"/>
              </w:rPr>
              <w:t>velosipēda vadītāja teorētiskā eksāmena kārtošana</w:t>
            </w:r>
            <w:r w:rsidR="00EC138C">
              <w:rPr>
                <w:sz w:val="24"/>
                <w:szCs w:val="24"/>
              </w:rPr>
              <w:t xml:space="preserve"> ir bez maksas</w:t>
            </w:r>
            <w:r w:rsidR="00C15C65">
              <w:rPr>
                <w:sz w:val="24"/>
                <w:szCs w:val="24"/>
              </w:rPr>
              <w:t>,</w:t>
            </w:r>
            <w:r w:rsidR="00EC138C">
              <w:rPr>
                <w:sz w:val="24"/>
                <w:szCs w:val="24"/>
              </w:rPr>
              <w:t xml:space="preserve"> n</w:t>
            </w:r>
            <w:r w:rsidR="00B42597">
              <w:rPr>
                <w:sz w:val="24"/>
                <w:szCs w:val="24"/>
              </w:rPr>
              <w:t>oteikumu projekts</w:t>
            </w:r>
            <w:r w:rsidR="00A85216">
              <w:rPr>
                <w:sz w:val="24"/>
                <w:szCs w:val="24"/>
              </w:rPr>
              <w:t xml:space="preserve"> paredz atbrīvojumu no </w:t>
            </w:r>
            <w:r w:rsidR="00B42597">
              <w:rPr>
                <w:sz w:val="24"/>
                <w:szCs w:val="24"/>
              </w:rPr>
              <w:t>maksas</w:t>
            </w:r>
            <w:r w:rsidR="00EC138C">
              <w:rPr>
                <w:sz w:val="24"/>
                <w:szCs w:val="24"/>
              </w:rPr>
              <w:t xml:space="preserve"> arī</w:t>
            </w:r>
            <w:r w:rsidR="00B42597">
              <w:rPr>
                <w:sz w:val="24"/>
                <w:szCs w:val="24"/>
              </w:rPr>
              <w:t xml:space="preserve"> par atkārtotu</w:t>
            </w:r>
            <w:r w:rsidR="00A85216">
              <w:rPr>
                <w:sz w:val="24"/>
                <w:szCs w:val="24"/>
              </w:rPr>
              <w:t xml:space="preserve"> velosipēda vadītāja teorētiskā eksāmena kārtošanas, </w:t>
            </w:r>
            <w:r w:rsidR="00EC138C">
              <w:rPr>
                <w:sz w:val="24"/>
                <w:szCs w:val="24"/>
              </w:rPr>
              <w:t xml:space="preserve">tādējādi nodrošinot sistēmisku pieeju maksai par </w:t>
            </w:r>
            <w:r w:rsidR="00EC138C" w:rsidRPr="00EC138C">
              <w:rPr>
                <w:sz w:val="24"/>
                <w:szCs w:val="24"/>
              </w:rPr>
              <w:t>velosipēda vadītāja teorētiskā eksāmena kārtošan</w:t>
            </w:r>
            <w:r w:rsidR="00EC138C">
              <w:rPr>
                <w:sz w:val="24"/>
                <w:szCs w:val="24"/>
              </w:rPr>
              <w:t xml:space="preserve">u, </w:t>
            </w:r>
            <w:r w:rsidR="00B42597">
              <w:rPr>
                <w:sz w:val="24"/>
                <w:szCs w:val="24"/>
              </w:rPr>
              <w:t>mazinātu</w:t>
            </w:r>
            <w:r w:rsidR="00A85216">
              <w:rPr>
                <w:sz w:val="24"/>
                <w:szCs w:val="24"/>
              </w:rPr>
              <w:t xml:space="preserve"> administratīvo slogu </w:t>
            </w:r>
            <w:r w:rsidR="00547F11">
              <w:rPr>
                <w:sz w:val="24"/>
                <w:szCs w:val="24"/>
              </w:rPr>
              <w:t>pakalpojuma saņēmējiem</w:t>
            </w:r>
            <w:r w:rsidR="00A85216">
              <w:rPr>
                <w:sz w:val="24"/>
                <w:szCs w:val="24"/>
              </w:rPr>
              <w:t xml:space="preserve"> un izglītības iestādēm, kuras nodrošina teorētisko eksāmenu pieņemšanu velosipēdu vadītājiem.</w:t>
            </w:r>
            <w:r w:rsidR="00B96484">
              <w:rPr>
                <w:sz w:val="24"/>
                <w:szCs w:val="24"/>
              </w:rPr>
              <w:br/>
            </w:r>
            <w:r w:rsidR="00C43FA9">
              <w:rPr>
                <w:sz w:val="24"/>
                <w:szCs w:val="24"/>
              </w:rPr>
              <w:t xml:space="preserve">Atbilstoši </w:t>
            </w:r>
            <w:r w:rsidR="00BF4847">
              <w:rPr>
                <w:sz w:val="24"/>
                <w:szCs w:val="24"/>
              </w:rPr>
              <w:t>izsludinātajiem</w:t>
            </w:r>
            <w:r w:rsidR="00840791">
              <w:rPr>
                <w:sz w:val="24"/>
                <w:szCs w:val="24"/>
              </w:rPr>
              <w:t xml:space="preserve"> g</w:t>
            </w:r>
            <w:r w:rsidR="00840791" w:rsidRPr="00840791">
              <w:rPr>
                <w:sz w:val="24"/>
                <w:szCs w:val="24"/>
              </w:rPr>
              <w:t>rozījum</w:t>
            </w:r>
            <w:r w:rsidR="00840791">
              <w:rPr>
                <w:sz w:val="24"/>
                <w:szCs w:val="24"/>
              </w:rPr>
              <w:t>iem</w:t>
            </w:r>
            <w:r w:rsidR="00840791" w:rsidRPr="00840791">
              <w:rPr>
                <w:sz w:val="24"/>
                <w:szCs w:val="24"/>
              </w:rPr>
              <w:t xml:space="preserve"> Ministru kabineta</w:t>
            </w:r>
            <w:r w:rsidR="003D62D6">
              <w:rPr>
                <w:sz w:val="24"/>
                <w:szCs w:val="24"/>
              </w:rPr>
              <w:t xml:space="preserve"> 2010.gada 2.februāra</w:t>
            </w:r>
            <w:r w:rsidR="00840791" w:rsidRPr="00840791">
              <w:rPr>
                <w:sz w:val="24"/>
                <w:szCs w:val="24"/>
              </w:rPr>
              <w:t xml:space="preserve"> noteikumos Nr.103 „Transportlīdzekļu vadītāja tiesību iegūšanas un atjaunošanas kārtība un vadītāja apliecības izsniegšanas, apmaiņas, atjaunošanas un iznīcināšanas kārtība”</w:t>
            </w:r>
            <w:r w:rsidR="00BF4847">
              <w:rPr>
                <w:sz w:val="24"/>
                <w:szCs w:val="24"/>
              </w:rPr>
              <w:t xml:space="preserve"> (</w:t>
            </w:r>
            <w:r w:rsidR="00BF4847" w:rsidRPr="00BF4847">
              <w:rPr>
                <w:sz w:val="24"/>
                <w:szCs w:val="24"/>
              </w:rPr>
              <w:t>izsludināt</w:t>
            </w:r>
            <w:r w:rsidR="00BF4847">
              <w:rPr>
                <w:sz w:val="24"/>
                <w:szCs w:val="24"/>
              </w:rPr>
              <w:t>i</w:t>
            </w:r>
            <w:r w:rsidR="00BF4847" w:rsidRPr="00BF4847">
              <w:rPr>
                <w:sz w:val="24"/>
                <w:szCs w:val="24"/>
              </w:rPr>
              <w:t xml:space="preserve"> </w:t>
            </w:r>
            <w:r w:rsidR="00BF4847">
              <w:rPr>
                <w:sz w:val="24"/>
                <w:szCs w:val="24"/>
              </w:rPr>
              <w:t>22.11.</w:t>
            </w:r>
            <w:r w:rsidR="00BF4847" w:rsidRPr="00BF4847">
              <w:rPr>
                <w:sz w:val="24"/>
                <w:szCs w:val="24"/>
              </w:rPr>
              <w:t>2018. Valsts sekretāru sanāksmē (prot. Nr. 46 7. §, VSS-1190)</w:t>
            </w:r>
            <w:r w:rsidR="00BF4847">
              <w:rPr>
                <w:sz w:val="24"/>
                <w:szCs w:val="24"/>
              </w:rPr>
              <w:t>)</w:t>
            </w:r>
            <w:r w:rsidR="00840791">
              <w:rPr>
                <w:sz w:val="24"/>
                <w:szCs w:val="24"/>
              </w:rPr>
              <w:t>, n</w:t>
            </w:r>
            <w:r w:rsidR="00840791" w:rsidRPr="00840791">
              <w:rPr>
                <w:sz w:val="24"/>
                <w:szCs w:val="24"/>
              </w:rPr>
              <w:t xml:space="preserve">olūkā pilnvērtīgi pārliecināties par mopēdu vadītāju iemaņām un prasmēm, ir </w:t>
            </w:r>
            <w:r w:rsidR="00C43FA9">
              <w:rPr>
                <w:sz w:val="24"/>
                <w:szCs w:val="24"/>
              </w:rPr>
              <w:t xml:space="preserve">paredzēts </w:t>
            </w:r>
            <w:r w:rsidR="00840791" w:rsidRPr="00840791">
              <w:rPr>
                <w:sz w:val="24"/>
                <w:szCs w:val="24"/>
              </w:rPr>
              <w:t>ieviest eksāmena posm</w:t>
            </w:r>
            <w:r w:rsidR="00C43FA9">
              <w:rPr>
                <w:sz w:val="24"/>
                <w:szCs w:val="24"/>
              </w:rPr>
              <w:t>u</w:t>
            </w:r>
            <w:r w:rsidR="00840791" w:rsidRPr="00840791">
              <w:rPr>
                <w:sz w:val="24"/>
                <w:szCs w:val="24"/>
              </w:rPr>
              <w:t xml:space="preserve">, kas ietver </w:t>
            </w:r>
            <w:r w:rsidR="00840791">
              <w:rPr>
                <w:sz w:val="24"/>
                <w:szCs w:val="24"/>
              </w:rPr>
              <w:t>mopēda</w:t>
            </w:r>
            <w:r w:rsidR="00840791" w:rsidRPr="00840791">
              <w:rPr>
                <w:sz w:val="24"/>
                <w:szCs w:val="24"/>
              </w:rPr>
              <w:t xml:space="preserve"> vadīšanu ceļu satiksmē</w:t>
            </w:r>
            <w:r w:rsidR="00840791">
              <w:rPr>
                <w:sz w:val="24"/>
                <w:szCs w:val="24"/>
              </w:rPr>
              <w:t>, līdz ar to, ir precizējama ar mopēda vadīšanas eksāmenu saistīto pakalpojumu cena</w:t>
            </w:r>
            <w:r w:rsidR="0058709A" w:rsidRPr="0058709A">
              <w:rPr>
                <w:sz w:val="24"/>
                <w:szCs w:val="24"/>
              </w:rPr>
              <w:t xml:space="preserve">. </w:t>
            </w:r>
            <w:r w:rsidR="0058709A">
              <w:rPr>
                <w:sz w:val="24"/>
                <w:szCs w:val="24"/>
              </w:rPr>
              <w:t>Ņemot vērā i</w:t>
            </w:r>
            <w:r w:rsidR="0058709A" w:rsidRPr="0058709A">
              <w:rPr>
                <w:sz w:val="24"/>
                <w:szCs w:val="24"/>
              </w:rPr>
              <w:t>zmaksu aprēķin</w:t>
            </w:r>
            <w:r w:rsidR="0058709A">
              <w:rPr>
                <w:sz w:val="24"/>
                <w:szCs w:val="24"/>
              </w:rPr>
              <w:t>u</w:t>
            </w:r>
            <w:r w:rsidR="0058709A" w:rsidRPr="0058709A">
              <w:rPr>
                <w:sz w:val="24"/>
                <w:szCs w:val="24"/>
              </w:rPr>
              <w:t xml:space="preserve"> </w:t>
            </w:r>
            <w:r w:rsidR="00840791">
              <w:rPr>
                <w:sz w:val="24"/>
                <w:szCs w:val="24"/>
              </w:rPr>
              <w:t>(</w:t>
            </w:r>
            <w:r w:rsidR="0058709A" w:rsidRPr="0058709A">
              <w:rPr>
                <w:sz w:val="24"/>
                <w:szCs w:val="24"/>
              </w:rPr>
              <w:t>pielikumā</w:t>
            </w:r>
            <w:r w:rsidR="00840791">
              <w:rPr>
                <w:sz w:val="24"/>
                <w:szCs w:val="24"/>
              </w:rPr>
              <w:t>)</w:t>
            </w:r>
            <w:r w:rsidR="0058709A">
              <w:rPr>
                <w:sz w:val="24"/>
                <w:szCs w:val="24"/>
              </w:rPr>
              <w:t>, noteikumu projekts paredz izteikt jaunā redakcijā</w:t>
            </w:r>
            <w:r w:rsidR="003D62D6">
              <w:rPr>
                <w:sz w:val="24"/>
                <w:szCs w:val="24"/>
              </w:rPr>
              <w:t xml:space="preserve"> Ministru kabineta</w:t>
            </w:r>
            <w:r w:rsidR="0058709A">
              <w:rPr>
                <w:sz w:val="24"/>
                <w:szCs w:val="24"/>
              </w:rPr>
              <w:t xml:space="preserve"> </w:t>
            </w:r>
            <w:r w:rsidR="003D62D6">
              <w:rPr>
                <w:sz w:val="24"/>
                <w:szCs w:val="24"/>
              </w:rPr>
              <w:t>2013.gada 24.septembra</w:t>
            </w:r>
            <w:r w:rsidR="00BF4847" w:rsidRPr="00BF4847">
              <w:rPr>
                <w:sz w:val="24"/>
                <w:szCs w:val="24"/>
              </w:rPr>
              <w:t xml:space="preserve"> noteikum</w:t>
            </w:r>
            <w:r w:rsidR="00BF4847">
              <w:rPr>
                <w:sz w:val="24"/>
                <w:szCs w:val="24"/>
              </w:rPr>
              <w:t>u</w:t>
            </w:r>
            <w:r w:rsidR="00BF4847" w:rsidRPr="00BF4847">
              <w:rPr>
                <w:sz w:val="24"/>
                <w:szCs w:val="24"/>
              </w:rPr>
              <w:t xml:space="preserve"> Nr.1000 “Valsts akciju sabiedrības "Ceļu satiksmes drošības direkcija” publisko maksas pakalpojumu cenrādis”</w:t>
            </w:r>
            <w:r w:rsidR="00282403">
              <w:rPr>
                <w:sz w:val="24"/>
                <w:szCs w:val="24"/>
              </w:rPr>
              <w:t xml:space="preserve"> </w:t>
            </w:r>
            <w:r w:rsidR="0058709A" w:rsidRPr="0058709A">
              <w:rPr>
                <w:sz w:val="24"/>
                <w:szCs w:val="24"/>
              </w:rPr>
              <w:t xml:space="preserve">2.pielikuma </w:t>
            </w:r>
            <w:proofErr w:type="spellStart"/>
            <w:r w:rsidR="0058709A" w:rsidRPr="0058709A">
              <w:rPr>
                <w:sz w:val="24"/>
                <w:szCs w:val="24"/>
              </w:rPr>
              <w:t>II.nodaļas</w:t>
            </w:r>
            <w:proofErr w:type="spellEnd"/>
            <w:r w:rsidR="0058709A" w:rsidRPr="0058709A">
              <w:rPr>
                <w:sz w:val="24"/>
                <w:szCs w:val="24"/>
              </w:rPr>
              <w:t xml:space="preserve"> 120. un 121. punktu</w:t>
            </w:r>
            <w:r w:rsidR="0058709A">
              <w:rPr>
                <w:sz w:val="24"/>
                <w:szCs w:val="24"/>
              </w:rPr>
              <w:t>, precizējot sniegtos pakalpojumus attiecībā uz mopēdu vadīšanas eksāmenu norisi,</w:t>
            </w:r>
            <w:r w:rsidR="001D5B60">
              <w:rPr>
                <w:sz w:val="24"/>
                <w:szCs w:val="24"/>
              </w:rPr>
              <w:t xml:space="preserve"> tostarp</w:t>
            </w:r>
            <w:r w:rsidR="00840791">
              <w:rPr>
                <w:sz w:val="24"/>
                <w:szCs w:val="24"/>
              </w:rPr>
              <w:t xml:space="preserve"> </w:t>
            </w:r>
            <w:r w:rsidR="0058709A">
              <w:rPr>
                <w:sz w:val="24"/>
                <w:szCs w:val="24"/>
              </w:rPr>
              <w:t>pēc analoģijas ar citu kategoriju vadīšanas eksāmenu norisi papildināt noteikumus ar 12</w:t>
            </w:r>
            <w:r w:rsidR="00942317">
              <w:rPr>
                <w:sz w:val="24"/>
                <w:szCs w:val="24"/>
              </w:rPr>
              <w:t>1</w:t>
            </w:r>
            <w:r w:rsidR="0058709A">
              <w:rPr>
                <w:sz w:val="24"/>
                <w:szCs w:val="24"/>
              </w:rPr>
              <w:t>.</w:t>
            </w:r>
            <w:r w:rsidR="00942317">
              <w:rPr>
                <w:sz w:val="24"/>
                <w:szCs w:val="24"/>
                <w:vertAlign w:val="superscript"/>
              </w:rPr>
              <w:t>1</w:t>
            </w:r>
            <w:r w:rsidR="0058709A">
              <w:rPr>
                <w:sz w:val="24"/>
                <w:szCs w:val="24"/>
              </w:rPr>
              <w:t>aili, kas nosaka pakalpojumu cenu pakalpojumam “</w:t>
            </w:r>
            <w:r w:rsidR="0058709A" w:rsidRPr="0058709A">
              <w:rPr>
                <w:sz w:val="24"/>
                <w:szCs w:val="24"/>
              </w:rPr>
              <w:t>Atkārtots mopēda vadīšanas eksāmens</w:t>
            </w:r>
            <w:r w:rsidR="0058709A">
              <w:rPr>
                <w:sz w:val="24"/>
                <w:szCs w:val="24"/>
              </w:rPr>
              <w:t>“.</w:t>
            </w:r>
            <w:r w:rsidR="00881D97">
              <w:rPr>
                <w:sz w:val="24"/>
                <w:szCs w:val="24"/>
              </w:rPr>
              <w:t xml:space="preserve"> Minēto noteikumu projektu paredzēts iespēju robežās virzīt izskatīšanai Ministru kabinetā vienlaicīgi ar izmaiņām </w:t>
            </w:r>
            <w:r w:rsidR="001D5B60">
              <w:rPr>
                <w:sz w:val="24"/>
                <w:szCs w:val="24"/>
              </w:rPr>
              <w:t>CSDD</w:t>
            </w:r>
            <w:r w:rsidR="00881D97">
              <w:rPr>
                <w:sz w:val="24"/>
                <w:szCs w:val="24"/>
              </w:rPr>
              <w:t xml:space="preserve"> sniegtajos pakalpojumos attiecībā</w:t>
            </w:r>
            <w:r w:rsidR="00F144EB">
              <w:rPr>
                <w:sz w:val="24"/>
                <w:szCs w:val="24"/>
              </w:rPr>
              <w:t xml:space="preserve"> uz</w:t>
            </w:r>
            <w:r w:rsidR="00F144EB">
              <w:t xml:space="preserve"> </w:t>
            </w:r>
            <w:r w:rsidR="00F144EB" w:rsidRPr="00F144EB">
              <w:rPr>
                <w:sz w:val="24"/>
                <w:szCs w:val="24"/>
              </w:rPr>
              <w:t>mopēdu vadīšanas eksāmenu norisi</w:t>
            </w:r>
            <w:r w:rsidR="00F144EB">
              <w:rPr>
                <w:sz w:val="24"/>
                <w:szCs w:val="24"/>
              </w:rPr>
              <w:t>.</w:t>
            </w:r>
            <w:r w:rsidR="00B96484">
              <w:rPr>
                <w:sz w:val="24"/>
                <w:szCs w:val="24"/>
              </w:rPr>
              <w:br/>
            </w:r>
            <w:r w:rsidR="00A66EFC">
              <w:rPr>
                <w:sz w:val="24"/>
                <w:szCs w:val="24"/>
              </w:rPr>
              <w:t>Līdz šim maksa par</w:t>
            </w:r>
            <w:r w:rsidR="00A66EFC">
              <w:t xml:space="preserve"> </w:t>
            </w:r>
            <w:r w:rsidR="00A66EFC" w:rsidRPr="007E069C">
              <w:rPr>
                <w:sz w:val="24"/>
                <w:szCs w:val="24"/>
              </w:rPr>
              <w:t>atbilstības vēsturiskā spēkrata statusa</w:t>
            </w:r>
            <w:r w:rsidR="00A66EFC">
              <w:rPr>
                <w:sz w:val="24"/>
                <w:szCs w:val="24"/>
              </w:rPr>
              <w:t>m</w:t>
            </w:r>
            <w:r w:rsidR="00A66EFC" w:rsidRPr="007E069C">
              <w:rPr>
                <w:sz w:val="24"/>
                <w:szCs w:val="24"/>
              </w:rPr>
              <w:t xml:space="preserve"> pārbaudi</w:t>
            </w:r>
            <w:r w:rsidR="00A66EFC">
              <w:rPr>
                <w:sz w:val="24"/>
                <w:szCs w:val="24"/>
              </w:rPr>
              <w:t xml:space="preserve"> bija noteikta</w:t>
            </w:r>
            <w:r w:rsidR="00A66EFC" w:rsidRPr="007E069C">
              <w:rPr>
                <w:sz w:val="24"/>
                <w:szCs w:val="24"/>
              </w:rPr>
              <w:t xml:space="preserve"> CSDD maksas pakalpojumu, kas nav publiskie pakalpojumi, cenrā</w:t>
            </w:r>
            <w:r w:rsidR="00A66EFC">
              <w:rPr>
                <w:sz w:val="24"/>
                <w:szCs w:val="24"/>
              </w:rPr>
              <w:t>dī</w:t>
            </w:r>
            <w:r w:rsidR="00A66EFC" w:rsidRPr="007E069C">
              <w:rPr>
                <w:sz w:val="24"/>
                <w:szCs w:val="24"/>
              </w:rPr>
              <w:t xml:space="preserve"> (apstiprināts CSDD valdes 25.04.2018, sēdē, </w:t>
            </w:r>
            <w:r w:rsidR="00A66EFC">
              <w:rPr>
                <w:sz w:val="24"/>
                <w:szCs w:val="24"/>
              </w:rPr>
              <w:t>protokols Nr.19, lēmums Nr.4.1).</w:t>
            </w:r>
            <w:r w:rsidR="00A66EFC" w:rsidRPr="007E069C">
              <w:rPr>
                <w:sz w:val="24"/>
                <w:szCs w:val="24"/>
              </w:rPr>
              <w:t xml:space="preserve"> </w:t>
            </w:r>
            <w:r w:rsidR="00A66EFC">
              <w:rPr>
                <w:sz w:val="24"/>
                <w:szCs w:val="24"/>
              </w:rPr>
              <w:t xml:space="preserve">Tomēr </w:t>
            </w:r>
            <w:r w:rsidR="00A66EFC" w:rsidRPr="007E069C">
              <w:rPr>
                <w:sz w:val="24"/>
                <w:szCs w:val="24"/>
              </w:rPr>
              <w:t xml:space="preserve">ņemot vērā apstākli, ka </w:t>
            </w:r>
            <w:r w:rsidR="0054211B">
              <w:rPr>
                <w:sz w:val="24"/>
                <w:szCs w:val="24"/>
              </w:rPr>
              <w:t xml:space="preserve">šobrīd </w:t>
            </w:r>
            <w:r w:rsidR="00A66EFC" w:rsidRPr="007E069C">
              <w:rPr>
                <w:sz w:val="24"/>
                <w:szCs w:val="24"/>
              </w:rPr>
              <w:t>konkrēto pakalpojumu sniegšanu</w:t>
            </w:r>
            <w:r w:rsidR="001D5B60">
              <w:rPr>
                <w:sz w:val="24"/>
                <w:szCs w:val="24"/>
              </w:rPr>
              <w:t xml:space="preserve"> nosaka </w:t>
            </w:r>
            <w:r w:rsidR="00A66EFC" w:rsidRPr="007E069C">
              <w:rPr>
                <w:sz w:val="24"/>
                <w:szCs w:val="24"/>
              </w:rPr>
              <w:t xml:space="preserve"> </w:t>
            </w:r>
            <w:r w:rsidR="00E67656" w:rsidRPr="00E67656">
              <w:rPr>
                <w:sz w:val="24"/>
                <w:szCs w:val="24"/>
              </w:rPr>
              <w:t>Vēsturisko spēkratu noteikumi</w:t>
            </w:r>
            <w:r w:rsidR="00A66EFC">
              <w:rPr>
                <w:sz w:val="24"/>
                <w:szCs w:val="24"/>
              </w:rPr>
              <w:t>, kā arī, lai a</w:t>
            </w:r>
            <w:r w:rsidR="00A66EFC" w:rsidRPr="007E069C">
              <w:rPr>
                <w:sz w:val="24"/>
                <w:szCs w:val="24"/>
              </w:rPr>
              <w:t>tbilstoši juridiskās tehnikas prasībām</w:t>
            </w:r>
            <w:r w:rsidR="00A66EFC">
              <w:rPr>
                <w:sz w:val="24"/>
                <w:szCs w:val="24"/>
              </w:rPr>
              <w:t xml:space="preserve"> nodrošinātu</w:t>
            </w:r>
            <w:r w:rsidR="00A66EFC" w:rsidRPr="007E069C">
              <w:rPr>
                <w:sz w:val="24"/>
                <w:szCs w:val="24"/>
              </w:rPr>
              <w:t xml:space="preserve"> tiesību norm</w:t>
            </w:r>
            <w:r w:rsidR="00A66EFC">
              <w:rPr>
                <w:sz w:val="24"/>
                <w:szCs w:val="24"/>
              </w:rPr>
              <w:t>u</w:t>
            </w:r>
            <w:r w:rsidR="00A66EFC" w:rsidRPr="007E069C">
              <w:rPr>
                <w:sz w:val="24"/>
                <w:szCs w:val="24"/>
              </w:rPr>
              <w:t xml:space="preserve"> skaidr</w:t>
            </w:r>
            <w:r w:rsidR="00A66EFC">
              <w:rPr>
                <w:sz w:val="24"/>
                <w:szCs w:val="24"/>
              </w:rPr>
              <w:t>ību un konkrētību</w:t>
            </w:r>
            <w:r w:rsidR="00A66EFC" w:rsidRPr="007E069C">
              <w:rPr>
                <w:sz w:val="24"/>
                <w:szCs w:val="24"/>
              </w:rPr>
              <w:t>, lai tās lietotājs gūtu nepārprotamu priekšstatu par savām tiesībām un pienākumiem</w:t>
            </w:r>
            <w:r w:rsidR="00A66EFC">
              <w:rPr>
                <w:sz w:val="24"/>
                <w:szCs w:val="24"/>
              </w:rPr>
              <w:t>, nepieciešams v</w:t>
            </w:r>
            <w:r w:rsidR="00A66EFC" w:rsidRPr="00F11C7C">
              <w:rPr>
                <w:sz w:val="24"/>
                <w:szCs w:val="24"/>
              </w:rPr>
              <w:t xml:space="preserve">eikt grozījumus </w:t>
            </w:r>
            <w:r w:rsidR="00282403">
              <w:rPr>
                <w:sz w:val="24"/>
                <w:szCs w:val="24"/>
              </w:rPr>
              <w:t xml:space="preserve">CSDD </w:t>
            </w:r>
            <w:r w:rsidR="00A66EFC" w:rsidRPr="00F11C7C">
              <w:rPr>
                <w:sz w:val="24"/>
                <w:szCs w:val="24"/>
              </w:rPr>
              <w:t>cenrād</w:t>
            </w:r>
            <w:r w:rsidR="00282403">
              <w:rPr>
                <w:sz w:val="24"/>
                <w:szCs w:val="24"/>
              </w:rPr>
              <w:t>ī</w:t>
            </w:r>
            <w:r w:rsidR="00A66EFC" w:rsidRPr="00F11C7C">
              <w:rPr>
                <w:sz w:val="24"/>
                <w:szCs w:val="24"/>
              </w:rPr>
              <w:t xml:space="preserve">, </w:t>
            </w:r>
            <w:r w:rsidR="00564F4D">
              <w:rPr>
                <w:sz w:val="24"/>
                <w:szCs w:val="24"/>
              </w:rPr>
              <w:t>nosakot jaunas maksas pozīcijas.</w:t>
            </w:r>
            <w:r w:rsidR="00B96484">
              <w:rPr>
                <w:sz w:val="24"/>
                <w:szCs w:val="24"/>
              </w:rPr>
              <w:br/>
            </w:r>
            <w:r w:rsidR="00A66EFC" w:rsidRPr="00F11C7C">
              <w:rPr>
                <w:sz w:val="24"/>
                <w:szCs w:val="24"/>
              </w:rPr>
              <w:t>Minētās pozīcijas</w:t>
            </w:r>
            <w:r w:rsidR="00A73634">
              <w:rPr>
                <w:sz w:val="24"/>
                <w:szCs w:val="24"/>
              </w:rPr>
              <w:t xml:space="preserve"> </w:t>
            </w:r>
            <w:r w:rsidR="00E67656">
              <w:rPr>
                <w:sz w:val="24"/>
                <w:szCs w:val="24"/>
              </w:rPr>
              <w:t xml:space="preserve">uz </w:t>
            </w:r>
            <w:r w:rsidR="00282403">
              <w:rPr>
                <w:sz w:val="24"/>
                <w:szCs w:val="24"/>
              </w:rPr>
              <w:t xml:space="preserve">CSDD </w:t>
            </w:r>
            <w:r w:rsidR="00A66EFC" w:rsidRPr="007E069C">
              <w:rPr>
                <w:sz w:val="24"/>
                <w:szCs w:val="24"/>
              </w:rPr>
              <w:t>cenrādi</w:t>
            </w:r>
            <w:r w:rsidR="00A66EFC" w:rsidRPr="00F11C7C">
              <w:rPr>
                <w:sz w:val="24"/>
                <w:szCs w:val="24"/>
              </w:rPr>
              <w:t xml:space="preserve"> </w:t>
            </w:r>
            <w:r w:rsidR="00E67656" w:rsidRPr="00F11C7C">
              <w:rPr>
                <w:sz w:val="24"/>
                <w:szCs w:val="24"/>
              </w:rPr>
              <w:t xml:space="preserve">pārceltas </w:t>
            </w:r>
            <w:r w:rsidR="00A66EFC" w:rsidRPr="00F11C7C">
              <w:rPr>
                <w:sz w:val="24"/>
                <w:szCs w:val="24"/>
              </w:rPr>
              <w:t xml:space="preserve">no </w:t>
            </w:r>
            <w:r w:rsidR="00A66EFC" w:rsidRPr="007E069C">
              <w:rPr>
                <w:sz w:val="24"/>
                <w:szCs w:val="24"/>
              </w:rPr>
              <w:t>CSDD maksas pakalpojumu, kas nav publiskie pakalpojumi, cenrā</w:t>
            </w:r>
            <w:r w:rsidR="00A66EFC">
              <w:rPr>
                <w:sz w:val="24"/>
                <w:szCs w:val="24"/>
              </w:rPr>
              <w:t>ža</w:t>
            </w:r>
            <w:r w:rsidR="00A66EFC" w:rsidRPr="007E069C">
              <w:rPr>
                <w:sz w:val="24"/>
                <w:szCs w:val="24"/>
              </w:rPr>
              <w:t xml:space="preserve"> (apstiprināts CSDD valdes 2</w:t>
            </w:r>
            <w:r w:rsidR="00022605">
              <w:rPr>
                <w:sz w:val="24"/>
                <w:szCs w:val="24"/>
              </w:rPr>
              <w:t>5.04.2018.</w:t>
            </w:r>
            <w:r w:rsidR="00A66EFC" w:rsidRPr="007E069C">
              <w:rPr>
                <w:sz w:val="24"/>
                <w:szCs w:val="24"/>
              </w:rPr>
              <w:t xml:space="preserve"> sēdē, protokols Nr.19, lēmums Nr.4.1)</w:t>
            </w:r>
            <w:r w:rsidR="00A66EFC" w:rsidRPr="00F11C7C">
              <w:rPr>
                <w:sz w:val="24"/>
                <w:szCs w:val="24"/>
              </w:rPr>
              <w:t xml:space="preserve">, </w:t>
            </w:r>
            <w:r w:rsidR="00A66EFC">
              <w:rPr>
                <w:sz w:val="24"/>
                <w:szCs w:val="24"/>
              </w:rPr>
              <w:t>tādā pašā apmērā, kādā tās bija noteiktas līdz šim</w:t>
            </w:r>
            <w:r w:rsidR="00A73634">
              <w:rPr>
                <w:sz w:val="24"/>
                <w:szCs w:val="24"/>
              </w:rPr>
              <w:t>, t.i. nemainot pakalpojumus cenas</w:t>
            </w:r>
            <w:r w:rsidR="00A66EFC" w:rsidRPr="00F11C7C">
              <w:rPr>
                <w:sz w:val="24"/>
                <w:szCs w:val="24"/>
              </w:rPr>
              <w:t>.</w:t>
            </w:r>
          </w:p>
          <w:p w14:paraId="21F1622A" w14:textId="77777777" w:rsidR="00781B59" w:rsidRDefault="00781B59" w:rsidP="00A66EFC">
            <w:pPr>
              <w:pStyle w:val="NoSpacing"/>
              <w:ind w:firstLine="0"/>
              <w:rPr>
                <w:sz w:val="24"/>
                <w:szCs w:val="24"/>
              </w:rPr>
            </w:pPr>
          </w:p>
          <w:p w14:paraId="08955E97" w14:textId="08E510B4" w:rsidR="00A73634" w:rsidRDefault="00781B59" w:rsidP="00A66EFC">
            <w:pPr>
              <w:pStyle w:val="NoSpacing"/>
              <w:ind w:firstLine="0"/>
              <w:rPr>
                <w:sz w:val="24"/>
                <w:szCs w:val="24"/>
              </w:rPr>
            </w:pPr>
            <w:r>
              <w:rPr>
                <w:sz w:val="24"/>
                <w:szCs w:val="24"/>
              </w:rPr>
              <w:lastRenderedPageBreak/>
              <w:t xml:space="preserve">Izmaksu aprēķins katrai cenu pozīcijai iekļauts pielikumā, kas pievienots </w:t>
            </w:r>
            <w:r w:rsidR="00282403">
              <w:rPr>
                <w:sz w:val="24"/>
                <w:szCs w:val="24"/>
              </w:rPr>
              <w:t xml:space="preserve">CSDD cenrāža </w:t>
            </w:r>
            <w:r w:rsidRPr="00781B59">
              <w:rPr>
                <w:sz w:val="24"/>
                <w:szCs w:val="24"/>
              </w:rPr>
              <w:t>sākotnējās ietekmes novērtējuma ziņojum</w:t>
            </w:r>
            <w:r>
              <w:rPr>
                <w:sz w:val="24"/>
                <w:szCs w:val="24"/>
              </w:rPr>
              <w:t>am</w:t>
            </w:r>
            <w:r w:rsidRPr="00781B59">
              <w:rPr>
                <w:sz w:val="24"/>
                <w:szCs w:val="24"/>
              </w:rPr>
              <w:t xml:space="preserve"> (anotācija</w:t>
            </w:r>
            <w:r>
              <w:rPr>
                <w:sz w:val="24"/>
                <w:szCs w:val="24"/>
              </w:rPr>
              <w:t>i</w:t>
            </w:r>
            <w:r w:rsidRPr="00781B59">
              <w:rPr>
                <w:sz w:val="24"/>
                <w:szCs w:val="24"/>
              </w:rPr>
              <w:t>)</w:t>
            </w:r>
            <w:r>
              <w:rPr>
                <w:sz w:val="24"/>
                <w:szCs w:val="24"/>
              </w:rPr>
              <w:t>.</w:t>
            </w:r>
          </w:p>
          <w:p w14:paraId="5BF57DAE" w14:textId="56BE8DF3" w:rsidR="00A73634" w:rsidRDefault="00A73634" w:rsidP="00A66EFC">
            <w:pPr>
              <w:pStyle w:val="NoSpacing"/>
              <w:ind w:firstLine="0"/>
              <w:rPr>
                <w:sz w:val="24"/>
                <w:szCs w:val="24"/>
              </w:rPr>
            </w:pPr>
            <w:r w:rsidRPr="00A73634">
              <w:rPr>
                <w:sz w:val="24"/>
                <w:szCs w:val="24"/>
              </w:rPr>
              <w:t>Ar noteikumu projektu</w:t>
            </w:r>
            <w:r>
              <w:rPr>
                <w:sz w:val="24"/>
                <w:szCs w:val="24"/>
              </w:rPr>
              <w:t xml:space="preserve"> netiek ieviesti jauni pakalpojumi, bet gan </w:t>
            </w:r>
            <w:r w:rsidR="00282403">
              <w:rPr>
                <w:sz w:val="24"/>
                <w:szCs w:val="24"/>
              </w:rPr>
              <w:t xml:space="preserve">CSDD </w:t>
            </w:r>
            <w:r w:rsidRPr="00A73634">
              <w:rPr>
                <w:sz w:val="24"/>
                <w:szCs w:val="24"/>
              </w:rPr>
              <w:t>cenrād</w:t>
            </w:r>
            <w:r w:rsidR="00282403">
              <w:rPr>
                <w:sz w:val="24"/>
                <w:szCs w:val="24"/>
              </w:rPr>
              <w:t>ī</w:t>
            </w:r>
            <w:r>
              <w:rPr>
                <w:sz w:val="24"/>
                <w:szCs w:val="24"/>
              </w:rPr>
              <w:t xml:space="preserve"> noteiktas šādas maksas pakalpojumu pozīcijas:</w:t>
            </w:r>
            <w:r w:rsidR="00D0664D">
              <w:t xml:space="preserve"> </w:t>
            </w:r>
            <w:r w:rsidR="00D0664D" w:rsidRPr="00D0664D">
              <w:rPr>
                <w:sz w:val="24"/>
                <w:szCs w:val="24"/>
              </w:rPr>
              <w:t>“</w:t>
            </w:r>
            <w:r w:rsidR="00262242" w:rsidRPr="00262242">
              <w:rPr>
                <w:sz w:val="24"/>
                <w:szCs w:val="24"/>
              </w:rPr>
              <w:t>Pārbaude par transportlīdzekļa atbilstību vēsturiskā spēkrata statusam</w:t>
            </w:r>
            <w:r w:rsidR="00D0664D" w:rsidRPr="00D0664D">
              <w:rPr>
                <w:sz w:val="24"/>
                <w:szCs w:val="24"/>
              </w:rPr>
              <w:t>”, “</w:t>
            </w:r>
            <w:r w:rsidR="00D2663E" w:rsidRPr="00D2663E">
              <w:rPr>
                <w:sz w:val="24"/>
                <w:szCs w:val="24"/>
              </w:rPr>
              <w:t>Apliecinājuma par transportlīdzekļa atbilstību vēsturiskā spēkrata statusam noformēšana</w:t>
            </w:r>
            <w:r w:rsidR="00D2663E">
              <w:rPr>
                <w:sz w:val="24"/>
                <w:szCs w:val="24"/>
              </w:rPr>
              <w:t>”</w:t>
            </w:r>
            <w:r w:rsidR="00D0664D" w:rsidRPr="00D0664D">
              <w:rPr>
                <w:sz w:val="24"/>
                <w:szCs w:val="24"/>
              </w:rPr>
              <w:t>, “</w:t>
            </w:r>
            <w:r w:rsidR="00D2663E" w:rsidRPr="00D2663E">
              <w:rPr>
                <w:sz w:val="24"/>
                <w:szCs w:val="24"/>
              </w:rPr>
              <w:t>Apliecinājuma par transportlīdzekļa atbilstību vēsturiskā spēkrata statusam atkārtota noformēšana pēc termiņa beigām</w:t>
            </w:r>
            <w:r w:rsidR="00D0664D" w:rsidRPr="00D0664D">
              <w:rPr>
                <w:sz w:val="24"/>
                <w:szCs w:val="24"/>
              </w:rPr>
              <w:t>”</w:t>
            </w:r>
            <w:r w:rsidR="00D0664D">
              <w:rPr>
                <w:sz w:val="24"/>
                <w:szCs w:val="24"/>
              </w:rPr>
              <w:t>.</w:t>
            </w:r>
          </w:p>
          <w:p w14:paraId="26B45892" w14:textId="37C16430" w:rsidR="002F7654" w:rsidRPr="002F7654" w:rsidRDefault="00282403" w:rsidP="002F7654">
            <w:pPr>
              <w:pStyle w:val="NoSpacing"/>
              <w:ind w:firstLine="0"/>
              <w:rPr>
                <w:sz w:val="24"/>
                <w:szCs w:val="24"/>
              </w:rPr>
            </w:pPr>
            <w:r>
              <w:rPr>
                <w:sz w:val="24"/>
                <w:szCs w:val="24"/>
              </w:rPr>
              <w:t xml:space="preserve">CSDD cenrāža </w:t>
            </w:r>
            <w:r w:rsidR="00272A0B">
              <w:rPr>
                <w:sz w:val="24"/>
                <w:szCs w:val="24"/>
              </w:rPr>
              <w:t>2.pielikuma</w:t>
            </w:r>
            <w:r w:rsidR="00D8061D">
              <w:rPr>
                <w:sz w:val="24"/>
                <w:szCs w:val="24"/>
              </w:rPr>
              <w:t xml:space="preserve"> </w:t>
            </w:r>
            <w:r w:rsidR="00272A0B">
              <w:rPr>
                <w:sz w:val="24"/>
                <w:szCs w:val="24"/>
              </w:rPr>
              <w:t>1</w:t>
            </w:r>
            <w:r w:rsidR="002F7654" w:rsidRPr="002F7654">
              <w:rPr>
                <w:sz w:val="24"/>
                <w:szCs w:val="24"/>
              </w:rPr>
              <w:t>2</w:t>
            </w:r>
            <w:r w:rsidR="00CA29FB">
              <w:rPr>
                <w:sz w:val="24"/>
                <w:szCs w:val="24"/>
              </w:rPr>
              <w:t>5</w:t>
            </w:r>
            <w:r w:rsidR="002F7654" w:rsidRPr="002F7654">
              <w:rPr>
                <w:sz w:val="24"/>
                <w:szCs w:val="24"/>
              </w:rPr>
              <w:t>.</w:t>
            </w:r>
            <w:r w:rsidR="00400209">
              <w:rPr>
                <w:sz w:val="24"/>
                <w:szCs w:val="24"/>
              </w:rPr>
              <w:t xml:space="preserve"> un</w:t>
            </w:r>
            <w:r w:rsidR="002F7654" w:rsidRPr="002F7654">
              <w:rPr>
                <w:sz w:val="24"/>
                <w:szCs w:val="24"/>
              </w:rPr>
              <w:t xml:space="preserve"> 1</w:t>
            </w:r>
            <w:r w:rsidR="00CA29FB">
              <w:rPr>
                <w:sz w:val="24"/>
                <w:szCs w:val="24"/>
              </w:rPr>
              <w:t>2</w:t>
            </w:r>
            <w:r w:rsidR="00400209">
              <w:rPr>
                <w:sz w:val="24"/>
                <w:szCs w:val="24"/>
              </w:rPr>
              <w:t>6</w:t>
            </w:r>
            <w:r w:rsidR="002F7654" w:rsidRPr="002F7654">
              <w:rPr>
                <w:sz w:val="24"/>
                <w:szCs w:val="24"/>
              </w:rPr>
              <w:t>. punktā noteiktie pakalpojumi tieši izriet no Vēsturisko spēkratu noteikum</w:t>
            </w:r>
            <w:r>
              <w:rPr>
                <w:sz w:val="24"/>
                <w:szCs w:val="24"/>
              </w:rPr>
              <w:t>os</w:t>
            </w:r>
            <w:r w:rsidR="002F7654" w:rsidRPr="002F7654">
              <w:rPr>
                <w:sz w:val="24"/>
                <w:szCs w:val="24"/>
              </w:rPr>
              <w:t xml:space="preserve"> noteiktās pārbaudes vēsturiskā</w:t>
            </w:r>
            <w:r w:rsidR="002F7654">
              <w:rPr>
                <w:sz w:val="24"/>
                <w:szCs w:val="24"/>
              </w:rPr>
              <w:t xml:space="preserve"> spēkrata statusa piešķiršanai.</w:t>
            </w:r>
            <w:r w:rsidR="002F7654" w:rsidRPr="002F7654">
              <w:rPr>
                <w:sz w:val="24"/>
                <w:szCs w:val="24"/>
              </w:rPr>
              <w:t xml:space="preserve"> </w:t>
            </w:r>
          </w:p>
          <w:p w14:paraId="6FB68F22" w14:textId="29DC9D10" w:rsidR="002F7654" w:rsidRPr="002F7654" w:rsidRDefault="002F7654" w:rsidP="002F7654">
            <w:pPr>
              <w:pStyle w:val="NoSpacing"/>
              <w:ind w:firstLine="0"/>
              <w:rPr>
                <w:sz w:val="24"/>
                <w:szCs w:val="24"/>
              </w:rPr>
            </w:pPr>
            <w:r w:rsidRPr="002F7654">
              <w:rPr>
                <w:sz w:val="24"/>
                <w:szCs w:val="24"/>
              </w:rPr>
              <w:t>Vē</w:t>
            </w:r>
            <w:r>
              <w:rPr>
                <w:sz w:val="24"/>
                <w:szCs w:val="24"/>
              </w:rPr>
              <w:t>sturisko spēkratu noteikum</w:t>
            </w:r>
            <w:r w:rsidR="00282403">
              <w:rPr>
                <w:sz w:val="24"/>
                <w:szCs w:val="24"/>
              </w:rPr>
              <w:t xml:space="preserve">u </w:t>
            </w:r>
            <w:r>
              <w:rPr>
                <w:sz w:val="24"/>
                <w:szCs w:val="24"/>
              </w:rPr>
              <w:t>8.</w:t>
            </w:r>
            <w:r w:rsidRPr="002F7654">
              <w:rPr>
                <w:sz w:val="24"/>
                <w:szCs w:val="24"/>
              </w:rPr>
              <w:t>punktā minētā pārbaude ietver transportlīdzekļa ekspertīzes veikšanu atbilstība</w:t>
            </w:r>
            <w:r>
              <w:rPr>
                <w:sz w:val="24"/>
                <w:szCs w:val="24"/>
              </w:rPr>
              <w:t>s noteikšanai</w:t>
            </w:r>
            <w:r w:rsidRPr="002F7654">
              <w:rPr>
                <w:sz w:val="24"/>
                <w:szCs w:val="24"/>
              </w:rPr>
              <w:t xml:space="preserve"> noteikumu II nodaļā noteiktajām prasībām un attiecīgo dokumentu noformēšanu. Ja transportlīdzeklis atbilst prasībām, tiek noformēts vēsturiskā spēkrata statuss – izdots dokuments “Apliecinājums par vēsturiskā spēkrata statusa piešķiršanu”, kuram pielikumā pievienots </w:t>
            </w:r>
            <w:r>
              <w:rPr>
                <w:sz w:val="24"/>
                <w:szCs w:val="24"/>
              </w:rPr>
              <w:t xml:space="preserve">veiktās </w:t>
            </w:r>
            <w:r w:rsidRPr="002F7654">
              <w:rPr>
                <w:sz w:val="24"/>
                <w:szCs w:val="24"/>
              </w:rPr>
              <w:t xml:space="preserve">pārbaudes vēsturiskā spēkrata statusa piešķiršanai protokols. Šī apliecinājuma sagatavošana saistīta ar administratīvajiem un tehniskajiem resursiem, kuri atspoguļoti </w:t>
            </w:r>
            <w:r w:rsidR="00282403">
              <w:rPr>
                <w:sz w:val="24"/>
                <w:szCs w:val="24"/>
              </w:rPr>
              <w:t xml:space="preserve">CSDD cenrāža </w:t>
            </w:r>
            <w:r w:rsidR="00272A0B">
              <w:rPr>
                <w:sz w:val="24"/>
                <w:szCs w:val="24"/>
              </w:rPr>
              <w:t xml:space="preserve">2.pielikuma </w:t>
            </w:r>
            <w:r w:rsidRPr="002F7654">
              <w:rPr>
                <w:sz w:val="24"/>
                <w:szCs w:val="24"/>
              </w:rPr>
              <w:t>12</w:t>
            </w:r>
            <w:r w:rsidR="00CA29FB">
              <w:rPr>
                <w:sz w:val="24"/>
                <w:szCs w:val="24"/>
              </w:rPr>
              <w:t>5.</w:t>
            </w:r>
            <w:r w:rsidRPr="002F7654">
              <w:rPr>
                <w:sz w:val="24"/>
                <w:szCs w:val="24"/>
              </w:rPr>
              <w:t xml:space="preserve">punktā. Atteikuma gadījumā </w:t>
            </w:r>
            <w:r w:rsidR="00F144EB">
              <w:rPr>
                <w:sz w:val="24"/>
                <w:szCs w:val="24"/>
              </w:rPr>
              <w:t>(</w:t>
            </w:r>
            <w:r w:rsidRPr="002F7654">
              <w:rPr>
                <w:sz w:val="24"/>
                <w:szCs w:val="24"/>
              </w:rPr>
              <w:t>Vēsturisko spēkratu noteikum</w:t>
            </w:r>
            <w:r w:rsidR="00282403">
              <w:rPr>
                <w:sz w:val="24"/>
                <w:szCs w:val="24"/>
              </w:rPr>
              <w:t>u</w:t>
            </w:r>
            <w:r w:rsidRPr="002F7654">
              <w:rPr>
                <w:sz w:val="24"/>
                <w:szCs w:val="24"/>
              </w:rPr>
              <w:t xml:space="preserve"> 14.punkts) samaksa par vēsturiskā spēkrata statusa noformēšanu netiek piemērota</w:t>
            </w:r>
            <w:r w:rsidR="00D2663E">
              <w:rPr>
                <w:sz w:val="24"/>
                <w:szCs w:val="24"/>
              </w:rPr>
              <w:t>, jo apliecinājums netiek noformēts</w:t>
            </w:r>
            <w:r w:rsidRPr="002F7654">
              <w:rPr>
                <w:sz w:val="24"/>
                <w:szCs w:val="24"/>
              </w:rPr>
              <w:t xml:space="preserve">. </w:t>
            </w:r>
          </w:p>
          <w:p w14:paraId="65FBAE7F" w14:textId="49ECCC40" w:rsidR="00D0664D" w:rsidRDefault="002F7654" w:rsidP="002F7654">
            <w:pPr>
              <w:pStyle w:val="NoSpacing"/>
              <w:ind w:firstLine="0"/>
              <w:rPr>
                <w:sz w:val="24"/>
                <w:szCs w:val="24"/>
              </w:rPr>
            </w:pPr>
            <w:r w:rsidRPr="002F7654">
              <w:rPr>
                <w:sz w:val="24"/>
                <w:szCs w:val="24"/>
              </w:rPr>
              <w:t xml:space="preserve">Savukārt attiecībā uz </w:t>
            </w:r>
            <w:r w:rsidR="00282403">
              <w:rPr>
                <w:sz w:val="24"/>
                <w:szCs w:val="24"/>
              </w:rPr>
              <w:t xml:space="preserve">CSDD </w:t>
            </w:r>
            <w:r w:rsidR="00272A0B" w:rsidRPr="00BF4847">
              <w:rPr>
                <w:sz w:val="24"/>
                <w:szCs w:val="24"/>
              </w:rPr>
              <w:t>cenrā</w:t>
            </w:r>
            <w:r w:rsidR="00282403">
              <w:rPr>
                <w:sz w:val="24"/>
                <w:szCs w:val="24"/>
              </w:rPr>
              <w:t>ža</w:t>
            </w:r>
            <w:r w:rsidR="00272A0B">
              <w:rPr>
                <w:sz w:val="24"/>
                <w:szCs w:val="24"/>
              </w:rPr>
              <w:t xml:space="preserve"> 2.pielikuma </w:t>
            </w:r>
            <w:r w:rsidR="00CA29FB">
              <w:rPr>
                <w:sz w:val="24"/>
                <w:szCs w:val="24"/>
              </w:rPr>
              <w:t>126.</w:t>
            </w:r>
            <w:r w:rsidRPr="002F7654">
              <w:rPr>
                <w:sz w:val="24"/>
                <w:szCs w:val="24"/>
              </w:rPr>
              <w:t>punktu, pēc termiņa beigām (5 gadiem) tiek veikta Vēsturisko spēkratu noteikum</w:t>
            </w:r>
            <w:r w:rsidR="00282403">
              <w:rPr>
                <w:sz w:val="24"/>
                <w:szCs w:val="24"/>
              </w:rPr>
              <w:t>u</w:t>
            </w:r>
            <w:r w:rsidRPr="002F7654">
              <w:rPr>
                <w:sz w:val="24"/>
                <w:szCs w:val="24"/>
              </w:rPr>
              <w:t xml:space="preserve"> 8.punktā minētās pārbaudes </w:t>
            </w:r>
            <w:r w:rsidR="00D2663E">
              <w:rPr>
                <w:sz w:val="24"/>
                <w:szCs w:val="24"/>
              </w:rPr>
              <w:t>atkārtota</w:t>
            </w:r>
            <w:r w:rsidR="00F144EB">
              <w:rPr>
                <w:sz w:val="24"/>
                <w:szCs w:val="24"/>
              </w:rPr>
              <w:t xml:space="preserve"> </w:t>
            </w:r>
            <w:r w:rsidRPr="002F7654">
              <w:rPr>
                <w:sz w:val="24"/>
                <w:szCs w:val="24"/>
              </w:rPr>
              <w:t xml:space="preserve">procedūra, un tiek </w:t>
            </w:r>
            <w:r w:rsidR="00F144EB">
              <w:rPr>
                <w:sz w:val="24"/>
                <w:szCs w:val="24"/>
              </w:rPr>
              <w:t xml:space="preserve">veiktas </w:t>
            </w:r>
            <w:r w:rsidRPr="002F7654">
              <w:rPr>
                <w:sz w:val="24"/>
                <w:szCs w:val="24"/>
              </w:rPr>
              <w:t>izmaiņas, kas saistītas no vēsturiskā spēkrata termiņ</w:t>
            </w:r>
            <w:r w:rsidR="00282403">
              <w:rPr>
                <w:sz w:val="24"/>
                <w:szCs w:val="24"/>
              </w:rPr>
              <w:t>a</w:t>
            </w:r>
            <w:r w:rsidRPr="002F7654">
              <w:rPr>
                <w:sz w:val="24"/>
                <w:szCs w:val="24"/>
              </w:rPr>
              <w:t xml:space="preserve"> pagarinājumu</w:t>
            </w:r>
            <w:r>
              <w:rPr>
                <w:sz w:val="24"/>
                <w:szCs w:val="24"/>
              </w:rPr>
              <w:t xml:space="preserve"> un izmaiņ</w:t>
            </w:r>
            <w:r w:rsidR="00282403">
              <w:rPr>
                <w:sz w:val="24"/>
                <w:szCs w:val="24"/>
              </w:rPr>
              <w:t>ām</w:t>
            </w:r>
            <w:r>
              <w:rPr>
                <w:sz w:val="24"/>
                <w:szCs w:val="24"/>
              </w:rPr>
              <w:t xml:space="preserve"> transportlīdzekļa tehniskajā stāvoklī, ja tādas ir</w:t>
            </w:r>
            <w:r w:rsidR="00D2663E">
              <w:rPr>
                <w:sz w:val="24"/>
                <w:szCs w:val="24"/>
              </w:rPr>
              <w:t>, kā arī apliecinājuma</w:t>
            </w:r>
            <w:r w:rsidR="00D2663E" w:rsidRPr="00D2663E">
              <w:t xml:space="preserve"> </w:t>
            </w:r>
            <w:r w:rsidR="00D2663E" w:rsidRPr="00D2663E">
              <w:rPr>
                <w:sz w:val="24"/>
                <w:szCs w:val="24"/>
              </w:rPr>
              <w:t>par transportlīdzekļa atbilstību vēsturiskā spēkrata statusam atkārtota noformēšana pēc termiņa beigām</w:t>
            </w:r>
            <w:r w:rsidR="00D2663E" w:rsidRPr="002F7654">
              <w:rPr>
                <w:sz w:val="24"/>
                <w:szCs w:val="24"/>
              </w:rPr>
              <w:t>.</w:t>
            </w:r>
            <w:r w:rsidR="00D2663E">
              <w:rPr>
                <w:sz w:val="24"/>
                <w:szCs w:val="24"/>
              </w:rPr>
              <w:t xml:space="preserve"> Maksa par a</w:t>
            </w:r>
            <w:r w:rsidR="00D2663E" w:rsidRPr="00D2663E">
              <w:rPr>
                <w:sz w:val="24"/>
                <w:szCs w:val="24"/>
              </w:rPr>
              <w:t>pliecinājuma par transportlīdzekļa atbilstību vēsturiskā spēkrata statusam atkārtota noformēšana pēc termiņa beigām</w:t>
            </w:r>
            <w:r w:rsidR="00D2663E">
              <w:rPr>
                <w:sz w:val="24"/>
                <w:szCs w:val="24"/>
              </w:rPr>
              <w:t xml:space="preserve"> ietverta noteikumu projekta </w:t>
            </w:r>
            <w:r w:rsidR="00272A0B">
              <w:rPr>
                <w:sz w:val="24"/>
                <w:szCs w:val="24"/>
              </w:rPr>
              <w:t>5</w:t>
            </w:r>
            <w:r w:rsidR="00D2663E">
              <w:rPr>
                <w:sz w:val="24"/>
                <w:szCs w:val="24"/>
              </w:rPr>
              <w:t>.punktā</w:t>
            </w:r>
            <w:r w:rsidRPr="002F7654">
              <w:rPr>
                <w:sz w:val="24"/>
                <w:szCs w:val="24"/>
              </w:rPr>
              <w:t>.</w:t>
            </w:r>
            <w:r w:rsidR="00D2663E">
              <w:rPr>
                <w:sz w:val="24"/>
                <w:szCs w:val="24"/>
              </w:rPr>
              <w:t xml:space="preserve">  </w:t>
            </w:r>
          </w:p>
          <w:p w14:paraId="04ADDCDB" w14:textId="1B5C80E1" w:rsidR="004321E7" w:rsidRDefault="00282403" w:rsidP="002F7654">
            <w:pPr>
              <w:pStyle w:val="NoSpacing"/>
              <w:ind w:firstLine="0"/>
              <w:rPr>
                <w:sz w:val="24"/>
                <w:szCs w:val="24"/>
              </w:rPr>
            </w:pPr>
            <w:r>
              <w:rPr>
                <w:sz w:val="24"/>
                <w:szCs w:val="24"/>
              </w:rPr>
              <w:t xml:space="preserve">CSDD </w:t>
            </w:r>
            <w:r w:rsidR="00013B8C" w:rsidRPr="00013B8C">
              <w:rPr>
                <w:sz w:val="24"/>
                <w:szCs w:val="24"/>
              </w:rPr>
              <w:t>cenrād</w:t>
            </w:r>
            <w:r>
              <w:rPr>
                <w:sz w:val="24"/>
                <w:szCs w:val="24"/>
              </w:rPr>
              <w:t>ī</w:t>
            </w:r>
            <w:r w:rsidR="00013B8C">
              <w:rPr>
                <w:sz w:val="24"/>
                <w:szCs w:val="24"/>
              </w:rPr>
              <w:t xml:space="preserve"> pēc grozījumu veikšanas ietvers likvidētās</w:t>
            </w:r>
            <w:r w:rsidR="00013B8C">
              <w:t xml:space="preserve"> </w:t>
            </w:r>
            <w:r w:rsidR="00013B8C" w:rsidRPr="00013B8C">
              <w:rPr>
                <w:sz w:val="24"/>
                <w:szCs w:val="24"/>
              </w:rPr>
              <w:t>valsts aģentūras “Rīgas Motormuzejs” sniegt</w:t>
            </w:r>
            <w:r w:rsidR="00013B8C">
              <w:rPr>
                <w:sz w:val="24"/>
                <w:szCs w:val="24"/>
              </w:rPr>
              <w:t>os</w:t>
            </w:r>
            <w:r w:rsidR="00013B8C" w:rsidRPr="00013B8C">
              <w:rPr>
                <w:sz w:val="24"/>
                <w:szCs w:val="24"/>
              </w:rPr>
              <w:t xml:space="preserve"> pakalpojum</w:t>
            </w:r>
            <w:r w:rsidR="00013B8C">
              <w:rPr>
                <w:sz w:val="24"/>
                <w:szCs w:val="24"/>
              </w:rPr>
              <w:t>us</w:t>
            </w:r>
            <w:r w:rsidR="00013B8C" w:rsidRPr="00013B8C">
              <w:rPr>
                <w:sz w:val="24"/>
                <w:szCs w:val="24"/>
              </w:rPr>
              <w:t>, proti, seno spēkratu ekspertīz</w:t>
            </w:r>
            <w:r w:rsidR="00013B8C">
              <w:rPr>
                <w:sz w:val="24"/>
                <w:szCs w:val="24"/>
              </w:rPr>
              <w:t>i (“</w:t>
            </w:r>
            <w:r w:rsidR="00013B8C" w:rsidRPr="00013B8C">
              <w:rPr>
                <w:sz w:val="24"/>
                <w:szCs w:val="24"/>
              </w:rPr>
              <w:t>Pārbaude par transportlīdzekļa atbilstību vēsturiskā spēkrata statusam”</w:t>
            </w:r>
            <w:r w:rsidR="00013B8C">
              <w:rPr>
                <w:sz w:val="24"/>
                <w:szCs w:val="24"/>
              </w:rPr>
              <w:t>) un</w:t>
            </w:r>
            <w:r w:rsidR="00013B8C" w:rsidRPr="00013B8C">
              <w:rPr>
                <w:sz w:val="24"/>
                <w:szCs w:val="24"/>
              </w:rPr>
              <w:t xml:space="preserve"> vēsturiskā spēkrata statusa noformēšan</w:t>
            </w:r>
            <w:r w:rsidR="00013B8C">
              <w:rPr>
                <w:sz w:val="24"/>
                <w:szCs w:val="24"/>
              </w:rPr>
              <w:t>u (</w:t>
            </w:r>
            <w:r w:rsidR="00013B8C" w:rsidRPr="00013B8C">
              <w:rPr>
                <w:sz w:val="24"/>
                <w:szCs w:val="24"/>
              </w:rPr>
              <w:t>“Apliecinājuma par transportlīdzekļa atbilstību vēsturiskā spēkrata statusam noformēšana”, “Apliecinājuma par transportlīdzekļa atbilstību vēsturiskā spēkrata statusam atkārtota noformēšana pēc termiņa beigām</w:t>
            </w:r>
            <w:r w:rsidR="00013B8C">
              <w:rPr>
                <w:sz w:val="24"/>
                <w:szCs w:val="24"/>
              </w:rPr>
              <w:t>”)</w:t>
            </w:r>
            <w:r>
              <w:rPr>
                <w:sz w:val="24"/>
                <w:szCs w:val="24"/>
              </w:rPr>
              <w:t xml:space="preserve">. </w:t>
            </w:r>
            <w:r w:rsidR="00013B8C" w:rsidRPr="00013B8C">
              <w:rPr>
                <w:sz w:val="24"/>
                <w:szCs w:val="24"/>
              </w:rPr>
              <w:t xml:space="preserve">Saskaņā ar Ministru kabineta </w:t>
            </w:r>
            <w:r w:rsidR="00013B8C">
              <w:rPr>
                <w:sz w:val="24"/>
                <w:szCs w:val="24"/>
              </w:rPr>
              <w:t>30.06.</w:t>
            </w:r>
            <w:r w:rsidR="00013B8C" w:rsidRPr="00013B8C">
              <w:rPr>
                <w:sz w:val="24"/>
                <w:szCs w:val="24"/>
              </w:rPr>
              <w:t xml:space="preserve">2009. rīkojumu Nr.418 “Par valsts aģentūras “Rīgas </w:t>
            </w:r>
            <w:r w:rsidR="00570232">
              <w:rPr>
                <w:sz w:val="24"/>
                <w:szCs w:val="24"/>
              </w:rPr>
              <w:t>M</w:t>
            </w:r>
            <w:bookmarkStart w:id="0" w:name="_GoBack"/>
            <w:bookmarkEnd w:id="0"/>
            <w:r w:rsidR="00013B8C" w:rsidRPr="00013B8C">
              <w:rPr>
                <w:sz w:val="24"/>
                <w:szCs w:val="24"/>
              </w:rPr>
              <w:t xml:space="preserve">otormuzejs” likvidāciju” valsts aģentūra “Rīgas </w:t>
            </w:r>
            <w:r w:rsidR="00570232">
              <w:rPr>
                <w:sz w:val="24"/>
                <w:szCs w:val="24"/>
              </w:rPr>
              <w:t>M</w:t>
            </w:r>
            <w:r w:rsidR="00013B8C" w:rsidRPr="00013B8C">
              <w:rPr>
                <w:sz w:val="24"/>
                <w:szCs w:val="24"/>
              </w:rPr>
              <w:t xml:space="preserve">otormuzejs” ir likvidēta un tās tiesību, saistību, uzdevumu, mantas, finanšu līdzekļu un arhīva dokumentu pārņēmēja ir </w:t>
            </w:r>
            <w:r w:rsidR="00013B8C">
              <w:rPr>
                <w:sz w:val="24"/>
                <w:szCs w:val="24"/>
              </w:rPr>
              <w:t>CSDD</w:t>
            </w:r>
            <w:r w:rsidR="00013B8C" w:rsidRPr="00013B8C">
              <w:rPr>
                <w:sz w:val="24"/>
                <w:szCs w:val="24"/>
              </w:rPr>
              <w:t xml:space="preserve">. Attiecīgi Rīgas </w:t>
            </w:r>
            <w:r w:rsidR="00570232">
              <w:rPr>
                <w:sz w:val="24"/>
                <w:szCs w:val="24"/>
              </w:rPr>
              <w:t>M</w:t>
            </w:r>
            <w:r w:rsidR="00013B8C" w:rsidRPr="00013B8C">
              <w:rPr>
                <w:sz w:val="24"/>
                <w:szCs w:val="24"/>
              </w:rPr>
              <w:t>otormuzeja</w:t>
            </w:r>
            <w:r w:rsidR="00013B8C">
              <w:rPr>
                <w:sz w:val="24"/>
                <w:szCs w:val="24"/>
              </w:rPr>
              <w:t xml:space="preserve"> kā CSDD struktūrvienības</w:t>
            </w:r>
            <w:r w:rsidR="00013B8C" w:rsidRPr="00013B8C">
              <w:rPr>
                <w:sz w:val="24"/>
                <w:szCs w:val="24"/>
              </w:rPr>
              <w:t xml:space="preserve"> sniegto publisko pakalpojumu cenas jānosaka</w:t>
            </w:r>
            <w:r w:rsidR="004321E7">
              <w:rPr>
                <w:sz w:val="24"/>
                <w:szCs w:val="24"/>
              </w:rPr>
              <w:t xml:space="preserve"> CSDD cenrādī. </w:t>
            </w:r>
            <w:r w:rsidR="00013B8C" w:rsidRPr="00013B8C">
              <w:rPr>
                <w:sz w:val="24"/>
                <w:szCs w:val="24"/>
              </w:rPr>
              <w:t xml:space="preserve"> Kopā ar grozījumi</w:t>
            </w:r>
            <w:r w:rsidR="00013B8C">
              <w:rPr>
                <w:sz w:val="24"/>
                <w:szCs w:val="24"/>
              </w:rPr>
              <w:t>em</w:t>
            </w:r>
            <w:r w:rsidR="00013B8C" w:rsidRPr="00013B8C">
              <w:rPr>
                <w:sz w:val="24"/>
                <w:szCs w:val="24"/>
              </w:rPr>
              <w:t xml:space="preserve"> </w:t>
            </w:r>
            <w:r w:rsidR="004321E7">
              <w:rPr>
                <w:sz w:val="24"/>
                <w:szCs w:val="24"/>
              </w:rPr>
              <w:t xml:space="preserve">CSDD cenrādī </w:t>
            </w:r>
            <w:r w:rsidR="00013B8C" w:rsidRPr="00013B8C">
              <w:rPr>
                <w:sz w:val="24"/>
                <w:szCs w:val="24"/>
              </w:rPr>
              <w:t>tiek virzīt</w:t>
            </w:r>
            <w:r w:rsidR="00013B8C">
              <w:rPr>
                <w:sz w:val="24"/>
                <w:szCs w:val="24"/>
              </w:rPr>
              <w:t>s</w:t>
            </w:r>
            <w:r w:rsidR="00013B8C" w:rsidRPr="00013B8C">
              <w:rPr>
                <w:sz w:val="24"/>
                <w:szCs w:val="24"/>
              </w:rPr>
              <w:t xml:space="preserve"> </w:t>
            </w:r>
            <w:r w:rsidR="00013B8C" w:rsidRPr="00013B8C">
              <w:rPr>
                <w:sz w:val="24"/>
                <w:szCs w:val="24"/>
              </w:rPr>
              <w:lastRenderedPageBreak/>
              <w:t>Ministru kabineta noteikumu projekt</w:t>
            </w:r>
            <w:r w:rsidR="00013B8C">
              <w:rPr>
                <w:sz w:val="24"/>
                <w:szCs w:val="24"/>
              </w:rPr>
              <w:t>s</w:t>
            </w:r>
            <w:r w:rsidR="00013B8C" w:rsidRPr="00013B8C">
              <w:rPr>
                <w:sz w:val="24"/>
                <w:szCs w:val="24"/>
              </w:rPr>
              <w:t xml:space="preserve"> “Par Ministru kabineta 2008.gada 17.jūnija noteikumu Nr.438 “Noteikumi par valsts aģentūras “Rīgas Motormuzejs” sniegto publisko maksas pakalpojumu cenrādi” </w:t>
            </w:r>
            <w:r w:rsidR="00013B8C">
              <w:rPr>
                <w:sz w:val="24"/>
                <w:szCs w:val="24"/>
              </w:rPr>
              <w:t>atzīšanu par spēku zaudējušiem”.</w:t>
            </w:r>
            <w:r w:rsidR="00013B8C" w:rsidRPr="00013B8C">
              <w:rPr>
                <w:sz w:val="24"/>
                <w:szCs w:val="24"/>
              </w:rPr>
              <w:t xml:space="preserve"> </w:t>
            </w:r>
          </w:p>
          <w:p w14:paraId="338C6F38" w14:textId="2ED13513" w:rsidR="00A73634" w:rsidRPr="00934564" w:rsidRDefault="00D0664D" w:rsidP="006870B1">
            <w:pPr>
              <w:spacing w:line="240" w:lineRule="auto"/>
              <w:ind w:firstLine="0"/>
              <w:rPr>
                <w:sz w:val="24"/>
                <w:szCs w:val="24"/>
                <w:lang w:eastAsia="lv-LV"/>
              </w:rPr>
            </w:pPr>
            <w:r w:rsidRPr="00D0664D">
              <w:rPr>
                <w:sz w:val="24"/>
                <w:szCs w:val="24"/>
              </w:rPr>
              <w:t>Ņemot vērā pakalpojumu specifiku un nepieciešamību transportlīdzekli pārbaudīt (novērtēt) klātienē noteikumu projektā paredzēto pakalpojumu sniegšana norisināsies, izmantojot klātienes kanālus. Noteikumu projektā paredzēto pakalpojumu sniegšana elektroniski nav iespējama.</w:t>
            </w:r>
            <w:r w:rsidR="00B96484">
              <w:rPr>
                <w:sz w:val="24"/>
                <w:szCs w:val="24"/>
              </w:rPr>
              <w:br/>
            </w:r>
            <w:r w:rsidR="00B96484" w:rsidRPr="006870B1">
              <w:rPr>
                <w:color w:val="000000"/>
                <w:sz w:val="24"/>
                <w:szCs w:val="24"/>
              </w:rPr>
              <w:t xml:space="preserve">No 2019. gada 1. janvāra spēkā stājās grozījumi Ministru kabineta 2010. gada 30. novembra noteikumos Nr.1080 “Transportlīdzekļu reģistrācijas noteikumi” un Ministru kabineta 2008. gada 28. marta noteikumos Nr.213 “Ceļu satiksmes drošības direkcijā reģistrējamo kuģošanas līdzekļu reģistrācijas kārtība”.  Abos noteikumos noteikts pakalpojums “pilnvarojuma atzīmes noformēšana (distances reģistrācijas uzsākšana)”. </w:t>
            </w:r>
            <w:r w:rsidR="00B96484" w:rsidRPr="006870B1">
              <w:rPr>
                <w:sz w:val="24"/>
                <w:szCs w:val="24"/>
              </w:rPr>
              <w:t>Līdz ar to, ir veicamas redakcionālas i</w:t>
            </w:r>
            <w:r w:rsidR="00B96484" w:rsidRPr="006870B1">
              <w:rPr>
                <w:color w:val="000000"/>
                <w:sz w:val="24"/>
                <w:szCs w:val="24"/>
              </w:rPr>
              <w:t>zmaiņas, lai nodrošinātu maksājuma nosaukuma atbilstību sniegtajam pakalpojumam</w:t>
            </w:r>
            <w:r w:rsidR="00B96484" w:rsidRPr="006870B1">
              <w:rPr>
                <w:sz w:val="24"/>
                <w:szCs w:val="24"/>
              </w:rPr>
              <w:t>, nemainot pakalpojuma izcenojumu</w:t>
            </w:r>
            <w:r w:rsidR="00B96484" w:rsidRPr="006870B1">
              <w:rPr>
                <w:color w:val="000000"/>
                <w:sz w:val="24"/>
                <w:szCs w:val="24"/>
              </w:rPr>
              <w:t>.</w:t>
            </w:r>
          </w:p>
        </w:tc>
      </w:tr>
      <w:tr w:rsidR="00532F34" w:rsidRPr="0027189F" w14:paraId="1E0E9606" w14:textId="77777777" w:rsidTr="006B545A">
        <w:trPr>
          <w:trHeight w:val="507"/>
        </w:trPr>
        <w:tc>
          <w:tcPr>
            <w:tcW w:w="456" w:type="dxa"/>
            <w:shd w:val="clear" w:color="auto" w:fill="auto"/>
          </w:tcPr>
          <w:p w14:paraId="0FCE39EA"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lastRenderedPageBreak/>
              <w:t> 3.</w:t>
            </w:r>
          </w:p>
        </w:tc>
        <w:tc>
          <w:tcPr>
            <w:tcW w:w="1841" w:type="dxa"/>
            <w:shd w:val="clear" w:color="auto" w:fill="auto"/>
          </w:tcPr>
          <w:p w14:paraId="75908971" w14:textId="1C3530B0"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Projekta izstrādē iesaistītās institūcijas</w:t>
            </w:r>
            <w:r w:rsidR="008A6B3D">
              <w:rPr>
                <w:rFonts w:eastAsia="Times New Roman"/>
                <w:sz w:val="24"/>
                <w:szCs w:val="24"/>
                <w:lang w:eastAsia="lv-LV"/>
              </w:rPr>
              <w:t xml:space="preserve"> un publiskas personas kapitālsabiedrības</w:t>
            </w:r>
          </w:p>
        </w:tc>
        <w:tc>
          <w:tcPr>
            <w:tcW w:w="6662" w:type="dxa"/>
            <w:shd w:val="clear" w:color="auto" w:fill="auto"/>
          </w:tcPr>
          <w:p w14:paraId="44F5A02C" w14:textId="6C75712A" w:rsidR="00532F34" w:rsidRPr="00AD4676" w:rsidRDefault="008A6B3D"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 xml:space="preserve">Satiksmes ministrija, </w:t>
            </w:r>
            <w:r w:rsidR="00BF2998">
              <w:rPr>
                <w:rFonts w:eastAsia="Times New Roman"/>
                <w:sz w:val="24"/>
                <w:szCs w:val="24"/>
                <w:lang w:eastAsia="lv-LV"/>
              </w:rPr>
              <w:t>VAS “Ceļu satiksmes drošības direkcija”.</w:t>
            </w:r>
          </w:p>
        </w:tc>
      </w:tr>
      <w:tr w:rsidR="00532F34" w:rsidRPr="0027189F" w14:paraId="65F45D9F" w14:textId="77777777" w:rsidTr="006B545A">
        <w:tc>
          <w:tcPr>
            <w:tcW w:w="456" w:type="dxa"/>
            <w:shd w:val="clear" w:color="auto" w:fill="auto"/>
          </w:tcPr>
          <w:p w14:paraId="309E1615"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4.</w:t>
            </w:r>
          </w:p>
        </w:tc>
        <w:tc>
          <w:tcPr>
            <w:tcW w:w="1841" w:type="dxa"/>
            <w:shd w:val="clear" w:color="auto" w:fill="auto"/>
          </w:tcPr>
          <w:p w14:paraId="3BC1FC6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Cita informācija</w:t>
            </w:r>
          </w:p>
        </w:tc>
        <w:tc>
          <w:tcPr>
            <w:tcW w:w="6662" w:type="dxa"/>
            <w:shd w:val="clear" w:color="auto" w:fill="auto"/>
          </w:tcPr>
          <w:p w14:paraId="1BFD7814" w14:textId="77777777" w:rsidR="00532F34" w:rsidRPr="00AD4676" w:rsidRDefault="002A7E09" w:rsidP="00E37BE8">
            <w:pPr>
              <w:spacing w:after="120" w:line="240" w:lineRule="auto"/>
              <w:ind w:firstLine="0"/>
              <w:rPr>
                <w:rFonts w:eastAsia="Times New Roman"/>
                <w:sz w:val="24"/>
                <w:szCs w:val="24"/>
                <w:lang w:eastAsia="lv-LV"/>
              </w:rPr>
            </w:pPr>
            <w:r>
              <w:rPr>
                <w:rFonts w:eastAsia="Times New Roman"/>
                <w:sz w:val="24"/>
                <w:szCs w:val="24"/>
                <w:lang w:eastAsia="lv-LV"/>
              </w:rPr>
              <w:t>Nav.</w:t>
            </w:r>
          </w:p>
        </w:tc>
      </w:tr>
    </w:tbl>
    <w:p w14:paraId="6AB88C1A" w14:textId="77777777" w:rsidR="00532F34" w:rsidRDefault="00532F34" w:rsidP="00E37BE8">
      <w:pPr>
        <w:spacing w:after="1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04"/>
        <w:gridCol w:w="5077"/>
      </w:tblGrid>
      <w:tr w:rsidR="00532F34" w:rsidRPr="00094458" w14:paraId="70101468" w14:textId="77777777" w:rsidTr="00996F00">
        <w:tc>
          <w:tcPr>
            <w:tcW w:w="8959" w:type="dxa"/>
            <w:gridSpan w:val="3"/>
            <w:shd w:val="clear" w:color="auto" w:fill="auto"/>
          </w:tcPr>
          <w:p w14:paraId="44E3BE80" w14:textId="77777777" w:rsidR="00532F34" w:rsidRPr="00AD4676" w:rsidRDefault="00532F34" w:rsidP="00E37BE8">
            <w:pPr>
              <w:spacing w:before="100" w:beforeAutospacing="1" w:after="120" w:line="240" w:lineRule="auto"/>
              <w:ind w:firstLine="0"/>
              <w:rPr>
                <w:rFonts w:eastAsia="Times New Roman"/>
                <w:b/>
                <w:sz w:val="24"/>
                <w:szCs w:val="24"/>
                <w:lang w:eastAsia="lv-LV"/>
              </w:rPr>
            </w:pPr>
            <w:r w:rsidRPr="00AD4676">
              <w:rPr>
                <w:rFonts w:eastAsia="Times New Roman"/>
                <w:sz w:val="24"/>
                <w:szCs w:val="24"/>
                <w:lang w:eastAsia="lv-LV"/>
              </w:rPr>
              <w:t> </w:t>
            </w:r>
            <w:r w:rsidRPr="00AD4676">
              <w:rPr>
                <w:rFonts w:eastAsia="Times New Roman"/>
                <w:b/>
                <w:sz w:val="24"/>
                <w:szCs w:val="24"/>
                <w:lang w:eastAsia="lv-LV"/>
              </w:rPr>
              <w:t xml:space="preserve">II. Tiesību akta projekta ietekme uz </w:t>
            </w:r>
            <w:r w:rsidRPr="00AD4676">
              <w:rPr>
                <w:rFonts w:eastAsia="Times New Roman"/>
                <w:b/>
                <w:bCs/>
                <w:sz w:val="24"/>
                <w:szCs w:val="24"/>
                <w:lang w:eastAsia="lv-LV"/>
              </w:rPr>
              <w:t>sabiedrību</w:t>
            </w:r>
            <w:r w:rsidRPr="00AD4676">
              <w:rPr>
                <w:b/>
                <w:bCs/>
                <w:sz w:val="24"/>
                <w:szCs w:val="24"/>
                <w:shd w:val="clear" w:color="auto" w:fill="FFFFFF"/>
              </w:rPr>
              <w:t>, tautsaimniecības attīstību un administratīvo slogu</w:t>
            </w:r>
          </w:p>
        </w:tc>
      </w:tr>
      <w:tr w:rsidR="00532F34" w:rsidRPr="0027189F" w14:paraId="38BF93A8" w14:textId="77777777" w:rsidTr="00996F00">
        <w:trPr>
          <w:trHeight w:val="467"/>
        </w:trPr>
        <w:tc>
          <w:tcPr>
            <w:tcW w:w="478" w:type="dxa"/>
            <w:shd w:val="clear" w:color="auto" w:fill="auto"/>
          </w:tcPr>
          <w:p w14:paraId="33EBC6CE"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1.</w:t>
            </w:r>
          </w:p>
        </w:tc>
        <w:tc>
          <w:tcPr>
            <w:tcW w:w="3404" w:type="dxa"/>
            <w:shd w:val="clear" w:color="auto" w:fill="auto"/>
          </w:tcPr>
          <w:p w14:paraId="77368B66"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 xml:space="preserve">Sabiedrības </w:t>
            </w:r>
            <w:proofErr w:type="spellStart"/>
            <w:r w:rsidRPr="00AD4676">
              <w:rPr>
                <w:sz w:val="24"/>
                <w:szCs w:val="24"/>
                <w:shd w:val="clear" w:color="auto" w:fill="FFFFFF"/>
              </w:rPr>
              <w:t>mērķgrupas</w:t>
            </w:r>
            <w:proofErr w:type="spellEnd"/>
            <w:r w:rsidRPr="00AD4676">
              <w:rPr>
                <w:sz w:val="24"/>
                <w:szCs w:val="24"/>
                <w:shd w:val="clear" w:color="auto" w:fill="FFFFFF"/>
              </w:rPr>
              <w:t>, kuras tiesiskais regulējums ietekmē vai varētu ietekmēt</w:t>
            </w:r>
          </w:p>
        </w:tc>
        <w:tc>
          <w:tcPr>
            <w:tcW w:w="5077" w:type="dxa"/>
            <w:shd w:val="clear" w:color="auto" w:fill="auto"/>
          </w:tcPr>
          <w:p w14:paraId="028EBB99" w14:textId="41FD01F0" w:rsidR="00532F34" w:rsidRPr="00AD4676" w:rsidRDefault="00DC65E9"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P</w:t>
            </w:r>
            <w:r w:rsidRPr="00DC65E9">
              <w:rPr>
                <w:rFonts w:eastAsia="Times New Roman"/>
                <w:sz w:val="24"/>
                <w:szCs w:val="24"/>
                <w:lang w:eastAsia="lv-LV"/>
              </w:rPr>
              <w:t>retendentiem, kas vēlas iegūt mopēda vadītāja kvalifikāciju un kārto mopēda vadīšanas eksāmenu</w:t>
            </w:r>
            <w:r>
              <w:rPr>
                <w:rFonts w:eastAsia="Times New Roman"/>
                <w:sz w:val="24"/>
                <w:szCs w:val="24"/>
                <w:lang w:eastAsia="lv-LV"/>
              </w:rPr>
              <w:t>, t</w:t>
            </w:r>
            <w:r w:rsidR="00CC7161">
              <w:rPr>
                <w:rFonts w:eastAsia="Times New Roman"/>
                <w:sz w:val="24"/>
                <w:szCs w:val="24"/>
                <w:lang w:eastAsia="lv-LV"/>
              </w:rPr>
              <w:t xml:space="preserve">ransportlīdzekļu </w:t>
            </w:r>
            <w:r w:rsidR="002A7E09">
              <w:rPr>
                <w:rFonts w:eastAsia="Times New Roman"/>
                <w:sz w:val="24"/>
                <w:szCs w:val="24"/>
                <w:lang w:eastAsia="lv-LV"/>
              </w:rPr>
              <w:t xml:space="preserve">īpašnieki </w:t>
            </w:r>
            <w:r w:rsidR="00D21B79">
              <w:rPr>
                <w:rFonts w:eastAsia="Times New Roman"/>
                <w:sz w:val="24"/>
                <w:szCs w:val="24"/>
                <w:lang w:eastAsia="lv-LV"/>
              </w:rPr>
              <w:t xml:space="preserve">(turētāji), </w:t>
            </w:r>
            <w:r w:rsidR="00A66EFC">
              <w:rPr>
                <w:rFonts w:eastAsia="Times New Roman"/>
                <w:sz w:val="24"/>
                <w:szCs w:val="24"/>
                <w:lang w:eastAsia="lv-LV"/>
              </w:rPr>
              <w:t>kuri vēlas veikt transportlīdzeklim</w:t>
            </w:r>
            <w:r w:rsidR="00A66EFC">
              <w:t xml:space="preserve"> </w:t>
            </w:r>
            <w:r w:rsidR="00A66EFC" w:rsidRPr="00A66EFC">
              <w:rPr>
                <w:rFonts w:eastAsia="Times New Roman"/>
                <w:sz w:val="24"/>
                <w:szCs w:val="24"/>
                <w:lang w:eastAsia="lv-LV"/>
              </w:rPr>
              <w:t>atbilstības vēsturiskā spēkrata statusa</w:t>
            </w:r>
            <w:r w:rsidR="00A66EFC">
              <w:rPr>
                <w:rFonts w:eastAsia="Times New Roman"/>
                <w:sz w:val="24"/>
                <w:szCs w:val="24"/>
                <w:lang w:eastAsia="lv-LV"/>
              </w:rPr>
              <w:t>m</w:t>
            </w:r>
            <w:r w:rsidR="00A66EFC" w:rsidRPr="00A66EFC">
              <w:rPr>
                <w:rFonts w:eastAsia="Times New Roman"/>
                <w:sz w:val="24"/>
                <w:szCs w:val="24"/>
                <w:lang w:eastAsia="lv-LV"/>
              </w:rPr>
              <w:t xml:space="preserve"> pārbaudi</w:t>
            </w:r>
            <w:r w:rsidR="003168A9">
              <w:rPr>
                <w:rFonts w:eastAsia="Times New Roman"/>
                <w:sz w:val="24"/>
                <w:szCs w:val="24"/>
                <w:lang w:eastAsia="lv-LV"/>
              </w:rPr>
              <w:t xml:space="preserve">. </w:t>
            </w:r>
          </w:p>
        </w:tc>
      </w:tr>
      <w:tr w:rsidR="00532F34" w:rsidRPr="0027189F" w14:paraId="75A85216" w14:textId="77777777" w:rsidTr="00996F00">
        <w:trPr>
          <w:trHeight w:val="523"/>
        </w:trPr>
        <w:tc>
          <w:tcPr>
            <w:tcW w:w="478" w:type="dxa"/>
            <w:shd w:val="clear" w:color="auto" w:fill="auto"/>
          </w:tcPr>
          <w:p w14:paraId="28905AE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2.</w:t>
            </w:r>
          </w:p>
        </w:tc>
        <w:tc>
          <w:tcPr>
            <w:tcW w:w="3404" w:type="dxa"/>
            <w:shd w:val="clear" w:color="auto" w:fill="auto"/>
          </w:tcPr>
          <w:p w14:paraId="44FCAD68"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sz w:val="24"/>
                <w:szCs w:val="24"/>
                <w:shd w:val="clear" w:color="auto" w:fill="FFFFFF"/>
              </w:rPr>
              <w:t>Tiesiskā regulējuma ietekme uz tautsaimniecību un administratīvo slogu</w:t>
            </w:r>
          </w:p>
        </w:tc>
        <w:tc>
          <w:tcPr>
            <w:tcW w:w="5077" w:type="dxa"/>
            <w:shd w:val="clear" w:color="auto" w:fill="auto"/>
          </w:tcPr>
          <w:p w14:paraId="2C9545ED" w14:textId="343B4BF4" w:rsidR="00532F34" w:rsidRDefault="00A66EFC" w:rsidP="00E37BE8">
            <w:pPr>
              <w:spacing w:after="120" w:line="240" w:lineRule="auto"/>
              <w:ind w:firstLine="0"/>
            </w:pPr>
            <w:r>
              <w:rPr>
                <w:rFonts w:eastAsia="Times New Roman"/>
                <w:sz w:val="24"/>
                <w:szCs w:val="24"/>
                <w:lang w:eastAsia="lv-LV"/>
              </w:rPr>
              <w:t>Projekts šo jomu neskar.</w:t>
            </w:r>
            <w:r w:rsidR="00187275">
              <w:rPr>
                <w:rFonts w:eastAsia="Times New Roman"/>
                <w:sz w:val="24"/>
                <w:szCs w:val="24"/>
                <w:lang w:eastAsia="lv-LV"/>
              </w:rPr>
              <w:t xml:space="preserve"> </w:t>
            </w:r>
          </w:p>
        </w:tc>
      </w:tr>
      <w:tr w:rsidR="00532F34" w:rsidRPr="0027189F" w14:paraId="3FDBF577" w14:textId="77777777" w:rsidTr="00996F00">
        <w:trPr>
          <w:trHeight w:val="517"/>
        </w:trPr>
        <w:tc>
          <w:tcPr>
            <w:tcW w:w="478" w:type="dxa"/>
            <w:shd w:val="clear" w:color="auto" w:fill="auto"/>
          </w:tcPr>
          <w:p w14:paraId="556210A6"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3.</w:t>
            </w:r>
          </w:p>
        </w:tc>
        <w:tc>
          <w:tcPr>
            <w:tcW w:w="3404" w:type="dxa"/>
            <w:shd w:val="clear" w:color="auto" w:fill="auto"/>
          </w:tcPr>
          <w:p w14:paraId="2E25977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Administratīvo izmaksu monetārs novērtējums</w:t>
            </w:r>
          </w:p>
        </w:tc>
        <w:tc>
          <w:tcPr>
            <w:tcW w:w="5077" w:type="dxa"/>
            <w:shd w:val="clear" w:color="auto" w:fill="auto"/>
          </w:tcPr>
          <w:p w14:paraId="73312817" w14:textId="77777777" w:rsidR="00532F34" w:rsidRDefault="00532F34" w:rsidP="00E37BE8">
            <w:pPr>
              <w:spacing w:after="120"/>
              <w:ind w:firstLine="0"/>
            </w:pPr>
            <w:r w:rsidRPr="00AD4676">
              <w:rPr>
                <w:rFonts w:eastAsia="Times New Roman"/>
                <w:sz w:val="24"/>
                <w:szCs w:val="24"/>
                <w:lang w:eastAsia="lv-LV"/>
              </w:rPr>
              <w:t xml:space="preserve">Projekts šo jomu neskar. </w:t>
            </w:r>
          </w:p>
        </w:tc>
      </w:tr>
      <w:tr w:rsidR="008B1726" w:rsidRPr="0027189F" w14:paraId="65910BC9" w14:textId="77777777" w:rsidTr="00996F00">
        <w:trPr>
          <w:trHeight w:val="517"/>
        </w:trPr>
        <w:tc>
          <w:tcPr>
            <w:tcW w:w="478" w:type="dxa"/>
            <w:shd w:val="clear" w:color="auto" w:fill="auto"/>
          </w:tcPr>
          <w:p w14:paraId="2AE76AC7" w14:textId="0057F977" w:rsidR="008B1726" w:rsidRPr="00AD4676" w:rsidRDefault="008B1726"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4.</w:t>
            </w:r>
          </w:p>
        </w:tc>
        <w:tc>
          <w:tcPr>
            <w:tcW w:w="3404" w:type="dxa"/>
            <w:shd w:val="clear" w:color="auto" w:fill="auto"/>
          </w:tcPr>
          <w:p w14:paraId="0AF82DFC" w14:textId="261B1D90" w:rsidR="008B1726" w:rsidRPr="00AD4676" w:rsidRDefault="008B1726"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Atbilstības izmaksu monetārs novērtējums</w:t>
            </w:r>
          </w:p>
        </w:tc>
        <w:tc>
          <w:tcPr>
            <w:tcW w:w="5077" w:type="dxa"/>
            <w:shd w:val="clear" w:color="auto" w:fill="auto"/>
          </w:tcPr>
          <w:p w14:paraId="6E08E048" w14:textId="629A3D1F" w:rsidR="008B1726" w:rsidRPr="00AD4676" w:rsidRDefault="008B1726" w:rsidP="00E37BE8">
            <w:pPr>
              <w:spacing w:after="120"/>
              <w:ind w:firstLine="0"/>
              <w:rPr>
                <w:rFonts w:eastAsia="Times New Roman"/>
                <w:sz w:val="24"/>
                <w:szCs w:val="24"/>
                <w:lang w:eastAsia="lv-LV"/>
              </w:rPr>
            </w:pPr>
            <w:r w:rsidRPr="008B1726">
              <w:rPr>
                <w:rFonts w:eastAsia="Times New Roman"/>
                <w:sz w:val="24"/>
                <w:szCs w:val="24"/>
                <w:lang w:eastAsia="lv-LV"/>
              </w:rPr>
              <w:t>Projekts šo jomu neskar.</w:t>
            </w:r>
          </w:p>
        </w:tc>
      </w:tr>
      <w:tr w:rsidR="00532F34" w:rsidRPr="0027189F" w14:paraId="06B4414D" w14:textId="77777777" w:rsidTr="00996F00">
        <w:tc>
          <w:tcPr>
            <w:tcW w:w="478" w:type="dxa"/>
            <w:shd w:val="clear" w:color="auto" w:fill="auto"/>
          </w:tcPr>
          <w:p w14:paraId="74649A7D" w14:textId="4C49B729"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w:t>
            </w:r>
            <w:r w:rsidR="008B1726">
              <w:rPr>
                <w:rFonts w:eastAsia="Times New Roman"/>
                <w:sz w:val="24"/>
                <w:szCs w:val="24"/>
                <w:lang w:eastAsia="lv-LV"/>
              </w:rPr>
              <w:t>5</w:t>
            </w:r>
            <w:r w:rsidRPr="00AD4676">
              <w:rPr>
                <w:rFonts w:eastAsia="Times New Roman"/>
                <w:sz w:val="24"/>
                <w:szCs w:val="24"/>
                <w:lang w:eastAsia="lv-LV"/>
              </w:rPr>
              <w:t>.</w:t>
            </w:r>
          </w:p>
        </w:tc>
        <w:tc>
          <w:tcPr>
            <w:tcW w:w="3404" w:type="dxa"/>
            <w:shd w:val="clear" w:color="auto" w:fill="auto"/>
          </w:tcPr>
          <w:p w14:paraId="52879975"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Cita informācija</w:t>
            </w:r>
          </w:p>
        </w:tc>
        <w:tc>
          <w:tcPr>
            <w:tcW w:w="5077" w:type="dxa"/>
            <w:shd w:val="clear" w:color="auto" w:fill="auto"/>
          </w:tcPr>
          <w:p w14:paraId="3716F4A5"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14:paraId="4C39D4E7" w14:textId="441BC018" w:rsidR="00532F34" w:rsidRDefault="00532F34" w:rsidP="00E37BE8">
      <w:pPr>
        <w:spacing w:after="120" w:line="240" w:lineRule="auto"/>
        <w:ind w:firstLine="0"/>
        <w:jc w:val="left"/>
        <w:rPr>
          <w:rFonts w:eastAsia="Times New Roman"/>
          <w:sz w:val="24"/>
          <w:szCs w:val="24"/>
          <w:lang w:eastAsia="lv-LV"/>
        </w:rPr>
      </w:pPr>
    </w:p>
    <w:tbl>
      <w:tblPr>
        <w:tblW w:w="493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0"/>
      </w:tblGrid>
      <w:tr w:rsidR="000B3502" w:rsidRPr="00E964CC" w14:paraId="7A7EE25D" w14:textId="77777777" w:rsidTr="00A3357E">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1778B8" w14:textId="77777777" w:rsidR="000B3502" w:rsidRPr="00CC7DB8" w:rsidRDefault="000B3502" w:rsidP="00195D7B">
            <w:pPr>
              <w:spacing w:before="100" w:beforeAutospacing="1" w:line="300" w:lineRule="atLeast"/>
              <w:ind w:firstLine="0"/>
              <w:jc w:val="center"/>
              <w:rPr>
                <w:rFonts w:eastAsia="Times New Roman"/>
                <w:b/>
                <w:bCs/>
                <w:sz w:val="24"/>
                <w:szCs w:val="24"/>
                <w:lang w:eastAsia="lv-LV"/>
              </w:rPr>
            </w:pPr>
            <w:r w:rsidRPr="00CC7DB8">
              <w:rPr>
                <w:rFonts w:eastAsia="Times New Roman"/>
                <w:b/>
                <w:bCs/>
                <w:sz w:val="24"/>
                <w:szCs w:val="24"/>
                <w:lang w:eastAsia="lv-LV"/>
              </w:rPr>
              <w:t>III. Tiesību akta projekta ietekme uz valsts budžetu un pašvaldību budžetiem</w:t>
            </w:r>
          </w:p>
        </w:tc>
      </w:tr>
      <w:tr w:rsidR="000B3502" w:rsidRPr="00E964CC" w14:paraId="3487C5AE" w14:textId="77777777" w:rsidTr="00A3357E">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DEC1253" w14:textId="0D7288DE" w:rsidR="000B3502" w:rsidRPr="006D6C8B" w:rsidRDefault="000B3502" w:rsidP="00195D7B">
            <w:pPr>
              <w:spacing w:before="100" w:beforeAutospacing="1" w:line="300" w:lineRule="atLeast"/>
              <w:ind w:firstLine="0"/>
              <w:jc w:val="center"/>
              <w:rPr>
                <w:rFonts w:eastAsia="Times New Roman"/>
                <w:bCs/>
                <w:sz w:val="24"/>
                <w:szCs w:val="24"/>
                <w:highlight w:val="yellow"/>
                <w:lang w:eastAsia="lv-LV"/>
              </w:rPr>
            </w:pPr>
            <w:r w:rsidRPr="006D6C8B">
              <w:rPr>
                <w:rFonts w:eastAsia="Times New Roman"/>
                <w:bCs/>
                <w:sz w:val="24"/>
                <w:szCs w:val="24"/>
                <w:lang w:eastAsia="lv-LV"/>
              </w:rPr>
              <w:t>Projekts šo jomu neskar.</w:t>
            </w:r>
          </w:p>
        </w:tc>
      </w:tr>
    </w:tbl>
    <w:p w14:paraId="77A523B8" w14:textId="5D371901" w:rsidR="000B3502" w:rsidRDefault="000B3502" w:rsidP="00E37BE8">
      <w:pPr>
        <w:spacing w:after="120" w:line="240" w:lineRule="auto"/>
        <w:ind w:firstLine="0"/>
        <w:jc w:val="left"/>
        <w:rPr>
          <w:rFonts w:eastAsia="Times New Roman"/>
          <w:sz w:val="24"/>
          <w:szCs w:val="24"/>
          <w:lang w:eastAsia="lv-LV"/>
        </w:rPr>
      </w:pPr>
    </w:p>
    <w:tbl>
      <w:tblPr>
        <w:tblW w:w="493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7"/>
        <w:gridCol w:w="3077"/>
        <w:gridCol w:w="5456"/>
      </w:tblGrid>
      <w:tr w:rsidR="00317536" w:rsidRPr="00317536" w14:paraId="384A6EA8" w14:textId="77777777" w:rsidTr="00A3357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6142C0" w14:textId="77777777" w:rsidR="0013485D" w:rsidRPr="00317536" w:rsidRDefault="0013485D" w:rsidP="0013485D">
            <w:pPr>
              <w:spacing w:before="100" w:beforeAutospacing="1" w:after="100" w:afterAutospacing="1" w:line="293" w:lineRule="atLeast"/>
              <w:ind w:firstLine="0"/>
              <w:jc w:val="center"/>
              <w:rPr>
                <w:rFonts w:eastAsia="Times New Roman"/>
                <w:b/>
                <w:bCs/>
                <w:color w:val="000000" w:themeColor="text1"/>
                <w:sz w:val="24"/>
                <w:szCs w:val="24"/>
                <w:lang w:eastAsia="lv-LV"/>
              </w:rPr>
            </w:pPr>
            <w:r w:rsidRPr="00317536">
              <w:rPr>
                <w:rFonts w:eastAsia="Times New Roman"/>
                <w:b/>
                <w:bCs/>
                <w:color w:val="000000" w:themeColor="text1"/>
                <w:sz w:val="24"/>
                <w:szCs w:val="24"/>
                <w:lang w:eastAsia="lv-LV"/>
              </w:rPr>
              <w:t>IV. Tiesību akta projekta ietekme uz spēkā esošo tiesību normu sistēmu</w:t>
            </w:r>
          </w:p>
        </w:tc>
      </w:tr>
      <w:tr w:rsidR="00317536" w:rsidRPr="00317536" w14:paraId="21EF2E2B" w14:textId="77777777" w:rsidTr="00A3357E">
        <w:tc>
          <w:tcPr>
            <w:tcW w:w="222" w:type="pct"/>
            <w:tcBorders>
              <w:top w:val="outset" w:sz="6" w:space="0" w:color="414142"/>
              <w:left w:val="outset" w:sz="6" w:space="0" w:color="414142"/>
              <w:bottom w:val="outset" w:sz="6" w:space="0" w:color="414142"/>
              <w:right w:val="outset" w:sz="6" w:space="0" w:color="414142"/>
            </w:tcBorders>
            <w:hideMark/>
          </w:tcPr>
          <w:p w14:paraId="1A83F1A2" w14:textId="77777777" w:rsidR="0013485D" w:rsidRPr="00317536" w:rsidRDefault="0013485D" w:rsidP="0013485D">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1.</w:t>
            </w:r>
          </w:p>
        </w:tc>
        <w:tc>
          <w:tcPr>
            <w:tcW w:w="1723" w:type="pct"/>
            <w:tcBorders>
              <w:top w:val="outset" w:sz="6" w:space="0" w:color="414142"/>
              <w:left w:val="outset" w:sz="6" w:space="0" w:color="414142"/>
              <w:bottom w:val="outset" w:sz="6" w:space="0" w:color="414142"/>
              <w:right w:val="outset" w:sz="6" w:space="0" w:color="414142"/>
            </w:tcBorders>
            <w:hideMark/>
          </w:tcPr>
          <w:p w14:paraId="52D99C15" w14:textId="77777777" w:rsidR="0013485D" w:rsidRPr="00317536" w:rsidRDefault="0013485D" w:rsidP="0013485D">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Saistītie tiesību aktu projekti</w:t>
            </w:r>
          </w:p>
        </w:tc>
        <w:tc>
          <w:tcPr>
            <w:tcW w:w="3055" w:type="pct"/>
            <w:tcBorders>
              <w:top w:val="outset" w:sz="6" w:space="0" w:color="414142"/>
              <w:left w:val="outset" w:sz="6" w:space="0" w:color="414142"/>
              <w:bottom w:val="outset" w:sz="6" w:space="0" w:color="414142"/>
              <w:right w:val="outset" w:sz="6" w:space="0" w:color="414142"/>
            </w:tcBorders>
            <w:hideMark/>
          </w:tcPr>
          <w:p w14:paraId="4E832669" w14:textId="32162C86" w:rsidR="00B439F3" w:rsidRPr="006870B1" w:rsidRDefault="00BF4847" w:rsidP="00317536">
            <w:pPr>
              <w:spacing w:line="240" w:lineRule="auto"/>
              <w:ind w:firstLine="0"/>
              <w:rPr>
                <w:color w:val="000000" w:themeColor="text1"/>
                <w:sz w:val="24"/>
                <w:szCs w:val="24"/>
              </w:rPr>
            </w:pPr>
            <w:r w:rsidRPr="00013A0D">
              <w:rPr>
                <w:color w:val="000000" w:themeColor="text1"/>
                <w:sz w:val="24"/>
                <w:szCs w:val="24"/>
              </w:rPr>
              <w:t>Grozījumi Ministru kabineta 02.02.2010. noteikumos Nr.103 „Transportlīdzekļu vadītāja tiesību iegūšanas un atjaunošanas kārtība un vadītāja apliecības izsniegšanas, apmaiņas, atjaunošanas un iznīcināšanas kārtība” (izsludināti 22.11.2018. Valsts sekretāru sanāksmē (prot. Nr. 46 7. §, VSS-1190))</w:t>
            </w:r>
            <w:r w:rsidR="00013A0D">
              <w:rPr>
                <w:color w:val="000000" w:themeColor="text1"/>
                <w:sz w:val="24"/>
                <w:szCs w:val="24"/>
              </w:rPr>
              <w:t xml:space="preserve">. </w:t>
            </w:r>
          </w:p>
          <w:p w14:paraId="49A6E014" w14:textId="74358F3A" w:rsidR="00B439F3" w:rsidRPr="00317536" w:rsidRDefault="00013A0D" w:rsidP="00317536">
            <w:pPr>
              <w:spacing w:line="240" w:lineRule="auto"/>
              <w:ind w:firstLine="0"/>
              <w:rPr>
                <w:rFonts w:eastAsia="Times New Roman"/>
                <w:color w:val="000000" w:themeColor="text1"/>
                <w:sz w:val="24"/>
                <w:szCs w:val="24"/>
                <w:lang w:eastAsia="lv-LV"/>
              </w:rPr>
            </w:pPr>
            <w:r>
              <w:rPr>
                <w:rFonts w:eastAsia="Times New Roman"/>
                <w:color w:val="000000" w:themeColor="text1"/>
                <w:sz w:val="24"/>
                <w:szCs w:val="24"/>
                <w:lang w:eastAsia="lv-LV"/>
              </w:rPr>
              <w:t xml:space="preserve">Ņemot vērā, ka </w:t>
            </w:r>
            <w:r w:rsidR="004321E7">
              <w:rPr>
                <w:rFonts w:eastAsia="Times New Roman"/>
                <w:color w:val="000000" w:themeColor="text1"/>
                <w:sz w:val="24"/>
                <w:szCs w:val="24"/>
                <w:lang w:eastAsia="lv-LV"/>
              </w:rPr>
              <w:t xml:space="preserve">CSDD cenrādī </w:t>
            </w:r>
            <w:r>
              <w:rPr>
                <w:rFonts w:eastAsia="Times New Roman"/>
                <w:color w:val="000000" w:themeColor="text1"/>
                <w:sz w:val="24"/>
                <w:szCs w:val="24"/>
                <w:lang w:eastAsia="lv-LV"/>
              </w:rPr>
              <w:t xml:space="preserve">tiek iekļauta maksa par pakalpojumiem saistībā ar </w:t>
            </w:r>
            <w:r w:rsidRPr="00013A0D">
              <w:rPr>
                <w:rFonts w:eastAsia="Times New Roman"/>
                <w:color w:val="000000" w:themeColor="text1"/>
                <w:sz w:val="24"/>
                <w:szCs w:val="24"/>
                <w:lang w:eastAsia="lv-LV"/>
              </w:rPr>
              <w:t>transportlīdzekļa vēsturiskā spēkrata statusa</w:t>
            </w:r>
            <w:r>
              <w:rPr>
                <w:rFonts w:eastAsia="Times New Roman"/>
                <w:color w:val="000000" w:themeColor="text1"/>
                <w:sz w:val="24"/>
                <w:szCs w:val="24"/>
                <w:lang w:eastAsia="lv-LV"/>
              </w:rPr>
              <w:t xml:space="preserve"> piešķiršanu, lai novērstu normu dublēšanos, v</w:t>
            </w:r>
            <w:r w:rsidR="00B439F3" w:rsidRPr="00B439F3">
              <w:rPr>
                <w:rFonts w:eastAsia="Times New Roman"/>
                <w:color w:val="000000" w:themeColor="text1"/>
                <w:sz w:val="24"/>
                <w:szCs w:val="24"/>
                <w:lang w:eastAsia="lv-LV"/>
              </w:rPr>
              <w:t>ienlaikus</w:t>
            </w:r>
            <w:r>
              <w:rPr>
                <w:rFonts w:eastAsia="Times New Roman"/>
                <w:color w:val="000000" w:themeColor="text1"/>
                <w:sz w:val="24"/>
                <w:szCs w:val="24"/>
                <w:lang w:eastAsia="lv-LV"/>
              </w:rPr>
              <w:t xml:space="preserve"> ar grozījumiem CSDD cenrādī</w:t>
            </w:r>
            <w:r w:rsidR="00B439F3" w:rsidRPr="00B439F3">
              <w:rPr>
                <w:rFonts w:eastAsia="Times New Roman"/>
                <w:color w:val="000000" w:themeColor="text1"/>
                <w:sz w:val="24"/>
                <w:szCs w:val="24"/>
                <w:lang w:eastAsia="lv-LV"/>
              </w:rPr>
              <w:t xml:space="preserve"> tiek virzīts Ministru kabineta noteikumu projekts “Par Ministru kabineta 2008.gada 17.jūnija noteikumu Nr.438 “Noteikumi par valsts aģentūras “Rīgas Motormuzejs” sniegto publisko maksas pakalpojumu cenrādi” atzīšanu par spēku zaudējušiem”</w:t>
            </w:r>
            <w:r w:rsidR="004321E7">
              <w:rPr>
                <w:rFonts w:eastAsia="Times New Roman"/>
                <w:color w:val="000000" w:themeColor="text1"/>
                <w:sz w:val="24"/>
                <w:szCs w:val="24"/>
                <w:lang w:eastAsia="lv-LV"/>
              </w:rPr>
              <w:t>.</w:t>
            </w:r>
            <w:r w:rsidR="00632C9F">
              <w:rPr>
                <w:rFonts w:eastAsia="Times New Roman"/>
                <w:color w:val="000000" w:themeColor="text1"/>
                <w:sz w:val="24"/>
                <w:szCs w:val="24"/>
                <w:lang w:eastAsia="lv-LV"/>
              </w:rPr>
              <w:t xml:space="preserve"> Ministru kabineta noteikumu projekts ir izsludināts 2018.gada 11.oktobra Valsts sekretāru sanāksmē (prot.Nr.40 26</w:t>
            </w:r>
            <w:r w:rsidR="00632C9F" w:rsidRPr="00632C9F">
              <w:rPr>
                <w:rFonts w:eastAsia="Times New Roman"/>
                <w:color w:val="000000" w:themeColor="text1"/>
                <w:sz w:val="24"/>
                <w:szCs w:val="24"/>
                <w:lang w:eastAsia="lv-LV"/>
              </w:rPr>
              <w:t>. §</w:t>
            </w:r>
            <w:r w:rsidR="00632C9F">
              <w:rPr>
                <w:rFonts w:eastAsia="Times New Roman"/>
                <w:color w:val="000000" w:themeColor="text1"/>
                <w:sz w:val="24"/>
                <w:szCs w:val="24"/>
                <w:lang w:eastAsia="lv-LV"/>
              </w:rPr>
              <w:t>, VSS-1031).</w:t>
            </w:r>
          </w:p>
        </w:tc>
      </w:tr>
      <w:tr w:rsidR="00317536" w:rsidRPr="00317536" w14:paraId="05C3D6BE" w14:textId="77777777" w:rsidTr="00A3357E">
        <w:tc>
          <w:tcPr>
            <w:tcW w:w="222" w:type="pct"/>
            <w:tcBorders>
              <w:top w:val="outset" w:sz="6" w:space="0" w:color="414142"/>
              <w:left w:val="outset" w:sz="6" w:space="0" w:color="414142"/>
              <w:bottom w:val="outset" w:sz="6" w:space="0" w:color="414142"/>
              <w:right w:val="outset" w:sz="6" w:space="0" w:color="414142"/>
            </w:tcBorders>
            <w:hideMark/>
          </w:tcPr>
          <w:p w14:paraId="6FCAE55C" w14:textId="77777777" w:rsidR="0013485D" w:rsidRPr="00317536" w:rsidRDefault="0013485D" w:rsidP="0013485D">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2.</w:t>
            </w:r>
          </w:p>
        </w:tc>
        <w:tc>
          <w:tcPr>
            <w:tcW w:w="1723" w:type="pct"/>
            <w:tcBorders>
              <w:top w:val="outset" w:sz="6" w:space="0" w:color="414142"/>
              <w:left w:val="outset" w:sz="6" w:space="0" w:color="414142"/>
              <w:bottom w:val="outset" w:sz="6" w:space="0" w:color="414142"/>
              <w:right w:val="outset" w:sz="6" w:space="0" w:color="414142"/>
            </w:tcBorders>
            <w:hideMark/>
          </w:tcPr>
          <w:p w14:paraId="55CDEE09" w14:textId="77777777" w:rsidR="0013485D" w:rsidRPr="00317536" w:rsidRDefault="0013485D" w:rsidP="0013485D">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Atbildīgā institūcija</w:t>
            </w:r>
          </w:p>
        </w:tc>
        <w:tc>
          <w:tcPr>
            <w:tcW w:w="3055" w:type="pct"/>
            <w:tcBorders>
              <w:top w:val="outset" w:sz="6" w:space="0" w:color="414142"/>
              <w:left w:val="outset" w:sz="6" w:space="0" w:color="414142"/>
              <w:bottom w:val="outset" w:sz="6" w:space="0" w:color="414142"/>
              <w:right w:val="outset" w:sz="6" w:space="0" w:color="414142"/>
            </w:tcBorders>
            <w:hideMark/>
          </w:tcPr>
          <w:p w14:paraId="5831B399" w14:textId="77777777" w:rsidR="0013485D" w:rsidRPr="00317536" w:rsidRDefault="0013485D" w:rsidP="0013485D">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Satiksmes ministrija.</w:t>
            </w:r>
          </w:p>
        </w:tc>
      </w:tr>
      <w:tr w:rsidR="00317536" w:rsidRPr="00317536" w14:paraId="207AAAD5" w14:textId="77777777" w:rsidTr="00A3357E">
        <w:tc>
          <w:tcPr>
            <w:tcW w:w="222" w:type="pct"/>
            <w:tcBorders>
              <w:top w:val="outset" w:sz="6" w:space="0" w:color="414142"/>
              <w:left w:val="outset" w:sz="6" w:space="0" w:color="414142"/>
              <w:bottom w:val="outset" w:sz="6" w:space="0" w:color="414142"/>
              <w:right w:val="outset" w:sz="6" w:space="0" w:color="414142"/>
            </w:tcBorders>
            <w:hideMark/>
          </w:tcPr>
          <w:p w14:paraId="4511E88D" w14:textId="77777777" w:rsidR="0013485D" w:rsidRPr="00317536" w:rsidRDefault="0013485D" w:rsidP="0013485D">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3.</w:t>
            </w:r>
          </w:p>
        </w:tc>
        <w:tc>
          <w:tcPr>
            <w:tcW w:w="1723" w:type="pct"/>
            <w:tcBorders>
              <w:top w:val="outset" w:sz="6" w:space="0" w:color="414142"/>
              <w:left w:val="outset" w:sz="6" w:space="0" w:color="414142"/>
              <w:bottom w:val="outset" w:sz="6" w:space="0" w:color="414142"/>
              <w:right w:val="outset" w:sz="6" w:space="0" w:color="414142"/>
            </w:tcBorders>
            <w:hideMark/>
          </w:tcPr>
          <w:p w14:paraId="5B134588" w14:textId="77777777" w:rsidR="0013485D" w:rsidRPr="00317536" w:rsidRDefault="0013485D" w:rsidP="0013485D">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Cita informācija</w:t>
            </w:r>
          </w:p>
        </w:tc>
        <w:tc>
          <w:tcPr>
            <w:tcW w:w="3055" w:type="pct"/>
            <w:tcBorders>
              <w:top w:val="outset" w:sz="6" w:space="0" w:color="414142"/>
              <w:left w:val="outset" w:sz="6" w:space="0" w:color="414142"/>
              <w:bottom w:val="outset" w:sz="6" w:space="0" w:color="414142"/>
              <w:right w:val="outset" w:sz="6" w:space="0" w:color="414142"/>
            </w:tcBorders>
            <w:hideMark/>
          </w:tcPr>
          <w:p w14:paraId="0D5F6A38" w14:textId="77777777" w:rsidR="0013485D" w:rsidRPr="00317536" w:rsidRDefault="0013485D" w:rsidP="0013485D">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Nav.</w:t>
            </w:r>
          </w:p>
        </w:tc>
      </w:tr>
    </w:tbl>
    <w:p w14:paraId="23E18DCA" w14:textId="41C304C9" w:rsidR="0013485D" w:rsidRDefault="0013485D" w:rsidP="0013485D">
      <w:pPr>
        <w:spacing w:after="120" w:line="240" w:lineRule="auto"/>
        <w:ind w:firstLine="0"/>
        <w:jc w:val="left"/>
        <w:rPr>
          <w:rFonts w:ascii="Arial" w:eastAsia="Times New Roman" w:hAnsi="Arial" w:cs="Arial"/>
          <w:color w:val="414142"/>
          <w:sz w:val="24"/>
          <w:szCs w:val="24"/>
          <w:lang w:eastAsia="lv-LV"/>
        </w:rPr>
      </w:pPr>
    </w:p>
    <w:tbl>
      <w:tblPr>
        <w:tblW w:w="8930" w:type="dxa"/>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0"/>
      </w:tblGrid>
      <w:tr w:rsidR="005668E7" w:rsidRPr="005668E7" w14:paraId="155D6AD5" w14:textId="77777777" w:rsidTr="0013485D">
        <w:tc>
          <w:tcPr>
            <w:tcW w:w="8930"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B65811" w14:textId="77777777" w:rsidR="0011249D" w:rsidRPr="005668E7" w:rsidRDefault="0011249D" w:rsidP="0011249D">
            <w:pPr>
              <w:spacing w:before="100" w:beforeAutospacing="1" w:line="300" w:lineRule="atLeast"/>
              <w:ind w:firstLine="0"/>
              <w:jc w:val="center"/>
              <w:rPr>
                <w:rFonts w:eastAsia="Times New Roman"/>
                <w:b/>
                <w:bCs/>
                <w:sz w:val="24"/>
                <w:szCs w:val="24"/>
                <w:lang w:eastAsia="lv-LV"/>
              </w:rPr>
            </w:pPr>
            <w:r w:rsidRPr="005668E7">
              <w:rPr>
                <w:rFonts w:eastAsia="Times New Roman"/>
                <w:b/>
                <w:bCs/>
                <w:sz w:val="24"/>
                <w:szCs w:val="24"/>
                <w:lang w:eastAsia="lv-LV"/>
              </w:rPr>
              <w:t>V. Tiesību akta projekta atbilstība Latvijas Republikas starptautiskajām saistībām</w:t>
            </w:r>
          </w:p>
        </w:tc>
      </w:tr>
      <w:tr w:rsidR="00E964CC" w:rsidRPr="005668E7" w14:paraId="5DA105F5" w14:textId="77777777" w:rsidTr="0013485D">
        <w:tc>
          <w:tcPr>
            <w:tcW w:w="8930" w:type="dxa"/>
            <w:tcBorders>
              <w:top w:val="outset" w:sz="6" w:space="0" w:color="414142"/>
              <w:left w:val="outset" w:sz="6" w:space="0" w:color="414142"/>
              <w:bottom w:val="outset" w:sz="6" w:space="0" w:color="414142"/>
              <w:right w:val="outset" w:sz="6" w:space="0" w:color="414142"/>
            </w:tcBorders>
            <w:shd w:val="clear" w:color="auto" w:fill="auto"/>
          </w:tcPr>
          <w:p w14:paraId="7E8C0B78" w14:textId="0C94EC4A" w:rsidR="00E964CC" w:rsidRPr="005668E7" w:rsidRDefault="00E964CC" w:rsidP="00E964CC">
            <w:pPr>
              <w:spacing w:line="240" w:lineRule="auto"/>
              <w:ind w:firstLine="0"/>
              <w:jc w:val="center"/>
              <w:rPr>
                <w:rFonts w:eastAsia="Times New Roman"/>
                <w:sz w:val="24"/>
                <w:szCs w:val="24"/>
                <w:lang w:eastAsia="lv-LV"/>
              </w:rPr>
            </w:pPr>
            <w:r w:rsidRPr="0013485D">
              <w:rPr>
                <w:rFonts w:eastAsia="Times New Roman"/>
                <w:sz w:val="24"/>
                <w:szCs w:val="24"/>
              </w:rPr>
              <w:t>Projekts šo jomu neskar</w:t>
            </w:r>
            <w:r w:rsidR="0013485D">
              <w:rPr>
                <w:rFonts w:eastAsia="Times New Roman"/>
                <w:sz w:val="24"/>
                <w:szCs w:val="24"/>
              </w:rPr>
              <w:t>.</w:t>
            </w:r>
          </w:p>
        </w:tc>
      </w:tr>
    </w:tbl>
    <w:p w14:paraId="3FFA5C42" w14:textId="553B877E" w:rsidR="009A3F40" w:rsidRDefault="0011249D" w:rsidP="0011249D">
      <w:pPr>
        <w:spacing w:line="240" w:lineRule="auto"/>
        <w:ind w:firstLine="0"/>
        <w:jc w:val="left"/>
        <w:rPr>
          <w:rFonts w:ascii="Arial" w:eastAsia="Times New Roman" w:hAnsi="Arial" w:cs="Arial"/>
          <w:color w:val="414142"/>
          <w:sz w:val="24"/>
          <w:szCs w:val="24"/>
          <w:lang w:eastAsia="lv-LV"/>
        </w:rPr>
      </w:pPr>
      <w:r w:rsidRPr="005668E7">
        <w:rPr>
          <w:rFonts w:eastAsia="Times New Roman"/>
          <w:sz w:val="24"/>
          <w:szCs w:val="24"/>
          <w:lang w:eastAsia="lv-LV"/>
        </w:rPr>
        <w:t xml:space="preserve">  </w:t>
      </w:r>
      <w:r w:rsidRPr="0011249D">
        <w:rPr>
          <w:rFonts w:ascii="Arial" w:eastAsia="Times New Roman" w:hAnsi="Arial" w:cs="Arial"/>
          <w:color w:val="414142"/>
          <w:sz w:val="24"/>
          <w:szCs w:val="24"/>
          <w:lang w:eastAsia="lv-LV"/>
        </w:rPr>
        <w:t>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845"/>
        <w:gridCol w:w="5518"/>
      </w:tblGrid>
      <w:tr w:rsidR="00463025" w:rsidRPr="00DD49B6" w14:paraId="1D3F80FC" w14:textId="77777777" w:rsidTr="002B2ED2">
        <w:trPr>
          <w:trHeight w:val="421"/>
        </w:trPr>
        <w:tc>
          <w:tcPr>
            <w:tcW w:w="8930" w:type="dxa"/>
            <w:gridSpan w:val="3"/>
            <w:vAlign w:val="center"/>
          </w:tcPr>
          <w:p w14:paraId="4DE9CBE2" w14:textId="77777777" w:rsidR="00463025" w:rsidRPr="00DD49B6" w:rsidRDefault="00463025" w:rsidP="002B2ED2">
            <w:pPr>
              <w:pStyle w:val="naisnod"/>
              <w:spacing w:before="0" w:beforeAutospacing="0" w:after="120" w:afterAutospacing="0"/>
              <w:ind w:left="57" w:right="57"/>
              <w:jc w:val="center"/>
            </w:pPr>
            <w:r w:rsidRPr="00DD49B6">
              <w:rPr>
                <w:b/>
              </w:rPr>
              <w:t>VI. Sabiedrības līdzdalība un komunikācijas aktivitātes</w:t>
            </w:r>
          </w:p>
        </w:tc>
      </w:tr>
      <w:tr w:rsidR="0072009E" w:rsidRPr="00DD49B6" w14:paraId="0BEBD17B" w14:textId="77777777" w:rsidTr="000439EF">
        <w:trPr>
          <w:trHeight w:val="553"/>
        </w:trPr>
        <w:tc>
          <w:tcPr>
            <w:tcW w:w="567" w:type="dxa"/>
          </w:tcPr>
          <w:p w14:paraId="2ABF3A25" w14:textId="0198022C" w:rsidR="0072009E" w:rsidRPr="00DD49B6" w:rsidRDefault="0072009E" w:rsidP="0072009E">
            <w:pPr>
              <w:tabs>
                <w:tab w:val="left" w:pos="170"/>
              </w:tabs>
              <w:spacing w:after="120" w:line="240" w:lineRule="auto"/>
              <w:ind w:left="57" w:right="57" w:firstLine="46"/>
              <w:rPr>
                <w:sz w:val="24"/>
                <w:szCs w:val="24"/>
                <w:lang w:eastAsia="lv-LV"/>
              </w:rPr>
            </w:pPr>
            <w:r>
              <w:rPr>
                <w:sz w:val="24"/>
                <w:szCs w:val="24"/>
                <w:lang w:eastAsia="lv-LV"/>
              </w:rPr>
              <w:t>1.</w:t>
            </w:r>
          </w:p>
        </w:tc>
        <w:tc>
          <w:tcPr>
            <w:tcW w:w="2845" w:type="dxa"/>
          </w:tcPr>
          <w:p w14:paraId="2843FBE5" w14:textId="196B67B1" w:rsidR="0072009E" w:rsidRPr="00DD49B6" w:rsidRDefault="0072009E" w:rsidP="0072009E">
            <w:pPr>
              <w:tabs>
                <w:tab w:val="left" w:pos="170"/>
              </w:tabs>
              <w:spacing w:after="120" w:line="240" w:lineRule="auto"/>
              <w:ind w:left="57" w:right="57" w:firstLine="46"/>
              <w:jc w:val="left"/>
              <w:rPr>
                <w:sz w:val="24"/>
                <w:szCs w:val="24"/>
                <w:lang w:eastAsia="lv-LV"/>
              </w:rPr>
            </w:pPr>
            <w:r w:rsidRPr="00DD49B6">
              <w:rPr>
                <w:sz w:val="24"/>
                <w:szCs w:val="24"/>
                <w:lang w:eastAsia="lv-LV"/>
              </w:rPr>
              <w:t>Plānotās sabiedrības līdzdalības un komunikācijas aktivitātes saistībā ar projektu</w:t>
            </w:r>
          </w:p>
        </w:tc>
        <w:tc>
          <w:tcPr>
            <w:tcW w:w="5518" w:type="dxa"/>
          </w:tcPr>
          <w:p w14:paraId="53234A72" w14:textId="456D7E0E" w:rsidR="0072009E" w:rsidRPr="00DD49B6" w:rsidRDefault="0072009E" w:rsidP="0072009E">
            <w:pPr>
              <w:shd w:val="clear" w:color="auto" w:fill="FFFFFF"/>
              <w:spacing w:after="120" w:line="240" w:lineRule="auto"/>
              <w:ind w:left="47" w:firstLine="0"/>
              <w:rPr>
                <w:sz w:val="24"/>
                <w:szCs w:val="24"/>
                <w:lang w:eastAsia="lv-LV"/>
              </w:rPr>
            </w:pPr>
            <w:r>
              <w:rPr>
                <w:sz w:val="24"/>
                <w:szCs w:val="24"/>
              </w:rPr>
              <w:t xml:space="preserve">Atbilstoši Ministru kabineta </w:t>
            </w:r>
            <w:r w:rsidR="00DC65E9">
              <w:rPr>
                <w:sz w:val="24"/>
                <w:szCs w:val="24"/>
              </w:rPr>
              <w:t>25.08.</w:t>
            </w:r>
            <w:r>
              <w:rPr>
                <w:sz w:val="24"/>
                <w:szCs w:val="24"/>
              </w:rPr>
              <w:t>2009. noteikumu Nr.970 „Sabiedrības līdzdalības kārtība attīstības plānošanas procesā” 7.4.</w:t>
            </w:r>
            <w:r>
              <w:rPr>
                <w:sz w:val="24"/>
                <w:szCs w:val="24"/>
                <w:vertAlign w:val="superscript"/>
              </w:rPr>
              <w:t xml:space="preserve">1 </w:t>
            </w:r>
            <w:r>
              <w:rPr>
                <w:sz w:val="24"/>
                <w:szCs w:val="24"/>
              </w:rPr>
              <w:t>apakšpunktam, sabiedrībai tika dota iespēja rakstiski sniegt viedokli par noteikumu projektu tā izstrādes stadijā.</w:t>
            </w:r>
          </w:p>
        </w:tc>
      </w:tr>
      <w:tr w:rsidR="0072009E" w:rsidRPr="00E46FBE" w14:paraId="5BBB0A7A" w14:textId="77777777" w:rsidTr="000439EF">
        <w:trPr>
          <w:trHeight w:val="339"/>
        </w:trPr>
        <w:tc>
          <w:tcPr>
            <w:tcW w:w="567" w:type="dxa"/>
          </w:tcPr>
          <w:p w14:paraId="763941BC" w14:textId="433672A6" w:rsidR="0072009E" w:rsidRPr="00DD49B6" w:rsidRDefault="0072009E" w:rsidP="0072009E">
            <w:pPr>
              <w:spacing w:after="120" w:line="240" w:lineRule="auto"/>
              <w:ind w:left="57" w:right="57" w:firstLine="46"/>
              <w:rPr>
                <w:sz w:val="24"/>
                <w:szCs w:val="24"/>
                <w:lang w:eastAsia="lv-LV"/>
              </w:rPr>
            </w:pPr>
            <w:r>
              <w:rPr>
                <w:sz w:val="24"/>
                <w:szCs w:val="24"/>
                <w:lang w:eastAsia="lv-LV"/>
              </w:rPr>
              <w:t>2.</w:t>
            </w:r>
          </w:p>
        </w:tc>
        <w:tc>
          <w:tcPr>
            <w:tcW w:w="2845" w:type="dxa"/>
          </w:tcPr>
          <w:p w14:paraId="70D01BE5" w14:textId="50953D01" w:rsidR="0072009E" w:rsidRPr="00DD49B6" w:rsidRDefault="0072009E" w:rsidP="0072009E">
            <w:pPr>
              <w:spacing w:after="120" w:line="240" w:lineRule="auto"/>
              <w:ind w:left="57" w:right="57" w:firstLine="46"/>
              <w:rPr>
                <w:sz w:val="24"/>
                <w:szCs w:val="24"/>
                <w:lang w:eastAsia="lv-LV"/>
              </w:rPr>
            </w:pPr>
            <w:r w:rsidRPr="00DD49B6">
              <w:rPr>
                <w:sz w:val="24"/>
                <w:szCs w:val="24"/>
                <w:lang w:eastAsia="lv-LV"/>
              </w:rPr>
              <w:t>Sabiedrības līdzdalība projekta izstrādē</w:t>
            </w:r>
          </w:p>
        </w:tc>
        <w:tc>
          <w:tcPr>
            <w:tcW w:w="5518" w:type="dxa"/>
          </w:tcPr>
          <w:p w14:paraId="7ACB1394" w14:textId="3A7D721F" w:rsidR="0072009E" w:rsidRPr="00E46FBE" w:rsidRDefault="0072009E" w:rsidP="00424892">
            <w:pPr>
              <w:spacing w:line="240" w:lineRule="auto"/>
              <w:ind w:left="47" w:firstLine="0"/>
              <w:rPr>
                <w:sz w:val="24"/>
                <w:szCs w:val="24"/>
                <w:lang w:eastAsia="lv-LV"/>
              </w:rPr>
            </w:pPr>
            <w:r>
              <w:rPr>
                <w:bCs/>
                <w:sz w:val="24"/>
                <w:szCs w:val="24"/>
              </w:rPr>
              <w:t xml:space="preserve">Paziņojums par līdzdalības iespējām tiesību akta izstrādes procesā ievietots Satiksmes ministrijas tīmekļa vietnē </w:t>
            </w:r>
            <w:r w:rsidR="00424892">
              <w:rPr>
                <w:bCs/>
                <w:sz w:val="24"/>
                <w:szCs w:val="24"/>
              </w:rPr>
              <w:t>2018. gada 10. septembrī.</w:t>
            </w:r>
            <w:r w:rsidR="00053E2C">
              <w:rPr>
                <w:sz w:val="24"/>
                <w:szCs w:val="24"/>
              </w:rPr>
              <w:t xml:space="preserve"> </w:t>
            </w:r>
            <w:hyperlink r:id="rId8" w:history="1">
              <w:r w:rsidR="00053E2C" w:rsidRPr="00C940EA">
                <w:rPr>
                  <w:rStyle w:val="Hyperlink"/>
                  <w:sz w:val="24"/>
                  <w:szCs w:val="24"/>
                </w:rPr>
                <w:t>http://www.sam.gov.lv/satmin/content/?cat=553</w:t>
              </w:r>
            </w:hyperlink>
            <w:r w:rsidR="00053E2C">
              <w:t xml:space="preserve"> </w:t>
            </w:r>
            <w:r w:rsidR="00053E2C" w:rsidRPr="004F4970">
              <w:rPr>
                <w:rStyle w:val="Hyperlink"/>
                <w:bCs/>
                <w:sz w:val="24"/>
                <w:szCs w:val="24"/>
              </w:rPr>
              <w:t xml:space="preserve"> </w:t>
            </w:r>
          </w:p>
        </w:tc>
      </w:tr>
      <w:tr w:rsidR="0072009E" w:rsidRPr="00E46FBE" w14:paraId="4613A9E0" w14:textId="77777777" w:rsidTr="00463025">
        <w:trPr>
          <w:trHeight w:val="339"/>
        </w:trPr>
        <w:tc>
          <w:tcPr>
            <w:tcW w:w="567" w:type="dxa"/>
          </w:tcPr>
          <w:p w14:paraId="52AF55F4" w14:textId="16131F36" w:rsidR="0072009E" w:rsidRPr="00DD49B6" w:rsidRDefault="0072009E" w:rsidP="0072009E">
            <w:pPr>
              <w:spacing w:after="120" w:line="240" w:lineRule="auto"/>
              <w:ind w:left="57" w:right="57" w:firstLine="46"/>
              <w:rPr>
                <w:sz w:val="24"/>
                <w:szCs w:val="24"/>
                <w:lang w:eastAsia="lv-LV"/>
              </w:rPr>
            </w:pPr>
            <w:r>
              <w:rPr>
                <w:sz w:val="24"/>
                <w:szCs w:val="24"/>
                <w:lang w:eastAsia="lv-LV"/>
              </w:rPr>
              <w:t>3.</w:t>
            </w:r>
          </w:p>
        </w:tc>
        <w:tc>
          <w:tcPr>
            <w:tcW w:w="2845" w:type="dxa"/>
          </w:tcPr>
          <w:p w14:paraId="2B8158E5" w14:textId="60898753" w:rsidR="0072009E" w:rsidRPr="00DD49B6" w:rsidRDefault="0072009E" w:rsidP="0072009E">
            <w:pPr>
              <w:spacing w:after="120" w:line="240" w:lineRule="auto"/>
              <w:ind w:left="57" w:right="57" w:firstLine="46"/>
              <w:jc w:val="left"/>
              <w:rPr>
                <w:sz w:val="24"/>
                <w:szCs w:val="24"/>
                <w:lang w:eastAsia="lv-LV"/>
              </w:rPr>
            </w:pPr>
            <w:r w:rsidRPr="00DD49B6">
              <w:rPr>
                <w:sz w:val="24"/>
                <w:szCs w:val="24"/>
                <w:lang w:eastAsia="lv-LV"/>
              </w:rPr>
              <w:t>Sabiedrības līdzdalības rezultāti</w:t>
            </w:r>
          </w:p>
        </w:tc>
        <w:tc>
          <w:tcPr>
            <w:tcW w:w="5518" w:type="dxa"/>
          </w:tcPr>
          <w:p w14:paraId="1C3C0835" w14:textId="0631DA97" w:rsidR="0072009E" w:rsidRDefault="00053E2C" w:rsidP="0072009E">
            <w:pPr>
              <w:shd w:val="clear" w:color="auto" w:fill="FFFFFF"/>
              <w:spacing w:after="120" w:line="240" w:lineRule="auto"/>
              <w:ind w:left="47" w:firstLine="0"/>
              <w:rPr>
                <w:sz w:val="24"/>
                <w:szCs w:val="24"/>
                <w:lang w:eastAsia="lv-LV"/>
              </w:rPr>
            </w:pPr>
            <w:r>
              <w:rPr>
                <w:sz w:val="24"/>
                <w:szCs w:val="24"/>
              </w:rPr>
              <w:t>I</w:t>
            </w:r>
            <w:r w:rsidRPr="004F4970">
              <w:rPr>
                <w:sz w:val="24"/>
                <w:szCs w:val="24"/>
              </w:rPr>
              <w:t>ebildumi un priekšlikumi netika saņemti.</w:t>
            </w:r>
          </w:p>
        </w:tc>
      </w:tr>
      <w:tr w:rsidR="00463025" w:rsidRPr="00DD49B6" w14:paraId="5228F1F2" w14:textId="77777777" w:rsidTr="000439EF">
        <w:trPr>
          <w:trHeight w:val="476"/>
        </w:trPr>
        <w:tc>
          <w:tcPr>
            <w:tcW w:w="567" w:type="dxa"/>
          </w:tcPr>
          <w:p w14:paraId="771E05D1" w14:textId="1FA8B239" w:rsidR="00463025" w:rsidRPr="00DD49B6" w:rsidRDefault="00463025" w:rsidP="002B2ED2">
            <w:pPr>
              <w:spacing w:after="120" w:line="240" w:lineRule="auto"/>
              <w:ind w:left="57" w:right="57" w:firstLine="46"/>
              <w:rPr>
                <w:sz w:val="24"/>
                <w:szCs w:val="24"/>
                <w:lang w:eastAsia="lv-LV"/>
              </w:rPr>
            </w:pPr>
            <w:r>
              <w:rPr>
                <w:sz w:val="24"/>
                <w:szCs w:val="24"/>
                <w:lang w:eastAsia="lv-LV"/>
              </w:rPr>
              <w:t>4.</w:t>
            </w:r>
          </w:p>
        </w:tc>
        <w:tc>
          <w:tcPr>
            <w:tcW w:w="2845" w:type="dxa"/>
          </w:tcPr>
          <w:p w14:paraId="318DD1F3" w14:textId="04210967" w:rsidR="00463025" w:rsidRPr="00DD49B6" w:rsidRDefault="00463025" w:rsidP="002B2ED2">
            <w:pPr>
              <w:spacing w:after="120" w:line="240" w:lineRule="auto"/>
              <w:ind w:left="57" w:right="57" w:firstLine="46"/>
              <w:rPr>
                <w:sz w:val="24"/>
                <w:szCs w:val="24"/>
                <w:lang w:eastAsia="lv-LV"/>
              </w:rPr>
            </w:pPr>
            <w:r>
              <w:rPr>
                <w:sz w:val="24"/>
                <w:szCs w:val="24"/>
                <w:lang w:eastAsia="lv-LV"/>
              </w:rPr>
              <w:t>Cita informācija</w:t>
            </w:r>
          </w:p>
        </w:tc>
        <w:tc>
          <w:tcPr>
            <w:tcW w:w="5518" w:type="dxa"/>
          </w:tcPr>
          <w:p w14:paraId="28BC12C6" w14:textId="77777777" w:rsidR="00463025" w:rsidRPr="00DD49B6" w:rsidRDefault="00463025" w:rsidP="002B2ED2">
            <w:pPr>
              <w:shd w:val="clear" w:color="auto" w:fill="FFFFFF"/>
              <w:spacing w:after="120" w:line="240" w:lineRule="auto"/>
              <w:ind w:left="47" w:firstLine="0"/>
              <w:rPr>
                <w:sz w:val="24"/>
                <w:szCs w:val="24"/>
                <w:lang w:eastAsia="lv-LV"/>
              </w:rPr>
            </w:pPr>
            <w:r>
              <w:rPr>
                <w:sz w:val="24"/>
                <w:szCs w:val="24"/>
                <w:lang w:eastAsia="lv-LV"/>
              </w:rPr>
              <w:t>Nav.</w:t>
            </w:r>
          </w:p>
        </w:tc>
      </w:tr>
    </w:tbl>
    <w:p w14:paraId="46429EEE" w14:textId="77777777" w:rsidR="006A3498" w:rsidRDefault="006A3498" w:rsidP="00E37BE8">
      <w:pPr>
        <w:spacing w:after="1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054"/>
        <w:gridCol w:w="5451"/>
      </w:tblGrid>
      <w:tr w:rsidR="00532F34" w:rsidRPr="0027189F" w14:paraId="67C07A9D" w14:textId="77777777" w:rsidTr="00996F00">
        <w:tc>
          <w:tcPr>
            <w:tcW w:w="8959" w:type="dxa"/>
            <w:gridSpan w:val="3"/>
            <w:shd w:val="clear" w:color="auto" w:fill="auto"/>
          </w:tcPr>
          <w:p w14:paraId="04D7D985" w14:textId="77777777" w:rsidR="00532F34" w:rsidRPr="00AD4676" w:rsidRDefault="00532F34" w:rsidP="00E37BE8">
            <w:pPr>
              <w:spacing w:before="100" w:beforeAutospacing="1" w:after="120" w:line="240" w:lineRule="auto"/>
              <w:ind w:firstLine="0"/>
              <w:jc w:val="center"/>
              <w:rPr>
                <w:rFonts w:eastAsia="Times New Roman"/>
                <w:b/>
                <w:bCs/>
                <w:sz w:val="24"/>
                <w:szCs w:val="24"/>
                <w:lang w:eastAsia="lv-LV"/>
              </w:rPr>
            </w:pPr>
            <w:r w:rsidRPr="00AD4676">
              <w:rPr>
                <w:rFonts w:eastAsia="Times New Roman"/>
                <w:b/>
                <w:bCs/>
                <w:sz w:val="24"/>
                <w:szCs w:val="24"/>
                <w:lang w:eastAsia="lv-LV"/>
              </w:rPr>
              <w:t>VII. Tiesību akta projekta izpildes nodrošināšana un tās ietekme uz institūcijām</w:t>
            </w:r>
          </w:p>
        </w:tc>
      </w:tr>
      <w:tr w:rsidR="00463025" w:rsidRPr="0027189F" w14:paraId="5D2BDF52" w14:textId="77777777" w:rsidTr="000439EF">
        <w:trPr>
          <w:trHeight w:val="564"/>
        </w:trPr>
        <w:tc>
          <w:tcPr>
            <w:tcW w:w="454" w:type="dxa"/>
            <w:shd w:val="clear" w:color="auto" w:fill="auto"/>
          </w:tcPr>
          <w:p w14:paraId="03DAB5B7" w14:textId="0BD28AEA" w:rsidR="00463025" w:rsidRPr="00AD4676" w:rsidRDefault="00463025" w:rsidP="00463025">
            <w:pPr>
              <w:spacing w:after="120" w:line="240" w:lineRule="auto"/>
              <w:ind w:firstLine="0"/>
              <w:jc w:val="left"/>
              <w:rPr>
                <w:rFonts w:eastAsia="Times New Roman"/>
                <w:sz w:val="24"/>
                <w:szCs w:val="24"/>
                <w:lang w:eastAsia="lv-LV"/>
              </w:rPr>
            </w:pPr>
            <w:r>
              <w:rPr>
                <w:rFonts w:eastAsia="Times New Roman"/>
                <w:sz w:val="24"/>
                <w:szCs w:val="24"/>
                <w:lang w:eastAsia="lv-LV"/>
              </w:rPr>
              <w:t>1.</w:t>
            </w:r>
          </w:p>
        </w:tc>
        <w:tc>
          <w:tcPr>
            <w:tcW w:w="3054" w:type="dxa"/>
            <w:shd w:val="clear" w:color="auto" w:fill="auto"/>
          </w:tcPr>
          <w:p w14:paraId="5E2CB4D2" w14:textId="08DB67EF"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Projekta izpildē iesaistītās institūcijas</w:t>
            </w:r>
          </w:p>
        </w:tc>
        <w:tc>
          <w:tcPr>
            <w:tcW w:w="5451" w:type="dxa"/>
            <w:shd w:val="clear" w:color="auto" w:fill="auto"/>
          </w:tcPr>
          <w:p w14:paraId="4F431FE8" w14:textId="19F1702B" w:rsidR="00463025" w:rsidRPr="00AD4676" w:rsidRDefault="0054211B" w:rsidP="00E964CC">
            <w:pPr>
              <w:spacing w:after="120" w:line="240" w:lineRule="auto"/>
              <w:ind w:firstLine="0"/>
              <w:rPr>
                <w:rFonts w:eastAsia="Times New Roman"/>
                <w:sz w:val="24"/>
                <w:szCs w:val="24"/>
                <w:lang w:eastAsia="lv-LV"/>
              </w:rPr>
            </w:pPr>
            <w:r>
              <w:rPr>
                <w:rFonts w:eastAsia="Times New Roman"/>
                <w:sz w:val="24"/>
                <w:szCs w:val="24"/>
                <w:lang w:eastAsia="lv-LV"/>
              </w:rPr>
              <w:t>CSDD</w:t>
            </w:r>
            <w:r w:rsidR="00463025" w:rsidRPr="00AD4676">
              <w:rPr>
                <w:rFonts w:eastAsia="Times New Roman"/>
                <w:sz w:val="24"/>
                <w:szCs w:val="24"/>
                <w:lang w:eastAsia="lv-LV"/>
              </w:rPr>
              <w:t>.</w:t>
            </w:r>
          </w:p>
        </w:tc>
      </w:tr>
      <w:tr w:rsidR="00463025" w14:paraId="214E546B" w14:textId="77777777" w:rsidTr="000439EF">
        <w:trPr>
          <w:trHeight w:val="685"/>
        </w:trPr>
        <w:tc>
          <w:tcPr>
            <w:tcW w:w="454" w:type="dxa"/>
            <w:shd w:val="clear" w:color="auto" w:fill="auto"/>
          </w:tcPr>
          <w:p w14:paraId="39747DEC" w14:textId="414ECE62" w:rsidR="00463025" w:rsidRPr="00AD4676" w:rsidRDefault="00463025" w:rsidP="00463025">
            <w:pPr>
              <w:spacing w:after="120" w:line="240" w:lineRule="auto"/>
              <w:ind w:firstLine="0"/>
              <w:rPr>
                <w:rFonts w:eastAsia="Times New Roman"/>
                <w:sz w:val="24"/>
                <w:szCs w:val="24"/>
                <w:lang w:eastAsia="lv-LV"/>
              </w:rPr>
            </w:pPr>
            <w:r>
              <w:rPr>
                <w:rFonts w:eastAsia="Times New Roman"/>
                <w:sz w:val="24"/>
                <w:szCs w:val="24"/>
                <w:lang w:eastAsia="lv-LV"/>
              </w:rPr>
              <w:lastRenderedPageBreak/>
              <w:t>2.</w:t>
            </w:r>
          </w:p>
        </w:tc>
        <w:tc>
          <w:tcPr>
            <w:tcW w:w="3054" w:type="dxa"/>
            <w:shd w:val="clear" w:color="auto" w:fill="auto"/>
          </w:tcPr>
          <w:p w14:paraId="77233709" w14:textId="642EEC60" w:rsidR="00463025" w:rsidRPr="00AD4676" w:rsidRDefault="00463025" w:rsidP="00463025">
            <w:pPr>
              <w:spacing w:after="120" w:line="240" w:lineRule="auto"/>
              <w:ind w:firstLine="0"/>
              <w:rPr>
                <w:rFonts w:eastAsia="Times New Roman"/>
                <w:sz w:val="24"/>
                <w:szCs w:val="24"/>
                <w:lang w:eastAsia="lv-LV"/>
              </w:rPr>
            </w:pPr>
            <w:r w:rsidRPr="00AD4676">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451" w:type="dxa"/>
            <w:shd w:val="clear" w:color="auto" w:fill="auto"/>
          </w:tcPr>
          <w:p w14:paraId="1D0343D7" w14:textId="0BA65604" w:rsidR="00463025" w:rsidRDefault="00463025" w:rsidP="00A2064D">
            <w:pPr>
              <w:spacing w:after="120" w:line="240" w:lineRule="auto"/>
              <w:ind w:firstLine="0"/>
            </w:pPr>
            <w:r w:rsidRPr="00AD4676">
              <w:rPr>
                <w:rFonts w:eastAsia="Times New Roman"/>
                <w:sz w:val="24"/>
                <w:szCs w:val="24"/>
                <w:lang w:eastAsia="lv-LV"/>
              </w:rPr>
              <w:t xml:space="preserve">Normatīvā akta izpilde tiks nodrošināta </w:t>
            </w:r>
            <w:r w:rsidR="0054211B">
              <w:rPr>
                <w:rFonts w:eastAsia="Times New Roman"/>
                <w:sz w:val="24"/>
                <w:szCs w:val="24"/>
                <w:lang w:eastAsia="lv-LV"/>
              </w:rPr>
              <w:t>CSDD</w:t>
            </w:r>
            <w:r w:rsidR="00A2064D">
              <w:rPr>
                <w:rFonts w:eastAsia="Times New Roman"/>
                <w:sz w:val="24"/>
                <w:szCs w:val="24"/>
                <w:lang w:eastAsia="lv-LV"/>
              </w:rPr>
              <w:t xml:space="preserve"> līdzšinējo </w:t>
            </w:r>
            <w:r w:rsidRPr="00AD4676">
              <w:rPr>
                <w:rFonts w:eastAsia="Times New Roman"/>
                <w:sz w:val="24"/>
                <w:szCs w:val="24"/>
                <w:lang w:eastAsia="lv-LV"/>
              </w:rPr>
              <w:t>funkciju ietvaros.</w:t>
            </w:r>
          </w:p>
        </w:tc>
      </w:tr>
      <w:tr w:rsidR="00463025" w:rsidRPr="0027189F" w14:paraId="0E7A80C6" w14:textId="77777777" w:rsidTr="000439EF">
        <w:trPr>
          <w:trHeight w:val="416"/>
        </w:trPr>
        <w:tc>
          <w:tcPr>
            <w:tcW w:w="454" w:type="dxa"/>
            <w:shd w:val="clear" w:color="auto" w:fill="auto"/>
          </w:tcPr>
          <w:p w14:paraId="166B0345" w14:textId="2FD4F5F5" w:rsidR="00463025" w:rsidRPr="00AD4676" w:rsidRDefault="00463025" w:rsidP="00463025">
            <w:pPr>
              <w:spacing w:after="120" w:line="240" w:lineRule="auto"/>
              <w:ind w:firstLine="0"/>
              <w:jc w:val="left"/>
              <w:rPr>
                <w:rFonts w:eastAsia="Times New Roman"/>
                <w:sz w:val="24"/>
                <w:szCs w:val="24"/>
                <w:lang w:eastAsia="lv-LV"/>
              </w:rPr>
            </w:pPr>
            <w:r>
              <w:rPr>
                <w:rFonts w:eastAsia="Times New Roman"/>
                <w:sz w:val="24"/>
                <w:szCs w:val="24"/>
                <w:lang w:eastAsia="lv-LV"/>
              </w:rPr>
              <w:t>3.</w:t>
            </w:r>
          </w:p>
        </w:tc>
        <w:tc>
          <w:tcPr>
            <w:tcW w:w="3054" w:type="dxa"/>
            <w:shd w:val="clear" w:color="auto" w:fill="auto"/>
          </w:tcPr>
          <w:p w14:paraId="55094105" w14:textId="772F13AF"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Cita informācija</w:t>
            </w:r>
          </w:p>
        </w:tc>
        <w:tc>
          <w:tcPr>
            <w:tcW w:w="5451" w:type="dxa"/>
            <w:shd w:val="clear" w:color="auto" w:fill="auto"/>
          </w:tcPr>
          <w:p w14:paraId="5F1046D7" w14:textId="77777777"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14:paraId="6DCC42D2" w14:textId="77777777" w:rsidR="002031E0" w:rsidRDefault="002031E0" w:rsidP="00E37BE8">
      <w:pPr>
        <w:spacing w:after="120" w:line="240" w:lineRule="auto"/>
        <w:jc w:val="left"/>
        <w:rPr>
          <w:rFonts w:eastAsia="Times New Roman"/>
          <w:szCs w:val="28"/>
          <w:lang w:eastAsia="lv-LV"/>
        </w:rPr>
      </w:pPr>
    </w:p>
    <w:p w14:paraId="11ABFCF1" w14:textId="4B0101E5" w:rsidR="00A3357E" w:rsidRPr="00A3357E" w:rsidRDefault="00A3357E" w:rsidP="00A3357E">
      <w:pPr>
        <w:spacing w:line="240" w:lineRule="auto"/>
        <w:ind w:firstLine="0"/>
        <w:rPr>
          <w:bCs/>
          <w:szCs w:val="28"/>
        </w:rPr>
      </w:pPr>
      <w:r w:rsidRPr="00A3357E">
        <w:rPr>
          <w:bCs/>
          <w:szCs w:val="28"/>
        </w:rPr>
        <w:t xml:space="preserve">Satiksmes ministrs </w:t>
      </w:r>
      <w:r w:rsidRPr="00A3357E">
        <w:rPr>
          <w:bCs/>
          <w:szCs w:val="28"/>
        </w:rPr>
        <w:tab/>
      </w:r>
      <w:r w:rsidRPr="00A3357E">
        <w:rPr>
          <w:bCs/>
          <w:szCs w:val="28"/>
        </w:rPr>
        <w:tab/>
      </w:r>
      <w:r w:rsidRPr="00A3357E">
        <w:rPr>
          <w:bCs/>
          <w:szCs w:val="28"/>
        </w:rPr>
        <w:tab/>
      </w:r>
      <w:r w:rsidRPr="00A3357E">
        <w:rPr>
          <w:bCs/>
          <w:szCs w:val="28"/>
        </w:rPr>
        <w:tab/>
      </w:r>
      <w:r w:rsidRPr="00A3357E">
        <w:rPr>
          <w:bCs/>
          <w:szCs w:val="28"/>
        </w:rPr>
        <w:tab/>
      </w:r>
      <w:r w:rsidRPr="00A3357E">
        <w:rPr>
          <w:bCs/>
          <w:szCs w:val="28"/>
        </w:rPr>
        <w:tab/>
      </w:r>
      <w:r w:rsidRPr="00A3357E">
        <w:rPr>
          <w:bCs/>
          <w:szCs w:val="28"/>
        </w:rPr>
        <w:tab/>
      </w:r>
      <w:r>
        <w:rPr>
          <w:bCs/>
          <w:szCs w:val="28"/>
        </w:rPr>
        <w:t xml:space="preserve">          </w:t>
      </w:r>
      <w:r w:rsidRPr="00A3357E">
        <w:rPr>
          <w:szCs w:val="28"/>
        </w:rPr>
        <w:t>T.Linkaits</w:t>
      </w:r>
      <w:r w:rsidRPr="00A3357E">
        <w:rPr>
          <w:bCs/>
          <w:szCs w:val="28"/>
        </w:rPr>
        <w:tab/>
      </w:r>
    </w:p>
    <w:p w14:paraId="1A80F926" w14:textId="77777777" w:rsidR="00A3357E" w:rsidRPr="00A3357E" w:rsidRDefault="00A3357E" w:rsidP="00A3357E">
      <w:pPr>
        <w:spacing w:line="240" w:lineRule="auto"/>
        <w:ind w:firstLine="0"/>
        <w:rPr>
          <w:sz w:val="24"/>
          <w:szCs w:val="24"/>
        </w:rPr>
      </w:pPr>
    </w:p>
    <w:p w14:paraId="60E2EDF3" w14:textId="6AD279AF" w:rsidR="00A3357E" w:rsidRPr="00A3357E" w:rsidRDefault="00A3357E" w:rsidP="00A3357E">
      <w:pPr>
        <w:spacing w:line="240" w:lineRule="auto"/>
        <w:ind w:firstLine="0"/>
        <w:rPr>
          <w:szCs w:val="28"/>
        </w:rPr>
      </w:pPr>
      <w:r w:rsidRPr="00A3357E">
        <w:rPr>
          <w:szCs w:val="28"/>
        </w:rPr>
        <w:t>Vīza: Valsts sekretārs</w:t>
      </w:r>
      <w:r w:rsidRPr="00A3357E">
        <w:rPr>
          <w:szCs w:val="28"/>
        </w:rPr>
        <w:tab/>
      </w:r>
      <w:r w:rsidRPr="00A3357E">
        <w:rPr>
          <w:szCs w:val="28"/>
        </w:rPr>
        <w:tab/>
      </w:r>
      <w:r w:rsidRPr="00A3357E">
        <w:rPr>
          <w:szCs w:val="28"/>
        </w:rPr>
        <w:tab/>
      </w:r>
      <w:r w:rsidRPr="00A3357E">
        <w:rPr>
          <w:szCs w:val="28"/>
        </w:rPr>
        <w:tab/>
      </w:r>
      <w:r w:rsidRPr="00A3357E">
        <w:rPr>
          <w:szCs w:val="28"/>
        </w:rPr>
        <w:tab/>
      </w:r>
      <w:r w:rsidRPr="00A3357E">
        <w:rPr>
          <w:szCs w:val="28"/>
        </w:rPr>
        <w:tab/>
      </w:r>
      <w:r w:rsidRPr="00A3357E">
        <w:rPr>
          <w:szCs w:val="28"/>
        </w:rPr>
        <w:tab/>
      </w:r>
      <w:r>
        <w:rPr>
          <w:szCs w:val="28"/>
        </w:rPr>
        <w:t xml:space="preserve">         </w:t>
      </w:r>
      <w:r w:rsidRPr="00A3357E">
        <w:rPr>
          <w:szCs w:val="28"/>
        </w:rPr>
        <w:t xml:space="preserve"> K.Ozoliņš</w:t>
      </w:r>
    </w:p>
    <w:p w14:paraId="3F9B0004" w14:textId="77777777" w:rsidR="005E015B" w:rsidRDefault="005E015B" w:rsidP="00E37BE8">
      <w:pPr>
        <w:pStyle w:val="Header"/>
        <w:spacing w:after="120"/>
        <w:ind w:firstLine="0"/>
        <w:rPr>
          <w:sz w:val="20"/>
          <w:szCs w:val="20"/>
        </w:rPr>
      </w:pPr>
    </w:p>
    <w:sectPr w:rsidR="005E015B" w:rsidSect="004321E7">
      <w:headerReference w:type="default" r:id="rId9"/>
      <w:footerReference w:type="default" r:id="rId10"/>
      <w:footerReference w:type="first" r:id="rId11"/>
      <w:pgSz w:w="11906" w:h="16838"/>
      <w:pgMar w:top="1134" w:right="1134" w:bottom="1134" w:left="1701"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AF6A" w14:textId="77777777" w:rsidR="00D31F5D" w:rsidRDefault="00D31F5D" w:rsidP="00E65F54">
      <w:pPr>
        <w:spacing w:line="240" w:lineRule="auto"/>
      </w:pPr>
      <w:r>
        <w:separator/>
      </w:r>
    </w:p>
  </w:endnote>
  <w:endnote w:type="continuationSeparator" w:id="0">
    <w:p w14:paraId="18FE3CB1" w14:textId="77777777" w:rsidR="00D31F5D" w:rsidRDefault="00D31F5D"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54D2" w14:textId="52F84B37" w:rsidR="00E82832" w:rsidRPr="00A3357E" w:rsidRDefault="00A3357E" w:rsidP="002031E0">
    <w:pPr>
      <w:pStyle w:val="Footer"/>
      <w:ind w:firstLine="0"/>
      <w:rPr>
        <w:sz w:val="20"/>
        <w:szCs w:val="20"/>
      </w:rPr>
    </w:pPr>
    <w:r w:rsidRPr="00A3357E">
      <w:rPr>
        <w:sz w:val="20"/>
        <w:szCs w:val="20"/>
      </w:rPr>
      <w:t>SM</w:t>
    </w:r>
    <w:r w:rsidR="00EE44FE">
      <w:rPr>
        <w:sz w:val="20"/>
        <w:szCs w:val="20"/>
      </w:rPr>
      <w:t>a</w:t>
    </w:r>
    <w:r w:rsidRPr="00A3357E">
      <w:rPr>
        <w:sz w:val="20"/>
        <w:szCs w:val="20"/>
      </w:rPr>
      <w:t>not_040219_cenradis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5F0" w14:textId="19AA924B" w:rsidR="00E82832" w:rsidRPr="00A3357E" w:rsidRDefault="00A3357E" w:rsidP="002031E0">
    <w:pPr>
      <w:pStyle w:val="Footer"/>
      <w:ind w:firstLine="0"/>
      <w:rPr>
        <w:sz w:val="20"/>
        <w:szCs w:val="20"/>
      </w:rPr>
    </w:pPr>
    <w:r w:rsidRPr="00A3357E">
      <w:rPr>
        <w:sz w:val="20"/>
        <w:szCs w:val="20"/>
      </w:rPr>
      <w:t>SM</w:t>
    </w:r>
    <w:r w:rsidR="00EE44FE">
      <w:rPr>
        <w:sz w:val="20"/>
        <w:szCs w:val="20"/>
      </w:rPr>
      <w:t>a</w:t>
    </w:r>
    <w:r w:rsidRPr="00A3357E">
      <w:rPr>
        <w:sz w:val="20"/>
        <w:szCs w:val="20"/>
      </w:rPr>
      <w:t>not_040219_cenradis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CD05" w14:textId="77777777" w:rsidR="00D31F5D" w:rsidRDefault="00D31F5D" w:rsidP="00E65F54">
      <w:pPr>
        <w:spacing w:line="240" w:lineRule="auto"/>
      </w:pPr>
      <w:r>
        <w:separator/>
      </w:r>
    </w:p>
  </w:footnote>
  <w:footnote w:type="continuationSeparator" w:id="0">
    <w:p w14:paraId="5CC517E4" w14:textId="77777777" w:rsidR="00D31F5D" w:rsidRDefault="00D31F5D"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28F" w14:textId="74E6B364" w:rsidR="00E82832" w:rsidRDefault="00E82832" w:rsidP="0047322B">
    <w:pPr>
      <w:pStyle w:val="Header"/>
      <w:ind w:firstLine="0"/>
      <w:jc w:val="center"/>
    </w:pPr>
    <w:r>
      <w:fldChar w:fldCharType="begin"/>
    </w:r>
    <w:r>
      <w:instrText xml:space="preserve"> PAGE   \* MERGEFORMAT </w:instrText>
    </w:r>
    <w:r>
      <w:fldChar w:fldCharType="separate"/>
    </w:r>
    <w:r w:rsidR="00781B59">
      <w:rPr>
        <w:noProof/>
      </w:rPr>
      <w:t>3</w:t>
    </w:r>
    <w:r>
      <w:fldChar w:fldCharType="end"/>
    </w:r>
  </w:p>
  <w:p w14:paraId="509A498A" w14:textId="77777777" w:rsidR="00E82832" w:rsidRDefault="00E8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356FF8"/>
    <w:multiLevelType w:val="hybridMultilevel"/>
    <w:tmpl w:val="B864867C"/>
    <w:lvl w:ilvl="0" w:tplc="B478F0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0430BD"/>
    <w:multiLevelType w:val="hybridMultilevel"/>
    <w:tmpl w:val="F4F61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A02059"/>
    <w:multiLevelType w:val="hybridMultilevel"/>
    <w:tmpl w:val="5434CC46"/>
    <w:lvl w:ilvl="0" w:tplc="04260011">
      <w:start w:val="1"/>
      <w:numFmt w:val="decimal"/>
      <w:lvlText w:val="%1)"/>
      <w:lvlJc w:val="left"/>
      <w:pPr>
        <w:ind w:left="722" w:hanging="360"/>
      </w:p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5"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FFC1A08"/>
    <w:multiLevelType w:val="hybridMultilevel"/>
    <w:tmpl w:val="907EB69A"/>
    <w:lvl w:ilvl="0" w:tplc="091E0E00">
      <w:start w:val="1"/>
      <w:numFmt w:val="bullet"/>
      <w:lvlText w:val="-"/>
      <w:lvlJc w:val="left"/>
      <w:pPr>
        <w:ind w:left="362" w:hanging="360"/>
      </w:pPr>
      <w:rPr>
        <w:rFonts w:ascii="Times New Roman" w:eastAsia="Times New Roman" w:hAnsi="Times New Roman" w:cs="Times New Roman" w:hint="default"/>
      </w:rPr>
    </w:lvl>
    <w:lvl w:ilvl="1" w:tplc="04260003" w:tentative="1">
      <w:start w:val="1"/>
      <w:numFmt w:val="bullet"/>
      <w:lvlText w:val="o"/>
      <w:lvlJc w:val="left"/>
      <w:pPr>
        <w:ind w:left="1082" w:hanging="360"/>
      </w:pPr>
      <w:rPr>
        <w:rFonts w:ascii="Courier New" w:hAnsi="Courier New" w:cs="Courier New" w:hint="default"/>
      </w:rPr>
    </w:lvl>
    <w:lvl w:ilvl="2" w:tplc="04260005" w:tentative="1">
      <w:start w:val="1"/>
      <w:numFmt w:val="bullet"/>
      <w:lvlText w:val=""/>
      <w:lvlJc w:val="left"/>
      <w:pPr>
        <w:ind w:left="1802" w:hanging="360"/>
      </w:pPr>
      <w:rPr>
        <w:rFonts w:ascii="Wingdings" w:hAnsi="Wingdings" w:hint="default"/>
      </w:rPr>
    </w:lvl>
    <w:lvl w:ilvl="3" w:tplc="04260001" w:tentative="1">
      <w:start w:val="1"/>
      <w:numFmt w:val="bullet"/>
      <w:lvlText w:val=""/>
      <w:lvlJc w:val="left"/>
      <w:pPr>
        <w:ind w:left="2522" w:hanging="360"/>
      </w:pPr>
      <w:rPr>
        <w:rFonts w:ascii="Symbol" w:hAnsi="Symbol" w:hint="default"/>
      </w:rPr>
    </w:lvl>
    <w:lvl w:ilvl="4" w:tplc="04260003" w:tentative="1">
      <w:start w:val="1"/>
      <w:numFmt w:val="bullet"/>
      <w:lvlText w:val="o"/>
      <w:lvlJc w:val="left"/>
      <w:pPr>
        <w:ind w:left="3242" w:hanging="360"/>
      </w:pPr>
      <w:rPr>
        <w:rFonts w:ascii="Courier New" w:hAnsi="Courier New" w:cs="Courier New" w:hint="default"/>
      </w:rPr>
    </w:lvl>
    <w:lvl w:ilvl="5" w:tplc="04260005" w:tentative="1">
      <w:start w:val="1"/>
      <w:numFmt w:val="bullet"/>
      <w:lvlText w:val=""/>
      <w:lvlJc w:val="left"/>
      <w:pPr>
        <w:ind w:left="3962" w:hanging="360"/>
      </w:pPr>
      <w:rPr>
        <w:rFonts w:ascii="Wingdings" w:hAnsi="Wingdings" w:hint="default"/>
      </w:rPr>
    </w:lvl>
    <w:lvl w:ilvl="6" w:tplc="04260001" w:tentative="1">
      <w:start w:val="1"/>
      <w:numFmt w:val="bullet"/>
      <w:lvlText w:val=""/>
      <w:lvlJc w:val="left"/>
      <w:pPr>
        <w:ind w:left="4682" w:hanging="360"/>
      </w:pPr>
      <w:rPr>
        <w:rFonts w:ascii="Symbol" w:hAnsi="Symbol" w:hint="default"/>
      </w:rPr>
    </w:lvl>
    <w:lvl w:ilvl="7" w:tplc="04260003" w:tentative="1">
      <w:start w:val="1"/>
      <w:numFmt w:val="bullet"/>
      <w:lvlText w:val="o"/>
      <w:lvlJc w:val="left"/>
      <w:pPr>
        <w:ind w:left="5402" w:hanging="360"/>
      </w:pPr>
      <w:rPr>
        <w:rFonts w:ascii="Courier New" w:hAnsi="Courier New" w:cs="Courier New" w:hint="default"/>
      </w:rPr>
    </w:lvl>
    <w:lvl w:ilvl="8" w:tplc="04260005" w:tentative="1">
      <w:start w:val="1"/>
      <w:numFmt w:val="bullet"/>
      <w:lvlText w:val=""/>
      <w:lvlJc w:val="left"/>
      <w:pPr>
        <w:ind w:left="6122" w:hanging="360"/>
      </w:pPr>
      <w:rPr>
        <w:rFonts w:ascii="Wingdings" w:hAnsi="Wingdings" w:hint="default"/>
      </w:rPr>
    </w:lvl>
  </w:abstractNum>
  <w:abstractNum w:abstractNumId="7" w15:restartNumberingAfterBreak="0">
    <w:nsid w:val="79E3395B"/>
    <w:multiLevelType w:val="hybridMultilevel"/>
    <w:tmpl w:val="89F64638"/>
    <w:lvl w:ilvl="0" w:tplc="04260011">
      <w:start w:val="1"/>
      <w:numFmt w:val="decimal"/>
      <w:lvlText w:val="%1)"/>
      <w:lvlJc w:val="left"/>
      <w:pPr>
        <w:ind w:left="362" w:hanging="360"/>
      </w:pPr>
      <w:rPr>
        <w:rFonts w:hint="default"/>
      </w:rPr>
    </w:lvl>
    <w:lvl w:ilvl="1" w:tplc="04260019" w:tentative="1">
      <w:start w:val="1"/>
      <w:numFmt w:val="lowerLetter"/>
      <w:lvlText w:val="%2."/>
      <w:lvlJc w:val="left"/>
      <w:pPr>
        <w:ind w:left="1082" w:hanging="360"/>
      </w:pPr>
    </w:lvl>
    <w:lvl w:ilvl="2" w:tplc="0426001B" w:tentative="1">
      <w:start w:val="1"/>
      <w:numFmt w:val="lowerRoman"/>
      <w:lvlText w:val="%3."/>
      <w:lvlJc w:val="right"/>
      <w:pPr>
        <w:ind w:left="1802" w:hanging="180"/>
      </w:pPr>
    </w:lvl>
    <w:lvl w:ilvl="3" w:tplc="0426000F" w:tentative="1">
      <w:start w:val="1"/>
      <w:numFmt w:val="decimal"/>
      <w:lvlText w:val="%4."/>
      <w:lvlJc w:val="left"/>
      <w:pPr>
        <w:ind w:left="2522" w:hanging="360"/>
      </w:pPr>
    </w:lvl>
    <w:lvl w:ilvl="4" w:tplc="04260019" w:tentative="1">
      <w:start w:val="1"/>
      <w:numFmt w:val="lowerLetter"/>
      <w:lvlText w:val="%5."/>
      <w:lvlJc w:val="left"/>
      <w:pPr>
        <w:ind w:left="3242" w:hanging="360"/>
      </w:pPr>
    </w:lvl>
    <w:lvl w:ilvl="5" w:tplc="0426001B" w:tentative="1">
      <w:start w:val="1"/>
      <w:numFmt w:val="lowerRoman"/>
      <w:lvlText w:val="%6."/>
      <w:lvlJc w:val="right"/>
      <w:pPr>
        <w:ind w:left="3962" w:hanging="180"/>
      </w:pPr>
    </w:lvl>
    <w:lvl w:ilvl="6" w:tplc="0426000F" w:tentative="1">
      <w:start w:val="1"/>
      <w:numFmt w:val="decimal"/>
      <w:lvlText w:val="%7."/>
      <w:lvlJc w:val="left"/>
      <w:pPr>
        <w:ind w:left="4682" w:hanging="360"/>
      </w:pPr>
    </w:lvl>
    <w:lvl w:ilvl="7" w:tplc="04260019" w:tentative="1">
      <w:start w:val="1"/>
      <w:numFmt w:val="lowerLetter"/>
      <w:lvlText w:val="%8."/>
      <w:lvlJc w:val="left"/>
      <w:pPr>
        <w:ind w:left="5402" w:hanging="360"/>
      </w:pPr>
    </w:lvl>
    <w:lvl w:ilvl="8" w:tplc="0426001B" w:tentative="1">
      <w:start w:val="1"/>
      <w:numFmt w:val="lowerRoman"/>
      <w:lvlText w:val="%9."/>
      <w:lvlJc w:val="right"/>
      <w:pPr>
        <w:ind w:left="6122"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7801"/>
    <w:rsid w:val="00013446"/>
    <w:rsid w:val="00013A0D"/>
    <w:rsid w:val="00013B8C"/>
    <w:rsid w:val="00013BBF"/>
    <w:rsid w:val="00015C0B"/>
    <w:rsid w:val="00022605"/>
    <w:rsid w:val="000305C4"/>
    <w:rsid w:val="0003680E"/>
    <w:rsid w:val="00036A37"/>
    <w:rsid w:val="00036B0B"/>
    <w:rsid w:val="000439EF"/>
    <w:rsid w:val="000448D7"/>
    <w:rsid w:val="00044BB5"/>
    <w:rsid w:val="000450A5"/>
    <w:rsid w:val="0004524B"/>
    <w:rsid w:val="00047D4B"/>
    <w:rsid w:val="00051117"/>
    <w:rsid w:val="00053E2C"/>
    <w:rsid w:val="00063F9F"/>
    <w:rsid w:val="00066615"/>
    <w:rsid w:val="00066D08"/>
    <w:rsid w:val="000750A1"/>
    <w:rsid w:val="00076734"/>
    <w:rsid w:val="00080A88"/>
    <w:rsid w:val="000811EA"/>
    <w:rsid w:val="00082E0D"/>
    <w:rsid w:val="00084CB3"/>
    <w:rsid w:val="00091C3F"/>
    <w:rsid w:val="00094458"/>
    <w:rsid w:val="00096C21"/>
    <w:rsid w:val="000A069E"/>
    <w:rsid w:val="000B3502"/>
    <w:rsid w:val="000B5D90"/>
    <w:rsid w:val="000B7137"/>
    <w:rsid w:val="000C02D8"/>
    <w:rsid w:val="000C2BF2"/>
    <w:rsid w:val="000C5F83"/>
    <w:rsid w:val="000C6584"/>
    <w:rsid w:val="000E0598"/>
    <w:rsid w:val="000E10EA"/>
    <w:rsid w:val="000E2943"/>
    <w:rsid w:val="000F0627"/>
    <w:rsid w:val="000F1021"/>
    <w:rsid w:val="00103B16"/>
    <w:rsid w:val="001044AA"/>
    <w:rsid w:val="001057D9"/>
    <w:rsid w:val="00105EAD"/>
    <w:rsid w:val="00110B1B"/>
    <w:rsid w:val="0011249D"/>
    <w:rsid w:val="00112B76"/>
    <w:rsid w:val="00117C0A"/>
    <w:rsid w:val="00120C4F"/>
    <w:rsid w:val="001229AC"/>
    <w:rsid w:val="001277CE"/>
    <w:rsid w:val="00127A0B"/>
    <w:rsid w:val="00131CC5"/>
    <w:rsid w:val="0013316E"/>
    <w:rsid w:val="0013479B"/>
    <w:rsid w:val="0013485D"/>
    <w:rsid w:val="0013670F"/>
    <w:rsid w:val="00137D0C"/>
    <w:rsid w:val="0015499E"/>
    <w:rsid w:val="00155DBC"/>
    <w:rsid w:val="001572C5"/>
    <w:rsid w:val="001572CA"/>
    <w:rsid w:val="00161634"/>
    <w:rsid w:val="001627B5"/>
    <w:rsid w:val="00165690"/>
    <w:rsid w:val="00167D64"/>
    <w:rsid w:val="00174519"/>
    <w:rsid w:val="0017730B"/>
    <w:rsid w:val="00181B7C"/>
    <w:rsid w:val="001844CC"/>
    <w:rsid w:val="00184718"/>
    <w:rsid w:val="001848C9"/>
    <w:rsid w:val="001851C0"/>
    <w:rsid w:val="00187275"/>
    <w:rsid w:val="00190F90"/>
    <w:rsid w:val="00193C20"/>
    <w:rsid w:val="001970F9"/>
    <w:rsid w:val="001A21CC"/>
    <w:rsid w:val="001B1801"/>
    <w:rsid w:val="001B1BF5"/>
    <w:rsid w:val="001B1FF9"/>
    <w:rsid w:val="001B2B88"/>
    <w:rsid w:val="001B328E"/>
    <w:rsid w:val="001B46BB"/>
    <w:rsid w:val="001B75EE"/>
    <w:rsid w:val="001C0D5F"/>
    <w:rsid w:val="001C0F56"/>
    <w:rsid w:val="001D0D51"/>
    <w:rsid w:val="001D35B7"/>
    <w:rsid w:val="001D5B60"/>
    <w:rsid w:val="001D5EEA"/>
    <w:rsid w:val="001E609C"/>
    <w:rsid w:val="001E685A"/>
    <w:rsid w:val="001E6D57"/>
    <w:rsid w:val="001F0C3A"/>
    <w:rsid w:val="001F4D7A"/>
    <w:rsid w:val="00200D00"/>
    <w:rsid w:val="00201B0C"/>
    <w:rsid w:val="00202EEF"/>
    <w:rsid w:val="002031E0"/>
    <w:rsid w:val="00204F40"/>
    <w:rsid w:val="0020575A"/>
    <w:rsid w:val="0020589F"/>
    <w:rsid w:val="00206DCB"/>
    <w:rsid w:val="00207E7D"/>
    <w:rsid w:val="00207F30"/>
    <w:rsid w:val="00212E4A"/>
    <w:rsid w:val="00217600"/>
    <w:rsid w:val="00217856"/>
    <w:rsid w:val="00222114"/>
    <w:rsid w:val="00223560"/>
    <w:rsid w:val="00227D24"/>
    <w:rsid w:val="002325C3"/>
    <w:rsid w:val="002333FB"/>
    <w:rsid w:val="002338F3"/>
    <w:rsid w:val="002348E0"/>
    <w:rsid w:val="00242A73"/>
    <w:rsid w:val="002431F8"/>
    <w:rsid w:val="00245706"/>
    <w:rsid w:val="00246B95"/>
    <w:rsid w:val="00254AAA"/>
    <w:rsid w:val="00254E6C"/>
    <w:rsid w:val="0025541C"/>
    <w:rsid w:val="00257B84"/>
    <w:rsid w:val="00262242"/>
    <w:rsid w:val="00266313"/>
    <w:rsid w:val="002679F7"/>
    <w:rsid w:val="0027189F"/>
    <w:rsid w:val="00272A0B"/>
    <w:rsid w:val="002747E2"/>
    <w:rsid w:val="0027493E"/>
    <w:rsid w:val="00282403"/>
    <w:rsid w:val="002833B3"/>
    <w:rsid w:val="00285042"/>
    <w:rsid w:val="00287F35"/>
    <w:rsid w:val="00290A97"/>
    <w:rsid w:val="00290C6C"/>
    <w:rsid w:val="0029370D"/>
    <w:rsid w:val="00295CAB"/>
    <w:rsid w:val="002968C8"/>
    <w:rsid w:val="00296CB4"/>
    <w:rsid w:val="00297B97"/>
    <w:rsid w:val="002A06E9"/>
    <w:rsid w:val="002A15B0"/>
    <w:rsid w:val="002A2DD8"/>
    <w:rsid w:val="002A3144"/>
    <w:rsid w:val="002A469E"/>
    <w:rsid w:val="002A5F4F"/>
    <w:rsid w:val="002A7E09"/>
    <w:rsid w:val="002B34AC"/>
    <w:rsid w:val="002B561A"/>
    <w:rsid w:val="002C009C"/>
    <w:rsid w:val="002C04A6"/>
    <w:rsid w:val="002C2B61"/>
    <w:rsid w:val="002C30D8"/>
    <w:rsid w:val="002C5EB8"/>
    <w:rsid w:val="002D0167"/>
    <w:rsid w:val="002D4754"/>
    <w:rsid w:val="002D4B17"/>
    <w:rsid w:val="002D728B"/>
    <w:rsid w:val="002E61AA"/>
    <w:rsid w:val="002F07D2"/>
    <w:rsid w:val="002F6F2D"/>
    <w:rsid w:val="002F7654"/>
    <w:rsid w:val="00304890"/>
    <w:rsid w:val="0031015C"/>
    <w:rsid w:val="003143C8"/>
    <w:rsid w:val="00315DA2"/>
    <w:rsid w:val="003168A9"/>
    <w:rsid w:val="00317536"/>
    <w:rsid w:val="0032218D"/>
    <w:rsid w:val="00327DE0"/>
    <w:rsid w:val="003305F2"/>
    <w:rsid w:val="00333C49"/>
    <w:rsid w:val="003367F2"/>
    <w:rsid w:val="003424A2"/>
    <w:rsid w:val="00354129"/>
    <w:rsid w:val="0035438C"/>
    <w:rsid w:val="003555F8"/>
    <w:rsid w:val="00362F28"/>
    <w:rsid w:val="00366AE1"/>
    <w:rsid w:val="00370CD2"/>
    <w:rsid w:val="003719BE"/>
    <w:rsid w:val="00375022"/>
    <w:rsid w:val="0037515C"/>
    <w:rsid w:val="003762F4"/>
    <w:rsid w:val="003777D2"/>
    <w:rsid w:val="00387089"/>
    <w:rsid w:val="0039150C"/>
    <w:rsid w:val="003924D7"/>
    <w:rsid w:val="0039258A"/>
    <w:rsid w:val="003A031D"/>
    <w:rsid w:val="003A313F"/>
    <w:rsid w:val="003A5C85"/>
    <w:rsid w:val="003B3844"/>
    <w:rsid w:val="003B7C6C"/>
    <w:rsid w:val="003C027D"/>
    <w:rsid w:val="003D023C"/>
    <w:rsid w:val="003D62D6"/>
    <w:rsid w:val="003D6D81"/>
    <w:rsid w:val="003D723A"/>
    <w:rsid w:val="003D7BD5"/>
    <w:rsid w:val="003E013A"/>
    <w:rsid w:val="003F21D8"/>
    <w:rsid w:val="003F2842"/>
    <w:rsid w:val="003F2ACF"/>
    <w:rsid w:val="003F4A5D"/>
    <w:rsid w:val="003F6573"/>
    <w:rsid w:val="003F73ED"/>
    <w:rsid w:val="003F74C5"/>
    <w:rsid w:val="003F75B7"/>
    <w:rsid w:val="00400209"/>
    <w:rsid w:val="00410D4D"/>
    <w:rsid w:val="00416B05"/>
    <w:rsid w:val="0041799B"/>
    <w:rsid w:val="00421A23"/>
    <w:rsid w:val="00422720"/>
    <w:rsid w:val="0042286A"/>
    <w:rsid w:val="00423C68"/>
    <w:rsid w:val="0042467D"/>
    <w:rsid w:val="00424892"/>
    <w:rsid w:val="00426BBB"/>
    <w:rsid w:val="004321E7"/>
    <w:rsid w:val="00436222"/>
    <w:rsid w:val="00436CFA"/>
    <w:rsid w:val="00437DD4"/>
    <w:rsid w:val="00440491"/>
    <w:rsid w:val="00444FC0"/>
    <w:rsid w:val="00446EB0"/>
    <w:rsid w:val="00447906"/>
    <w:rsid w:val="00454938"/>
    <w:rsid w:val="00455628"/>
    <w:rsid w:val="00463025"/>
    <w:rsid w:val="00466E24"/>
    <w:rsid w:val="0047322B"/>
    <w:rsid w:val="0047727A"/>
    <w:rsid w:val="00484362"/>
    <w:rsid w:val="004871FD"/>
    <w:rsid w:val="00487A42"/>
    <w:rsid w:val="00487FC9"/>
    <w:rsid w:val="00497897"/>
    <w:rsid w:val="00497F28"/>
    <w:rsid w:val="004A557F"/>
    <w:rsid w:val="004B14CA"/>
    <w:rsid w:val="004B749B"/>
    <w:rsid w:val="004C51F7"/>
    <w:rsid w:val="004D7D18"/>
    <w:rsid w:val="004F24E5"/>
    <w:rsid w:val="004F4EAC"/>
    <w:rsid w:val="004F5900"/>
    <w:rsid w:val="004F77D3"/>
    <w:rsid w:val="00500A65"/>
    <w:rsid w:val="00503C44"/>
    <w:rsid w:val="00504EE4"/>
    <w:rsid w:val="00505A3E"/>
    <w:rsid w:val="0050644E"/>
    <w:rsid w:val="00513367"/>
    <w:rsid w:val="00513C82"/>
    <w:rsid w:val="005174DD"/>
    <w:rsid w:val="00517927"/>
    <w:rsid w:val="00522311"/>
    <w:rsid w:val="00522578"/>
    <w:rsid w:val="005248DA"/>
    <w:rsid w:val="005261F9"/>
    <w:rsid w:val="00526D42"/>
    <w:rsid w:val="00526EB3"/>
    <w:rsid w:val="0053189A"/>
    <w:rsid w:val="00532F34"/>
    <w:rsid w:val="00536A82"/>
    <w:rsid w:val="0054211B"/>
    <w:rsid w:val="0054240C"/>
    <w:rsid w:val="005424DF"/>
    <w:rsid w:val="005457F1"/>
    <w:rsid w:val="00547F11"/>
    <w:rsid w:val="005543C7"/>
    <w:rsid w:val="00556218"/>
    <w:rsid w:val="00564F4D"/>
    <w:rsid w:val="0056523D"/>
    <w:rsid w:val="005668E7"/>
    <w:rsid w:val="00570232"/>
    <w:rsid w:val="00575475"/>
    <w:rsid w:val="00576115"/>
    <w:rsid w:val="00576233"/>
    <w:rsid w:val="00580B45"/>
    <w:rsid w:val="0058386F"/>
    <w:rsid w:val="00584812"/>
    <w:rsid w:val="00584C26"/>
    <w:rsid w:val="00585852"/>
    <w:rsid w:val="0058709A"/>
    <w:rsid w:val="0059207F"/>
    <w:rsid w:val="00593809"/>
    <w:rsid w:val="005A0227"/>
    <w:rsid w:val="005A0851"/>
    <w:rsid w:val="005A3223"/>
    <w:rsid w:val="005A4EA4"/>
    <w:rsid w:val="005A5D16"/>
    <w:rsid w:val="005B5B9F"/>
    <w:rsid w:val="005C413A"/>
    <w:rsid w:val="005C5CFE"/>
    <w:rsid w:val="005D526E"/>
    <w:rsid w:val="005D642F"/>
    <w:rsid w:val="005E015B"/>
    <w:rsid w:val="005E07E7"/>
    <w:rsid w:val="005E0DD8"/>
    <w:rsid w:val="005E41FC"/>
    <w:rsid w:val="0060264C"/>
    <w:rsid w:val="0060734C"/>
    <w:rsid w:val="0061427A"/>
    <w:rsid w:val="00616318"/>
    <w:rsid w:val="00632C9F"/>
    <w:rsid w:val="00636A6A"/>
    <w:rsid w:val="00642BE0"/>
    <w:rsid w:val="00647112"/>
    <w:rsid w:val="00654A6B"/>
    <w:rsid w:val="00654B07"/>
    <w:rsid w:val="00655313"/>
    <w:rsid w:val="0065770B"/>
    <w:rsid w:val="00660E38"/>
    <w:rsid w:val="00662953"/>
    <w:rsid w:val="0066319E"/>
    <w:rsid w:val="00664D98"/>
    <w:rsid w:val="006753BC"/>
    <w:rsid w:val="006816B6"/>
    <w:rsid w:val="00681A6F"/>
    <w:rsid w:val="00681EFB"/>
    <w:rsid w:val="006870B1"/>
    <w:rsid w:val="00690C83"/>
    <w:rsid w:val="00691740"/>
    <w:rsid w:val="006917EE"/>
    <w:rsid w:val="006961F1"/>
    <w:rsid w:val="0069642A"/>
    <w:rsid w:val="00697697"/>
    <w:rsid w:val="006A0656"/>
    <w:rsid w:val="006A1CA5"/>
    <w:rsid w:val="006A3498"/>
    <w:rsid w:val="006A4908"/>
    <w:rsid w:val="006B0A13"/>
    <w:rsid w:val="006B4029"/>
    <w:rsid w:val="006B545A"/>
    <w:rsid w:val="006B6926"/>
    <w:rsid w:val="006B7E23"/>
    <w:rsid w:val="006C11D8"/>
    <w:rsid w:val="006C51CB"/>
    <w:rsid w:val="006D2E7F"/>
    <w:rsid w:val="006D6C8B"/>
    <w:rsid w:val="006D731E"/>
    <w:rsid w:val="006E0766"/>
    <w:rsid w:val="006E74FA"/>
    <w:rsid w:val="006F7F1F"/>
    <w:rsid w:val="00710A4F"/>
    <w:rsid w:val="00713572"/>
    <w:rsid w:val="00716594"/>
    <w:rsid w:val="0072009E"/>
    <w:rsid w:val="00721B24"/>
    <w:rsid w:val="00730FCA"/>
    <w:rsid w:val="0073167E"/>
    <w:rsid w:val="007323E8"/>
    <w:rsid w:val="00732A78"/>
    <w:rsid w:val="0073728A"/>
    <w:rsid w:val="007463F7"/>
    <w:rsid w:val="00747754"/>
    <w:rsid w:val="00752546"/>
    <w:rsid w:val="00755A65"/>
    <w:rsid w:val="00757000"/>
    <w:rsid w:val="00760020"/>
    <w:rsid w:val="0076134E"/>
    <w:rsid w:val="0076696A"/>
    <w:rsid w:val="00767A00"/>
    <w:rsid w:val="007749B3"/>
    <w:rsid w:val="007758CA"/>
    <w:rsid w:val="00781B59"/>
    <w:rsid w:val="00783107"/>
    <w:rsid w:val="007863A8"/>
    <w:rsid w:val="00787478"/>
    <w:rsid w:val="00787BB0"/>
    <w:rsid w:val="00787C00"/>
    <w:rsid w:val="00790A91"/>
    <w:rsid w:val="00794A30"/>
    <w:rsid w:val="00797177"/>
    <w:rsid w:val="007A23F3"/>
    <w:rsid w:val="007A3A6B"/>
    <w:rsid w:val="007A3B99"/>
    <w:rsid w:val="007A4EA2"/>
    <w:rsid w:val="007A5EC4"/>
    <w:rsid w:val="007B478B"/>
    <w:rsid w:val="007B7C1D"/>
    <w:rsid w:val="007C174A"/>
    <w:rsid w:val="007C19DD"/>
    <w:rsid w:val="007C33E8"/>
    <w:rsid w:val="007C3E62"/>
    <w:rsid w:val="007C60A2"/>
    <w:rsid w:val="007D15C0"/>
    <w:rsid w:val="007D1DF0"/>
    <w:rsid w:val="007D6C45"/>
    <w:rsid w:val="007E069C"/>
    <w:rsid w:val="007E29EC"/>
    <w:rsid w:val="007E35AC"/>
    <w:rsid w:val="007E51C5"/>
    <w:rsid w:val="007E6A04"/>
    <w:rsid w:val="007E73A0"/>
    <w:rsid w:val="0080047B"/>
    <w:rsid w:val="00804696"/>
    <w:rsid w:val="008057EB"/>
    <w:rsid w:val="008124B0"/>
    <w:rsid w:val="00814FA6"/>
    <w:rsid w:val="00820313"/>
    <w:rsid w:val="00822AAD"/>
    <w:rsid w:val="00824503"/>
    <w:rsid w:val="0083425F"/>
    <w:rsid w:val="00840791"/>
    <w:rsid w:val="00847F94"/>
    <w:rsid w:val="0085087A"/>
    <w:rsid w:val="00852D5C"/>
    <w:rsid w:val="00854F94"/>
    <w:rsid w:val="008574F8"/>
    <w:rsid w:val="00860458"/>
    <w:rsid w:val="0086118D"/>
    <w:rsid w:val="0086133C"/>
    <w:rsid w:val="00863A67"/>
    <w:rsid w:val="00863B95"/>
    <w:rsid w:val="008655A1"/>
    <w:rsid w:val="008656E3"/>
    <w:rsid w:val="00870832"/>
    <w:rsid w:val="0087516B"/>
    <w:rsid w:val="008769E1"/>
    <w:rsid w:val="00881D97"/>
    <w:rsid w:val="00882E02"/>
    <w:rsid w:val="008831E7"/>
    <w:rsid w:val="0088322B"/>
    <w:rsid w:val="00887251"/>
    <w:rsid w:val="0089232A"/>
    <w:rsid w:val="00896DAF"/>
    <w:rsid w:val="008A0E41"/>
    <w:rsid w:val="008A4766"/>
    <w:rsid w:val="008A6B3D"/>
    <w:rsid w:val="008A7AB1"/>
    <w:rsid w:val="008A7BCE"/>
    <w:rsid w:val="008A7EE0"/>
    <w:rsid w:val="008B1726"/>
    <w:rsid w:val="008B2833"/>
    <w:rsid w:val="008C096F"/>
    <w:rsid w:val="008C0BDD"/>
    <w:rsid w:val="008C1E49"/>
    <w:rsid w:val="008C261A"/>
    <w:rsid w:val="008D0901"/>
    <w:rsid w:val="008D5AF0"/>
    <w:rsid w:val="008E4E9E"/>
    <w:rsid w:val="008E4FDC"/>
    <w:rsid w:val="0090061C"/>
    <w:rsid w:val="00901AE9"/>
    <w:rsid w:val="00902794"/>
    <w:rsid w:val="00903C74"/>
    <w:rsid w:val="009071CB"/>
    <w:rsid w:val="00907DDF"/>
    <w:rsid w:val="00910277"/>
    <w:rsid w:val="009106B5"/>
    <w:rsid w:val="00914657"/>
    <w:rsid w:val="0091721D"/>
    <w:rsid w:val="0091751B"/>
    <w:rsid w:val="009178DD"/>
    <w:rsid w:val="0092596D"/>
    <w:rsid w:val="00927D6D"/>
    <w:rsid w:val="00930308"/>
    <w:rsid w:val="0093431A"/>
    <w:rsid w:val="00934564"/>
    <w:rsid w:val="00937C0D"/>
    <w:rsid w:val="00937F72"/>
    <w:rsid w:val="00942317"/>
    <w:rsid w:val="00943440"/>
    <w:rsid w:val="009454B9"/>
    <w:rsid w:val="00946458"/>
    <w:rsid w:val="00955439"/>
    <w:rsid w:val="00956493"/>
    <w:rsid w:val="009604CA"/>
    <w:rsid w:val="00960EAE"/>
    <w:rsid w:val="009627D4"/>
    <w:rsid w:val="00963E18"/>
    <w:rsid w:val="00965AE0"/>
    <w:rsid w:val="009671D1"/>
    <w:rsid w:val="00974550"/>
    <w:rsid w:val="00982781"/>
    <w:rsid w:val="00982B15"/>
    <w:rsid w:val="00986FAE"/>
    <w:rsid w:val="00991B21"/>
    <w:rsid w:val="00994742"/>
    <w:rsid w:val="00996F00"/>
    <w:rsid w:val="009A3C69"/>
    <w:rsid w:val="009A3F40"/>
    <w:rsid w:val="009A421A"/>
    <w:rsid w:val="009A5EE3"/>
    <w:rsid w:val="009A778F"/>
    <w:rsid w:val="009B33F9"/>
    <w:rsid w:val="009B3A3C"/>
    <w:rsid w:val="009C220D"/>
    <w:rsid w:val="009C7640"/>
    <w:rsid w:val="009D111F"/>
    <w:rsid w:val="009D208B"/>
    <w:rsid w:val="009D3FC0"/>
    <w:rsid w:val="009D46CC"/>
    <w:rsid w:val="009D7511"/>
    <w:rsid w:val="009E3CEB"/>
    <w:rsid w:val="009E3D75"/>
    <w:rsid w:val="009E45B1"/>
    <w:rsid w:val="009E67A2"/>
    <w:rsid w:val="009F41F4"/>
    <w:rsid w:val="00A059EA"/>
    <w:rsid w:val="00A05F81"/>
    <w:rsid w:val="00A12CE2"/>
    <w:rsid w:val="00A13B75"/>
    <w:rsid w:val="00A15D3D"/>
    <w:rsid w:val="00A2064D"/>
    <w:rsid w:val="00A20999"/>
    <w:rsid w:val="00A221D2"/>
    <w:rsid w:val="00A24F5C"/>
    <w:rsid w:val="00A26D09"/>
    <w:rsid w:val="00A274F1"/>
    <w:rsid w:val="00A328BE"/>
    <w:rsid w:val="00A3357E"/>
    <w:rsid w:val="00A41420"/>
    <w:rsid w:val="00A42A7F"/>
    <w:rsid w:val="00A46EBC"/>
    <w:rsid w:val="00A503E2"/>
    <w:rsid w:val="00A52ACA"/>
    <w:rsid w:val="00A55E62"/>
    <w:rsid w:val="00A566A2"/>
    <w:rsid w:val="00A66EFC"/>
    <w:rsid w:val="00A71C25"/>
    <w:rsid w:val="00A73634"/>
    <w:rsid w:val="00A74F61"/>
    <w:rsid w:val="00A760A2"/>
    <w:rsid w:val="00A80307"/>
    <w:rsid w:val="00A83747"/>
    <w:rsid w:val="00A85216"/>
    <w:rsid w:val="00A87A31"/>
    <w:rsid w:val="00A92FBE"/>
    <w:rsid w:val="00AA0D2C"/>
    <w:rsid w:val="00AA3A6B"/>
    <w:rsid w:val="00AA5E1A"/>
    <w:rsid w:val="00AB60FA"/>
    <w:rsid w:val="00AC4412"/>
    <w:rsid w:val="00AD09F2"/>
    <w:rsid w:val="00AE3109"/>
    <w:rsid w:val="00AE3BC9"/>
    <w:rsid w:val="00AF1AAA"/>
    <w:rsid w:val="00AF3922"/>
    <w:rsid w:val="00B035C8"/>
    <w:rsid w:val="00B05DF1"/>
    <w:rsid w:val="00B172F1"/>
    <w:rsid w:val="00B22711"/>
    <w:rsid w:val="00B30FA4"/>
    <w:rsid w:val="00B30FC5"/>
    <w:rsid w:val="00B42597"/>
    <w:rsid w:val="00B439F3"/>
    <w:rsid w:val="00B46DC3"/>
    <w:rsid w:val="00B53085"/>
    <w:rsid w:val="00B60338"/>
    <w:rsid w:val="00B61CE7"/>
    <w:rsid w:val="00B702BF"/>
    <w:rsid w:val="00B7138B"/>
    <w:rsid w:val="00B71C57"/>
    <w:rsid w:val="00B72A9D"/>
    <w:rsid w:val="00B7345C"/>
    <w:rsid w:val="00B74F98"/>
    <w:rsid w:val="00B75DAF"/>
    <w:rsid w:val="00B769C9"/>
    <w:rsid w:val="00B82878"/>
    <w:rsid w:val="00B82E01"/>
    <w:rsid w:val="00B91243"/>
    <w:rsid w:val="00B94DED"/>
    <w:rsid w:val="00B96484"/>
    <w:rsid w:val="00BA51FB"/>
    <w:rsid w:val="00BB2269"/>
    <w:rsid w:val="00BB440D"/>
    <w:rsid w:val="00BB5DBC"/>
    <w:rsid w:val="00BB634E"/>
    <w:rsid w:val="00BC7652"/>
    <w:rsid w:val="00BD058E"/>
    <w:rsid w:val="00BD3180"/>
    <w:rsid w:val="00BE046E"/>
    <w:rsid w:val="00BE5E2C"/>
    <w:rsid w:val="00BF2998"/>
    <w:rsid w:val="00BF4847"/>
    <w:rsid w:val="00BF514B"/>
    <w:rsid w:val="00BF7600"/>
    <w:rsid w:val="00BF7837"/>
    <w:rsid w:val="00C053B1"/>
    <w:rsid w:val="00C070E9"/>
    <w:rsid w:val="00C10433"/>
    <w:rsid w:val="00C15C65"/>
    <w:rsid w:val="00C15D2E"/>
    <w:rsid w:val="00C16A02"/>
    <w:rsid w:val="00C1785E"/>
    <w:rsid w:val="00C17EEB"/>
    <w:rsid w:val="00C20D78"/>
    <w:rsid w:val="00C21A9F"/>
    <w:rsid w:val="00C23DE7"/>
    <w:rsid w:val="00C25EDD"/>
    <w:rsid w:val="00C26472"/>
    <w:rsid w:val="00C371A7"/>
    <w:rsid w:val="00C403D8"/>
    <w:rsid w:val="00C42C20"/>
    <w:rsid w:val="00C43201"/>
    <w:rsid w:val="00C43FA9"/>
    <w:rsid w:val="00C4728B"/>
    <w:rsid w:val="00C539A9"/>
    <w:rsid w:val="00C551E9"/>
    <w:rsid w:val="00C55401"/>
    <w:rsid w:val="00C610A5"/>
    <w:rsid w:val="00C63F56"/>
    <w:rsid w:val="00C7402F"/>
    <w:rsid w:val="00C75076"/>
    <w:rsid w:val="00C75CE1"/>
    <w:rsid w:val="00C81E24"/>
    <w:rsid w:val="00C84CA4"/>
    <w:rsid w:val="00C86BD9"/>
    <w:rsid w:val="00C92CC2"/>
    <w:rsid w:val="00C9413E"/>
    <w:rsid w:val="00C94874"/>
    <w:rsid w:val="00CA08FB"/>
    <w:rsid w:val="00CA1E38"/>
    <w:rsid w:val="00CA29FB"/>
    <w:rsid w:val="00CA4684"/>
    <w:rsid w:val="00CC171D"/>
    <w:rsid w:val="00CC1A72"/>
    <w:rsid w:val="00CC3B6A"/>
    <w:rsid w:val="00CC5382"/>
    <w:rsid w:val="00CC7161"/>
    <w:rsid w:val="00CC7DB8"/>
    <w:rsid w:val="00CD26DC"/>
    <w:rsid w:val="00CD58CE"/>
    <w:rsid w:val="00CD5941"/>
    <w:rsid w:val="00CE3764"/>
    <w:rsid w:val="00CE5AD2"/>
    <w:rsid w:val="00CF1AC4"/>
    <w:rsid w:val="00CF3DEC"/>
    <w:rsid w:val="00CF56A5"/>
    <w:rsid w:val="00D0664D"/>
    <w:rsid w:val="00D10D73"/>
    <w:rsid w:val="00D12520"/>
    <w:rsid w:val="00D16F48"/>
    <w:rsid w:val="00D21B79"/>
    <w:rsid w:val="00D22876"/>
    <w:rsid w:val="00D2556D"/>
    <w:rsid w:val="00D25800"/>
    <w:rsid w:val="00D25915"/>
    <w:rsid w:val="00D2663E"/>
    <w:rsid w:val="00D31F5D"/>
    <w:rsid w:val="00D332B2"/>
    <w:rsid w:val="00D33E56"/>
    <w:rsid w:val="00D429E7"/>
    <w:rsid w:val="00D55924"/>
    <w:rsid w:val="00D56814"/>
    <w:rsid w:val="00D56FCA"/>
    <w:rsid w:val="00D57AEC"/>
    <w:rsid w:val="00D600CB"/>
    <w:rsid w:val="00D625FA"/>
    <w:rsid w:val="00D66415"/>
    <w:rsid w:val="00D7143F"/>
    <w:rsid w:val="00D7191A"/>
    <w:rsid w:val="00D752F8"/>
    <w:rsid w:val="00D762AE"/>
    <w:rsid w:val="00D8061D"/>
    <w:rsid w:val="00D8487A"/>
    <w:rsid w:val="00D87F9C"/>
    <w:rsid w:val="00D92789"/>
    <w:rsid w:val="00D95C11"/>
    <w:rsid w:val="00DA3807"/>
    <w:rsid w:val="00DA4116"/>
    <w:rsid w:val="00DA79FC"/>
    <w:rsid w:val="00DB5570"/>
    <w:rsid w:val="00DB68E7"/>
    <w:rsid w:val="00DC0BAA"/>
    <w:rsid w:val="00DC1B56"/>
    <w:rsid w:val="00DC2F9A"/>
    <w:rsid w:val="00DC3D8A"/>
    <w:rsid w:val="00DC65E9"/>
    <w:rsid w:val="00DC7E7B"/>
    <w:rsid w:val="00DD0E48"/>
    <w:rsid w:val="00DD0F15"/>
    <w:rsid w:val="00DD34A1"/>
    <w:rsid w:val="00DE4A48"/>
    <w:rsid w:val="00DE6125"/>
    <w:rsid w:val="00DF2ED1"/>
    <w:rsid w:val="00E0069B"/>
    <w:rsid w:val="00E06266"/>
    <w:rsid w:val="00E135D7"/>
    <w:rsid w:val="00E213EF"/>
    <w:rsid w:val="00E2406E"/>
    <w:rsid w:val="00E2413C"/>
    <w:rsid w:val="00E27AA4"/>
    <w:rsid w:val="00E314B5"/>
    <w:rsid w:val="00E35600"/>
    <w:rsid w:val="00E36609"/>
    <w:rsid w:val="00E3698E"/>
    <w:rsid w:val="00E37335"/>
    <w:rsid w:val="00E37BE8"/>
    <w:rsid w:val="00E565AF"/>
    <w:rsid w:val="00E57B7A"/>
    <w:rsid w:val="00E603C2"/>
    <w:rsid w:val="00E65F54"/>
    <w:rsid w:val="00E6730E"/>
    <w:rsid w:val="00E67656"/>
    <w:rsid w:val="00E76369"/>
    <w:rsid w:val="00E767CF"/>
    <w:rsid w:val="00E82832"/>
    <w:rsid w:val="00E864EE"/>
    <w:rsid w:val="00E93554"/>
    <w:rsid w:val="00E943C7"/>
    <w:rsid w:val="00E964CC"/>
    <w:rsid w:val="00EA3BE3"/>
    <w:rsid w:val="00EA63D3"/>
    <w:rsid w:val="00EB0C72"/>
    <w:rsid w:val="00EB3DF9"/>
    <w:rsid w:val="00EB3EF8"/>
    <w:rsid w:val="00EC0B6F"/>
    <w:rsid w:val="00EC10C4"/>
    <w:rsid w:val="00EC138C"/>
    <w:rsid w:val="00EC20CA"/>
    <w:rsid w:val="00EC483F"/>
    <w:rsid w:val="00EC5C42"/>
    <w:rsid w:val="00EC6F2C"/>
    <w:rsid w:val="00EC79C9"/>
    <w:rsid w:val="00ED7A55"/>
    <w:rsid w:val="00EE0D7C"/>
    <w:rsid w:val="00EE44FE"/>
    <w:rsid w:val="00EF0725"/>
    <w:rsid w:val="00EF1B68"/>
    <w:rsid w:val="00EF5E10"/>
    <w:rsid w:val="00F0219F"/>
    <w:rsid w:val="00F05597"/>
    <w:rsid w:val="00F06D33"/>
    <w:rsid w:val="00F10303"/>
    <w:rsid w:val="00F11C7C"/>
    <w:rsid w:val="00F144EB"/>
    <w:rsid w:val="00F1526F"/>
    <w:rsid w:val="00F1660A"/>
    <w:rsid w:val="00F166F2"/>
    <w:rsid w:val="00F20C12"/>
    <w:rsid w:val="00F22805"/>
    <w:rsid w:val="00F24D66"/>
    <w:rsid w:val="00F253EB"/>
    <w:rsid w:val="00F33BF8"/>
    <w:rsid w:val="00F42240"/>
    <w:rsid w:val="00F44FD7"/>
    <w:rsid w:val="00F51F60"/>
    <w:rsid w:val="00F53109"/>
    <w:rsid w:val="00F5374E"/>
    <w:rsid w:val="00F570A2"/>
    <w:rsid w:val="00F57CEC"/>
    <w:rsid w:val="00F61C44"/>
    <w:rsid w:val="00F647AC"/>
    <w:rsid w:val="00F70DE6"/>
    <w:rsid w:val="00F72E89"/>
    <w:rsid w:val="00F73489"/>
    <w:rsid w:val="00F77785"/>
    <w:rsid w:val="00F80E85"/>
    <w:rsid w:val="00F814BE"/>
    <w:rsid w:val="00F82EC3"/>
    <w:rsid w:val="00F83CC8"/>
    <w:rsid w:val="00F902F1"/>
    <w:rsid w:val="00FA0642"/>
    <w:rsid w:val="00FA42A5"/>
    <w:rsid w:val="00FA5938"/>
    <w:rsid w:val="00FA599E"/>
    <w:rsid w:val="00FA5BB3"/>
    <w:rsid w:val="00FB0E1A"/>
    <w:rsid w:val="00FB7922"/>
    <w:rsid w:val="00FC2928"/>
    <w:rsid w:val="00FC387F"/>
    <w:rsid w:val="00FC5194"/>
    <w:rsid w:val="00FC7346"/>
    <w:rsid w:val="00FD02AC"/>
    <w:rsid w:val="00FD0D3B"/>
    <w:rsid w:val="00FE2170"/>
    <w:rsid w:val="00FE33BA"/>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B82BE"/>
  <w15:docId w15:val="{BC51EDE2-D2E9-4878-AEA8-15150F4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 w:type="paragraph" w:styleId="FootnoteText">
    <w:name w:val="footnote text"/>
    <w:basedOn w:val="Normal"/>
    <w:link w:val="FootnoteTextChar"/>
    <w:uiPriority w:val="99"/>
    <w:semiHidden/>
    <w:unhideWhenUsed/>
    <w:rsid w:val="00161634"/>
    <w:pPr>
      <w:spacing w:line="240" w:lineRule="auto"/>
    </w:pPr>
    <w:rPr>
      <w:sz w:val="20"/>
      <w:szCs w:val="20"/>
    </w:rPr>
  </w:style>
  <w:style w:type="character" w:customStyle="1" w:styleId="FootnoteTextChar">
    <w:name w:val="Footnote Text Char"/>
    <w:basedOn w:val="DefaultParagraphFont"/>
    <w:link w:val="FootnoteText"/>
    <w:uiPriority w:val="99"/>
    <w:semiHidden/>
    <w:rsid w:val="00161634"/>
    <w:rPr>
      <w:lang w:eastAsia="en-US"/>
    </w:rPr>
  </w:style>
  <w:style w:type="character" w:styleId="FootnoteReference">
    <w:name w:val="footnote reference"/>
    <w:basedOn w:val="DefaultParagraphFont"/>
    <w:uiPriority w:val="99"/>
    <w:semiHidden/>
    <w:unhideWhenUsed/>
    <w:rsid w:val="00161634"/>
    <w:rPr>
      <w:vertAlign w:val="superscript"/>
    </w:rPr>
  </w:style>
  <w:style w:type="character" w:customStyle="1" w:styleId="UnresolvedMention1">
    <w:name w:val="Unresolved Mention1"/>
    <w:basedOn w:val="DefaultParagraphFont"/>
    <w:uiPriority w:val="99"/>
    <w:semiHidden/>
    <w:unhideWhenUsed/>
    <w:rsid w:val="00C55401"/>
    <w:rPr>
      <w:color w:val="808080"/>
      <w:shd w:val="clear" w:color="auto" w:fill="E6E6E6"/>
    </w:rPr>
  </w:style>
  <w:style w:type="character" w:styleId="FollowedHyperlink">
    <w:name w:val="FollowedHyperlink"/>
    <w:basedOn w:val="DefaultParagraphFont"/>
    <w:uiPriority w:val="99"/>
    <w:semiHidden/>
    <w:unhideWhenUsed/>
    <w:rsid w:val="00053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159204351">
      <w:bodyDiv w:val="1"/>
      <w:marLeft w:val="0"/>
      <w:marRight w:val="0"/>
      <w:marTop w:val="0"/>
      <w:marBottom w:val="0"/>
      <w:divBdr>
        <w:top w:val="none" w:sz="0" w:space="0" w:color="auto"/>
        <w:left w:val="none" w:sz="0" w:space="0" w:color="auto"/>
        <w:bottom w:val="none" w:sz="0" w:space="0" w:color="auto"/>
        <w:right w:val="none" w:sz="0" w:space="0" w:color="auto"/>
      </w:divBdr>
      <w:divsChild>
        <w:div w:id="1390031372">
          <w:marLeft w:val="0"/>
          <w:marRight w:val="0"/>
          <w:marTop w:val="240"/>
          <w:marBottom w:val="0"/>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61334363">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7071375">
      <w:bodyDiv w:val="1"/>
      <w:marLeft w:val="0"/>
      <w:marRight w:val="0"/>
      <w:marTop w:val="0"/>
      <w:marBottom w:val="0"/>
      <w:divBdr>
        <w:top w:val="none" w:sz="0" w:space="0" w:color="auto"/>
        <w:left w:val="none" w:sz="0" w:space="0" w:color="auto"/>
        <w:bottom w:val="none" w:sz="0" w:space="0" w:color="auto"/>
        <w:right w:val="none" w:sz="0" w:space="0" w:color="auto"/>
      </w:divBdr>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 w:id="1514686789">
      <w:bodyDiv w:val="1"/>
      <w:marLeft w:val="0"/>
      <w:marRight w:val="0"/>
      <w:marTop w:val="0"/>
      <w:marBottom w:val="0"/>
      <w:divBdr>
        <w:top w:val="none" w:sz="0" w:space="0" w:color="auto"/>
        <w:left w:val="none" w:sz="0" w:space="0" w:color="auto"/>
        <w:bottom w:val="none" w:sz="0" w:space="0" w:color="auto"/>
        <w:right w:val="none" w:sz="0" w:space="0" w:color="auto"/>
      </w:divBdr>
    </w:div>
    <w:div w:id="17334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3896-D5E4-4060-9A35-12B0D137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8384</Words>
  <Characters>4779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Nr.1000 “Valsts akciju sabiedrības "Ceļu satiksmes drošības direkcija” publisko maksas pakalpojumu cenrādis” sākotnējās ietekmes novērtējuma ziņojums (anot</vt:lpstr>
    </vt:vector>
  </TitlesOfParts>
  <Company>Satiksmes ministrija</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Nr.1000 “Valsts akciju sabiedrības "Ceļu satiksmes drošības direkcija” publisko maksas pakalpojumu cenrādis” sākotnējās ietekmes novērtējuma ziņojums (anotācija)</dc:title>
  <dc:subject>anotācija</dc:subject>
  <dc:creator>Sintija.Ziedone@sam.gov.lv</dc:creator>
  <cp:keywords/>
  <dc:description/>
  <cp:lastModifiedBy>Sintija Ziedone</cp:lastModifiedBy>
  <cp:revision>27</cp:revision>
  <cp:lastPrinted>2019-02-05T09:34:00Z</cp:lastPrinted>
  <dcterms:created xsi:type="dcterms:W3CDTF">2019-01-17T08:43:00Z</dcterms:created>
  <dcterms:modified xsi:type="dcterms:W3CDTF">2019-02-12T08:59:00Z</dcterms:modified>
</cp:coreProperties>
</file>