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D8C2" w14:textId="49A66DF2" w:rsidR="66994169" w:rsidRPr="002C4A1B" w:rsidRDefault="66994169" w:rsidP="00F13E2B">
      <w:pPr>
        <w:spacing w:after="0" w:line="240" w:lineRule="auto"/>
        <w:jc w:val="center"/>
        <w:rPr>
          <w:rFonts w:ascii="Times New Roman" w:eastAsia="Times New Roman" w:hAnsi="Times New Roman" w:cs="Times New Roman"/>
          <w:b/>
          <w:bCs/>
          <w:sz w:val="24"/>
          <w:szCs w:val="24"/>
          <w:lang w:eastAsia="lv-LV"/>
        </w:rPr>
      </w:pPr>
    </w:p>
    <w:p w14:paraId="1372215F" w14:textId="1F34D3C2" w:rsidR="004D15A9" w:rsidRPr="002C4A1B" w:rsidRDefault="000437CF" w:rsidP="00F13E2B">
      <w:pPr>
        <w:spacing w:after="0" w:line="240" w:lineRule="auto"/>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 xml:space="preserve">Likumprojekta </w:t>
      </w:r>
      <w:r w:rsidR="00F37099" w:rsidRPr="002C4A1B">
        <w:rPr>
          <w:rFonts w:ascii="Times New Roman" w:hAnsi="Times New Roman" w:cs="Times New Roman"/>
          <w:b/>
          <w:bCs/>
          <w:sz w:val="24"/>
          <w:szCs w:val="24"/>
        </w:rPr>
        <w:t>"</w:t>
      </w:r>
      <w:r w:rsidRPr="002C4A1B">
        <w:rPr>
          <w:rFonts w:ascii="Times New Roman" w:eastAsia="Times New Roman" w:hAnsi="Times New Roman" w:cs="Times New Roman"/>
          <w:b/>
          <w:bCs/>
          <w:sz w:val="24"/>
          <w:szCs w:val="24"/>
          <w:lang w:eastAsia="lv-LV"/>
        </w:rPr>
        <w:t>Grozījumi Finanšu instrumentu tirgus likumā</w:t>
      </w:r>
      <w:r w:rsidR="00F37099" w:rsidRPr="002C4A1B">
        <w:rPr>
          <w:rFonts w:ascii="Times New Roman" w:hAnsi="Times New Roman" w:cs="Times New Roman"/>
          <w:b/>
          <w:bCs/>
          <w:sz w:val="24"/>
          <w:szCs w:val="24"/>
        </w:rPr>
        <w:t>"</w:t>
      </w:r>
      <w:r w:rsidR="004D15A9" w:rsidRPr="002C4A1B">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2C4A1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1"/>
        <w:gridCol w:w="6230"/>
      </w:tblGrid>
      <w:tr w:rsidR="00A1552F" w:rsidRPr="002C4A1B" w14:paraId="70BDCC6E" w14:textId="77777777" w:rsidTr="00754520">
        <w:trPr>
          <w:cantSplit/>
        </w:trPr>
        <w:tc>
          <w:tcPr>
            <w:tcW w:w="9127" w:type="dxa"/>
            <w:gridSpan w:val="2"/>
            <w:shd w:val="clear" w:color="auto" w:fill="FFFFFF" w:themeFill="background1"/>
            <w:vAlign w:val="center"/>
            <w:hideMark/>
          </w:tcPr>
          <w:p w14:paraId="2E3635E1" w14:textId="77777777" w:rsidR="00A1552F" w:rsidRPr="002C4A1B" w:rsidRDefault="00A1552F" w:rsidP="00A1552F">
            <w:pPr>
              <w:spacing w:after="0" w:line="240" w:lineRule="auto"/>
              <w:ind w:firstLine="300"/>
              <w:jc w:val="center"/>
              <w:rPr>
                <w:rFonts w:ascii="Cambria" w:hAnsi="Cambria"/>
                <w:b/>
                <w:iCs/>
                <w:sz w:val="19"/>
                <w:szCs w:val="19"/>
              </w:rPr>
            </w:pPr>
            <w:r w:rsidRPr="002C4A1B">
              <w:rPr>
                <w:rFonts w:ascii="Times New Roman" w:eastAsia="Times New Roman" w:hAnsi="Times New Roman" w:cs="Times New Roman"/>
                <w:b/>
                <w:bCs/>
                <w:sz w:val="24"/>
                <w:szCs w:val="24"/>
                <w:lang w:eastAsia="lv-LV"/>
              </w:rPr>
              <w:t>Tiesību akta projekta anotācijas kopsavilkums</w:t>
            </w:r>
          </w:p>
        </w:tc>
      </w:tr>
      <w:tr w:rsidR="00A1552F" w:rsidRPr="002C4A1B" w14:paraId="47F047DD" w14:textId="77777777" w:rsidTr="00567AC4">
        <w:trPr>
          <w:cantSplit/>
          <w:trHeight w:val="2769"/>
        </w:trPr>
        <w:tc>
          <w:tcPr>
            <w:tcW w:w="2851" w:type="dxa"/>
            <w:shd w:val="clear" w:color="auto" w:fill="FFFFFF" w:themeFill="background1"/>
            <w:hideMark/>
          </w:tcPr>
          <w:p w14:paraId="3C58940B" w14:textId="12DC279A" w:rsidR="00A1552F" w:rsidRPr="002C4A1B" w:rsidRDefault="00A1552F" w:rsidP="00F21CFB">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Mērķis, risinājums un projekta spēkā stāšanās laiks</w:t>
            </w:r>
            <w:r w:rsidR="00B34367">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 xml:space="preserve"> </w:t>
            </w:r>
            <w:r w:rsidR="00B34367" w:rsidRPr="00B34367">
              <w:rPr>
                <w:rFonts w:ascii="Times New Roman" w:eastAsia="Times New Roman" w:hAnsi="Times New Roman" w:cs="Times New Roman"/>
                <w:sz w:val="24"/>
                <w:szCs w:val="24"/>
                <w:lang w:eastAsia="lv-LV"/>
              </w:rPr>
              <w:t>(500 zīmes bez atstarpēm)</w:t>
            </w:r>
          </w:p>
        </w:tc>
        <w:tc>
          <w:tcPr>
            <w:tcW w:w="6276" w:type="dxa"/>
            <w:shd w:val="clear" w:color="auto" w:fill="FFFFFF" w:themeFill="background1"/>
            <w:hideMark/>
          </w:tcPr>
          <w:p w14:paraId="33FC7C0D" w14:textId="77777777" w:rsidR="00567AC4" w:rsidRDefault="00567AC4" w:rsidP="00567AC4">
            <w:pPr>
              <w:pStyle w:val="doc-ti2"/>
              <w:spacing w:before="0" w:after="0" w:line="240" w:lineRule="auto"/>
              <w:ind w:firstLine="569"/>
              <w:jc w:val="both"/>
              <w:rPr>
                <w:b w:val="0"/>
                <w:lang w:val="lv"/>
              </w:rPr>
            </w:pPr>
            <w:bookmarkStart w:id="0" w:name="_Hlk528306371"/>
            <w:r w:rsidRPr="002C4A1B">
              <w:rPr>
                <w:b w:val="0"/>
                <w:bCs w:val="0"/>
              </w:rPr>
              <w:t>Likumprojekt</w:t>
            </w:r>
            <w:r>
              <w:rPr>
                <w:b w:val="0"/>
                <w:bCs w:val="0"/>
              </w:rPr>
              <w:t>s</w:t>
            </w:r>
            <w:r w:rsidRPr="002C4A1B">
              <w:rPr>
                <w:b w:val="0"/>
                <w:bCs w:val="0"/>
              </w:rPr>
              <w:t xml:space="preserve"> "Grozījumi Finanšu instrumentu tirgus likumā" (turpmāk – projekts)</w:t>
            </w:r>
            <w:r w:rsidRPr="00A16F24">
              <w:rPr>
                <w:b w:val="0"/>
              </w:rPr>
              <w:t xml:space="preserve"> </w:t>
            </w:r>
            <w:r>
              <w:rPr>
                <w:b w:val="0"/>
                <w:lang w:val="lv"/>
              </w:rPr>
              <w:t>veicinās akcionāru ilgtermiņa iesaistīšanu akciju sabiedrību pārvaldē, kā arī veicinās akcionāru tiesību stiprināšanu.</w:t>
            </w:r>
          </w:p>
          <w:p w14:paraId="782FC66D" w14:textId="4246C30E" w:rsidR="00567AC4" w:rsidRDefault="00567AC4" w:rsidP="00567AC4">
            <w:pPr>
              <w:pStyle w:val="doc-ti2"/>
              <w:spacing w:before="0" w:after="0" w:line="240" w:lineRule="auto"/>
              <w:ind w:firstLine="569"/>
              <w:jc w:val="both"/>
              <w:rPr>
                <w:b w:val="0"/>
                <w:bCs w:val="0"/>
              </w:rPr>
            </w:pPr>
            <w:r>
              <w:rPr>
                <w:rFonts w:eastAsiaTheme="minorEastAsia"/>
                <w:b w:val="0"/>
                <w:bCs w:val="0"/>
                <w:lang w:eastAsia="en-US"/>
              </w:rPr>
              <w:t>Projekts</w:t>
            </w:r>
            <w:r w:rsidRPr="002C4A1B">
              <w:rPr>
                <w:rFonts w:eastAsiaTheme="minorEastAsia"/>
                <w:b w:val="0"/>
                <w:bCs w:val="0"/>
                <w:lang w:eastAsia="en-US"/>
              </w:rPr>
              <w:t xml:space="preserve"> </w:t>
            </w:r>
            <w:r>
              <w:rPr>
                <w:rFonts w:eastAsiaTheme="minorEastAsia"/>
                <w:b w:val="0"/>
                <w:bCs w:val="0"/>
                <w:lang w:eastAsia="en-US"/>
              </w:rPr>
              <w:t>regulē šādus</w:t>
            </w:r>
            <w:r w:rsidRPr="002C4A1B">
              <w:rPr>
                <w:rFonts w:eastAsiaTheme="minorEastAsia"/>
                <w:b w:val="0"/>
                <w:bCs w:val="0"/>
                <w:lang w:eastAsia="en-US"/>
              </w:rPr>
              <w:t xml:space="preserve"> jautājum</w:t>
            </w:r>
            <w:r>
              <w:rPr>
                <w:rFonts w:eastAsiaTheme="minorEastAsia"/>
                <w:b w:val="0"/>
                <w:bCs w:val="0"/>
                <w:lang w:eastAsia="en-US"/>
              </w:rPr>
              <w:t>us</w:t>
            </w:r>
            <w:r w:rsidRPr="002C4A1B">
              <w:rPr>
                <w:rFonts w:eastAsiaTheme="minorEastAsia"/>
                <w:b w:val="0"/>
                <w:bCs w:val="0"/>
                <w:lang w:eastAsia="en-US"/>
              </w:rPr>
              <w:t xml:space="preserve">: </w:t>
            </w:r>
            <w:r w:rsidRPr="002C4A1B">
              <w:rPr>
                <w:rFonts w:eastAsia="Calibri"/>
                <w:b w:val="0"/>
                <w:bCs w:val="0"/>
                <w:lang w:eastAsia="en-US"/>
              </w:rPr>
              <w:t>a</w:t>
            </w:r>
            <w:r w:rsidRPr="002C4A1B">
              <w:rPr>
                <w:b w:val="0"/>
                <w:bCs w:val="0"/>
              </w:rPr>
              <w:t>kcionāru identificēšana</w:t>
            </w:r>
            <w:r>
              <w:rPr>
                <w:b w:val="0"/>
                <w:bCs w:val="0"/>
              </w:rPr>
              <w:t xml:space="preserve"> un</w:t>
            </w:r>
            <w:r w:rsidRPr="002C4A1B">
              <w:rPr>
                <w:b w:val="0"/>
                <w:bCs w:val="0"/>
              </w:rPr>
              <w:t xml:space="preserve"> informācijas nodošana</w:t>
            </w:r>
            <w:r>
              <w:rPr>
                <w:b w:val="0"/>
                <w:bCs w:val="0"/>
              </w:rPr>
              <w:t xml:space="preserve"> saistībā ar akcionāra tiesībām</w:t>
            </w:r>
            <w:r w:rsidRPr="002C4A1B">
              <w:rPr>
                <w:b w:val="0"/>
              </w:rPr>
              <w:t xml:space="preserve">; </w:t>
            </w:r>
            <w:r w:rsidRPr="002C4A1B">
              <w:rPr>
                <w:b w:val="0"/>
                <w:bCs w:val="0"/>
              </w:rPr>
              <w:t>aktīvu pārvaldnieku un pilnvaroto padomdevēju darbības pārredzamība</w:t>
            </w:r>
            <w:r w:rsidRPr="002C4A1B">
              <w:rPr>
                <w:b w:val="0"/>
              </w:rPr>
              <w:t xml:space="preserve">; </w:t>
            </w:r>
            <w:r w:rsidRPr="002C4A1B">
              <w:rPr>
                <w:b w:val="0"/>
                <w:bCs w:val="0"/>
              </w:rPr>
              <w:t xml:space="preserve">akcionāru tiesības balsot par vadītāju </w:t>
            </w:r>
            <w:r>
              <w:rPr>
                <w:b w:val="0"/>
                <w:bCs w:val="0"/>
              </w:rPr>
              <w:t>atalgojuma</w:t>
            </w:r>
            <w:r w:rsidRPr="002C4A1B">
              <w:rPr>
                <w:b w:val="0"/>
                <w:bCs w:val="0"/>
              </w:rPr>
              <w:t xml:space="preserve"> politiku un </w:t>
            </w:r>
            <w:r>
              <w:rPr>
                <w:b w:val="0"/>
                <w:bCs w:val="0"/>
              </w:rPr>
              <w:t>atalgojuma ziņojumu</w:t>
            </w:r>
            <w:r w:rsidRPr="002C4A1B">
              <w:rPr>
                <w:b w:val="0"/>
                <w:bCs w:val="0"/>
              </w:rPr>
              <w:t xml:space="preserve">; </w:t>
            </w:r>
            <w:r w:rsidRPr="00BC330C">
              <w:rPr>
                <w:b w:val="0"/>
                <w:bCs w:val="0"/>
              </w:rPr>
              <w:t>saistīto pušu darījumi.</w:t>
            </w:r>
          </w:p>
          <w:p w14:paraId="5BDC3D48" w14:textId="77777777" w:rsidR="00567AC4" w:rsidRPr="00BC330C" w:rsidRDefault="00567AC4" w:rsidP="00567AC4">
            <w:pPr>
              <w:pStyle w:val="doc-ti2"/>
              <w:spacing w:before="0" w:after="0" w:line="240" w:lineRule="auto"/>
              <w:ind w:firstLine="569"/>
              <w:jc w:val="both"/>
              <w:rPr>
                <w:b w:val="0"/>
              </w:rPr>
            </w:pPr>
            <w:r w:rsidRPr="00BC330C">
              <w:rPr>
                <w:b w:val="0"/>
              </w:rPr>
              <w:t>Projekts stāsies spēkā 2019. gada vidū.</w:t>
            </w:r>
            <w:bookmarkEnd w:id="0"/>
          </w:p>
          <w:p w14:paraId="2D343C0B" w14:textId="0B0AAF87" w:rsidR="00F37099" w:rsidRPr="002C4A1B" w:rsidRDefault="00F37099" w:rsidP="00A16F24">
            <w:pPr>
              <w:pStyle w:val="Bezatstarpm"/>
              <w:ind w:firstLine="567"/>
              <w:jc w:val="both"/>
              <w:rPr>
                <w:lang w:eastAsia="lv-LV"/>
              </w:rPr>
            </w:pPr>
          </w:p>
        </w:tc>
      </w:tr>
    </w:tbl>
    <w:p w14:paraId="38674108" w14:textId="2006B705" w:rsidR="00A1552F" w:rsidRPr="002C4A1B"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2C4A1B"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 Tiesību akta projekta izstrādes nepieciešamība</w:t>
            </w:r>
          </w:p>
        </w:tc>
      </w:tr>
      <w:tr w:rsidR="00DA326E" w:rsidRPr="002C4A1B"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193E0772" w14:textId="7E358B1B" w:rsidR="00216180" w:rsidRPr="002C4A1B" w:rsidRDefault="004D15A9" w:rsidP="00494EDC">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Pamatojums</w:t>
            </w:r>
          </w:p>
          <w:p w14:paraId="59E5892B" w14:textId="77777777" w:rsidR="00216180" w:rsidRDefault="00216180" w:rsidP="00216180">
            <w:pPr>
              <w:ind w:firstLine="720"/>
              <w:rPr>
                <w:rFonts w:ascii="Times New Roman" w:eastAsia="Times New Roman" w:hAnsi="Times New Roman" w:cs="Times New Roman"/>
                <w:sz w:val="24"/>
                <w:szCs w:val="24"/>
                <w:lang w:eastAsia="lv-LV"/>
              </w:rPr>
            </w:pPr>
          </w:p>
          <w:p w14:paraId="64AFBCA2" w14:textId="42C6A645" w:rsidR="003C6E65" w:rsidRPr="003C6E65" w:rsidRDefault="003C6E65" w:rsidP="003C6E65">
            <w:pPr>
              <w:ind w:firstLine="720"/>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1024E569" w:rsidR="004D15A9" w:rsidRPr="000A2B1F" w:rsidRDefault="000A2B1F" w:rsidP="00901D0A">
            <w:pPr>
              <w:spacing w:after="0" w:line="240" w:lineRule="auto"/>
              <w:ind w:firstLine="316"/>
              <w:jc w:val="both"/>
              <w:rPr>
                <w:rFonts w:ascii="Times New Roman" w:eastAsia="Times New Roman" w:hAnsi="Times New Roman" w:cs="Times New Roman"/>
                <w:sz w:val="24"/>
                <w:szCs w:val="24"/>
                <w:lang w:eastAsia="lv-LV"/>
              </w:rPr>
            </w:pPr>
            <w:r w:rsidRPr="000A2B1F">
              <w:rPr>
                <w:rFonts w:ascii="Times New Roman" w:hAnsi="Times New Roman" w:cs="Times New Roman"/>
                <w:noProof/>
                <w:sz w:val="24"/>
                <w:szCs w:val="24"/>
              </w:rPr>
              <w:t xml:space="preserve">Projekts ievieš </w:t>
            </w:r>
            <w:r w:rsidRPr="000A2B1F">
              <w:rPr>
                <w:rFonts w:ascii="Times New Roman" w:eastAsiaTheme="minorEastAsia" w:hAnsi="Times New Roman" w:cs="Times New Roman"/>
                <w:bCs/>
                <w:sz w:val="24"/>
                <w:szCs w:val="24"/>
              </w:rPr>
              <w:t xml:space="preserve">Eiropas Parlamenta un Padomes </w:t>
            </w:r>
            <w:r w:rsidRPr="000A2B1F">
              <w:rPr>
                <w:rFonts w:ascii="Times New Roman" w:eastAsiaTheme="minorEastAsia" w:hAnsi="Times New Roman" w:cs="Times New Roman"/>
                <w:sz w:val="24"/>
                <w:szCs w:val="24"/>
              </w:rPr>
              <w:t>2017. gada 17. maija d</w:t>
            </w:r>
            <w:r w:rsidRPr="000A2B1F">
              <w:rPr>
                <w:rFonts w:ascii="Times New Roman" w:eastAsiaTheme="minorEastAsia" w:hAnsi="Times New Roman" w:cs="Times New Roman"/>
                <w:bCs/>
                <w:sz w:val="24"/>
                <w:szCs w:val="24"/>
              </w:rPr>
              <w:t xml:space="preserve">irektīvas (ES) 2017/828, ar ko groza Direktīvu 2007/36/EK attiecībā uz akcionāru ilgtermiņa iesaistīšanas veicināšanu, (turpmāk – Direktīva) </w:t>
            </w:r>
            <w:r w:rsidRPr="000A2B1F">
              <w:rPr>
                <w:rFonts w:ascii="Times New Roman" w:hAnsi="Times New Roman" w:cs="Times New Roman"/>
                <w:noProof/>
                <w:sz w:val="24"/>
                <w:szCs w:val="24"/>
              </w:rPr>
              <w:t>prasības. Direktīvas prasības ir jāievieš līdz 2019. gada 10. jūnijam.</w:t>
            </w:r>
          </w:p>
        </w:tc>
      </w:tr>
      <w:tr w:rsidR="00DA326E" w:rsidRPr="002C4A1B" w14:paraId="5FF7B6AF"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5B22CAE" w14:textId="77777777" w:rsidR="007F1490" w:rsidRDefault="004D15A9" w:rsidP="007F1490">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F4791B" w14:textId="77777777" w:rsidR="00DF21B5" w:rsidRPr="00DF21B5" w:rsidRDefault="00DF21B5" w:rsidP="00DF21B5">
            <w:pPr>
              <w:rPr>
                <w:rFonts w:ascii="Times New Roman" w:eastAsia="Times New Roman" w:hAnsi="Times New Roman" w:cs="Times New Roman"/>
                <w:sz w:val="24"/>
                <w:szCs w:val="24"/>
                <w:lang w:eastAsia="lv-LV"/>
              </w:rPr>
            </w:pPr>
          </w:p>
          <w:p w14:paraId="4AC68694" w14:textId="77777777" w:rsidR="00DF21B5" w:rsidRPr="00DF21B5" w:rsidRDefault="00DF21B5" w:rsidP="00DF21B5">
            <w:pPr>
              <w:rPr>
                <w:rFonts w:ascii="Times New Roman" w:eastAsia="Times New Roman" w:hAnsi="Times New Roman" w:cs="Times New Roman"/>
                <w:sz w:val="24"/>
                <w:szCs w:val="24"/>
                <w:lang w:eastAsia="lv-LV"/>
              </w:rPr>
            </w:pPr>
          </w:p>
          <w:p w14:paraId="6C7DD86A" w14:textId="77777777" w:rsidR="00DF21B5" w:rsidRPr="00DF21B5" w:rsidRDefault="00DF21B5" w:rsidP="00DF21B5">
            <w:pPr>
              <w:rPr>
                <w:rFonts w:ascii="Times New Roman" w:eastAsia="Times New Roman" w:hAnsi="Times New Roman" w:cs="Times New Roman"/>
                <w:sz w:val="24"/>
                <w:szCs w:val="24"/>
                <w:lang w:eastAsia="lv-LV"/>
              </w:rPr>
            </w:pPr>
          </w:p>
          <w:p w14:paraId="7CF1AFDD" w14:textId="77777777" w:rsidR="00DF21B5" w:rsidRPr="00DF21B5" w:rsidRDefault="00DF21B5" w:rsidP="00DF21B5">
            <w:pPr>
              <w:rPr>
                <w:rFonts w:ascii="Times New Roman" w:eastAsia="Times New Roman" w:hAnsi="Times New Roman" w:cs="Times New Roman"/>
                <w:sz w:val="24"/>
                <w:szCs w:val="24"/>
                <w:lang w:eastAsia="lv-LV"/>
              </w:rPr>
            </w:pPr>
          </w:p>
          <w:p w14:paraId="6C8077C6" w14:textId="77777777" w:rsidR="00DF21B5" w:rsidRPr="00DF21B5" w:rsidRDefault="00DF21B5" w:rsidP="00DF21B5">
            <w:pPr>
              <w:rPr>
                <w:rFonts w:ascii="Times New Roman" w:eastAsia="Times New Roman" w:hAnsi="Times New Roman" w:cs="Times New Roman"/>
                <w:sz w:val="24"/>
                <w:szCs w:val="24"/>
                <w:lang w:eastAsia="lv-LV"/>
              </w:rPr>
            </w:pPr>
          </w:p>
          <w:p w14:paraId="1CDC22D4" w14:textId="77777777" w:rsidR="00DF21B5" w:rsidRPr="00DF21B5" w:rsidRDefault="00DF21B5" w:rsidP="00DF21B5">
            <w:pPr>
              <w:rPr>
                <w:rFonts w:ascii="Times New Roman" w:eastAsia="Times New Roman" w:hAnsi="Times New Roman" w:cs="Times New Roman"/>
                <w:sz w:val="24"/>
                <w:szCs w:val="24"/>
                <w:lang w:eastAsia="lv-LV"/>
              </w:rPr>
            </w:pPr>
          </w:p>
          <w:p w14:paraId="21978B79" w14:textId="77777777" w:rsidR="00DF21B5" w:rsidRPr="00DF21B5" w:rsidRDefault="00DF21B5" w:rsidP="00DF21B5">
            <w:pPr>
              <w:rPr>
                <w:rFonts w:ascii="Times New Roman" w:eastAsia="Times New Roman" w:hAnsi="Times New Roman" w:cs="Times New Roman"/>
                <w:sz w:val="24"/>
                <w:szCs w:val="24"/>
                <w:lang w:eastAsia="lv-LV"/>
              </w:rPr>
            </w:pPr>
          </w:p>
          <w:p w14:paraId="7FDD543E" w14:textId="77777777" w:rsidR="00DF21B5" w:rsidRPr="00DF21B5" w:rsidRDefault="00DF21B5" w:rsidP="00DF21B5">
            <w:pPr>
              <w:rPr>
                <w:rFonts w:ascii="Times New Roman" w:eastAsia="Times New Roman" w:hAnsi="Times New Roman" w:cs="Times New Roman"/>
                <w:sz w:val="24"/>
                <w:szCs w:val="24"/>
                <w:lang w:eastAsia="lv-LV"/>
              </w:rPr>
            </w:pPr>
          </w:p>
          <w:p w14:paraId="384DAFCD" w14:textId="77777777" w:rsidR="00DF21B5" w:rsidRPr="00DF21B5" w:rsidRDefault="00DF21B5" w:rsidP="00DF21B5">
            <w:pPr>
              <w:rPr>
                <w:rFonts w:ascii="Times New Roman" w:eastAsia="Times New Roman" w:hAnsi="Times New Roman" w:cs="Times New Roman"/>
                <w:sz w:val="24"/>
                <w:szCs w:val="24"/>
                <w:lang w:eastAsia="lv-LV"/>
              </w:rPr>
            </w:pPr>
          </w:p>
          <w:p w14:paraId="0DF60BD6" w14:textId="77777777" w:rsidR="00DF21B5" w:rsidRPr="00DF21B5" w:rsidRDefault="00DF21B5" w:rsidP="00DF21B5">
            <w:pPr>
              <w:rPr>
                <w:rFonts w:ascii="Times New Roman" w:eastAsia="Times New Roman" w:hAnsi="Times New Roman" w:cs="Times New Roman"/>
                <w:sz w:val="24"/>
                <w:szCs w:val="24"/>
                <w:lang w:eastAsia="lv-LV"/>
              </w:rPr>
            </w:pPr>
          </w:p>
          <w:p w14:paraId="7473A104" w14:textId="77777777" w:rsidR="00DF21B5" w:rsidRPr="00DF21B5" w:rsidRDefault="00DF21B5" w:rsidP="00DF21B5">
            <w:pPr>
              <w:rPr>
                <w:rFonts w:ascii="Times New Roman" w:eastAsia="Times New Roman" w:hAnsi="Times New Roman" w:cs="Times New Roman"/>
                <w:sz w:val="24"/>
                <w:szCs w:val="24"/>
                <w:lang w:eastAsia="lv-LV"/>
              </w:rPr>
            </w:pPr>
          </w:p>
          <w:p w14:paraId="5F14211E" w14:textId="77777777" w:rsidR="00DF21B5" w:rsidRDefault="00DF21B5" w:rsidP="00752F0F">
            <w:pPr>
              <w:ind w:firstLine="720"/>
              <w:rPr>
                <w:rFonts w:ascii="Times New Roman" w:eastAsia="Times New Roman" w:hAnsi="Times New Roman" w:cs="Times New Roman"/>
                <w:sz w:val="24"/>
                <w:szCs w:val="24"/>
                <w:lang w:eastAsia="lv-LV"/>
              </w:rPr>
            </w:pPr>
          </w:p>
          <w:p w14:paraId="7B9225C8" w14:textId="1AB36829" w:rsidR="00DF21B5" w:rsidRPr="00DF21B5" w:rsidRDefault="00752F0F" w:rsidP="00752F0F">
            <w:pPr>
              <w:tabs>
                <w:tab w:val="left" w:pos="6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3199" w:type="pct"/>
            <w:tcBorders>
              <w:top w:val="outset" w:sz="6" w:space="0" w:color="414142"/>
              <w:left w:val="outset" w:sz="6" w:space="0" w:color="414142"/>
              <w:bottom w:val="outset" w:sz="6" w:space="0" w:color="414142"/>
              <w:right w:val="outset" w:sz="6" w:space="0" w:color="414142"/>
            </w:tcBorders>
            <w:hideMark/>
          </w:tcPr>
          <w:p w14:paraId="4027A806" w14:textId="7142780F" w:rsidR="00443949" w:rsidRPr="002C4A1B" w:rsidRDefault="00443949" w:rsidP="00443949">
            <w:pPr>
              <w:spacing w:after="0" w:line="240" w:lineRule="auto"/>
              <w:ind w:firstLine="284"/>
              <w:jc w:val="both"/>
              <w:rPr>
                <w:rFonts w:ascii="Times New Roman" w:eastAsia="Calibri" w:hAnsi="Times New Roman" w:cs="Times New Roman"/>
                <w:bCs/>
                <w:sz w:val="24"/>
                <w:szCs w:val="24"/>
              </w:rPr>
            </w:pPr>
            <w:r w:rsidRPr="002C4A1B">
              <w:rPr>
                <w:rFonts w:ascii="Times New Roman" w:eastAsia="Calibri" w:hAnsi="Times New Roman" w:cs="Times New Roman"/>
                <w:color w:val="000000"/>
                <w:sz w:val="24"/>
                <w:szCs w:val="24"/>
              </w:rPr>
              <w:lastRenderedPageBreak/>
              <w:t xml:space="preserve">Direktīvas regulējums ir vērsts uz to, lai sekmētu akcionāru ilgtermiņa iesaisti akciju sabiedrību pārvaldībā. </w:t>
            </w:r>
            <w:r w:rsidRPr="002C4A1B">
              <w:rPr>
                <w:rFonts w:ascii="Times New Roman" w:hAnsi="Times New Roman" w:cs="Times New Roman"/>
                <w:sz w:val="24"/>
                <w:szCs w:val="24"/>
              </w:rPr>
              <w:t>Direktīvas minimālā prasība ir šo regulējumu attiecināt tikai uz tām sabiedrībām, kur</w:t>
            </w:r>
            <w:r w:rsidR="00D04C33">
              <w:rPr>
                <w:rFonts w:ascii="Times New Roman" w:hAnsi="Times New Roman" w:cs="Times New Roman"/>
                <w:sz w:val="24"/>
                <w:szCs w:val="24"/>
              </w:rPr>
              <w:t>u</w:t>
            </w:r>
            <w:r w:rsidRPr="002C4A1B">
              <w:rPr>
                <w:rFonts w:ascii="Times New Roman" w:hAnsi="Times New Roman" w:cs="Times New Roman"/>
                <w:sz w:val="24"/>
                <w:szCs w:val="24"/>
              </w:rPr>
              <w:t xml:space="preserve"> juridiskā adrese ir </w:t>
            </w:r>
            <w:r w:rsidR="004F5C4E" w:rsidRPr="002C4A1B">
              <w:rPr>
                <w:rFonts w:ascii="Times New Roman" w:hAnsi="Times New Roman" w:cs="Times New Roman"/>
                <w:sz w:val="24"/>
                <w:szCs w:val="24"/>
              </w:rPr>
              <w:t xml:space="preserve">Eiropas Savienības un Eiropas Ekonomikas zonas </w:t>
            </w:r>
            <w:r w:rsidRPr="002C4A1B">
              <w:rPr>
                <w:rFonts w:ascii="Times New Roman" w:hAnsi="Times New Roman" w:cs="Times New Roman"/>
                <w:sz w:val="24"/>
                <w:szCs w:val="24"/>
              </w:rPr>
              <w:t>dalībvalstī un kur</w:t>
            </w:r>
            <w:r w:rsidR="00D04C33">
              <w:rPr>
                <w:rFonts w:ascii="Times New Roman" w:hAnsi="Times New Roman" w:cs="Times New Roman"/>
                <w:sz w:val="24"/>
                <w:szCs w:val="24"/>
              </w:rPr>
              <w:t>u</w:t>
            </w:r>
            <w:r w:rsidRPr="002C4A1B">
              <w:rPr>
                <w:rFonts w:ascii="Times New Roman" w:hAnsi="Times New Roman" w:cs="Times New Roman"/>
                <w:sz w:val="24"/>
                <w:szCs w:val="24"/>
              </w:rPr>
              <w:t xml:space="preserve"> akcijas atļauts tirgot </w:t>
            </w:r>
            <w:r w:rsidR="004F5C4E" w:rsidRPr="002C4A1B">
              <w:rPr>
                <w:rFonts w:ascii="Times New Roman" w:hAnsi="Times New Roman" w:cs="Times New Roman"/>
                <w:sz w:val="24"/>
                <w:szCs w:val="24"/>
              </w:rPr>
              <w:t xml:space="preserve">dalībvalsts </w:t>
            </w:r>
            <w:r w:rsidRPr="002C4A1B">
              <w:rPr>
                <w:rFonts w:ascii="Times New Roman" w:hAnsi="Times New Roman" w:cs="Times New Roman"/>
                <w:sz w:val="24"/>
                <w:szCs w:val="24"/>
              </w:rPr>
              <w:t xml:space="preserve">regulētajā tirgū. </w:t>
            </w:r>
            <w:r w:rsidRPr="002C4A1B">
              <w:rPr>
                <w:rFonts w:ascii="Times New Roman" w:eastAsia="Calibri" w:hAnsi="Times New Roman" w:cs="Times New Roman"/>
                <w:color w:val="000000"/>
                <w:sz w:val="24"/>
                <w:szCs w:val="24"/>
              </w:rPr>
              <w:t xml:space="preserve"> </w:t>
            </w:r>
            <w:r w:rsidRPr="002C4A1B">
              <w:rPr>
                <w:rFonts w:ascii="Times New Roman" w:eastAsia="Calibri" w:hAnsi="Times New Roman" w:cs="Times New Roman"/>
                <w:sz w:val="24"/>
                <w:szCs w:val="24"/>
              </w:rPr>
              <w:t>Direktīva ietver vai</w:t>
            </w:r>
            <w:r w:rsidR="00AB0D8B" w:rsidRPr="002C4A1B">
              <w:rPr>
                <w:rFonts w:ascii="Times New Roman" w:eastAsia="Calibri" w:hAnsi="Times New Roman" w:cs="Times New Roman"/>
                <w:sz w:val="24"/>
                <w:szCs w:val="24"/>
              </w:rPr>
              <w:t>rākus jautājumu blokus, t. sk.:</w:t>
            </w:r>
          </w:p>
          <w:p w14:paraId="4C65CFF6" w14:textId="39E3304F" w:rsidR="00443949" w:rsidRPr="002C4A1B" w:rsidRDefault="00443949" w:rsidP="00443949">
            <w:pPr>
              <w:pStyle w:val="doc-ti2"/>
              <w:spacing w:before="0" w:after="0" w:line="240" w:lineRule="auto"/>
              <w:ind w:firstLine="284"/>
              <w:jc w:val="both"/>
              <w:rPr>
                <w:b w:val="0"/>
              </w:rPr>
            </w:pPr>
            <w:r w:rsidRPr="002C4A1B">
              <w:rPr>
                <w:rFonts w:eastAsia="Calibri"/>
                <w:b w:val="0"/>
                <w:bCs w:val="0"/>
                <w:lang w:eastAsia="en-US"/>
              </w:rPr>
              <w:t>1) a</w:t>
            </w:r>
            <w:r w:rsidRPr="002C4A1B">
              <w:rPr>
                <w:b w:val="0"/>
                <w:bCs w:val="0"/>
              </w:rPr>
              <w:t xml:space="preserve">kcionāru identificēšana, </w:t>
            </w:r>
            <w:r w:rsidR="00AB0D8B" w:rsidRPr="002C4A1B">
              <w:rPr>
                <w:b w:val="0"/>
                <w:bCs w:val="0"/>
              </w:rPr>
              <w:t xml:space="preserve">tādas </w:t>
            </w:r>
            <w:r w:rsidRPr="002C4A1B">
              <w:rPr>
                <w:b w:val="0"/>
                <w:bCs w:val="0"/>
              </w:rPr>
              <w:t>informācijas nodošana</w:t>
            </w:r>
            <w:r w:rsidR="00D86014" w:rsidRPr="002C4A1B">
              <w:rPr>
                <w:b w:val="0"/>
                <w:bCs w:val="0"/>
              </w:rPr>
              <w:t>, kas saistīta ar akcionāru tiesīb</w:t>
            </w:r>
            <w:r w:rsidR="00AB0D8B" w:rsidRPr="002C4A1B">
              <w:rPr>
                <w:b w:val="0"/>
                <w:bCs w:val="0"/>
              </w:rPr>
              <w:t>ām</w:t>
            </w:r>
            <w:r w:rsidR="00D86014" w:rsidRPr="002C4A1B">
              <w:rPr>
                <w:b w:val="0"/>
                <w:bCs w:val="0"/>
              </w:rPr>
              <w:t xml:space="preserve">, </w:t>
            </w:r>
            <w:r w:rsidRPr="002C4A1B">
              <w:rPr>
                <w:b w:val="0"/>
                <w:bCs w:val="0"/>
              </w:rPr>
              <w:t>un akcionāru tiesību izlietošanas veicināšana</w:t>
            </w:r>
            <w:r w:rsidR="00AB0D8B" w:rsidRPr="002C4A1B">
              <w:rPr>
                <w:b w:val="0"/>
              </w:rPr>
              <w:t>;</w:t>
            </w:r>
          </w:p>
          <w:p w14:paraId="78E7EBC7" w14:textId="6B2BBA4B" w:rsidR="00443949" w:rsidRPr="002C4A1B" w:rsidRDefault="00443949" w:rsidP="00443949">
            <w:pPr>
              <w:pStyle w:val="doc-ti2"/>
              <w:spacing w:before="0" w:after="0" w:line="240" w:lineRule="auto"/>
              <w:ind w:firstLine="284"/>
              <w:jc w:val="both"/>
              <w:rPr>
                <w:b w:val="0"/>
              </w:rPr>
            </w:pPr>
            <w:r w:rsidRPr="002C4A1B">
              <w:rPr>
                <w:b w:val="0"/>
              </w:rPr>
              <w:t>2) </w:t>
            </w:r>
            <w:r w:rsidRPr="002C4A1B">
              <w:rPr>
                <w:b w:val="0"/>
                <w:bCs w:val="0"/>
              </w:rPr>
              <w:t>aktīvu pārvaldītāju un pilnvaroto padomdevēju pārredzamība</w:t>
            </w:r>
            <w:r w:rsidRPr="002C4A1B">
              <w:rPr>
                <w:b w:val="0"/>
              </w:rPr>
              <w:t>;</w:t>
            </w:r>
          </w:p>
          <w:p w14:paraId="744D2235" w14:textId="78EE544E" w:rsidR="00443949" w:rsidRPr="002C4A1B" w:rsidRDefault="00443949" w:rsidP="00443949">
            <w:pPr>
              <w:pStyle w:val="doc-ti2"/>
              <w:spacing w:before="0" w:after="0" w:line="240" w:lineRule="auto"/>
              <w:ind w:firstLine="284"/>
              <w:jc w:val="both"/>
              <w:rPr>
                <w:b w:val="0"/>
                <w:bCs w:val="0"/>
              </w:rPr>
            </w:pPr>
            <w:r w:rsidRPr="002C4A1B">
              <w:rPr>
                <w:b w:val="0"/>
                <w:bCs w:val="0"/>
              </w:rPr>
              <w:t>3) akcionāru tiesības balsot par vadītāju atlīdzības politiku un at</w:t>
            </w:r>
            <w:r w:rsidR="00101ED0" w:rsidRPr="002C4A1B">
              <w:rPr>
                <w:b w:val="0"/>
                <w:bCs w:val="0"/>
              </w:rPr>
              <w:t>algojuma</w:t>
            </w:r>
            <w:r w:rsidRPr="002C4A1B">
              <w:rPr>
                <w:b w:val="0"/>
                <w:bCs w:val="0"/>
              </w:rPr>
              <w:t xml:space="preserve"> ziņojumu;</w:t>
            </w:r>
          </w:p>
          <w:p w14:paraId="4E264144" w14:textId="2F327155" w:rsidR="00443949" w:rsidRPr="002C4A1B" w:rsidRDefault="00443949" w:rsidP="00443949">
            <w:pPr>
              <w:pStyle w:val="doc-ti2"/>
              <w:spacing w:before="0" w:after="0" w:line="240" w:lineRule="auto"/>
              <w:ind w:firstLine="284"/>
              <w:jc w:val="both"/>
              <w:rPr>
                <w:b w:val="0"/>
                <w:bCs w:val="0"/>
              </w:rPr>
            </w:pPr>
            <w:r w:rsidRPr="002C4A1B">
              <w:rPr>
                <w:b w:val="0"/>
                <w:bCs w:val="0"/>
              </w:rPr>
              <w:t>4) akcionāru iesaiste saistīto pušu darījumu apstiprināšanā.</w:t>
            </w:r>
          </w:p>
          <w:p w14:paraId="2CA2AAD7" w14:textId="45B4795A" w:rsidR="00443949" w:rsidRPr="002C4A1B" w:rsidRDefault="72A7F619" w:rsidP="72A7F619">
            <w:pPr>
              <w:spacing w:after="0" w:line="240" w:lineRule="auto"/>
              <w:ind w:firstLine="284"/>
              <w:jc w:val="both"/>
              <w:rPr>
                <w:rFonts w:ascii="Times New Roman" w:hAnsi="Times New Roman" w:cs="Times New Roman"/>
                <w:sz w:val="24"/>
                <w:szCs w:val="24"/>
              </w:rPr>
            </w:pPr>
            <w:r w:rsidRPr="002C4A1B">
              <w:rPr>
                <w:rFonts w:ascii="Times New Roman" w:eastAsia="Calibri" w:hAnsi="Times New Roman" w:cs="Times New Roman"/>
                <w:sz w:val="24"/>
                <w:szCs w:val="24"/>
              </w:rPr>
              <w:t xml:space="preserve">Direktīvas prasības ieviešamas nacionālajā normatīvajā regulējumā </w:t>
            </w:r>
            <w:r w:rsidR="00D86014" w:rsidRPr="002C4A1B">
              <w:rPr>
                <w:rFonts w:ascii="Times New Roman" w:eastAsia="Calibri" w:hAnsi="Times New Roman" w:cs="Times New Roman"/>
                <w:sz w:val="24"/>
                <w:szCs w:val="24"/>
              </w:rPr>
              <w:t xml:space="preserve">ne vēlāk kā </w:t>
            </w:r>
            <w:r w:rsidRPr="002C4A1B">
              <w:rPr>
                <w:rFonts w:ascii="Times New Roman" w:eastAsia="Calibri" w:hAnsi="Times New Roman" w:cs="Times New Roman"/>
                <w:sz w:val="24"/>
                <w:szCs w:val="24"/>
              </w:rPr>
              <w:t xml:space="preserve">līdz 2019. gada 10. jūnijam. Vienlaikus Direktīvas regulējums saistībā ar akcionāru identificēšanu, </w:t>
            </w:r>
            <w:r w:rsidR="00D86014" w:rsidRPr="002C4A1B">
              <w:rPr>
                <w:rFonts w:ascii="Times New Roman" w:eastAsia="Calibri" w:hAnsi="Times New Roman" w:cs="Times New Roman"/>
                <w:sz w:val="24"/>
                <w:szCs w:val="24"/>
              </w:rPr>
              <w:t xml:space="preserve">akcionāru tiesību izmantošanu saistītās </w:t>
            </w:r>
            <w:r w:rsidRPr="002C4A1B">
              <w:rPr>
                <w:rFonts w:ascii="Times New Roman" w:eastAsia="Calibri" w:hAnsi="Times New Roman" w:cs="Times New Roman"/>
                <w:sz w:val="24"/>
                <w:szCs w:val="24"/>
              </w:rPr>
              <w:t>informācijas nodošanu</w:t>
            </w:r>
            <w:r w:rsidR="00D86014" w:rsidRPr="002C4A1B">
              <w:rPr>
                <w:rFonts w:ascii="Times New Roman" w:eastAsia="Calibri" w:hAnsi="Times New Roman" w:cs="Times New Roman"/>
                <w:sz w:val="24"/>
                <w:szCs w:val="24"/>
              </w:rPr>
              <w:t>,</w:t>
            </w:r>
            <w:r w:rsidRPr="002C4A1B">
              <w:rPr>
                <w:rFonts w:ascii="Times New Roman" w:eastAsia="Calibri" w:hAnsi="Times New Roman" w:cs="Times New Roman"/>
                <w:sz w:val="24"/>
                <w:szCs w:val="24"/>
              </w:rPr>
              <w:t xml:space="preserve"> </w:t>
            </w:r>
            <w:r w:rsidR="000001C2" w:rsidRPr="002C4A1B">
              <w:rPr>
                <w:rFonts w:ascii="Times New Roman" w:eastAsia="Calibri" w:hAnsi="Times New Roman" w:cs="Times New Roman"/>
                <w:sz w:val="24"/>
                <w:szCs w:val="24"/>
              </w:rPr>
              <w:t xml:space="preserve">kā arī </w:t>
            </w:r>
            <w:r w:rsidRPr="002C4A1B">
              <w:rPr>
                <w:rFonts w:ascii="Times New Roman" w:eastAsia="Calibri" w:hAnsi="Times New Roman" w:cs="Times New Roman"/>
                <w:sz w:val="24"/>
                <w:szCs w:val="24"/>
              </w:rPr>
              <w:t xml:space="preserve">akcionāru tiesību izlietošanas veicināšanu (Direktīvas 2007/36/EK 3.a, 3.b un 3.c pants) ir ieviešams 24 mēnešu laikā pēc tam, kad Eiropas Komisija ir izstrādājusi attiecīgus īstenošanas aktus. Eiropas Komisija pieņēma īstenošanas aktu </w:t>
            </w:r>
            <w:r w:rsidRPr="002C4A1B">
              <w:rPr>
                <w:rFonts w:ascii="Times New Roman" w:hAnsi="Times New Roman" w:cs="Times New Roman"/>
                <w:sz w:val="24"/>
                <w:szCs w:val="24"/>
              </w:rPr>
              <w:t xml:space="preserve">2018. gada </w:t>
            </w:r>
            <w:r w:rsidR="00F13E2B" w:rsidRPr="002C4A1B">
              <w:rPr>
                <w:rFonts w:ascii="Times New Roman" w:hAnsi="Times New Roman" w:cs="Times New Roman"/>
                <w:sz w:val="24"/>
                <w:szCs w:val="24"/>
              </w:rPr>
              <w:t>3. septembrī</w:t>
            </w:r>
            <w:r w:rsidRPr="002C4A1B">
              <w:rPr>
                <w:rFonts w:ascii="Times New Roman" w:hAnsi="Times New Roman" w:cs="Times New Roman"/>
                <w:sz w:val="24"/>
                <w:szCs w:val="24"/>
              </w:rPr>
              <w:t xml:space="preserve">, tāpēc šie Direktīvas aspekti ir ieviešami ne vēlāk kā 2020. gada </w:t>
            </w:r>
            <w:r w:rsidR="00F13E2B" w:rsidRPr="002C4A1B">
              <w:rPr>
                <w:rFonts w:ascii="Times New Roman" w:hAnsi="Times New Roman" w:cs="Times New Roman"/>
                <w:sz w:val="24"/>
                <w:szCs w:val="24"/>
              </w:rPr>
              <w:t>3. septembrī</w:t>
            </w:r>
            <w:r w:rsidRPr="002C4A1B">
              <w:rPr>
                <w:rFonts w:ascii="Times New Roman" w:hAnsi="Times New Roman" w:cs="Times New Roman"/>
                <w:sz w:val="24"/>
                <w:szCs w:val="24"/>
              </w:rPr>
              <w:t>.</w:t>
            </w:r>
          </w:p>
          <w:p w14:paraId="7780CB79" w14:textId="1B03C5EE" w:rsidR="00443949" w:rsidRPr="002C4A1B" w:rsidRDefault="00443949" w:rsidP="00443949">
            <w:pPr>
              <w:spacing w:after="0" w:line="240" w:lineRule="auto"/>
              <w:ind w:firstLine="284"/>
              <w:jc w:val="both"/>
              <w:rPr>
                <w:rFonts w:ascii="Times New Roman" w:eastAsia="Arial Unicode MS" w:hAnsi="Times New Roman" w:cs="Times New Roman"/>
                <w:sz w:val="24"/>
                <w:szCs w:val="24"/>
              </w:rPr>
            </w:pPr>
            <w:r w:rsidRPr="002C4A1B">
              <w:rPr>
                <w:rFonts w:ascii="Times New Roman" w:hAnsi="Times New Roman" w:cs="Times New Roman"/>
                <w:sz w:val="24"/>
                <w:szCs w:val="24"/>
              </w:rPr>
              <w:lastRenderedPageBreak/>
              <w:t xml:space="preserve">Šobrīd Latvijā ir 21 akciju sabiedrība, kuras akcijas ir iekļautas regulētajā tirgū (Baltijas oficiālais saraksts un Baltijas otrais saraksts). </w:t>
            </w:r>
            <w:r w:rsidR="002941D8" w:rsidRPr="002C4A1B">
              <w:rPr>
                <w:rFonts w:ascii="Times New Roman" w:hAnsi="Times New Roman" w:cs="Times New Roman"/>
                <w:sz w:val="24"/>
                <w:szCs w:val="24"/>
              </w:rPr>
              <w:t xml:space="preserve">Speciālais </w:t>
            </w:r>
            <w:r w:rsidRPr="002C4A1B">
              <w:rPr>
                <w:rFonts w:ascii="Times New Roman" w:eastAsia="Arial Unicode MS" w:hAnsi="Times New Roman" w:cs="Times New Roman"/>
                <w:sz w:val="24"/>
                <w:szCs w:val="24"/>
              </w:rPr>
              <w:t xml:space="preserve">regulējums attiecībā uz regulētajā tirgū iekļautajiem finanšu instrumentiem, kā arī emitentiem </w:t>
            </w:r>
            <w:r w:rsidR="002941D8" w:rsidRPr="002C4A1B">
              <w:rPr>
                <w:rFonts w:ascii="Times New Roman" w:eastAsia="Arial Unicode MS" w:hAnsi="Times New Roman" w:cs="Times New Roman"/>
                <w:sz w:val="24"/>
                <w:szCs w:val="24"/>
              </w:rPr>
              <w:t xml:space="preserve">(kapitālsabiedrības, kuru akcijas ir iekļautas regulētā tirgū) </w:t>
            </w:r>
            <w:r w:rsidRPr="002C4A1B">
              <w:rPr>
                <w:rFonts w:ascii="Times New Roman" w:eastAsia="Arial Unicode MS" w:hAnsi="Times New Roman" w:cs="Times New Roman"/>
                <w:sz w:val="24"/>
                <w:szCs w:val="24"/>
              </w:rPr>
              <w:t xml:space="preserve">ir iekļauts Finanšu instrumentu tirgus likumā (turpmāk – FITL). Savukārt Komerclikumā ietverts vispārīgs regulējums, kas attiecas uz visām akciju sabiedrībām un to akcionāru tiesībām. </w:t>
            </w:r>
          </w:p>
          <w:p w14:paraId="65DBE5E6" w14:textId="77777777" w:rsidR="002C4A1B" w:rsidRDefault="002C4A1B" w:rsidP="001F257B">
            <w:pPr>
              <w:spacing w:after="0" w:line="240" w:lineRule="auto"/>
              <w:jc w:val="both"/>
              <w:rPr>
                <w:rFonts w:ascii="Times New Roman" w:eastAsia="Times New Roman" w:hAnsi="Times New Roman" w:cs="Times New Roman"/>
                <w:b/>
                <w:sz w:val="24"/>
                <w:szCs w:val="24"/>
                <w:lang w:eastAsia="lv-LV"/>
              </w:rPr>
            </w:pPr>
          </w:p>
          <w:p w14:paraId="74EDE24F" w14:textId="40144D07" w:rsidR="00443949" w:rsidRPr="002C4A1B" w:rsidRDefault="00443949" w:rsidP="002C4A1B">
            <w:pPr>
              <w:spacing w:after="0" w:line="240" w:lineRule="auto"/>
              <w:ind w:firstLine="245"/>
              <w:jc w:val="both"/>
              <w:rPr>
                <w:rFonts w:ascii="Times New Roman" w:eastAsia="Times New Roman" w:hAnsi="Times New Roman" w:cs="Times New Roman"/>
                <w:b/>
                <w:sz w:val="24"/>
                <w:szCs w:val="24"/>
                <w:lang w:eastAsia="lv-LV"/>
              </w:rPr>
            </w:pPr>
            <w:r w:rsidRPr="002C4A1B">
              <w:rPr>
                <w:rFonts w:ascii="Times New Roman" w:eastAsia="Times New Roman" w:hAnsi="Times New Roman" w:cs="Times New Roman"/>
                <w:b/>
                <w:sz w:val="24"/>
                <w:szCs w:val="24"/>
                <w:lang w:eastAsia="lv-LV"/>
              </w:rPr>
              <w:t>Atalgojuma politika un atalgojuma ziņojums</w:t>
            </w:r>
          </w:p>
          <w:p w14:paraId="650FE848" w14:textId="19D11557" w:rsidR="00443949" w:rsidRPr="002C4A1B"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color w:val="000000"/>
                <w:sz w:val="24"/>
                <w:szCs w:val="24"/>
                <w:lang w:eastAsia="lv-LV"/>
              </w:rPr>
              <w:t xml:space="preserve">Direktīva paredz regulējumu, kas vērsts uz akcionāru iesaisti vadītāju atlīdzības politikas noteikšanā, kā arī paredzēts </w:t>
            </w:r>
            <w:r w:rsidRPr="002C4A1B">
              <w:rPr>
                <w:rFonts w:ascii="Times New Roman" w:hAnsi="Times New Roman" w:cs="Times New Roman"/>
                <w:sz w:val="24"/>
                <w:szCs w:val="24"/>
                <w:lang w:eastAsia="lv-LV"/>
              </w:rPr>
              <w:t xml:space="preserve">pienākums sagatavot ikgadēju ziņojumu par iepriekšējo pārskata gadu attiecībā uz katram </w:t>
            </w:r>
            <w:r w:rsidR="006746E7" w:rsidRPr="002C4A1B">
              <w:rPr>
                <w:rFonts w:ascii="Times New Roman" w:hAnsi="Times New Roman" w:cs="Times New Roman"/>
                <w:sz w:val="24"/>
                <w:szCs w:val="24"/>
                <w:lang w:eastAsia="lv-LV"/>
              </w:rPr>
              <w:t xml:space="preserve">vadītājam </w:t>
            </w:r>
            <w:r w:rsidRPr="002C4A1B">
              <w:rPr>
                <w:rFonts w:ascii="Times New Roman" w:hAnsi="Times New Roman" w:cs="Times New Roman"/>
                <w:sz w:val="24"/>
                <w:szCs w:val="24"/>
                <w:lang w:eastAsia="lv-LV"/>
              </w:rPr>
              <w:t xml:space="preserve">individuāli izmaksāto atlīdzību. </w:t>
            </w:r>
            <w:r w:rsidRPr="002C4A1B">
              <w:rPr>
                <w:rFonts w:ascii="Times New Roman" w:eastAsia="Times New Roman" w:hAnsi="Times New Roman" w:cs="Times New Roman"/>
                <w:sz w:val="24"/>
                <w:szCs w:val="24"/>
                <w:lang w:eastAsia="lv-LV"/>
              </w:rPr>
              <w:t xml:space="preserve">Direktīva paredz regulējumu sabiedrības vadītāju atalgojumam, jo atalgojums ir viens no </w:t>
            </w:r>
            <w:r w:rsidR="00BE3EA3" w:rsidRPr="002C4A1B">
              <w:rPr>
                <w:rFonts w:ascii="Times New Roman" w:eastAsia="Times New Roman" w:hAnsi="Times New Roman" w:cs="Times New Roman"/>
                <w:sz w:val="24"/>
                <w:szCs w:val="24"/>
                <w:lang w:eastAsia="lv-LV"/>
              </w:rPr>
              <w:t xml:space="preserve">sabiedrības </w:t>
            </w:r>
            <w:r w:rsidRPr="002C4A1B">
              <w:rPr>
                <w:rFonts w:ascii="Times New Roman" w:eastAsia="Times New Roman" w:hAnsi="Times New Roman" w:cs="Times New Roman"/>
                <w:sz w:val="24"/>
                <w:szCs w:val="24"/>
                <w:lang w:eastAsia="lv-LV"/>
              </w:rPr>
              <w:t>galvenajiem instrumentiem</w:t>
            </w:r>
            <w:r w:rsidR="00BE3EA3" w:rsidRPr="002C4A1B">
              <w:rPr>
                <w:rFonts w:ascii="Times New Roman" w:eastAsia="Times New Roman" w:hAnsi="Times New Roman" w:cs="Times New Roman"/>
                <w:sz w:val="24"/>
                <w:szCs w:val="24"/>
                <w:lang w:eastAsia="lv-LV"/>
              </w:rPr>
              <w:t>, kā tiek ie</w:t>
            </w:r>
            <w:r w:rsidR="008714D4" w:rsidRPr="002C4A1B">
              <w:rPr>
                <w:rFonts w:ascii="Times New Roman" w:eastAsia="Times New Roman" w:hAnsi="Times New Roman" w:cs="Times New Roman"/>
                <w:sz w:val="24"/>
                <w:szCs w:val="24"/>
                <w:lang w:eastAsia="lv-LV"/>
              </w:rPr>
              <w:t>tekmēta un novērtēta sabiedrības vadītāju darbība,</w:t>
            </w:r>
            <w:r w:rsidRPr="002C4A1B">
              <w:rPr>
                <w:rFonts w:ascii="Times New Roman" w:eastAsia="Times New Roman" w:hAnsi="Times New Roman" w:cs="Times New Roman"/>
                <w:sz w:val="24"/>
                <w:szCs w:val="24"/>
                <w:lang w:eastAsia="lv-LV"/>
              </w:rPr>
              <w:t xml:space="preserve"> un ir svarīgi, ka kompetentās struktūras sabiedrībā atbilstīgā veidā nosaka atalgojuma politiku sabiedrībās un ka akcionāriem ir iespēja paust viedokli par savas sabiedrības atalgojuma politiku. Direktīva rada priekšnoteikumus akcionāru tiesību izmantošanai un akcionāru iesaistīšanai atalgojuma jautājumā. Informācijas atklāšana akcionāriem par vadītāju atalgojumu ir jo īpaši nepieciešama, lai viņi varētu novērtēt vadītāju atalgojumu un paust viedokli par vadītāju algas nosacījumiem un līmeni, kā arī par saikni starp algu un katra atsevišķa vadītāja sniegumu nolūkā nepieļaut tādas iespējamas situācijas, kad vadītāja atalgojuma apjoms nav pamatots, ņemot vērā konkrētā vadītāja sniegumu un sabiedrības darbības rādītājus. Savukārt atalgojuma politikas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publicēšana ir vajadzīga, lai ne tikai akcionāri, bet arī iespējamie ieguldītāji un ieinteresētās personas varētu novērtēt </w:t>
            </w:r>
            <w:r w:rsidR="00290466" w:rsidRPr="002C4A1B">
              <w:rPr>
                <w:rFonts w:ascii="Times New Roman" w:eastAsia="Times New Roman" w:hAnsi="Times New Roman" w:cs="Times New Roman"/>
                <w:sz w:val="24"/>
                <w:szCs w:val="24"/>
                <w:lang w:eastAsia="lv-LV"/>
              </w:rPr>
              <w:t xml:space="preserve">katra </w:t>
            </w:r>
            <w:r w:rsidRPr="002C4A1B">
              <w:rPr>
                <w:rFonts w:ascii="Times New Roman" w:eastAsia="Times New Roman" w:hAnsi="Times New Roman" w:cs="Times New Roman"/>
                <w:sz w:val="24"/>
                <w:szCs w:val="24"/>
                <w:lang w:eastAsia="lv-LV"/>
              </w:rPr>
              <w:t>vadītāju atalgojumu, cik lielā mērā minētais atalgojums ir saistīts ar sabiedrības darbības rādītājiem un kā sabiedrība īsteno praksē savu atalgojuma politiku. Anonīmu atalgojuma ziņojumu publiskošana un publicēšana neļautu sasniegt minētos mērķus.</w:t>
            </w:r>
          </w:p>
          <w:p w14:paraId="2E4F0E77" w14:textId="00F5CFD6"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C4A1B">
              <w:rPr>
                <w:rFonts w:ascii="Times New Roman" w:eastAsia="Times New Roman" w:hAnsi="Times New Roman" w:cs="Times New Roman"/>
                <w:sz w:val="24"/>
                <w:szCs w:val="24"/>
                <w:lang w:eastAsia="lv-LV"/>
              </w:rPr>
              <w:t xml:space="preserve">Atbilstoši Direktīvas 1. panta 2. punkta </w:t>
            </w:r>
            <w:r w:rsidR="00A16F24">
              <w:rPr>
                <w:rFonts w:ascii="Times New Roman" w:eastAsia="Times New Roman" w:hAnsi="Times New Roman" w:cs="Times New Roman"/>
                <w:sz w:val="24"/>
                <w:szCs w:val="24"/>
                <w:lang w:eastAsia="lv-LV"/>
              </w:rPr>
              <w:t>b</w:t>
            </w:r>
            <w:r w:rsidRPr="002C4A1B">
              <w:rPr>
                <w:rFonts w:ascii="Times New Roman" w:eastAsia="Times New Roman" w:hAnsi="Times New Roman" w:cs="Times New Roman"/>
                <w:sz w:val="24"/>
                <w:szCs w:val="24"/>
                <w:lang w:eastAsia="lv-LV"/>
              </w:rPr>
              <w:t xml:space="preserve">) apakšpunktam ar terminu </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vadītājs</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 xml:space="preserve"> Latvijas izpratnē ir saprotams kapitālsabiedrības valdes un padomes loceklis. Attiecībā uz akciju sabiedrībām, kuru akcijas iekļautas regulētajā tirgū, tiek piemēroti gan FITL, gan Komerclikuma noteikumi. Komerclikuma 268. panta pirmās daļas 9. un 11. punkts jau šobrīd paredz, ka tikai akcionāru sapulce ir tiesīga paredzēt atlīdzību padomes locekļiem, kā arī noteikt vispārējos principus</w:t>
            </w:r>
            <w:r w:rsidR="00383A95">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veidus un kritērijus valdes un padomes locekļu atlīdzības noteikšanai. Līdz ar to, ja akciju sabiedrībā tiek izstrādāta valdes vai padomes atalgojuma politika, tad tās </w:t>
            </w:r>
            <w:r w:rsidRPr="002C4A1B">
              <w:rPr>
                <w:rFonts w:ascii="Times New Roman" w:eastAsia="Times New Roman" w:hAnsi="Times New Roman" w:cs="Times New Roman"/>
                <w:sz w:val="24"/>
                <w:szCs w:val="24"/>
                <w:lang w:eastAsia="lv-LV"/>
              </w:rPr>
              <w:lastRenderedPageBreak/>
              <w:t xml:space="preserve">apstiprināšana jau šobrīd ir akcionāru sapulces kompetencē. Vienlaikus ne Komerclikums, ne FITL neparedz, ka atalgojuma politika būtu obligāti izstrādājama. </w:t>
            </w:r>
            <w:r w:rsidRPr="002C4A1B">
              <w:rPr>
                <w:rFonts w:ascii="Times New Roman" w:hAnsi="Times New Roman" w:cs="Times New Roman"/>
                <w:sz w:val="24"/>
                <w:szCs w:val="24"/>
              </w:rPr>
              <w:t>Akciju sabiedrībām, kur</w:t>
            </w:r>
            <w:r w:rsidR="003C6E65">
              <w:rPr>
                <w:rFonts w:ascii="Times New Roman" w:hAnsi="Times New Roman" w:cs="Times New Roman"/>
                <w:sz w:val="24"/>
                <w:szCs w:val="24"/>
              </w:rPr>
              <w:t>u</w:t>
            </w:r>
            <w:r w:rsidRPr="002C4A1B">
              <w:rPr>
                <w:rFonts w:ascii="Times New Roman" w:hAnsi="Times New Roman" w:cs="Times New Roman"/>
                <w:sz w:val="24"/>
                <w:szCs w:val="24"/>
              </w:rPr>
              <w:t xml:space="preserve"> akcijas iekļautas regulētajā tirgū, ir pienākums sagatavot paziņojumu par korporatīvo pārvaldību (FITL </w:t>
            </w:r>
            <w:r w:rsidRPr="002C4A1B">
              <w:rPr>
                <w:rFonts w:ascii="Times New Roman" w:hAnsi="Times New Roman" w:cs="Times New Roman"/>
                <w:bCs/>
                <w:sz w:val="24"/>
                <w:szCs w:val="24"/>
              </w:rPr>
              <w:t>56.</w:t>
            </w:r>
            <w:r w:rsidRPr="002C4A1B">
              <w:rPr>
                <w:rFonts w:ascii="Times New Roman" w:hAnsi="Times New Roman" w:cs="Times New Roman"/>
                <w:bCs/>
                <w:sz w:val="24"/>
                <w:szCs w:val="24"/>
                <w:vertAlign w:val="superscript"/>
              </w:rPr>
              <w:t>2</w:t>
            </w:r>
            <w:r w:rsidRPr="002C4A1B">
              <w:rPr>
                <w:rFonts w:ascii="Times New Roman" w:hAnsi="Times New Roman" w:cs="Times New Roman"/>
                <w:bCs/>
                <w:sz w:val="24"/>
                <w:szCs w:val="24"/>
              </w:rPr>
              <w:t> pants</w:t>
            </w:r>
            <w:r w:rsidRPr="002C4A1B">
              <w:rPr>
                <w:rFonts w:ascii="Times New Roman" w:hAnsi="Times New Roman" w:cs="Times New Roman"/>
                <w:sz w:val="24"/>
                <w:szCs w:val="24"/>
              </w:rPr>
              <w:t xml:space="preserve">), iekļaujot atsauci uz korporatīvās pārvaldības ieteikumiem, kurus akciju sabiedrība piemēro. NASDAQ Korporatīvās pārvaldības </w:t>
            </w:r>
            <w:r w:rsidRPr="002C4A1B">
              <w:rPr>
                <w:rFonts w:ascii="Times New Roman" w:hAnsi="Times New Roman" w:cs="Times New Roman"/>
                <w:color w:val="000000"/>
                <w:sz w:val="24"/>
                <w:szCs w:val="24"/>
              </w:rPr>
              <w:t xml:space="preserve">principi un ieteikumi to ieviešanā paredz akciju sabiedrībai </w:t>
            </w:r>
            <w:r w:rsidR="003E18D3" w:rsidRPr="002C4A1B">
              <w:rPr>
                <w:rFonts w:ascii="Times New Roman" w:hAnsi="Times New Roman" w:cs="Times New Roman"/>
                <w:color w:val="000000"/>
                <w:sz w:val="24"/>
                <w:szCs w:val="24"/>
              </w:rPr>
              <w:t>ieteikumu (</w:t>
            </w:r>
            <w:r w:rsidR="004263E7" w:rsidRPr="002C4A1B">
              <w:rPr>
                <w:rFonts w:ascii="Times New Roman" w:hAnsi="Times New Roman" w:cs="Times New Roman"/>
                <w:sz w:val="24"/>
                <w:szCs w:val="24"/>
              </w:rPr>
              <w:t>"</w:t>
            </w:r>
            <w:r w:rsidR="003E18D3" w:rsidRPr="002C4A1B">
              <w:rPr>
                <w:rFonts w:ascii="Times New Roman" w:hAnsi="Times New Roman" w:cs="Times New Roman"/>
                <w:color w:val="000000"/>
                <w:sz w:val="24"/>
                <w:szCs w:val="24"/>
              </w:rPr>
              <w:t>ievēro vai paskaidro</w:t>
            </w:r>
            <w:r w:rsidR="004263E7" w:rsidRPr="002C4A1B">
              <w:rPr>
                <w:rFonts w:ascii="Times New Roman" w:hAnsi="Times New Roman" w:cs="Times New Roman"/>
                <w:sz w:val="24"/>
                <w:szCs w:val="24"/>
              </w:rPr>
              <w:t>" princips</w:t>
            </w:r>
            <w:r w:rsidR="003E18D3" w:rsidRPr="002C4A1B">
              <w:rPr>
                <w:rFonts w:ascii="Times New Roman" w:hAnsi="Times New Roman" w:cs="Times New Roman"/>
                <w:color w:val="000000"/>
                <w:sz w:val="24"/>
                <w:szCs w:val="24"/>
              </w:rPr>
              <w:t xml:space="preserve">) </w:t>
            </w:r>
            <w:r w:rsidRPr="002C4A1B">
              <w:rPr>
                <w:rFonts w:ascii="Times New Roman" w:hAnsi="Times New Roman" w:cs="Times New Roman"/>
                <w:color w:val="000000"/>
                <w:sz w:val="24"/>
                <w:szCs w:val="24"/>
              </w:rPr>
              <w:t>izstrādāt atalgojuma politiku, kurā nosaka valdes un padomes locekļiem piešķiramā atalgojuma vispārējos principus, veidus un kritērijus. Atbilstoši NASDA</w:t>
            </w:r>
            <w:bookmarkStart w:id="1" w:name="_GoBack"/>
            <w:bookmarkEnd w:id="1"/>
            <w:r w:rsidRPr="002C4A1B">
              <w:rPr>
                <w:rFonts w:ascii="Times New Roman" w:hAnsi="Times New Roman" w:cs="Times New Roman"/>
                <w:color w:val="000000"/>
                <w:sz w:val="24"/>
                <w:szCs w:val="24"/>
              </w:rPr>
              <w:t xml:space="preserve">Q Korporatīvās pārvaldības principiem un ieteikumiem akcionāriem jābūt nodrošinātiem ar skaidru un izsmeļošu pārskatu par akciju sabiedrības pārvaldes institūciju locekļiem piemērojamo atalgojuma politiku. Akciju sabiedrībai </w:t>
            </w:r>
            <w:r w:rsidR="003E18D3" w:rsidRPr="002C4A1B">
              <w:rPr>
                <w:rFonts w:ascii="Times New Roman" w:hAnsi="Times New Roman" w:cs="Times New Roman"/>
                <w:color w:val="000000"/>
                <w:sz w:val="24"/>
                <w:szCs w:val="24"/>
              </w:rPr>
              <w:t>būtu ieteicams</w:t>
            </w:r>
            <w:r w:rsidRPr="002C4A1B">
              <w:rPr>
                <w:rFonts w:ascii="Times New Roman" w:hAnsi="Times New Roman" w:cs="Times New Roman"/>
                <w:color w:val="000000"/>
                <w:sz w:val="24"/>
                <w:szCs w:val="24"/>
              </w:rPr>
              <w:t xml:space="preserve"> reizi gadā sagatavot un publiskot atalgojuma ziņojumu. Ja kapitālsabiedrība nepiemēro kādu korporatīvās pārvaldības ieteikumu, tai ir pienākums norādīt pamatojumu šāda principa neievērošanai. </w:t>
            </w:r>
          </w:p>
          <w:p w14:paraId="29EAABD2" w14:textId="7A5F95C0"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Atbilstoši NASDAQ mājaslapā pieejamai informācijai par emitentu finanšu pārskatiem ir redzams, ka šobrīd tikai dažas akciju sabiedrības pilnībā ievēro NASDAQ Korporatīvās pārvaldības principus attiecībā uz vadītāju atalgojumu. Lielākajai daļai emitentu nav izstrādāta atalgojuma politika vai arī šī informācija ir uzskatāma par konfidenciālu un netiek publiskota. Atbilstoši Gada pārskatu un konsolidēto gada pārskatu likuma 53. panta pirmās daļas 3. punktam arī emitenti finanšu pārskatos publisko tikai kopējo atalgojuma apmēru valdes un padomes locekļiem. Šobrīd lielākā daļa emitentu uzskata, ka informācija par katram padomes un valdes loceklim individuāli izmaksāto atalgojumu nav atklājama, jo tā ir konfidenciāla.</w:t>
            </w:r>
          </w:p>
          <w:p w14:paraId="4A642CDA" w14:textId="77777777"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 xml:space="preserve">Projekts paredz, ka akciju sabiedrības, kuras akcijas ir iekļautas regulētajā tirgū, izstrādā, apstiprina un publicē atalgojuma politiku, kā arī izstrādā un publicē atalgojuma ziņojumu. Atalgojuma ziņojumā ietver detalizētu informāciju par iepriekšējā finanšu gadā katram esošajam un bijušajam valdes un padomes loceklim izmaksāto atlīdzību, piešķirto atlīdzību un atlīdzību, kas pienākas par iepriekšējo finanšu gadu. Atalgojuma politikā ietver visas iespējamās atalgojuma sastāvdaļas valdes un padomes locekļiem.  Projekts detalizēti paredz kritērijus, kas obligāti ietverami atalgojuma politikā un atalgojuma ziņojumā. </w:t>
            </w:r>
          </w:p>
          <w:p w14:paraId="001990A0" w14:textId="7EBB1125"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 xml:space="preserve">Atalgojumu valdes un padomes locekļiem var maksāt tikai atbilstoši atalgojuma politikai. Ja tādas nav, tad atalgojumu var maksāt atbilstoši iepriekšējai akciju sabiedrības praksei. Ja akcionāru sapulce neapstiprina valdes izstrādāto atalgojuma politiku, tad valdei ir pienākums nākamajā akcionāru sapulcē atkal ietvert darba </w:t>
            </w:r>
            <w:r w:rsidRPr="002C4A1B">
              <w:rPr>
                <w:rFonts w:ascii="Times New Roman" w:hAnsi="Times New Roman" w:cs="Times New Roman"/>
                <w:color w:val="000000"/>
                <w:sz w:val="24"/>
                <w:szCs w:val="24"/>
              </w:rPr>
              <w:lastRenderedPageBreak/>
              <w:t>kārtības jautājumu par atalgojuma politikas apstiprināšanu, skaidrojot atalgojuma politikā veiktās izmaiņas. Ja apstiprinātajā atalgojuma politikā ir paredzēta tāda iespēja un ir izpildīti citi kritēriji, tad izņēmuma gadījumos</w:t>
            </w:r>
            <w:r w:rsidR="003E18D3" w:rsidRPr="002C4A1B">
              <w:rPr>
                <w:rFonts w:ascii="Times New Roman" w:hAnsi="Times New Roman" w:cs="Times New Roman"/>
                <w:color w:val="000000"/>
                <w:sz w:val="24"/>
                <w:szCs w:val="24"/>
              </w:rPr>
              <w:t xml:space="preserve"> (piemēram, krīzes apstākļos ir jāsamazina atalgojums arī vadītājiem vai arī gluži pretēji par lielāku atalgojumu jāpiesaista īpaši speciālisti krīzes situāciju novēršanai)</w:t>
            </w:r>
            <w:r w:rsidRPr="002C4A1B">
              <w:rPr>
                <w:rFonts w:ascii="Times New Roman" w:hAnsi="Times New Roman" w:cs="Times New Roman"/>
                <w:color w:val="000000"/>
                <w:sz w:val="24"/>
                <w:szCs w:val="24"/>
              </w:rPr>
              <w:t xml:space="preserve"> akciju sabiedrība, sniedzot atbilstošu pamatojumu, var piemērot pagaidu atkāpi no atalgojuma politikas. Tomēr šāds izņēmums ir pieļaujams tikai gadījumos, ja tas atbilst kapitālsabiedrības interesēm. Ikvienu šādu izņēmuma gadījumu ir jāatspoguļo arī atalgojuma ziņojumā.</w:t>
            </w:r>
          </w:p>
          <w:p w14:paraId="6FCDED0A" w14:textId="5F053A3A"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Atalgojuma politiku ir jāapstiprina akcionāru sapulcē vismaz reizi četros gados. Šāds pienākums ir arī gadījumā, ja atalgojuma politika netiek grozīta, proti, nav aizliegts </w:t>
            </w:r>
            <w:r w:rsidR="00B103C5" w:rsidRPr="002C4A1B">
              <w:rPr>
                <w:rFonts w:ascii="Times New Roman" w:hAnsi="Times New Roman" w:cs="Times New Roman"/>
                <w:sz w:val="24"/>
                <w:szCs w:val="24"/>
              </w:rPr>
              <w:t>"</w:t>
            </w:r>
            <w:proofErr w:type="spellStart"/>
            <w:r w:rsidRPr="002C4A1B">
              <w:rPr>
                <w:rFonts w:ascii="Times New Roman" w:hAnsi="Times New Roman" w:cs="Times New Roman"/>
                <w:sz w:val="24"/>
                <w:szCs w:val="24"/>
              </w:rPr>
              <w:t>pārapstiprināt</w:t>
            </w:r>
            <w:proofErr w:type="spellEnd"/>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atalgojuma politiku tādā pašā redakcijā. Piemēram, ja atalgojuma politika ir apstiprināta 2019. gada 1. novembra akcionāru sapulcē, tad nākamreiz ir jāveic apstiprināšana vismaz līdz 2023. gada 1. novembrim. Publiskojot atalgojuma politiku, norāda arī datumu, kad tika apstiprināta atalgojuma politika. Vienlaikus arī ikviens atalgojuma politikas grozījums ir uzskatāms par atalgojuma politikas apstiprinājumu, kas atkal atjauno četru gadu termiņu. Ja šo četru gadu termiņu neievēro, tad uzskatāms, ka atalgojuma politika nav spēkā un akciju sabiedrībai var piemērot sodu FITL paredzētajā kārtībā. </w:t>
            </w:r>
          </w:p>
          <w:p w14:paraId="4A0B8B33" w14:textId="13493194" w:rsidR="00443949" w:rsidRPr="002C4A1B" w:rsidRDefault="00443949" w:rsidP="00443949">
            <w:pPr>
              <w:spacing w:after="0" w:line="240" w:lineRule="auto"/>
              <w:ind w:firstLine="284"/>
              <w:jc w:val="both"/>
              <w:rPr>
                <w:rFonts w:ascii="Times New Roman" w:hAnsi="Times New Roman" w:cs="Times New Roman"/>
                <w:color w:val="000000"/>
                <w:sz w:val="24"/>
                <w:szCs w:val="24"/>
              </w:rPr>
            </w:pPr>
            <w:r w:rsidRPr="002C4A1B">
              <w:rPr>
                <w:rFonts w:ascii="Times New Roman" w:hAnsi="Times New Roman" w:cs="Times New Roman"/>
                <w:color w:val="000000"/>
                <w:sz w:val="24"/>
                <w:szCs w:val="24"/>
              </w:rPr>
              <w:t>Projekta regulējums par atalgojuma politiku netiešā veidā ierobežo arī pašas akcionāru sapulces rīcību. Akcionāru sapulce atbilstoši Komerclikuma 26</w:t>
            </w:r>
            <w:r w:rsidR="00204C29">
              <w:rPr>
                <w:rFonts w:ascii="Times New Roman" w:hAnsi="Times New Roman" w:cs="Times New Roman"/>
                <w:color w:val="000000"/>
                <w:sz w:val="24"/>
                <w:szCs w:val="24"/>
              </w:rPr>
              <w:t>8</w:t>
            </w:r>
            <w:r w:rsidRPr="002C4A1B">
              <w:rPr>
                <w:rFonts w:ascii="Times New Roman" w:hAnsi="Times New Roman" w:cs="Times New Roman"/>
                <w:color w:val="000000"/>
                <w:sz w:val="24"/>
                <w:szCs w:val="24"/>
              </w:rPr>
              <w:t>. panta pirmās daļas 9. punktam ir tiesīga noteikt atalgojumu padomes locekļiem. Projekts paredz, ka atlīdzība padomes locekļiem nevar būt pretrunā ar atalgojuma politiku. Līdz ar to, ja akcionāru sapulce padomes loceklim noteiks atlīdzību, kas neatbildīs atalgojuma politikai (arī politikā paredzētajam izņēmuma gadījumam), tad šāds akcionāru sapulces lēmums atbilstoši Komerclikuma 286. panta pirmās daļas 3. punktam būs prettiesisks. Ja akcionāru sapulce tomēr vēlas paredzēt citādāku atalgojumu padomes locekļiem, tad akcionāru sapulces darba kārtībā ir jāietver arī jautājums par atalgojuma politikas grozījumiem un jāpieņem attiecīgi grozījumi.</w:t>
            </w:r>
          </w:p>
          <w:p w14:paraId="37E800AA" w14:textId="12CC3C9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Lai nodrošinātu akcionāriem un potenciālajiem investoriem vieglu piekļuvi atalgojuma politikai un atalgojuma ziņojumam un lai iespējamie ieguldītāji un akcionāri būtu informēti par valdes un padomes locekļu atalgojumu, atalgojuma politika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ziņojums ir jāpublisko. </w:t>
            </w:r>
            <w:r w:rsidRPr="002C4A1B">
              <w:rPr>
                <w:rFonts w:ascii="Times New Roman" w:hAnsi="Times New Roman" w:cs="Times New Roman"/>
                <w:sz w:val="24"/>
                <w:szCs w:val="24"/>
              </w:rPr>
              <w:t xml:space="preserve">Investoram pirms investīciju veikšanas (akciju pirkšanas) ir iespēja apskatīt atalgojuma politiku un </w:t>
            </w:r>
            <w:r w:rsidR="003C6E65">
              <w:rPr>
                <w:rFonts w:ascii="Times New Roman" w:hAnsi="Times New Roman" w:cs="Times New Roman"/>
                <w:sz w:val="24"/>
                <w:szCs w:val="24"/>
              </w:rPr>
              <w:t xml:space="preserve">atalgojuma </w:t>
            </w:r>
            <w:r w:rsidRPr="002C4A1B">
              <w:rPr>
                <w:rFonts w:ascii="Times New Roman" w:hAnsi="Times New Roman" w:cs="Times New Roman"/>
                <w:sz w:val="24"/>
                <w:szCs w:val="24"/>
              </w:rPr>
              <w:t xml:space="preserve">ziņojumu un saprast, vai nepastāv risks, ka ir nesamērīgi liels atalgojums vadītājiem, kas varētu </w:t>
            </w:r>
            <w:r w:rsidR="00315E7A" w:rsidRPr="002C4A1B">
              <w:rPr>
                <w:rFonts w:ascii="Times New Roman" w:hAnsi="Times New Roman" w:cs="Times New Roman"/>
                <w:sz w:val="24"/>
                <w:szCs w:val="24"/>
              </w:rPr>
              <w:t>radīt risku investoru tiesību aizs</w:t>
            </w:r>
            <w:r w:rsidR="0007048A" w:rsidRPr="002C4A1B">
              <w:rPr>
                <w:rFonts w:ascii="Times New Roman" w:hAnsi="Times New Roman" w:cs="Times New Roman"/>
                <w:sz w:val="24"/>
                <w:szCs w:val="24"/>
              </w:rPr>
              <w:t xml:space="preserve">ardzībai vai pat </w:t>
            </w:r>
            <w:r w:rsidRPr="002C4A1B">
              <w:rPr>
                <w:rFonts w:ascii="Times New Roman" w:hAnsi="Times New Roman" w:cs="Times New Roman"/>
                <w:sz w:val="24"/>
                <w:szCs w:val="24"/>
              </w:rPr>
              <w:t xml:space="preserve">liecināt par slēptajām </w:t>
            </w:r>
            <w:r w:rsidRPr="002C4A1B">
              <w:rPr>
                <w:rFonts w:ascii="Times New Roman" w:hAnsi="Times New Roman" w:cs="Times New Roman"/>
                <w:sz w:val="24"/>
                <w:szCs w:val="24"/>
              </w:rPr>
              <w:lastRenderedPageBreak/>
              <w:t>dividendēm. Piemēram, akciju vērtība varētu būt mazāka, ja potenciālie investori savlaicīgi redzētu, ka lielākie akcionāri vienlaikus ir padomē vai valdē un līdzšinējā atalgojuma politika un ziņojums liecina, ka tas varētu būt veids, kā tiek apieta dividenžu izmaksa, proti, pastāv risks par mazākuma dalībnieku tiesību aizskārumu.</w:t>
            </w:r>
            <w:r w:rsidRPr="002C4A1B">
              <w:rPr>
                <w:rFonts w:ascii="Times New Roman" w:eastAsia="Times New Roman" w:hAnsi="Times New Roman" w:cs="Times New Roman"/>
                <w:sz w:val="24"/>
                <w:szCs w:val="24"/>
                <w:lang w:eastAsia="lv-LV"/>
              </w:rPr>
              <w:t xml:space="preserve"> Direktīva paredz, ka publiskošanas minimālā prasība attiecas uz akciju sabiedrības mājaslapu, tomēr Direktīva</w:t>
            </w:r>
            <w:r w:rsidR="00204C29">
              <w:rPr>
                <w:rFonts w:ascii="Times New Roman" w:eastAsia="Times New Roman" w:hAnsi="Times New Roman" w:cs="Times New Roman"/>
                <w:sz w:val="24"/>
                <w:szCs w:val="24"/>
                <w:lang w:eastAsia="lv-LV"/>
              </w:rPr>
              <w:t xml:space="preserve"> neliedz (t. sk.</w:t>
            </w:r>
            <w:r w:rsidRPr="002C4A1B">
              <w:rPr>
                <w:rFonts w:ascii="Times New Roman" w:eastAsia="Times New Roman" w:hAnsi="Times New Roman" w:cs="Times New Roman"/>
                <w:sz w:val="24"/>
                <w:szCs w:val="24"/>
                <w:lang w:eastAsia="lv-LV"/>
              </w:rPr>
              <w:t xml:space="preserve"> preambulas 32. apsvērums</w:t>
            </w:r>
            <w:r w:rsidR="00204C29">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iespēju dalībvalstīm noteikt papildu līdzekļus atalgojuma politikas un </w:t>
            </w:r>
            <w:r w:rsidR="003C6E65">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publiskošanai.  </w:t>
            </w:r>
          </w:p>
          <w:p w14:paraId="5A6E4B21" w14:textId="4F3A5E80" w:rsidR="00443949" w:rsidRPr="002C4A1B" w:rsidRDefault="00443949" w:rsidP="00443949">
            <w:pPr>
              <w:autoSpaceDE w:val="0"/>
              <w:autoSpaceDN w:val="0"/>
              <w:adjustRightInd w:val="0"/>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Projekts paredz, ka atalgojuma politika tiek publiskota akciju sabiedrības mājaslapā. Akciju sabiedrības aktuālā atalgojuma politika vienmēr ir bez maksas un publiski pieejama akciju sabiedrības mājaslapā. </w:t>
            </w:r>
            <w:r w:rsidRPr="002C4A1B">
              <w:rPr>
                <w:rFonts w:ascii="Times New Roman" w:hAnsi="Times New Roman" w:cs="Times New Roman"/>
                <w:sz w:val="24"/>
                <w:szCs w:val="24"/>
              </w:rPr>
              <w:t>Vienlaikus ar atalgojuma politiku akciju sabiedrības mājaslapā tiek publiskots arī akcionāru sapulces balsojuma datums un balsojuma rezultāti. Projekts atšķirībā no FITL 54. panta trīspadsmitās daļas paredz, ka par balsojuma rezultātiem vienmēr ir sniedzama plašāka informācija</w:t>
            </w:r>
            <w:r w:rsidR="003F69C2" w:rsidRPr="002C4A1B">
              <w:rPr>
                <w:rFonts w:ascii="Times New Roman" w:hAnsi="Times New Roman" w:cs="Times New Roman"/>
                <w:sz w:val="24"/>
                <w:szCs w:val="24"/>
              </w:rPr>
              <w:t xml:space="preserve"> (</w:t>
            </w:r>
            <w:r w:rsidR="00F50CE9" w:rsidRPr="002C4A1B">
              <w:rPr>
                <w:rFonts w:ascii="Times New Roman" w:hAnsi="Times New Roman" w:cs="Times New Roman"/>
                <w:sz w:val="24"/>
                <w:szCs w:val="24"/>
              </w:rPr>
              <w:t xml:space="preserve">t. sk. balsstiesīgo akciju skaits, nodoto balsu skaits, nodoto </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par</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 xml:space="preserve"> un </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pret</w:t>
            </w:r>
            <w:r w:rsidR="00B103C5" w:rsidRPr="002C4A1B">
              <w:rPr>
                <w:rFonts w:ascii="Times New Roman" w:hAnsi="Times New Roman" w:cs="Times New Roman"/>
                <w:sz w:val="24"/>
                <w:szCs w:val="24"/>
              </w:rPr>
              <w:t>"</w:t>
            </w:r>
            <w:r w:rsidR="00F50CE9" w:rsidRPr="002C4A1B">
              <w:rPr>
                <w:rFonts w:ascii="Times New Roman" w:hAnsi="Times New Roman" w:cs="Times New Roman"/>
                <w:sz w:val="24"/>
                <w:szCs w:val="24"/>
              </w:rPr>
              <w:t xml:space="preserve"> balsu skaits)</w:t>
            </w:r>
            <w:r w:rsidRPr="002C4A1B">
              <w:rPr>
                <w:rFonts w:ascii="Times New Roman" w:hAnsi="Times New Roman" w:cs="Times New Roman"/>
                <w:sz w:val="24"/>
                <w:szCs w:val="24"/>
              </w:rPr>
              <w:t>, jo šajā gadījumā informācija par balsojuma rezultātiem ir nepieciešama ne tikai esošajiem akcionāriem, bet arī potenciālajiem investoriem. Akciju sabiedrībai nav pienākums mājaslapā publiskot vēsturiskās (neaktuālās) atalgojuma politikas</w:t>
            </w:r>
            <w:r w:rsidR="00D359CA" w:rsidRPr="002C4A1B">
              <w:rPr>
                <w:rFonts w:ascii="Times New Roman" w:hAnsi="Times New Roman" w:cs="Times New Roman"/>
                <w:sz w:val="24"/>
                <w:szCs w:val="24"/>
              </w:rPr>
              <w:t>, tomēr tas netiek arī liegts</w:t>
            </w:r>
            <w:r w:rsidRPr="002C4A1B">
              <w:rPr>
                <w:rFonts w:ascii="Times New Roman" w:hAnsi="Times New Roman" w:cs="Times New Roman"/>
                <w:sz w:val="24"/>
                <w:szCs w:val="24"/>
              </w:rPr>
              <w:t>.</w:t>
            </w:r>
          </w:p>
          <w:p w14:paraId="544514DE" w14:textId="2642CA3D" w:rsidR="00443949" w:rsidRPr="002C4A1B" w:rsidRDefault="00443949" w:rsidP="00443949">
            <w:pPr>
              <w:autoSpaceDE w:val="0"/>
              <w:autoSpaceDN w:val="0"/>
              <w:adjustRightInd w:val="0"/>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Projekts paredz, ka atalgojuma ziņojums ir bez maksas un publiski pieejams akciju sabiedrības mājaslapā, kā arī atalgojuma ziņojums vienlaikus ar gada pārskatu tiek iesniegts Finanšu un kapitāla tirgus komisijai (turpmāk – FKTK) un tiek publiskots arī </w:t>
            </w:r>
            <w:r w:rsidRPr="002C4A1B">
              <w:rPr>
                <w:rFonts w:ascii="Times New Roman" w:hAnsi="Times New Roman" w:cs="Times New Roman"/>
                <w:sz w:val="24"/>
                <w:szCs w:val="24"/>
              </w:rPr>
              <w:t xml:space="preserve">oficiālajā regulētās informācijas centralizētās glabāšanas sistēmā (turpmāk – ORICGS), kas ir publiski pieejama bez maksas portālā </w:t>
            </w:r>
            <w:hyperlink r:id="rId8" w:history="1">
              <w:r w:rsidRPr="002C4A1B">
                <w:rPr>
                  <w:rStyle w:val="Hipersaite"/>
                  <w:rFonts w:ascii="Times New Roman" w:hAnsi="Times New Roman" w:cs="Times New Roman"/>
                  <w:sz w:val="24"/>
                  <w:szCs w:val="24"/>
                </w:rPr>
                <w:t>www.oricgs.lv</w:t>
              </w:r>
            </w:hyperlink>
            <w:r w:rsidRPr="002C4A1B">
              <w:rPr>
                <w:rFonts w:ascii="Times New Roman" w:hAnsi="Times New Roman" w:cs="Times New Roman"/>
                <w:sz w:val="24"/>
                <w:szCs w:val="24"/>
              </w:rPr>
              <w:t xml:space="preserve">. </w:t>
            </w:r>
            <w:r w:rsidRPr="002C4A1B">
              <w:rPr>
                <w:rFonts w:ascii="Times New Roman" w:eastAsia="Times New Roman" w:hAnsi="Times New Roman" w:cs="Times New Roman"/>
                <w:sz w:val="24"/>
                <w:szCs w:val="24"/>
                <w:lang w:eastAsia="lv-LV"/>
              </w:rPr>
              <w:t>Projekts atbilstoši Direktīvas prasībām paredz, ka atalgojuma ziņojums ir publiski pieejams akciju sabiedrības mājaslapā 10 gadus. Daudzos gadījumos tikai pēc vairākiem gadiem ir iespējams novērtēt, vai piešķirtais atalgojums ir bijis atbilstīgs sabiedrības ilgtermiņa interesēm. Ir arī svarīgi spēt novērtēt valdes un padomes loceklim piešķirto atalgojumu visā laikposmā, kad viņš ir atradies konkrētas akciju sabiedrības valdē vai padomē. Vienlaikus, lai ierobežotu iejaukšanos valdes un padomes locekļu tiesībās uz privātumu un aizsargātu viņu personas datus, sabiedrības nedrīkst publiskot atalgojuma ziņojumā ietvertos personas datus ilgāk nekā 10 gadus. Pēc 10 gadu laikposma akciju sabiedrībai ir jādzēš no atalgojuma ziņojuma visi personas dati vai jāpārtrauc visa atalgojuma ziņojuma publiskošana mājaslapā.</w:t>
            </w:r>
            <w:r w:rsidR="003065DE" w:rsidRPr="002C4A1B">
              <w:rPr>
                <w:rFonts w:ascii="Times New Roman" w:eastAsia="Times New Roman" w:hAnsi="Times New Roman" w:cs="Times New Roman"/>
                <w:sz w:val="24"/>
                <w:szCs w:val="24"/>
                <w:lang w:eastAsia="lv-LV"/>
              </w:rPr>
              <w:t xml:space="preserve"> Tomēr tas neliedz sabiedrībai mājaslapā turpināt publiskot vispārēju informāciju par atalgojumu, kāds ir ticis maksāts vadītājiem </w:t>
            </w:r>
            <w:r w:rsidR="00684A8B" w:rsidRPr="002C4A1B">
              <w:rPr>
                <w:rFonts w:ascii="Times New Roman" w:eastAsia="Times New Roman" w:hAnsi="Times New Roman" w:cs="Times New Roman"/>
                <w:sz w:val="24"/>
                <w:szCs w:val="24"/>
                <w:lang w:eastAsia="lv-LV"/>
              </w:rPr>
              <w:t>(neatklājot vadītājus identificējošu informāciju).</w:t>
            </w:r>
          </w:p>
          <w:p w14:paraId="793E675B" w14:textId="2110FE56" w:rsidR="00443949" w:rsidRPr="00DF21B5" w:rsidRDefault="00651565" w:rsidP="00443949">
            <w:pPr>
              <w:spacing w:after="0" w:line="240" w:lineRule="auto"/>
              <w:ind w:firstLine="284"/>
              <w:jc w:val="both"/>
              <w:rPr>
                <w:rFonts w:ascii="Times New Roman" w:hAnsi="Times New Roman" w:cs="Times New Roman"/>
                <w:sz w:val="24"/>
                <w:szCs w:val="24"/>
              </w:rPr>
            </w:pPr>
            <w:r w:rsidRPr="00651565">
              <w:rPr>
                <w:rFonts w:ascii="Times New Roman" w:hAnsi="Times New Roman" w:cs="Times New Roman"/>
                <w:sz w:val="24"/>
                <w:szCs w:val="24"/>
              </w:rPr>
              <w:lastRenderedPageBreak/>
              <w:t>Direktīva paredz, ka atalgojuma ziņojums tiek izstrādāts par iepriekšējo finanšu gadu, tiek izskatīts ikgadējā akcionāru sapulcē un to pārbauda revidents. Atbilstoši Komerclikuma 269.</w:t>
            </w:r>
            <w:r w:rsidR="001E138D">
              <w:rPr>
                <w:rFonts w:ascii="Times New Roman" w:hAnsi="Times New Roman" w:cs="Times New Roman"/>
                <w:sz w:val="24"/>
                <w:szCs w:val="24"/>
              </w:rPr>
              <w:t> </w:t>
            </w:r>
            <w:r w:rsidRPr="00651565">
              <w:rPr>
                <w:rFonts w:ascii="Times New Roman" w:hAnsi="Times New Roman" w:cs="Times New Roman"/>
                <w:sz w:val="24"/>
                <w:szCs w:val="24"/>
              </w:rPr>
              <w:t>pantam kārtējā (ikgadējā) akcionāru sapulce ir tā, kurā pieņem lēmumu par gada pārskatu, kā arī atbilstoši Komerclikuma 176.</w:t>
            </w:r>
            <w:r w:rsidR="001E138D">
              <w:rPr>
                <w:rFonts w:ascii="Times New Roman" w:hAnsi="Times New Roman" w:cs="Times New Roman"/>
                <w:sz w:val="24"/>
                <w:szCs w:val="24"/>
              </w:rPr>
              <w:t> </w:t>
            </w:r>
            <w:r w:rsidRPr="00651565">
              <w:rPr>
                <w:rFonts w:ascii="Times New Roman" w:hAnsi="Times New Roman" w:cs="Times New Roman"/>
                <w:sz w:val="24"/>
                <w:szCs w:val="24"/>
              </w:rPr>
              <w:t>panta pirmajai daļai un Gada pārskatu un konsolidēto gada pārskatu 91.</w:t>
            </w:r>
            <w:r w:rsidR="001E138D">
              <w:rPr>
                <w:rFonts w:ascii="Times New Roman" w:hAnsi="Times New Roman" w:cs="Times New Roman"/>
                <w:sz w:val="24"/>
                <w:szCs w:val="24"/>
              </w:rPr>
              <w:t> </w:t>
            </w:r>
            <w:r w:rsidRPr="00651565">
              <w:rPr>
                <w:rFonts w:ascii="Times New Roman" w:hAnsi="Times New Roman" w:cs="Times New Roman"/>
                <w:sz w:val="24"/>
                <w:szCs w:val="24"/>
              </w:rPr>
              <w:t xml:space="preserve">panta pirmajai daļai akciju sabiedrības, kuras akcijas ir iekļautas regulētajā tirgū, gada pārskatu revidē (pārbauda) zvērināts revidents (vairāki zvērināti revidenti) vai zvērinātu revidentu komercsabiedrība (turpmāk </w:t>
            </w:r>
            <w:r w:rsidR="001E138D">
              <w:rPr>
                <w:rFonts w:ascii="Times New Roman" w:hAnsi="Times New Roman" w:cs="Times New Roman"/>
                <w:sz w:val="24"/>
                <w:szCs w:val="24"/>
              </w:rPr>
              <w:softHyphen/>
            </w:r>
            <w:r w:rsidR="001E138D" w:rsidRPr="00651565">
              <w:rPr>
                <w:rFonts w:ascii="Times New Roman" w:hAnsi="Times New Roman" w:cs="Times New Roman"/>
                <w:sz w:val="24"/>
                <w:szCs w:val="24"/>
              </w:rPr>
              <w:t xml:space="preserve"> </w:t>
            </w:r>
            <w:r w:rsidRPr="00651565">
              <w:rPr>
                <w:rFonts w:ascii="Times New Roman" w:hAnsi="Times New Roman" w:cs="Times New Roman"/>
                <w:sz w:val="24"/>
                <w:szCs w:val="24"/>
              </w:rPr>
              <w:t>zvērināts revidents) atbilstoši Revīzijas pakalpojumu likumam.</w:t>
            </w:r>
            <w:r w:rsidR="00443949" w:rsidRPr="00DF21B5">
              <w:rPr>
                <w:rFonts w:ascii="Times New Roman" w:hAnsi="Times New Roman" w:cs="Times New Roman"/>
                <w:sz w:val="24"/>
                <w:szCs w:val="24"/>
              </w:rPr>
              <w:t xml:space="preserve"> </w:t>
            </w:r>
            <w:r w:rsidR="00DF21B5" w:rsidRPr="00DF21B5">
              <w:rPr>
                <w:rFonts w:ascii="Times New Roman" w:hAnsi="Times New Roman" w:cs="Times New Roman"/>
                <w:sz w:val="24"/>
                <w:szCs w:val="24"/>
              </w:rPr>
              <w:t>Līdz ar to projekts paredz atalgojuma ziņojuma izstrādi nesaraujami sasaistīt ar gada pārskata izstrādi, lai vienlaikus: izpildītu Direktīvā paredzētās prasības; samazinātu izdevumus, kas saistīti ar papildu maksu par pārbaudes procedūru veikšanu ārpus gada pārskata revīzijas (atalgojuma ziņojuma un citu gada pārskata sastāvdaļu revīzija (pārbaude) ir revīzijas pakalpojums Revīzijas pakalpojumu likuma izpratnē, kuru var sniegt viens un tas pats zvērināts revidents vai zvērinātu revidentu komercsabiedrība); atvieglotu akcionāriem, investoriem un uzraudzības iestādēm vienotu izpratni par atalgojuma ziņojuma izstrādes termiņiem; atvieglotu akcionāriem lēmumu pieņemšanu (izskatīšana kārtējā akcionāru sapulcē vienlaikus ar citām gada pārskata sastāvdaļām)</w:t>
            </w:r>
            <w:r w:rsidR="00443949" w:rsidRPr="00DF21B5">
              <w:rPr>
                <w:rFonts w:ascii="Times New Roman" w:hAnsi="Times New Roman" w:cs="Times New Roman"/>
                <w:sz w:val="24"/>
                <w:szCs w:val="24"/>
              </w:rPr>
              <w:t xml:space="preserve">. </w:t>
            </w:r>
          </w:p>
          <w:p w14:paraId="6A0FFEAC" w14:textId="433394EA"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Projekts papildina FITL 56. panta uzskaitījumu un paredz, ka atalgojuma ziņojums tiek sagatavots kā atsevišķs dokuments un ir gada pārskata sastāvdaļa FITL izpratnē. Atalgojuma ziņojums nav uzskatāms par gada pārskata sastāvdaļu Gada pārskatu un konsolidēto gada pārskatu likuma izpratnē. Jau šobrīd informācijas un dokumentu apjoms, kas tiek iesniegts FKTK un Valsts ieņēmumu dienestam saistībā ar gada pārskatu, ir atšķirīgs, jo FKTK var iesniegt tikai revidētu gada pārskatu, bet Valsts ieņēmumu dienestam tiek iesniegts tikai akcionāru sapulcē apstiprināts un revidēts gada pārskats. Atšķiras arī gada pārskatu iesniegšanas termiņš. Projekts paredz, ka atalgojuma ziņojums ir gada pārskata sastāvdaļa tikai FITL izpratnē divu iemeslu dēļ. Pirmkārt, lai ievērotu fizisko person</w:t>
            </w:r>
            <w:r w:rsidR="004A4EFC">
              <w:rPr>
                <w:rFonts w:ascii="Times New Roman" w:hAnsi="Times New Roman" w:cs="Times New Roman"/>
                <w:sz w:val="24"/>
                <w:szCs w:val="24"/>
              </w:rPr>
              <w:t>u</w:t>
            </w:r>
            <w:r w:rsidRPr="002C4A1B">
              <w:rPr>
                <w:rFonts w:ascii="Times New Roman" w:hAnsi="Times New Roman" w:cs="Times New Roman"/>
                <w:sz w:val="24"/>
                <w:szCs w:val="24"/>
              </w:rPr>
              <w:t xml:space="preserve"> datu aizsardzības prasības. Atalgojuma ziņojumu nevar iesniegt Valsts ieņēmumu dienestam kā gada pārskata sastāvdaļ</w:t>
            </w:r>
            <w:r w:rsidR="00EF652F">
              <w:rPr>
                <w:rFonts w:ascii="Times New Roman" w:hAnsi="Times New Roman" w:cs="Times New Roman"/>
                <w:sz w:val="24"/>
                <w:szCs w:val="24"/>
              </w:rPr>
              <w:t>u</w:t>
            </w:r>
            <w:r w:rsidRPr="002C4A1B">
              <w:rPr>
                <w:rFonts w:ascii="Times New Roman" w:hAnsi="Times New Roman" w:cs="Times New Roman"/>
                <w:sz w:val="24"/>
                <w:szCs w:val="24"/>
              </w:rPr>
              <w:t>, jo tas ar Uzņēmumu reģistra starpniecību tiktu publiskots un tehniski un juridiski nebūtu iespējams nodrošināt ietverto fizisko person</w:t>
            </w:r>
            <w:r w:rsidR="004A4EFC">
              <w:rPr>
                <w:rFonts w:ascii="Times New Roman" w:hAnsi="Times New Roman" w:cs="Times New Roman"/>
                <w:sz w:val="24"/>
                <w:szCs w:val="24"/>
              </w:rPr>
              <w:t>u</w:t>
            </w:r>
            <w:r w:rsidRPr="002C4A1B">
              <w:rPr>
                <w:rFonts w:ascii="Times New Roman" w:hAnsi="Times New Roman" w:cs="Times New Roman"/>
                <w:sz w:val="24"/>
                <w:szCs w:val="24"/>
              </w:rPr>
              <w:t xml:space="preserve"> datu izslēgšanu pēc Direktīvā un projektā paredzētā 10 gadu termiņa. Savukārt ORICGS ir iespējams tehniski un juridiski paredzēt, ka pēc 10 gadu termiņa akciju sabiedrības atalgojuma ziņojums tiek automātiski izslēgts no ORICGS. Otrkārt, Direktīva paredz, ka par atalgojuma ziņojumu notiek tikai </w:t>
            </w:r>
            <w:r w:rsidR="00EF652F">
              <w:rPr>
                <w:rFonts w:ascii="Times New Roman" w:hAnsi="Times New Roman" w:cs="Times New Roman"/>
                <w:sz w:val="24"/>
                <w:szCs w:val="24"/>
              </w:rPr>
              <w:t>"</w:t>
            </w:r>
            <w:r w:rsidRPr="002C4A1B">
              <w:rPr>
                <w:rFonts w:ascii="Times New Roman" w:hAnsi="Times New Roman" w:cs="Times New Roman"/>
                <w:sz w:val="24"/>
                <w:szCs w:val="24"/>
              </w:rPr>
              <w:t>konsultatīvs balsojums</w:t>
            </w:r>
            <w:r w:rsidR="00EF652F">
              <w:rPr>
                <w:rFonts w:ascii="Times New Roman" w:hAnsi="Times New Roman" w:cs="Times New Roman"/>
                <w:sz w:val="24"/>
                <w:szCs w:val="24"/>
              </w:rPr>
              <w:t>"</w:t>
            </w:r>
            <w:r w:rsidRPr="002C4A1B">
              <w:rPr>
                <w:rFonts w:ascii="Times New Roman" w:hAnsi="Times New Roman" w:cs="Times New Roman"/>
                <w:sz w:val="24"/>
                <w:szCs w:val="24"/>
              </w:rPr>
              <w:t xml:space="preserve">. Proti, akcionāru sapulce nevar noraidīt </w:t>
            </w:r>
            <w:r w:rsidRPr="002C4A1B">
              <w:rPr>
                <w:rFonts w:ascii="Times New Roman" w:hAnsi="Times New Roman" w:cs="Times New Roman"/>
                <w:sz w:val="24"/>
                <w:szCs w:val="24"/>
              </w:rPr>
              <w:lastRenderedPageBreak/>
              <w:t xml:space="preserve">atalgojuma ziņojumu. Līdz ar to akciju sabiedrība var iesniegt FKTK revidētu atalgojuma ziņojumu kopā ar gada pārskatu vēl pirms tā apstiprināšanas akcionāru sapulcē, kas arī vairāk atbilst Direktīvā un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paredzētajiem mērķiem, jo </w:t>
            </w:r>
            <w:r w:rsidR="00A274AD" w:rsidRPr="002C4A1B">
              <w:rPr>
                <w:rFonts w:ascii="Times New Roman" w:hAnsi="Times New Roman" w:cs="Times New Roman"/>
                <w:sz w:val="24"/>
                <w:szCs w:val="24"/>
              </w:rPr>
              <w:t xml:space="preserve">akcionāri </w:t>
            </w:r>
            <w:r w:rsidRPr="002C4A1B">
              <w:rPr>
                <w:rFonts w:ascii="Times New Roman" w:hAnsi="Times New Roman" w:cs="Times New Roman"/>
                <w:sz w:val="24"/>
                <w:szCs w:val="24"/>
              </w:rPr>
              <w:t xml:space="preserve">un potenciālie investori saņem informāciju pēc iespējas ātrāk. </w:t>
            </w:r>
          </w:p>
          <w:p w14:paraId="02AA0CFE" w14:textId="2CE4A110"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paredz, ka par atalgojuma ziņojumu ir nepieciešams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konsultatīvs balsojums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savukārt maziem un vidējiem uzņēmumiem ir jābūt iespējai atalgojuma ziņojumu vismaz apspriest ikgadējā akcionāru sapulcē. Šādu prasību mērķis ir paredzēt, ka akcionāri ir pienācīgi informēti un tiem ir iespēja paust savu viedokli, tomēr akcionāru sapulces negatīvs viedoklis (balsojums) nevar būt šķērslis atalgojuma ziņojuma izstrādei un publiskošanai. Latvijā nepastāv regulējums, kas paredzētu un definētu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konsultatīva balsojuma</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izpratni. </w:t>
            </w:r>
            <w:r w:rsidRPr="002C4A1B">
              <w:rPr>
                <w:rFonts w:ascii="Times New Roman" w:eastAsia="Times New Roman" w:hAnsi="Times New Roman" w:cs="Times New Roman"/>
                <w:sz w:val="24"/>
                <w:szCs w:val="24"/>
                <w:lang w:eastAsia="lv-LV"/>
              </w:rPr>
              <w:t xml:space="preserve">Latvijā ir iespējams iekļaut akcionāru sapulces darba kārtībā jautājumus, par kuriem nenotiek balsošana, bet tos tikai pieņem zināšanai. Par darba kārtībā iekļautiem jautājumiem ikvienam akcionāram ir iespēja saņemt papildu informāciju, uzdot jautājumus un paust savu viedokli. Līdz ar to Direktīvā lietotais termins </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konsultatīvs balsojums</w:t>
            </w:r>
            <w:r w:rsidR="00B103C5" w:rsidRPr="002C4A1B">
              <w:rPr>
                <w:rFonts w:ascii="Times New Roman" w:hAnsi="Times New Roman" w:cs="Times New Roman"/>
                <w:sz w:val="24"/>
                <w:szCs w:val="24"/>
              </w:rPr>
              <w:t>"</w:t>
            </w:r>
            <w:r w:rsidRPr="002C4A1B">
              <w:rPr>
                <w:rFonts w:ascii="Times New Roman" w:eastAsia="Times New Roman" w:hAnsi="Times New Roman" w:cs="Times New Roman"/>
                <w:sz w:val="24"/>
                <w:szCs w:val="24"/>
                <w:lang w:eastAsia="lv-LV"/>
              </w:rPr>
              <w:t xml:space="preserve"> Latvijas regulējuma izpratnē faktiski nozīmē, ka konkrētais jautājums tiek iekļauts akcionāru sapulces darba kārtībā un tiek izskatīts akcionāru sapulcē. </w:t>
            </w:r>
            <w:r w:rsidRPr="002C4A1B">
              <w:rPr>
                <w:rFonts w:ascii="Times New Roman" w:hAnsi="Times New Roman" w:cs="Times New Roman"/>
                <w:sz w:val="24"/>
                <w:szCs w:val="24"/>
              </w:rPr>
              <w:t xml:space="preserve">Arī komerctiesību eksperti projekta izstrādes gaitā atzina, ka par atalgojuma ziņojumu nav nepieciešams paredzēt atsevišķu balsojumu, jo balso par visu gada pārskatu (kopā ar pielikumiem) kopumā. Ja akcionāri vēlēsies īpaši diskutēt par atalgojuma ziņojumu, tad tas jau tāpat ir iespējams atbilstoši Komerclikuma vispārējam regulējumam, kā arī ir iespēja paust akcionāru viedokli un nostāju arī balsojuma veidā, vai pievienojot savus iebildumus protokolam. Akcionāru sapulces balsojums, ja tāds ir, neietekmē (balsojums ir tikai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konsultatīvs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arī atalgojuma ziņojuma publiskošanu, jo akciju sabiedrība revidēto atalgojuma ziņojumu kopā ar gada pārskatu var publiskot ORICGS pirms akcionāru sapulces balsojuma (FKTK tiek iesniegts revidētais gada pārskats, nevis akcionāru sapulces apstiprinātais). Savukārt akciju sabiedrība savā mājaslapā atalgojuma ziņojumu publisko kā atsevišķu dokumentu ne vēlāk kā pēc akcionāru sapulces neatkarīgi no tā, vai akcionāri ir pauduši iebildumus un vai kopumā gada pārskats tika apstiprināts.</w:t>
            </w:r>
          </w:p>
          <w:p w14:paraId="50C10D17" w14:textId="7DE8EF4D" w:rsidR="00443949" w:rsidRPr="00B05560"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Projekts paredz, ka FKTK var noteikt sodus akciju sabiedrībai tikai par </w:t>
            </w:r>
            <w:r w:rsidR="00983B4A" w:rsidRPr="002C4A1B">
              <w:rPr>
                <w:rFonts w:ascii="Times New Roman" w:hAnsi="Times New Roman" w:cs="Times New Roman"/>
                <w:sz w:val="24"/>
                <w:szCs w:val="24"/>
              </w:rPr>
              <w:t xml:space="preserve">objektīvi </w:t>
            </w:r>
            <w:r w:rsidRPr="002C4A1B">
              <w:rPr>
                <w:rFonts w:ascii="Times New Roman" w:hAnsi="Times New Roman" w:cs="Times New Roman"/>
                <w:sz w:val="24"/>
                <w:szCs w:val="24"/>
              </w:rPr>
              <w:t xml:space="preserve">konstatējamiem faktiem – atalgojuma politika vai atalgojuma ziņojums nav publiskots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paredzētajā kārtībā. Projekts paredz, ka FKTK piemēros sodu tikai pašai akciju sabiedrībai, jo FKTK bez tiesvedības procesa nav iespējams viennozīmīgi konstatēt, vai par atalgojuma politikas vai ziņojuma publiskošanas pārkāpumiem ir vainojama valde, padome, akcionāru </w:t>
            </w:r>
            <w:r w:rsidRPr="002C4A1B">
              <w:rPr>
                <w:rFonts w:ascii="Times New Roman" w:hAnsi="Times New Roman" w:cs="Times New Roman"/>
                <w:sz w:val="24"/>
                <w:szCs w:val="24"/>
              </w:rPr>
              <w:lastRenderedPageBreak/>
              <w:t xml:space="preserve">sapulce, zvērināts revidents vai pastāv citi iemesli. Vienlaikus akciju sabiedrībai būs iespēja vērst regresa prasību (piemērotā soda apmērā), ja par atalgojuma politikas vai ziņojuma nesagatavošanu ir vainojami valdes locekļi vai citas personas. FKTK nevērtēs iespējamos privāttiesiskus strīdus starp akciju sabiedrību un tās akcionāriem vai citām ieinteresētajām personām saistībā ar atalgojuma politikas vai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ziņojuma kvalitāti</w:t>
            </w:r>
            <w:r w:rsidR="009D60E2" w:rsidRPr="002C4A1B">
              <w:rPr>
                <w:rFonts w:ascii="Times New Roman" w:hAnsi="Times New Roman" w:cs="Times New Roman"/>
                <w:sz w:val="24"/>
                <w:szCs w:val="24"/>
              </w:rPr>
              <w:t xml:space="preserve"> un saturu</w:t>
            </w:r>
            <w:r w:rsidRPr="002C4A1B">
              <w:rPr>
                <w:rFonts w:ascii="Times New Roman" w:hAnsi="Times New Roman" w:cs="Times New Roman"/>
                <w:sz w:val="24"/>
                <w:szCs w:val="24"/>
              </w:rPr>
              <w:t xml:space="preserve">. Turklāt gan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rojekts, gan vispārējais Komerclikuma regulējums jau paredz citus aizsardzības līdzekļus un mehānismus atalgojuma </w:t>
            </w:r>
            <w:r w:rsidRPr="00B05560">
              <w:rPr>
                <w:rFonts w:ascii="Times New Roman" w:hAnsi="Times New Roman" w:cs="Times New Roman"/>
                <w:sz w:val="24"/>
                <w:szCs w:val="24"/>
              </w:rPr>
              <w:t xml:space="preserve">politikas un </w:t>
            </w:r>
            <w:r w:rsidR="00EF652F" w:rsidRPr="00B05560">
              <w:rPr>
                <w:rFonts w:ascii="Times New Roman" w:hAnsi="Times New Roman" w:cs="Times New Roman"/>
                <w:sz w:val="24"/>
                <w:szCs w:val="24"/>
              </w:rPr>
              <w:t xml:space="preserve">atalgojuma </w:t>
            </w:r>
            <w:r w:rsidRPr="00B05560">
              <w:rPr>
                <w:rFonts w:ascii="Times New Roman" w:hAnsi="Times New Roman" w:cs="Times New Roman"/>
                <w:sz w:val="24"/>
                <w:szCs w:val="24"/>
              </w:rPr>
              <w:t>ziņojuma kvalitātes kontrolei.</w:t>
            </w:r>
          </w:p>
          <w:p w14:paraId="6C314B7D" w14:textId="3A29F79E" w:rsidR="005953BD" w:rsidRPr="00B05560" w:rsidRDefault="005953BD" w:rsidP="00443949">
            <w:pPr>
              <w:spacing w:after="0" w:line="240" w:lineRule="auto"/>
              <w:ind w:firstLine="284"/>
              <w:jc w:val="both"/>
              <w:rPr>
                <w:rFonts w:ascii="Times New Roman" w:hAnsi="Times New Roman" w:cs="Times New Roman"/>
                <w:sz w:val="24"/>
                <w:szCs w:val="24"/>
              </w:rPr>
            </w:pPr>
            <w:r w:rsidRPr="00B05560">
              <w:rPr>
                <w:rFonts w:ascii="Times New Roman" w:hAnsi="Times New Roman" w:cs="Times New Roman"/>
                <w:sz w:val="24"/>
                <w:szCs w:val="24"/>
              </w:rPr>
              <w:t>Aizskartajai personai (akcionāram) pastāv iespēja vērsties pret kapitālsabiedrību vai tās amatpersonām ar dažāda veida prasībām, t. sk. prasība par informācijas izsniegšanu atbilstoši Komerclikuma 283. pantam (ja uzskata, ka amatpersonas nav sniegušas pietiekošu informāciju), prasību par zaudējumu atlīdzību atbilstoši Komerclikuma 169. pantam (ja nepareiza vai nepilnīga informācija ir radījusi zaudējumus). Civiltiesiskie līdzekļi ir arī atbildīgo amatpersonu atsaukšana un jaunas valdes un padomes ievēlēšana (Komerclikuma 296. panta septītā daļa un 306. panta otrā daļa), kā arī pastāv iespēja atcelt dalībnieku sapulces lēmumus, ja tie pieņemti, balstoties uz amatpersonu nepareizi vai nepilnīgi sniegtu informāciju (Komerclikuma 286. panta pirmās daļas 7. punkts).</w:t>
            </w:r>
          </w:p>
          <w:p w14:paraId="19201AA1" w14:textId="77777777" w:rsidR="00443949" w:rsidRPr="002C4A1B" w:rsidRDefault="00443949" w:rsidP="00443949">
            <w:pPr>
              <w:spacing w:after="0" w:line="240" w:lineRule="auto"/>
              <w:ind w:firstLine="284"/>
              <w:jc w:val="both"/>
              <w:rPr>
                <w:rFonts w:ascii="Times New Roman" w:hAnsi="Times New Roman" w:cs="Times New Roman"/>
                <w:sz w:val="24"/>
                <w:szCs w:val="24"/>
              </w:rPr>
            </w:pPr>
            <w:r w:rsidRPr="00B05560">
              <w:rPr>
                <w:rFonts w:ascii="Times New Roman" w:hAnsi="Times New Roman" w:cs="Times New Roman"/>
                <w:sz w:val="24"/>
                <w:szCs w:val="24"/>
              </w:rPr>
              <w:t>Atalgojuma politikas izstrāde primāri ir valdes pienākums, jo valde ir vienīgā institūcija</w:t>
            </w:r>
            <w:r w:rsidRPr="002C4A1B">
              <w:rPr>
                <w:rFonts w:ascii="Times New Roman" w:hAnsi="Times New Roman" w:cs="Times New Roman"/>
                <w:sz w:val="24"/>
                <w:szCs w:val="24"/>
              </w:rPr>
              <w:t>, kurai ir visa nepieciešamā informācija, lai ņemtu vērā visus kritērijus un izstrādātu kvalitatīvu atalgojuma politiku. Atbilstoši Komerclikuma 292. panta pirmās daļas 6. punktam arī padome sniedz savu viedokli (atzinumu) par valdes izstrādāto atalgojuma politiku, t. sk. kontrolē, lai atalgojuma politika būtu skaidra un saprotama un atbilstu kapitālsabiedrības interesēm. Savukārt atbilstoši Komerclikuma 283. pantam akcionāriem ir tiesības akcionāru sapulces laikā uzdot jautājumus par atalgojuma politiku, kā arī akcionāri var neapstiprināt atalgojuma politiku un likt pārstrādāt, ja atalgojuma politika ir izstrādāta nekvalitatīvi vai neatbilst kapitālsabiedrības interesēm. Pārstrādātajā atalgojuma politikā arī skaidro, kā ir ņemti vērā akcionāru viedokļi. Nepieciešamības gadījumā akcionāri vai valde atbilstoši Komerclikuma 285. panta pirmās daļas 7. punktam un 287. panta pirmās daļas 2. punktam var lūgt akcionāru iebildumus vai atšķirīgos viedokļus norādīt arī akcionāru sapulces protokolā, lai būtu nepārprotami skaidrs, kādi aspekti atalgojuma politikā ir pārstrādājami.</w:t>
            </w:r>
          </w:p>
          <w:p w14:paraId="7FAA52D9" w14:textId="301A1B3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t xml:space="preserve">Atalgojuma ziņojuma izstrāde ir valdes pienākums, jo </w:t>
            </w:r>
            <w:r w:rsidRPr="002C4A1B">
              <w:rPr>
                <w:rFonts w:ascii="Times New Roman" w:hAnsi="Times New Roman" w:cs="Times New Roman"/>
                <w:sz w:val="24"/>
                <w:szCs w:val="24"/>
              </w:rPr>
              <w:t xml:space="preserve">valde ir vienīgā institūcija, kurai ir visa nepieciešamā informācija atalgojuma ziņojuma sagatavošanai. Atbilstoši </w:t>
            </w:r>
            <w:r w:rsidRPr="002C4A1B">
              <w:rPr>
                <w:rFonts w:ascii="Times New Roman" w:hAnsi="Times New Roman" w:cs="Times New Roman"/>
                <w:sz w:val="24"/>
                <w:szCs w:val="24"/>
              </w:rPr>
              <w:lastRenderedPageBreak/>
              <w:t xml:space="preserve">Komerclikuma 174. pantam un 292. panta pirmās daļas 6. punktam viedokli par atalgojuma ziņojumu pauž arī padome, kā arī finanšu datu pareizību pārbauda zvērināts revidents. Akcionāri var vērsties pret akciju sabiedrību vai tās valdi, ja atalgojuma politikā vai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 xml:space="preserve">ziņojumā ietvertā informācija faktiski neatbilst patiesībai vai arī tā ir izstrādāta nekvalitatīvi vai neatbilstoši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rojektā paredzētajām prasībām. Vienlaikus atalgojuma politikā un </w:t>
            </w:r>
            <w:r w:rsidR="00EF652F">
              <w:rPr>
                <w:rFonts w:ascii="Times New Roman" w:hAnsi="Times New Roman" w:cs="Times New Roman"/>
                <w:sz w:val="24"/>
                <w:szCs w:val="24"/>
              </w:rPr>
              <w:t xml:space="preserve">atalgojuma </w:t>
            </w:r>
            <w:r w:rsidRPr="002C4A1B">
              <w:rPr>
                <w:rFonts w:ascii="Times New Roman" w:hAnsi="Times New Roman" w:cs="Times New Roman"/>
                <w:sz w:val="24"/>
                <w:szCs w:val="24"/>
              </w:rPr>
              <w:t>ziņojumā ietvertā informācija un tās kvalitāte var iespaidot esošo un potenciālo investoru attieksmi pret kapitālsabiedrību un investīciju politiku, kas ilgtermiņā atspoguļojas akciju sabiedrības un tās akciju tirgus vērtībā. Savukārt Direktīva paredz, ka Eiropas Komisija izstrādās pamatnostādnes (nesaistošas vadlīnijas), lai skaidrotu atalgojuma ziņojumā ietveramo informāciju. Šīs pamatnostādnes varētu palīdzēt akciju sabiedrībām izstrādāt kvalitatīvu atalgojuma politiku un ziņojumu.</w:t>
            </w:r>
          </w:p>
          <w:p w14:paraId="44395029" w14:textId="60DC1C5A"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pārejas noteikumi paredz, ka atalgojuma politika ir jāizstrādā, jāapstiprina un jāpublisko ne vēlāk kā līdz</w:t>
            </w:r>
            <w:r w:rsidR="00EC502F">
              <w:rPr>
                <w:rFonts w:ascii="Times New Roman" w:eastAsia="Times New Roman" w:hAnsi="Times New Roman" w:cs="Times New Roman"/>
                <w:sz w:val="24"/>
                <w:szCs w:val="24"/>
                <w:lang w:eastAsia="lv-LV"/>
              </w:rPr>
              <w:t xml:space="preserve"> pārejas noteikumos paredzētajam </w:t>
            </w:r>
            <w:r w:rsidRPr="002C4A1B">
              <w:rPr>
                <w:rFonts w:ascii="Times New Roman" w:eastAsia="Times New Roman" w:hAnsi="Times New Roman" w:cs="Times New Roman"/>
                <w:sz w:val="24"/>
                <w:szCs w:val="24"/>
                <w:lang w:eastAsia="lv-LV"/>
              </w:rPr>
              <w:t xml:space="preserve">termiņam. Ja akcionāru sapulcē tiek izskatīts šis jautājums, tomēr atalgojuma politika netiek apstiprināta, tad valdei būs pienākums nākamajā akcionāru sapulcē iesniegt pārskatītu atalgojuma politiku. Proti, pēc </w:t>
            </w:r>
            <w:r w:rsidR="00EC502F">
              <w:rPr>
                <w:rFonts w:ascii="Times New Roman" w:eastAsia="Times New Roman" w:hAnsi="Times New Roman" w:cs="Times New Roman"/>
                <w:sz w:val="24"/>
                <w:szCs w:val="24"/>
                <w:lang w:eastAsia="lv-LV"/>
              </w:rPr>
              <w:t xml:space="preserve">pārejas noteikumos </w:t>
            </w:r>
            <w:r w:rsidRPr="002C4A1B">
              <w:rPr>
                <w:rFonts w:ascii="Times New Roman" w:eastAsia="Times New Roman" w:hAnsi="Times New Roman" w:cs="Times New Roman"/>
                <w:sz w:val="24"/>
                <w:szCs w:val="24"/>
                <w:lang w:eastAsia="lv-LV"/>
              </w:rPr>
              <w:t xml:space="preserve">minētā termiņa visām akciju sabiedrībām, </w:t>
            </w:r>
            <w:r w:rsidR="00072CA6" w:rsidRPr="002C4A1B">
              <w:rPr>
                <w:rFonts w:ascii="Times New Roman" w:eastAsia="Times New Roman" w:hAnsi="Times New Roman" w:cs="Times New Roman"/>
                <w:sz w:val="24"/>
                <w:szCs w:val="24"/>
                <w:lang w:eastAsia="lv-LV"/>
              </w:rPr>
              <w:t xml:space="preserve">kuru </w:t>
            </w:r>
            <w:r w:rsidRPr="002C4A1B">
              <w:rPr>
                <w:rFonts w:ascii="Times New Roman" w:eastAsia="Times New Roman" w:hAnsi="Times New Roman" w:cs="Times New Roman"/>
                <w:sz w:val="24"/>
                <w:szCs w:val="24"/>
                <w:lang w:eastAsia="lv-LV"/>
              </w:rPr>
              <w:t>akcijas ir iekļautas regulētajā tirgū, ir jābūt mājaslapā publiskotai aktuālajai atalgojuma politikai.</w:t>
            </w:r>
          </w:p>
          <w:p w14:paraId="65C4FC26" w14:textId="5A03A44C"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Projekts paredz, ka </w:t>
            </w:r>
            <w:bookmarkStart w:id="2" w:name="_Hlk526766386"/>
            <w:r w:rsidRPr="002C4A1B">
              <w:rPr>
                <w:rFonts w:ascii="Times New Roman" w:eastAsia="Times New Roman" w:hAnsi="Times New Roman" w:cs="Times New Roman"/>
                <w:sz w:val="24"/>
                <w:szCs w:val="24"/>
                <w:lang w:eastAsia="lv-LV"/>
              </w:rPr>
              <w:t xml:space="preserve">akciju sabiedrībai būs pienākums izstrādāt atalgojuma ziņojumu par to finanšu gadu, kas </w:t>
            </w:r>
            <w:r w:rsidR="00E8622A" w:rsidRPr="002C4A1B">
              <w:rPr>
                <w:rFonts w:ascii="Times New Roman" w:eastAsia="Times New Roman" w:hAnsi="Times New Roman" w:cs="Times New Roman"/>
                <w:sz w:val="24"/>
                <w:szCs w:val="24"/>
                <w:lang w:eastAsia="lv-LV"/>
              </w:rPr>
              <w:t>sāksies pēc</w:t>
            </w:r>
            <w:r w:rsidRPr="002C4A1B">
              <w:rPr>
                <w:rFonts w:ascii="Times New Roman" w:eastAsia="Times New Roman" w:hAnsi="Times New Roman" w:cs="Times New Roman"/>
                <w:sz w:val="24"/>
                <w:szCs w:val="24"/>
                <w:lang w:eastAsia="lv-LV"/>
              </w:rPr>
              <w:t xml:space="preserve">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 xml:space="preserve">rojekta spēkā stāšanās. </w:t>
            </w:r>
            <w:bookmarkEnd w:id="2"/>
            <w:r w:rsidRPr="002C4A1B">
              <w:rPr>
                <w:rFonts w:ascii="Times New Roman" w:eastAsia="Times New Roman" w:hAnsi="Times New Roman" w:cs="Times New Roman"/>
                <w:sz w:val="24"/>
                <w:szCs w:val="24"/>
                <w:lang w:eastAsia="lv-LV"/>
              </w:rPr>
              <w:t xml:space="preserve">Atalgojuma ziņojums ir jāizstrādā arī gadījumā, ja akciju sabiedrībai vēl nav apstiprināta atalgojuma politika. Vienlaikus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rojektā ietvertie pārejas noteikumi paredz, ka informācija par pēdējo piecu finanšu gadu ikgadējo salīdzinājumu</w:t>
            </w:r>
            <w:r w:rsidR="001173D3" w:rsidRPr="002C4A1B">
              <w:rPr>
                <w:rFonts w:ascii="Times New Roman" w:eastAsia="Times New Roman" w:hAnsi="Times New Roman" w:cs="Times New Roman"/>
                <w:sz w:val="24"/>
                <w:szCs w:val="24"/>
                <w:lang w:eastAsia="lv-LV"/>
              </w:rPr>
              <w:t xml:space="preserve"> (</w:t>
            </w:r>
            <w:r w:rsidR="00063AB4" w:rsidRPr="002C4A1B">
              <w:rPr>
                <w:rFonts w:ascii="Times New Roman" w:eastAsia="Times New Roman" w:hAnsi="Times New Roman" w:cs="Times New Roman"/>
                <w:sz w:val="24"/>
                <w:szCs w:val="24"/>
                <w:lang w:eastAsia="lv-LV"/>
              </w:rPr>
              <w:t>p</w:t>
            </w:r>
            <w:r w:rsidR="001173D3" w:rsidRPr="002C4A1B">
              <w:rPr>
                <w:rFonts w:ascii="Times New Roman" w:eastAsia="Times New Roman" w:hAnsi="Times New Roman" w:cs="Times New Roman"/>
                <w:sz w:val="24"/>
                <w:szCs w:val="24"/>
                <w:lang w:eastAsia="lv-LV"/>
              </w:rPr>
              <w:t>rojektā ietvertā FITL 5</w:t>
            </w:r>
            <w:r w:rsidR="00EC502F">
              <w:rPr>
                <w:rFonts w:ascii="Times New Roman" w:eastAsia="Times New Roman" w:hAnsi="Times New Roman" w:cs="Times New Roman"/>
                <w:sz w:val="24"/>
                <w:szCs w:val="24"/>
                <w:lang w:eastAsia="lv-LV"/>
              </w:rPr>
              <w:t>9</w:t>
            </w:r>
            <w:r w:rsidR="001173D3" w:rsidRPr="002C4A1B">
              <w:rPr>
                <w:rFonts w:ascii="Times New Roman" w:eastAsia="Times New Roman" w:hAnsi="Times New Roman" w:cs="Times New Roman"/>
                <w:sz w:val="24"/>
                <w:szCs w:val="24"/>
                <w:lang w:eastAsia="lv-LV"/>
              </w:rPr>
              <w:t>.</w:t>
            </w:r>
            <w:r w:rsidR="00EC502F">
              <w:rPr>
                <w:rFonts w:ascii="Times New Roman" w:eastAsia="Times New Roman" w:hAnsi="Times New Roman" w:cs="Times New Roman"/>
                <w:sz w:val="24"/>
                <w:szCs w:val="24"/>
                <w:vertAlign w:val="superscript"/>
                <w:lang w:eastAsia="lv-LV"/>
              </w:rPr>
              <w:t>4</w:t>
            </w:r>
            <w:r w:rsidR="001173D3" w:rsidRPr="002C4A1B">
              <w:rPr>
                <w:rFonts w:ascii="Times New Roman" w:eastAsia="Times New Roman" w:hAnsi="Times New Roman" w:cs="Times New Roman"/>
                <w:sz w:val="24"/>
                <w:szCs w:val="24"/>
                <w:lang w:eastAsia="lv-LV"/>
              </w:rPr>
              <w:t xml:space="preserve"> panta </w:t>
            </w:r>
            <w:r w:rsidR="00EF652F">
              <w:rPr>
                <w:rFonts w:ascii="Times New Roman" w:eastAsia="Times New Roman" w:hAnsi="Times New Roman" w:cs="Times New Roman"/>
                <w:sz w:val="24"/>
                <w:szCs w:val="24"/>
                <w:lang w:eastAsia="lv-LV"/>
              </w:rPr>
              <w:t xml:space="preserve">pirmās daļas </w:t>
            </w:r>
            <w:r w:rsidR="001173D3" w:rsidRPr="002C4A1B">
              <w:rPr>
                <w:rFonts w:ascii="Times New Roman" w:eastAsia="Times New Roman" w:hAnsi="Times New Roman" w:cs="Times New Roman"/>
                <w:sz w:val="24"/>
                <w:szCs w:val="24"/>
                <w:lang w:eastAsia="lv-LV"/>
              </w:rPr>
              <w:t>3. punkts)</w:t>
            </w:r>
            <w:r w:rsidRPr="002C4A1B">
              <w:rPr>
                <w:rFonts w:ascii="Times New Roman" w:eastAsia="Times New Roman" w:hAnsi="Times New Roman" w:cs="Times New Roman"/>
                <w:sz w:val="24"/>
                <w:szCs w:val="24"/>
                <w:lang w:eastAsia="lv-LV"/>
              </w:rPr>
              <w:t xml:space="preserve"> ir jāatklāj pakāpeniski. Piemēram, 2020. gadā ir pienākums sniegt informāciju tikai par 2019. gada finanšu gadu, 2021.</w:t>
            </w:r>
            <w:r w:rsidR="000979C0">
              <w:rPr>
                <w:rFonts w:ascii="Times New Roman" w:eastAsia="Times New Roman" w:hAnsi="Times New Roman" w:cs="Times New Roman"/>
                <w:sz w:val="24"/>
                <w:szCs w:val="24"/>
                <w:lang w:eastAsia="lv-LV"/>
              </w:rPr>
              <w:t> </w:t>
            </w:r>
            <w:r w:rsidRPr="002C4A1B">
              <w:rPr>
                <w:rFonts w:ascii="Times New Roman" w:eastAsia="Times New Roman" w:hAnsi="Times New Roman" w:cs="Times New Roman"/>
                <w:sz w:val="24"/>
                <w:szCs w:val="24"/>
                <w:lang w:eastAsia="lv-LV"/>
              </w:rPr>
              <w:t xml:space="preserve">gadā – par 2019. un 2020. gadu, bet 2024. gadā jau tiek pilnībā izpildīta prasība par 5 gadu salīdzinājumu. </w:t>
            </w:r>
            <w:r w:rsidR="001173D3" w:rsidRPr="002C4A1B">
              <w:rPr>
                <w:rFonts w:ascii="Times New Roman" w:eastAsia="Times New Roman" w:hAnsi="Times New Roman" w:cs="Times New Roman"/>
                <w:sz w:val="24"/>
                <w:szCs w:val="24"/>
                <w:lang w:eastAsia="lv-LV"/>
              </w:rPr>
              <w:t>T</w:t>
            </w:r>
            <w:r w:rsidRPr="002C4A1B">
              <w:rPr>
                <w:rFonts w:ascii="Times New Roman" w:eastAsia="Times New Roman" w:hAnsi="Times New Roman" w:cs="Times New Roman"/>
                <w:sz w:val="24"/>
                <w:szCs w:val="24"/>
                <w:lang w:eastAsia="lv-LV"/>
              </w:rPr>
              <w:t xml:space="preserve">ām akciju sabiedrībām, kuru akcijas tiek iekļautas regulētajā tirgū pēc </w:t>
            </w:r>
            <w:r w:rsidR="00063AB4"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rojekta spēkā stāšanās</w:t>
            </w:r>
            <w:r w:rsidR="001173D3" w:rsidRPr="002C4A1B">
              <w:rPr>
                <w:rFonts w:ascii="Times New Roman" w:eastAsia="Times New Roman" w:hAnsi="Times New Roman" w:cs="Times New Roman"/>
                <w:sz w:val="24"/>
                <w:szCs w:val="24"/>
                <w:lang w:eastAsia="lv-LV"/>
              </w:rPr>
              <w:t xml:space="preserve"> tik</w:t>
            </w:r>
            <w:r w:rsidR="00EF652F">
              <w:rPr>
                <w:rFonts w:ascii="Times New Roman" w:eastAsia="Times New Roman" w:hAnsi="Times New Roman" w:cs="Times New Roman"/>
                <w:sz w:val="24"/>
                <w:szCs w:val="24"/>
                <w:lang w:eastAsia="lv-LV"/>
              </w:rPr>
              <w:t>s</w:t>
            </w:r>
            <w:r w:rsidR="001173D3" w:rsidRPr="002C4A1B">
              <w:rPr>
                <w:rFonts w:ascii="Times New Roman" w:eastAsia="Times New Roman" w:hAnsi="Times New Roman" w:cs="Times New Roman"/>
                <w:sz w:val="24"/>
                <w:szCs w:val="24"/>
                <w:lang w:eastAsia="lv-LV"/>
              </w:rPr>
              <w:t xml:space="preserve"> piemērots līdzīgs princips</w:t>
            </w:r>
            <w:r w:rsidRPr="002C4A1B">
              <w:rPr>
                <w:rFonts w:ascii="Times New Roman" w:eastAsia="Times New Roman" w:hAnsi="Times New Roman" w:cs="Times New Roman"/>
                <w:sz w:val="24"/>
                <w:szCs w:val="24"/>
                <w:lang w:eastAsia="lv-LV"/>
              </w:rPr>
              <w:t>.</w:t>
            </w:r>
            <w:r w:rsidR="001173D3" w:rsidRPr="002C4A1B">
              <w:rPr>
                <w:rFonts w:ascii="Times New Roman" w:eastAsia="Times New Roman" w:hAnsi="Times New Roman" w:cs="Times New Roman"/>
                <w:sz w:val="24"/>
                <w:szCs w:val="24"/>
                <w:lang w:eastAsia="lv-LV"/>
              </w:rPr>
              <w:t xml:space="preserve"> Proti,</w:t>
            </w:r>
            <w:r w:rsidRPr="002C4A1B">
              <w:rPr>
                <w:rFonts w:ascii="Times New Roman" w:eastAsia="Times New Roman" w:hAnsi="Times New Roman" w:cs="Times New Roman"/>
                <w:sz w:val="24"/>
                <w:szCs w:val="24"/>
                <w:lang w:eastAsia="lv-LV"/>
              </w:rPr>
              <w:t xml:space="preserve"> </w:t>
            </w:r>
            <w:r w:rsidR="001173D3" w:rsidRPr="002C4A1B">
              <w:rPr>
                <w:rFonts w:ascii="Times New Roman" w:eastAsia="Times New Roman" w:hAnsi="Times New Roman" w:cs="Times New Roman"/>
                <w:sz w:val="24"/>
                <w:szCs w:val="24"/>
                <w:lang w:eastAsia="lv-LV"/>
              </w:rPr>
              <w:t>š</w:t>
            </w:r>
            <w:r w:rsidRPr="002C4A1B">
              <w:rPr>
                <w:rFonts w:ascii="Times New Roman" w:eastAsia="Times New Roman" w:hAnsi="Times New Roman" w:cs="Times New Roman"/>
                <w:sz w:val="24"/>
                <w:szCs w:val="24"/>
                <w:lang w:eastAsia="lv-LV"/>
              </w:rPr>
              <w:t xml:space="preserve">ādām akciju sabiedrībām </w:t>
            </w:r>
            <w:r w:rsidR="007D2656" w:rsidRPr="002C4A1B">
              <w:rPr>
                <w:rFonts w:ascii="Times New Roman" w:eastAsia="Times New Roman" w:hAnsi="Times New Roman" w:cs="Times New Roman"/>
                <w:sz w:val="24"/>
                <w:szCs w:val="24"/>
                <w:lang w:eastAsia="lv-LV"/>
              </w:rPr>
              <w:t xml:space="preserve">atalgojuma ziņojumu un </w:t>
            </w:r>
            <w:r w:rsidRPr="002C4A1B">
              <w:rPr>
                <w:rFonts w:ascii="Times New Roman" w:eastAsia="Times New Roman" w:hAnsi="Times New Roman" w:cs="Times New Roman"/>
                <w:sz w:val="24"/>
                <w:szCs w:val="24"/>
                <w:lang w:eastAsia="lv-LV"/>
              </w:rPr>
              <w:t>ikgadējo izmaiņu salīdzinājum</w:t>
            </w:r>
            <w:r w:rsidR="007D2656" w:rsidRPr="002C4A1B">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ir jāsniedz tikai par tiem finanšu gadiem, kas sākušies pēc akciju iekļaušanas regulētajā tirgū. Pretējā gadījumā jaunajām akciju sabiedrībām būtu nelabvēlīgāki noteikumi un lielāks administratīvais slogs.</w:t>
            </w:r>
          </w:p>
          <w:p w14:paraId="510A340A" w14:textId="77777777"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p>
          <w:p w14:paraId="0F7B559A" w14:textId="77777777" w:rsidR="00443949" w:rsidRPr="002C4A1B" w:rsidRDefault="00443949" w:rsidP="00443949">
            <w:pPr>
              <w:spacing w:after="0" w:line="240" w:lineRule="auto"/>
              <w:ind w:firstLine="284"/>
              <w:jc w:val="both"/>
              <w:rPr>
                <w:rFonts w:ascii="Times New Roman" w:hAnsi="Times New Roman" w:cs="Times New Roman"/>
                <w:b/>
                <w:sz w:val="24"/>
                <w:szCs w:val="24"/>
              </w:rPr>
            </w:pPr>
            <w:r w:rsidRPr="002C4A1B">
              <w:rPr>
                <w:rFonts w:ascii="Times New Roman" w:hAnsi="Times New Roman" w:cs="Times New Roman"/>
                <w:b/>
                <w:sz w:val="24"/>
                <w:szCs w:val="24"/>
              </w:rPr>
              <w:t>Saistīto pušu darījumi</w:t>
            </w:r>
          </w:p>
          <w:p w14:paraId="098FB2FD" w14:textId="581D0509" w:rsidR="00443949" w:rsidRPr="002C4A1B" w:rsidRDefault="00443949" w:rsidP="00443949">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Direktīvas preambulas apsvērumi skaidro, ka darījumi ar saistītām pusēm var kaitēt sabiedrībām un to akcionāriem, jo tie var sniegt saistītajai pusei iespēju piesavināties </w:t>
            </w:r>
            <w:r w:rsidRPr="002C4A1B">
              <w:rPr>
                <w:rFonts w:ascii="Times New Roman" w:eastAsia="Times New Roman" w:hAnsi="Times New Roman" w:cs="Times New Roman"/>
                <w:sz w:val="24"/>
                <w:szCs w:val="24"/>
                <w:lang w:eastAsia="lv-LV"/>
              </w:rPr>
              <w:lastRenderedPageBreak/>
              <w:t xml:space="preserve">vērtību, kas pieder sabiedrībai. Tādējādi ir svarīgi atbilstīgi drošības pasākumi sabiedrību un akcionāru interešu aizsardzībai. Sabiedrībai ir publiski jāpaziņo par nozīmīgiem </w:t>
            </w:r>
            <w:r w:rsidR="00FA5740" w:rsidRPr="002C4A1B">
              <w:rPr>
                <w:rFonts w:ascii="Times New Roman" w:eastAsia="Times New Roman" w:hAnsi="Times New Roman" w:cs="Times New Roman"/>
                <w:sz w:val="24"/>
                <w:szCs w:val="24"/>
                <w:lang w:eastAsia="lv-LV"/>
              </w:rPr>
              <w:t xml:space="preserve">un netipiskiem </w:t>
            </w:r>
            <w:r w:rsidRPr="002C4A1B">
              <w:rPr>
                <w:rFonts w:ascii="Times New Roman" w:eastAsia="Times New Roman" w:hAnsi="Times New Roman" w:cs="Times New Roman"/>
                <w:sz w:val="24"/>
                <w:szCs w:val="24"/>
                <w:lang w:eastAsia="lv-LV"/>
              </w:rPr>
              <w:t>darījumiem, vēlākais, darījuma noslēgšanas brīdī, norādot saistīto pusi, darījuma datumu un vērtību un jebkuru citu informāciju, kas nepieciešama, lai novērtētu darījuma godīgumu. Šāda veida darījuma publiskošana, piemēram, sabiedrības tīmekļa vietnē vai citos viegli pieejamos līdzekļos, ir nepieciešama, lai akcionāri, kreditori, darbinieki un citas ieinteresētās personas būtu informētas par šādu darījumu iespējamo ietekmi uz sabiedrības vērtību. Precīza saistītās puses identifikācija ir nepieciešama, lai labāk novērtētu ar darījumu saistītos riskus un ļautu apstrīdēt darījumu.</w:t>
            </w:r>
          </w:p>
          <w:p w14:paraId="68D256AB" w14:textId="1538CA20"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Latvijā regulējums par saistīto pušu darījumiem tika ieviests vēl pirms Direktīvas spēkā stāšanās. Komerclikumā sākotnējais regulējums (139.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xml:space="preserve"> un 139.</w:t>
            </w:r>
            <w:r w:rsidRPr="002C4A1B">
              <w:rPr>
                <w:rFonts w:ascii="Times New Roman" w:hAnsi="Times New Roman" w:cs="Times New Roman"/>
                <w:sz w:val="24"/>
                <w:szCs w:val="24"/>
                <w:vertAlign w:val="superscript"/>
              </w:rPr>
              <w:t>3</w:t>
            </w:r>
            <w:r w:rsidRPr="002C4A1B">
              <w:rPr>
                <w:rFonts w:ascii="Times New Roman" w:hAnsi="Times New Roman" w:cs="Times New Roman"/>
                <w:sz w:val="24"/>
                <w:szCs w:val="24"/>
              </w:rPr>
              <w:t> pants) bija jau no 2012. gada, bet saistībā ar</w:t>
            </w:r>
            <w:r w:rsidRPr="002C4A1B">
              <w:rPr>
                <w:rFonts w:ascii="Times New Roman" w:hAnsi="Times New Roman" w:cs="Times New Roman"/>
                <w:b/>
                <w:sz w:val="24"/>
                <w:szCs w:val="24"/>
              </w:rPr>
              <w:t xml:space="preserve"> </w:t>
            </w:r>
            <w:r w:rsidRPr="002C4A1B">
              <w:rPr>
                <w:rStyle w:val="Izteiksmgs"/>
                <w:rFonts w:ascii="Times New Roman" w:hAnsi="Times New Roman" w:cs="Times New Roman"/>
                <w:b w:val="0"/>
                <w:sz w:val="24"/>
                <w:szCs w:val="24"/>
              </w:rPr>
              <w:t>Ekonomiskās sadarbības un attīstības organizācijas</w:t>
            </w:r>
            <w:r w:rsidRPr="002C4A1B">
              <w:rPr>
                <w:rFonts w:ascii="Times New Roman" w:hAnsi="Times New Roman" w:cs="Times New Roman"/>
                <w:sz w:val="24"/>
                <w:szCs w:val="24"/>
              </w:rPr>
              <w:t xml:space="preserve"> jeb OECD (angliski - </w:t>
            </w:r>
            <w:proofErr w:type="spellStart"/>
            <w:r w:rsidRPr="002C4A1B">
              <w:rPr>
                <w:rFonts w:ascii="Times New Roman" w:hAnsi="Times New Roman" w:cs="Times New Roman"/>
                <w:i/>
                <w:sz w:val="24"/>
                <w:szCs w:val="24"/>
              </w:rPr>
              <w:t>Organisation</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for</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Economic</w:t>
            </w:r>
            <w:proofErr w:type="spellEnd"/>
            <w:r w:rsidRPr="002C4A1B">
              <w:rPr>
                <w:rFonts w:ascii="Times New Roman" w:hAnsi="Times New Roman" w:cs="Times New Roman"/>
                <w:i/>
                <w:sz w:val="24"/>
                <w:szCs w:val="24"/>
              </w:rPr>
              <w:t xml:space="preserve"> Co-</w:t>
            </w:r>
            <w:proofErr w:type="spellStart"/>
            <w:r w:rsidRPr="002C4A1B">
              <w:rPr>
                <w:rFonts w:ascii="Times New Roman" w:hAnsi="Times New Roman" w:cs="Times New Roman"/>
                <w:i/>
                <w:sz w:val="24"/>
                <w:szCs w:val="24"/>
              </w:rPr>
              <w:t>operation</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and</w:t>
            </w:r>
            <w:proofErr w:type="spellEnd"/>
            <w:r w:rsidRPr="002C4A1B">
              <w:rPr>
                <w:rFonts w:ascii="Times New Roman" w:hAnsi="Times New Roman" w:cs="Times New Roman"/>
                <w:i/>
                <w:sz w:val="24"/>
                <w:szCs w:val="24"/>
              </w:rPr>
              <w:t xml:space="preserve"> </w:t>
            </w:r>
            <w:proofErr w:type="spellStart"/>
            <w:r w:rsidRPr="002C4A1B">
              <w:rPr>
                <w:rFonts w:ascii="Times New Roman" w:hAnsi="Times New Roman" w:cs="Times New Roman"/>
                <w:i/>
                <w:sz w:val="24"/>
                <w:szCs w:val="24"/>
              </w:rPr>
              <w:t>Development</w:t>
            </w:r>
            <w:proofErr w:type="spellEnd"/>
            <w:r w:rsidRPr="002C4A1B">
              <w:rPr>
                <w:rFonts w:ascii="Times New Roman" w:hAnsi="Times New Roman" w:cs="Times New Roman"/>
                <w:sz w:val="24"/>
                <w:szCs w:val="24"/>
              </w:rPr>
              <w:t>) rekomendācijām tika pārstrādāts un jaunais regulējums (184.</w:t>
            </w:r>
            <w:r w:rsidRPr="002C4A1B">
              <w:rPr>
                <w:rFonts w:ascii="Times New Roman" w:hAnsi="Times New Roman" w:cs="Times New Roman"/>
                <w:sz w:val="24"/>
                <w:szCs w:val="24"/>
                <w:vertAlign w:val="superscript"/>
              </w:rPr>
              <w:t xml:space="preserve">1 </w:t>
            </w:r>
            <w:r w:rsidRPr="002C4A1B">
              <w:rPr>
                <w:rFonts w:ascii="Times New Roman" w:hAnsi="Times New Roman" w:cs="Times New Roman"/>
                <w:sz w:val="24"/>
                <w:szCs w:val="24"/>
              </w:rPr>
              <w:t>un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pants) stājās spēkā 2017. gada 13. jūlijā. Saistībā ar OECD rekomendācijām tika izstrādāti un 2017. gada 4. oktobrī stājās spēkā arī attiecīgi grozījumi FITL (59.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xml:space="preserve"> pants). OECD rekomendāciju ieviešanas laikā tika pēc iespējas ņemtas vērā arī Direktīvas projektā ietvertās prasības, tomēr Direktīvas gala redakcijā tika veikti grozījumi. Līdz ar to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rojekts paredz tikai tādus FITL grozījumus, kas novērš neatbilstības ar Direktīvas minimālajām prasībām:</w:t>
            </w:r>
          </w:p>
          <w:p w14:paraId="6853D841" w14:textId="1938B8B0"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1) pienākums paziņot par </w:t>
            </w:r>
            <w:r w:rsidR="00322A62" w:rsidRPr="002C4A1B">
              <w:rPr>
                <w:rFonts w:ascii="Times New Roman" w:hAnsi="Times New Roman" w:cs="Times New Roman"/>
                <w:sz w:val="24"/>
                <w:szCs w:val="24"/>
              </w:rPr>
              <w:t xml:space="preserve">nozīmīgu un netipisku </w:t>
            </w:r>
            <w:r w:rsidRPr="002C4A1B">
              <w:rPr>
                <w:rFonts w:ascii="Times New Roman" w:hAnsi="Times New Roman" w:cs="Times New Roman"/>
                <w:sz w:val="24"/>
                <w:szCs w:val="24"/>
              </w:rPr>
              <w:t>saistīto pušu darījumu ne vēlāk kā darījuma noslēgšanas brīdī;</w:t>
            </w:r>
          </w:p>
          <w:p w14:paraId="739C124C" w14:textId="28500788"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2) pienākums </w:t>
            </w:r>
            <w:r w:rsidR="00322A62" w:rsidRPr="002C4A1B">
              <w:rPr>
                <w:rFonts w:ascii="Times New Roman" w:hAnsi="Times New Roman" w:cs="Times New Roman"/>
                <w:sz w:val="24"/>
                <w:szCs w:val="24"/>
              </w:rPr>
              <w:t xml:space="preserve">publiskojamajā informācijā </w:t>
            </w:r>
            <w:r w:rsidRPr="002C4A1B">
              <w:rPr>
                <w:rFonts w:ascii="Times New Roman" w:hAnsi="Times New Roman" w:cs="Times New Roman"/>
                <w:sz w:val="24"/>
                <w:szCs w:val="24"/>
              </w:rPr>
              <w:t>norādīt arī darījuma datumu;</w:t>
            </w:r>
          </w:p>
          <w:p w14:paraId="4576E1E6" w14:textId="00A4B6DA"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3) pienākums publiskot arī meitas sabiedrības </w:t>
            </w:r>
            <w:r w:rsidR="008837F0" w:rsidRPr="002C4A1B">
              <w:rPr>
                <w:rFonts w:ascii="Times New Roman" w:hAnsi="Times New Roman" w:cs="Times New Roman"/>
                <w:sz w:val="24"/>
                <w:szCs w:val="24"/>
              </w:rPr>
              <w:t xml:space="preserve">nozīmīgos un netipiskos </w:t>
            </w:r>
            <w:r w:rsidRPr="002C4A1B">
              <w:rPr>
                <w:rFonts w:ascii="Times New Roman" w:hAnsi="Times New Roman" w:cs="Times New Roman"/>
                <w:sz w:val="24"/>
                <w:szCs w:val="24"/>
              </w:rPr>
              <w:t>darījumus ar mātes sabiedrības saistīto pusi.</w:t>
            </w:r>
          </w:p>
          <w:p w14:paraId="7CC50ACB" w14:textId="530D9B4C"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nepārprotami paredz, ka par </w:t>
            </w:r>
            <w:r w:rsidR="001373E6" w:rsidRPr="002C4A1B">
              <w:rPr>
                <w:rFonts w:ascii="Times New Roman" w:hAnsi="Times New Roman" w:cs="Times New Roman"/>
                <w:sz w:val="24"/>
                <w:szCs w:val="24"/>
              </w:rPr>
              <w:t xml:space="preserve">netipisku un nozīmīgu </w:t>
            </w:r>
            <w:r w:rsidRPr="002C4A1B">
              <w:rPr>
                <w:rFonts w:ascii="Times New Roman" w:hAnsi="Times New Roman" w:cs="Times New Roman"/>
                <w:sz w:val="24"/>
                <w:szCs w:val="24"/>
              </w:rPr>
              <w:t>saistīto pušu darījumu paziņo vēl pirms tā galīgas noslēgšanas, bet ne vēlāk kā darījuma noslēgšanas brīd</w:t>
            </w:r>
            <w:r w:rsidR="00EF652F">
              <w:rPr>
                <w:rFonts w:ascii="Times New Roman" w:hAnsi="Times New Roman" w:cs="Times New Roman"/>
                <w:sz w:val="24"/>
                <w:szCs w:val="24"/>
              </w:rPr>
              <w:t>ī</w:t>
            </w:r>
            <w:r w:rsidRPr="002C4A1B">
              <w:rPr>
                <w:rFonts w:ascii="Times New Roman" w:hAnsi="Times New Roman" w:cs="Times New Roman"/>
                <w:sz w:val="24"/>
                <w:szCs w:val="24"/>
              </w:rPr>
              <w:t xml:space="preserve">. Projekta izstrādes gaitā tika identificēts, ka praksē varētu būt grūtības identificēt konkrēto brīdi, kad darījums ir uzskatāms par noslēgtu. Atbilstoši Civillikuma 1533. pantam darījums varētu tikt uzskatīts par noslēgtu, kad ir notikusi vienošanās par darījuma būtiskajām sastāvdaļām. Darījums ir uzskatāms par noslēgtu arī tad, ja ir paredzēti atliekoši nosacījumi, proti, tas vēl nav stājies spēkā, bet jau ir </w:t>
            </w:r>
            <w:r w:rsidR="00FA259D" w:rsidRPr="002C4A1B">
              <w:rPr>
                <w:rFonts w:ascii="Times New Roman" w:hAnsi="Times New Roman" w:cs="Times New Roman"/>
                <w:sz w:val="24"/>
                <w:szCs w:val="24"/>
              </w:rPr>
              <w:t>panākta galīga vienošanās</w:t>
            </w:r>
            <w:r w:rsidRPr="002C4A1B">
              <w:rPr>
                <w:rFonts w:ascii="Times New Roman" w:hAnsi="Times New Roman" w:cs="Times New Roman"/>
                <w:sz w:val="24"/>
                <w:szCs w:val="24"/>
              </w:rPr>
              <w:t>. Savukārt atbilstoši Dokumentu juridiskā spēkā likuma 4. pantam, lai dokumentam būtu juridisks spēks</w:t>
            </w:r>
            <w:r w:rsidR="0005362A" w:rsidRPr="002C4A1B">
              <w:rPr>
                <w:rFonts w:ascii="Times New Roman" w:hAnsi="Times New Roman" w:cs="Times New Roman"/>
                <w:sz w:val="24"/>
                <w:szCs w:val="24"/>
              </w:rPr>
              <w:t>,</w:t>
            </w:r>
            <w:r w:rsidRPr="002C4A1B">
              <w:rPr>
                <w:rFonts w:ascii="Times New Roman" w:hAnsi="Times New Roman" w:cs="Times New Roman"/>
                <w:sz w:val="24"/>
                <w:szCs w:val="24"/>
              </w:rPr>
              <w:t xml:space="preserve"> ir jānorāda</w:t>
            </w:r>
            <w:r w:rsidR="00EC502F">
              <w:rPr>
                <w:rFonts w:ascii="Times New Roman" w:hAnsi="Times New Roman" w:cs="Times New Roman"/>
                <w:sz w:val="24"/>
                <w:szCs w:val="24"/>
              </w:rPr>
              <w:t xml:space="preserve"> arī</w:t>
            </w:r>
            <w:r w:rsidRPr="002C4A1B">
              <w:rPr>
                <w:rFonts w:ascii="Times New Roman" w:hAnsi="Times New Roman" w:cs="Times New Roman"/>
                <w:sz w:val="24"/>
                <w:szCs w:val="24"/>
              </w:rPr>
              <w:t xml:space="preserve"> dokumenta datums. Proti, darījuma puses līgumā var nenorādīt konkrētu noslēgšanas brīdi (pulksteņa laiku), bet tikai datumu. Līdz ar </w:t>
            </w:r>
            <w:r w:rsidRPr="002C4A1B">
              <w:rPr>
                <w:rFonts w:ascii="Times New Roman" w:hAnsi="Times New Roman" w:cs="Times New Roman"/>
                <w:sz w:val="24"/>
                <w:szCs w:val="24"/>
              </w:rPr>
              <w:lastRenderedPageBreak/>
              <w:t xml:space="preserve">to Latvijas tiesību sistēmas izpratnē nebūtu atbilstoši lietot terminu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brīdis</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kas arī praksē ir grūti konstatējams termiņš. Vienlaikus arī FKTK uzraudzības funkcijas ietvaros parasti nevar kategoriski pārliecināties par darījuma noslēgšanas brīdi, tāpēc nebūtisku pārkāpumu gadījumā strīds par neatbilstošā termiņā publiskotu saistīto pušu darījumu jebkurā gadījumā varētu tikt risināts civiltiesiskā kārtībā.</w:t>
            </w:r>
          </w:p>
          <w:p w14:paraId="2E3C1093" w14:textId="4C0B89E7"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Direktīvas minimālā prasība ir šo regulējumu attiecināt tikai uz tādiem saistīto pušu darījumiem, kas (atbilstoši FITL terminoloģijai) vienlaikus ir netipiski un nozīmīga apjoma. FITL regulējums jau šobrīd ir stingrāks un paredz publiskot gan netipiskus, gan nozīmīgus darījumus. Netipiskiem darījumiem (</w:t>
            </w:r>
            <w:r w:rsidR="00687E59" w:rsidRPr="002C4A1B">
              <w:rPr>
                <w:rFonts w:ascii="Times New Roman" w:hAnsi="Times New Roman" w:cs="Times New Roman"/>
                <w:sz w:val="24"/>
                <w:szCs w:val="24"/>
              </w:rPr>
              <w:t xml:space="preserve">neatkarīgi no tā, vai tie ir </w:t>
            </w:r>
            <w:r w:rsidRPr="002C4A1B">
              <w:rPr>
                <w:rFonts w:ascii="Times New Roman" w:hAnsi="Times New Roman" w:cs="Times New Roman"/>
                <w:sz w:val="24"/>
                <w:szCs w:val="24"/>
              </w:rPr>
              <w:t>nozīmīgi) atbilstoši FITL 59.</w:t>
            </w:r>
            <w:r w:rsidRPr="002C4A1B">
              <w:rPr>
                <w:rFonts w:ascii="Times New Roman" w:hAnsi="Times New Roman" w:cs="Times New Roman"/>
                <w:sz w:val="24"/>
                <w:szCs w:val="24"/>
                <w:vertAlign w:val="superscript"/>
              </w:rPr>
              <w:t>1</w:t>
            </w:r>
            <w:r w:rsidRPr="002C4A1B">
              <w:rPr>
                <w:rFonts w:ascii="Times New Roman" w:hAnsi="Times New Roman" w:cs="Times New Roman"/>
                <w:sz w:val="24"/>
                <w:szCs w:val="24"/>
              </w:rPr>
              <w:t> panta otrajai un trešajai daļai un Komerclikuma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panta pirmajai daļai ir jāsaņem padomes piekrišana pirms darījuma noslēgšanas. Nozīmīgiem darījumiem (kuri vienlaikus nav netipiski) ir piemērojama tikai publiskošanas prasība. Savukārt darījumiem, kas vienlaikus ir gan netipiski, gan nozīmīgi ir nepieciešama gan padomes piekrišana, gan publiskošana FITL paredzētajā kārtībā. Lai saistīto pušu darījumu varētu apstiprināt padomē, valdei atbilstoši Komerclikuma 184.</w:t>
            </w:r>
            <w:r w:rsidRPr="002C4A1B">
              <w:rPr>
                <w:rFonts w:ascii="Times New Roman" w:hAnsi="Times New Roman" w:cs="Times New Roman"/>
                <w:sz w:val="24"/>
                <w:szCs w:val="24"/>
                <w:vertAlign w:val="superscript"/>
              </w:rPr>
              <w:t>2</w:t>
            </w:r>
            <w:r w:rsidRPr="002C4A1B">
              <w:rPr>
                <w:rFonts w:ascii="Times New Roman" w:hAnsi="Times New Roman" w:cs="Times New Roman"/>
                <w:sz w:val="24"/>
                <w:szCs w:val="24"/>
              </w:rPr>
              <w:t xml:space="preserve"> panta trešajai daļai jau ir jāsniedz padomei visa informācija, kas faktiski nepieciešama arī publiskošanai. Šādas informācijas sniegšana padomei arī nozīmē, ka valde jau ir panākusi vienošanos par visām darījuma būtiskajām sastāvdaļām. Arī praksē, slēdzot netipisku saistīto pušu darījumu, līgumā var paredzēt, ka tas stājas spēkā līdz ar apstiprināšanu padomē. Savukārt nozīmīga apjoma darījumiem, kuri vienlaikus nav netipiski, nav obligāti jāsaņem padomes piekrišana, tāpēc šādos gadījumos nebūtu samērīgi prasīt obligātu informācijas publiskošanu vēl pirms darījuma noslēgšanas. Līdz ar to, lai ieviestu Direktīvas minimālās prasības,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 xml:space="preserve">rojekts paredz, ka attiecībā uz nozīmīga apjoma darījumiem tiek saglabāts esošais publiskošanas termiņš (nekavējoties pēc darījuma noslēgšanas), savukārt darījumiem, kas ir netipiski </w:t>
            </w:r>
            <w:r w:rsidR="00FA259D" w:rsidRPr="002C4A1B">
              <w:rPr>
                <w:rFonts w:ascii="Times New Roman" w:hAnsi="Times New Roman" w:cs="Times New Roman"/>
                <w:sz w:val="24"/>
                <w:szCs w:val="24"/>
              </w:rPr>
              <w:t>(neatkarīgi no tā, vai tie vienlaikus ir nozīmīgi)</w:t>
            </w:r>
            <w:r w:rsidRPr="002C4A1B">
              <w:rPr>
                <w:rFonts w:ascii="Times New Roman" w:hAnsi="Times New Roman" w:cs="Times New Roman"/>
                <w:sz w:val="24"/>
                <w:szCs w:val="24"/>
              </w:rPr>
              <w:t xml:space="preserve">, tiek paredzēts ātrāks publiskošanas termiņš - ne vēlāk kā dienā, kad saistīto pušu darījums ir apstiprināts Komerclikumā noteiktajā kārtībā (padomē vai akcionāru sapulcē). </w:t>
            </w:r>
          </w:p>
          <w:p w14:paraId="51549092" w14:textId="04EC4225"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Direktīva paredz ziņot arī par meitas sabiedrību darījumiem ar mātes sabiedrības saistīto pusi. Vienlaikus, mātes sabiedrībai varētu būt grūtības iegūt informāciju par šādu darījumu esamību</w:t>
            </w:r>
            <w:r w:rsidR="00312898" w:rsidRPr="002C4A1B">
              <w:rPr>
                <w:rFonts w:ascii="Times New Roman" w:hAnsi="Times New Roman" w:cs="Times New Roman"/>
                <w:sz w:val="24"/>
                <w:szCs w:val="24"/>
              </w:rPr>
              <w:t>.</w:t>
            </w:r>
            <w:r w:rsidRPr="002C4A1B">
              <w:rPr>
                <w:rFonts w:ascii="Times New Roman" w:hAnsi="Times New Roman" w:cs="Times New Roman"/>
                <w:sz w:val="24"/>
                <w:szCs w:val="24"/>
              </w:rPr>
              <w:t xml:space="preserve"> </w:t>
            </w:r>
            <w:r w:rsidR="00312898" w:rsidRPr="002C4A1B">
              <w:rPr>
                <w:rFonts w:ascii="Times New Roman" w:hAnsi="Times New Roman" w:cs="Times New Roman"/>
                <w:sz w:val="24"/>
                <w:szCs w:val="24"/>
              </w:rPr>
              <w:t xml:space="preserve">Tomēr netipisku darījumu noslēgšanai ar saistīto pusi ir jāsaņem padomes vai, ja tādas nav, dalībnieku sapulces piekrišana. Dalībnieku sapulcē piedalās mātes sabiedrības valde, tāpēc parasti mātes sabiedrība ir informēta par šāda veida darījumiem. Papildus mātes sabiedrība var nodrošināt šādas informācijas </w:t>
            </w:r>
            <w:r w:rsidR="00312898" w:rsidRPr="002C4A1B">
              <w:rPr>
                <w:rFonts w:ascii="Times New Roman" w:hAnsi="Times New Roman" w:cs="Times New Roman"/>
                <w:sz w:val="24"/>
                <w:szCs w:val="24"/>
              </w:rPr>
              <w:lastRenderedPageBreak/>
              <w:t xml:space="preserve">iegūšanu, paredzot atbilstošas prasības meitas sabiedrības statūtos (papildu prasības darījumu noslēgšanai). Līdz ar to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rojekts paredz, ka prasība</w:t>
            </w:r>
            <w:r w:rsidR="00312898" w:rsidRPr="002C4A1B">
              <w:rPr>
                <w:rFonts w:ascii="Times New Roman" w:hAnsi="Times New Roman" w:cs="Times New Roman"/>
                <w:sz w:val="24"/>
                <w:szCs w:val="24"/>
              </w:rPr>
              <w:t xml:space="preserve"> ziņot par meitas sabiedrību darījumiem ar mātes sabiedrības saistīto pusi</w:t>
            </w:r>
            <w:r w:rsidRPr="002C4A1B">
              <w:rPr>
                <w:rFonts w:ascii="Times New Roman" w:hAnsi="Times New Roman" w:cs="Times New Roman"/>
                <w:sz w:val="24"/>
                <w:szCs w:val="24"/>
              </w:rPr>
              <w:t xml:space="preserve"> ir attiecināma uz minimālo Direktīvas tvērumu, proti, mātes sabiedrībai ir jāziņo FITL paredzētajā kārtībā tikai par tādiem meitas sabiedrības darījumiem ar mātes sabiedrības saistīto pusi, kas vienlaikus ir netipiski un nozīmīgi.</w:t>
            </w:r>
            <w:r w:rsidR="00FA259D" w:rsidRPr="002C4A1B">
              <w:rPr>
                <w:rFonts w:ascii="Times New Roman" w:hAnsi="Times New Roman" w:cs="Times New Roman"/>
                <w:sz w:val="24"/>
                <w:szCs w:val="24"/>
              </w:rPr>
              <w:t xml:space="preserve"> </w:t>
            </w:r>
          </w:p>
          <w:p w14:paraId="343B2195" w14:textId="09CA82FD" w:rsidR="00443949"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saistīto pušu darījumu kontekstā nedefinē un neskaidro terminu </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meitas sabiedrība</w:t>
            </w:r>
            <w:r w:rsidR="00B103C5" w:rsidRPr="002C4A1B">
              <w:rPr>
                <w:rFonts w:ascii="Times New Roman" w:hAnsi="Times New Roman" w:cs="Times New Roman"/>
                <w:sz w:val="24"/>
                <w:szCs w:val="24"/>
              </w:rPr>
              <w:t>"</w:t>
            </w:r>
            <w:r w:rsidRPr="002C4A1B">
              <w:rPr>
                <w:rFonts w:ascii="Times New Roman" w:hAnsi="Times New Roman" w:cs="Times New Roman"/>
                <w:sz w:val="24"/>
                <w:szCs w:val="24"/>
              </w:rPr>
              <w:t xml:space="preserve">. Projekts paredz lietot terminu </w:t>
            </w:r>
            <w:r w:rsidR="00FB3AB1">
              <w:rPr>
                <w:rFonts w:ascii="Times New Roman" w:hAnsi="Times New Roman" w:cs="Times New Roman"/>
                <w:sz w:val="24"/>
                <w:szCs w:val="24"/>
              </w:rPr>
              <w:t>"</w:t>
            </w:r>
            <w:r w:rsidRPr="002C4A1B">
              <w:rPr>
                <w:rFonts w:ascii="Times New Roman" w:hAnsi="Times New Roman" w:cs="Times New Roman"/>
                <w:sz w:val="24"/>
                <w:szCs w:val="24"/>
              </w:rPr>
              <w:t>meitas sabiedrība</w:t>
            </w:r>
            <w:r w:rsidR="00FB3AB1">
              <w:rPr>
                <w:rFonts w:ascii="Times New Roman" w:hAnsi="Times New Roman" w:cs="Times New Roman"/>
                <w:sz w:val="24"/>
                <w:szCs w:val="24"/>
              </w:rPr>
              <w:t>"</w:t>
            </w:r>
            <w:r w:rsidRPr="002C4A1B">
              <w:rPr>
                <w:rFonts w:ascii="Times New Roman" w:hAnsi="Times New Roman" w:cs="Times New Roman"/>
                <w:sz w:val="24"/>
                <w:szCs w:val="24"/>
              </w:rPr>
              <w:t xml:space="preserve"> FITL 1. panta otrās daļas 2. punkta izpratnē. Minētais termins pēc būtības arī sakrīt ar Gada pārskatu un konsolidēto gada pārskatu likuma 61. un 62. pantā lietoto terminoloģiju. Šāda </w:t>
            </w:r>
            <w:r w:rsidR="00FB3AB1">
              <w:rPr>
                <w:rFonts w:ascii="Times New Roman" w:hAnsi="Times New Roman" w:cs="Times New Roman"/>
                <w:sz w:val="24"/>
                <w:szCs w:val="24"/>
              </w:rPr>
              <w:t>"</w:t>
            </w:r>
            <w:r w:rsidRPr="002C4A1B">
              <w:rPr>
                <w:rFonts w:ascii="Times New Roman" w:hAnsi="Times New Roman" w:cs="Times New Roman"/>
                <w:sz w:val="24"/>
                <w:szCs w:val="24"/>
              </w:rPr>
              <w:t>meitas sabiedrības</w:t>
            </w:r>
            <w:r w:rsidR="00FB3AB1">
              <w:rPr>
                <w:rFonts w:ascii="Times New Roman" w:hAnsi="Times New Roman" w:cs="Times New Roman"/>
                <w:sz w:val="24"/>
                <w:szCs w:val="24"/>
              </w:rPr>
              <w:t>"</w:t>
            </w:r>
            <w:r w:rsidRPr="002C4A1B">
              <w:rPr>
                <w:rFonts w:ascii="Times New Roman" w:hAnsi="Times New Roman" w:cs="Times New Roman"/>
                <w:sz w:val="24"/>
                <w:szCs w:val="24"/>
              </w:rPr>
              <w:t xml:space="preserve"> izpratne ir vērsta arī uz mazākuma dalībnieku un potenciālo investoru aizsardzību, jo aptver jebkuru kontrolē esošu sabiedrību. Šāda izpratne arī atvieglos informācijas norādīšanu finanšu pārskatos, jo būs vienota izpratne par meitas sabiedrībām.</w:t>
            </w:r>
          </w:p>
          <w:p w14:paraId="3B293AEC" w14:textId="77777777" w:rsidR="006914CD" w:rsidRPr="002C4A1B" w:rsidRDefault="00443949" w:rsidP="00443949">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Direktīva (9.c panta 6. punkts) pieļauj paredzēt konkrētus izņēmumus attiecībā uz darījumu veidiem vai darījumu subjektiem. Projekts neparedz izņēmumus, jo jebkurš izņēmums samazinātu mazākuma akcionāru interešu aizsardzību. Turklāt esošais saistīto pušu darījumu regulējums pastāv jau no 2017. gada un līdz šim nav identificētas būtiskas prakses problēmas saistībā ar izņēmumu neesamību. </w:t>
            </w:r>
          </w:p>
          <w:p w14:paraId="4AD0D74B" w14:textId="77777777" w:rsidR="007D2656" w:rsidRPr="002C4A1B" w:rsidRDefault="007D2656" w:rsidP="00443949">
            <w:pPr>
              <w:spacing w:after="0" w:line="240" w:lineRule="auto"/>
              <w:ind w:firstLine="284"/>
              <w:jc w:val="both"/>
              <w:rPr>
                <w:rFonts w:ascii="Times New Roman" w:hAnsi="Times New Roman" w:cs="Times New Roman"/>
                <w:sz w:val="24"/>
                <w:szCs w:val="24"/>
              </w:rPr>
            </w:pPr>
          </w:p>
          <w:p w14:paraId="7773D49C" w14:textId="77777777" w:rsidR="007D2656" w:rsidRPr="002C4A1B" w:rsidRDefault="007D2656" w:rsidP="00443949">
            <w:pPr>
              <w:spacing w:after="0" w:line="240" w:lineRule="auto"/>
              <w:ind w:firstLine="284"/>
              <w:jc w:val="both"/>
              <w:rPr>
                <w:rFonts w:ascii="Times New Roman" w:hAnsi="Times New Roman" w:cs="Times New Roman"/>
                <w:b/>
                <w:sz w:val="24"/>
                <w:szCs w:val="24"/>
              </w:rPr>
            </w:pPr>
            <w:r w:rsidRPr="002C4A1B">
              <w:rPr>
                <w:rFonts w:ascii="Times New Roman" w:hAnsi="Times New Roman" w:cs="Times New Roman"/>
                <w:b/>
                <w:sz w:val="24"/>
                <w:szCs w:val="24"/>
              </w:rPr>
              <w:t>Balsošanas rezultāti</w:t>
            </w:r>
          </w:p>
          <w:p w14:paraId="3C4CEA57" w14:textId="2DCB6638" w:rsidR="007D2656" w:rsidRPr="002C4A1B" w:rsidRDefault="1CB73AEC" w:rsidP="1CB73AEC">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FITL 54. panta trīspadsmitā daļa šobrīd paredz stingrākas prasības nekā Direktīvas 2007/36/EK 14. panta 1. punkts, jo paredz norādīt arī akcionāru sapulcē piedalījušos balsstiesīgo akcionāru skaitu. Atbilstoši Komerclikuma 285. pantam akcionāru skaits arī nav akcionāru sapulces protokolā obligāti norādāmā informācija. Līdz ar to šāds pienākums varētu radīt papildu slogu akciju sabiedrībām. Grozījumi FITL 54. pantā paredz, ka turpmāk ir jānorāda nevis akcionāru skaits, bet tikai piedalījušos balsstiesīgo akciju skaits. Šāda prasība </w:t>
            </w:r>
            <w:r w:rsidR="00063AB4" w:rsidRPr="002C4A1B">
              <w:rPr>
                <w:rFonts w:ascii="Times New Roman" w:hAnsi="Times New Roman" w:cs="Times New Roman"/>
                <w:sz w:val="24"/>
                <w:szCs w:val="24"/>
              </w:rPr>
              <w:t>p</w:t>
            </w:r>
            <w:r w:rsidRPr="002C4A1B">
              <w:rPr>
                <w:rFonts w:ascii="Times New Roman" w:hAnsi="Times New Roman" w:cs="Times New Roman"/>
                <w:sz w:val="24"/>
                <w:szCs w:val="24"/>
              </w:rPr>
              <w:t>rojektā ietverta arī attiecībā uz balsojumu par atalgojuma politiku.</w:t>
            </w:r>
          </w:p>
          <w:p w14:paraId="35FE0010" w14:textId="77777777" w:rsidR="00FB3AB1" w:rsidRDefault="00FB3AB1" w:rsidP="1CB73AEC">
            <w:pPr>
              <w:spacing w:after="0" w:line="240" w:lineRule="auto"/>
              <w:ind w:firstLine="270"/>
              <w:jc w:val="both"/>
              <w:rPr>
                <w:rFonts w:ascii="Times New Roman" w:eastAsia="Times New Roman" w:hAnsi="Times New Roman" w:cs="Times New Roman"/>
                <w:b/>
                <w:bCs/>
                <w:sz w:val="24"/>
                <w:szCs w:val="24"/>
                <w:lang w:val="lv"/>
              </w:rPr>
            </w:pPr>
          </w:p>
          <w:p w14:paraId="55CE8BBA" w14:textId="5CDD6F27" w:rsidR="007D2656" w:rsidRPr="002C4A1B" w:rsidRDefault="1CB73AEC" w:rsidP="1CB73AEC">
            <w:pPr>
              <w:spacing w:after="0" w:line="240" w:lineRule="auto"/>
              <w:ind w:firstLine="270"/>
              <w:jc w:val="both"/>
            </w:pPr>
            <w:r w:rsidRPr="002C4A1B">
              <w:rPr>
                <w:rFonts w:ascii="Times New Roman" w:eastAsia="Times New Roman" w:hAnsi="Times New Roman" w:cs="Times New Roman"/>
                <w:b/>
                <w:bCs/>
                <w:sz w:val="24"/>
                <w:szCs w:val="24"/>
                <w:lang w:val="lv"/>
              </w:rPr>
              <w:t>Akcionāru identitātes noskaidrošana</w:t>
            </w:r>
          </w:p>
          <w:p w14:paraId="6B35E6BB" w14:textId="169CA529" w:rsidR="007D2656" w:rsidRPr="002C4A1B" w:rsidRDefault="1CB73AEC" w:rsidP="1CB73AEC">
            <w:pPr>
              <w:spacing w:after="0" w:line="240" w:lineRule="auto"/>
              <w:ind w:firstLine="270"/>
              <w:jc w:val="both"/>
            </w:pPr>
            <w:r w:rsidRPr="002C4A1B">
              <w:rPr>
                <w:rFonts w:ascii="Times New Roman" w:eastAsia="Times New Roman" w:hAnsi="Times New Roman" w:cs="Times New Roman"/>
                <w:sz w:val="24"/>
                <w:szCs w:val="24"/>
                <w:lang w:val="lv"/>
              </w:rPr>
              <w:t xml:space="preserve">Lai veicinātu akcionāru ilgtermiņa iesaisti </w:t>
            </w:r>
            <w:r w:rsidR="00E67149" w:rsidRPr="002C4A1B">
              <w:rPr>
                <w:rFonts w:ascii="Times New Roman" w:eastAsia="Times New Roman" w:hAnsi="Times New Roman" w:cs="Times New Roman"/>
                <w:sz w:val="24"/>
                <w:szCs w:val="24"/>
                <w:lang w:val="lv"/>
              </w:rPr>
              <w:t>akciju</w:t>
            </w:r>
            <w:r w:rsidR="00052720"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sabiedrību pārvaldē, projekts paredz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sabiedrībām tiesības noskaidrot savus akcionārus, kā arī iegūt to kontaktinformāciju (adresi vai e-pasta adresi, ja tāda ir pieejama, kā arī citu informāciju). Plānots,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iespējas noskaidrot savus akcionārus un tieši komunicēt ar tiem sekmēs akcionāru ilgtermiņa iesaisti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pārvaldībā. </w:t>
            </w:r>
          </w:p>
          <w:p w14:paraId="061AC199" w14:textId="21366315" w:rsidR="007D2656" w:rsidRPr="002C4A1B" w:rsidRDefault="1CB73AEC" w:rsidP="002941D8">
            <w:pPr>
              <w:spacing w:after="0" w:line="240" w:lineRule="auto"/>
              <w:ind w:firstLine="270"/>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lastRenderedPageBreak/>
              <w:t>Direktīva paredz iespēju noteikt minimālo līdzdalības slieksni attiecībā uz akcionāru identificēšanu. Šis slieksnis nevar pārsniegt 0,5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 no sabiedrības balsstiesīgo akciju skaita. Ņemot vērā Latvijā reģistrētu </w:t>
            </w:r>
            <w:r w:rsidR="002941D8"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akcionāru struktūru (lielai daļai akcionāru pieder niecīgs balsstiesīgo akciju skaits), kā arī vairumu citu dalībvalstu plānus neizmantot </w:t>
            </w:r>
            <w:r w:rsidR="009C65D1" w:rsidRPr="002C4A1B">
              <w:rPr>
                <w:rFonts w:ascii="Times New Roman" w:eastAsia="Times New Roman" w:hAnsi="Times New Roman" w:cs="Times New Roman"/>
                <w:sz w:val="24"/>
                <w:szCs w:val="24"/>
                <w:lang w:val="lv"/>
              </w:rPr>
              <w:t xml:space="preserve">Direktīvā </w:t>
            </w:r>
            <w:r w:rsidRPr="002C4A1B">
              <w:rPr>
                <w:rFonts w:ascii="Times New Roman" w:eastAsia="Times New Roman" w:hAnsi="Times New Roman" w:cs="Times New Roman"/>
                <w:sz w:val="24"/>
                <w:szCs w:val="24"/>
                <w:lang w:val="lv"/>
              </w:rPr>
              <w:t xml:space="preserve">paredzēto izvēles iespēju, projekts paredz, ka tiesības identificēt </w:t>
            </w:r>
            <w:r w:rsidR="002941D8"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akcionārus attieksies uz ikvienu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akcionāru neatkarīgi no tam piederošo balsstiesīgo akciju skaita.</w:t>
            </w:r>
            <w:r w:rsidR="00924ED2" w:rsidRPr="002C4A1B">
              <w:rPr>
                <w:rFonts w:ascii="Times New Roman" w:eastAsia="Times New Roman" w:hAnsi="Times New Roman" w:cs="Times New Roman"/>
                <w:sz w:val="24"/>
                <w:szCs w:val="24"/>
                <w:lang w:val="lv"/>
              </w:rPr>
              <w:t xml:space="preserve"> Tādējādi projekts vēr</w:t>
            </w:r>
            <w:r w:rsidR="00FF263A" w:rsidRPr="002C4A1B">
              <w:rPr>
                <w:rFonts w:ascii="Times New Roman" w:eastAsia="Times New Roman" w:hAnsi="Times New Roman" w:cs="Times New Roman"/>
                <w:sz w:val="24"/>
                <w:szCs w:val="24"/>
                <w:lang w:val="lv"/>
              </w:rPr>
              <w:t>s</w:t>
            </w:r>
            <w:r w:rsidR="00924ED2" w:rsidRPr="002C4A1B">
              <w:rPr>
                <w:rFonts w:ascii="Times New Roman" w:eastAsia="Times New Roman" w:hAnsi="Times New Roman" w:cs="Times New Roman"/>
                <w:sz w:val="24"/>
                <w:szCs w:val="24"/>
                <w:lang w:val="lv"/>
              </w:rPr>
              <w:t xml:space="preserve">ts uz to, lai arī mazākuma akcionāri tiktu aktīvāk iesaistīti akciju sabiedrību pārvaldē. </w:t>
            </w:r>
          </w:p>
          <w:p w14:paraId="1102742C" w14:textId="537AB5E6" w:rsidR="007D2656" w:rsidRPr="002C4A1B" w:rsidRDefault="1CB73AEC" w:rsidP="1CB73AEC">
            <w:pPr>
              <w:spacing w:after="0" w:line="240" w:lineRule="auto"/>
              <w:ind w:firstLine="270"/>
              <w:jc w:val="both"/>
            </w:pPr>
            <w:r w:rsidRPr="002C4A1B">
              <w:rPr>
                <w:rFonts w:ascii="Times New Roman" w:eastAsia="Times New Roman" w:hAnsi="Times New Roman" w:cs="Times New Roman"/>
                <w:sz w:val="24"/>
                <w:szCs w:val="24"/>
                <w:lang w:val="lv"/>
              </w:rPr>
              <w:t xml:space="preserve">Ievērojama daļa no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akcionāriem vēl joprojām ir iekļauti sākotnējā reģistrā, kuru uztur Nasdaq CSD SE. Proti, </w:t>
            </w:r>
            <w:r w:rsidR="002941D8" w:rsidRPr="002C4A1B">
              <w:rPr>
                <w:rFonts w:ascii="Times New Roman" w:eastAsia="Times New Roman" w:hAnsi="Times New Roman" w:cs="Times New Roman"/>
                <w:sz w:val="24"/>
                <w:szCs w:val="24"/>
                <w:lang w:val="lv"/>
              </w:rPr>
              <w:t xml:space="preserve">šajā reģistrā ir </w:t>
            </w:r>
            <w:r w:rsidRPr="002C4A1B">
              <w:rPr>
                <w:rFonts w:ascii="Times New Roman" w:eastAsia="Times New Roman" w:hAnsi="Times New Roman" w:cs="Times New Roman"/>
                <w:sz w:val="24"/>
                <w:szCs w:val="24"/>
                <w:lang w:val="lv"/>
              </w:rPr>
              <w:t>personas</w:t>
            </w:r>
            <w:r w:rsidR="002941D8" w:rsidRPr="002C4A1B">
              <w:rPr>
                <w:rFonts w:ascii="Times New Roman" w:eastAsia="Times New Roman" w:hAnsi="Times New Roman" w:cs="Times New Roman"/>
                <w:sz w:val="24"/>
                <w:szCs w:val="24"/>
                <w:lang w:val="lv"/>
              </w:rPr>
              <w:t xml:space="preserve">, kuras </w:t>
            </w:r>
            <w:r w:rsidRPr="002C4A1B">
              <w:rPr>
                <w:rFonts w:ascii="Times New Roman" w:eastAsia="Times New Roman" w:hAnsi="Times New Roman" w:cs="Times New Roman"/>
                <w:sz w:val="24"/>
                <w:szCs w:val="24"/>
                <w:lang w:val="lv"/>
              </w:rPr>
              <w:t xml:space="preserve">ir ieguvušas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akcijas</w:t>
            </w:r>
            <w:r w:rsidR="00F86942" w:rsidRPr="002C4A1B">
              <w:rPr>
                <w:rFonts w:ascii="Times New Roman" w:eastAsia="Times New Roman" w:hAnsi="Times New Roman" w:cs="Times New Roman"/>
                <w:sz w:val="24"/>
                <w:szCs w:val="24"/>
                <w:lang w:val="lv"/>
              </w:rPr>
              <w:t xml:space="preserve"> privatizācijas ietvaros notikušās</w:t>
            </w:r>
            <w:r w:rsidRPr="002C4A1B">
              <w:rPr>
                <w:rFonts w:ascii="Times New Roman" w:eastAsia="Times New Roman" w:hAnsi="Times New Roman" w:cs="Times New Roman"/>
                <w:sz w:val="24"/>
                <w:szCs w:val="24"/>
                <w:lang w:val="lv"/>
              </w:rPr>
              <w:t xml:space="preserve"> sākotnējās izvietošanas rezultātā vai pēc akciju laišanas publiskajā apgrozībā un nav šīs akcijas pārvedušas </w:t>
            </w:r>
            <w:r w:rsidR="00702DBF" w:rsidRPr="002C4A1B">
              <w:rPr>
                <w:rFonts w:ascii="Times New Roman" w:eastAsia="Times New Roman" w:hAnsi="Times New Roman" w:cs="Times New Roman"/>
                <w:sz w:val="24"/>
                <w:szCs w:val="24"/>
                <w:lang w:val="lv"/>
              </w:rPr>
              <w:t>(</w:t>
            </w:r>
            <w:proofErr w:type="spellStart"/>
            <w:r w:rsidR="00702DBF" w:rsidRPr="002C4A1B">
              <w:rPr>
                <w:rFonts w:ascii="Times New Roman" w:eastAsia="Times New Roman" w:hAnsi="Times New Roman" w:cs="Times New Roman"/>
                <w:sz w:val="24"/>
                <w:szCs w:val="24"/>
                <w:lang w:val="lv"/>
              </w:rPr>
              <w:t>dereģistrējušas</w:t>
            </w:r>
            <w:proofErr w:type="spellEnd"/>
            <w:r w:rsidR="00702DBF"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uz sev piederošu finanšu instrumentu kontu kredītiestādē vai ieguldījumu brokeru sabiedrībā. </w:t>
            </w:r>
            <w:r w:rsidR="00924ED2" w:rsidRPr="002C4A1B">
              <w:rPr>
                <w:rFonts w:ascii="Times New Roman" w:eastAsia="Times New Roman" w:hAnsi="Times New Roman" w:cs="Times New Roman"/>
                <w:sz w:val="24"/>
                <w:szCs w:val="24"/>
                <w:lang w:val="lv"/>
              </w:rPr>
              <w:t>I</w:t>
            </w:r>
            <w:r w:rsidR="0085270D" w:rsidRPr="002C4A1B">
              <w:rPr>
                <w:rFonts w:ascii="Times New Roman" w:eastAsia="Times New Roman" w:hAnsi="Times New Roman" w:cs="Times New Roman"/>
                <w:sz w:val="24"/>
                <w:szCs w:val="24"/>
                <w:lang w:val="lv"/>
              </w:rPr>
              <w:t xml:space="preserve">eraksti sākotnējā reģistrā tika veikti par akcionāriem automātiski, ja vien akcijas bija iegūtas privatizācijas vai sākotnējās izvietošanas rezultātā. </w:t>
            </w:r>
            <w:r w:rsidRPr="002C4A1B">
              <w:rPr>
                <w:rFonts w:ascii="Times New Roman" w:eastAsia="Times New Roman" w:hAnsi="Times New Roman" w:cs="Times New Roman"/>
                <w:sz w:val="24"/>
                <w:szCs w:val="24"/>
                <w:lang w:val="lv"/>
              </w:rPr>
              <w:t>Tā kā ieraksti sākotnējā reģistrā par šiem akcionāriem var būt veikti sen, tad informācija par šiem akcionāriem var būt nepilnīga vai pat neaktuāla</w:t>
            </w:r>
            <w:r w:rsidR="000E2963" w:rsidRPr="002C4A1B">
              <w:rPr>
                <w:rFonts w:ascii="Times New Roman" w:eastAsia="Times New Roman" w:hAnsi="Times New Roman" w:cs="Times New Roman"/>
                <w:sz w:val="24"/>
                <w:szCs w:val="24"/>
                <w:lang w:val="lv"/>
              </w:rPr>
              <w:t xml:space="preserve">, piemēram, </w:t>
            </w:r>
            <w:r w:rsidR="002941D8" w:rsidRPr="002C4A1B">
              <w:rPr>
                <w:rFonts w:ascii="Times New Roman" w:eastAsia="Times New Roman" w:hAnsi="Times New Roman" w:cs="Times New Roman"/>
                <w:sz w:val="24"/>
                <w:szCs w:val="24"/>
                <w:lang w:val="lv"/>
              </w:rPr>
              <w:t xml:space="preserve">persona, kurai akcijas savulaik piederēja, ir mirusi, bet </w:t>
            </w:r>
            <w:r w:rsidR="000E2963" w:rsidRPr="002C4A1B">
              <w:rPr>
                <w:rFonts w:ascii="Times New Roman" w:eastAsia="Times New Roman" w:hAnsi="Times New Roman" w:cs="Times New Roman"/>
                <w:sz w:val="24"/>
                <w:szCs w:val="24"/>
                <w:lang w:val="lv"/>
              </w:rPr>
              <w:t xml:space="preserve">mantinieks nezina par </w:t>
            </w:r>
            <w:r w:rsidR="002941D8" w:rsidRPr="002C4A1B">
              <w:rPr>
                <w:rFonts w:ascii="Times New Roman" w:eastAsia="Times New Roman" w:hAnsi="Times New Roman" w:cs="Times New Roman"/>
                <w:sz w:val="24"/>
                <w:szCs w:val="24"/>
                <w:lang w:val="lv"/>
              </w:rPr>
              <w:t xml:space="preserve">šādu </w:t>
            </w:r>
            <w:r w:rsidR="000E2963" w:rsidRPr="002C4A1B">
              <w:rPr>
                <w:rFonts w:ascii="Times New Roman" w:eastAsia="Times New Roman" w:hAnsi="Times New Roman" w:cs="Times New Roman"/>
                <w:sz w:val="24"/>
                <w:szCs w:val="24"/>
                <w:lang w:val="lv"/>
              </w:rPr>
              <w:t xml:space="preserve">mantojumu, </w:t>
            </w:r>
            <w:r w:rsidR="00C23BBD" w:rsidRPr="002C4A1B">
              <w:rPr>
                <w:rFonts w:ascii="Times New Roman" w:eastAsia="Times New Roman" w:hAnsi="Times New Roman" w:cs="Times New Roman"/>
                <w:sz w:val="24"/>
                <w:szCs w:val="24"/>
                <w:lang w:val="lv"/>
              </w:rPr>
              <w:t xml:space="preserve">mainījusies </w:t>
            </w:r>
            <w:r w:rsidR="002941D8" w:rsidRPr="002C4A1B">
              <w:rPr>
                <w:rFonts w:ascii="Times New Roman" w:eastAsia="Times New Roman" w:hAnsi="Times New Roman" w:cs="Times New Roman"/>
                <w:sz w:val="24"/>
                <w:szCs w:val="24"/>
                <w:lang w:val="lv"/>
              </w:rPr>
              <w:t xml:space="preserve">personas </w:t>
            </w:r>
            <w:r w:rsidR="000E2963" w:rsidRPr="002C4A1B">
              <w:rPr>
                <w:rFonts w:ascii="Times New Roman" w:eastAsia="Times New Roman" w:hAnsi="Times New Roman" w:cs="Times New Roman"/>
                <w:sz w:val="24"/>
                <w:szCs w:val="24"/>
                <w:lang w:val="lv"/>
              </w:rPr>
              <w:t>kontaktinformācija</w:t>
            </w:r>
            <w:r w:rsidR="002941D8" w:rsidRPr="002C4A1B">
              <w:rPr>
                <w:rFonts w:ascii="Times New Roman" w:eastAsia="Times New Roman" w:hAnsi="Times New Roman" w:cs="Times New Roman"/>
                <w:sz w:val="24"/>
                <w:szCs w:val="24"/>
                <w:lang w:val="lv"/>
              </w:rPr>
              <w:t xml:space="preserve"> vai arī uzvārds</w:t>
            </w:r>
            <w:r w:rsidRPr="002C4A1B">
              <w:rPr>
                <w:rFonts w:ascii="Times New Roman" w:eastAsia="Times New Roman" w:hAnsi="Times New Roman" w:cs="Times New Roman"/>
                <w:sz w:val="24"/>
                <w:szCs w:val="24"/>
                <w:lang w:val="lv"/>
              </w:rPr>
              <w:t xml:space="preserve">. Līdz ar to var būt situācijas, kad Nasdaq CSD SE kā par sākotnējā reģistra uzturēšanu atbildīgā iestāde nevar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sabiedrībai sniegt to informāciju par akcionāriem, kas izriet no Komisijas 2018.</w:t>
            </w:r>
            <w:r w:rsidR="00052720" w:rsidRPr="002C4A1B">
              <w:rPr>
                <w:rFonts w:ascii="Times New Roman" w:eastAsia="Times New Roman" w:hAnsi="Times New Roman" w:cs="Times New Roman"/>
                <w:sz w:val="24"/>
                <w:szCs w:val="24"/>
                <w:lang w:val="lv"/>
              </w:rPr>
              <w:t> </w:t>
            </w:r>
            <w:r w:rsidR="29AE8489" w:rsidRPr="002C4A1B">
              <w:rPr>
                <w:rFonts w:ascii="Times New Roman" w:eastAsia="Times New Roman" w:hAnsi="Times New Roman" w:cs="Times New Roman"/>
                <w:sz w:val="24"/>
                <w:szCs w:val="24"/>
                <w:lang w:val="lv"/>
              </w:rPr>
              <w:t xml:space="preserve">gada 3. septembra </w:t>
            </w:r>
            <w:r w:rsidR="00EC502F">
              <w:rPr>
                <w:rFonts w:ascii="Times New Roman" w:eastAsia="Times New Roman" w:hAnsi="Times New Roman" w:cs="Times New Roman"/>
                <w:sz w:val="24"/>
                <w:szCs w:val="24"/>
                <w:lang w:val="lv"/>
              </w:rPr>
              <w:t>Ī</w:t>
            </w:r>
            <w:r w:rsidRPr="002C4A1B">
              <w:rPr>
                <w:rFonts w:ascii="Times New Roman" w:eastAsia="Times New Roman" w:hAnsi="Times New Roman" w:cs="Times New Roman"/>
                <w:sz w:val="24"/>
                <w:szCs w:val="24"/>
                <w:lang w:val="lv"/>
              </w:rPr>
              <w:t>stenošanas regulas 2018/1212</w:t>
            </w:r>
            <w:r w:rsidR="00264B18" w:rsidRPr="002C4A1B">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 xml:space="preserve"> ar ko nosaka minimālās prasības, lai attiecībā uz akcionāru identifikāciju, informācijas nodošanu un akcionāru tiesību izmantošanas veicināšanu īstenotu Eiropas Parlamenta un Padomes Direktīvu 2007/36/EK (turpmāk - Īstenošanas regula).</w:t>
            </w:r>
            <w:r w:rsidRPr="002C4A1B">
              <w:rPr>
                <w:rFonts w:ascii="Times New Roman" w:eastAsia="Times New Roman" w:hAnsi="Times New Roman" w:cs="Times New Roman"/>
                <w:b/>
                <w:bCs/>
                <w:sz w:val="24"/>
                <w:szCs w:val="24"/>
                <w:lang w:val="lv"/>
              </w:rPr>
              <w:t xml:space="preserve"> </w:t>
            </w:r>
            <w:r w:rsidRPr="002C4A1B">
              <w:rPr>
                <w:rFonts w:ascii="Times New Roman" w:eastAsia="Times New Roman" w:hAnsi="Times New Roman" w:cs="Times New Roman"/>
                <w:sz w:val="24"/>
                <w:szCs w:val="24"/>
                <w:lang w:val="lv"/>
              </w:rPr>
              <w:t xml:space="preserve">Līdz ar to Nasdaq CSD SE informāciju par sākotnējā reģistrā iekļautajiem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sabiedrību akcionāriem var sniegt tikai tādā apjomā, kādā Nasdaq CSD šī informācija ir pieejama.</w:t>
            </w:r>
          </w:p>
          <w:p w14:paraId="00D54CE6" w14:textId="294DF791" w:rsidR="007D2656" w:rsidRPr="002C4A1B" w:rsidRDefault="1CB73AEC" w:rsidP="00312898">
            <w:pPr>
              <w:spacing w:after="0" w:line="240" w:lineRule="auto"/>
              <w:ind w:firstLine="270"/>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ir tiesības prasīt informāciju par tās akcionāriem no jebkura starpnieku ķēdē esoša starpnieka (finanšu instrumentu konta uzturētāja). Ja akcijas tiek turētas ar vairāku starpnieku starpniecību, tad pēc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pieprasījuma šī informācija secīgi starpnieku ķēdes ietvaros tiek nodota nākamajam starpniekam. Ja starpniekam ir informācija par </w:t>
            </w:r>
            <w:r w:rsidR="00052720" w:rsidRPr="002C4A1B">
              <w:rPr>
                <w:rFonts w:ascii="Times New Roman" w:eastAsia="Times New Roman" w:hAnsi="Times New Roman" w:cs="Times New Roman"/>
                <w:sz w:val="24"/>
                <w:szCs w:val="24"/>
                <w:lang w:val="lv"/>
              </w:rPr>
              <w:t xml:space="preserve">akciju </w:t>
            </w:r>
            <w:r w:rsidR="27962BB6" w:rsidRPr="002C4A1B">
              <w:rPr>
                <w:rFonts w:ascii="Times New Roman" w:eastAsia="Times New Roman" w:hAnsi="Times New Roman" w:cs="Times New Roman"/>
                <w:sz w:val="24"/>
                <w:szCs w:val="24"/>
                <w:lang w:val="lv"/>
              </w:rPr>
              <w:t>sabiedrības</w:t>
            </w:r>
            <w:r w:rsidRPr="002C4A1B">
              <w:rPr>
                <w:rFonts w:ascii="Times New Roman" w:eastAsia="Times New Roman" w:hAnsi="Times New Roman" w:cs="Times New Roman"/>
                <w:sz w:val="24"/>
                <w:szCs w:val="24"/>
                <w:lang w:val="lv"/>
              </w:rPr>
              <w:t xml:space="preserve"> akcionāru, tas šo informāciju nodod tieši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vai </w:t>
            </w:r>
            <w:r w:rsidR="00052720" w:rsidRPr="002C4A1B">
              <w:rPr>
                <w:rFonts w:ascii="Times New Roman" w:eastAsia="Times New Roman" w:hAnsi="Times New Roman" w:cs="Times New Roman"/>
                <w:sz w:val="24"/>
                <w:szCs w:val="24"/>
                <w:lang w:val="lv"/>
              </w:rPr>
              <w:t>tās</w:t>
            </w:r>
            <w:r w:rsidRPr="002C4A1B">
              <w:rPr>
                <w:rFonts w:ascii="Times New Roman" w:eastAsia="Times New Roman" w:hAnsi="Times New Roman" w:cs="Times New Roman"/>
                <w:sz w:val="24"/>
                <w:szCs w:val="24"/>
                <w:lang w:val="lv"/>
              </w:rPr>
              <w:t xml:space="preserve"> pilnvarotai personai. Vienlaikus ar projektu ieviesta </w:t>
            </w:r>
            <w:r w:rsidR="00EA01D2" w:rsidRPr="002C4A1B">
              <w:rPr>
                <w:rFonts w:ascii="Times New Roman" w:eastAsia="Times New Roman" w:hAnsi="Times New Roman" w:cs="Times New Roman"/>
                <w:sz w:val="24"/>
                <w:szCs w:val="24"/>
                <w:lang w:val="lv"/>
              </w:rPr>
              <w:t xml:space="preserve">Direktīvā </w:t>
            </w:r>
            <w:r w:rsidRPr="002C4A1B">
              <w:rPr>
                <w:rFonts w:ascii="Times New Roman" w:eastAsia="Times New Roman" w:hAnsi="Times New Roman" w:cs="Times New Roman"/>
                <w:sz w:val="24"/>
                <w:szCs w:val="24"/>
                <w:lang w:val="lv"/>
              </w:rPr>
              <w:t xml:space="preserve">paredzētā iespēja noteikt centrālo vērstpapīru depozitāriju, kurā sākotnēji iegrāmatotas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lastRenderedPageBreak/>
              <w:t xml:space="preserve">sabiedrības akcijas, kā atbildīgo </w:t>
            </w:r>
            <w:r w:rsidR="0F31D732" w:rsidRPr="002C4A1B">
              <w:rPr>
                <w:rFonts w:ascii="Times New Roman" w:eastAsia="Times New Roman" w:hAnsi="Times New Roman" w:cs="Times New Roman"/>
                <w:sz w:val="24"/>
                <w:szCs w:val="24"/>
                <w:lang w:val="lv"/>
              </w:rPr>
              <w:t>a</w:t>
            </w:r>
            <w:r w:rsidR="5C054864" w:rsidRPr="002C4A1B">
              <w:rPr>
                <w:rFonts w:ascii="Times New Roman" w:eastAsia="Times New Roman" w:hAnsi="Times New Roman" w:cs="Times New Roman"/>
                <w:sz w:val="24"/>
                <w:szCs w:val="24"/>
                <w:lang w:val="lv"/>
              </w:rPr>
              <w:t>ttiecībā uz akcionāru identificējošās informācijas apkopošanu</w:t>
            </w:r>
            <w:r w:rsidRPr="002C4A1B">
              <w:rPr>
                <w:rFonts w:ascii="Times New Roman" w:eastAsia="Times New Roman" w:hAnsi="Times New Roman" w:cs="Times New Roman"/>
                <w:sz w:val="24"/>
                <w:szCs w:val="24"/>
                <w:lang w:val="lv"/>
              </w:rPr>
              <w:t xml:space="preserve">. Lai gan šī ir dalībvalsts izvēle, secināms, ka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pieprasot informāciju no ķēdē esošiem starpniekiem, būtu ļoti sarežģīti vai pat neiespējami noskaidrot visus savus akcionārus. Proti,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 akcionāru identificēšanā var "izlaist" centrālo vērtspapīru depozitāriju un ar </w:t>
            </w:r>
            <w:r w:rsidR="00F81FF6" w:rsidRPr="002C4A1B">
              <w:rPr>
                <w:rFonts w:ascii="Times New Roman" w:eastAsia="Times New Roman" w:hAnsi="Times New Roman" w:cs="Times New Roman"/>
                <w:sz w:val="24"/>
                <w:szCs w:val="24"/>
                <w:lang w:val="lv"/>
              </w:rPr>
              <w:t xml:space="preserve">informācijas pieprasījumu </w:t>
            </w:r>
            <w:r w:rsidRPr="002C4A1B">
              <w:rPr>
                <w:rFonts w:ascii="Times New Roman" w:eastAsia="Times New Roman" w:hAnsi="Times New Roman" w:cs="Times New Roman"/>
                <w:sz w:val="24"/>
                <w:szCs w:val="24"/>
                <w:lang w:val="lv"/>
              </w:rPr>
              <w:t>vērsties pie katra centrālā vērtspapīru depozitārija dalībnieka (</w:t>
            </w:r>
            <w:hyperlink r:id="rId9">
              <w:r w:rsidRPr="002C4A1B">
                <w:rPr>
                  <w:rStyle w:val="Hipersaite"/>
                  <w:rFonts w:ascii="Times New Roman" w:eastAsia="Times New Roman" w:hAnsi="Times New Roman" w:cs="Times New Roman"/>
                  <w:color w:val="0000FF"/>
                  <w:sz w:val="24"/>
                  <w:szCs w:val="24"/>
                  <w:lang w:val="lv"/>
                </w:rPr>
                <w:t>https://nasdaqcsd.com/services/services-to-account-operators/list-of-account-operators/</w:t>
              </w:r>
            </w:hyperlink>
            <w:r w:rsidR="006E25DF" w:rsidRPr="002C4A1B">
              <w:rPr>
                <w:rFonts w:ascii="Times New Roman" w:eastAsia="Times New Roman" w:hAnsi="Times New Roman" w:cs="Times New Roman"/>
                <w:color w:val="000000" w:themeColor="text1"/>
                <w:sz w:val="24"/>
                <w:szCs w:val="24"/>
                <w:lang w:val="lv"/>
              </w:rPr>
              <w:t>)</w:t>
            </w:r>
            <w:r w:rsidR="00273E91" w:rsidRPr="002C4A1B">
              <w:rPr>
                <w:rFonts w:ascii="Times New Roman" w:eastAsia="Times New Roman" w:hAnsi="Times New Roman" w:cs="Times New Roman"/>
                <w:color w:val="000000" w:themeColor="text1"/>
                <w:sz w:val="24"/>
                <w:szCs w:val="24"/>
                <w:lang w:val="lv"/>
              </w:rPr>
              <w:t xml:space="preserve">. Turklāt </w:t>
            </w:r>
            <w:r w:rsidR="0085270D" w:rsidRPr="002C4A1B">
              <w:rPr>
                <w:rFonts w:ascii="Times New Roman" w:eastAsia="Times New Roman" w:hAnsi="Times New Roman" w:cs="Times New Roman"/>
                <w:color w:val="000000" w:themeColor="text1"/>
                <w:sz w:val="24"/>
                <w:szCs w:val="24"/>
                <w:lang w:val="lv"/>
              </w:rPr>
              <w:t xml:space="preserve">ne pie visiem </w:t>
            </w:r>
            <w:r w:rsidR="00273E91" w:rsidRPr="002C4A1B">
              <w:rPr>
                <w:rFonts w:ascii="Times New Roman" w:eastAsia="Times New Roman" w:hAnsi="Times New Roman" w:cs="Times New Roman"/>
                <w:color w:val="000000" w:themeColor="text1"/>
                <w:sz w:val="24"/>
                <w:szCs w:val="24"/>
                <w:lang w:val="lv"/>
              </w:rPr>
              <w:t xml:space="preserve">centrālā vērtspapīru depozitārija </w:t>
            </w:r>
            <w:r w:rsidR="0085270D" w:rsidRPr="002C4A1B">
              <w:rPr>
                <w:rFonts w:ascii="Times New Roman" w:eastAsia="Times New Roman" w:hAnsi="Times New Roman" w:cs="Times New Roman"/>
                <w:color w:val="000000" w:themeColor="text1"/>
                <w:sz w:val="24"/>
                <w:szCs w:val="24"/>
                <w:lang w:val="lv"/>
              </w:rPr>
              <w:t>dalībniekiem vienmēr tiks turētas konkrētas akciju sabiedrības akcijas</w:t>
            </w:r>
            <w:r w:rsidR="00273E91" w:rsidRPr="002C4A1B">
              <w:rPr>
                <w:rFonts w:ascii="Times New Roman" w:eastAsia="Times New Roman" w:hAnsi="Times New Roman" w:cs="Times New Roman"/>
                <w:color w:val="000000" w:themeColor="text1"/>
                <w:sz w:val="24"/>
                <w:szCs w:val="24"/>
                <w:lang w:val="lv"/>
              </w:rPr>
              <w:t>. Tādējādi,</w:t>
            </w:r>
            <w:r w:rsidR="0085270D" w:rsidRPr="002C4A1B">
              <w:rPr>
                <w:rFonts w:ascii="Times New Roman" w:eastAsia="Times New Roman" w:hAnsi="Times New Roman" w:cs="Times New Roman"/>
                <w:color w:val="000000" w:themeColor="text1"/>
                <w:sz w:val="24"/>
                <w:szCs w:val="24"/>
                <w:lang w:val="lv"/>
              </w:rPr>
              <w:t xml:space="preserve"> </w:t>
            </w:r>
            <w:r w:rsidR="00273E91" w:rsidRPr="002C4A1B">
              <w:rPr>
                <w:rFonts w:ascii="Times New Roman" w:eastAsia="Times New Roman" w:hAnsi="Times New Roman" w:cs="Times New Roman"/>
                <w:color w:val="000000" w:themeColor="text1"/>
                <w:sz w:val="24"/>
                <w:szCs w:val="24"/>
                <w:lang w:val="lv"/>
              </w:rPr>
              <w:t>informācijas pieprasīšana no</w:t>
            </w:r>
            <w:r w:rsidR="0085270D" w:rsidRPr="002C4A1B">
              <w:rPr>
                <w:rFonts w:ascii="Times New Roman" w:eastAsia="Times New Roman" w:hAnsi="Times New Roman" w:cs="Times New Roman"/>
                <w:color w:val="000000" w:themeColor="text1"/>
                <w:sz w:val="24"/>
                <w:szCs w:val="24"/>
                <w:lang w:val="lv"/>
              </w:rPr>
              <w:t xml:space="preserve"> visiem dalībniekiem, var būt lieks administratīvais slogs</w:t>
            </w:r>
            <w:r w:rsidR="006E25DF" w:rsidRPr="002C4A1B">
              <w:rPr>
                <w:rFonts w:ascii="Times New Roman" w:eastAsia="Times New Roman" w:hAnsi="Times New Roman" w:cs="Times New Roman"/>
                <w:color w:val="000000" w:themeColor="text1"/>
                <w:sz w:val="24"/>
                <w:szCs w:val="24"/>
                <w:lang w:val="lv"/>
              </w:rPr>
              <w:t>. G</w:t>
            </w:r>
            <w:r w:rsidRPr="002C4A1B">
              <w:rPr>
                <w:rFonts w:ascii="Times New Roman" w:eastAsia="Times New Roman" w:hAnsi="Times New Roman" w:cs="Times New Roman"/>
                <w:color w:val="000000" w:themeColor="text1"/>
                <w:sz w:val="24"/>
                <w:szCs w:val="24"/>
                <w:lang w:val="lv"/>
              </w:rPr>
              <w:t>arākas starpnieku ķēdes gadījumā akciju sabiedrībai</w:t>
            </w:r>
            <w:r w:rsidR="006E25DF" w:rsidRPr="002C4A1B">
              <w:rPr>
                <w:rFonts w:ascii="Times New Roman" w:eastAsia="Times New Roman" w:hAnsi="Times New Roman" w:cs="Times New Roman"/>
                <w:color w:val="000000" w:themeColor="text1"/>
                <w:sz w:val="24"/>
                <w:szCs w:val="24"/>
                <w:lang w:val="lv"/>
              </w:rPr>
              <w:t xml:space="preserve"> būs</w:t>
            </w:r>
            <w:r w:rsidRPr="002C4A1B">
              <w:rPr>
                <w:rFonts w:ascii="Times New Roman" w:eastAsia="Times New Roman" w:hAnsi="Times New Roman" w:cs="Times New Roman"/>
                <w:color w:val="000000" w:themeColor="text1"/>
                <w:sz w:val="24"/>
                <w:szCs w:val="24"/>
                <w:lang w:val="lv"/>
              </w:rPr>
              <w:t xml:space="preserve"> </w:t>
            </w:r>
            <w:r w:rsidR="006E25DF" w:rsidRPr="002C4A1B">
              <w:rPr>
                <w:rFonts w:ascii="Times New Roman" w:eastAsia="Times New Roman" w:hAnsi="Times New Roman" w:cs="Times New Roman"/>
                <w:color w:val="000000" w:themeColor="text1"/>
                <w:sz w:val="24"/>
                <w:szCs w:val="24"/>
                <w:lang w:val="lv"/>
              </w:rPr>
              <w:t xml:space="preserve">sarežģīti iegūt </w:t>
            </w:r>
            <w:r w:rsidR="00DF2B60" w:rsidRPr="002C4A1B">
              <w:rPr>
                <w:rFonts w:ascii="Times New Roman" w:eastAsia="Times New Roman" w:hAnsi="Times New Roman" w:cs="Times New Roman"/>
                <w:color w:val="000000" w:themeColor="text1"/>
                <w:sz w:val="24"/>
                <w:szCs w:val="24"/>
                <w:lang w:val="lv"/>
              </w:rPr>
              <w:t>informācij</w:t>
            </w:r>
            <w:r w:rsidR="006E25DF" w:rsidRPr="002C4A1B">
              <w:rPr>
                <w:rFonts w:ascii="Times New Roman" w:eastAsia="Times New Roman" w:hAnsi="Times New Roman" w:cs="Times New Roman"/>
                <w:color w:val="000000" w:themeColor="text1"/>
                <w:sz w:val="24"/>
                <w:szCs w:val="24"/>
                <w:lang w:val="lv"/>
              </w:rPr>
              <w:t>u</w:t>
            </w:r>
            <w:r w:rsidR="00DF2B60" w:rsidRPr="002C4A1B">
              <w:rPr>
                <w:rFonts w:ascii="Times New Roman" w:eastAsia="Times New Roman" w:hAnsi="Times New Roman" w:cs="Times New Roman"/>
                <w:color w:val="000000" w:themeColor="text1"/>
                <w:sz w:val="24"/>
                <w:szCs w:val="24"/>
                <w:lang w:val="lv"/>
              </w:rPr>
              <w:t xml:space="preserve"> par to, kas ir </w:t>
            </w:r>
            <w:r w:rsidR="00A1156F" w:rsidRPr="002C4A1B">
              <w:rPr>
                <w:rFonts w:ascii="Times New Roman" w:eastAsia="Times New Roman" w:hAnsi="Times New Roman" w:cs="Times New Roman"/>
                <w:color w:val="000000" w:themeColor="text1"/>
                <w:sz w:val="24"/>
                <w:szCs w:val="24"/>
                <w:lang w:val="lv"/>
              </w:rPr>
              <w:t xml:space="preserve">nākamie starpnieki </w:t>
            </w:r>
            <w:r w:rsidR="00DF2B60" w:rsidRPr="002C4A1B">
              <w:rPr>
                <w:rFonts w:ascii="Times New Roman" w:eastAsia="Times New Roman" w:hAnsi="Times New Roman" w:cs="Times New Roman"/>
                <w:color w:val="000000" w:themeColor="text1"/>
                <w:sz w:val="24"/>
                <w:szCs w:val="24"/>
                <w:lang w:val="lv"/>
              </w:rPr>
              <w:t>pēc centrālā vērtspapīru depozitārija un tā dalībniekiem</w:t>
            </w:r>
            <w:r w:rsidR="00273E91" w:rsidRPr="002C4A1B">
              <w:rPr>
                <w:rFonts w:ascii="Times New Roman" w:eastAsia="Times New Roman" w:hAnsi="Times New Roman" w:cs="Times New Roman"/>
                <w:color w:val="000000" w:themeColor="text1"/>
                <w:sz w:val="24"/>
                <w:szCs w:val="24"/>
                <w:lang w:val="lv"/>
              </w:rPr>
              <w:t xml:space="preserve">. Tāpat </w:t>
            </w:r>
            <w:r w:rsidR="0085270D" w:rsidRPr="002C4A1B">
              <w:rPr>
                <w:rFonts w:ascii="Times New Roman" w:eastAsia="Times New Roman" w:hAnsi="Times New Roman" w:cs="Times New Roman"/>
                <w:color w:val="000000" w:themeColor="text1"/>
                <w:sz w:val="24"/>
                <w:szCs w:val="24"/>
                <w:lang w:val="lv"/>
              </w:rPr>
              <w:t>jāņem vērā, ka starpnieku ķēdē esošie starpnieki var atrasties dažādās valstīs</w:t>
            </w:r>
            <w:r w:rsidR="00DF2B60"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 xml:space="preserve">Līdz ar to </w:t>
            </w:r>
            <w:r w:rsidR="00052720" w:rsidRPr="002C4A1B">
              <w:rPr>
                <w:rFonts w:ascii="Times New Roman" w:eastAsia="Times New Roman" w:hAnsi="Times New Roman" w:cs="Times New Roman"/>
                <w:color w:val="000000" w:themeColor="text1"/>
                <w:sz w:val="24"/>
                <w:szCs w:val="24"/>
                <w:lang w:val="lv"/>
              </w:rPr>
              <w:t xml:space="preserve">akciju </w:t>
            </w:r>
            <w:r w:rsidRPr="002C4A1B">
              <w:rPr>
                <w:rFonts w:ascii="Times New Roman" w:eastAsia="Times New Roman" w:hAnsi="Times New Roman" w:cs="Times New Roman"/>
                <w:color w:val="000000" w:themeColor="text1"/>
                <w:sz w:val="24"/>
                <w:szCs w:val="24"/>
                <w:lang w:val="lv"/>
              </w:rPr>
              <w:t>sabiedrībai būtu jāiegulda lieli resursi, lai noskaidrotu visus iespējamos starpniekus, kuri tur attiecīgās sabiedrības akcijas</w:t>
            </w:r>
            <w:r w:rsidR="005C4CD7" w:rsidRPr="002C4A1B">
              <w:rPr>
                <w:rFonts w:ascii="Times New Roman" w:eastAsia="Times New Roman" w:hAnsi="Times New Roman" w:cs="Times New Roman"/>
                <w:color w:val="000000" w:themeColor="text1"/>
                <w:sz w:val="24"/>
                <w:szCs w:val="24"/>
                <w:lang w:val="lv"/>
              </w:rPr>
              <w:t>. Tādējādi</w:t>
            </w:r>
            <w:r w:rsidR="00D97387" w:rsidRPr="002C4A1B">
              <w:rPr>
                <w:rFonts w:ascii="Times New Roman" w:eastAsia="Times New Roman" w:hAnsi="Times New Roman" w:cs="Times New Roman"/>
                <w:color w:val="000000" w:themeColor="text1"/>
                <w:sz w:val="24"/>
                <w:szCs w:val="24"/>
                <w:lang w:val="lv"/>
              </w:rPr>
              <w:t xml:space="preserve">, </w:t>
            </w:r>
            <w:r w:rsidR="005C4CD7" w:rsidRPr="002C4A1B">
              <w:rPr>
                <w:rFonts w:ascii="Times New Roman" w:eastAsia="Times New Roman" w:hAnsi="Times New Roman" w:cs="Times New Roman"/>
                <w:color w:val="000000" w:themeColor="text1"/>
                <w:sz w:val="24"/>
                <w:szCs w:val="24"/>
                <w:lang w:val="lv"/>
              </w:rPr>
              <w:t xml:space="preserve">akciju sabiedrībai </w:t>
            </w:r>
            <w:r w:rsidR="0001792B" w:rsidRPr="002C4A1B">
              <w:rPr>
                <w:rFonts w:ascii="Times New Roman" w:eastAsia="Times New Roman" w:hAnsi="Times New Roman" w:cs="Times New Roman"/>
                <w:color w:val="000000" w:themeColor="text1"/>
                <w:sz w:val="24"/>
                <w:szCs w:val="24"/>
                <w:lang w:val="lv"/>
              </w:rPr>
              <w:t xml:space="preserve">pieprasot informāciju no starpniekiem, kas seko pēc centrālā vērtspapīru depozitārija un tā dalībniekiem, </w:t>
            </w:r>
            <w:r w:rsidR="005C4CD7" w:rsidRPr="002C4A1B">
              <w:rPr>
                <w:rFonts w:ascii="Times New Roman" w:eastAsia="Times New Roman" w:hAnsi="Times New Roman" w:cs="Times New Roman"/>
                <w:color w:val="000000" w:themeColor="text1"/>
                <w:sz w:val="24"/>
                <w:szCs w:val="24"/>
                <w:lang w:val="lv"/>
              </w:rPr>
              <w:t>b</w:t>
            </w:r>
            <w:r w:rsidR="00422B60" w:rsidRPr="002C4A1B">
              <w:rPr>
                <w:rFonts w:ascii="Times New Roman" w:eastAsia="Times New Roman" w:hAnsi="Times New Roman" w:cs="Times New Roman"/>
                <w:color w:val="000000" w:themeColor="text1"/>
                <w:sz w:val="24"/>
                <w:szCs w:val="24"/>
                <w:lang w:val="lv"/>
              </w:rPr>
              <w:t>ūtu</w:t>
            </w:r>
            <w:r w:rsidR="006E25DF" w:rsidRPr="002C4A1B">
              <w:rPr>
                <w:rFonts w:ascii="Times New Roman" w:eastAsia="Times New Roman" w:hAnsi="Times New Roman" w:cs="Times New Roman"/>
                <w:color w:val="000000" w:themeColor="text1"/>
                <w:sz w:val="24"/>
                <w:szCs w:val="24"/>
                <w:lang w:val="lv"/>
              </w:rPr>
              <w:t xml:space="preserve"> </w:t>
            </w:r>
            <w:r w:rsidR="00461444" w:rsidRPr="002C4A1B">
              <w:rPr>
                <w:rFonts w:ascii="Times New Roman" w:eastAsia="Times New Roman" w:hAnsi="Times New Roman" w:cs="Times New Roman"/>
                <w:color w:val="000000" w:themeColor="text1"/>
                <w:sz w:val="24"/>
                <w:szCs w:val="24"/>
                <w:lang w:val="lv"/>
              </w:rPr>
              <w:t xml:space="preserve">arī </w:t>
            </w:r>
            <w:r w:rsidR="006E25DF" w:rsidRPr="002C4A1B">
              <w:rPr>
                <w:rFonts w:ascii="Times New Roman" w:eastAsia="Times New Roman" w:hAnsi="Times New Roman" w:cs="Times New Roman"/>
                <w:color w:val="000000" w:themeColor="text1"/>
                <w:sz w:val="24"/>
                <w:szCs w:val="24"/>
                <w:lang w:val="lv"/>
              </w:rPr>
              <w:t xml:space="preserve">praktiski </w:t>
            </w:r>
            <w:r w:rsidR="00826198" w:rsidRPr="002C4A1B">
              <w:rPr>
                <w:rFonts w:ascii="Times New Roman" w:eastAsia="Times New Roman" w:hAnsi="Times New Roman" w:cs="Times New Roman"/>
                <w:color w:val="000000" w:themeColor="text1"/>
                <w:sz w:val="24"/>
                <w:szCs w:val="24"/>
                <w:lang w:val="lv"/>
              </w:rPr>
              <w:t xml:space="preserve">sarežģīti </w:t>
            </w:r>
            <w:r w:rsidR="0085270D" w:rsidRPr="002C4A1B">
              <w:rPr>
                <w:rFonts w:ascii="Times New Roman" w:eastAsia="Times New Roman" w:hAnsi="Times New Roman" w:cs="Times New Roman"/>
                <w:color w:val="000000" w:themeColor="text1"/>
                <w:sz w:val="24"/>
                <w:szCs w:val="24"/>
                <w:lang w:val="lv"/>
              </w:rPr>
              <w:t xml:space="preserve">un laikietilpīgi </w:t>
            </w:r>
            <w:r w:rsidR="006E25DF" w:rsidRPr="002C4A1B">
              <w:rPr>
                <w:rFonts w:ascii="Times New Roman" w:eastAsia="Times New Roman" w:hAnsi="Times New Roman" w:cs="Times New Roman"/>
                <w:color w:val="000000" w:themeColor="text1"/>
                <w:sz w:val="24"/>
                <w:szCs w:val="24"/>
                <w:lang w:val="lv"/>
              </w:rPr>
              <w:t>realizēt akcionāru identitātes noskaidrošanu</w:t>
            </w:r>
            <w:r w:rsidR="005C4CD7" w:rsidRPr="002C4A1B">
              <w:rPr>
                <w:rFonts w:ascii="Times New Roman" w:eastAsia="Times New Roman" w:hAnsi="Times New Roman" w:cs="Times New Roman"/>
                <w:color w:val="000000" w:themeColor="text1"/>
                <w:sz w:val="24"/>
                <w:szCs w:val="24"/>
                <w:lang w:val="lv"/>
              </w:rPr>
              <w:t>.</w:t>
            </w:r>
            <w:r w:rsidR="0001792B" w:rsidRPr="002C4A1B">
              <w:rPr>
                <w:rFonts w:ascii="Times New Roman" w:eastAsia="Times New Roman" w:hAnsi="Times New Roman" w:cs="Times New Roman"/>
                <w:color w:val="000000" w:themeColor="text1"/>
                <w:sz w:val="24"/>
                <w:szCs w:val="24"/>
                <w:lang w:val="lv"/>
              </w:rPr>
              <w:t xml:space="preserve"> Informācija būtu jāpieprasa no visiem starpniekiem, lai nodrošinātu, ka </w:t>
            </w:r>
            <w:r w:rsidR="00E870D7" w:rsidRPr="002C4A1B">
              <w:rPr>
                <w:rFonts w:ascii="Times New Roman" w:eastAsia="Times New Roman" w:hAnsi="Times New Roman" w:cs="Times New Roman"/>
                <w:color w:val="000000" w:themeColor="text1"/>
                <w:sz w:val="24"/>
                <w:szCs w:val="24"/>
                <w:lang w:val="lv"/>
              </w:rPr>
              <w:t>neviens starpnieks nav izlaists</w:t>
            </w:r>
            <w:r w:rsidR="0001792B" w:rsidRPr="002C4A1B">
              <w:rPr>
                <w:rFonts w:ascii="Times New Roman" w:eastAsia="Times New Roman" w:hAnsi="Times New Roman" w:cs="Times New Roman"/>
                <w:color w:val="000000" w:themeColor="text1"/>
                <w:sz w:val="24"/>
                <w:szCs w:val="24"/>
                <w:lang w:val="lv"/>
              </w:rPr>
              <w:t xml:space="preserve"> un ir iegūta pilnīga informācija par akciju sabiedrības akcionāriem.</w:t>
            </w:r>
            <w:r w:rsidR="00E870D7"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 xml:space="preserve">Tādējādi secināms, ka centrālā vērtspapīru depozitārija noteikšana par atbildīgo attiecībā uz akcionāru identificējošās </w:t>
            </w:r>
            <w:r w:rsidRPr="002C4A1B">
              <w:rPr>
                <w:rFonts w:ascii="Times New Roman" w:eastAsia="Times New Roman" w:hAnsi="Times New Roman" w:cs="Times New Roman"/>
                <w:sz w:val="24"/>
                <w:szCs w:val="24"/>
                <w:lang w:val="lv"/>
              </w:rPr>
              <w:t xml:space="preserve">informācijas apkopošanu </w:t>
            </w:r>
            <w:r w:rsidR="001B6311" w:rsidRPr="002C4A1B">
              <w:rPr>
                <w:rFonts w:ascii="Times New Roman" w:eastAsia="Times New Roman" w:hAnsi="Times New Roman" w:cs="Times New Roman"/>
                <w:sz w:val="24"/>
                <w:szCs w:val="24"/>
                <w:lang w:val="lv"/>
              </w:rPr>
              <w:t xml:space="preserve">Latvijā </w:t>
            </w:r>
            <w:r w:rsidRPr="002C4A1B">
              <w:rPr>
                <w:rFonts w:ascii="Times New Roman" w:eastAsia="Times New Roman" w:hAnsi="Times New Roman" w:cs="Times New Roman"/>
                <w:sz w:val="24"/>
                <w:szCs w:val="24"/>
                <w:lang w:val="lv"/>
              </w:rPr>
              <w:t xml:space="preserve">ir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sabiedrībai ērtākais un reālākais veids akcionāru noskaidrošanai.</w:t>
            </w:r>
          </w:p>
          <w:p w14:paraId="0A0325C6" w14:textId="323C84AC" w:rsidR="007D2656" w:rsidRPr="002C4A1B" w:rsidRDefault="64DB5A0C"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ierobežojumus attiecībā uz to, cik ilgi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 un starpnieks var glabāt informāciju par akcionāriem. Akcionāru identificējošās informācijas noskaidrošana un šīs informācijas glabāšana ir saistīta </w:t>
            </w:r>
            <w:r w:rsidR="0006465E" w:rsidRPr="002C4A1B">
              <w:rPr>
                <w:rFonts w:ascii="Times New Roman" w:eastAsia="Times New Roman" w:hAnsi="Times New Roman" w:cs="Times New Roman"/>
                <w:sz w:val="24"/>
                <w:szCs w:val="24"/>
                <w:lang w:val="lv"/>
              </w:rPr>
              <w:t xml:space="preserve">ar </w:t>
            </w:r>
            <w:r w:rsidRPr="002C4A1B">
              <w:rPr>
                <w:rFonts w:ascii="Times New Roman" w:eastAsia="Times New Roman" w:hAnsi="Times New Roman" w:cs="Times New Roman"/>
                <w:sz w:val="24"/>
                <w:szCs w:val="24"/>
                <w:lang w:val="lv"/>
              </w:rPr>
              <w:t xml:space="preserve">mērķi veicināt saziņu ar akcionāriem un to tiesību realizēšanu. Ņemot vērā minēto, projekts paredz, ka informāciju par akcionāriem var glabāt ne ilgāk par 12 mēnešiem no brīža, kad </w:t>
            </w:r>
            <w:r w:rsidR="001B6311" w:rsidRPr="002C4A1B">
              <w:rPr>
                <w:rFonts w:ascii="Times New Roman" w:eastAsia="Times New Roman" w:hAnsi="Times New Roman" w:cs="Times New Roman"/>
                <w:sz w:val="24"/>
                <w:szCs w:val="24"/>
                <w:lang w:val="lv"/>
              </w:rPr>
              <w:t xml:space="preserve">starpnieks vai </w:t>
            </w:r>
            <w:r w:rsidR="00052720" w:rsidRPr="002C4A1B">
              <w:rPr>
                <w:rFonts w:ascii="Times New Roman" w:eastAsia="Times New Roman" w:hAnsi="Times New Roman" w:cs="Times New Roman"/>
                <w:sz w:val="24"/>
                <w:szCs w:val="24"/>
                <w:lang w:val="lv"/>
              </w:rPr>
              <w:t>akciju sabiedrība</w:t>
            </w:r>
            <w:r w:rsidRPr="002C4A1B">
              <w:rPr>
                <w:rFonts w:ascii="Times New Roman" w:eastAsia="Times New Roman" w:hAnsi="Times New Roman" w:cs="Times New Roman"/>
                <w:sz w:val="24"/>
                <w:szCs w:val="24"/>
                <w:lang w:val="lv"/>
              </w:rPr>
              <w:t xml:space="preserve"> ir uzzinājusi, ka persona ir </w:t>
            </w:r>
            <w:r w:rsidR="0006465E" w:rsidRPr="002C4A1B">
              <w:rPr>
                <w:rFonts w:ascii="Times New Roman" w:eastAsia="Times New Roman" w:hAnsi="Times New Roman" w:cs="Times New Roman"/>
                <w:sz w:val="24"/>
                <w:szCs w:val="24"/>
                <w:lang w:val="lv"/>
              </w:rPr>
              <w:t xml:space="preserve">zaudējusi </w:t>
            </w:r>
            <w:r w:rsidRPr="002C4A1B">
              <w:rPr>
                <w:rFonts w:ascii="Times New Roman" w:eastAsia="Times New Roman" w:hAnsi="Times New Roman" w:cs="Times New Roman"/>
                <w:sz w:val="24"/>
                <w:szCs w:val="24"/>
                <w:lang w:val="lv"/>
              </w:rPr>
              <w:t xml:space="preserve">akcionāra </w:t>
            </w:r>
            <w:r w:rsidR="0006465E" w:rsidRPr="002C4A1B">
              <w:rPr>
                <w:rFonts w:ascii="Times New Roman" w:eastAsia="Times New Roman" w:hAnsi="Times New Roman" w:cs="Times New Roman"/>
                <w:sz w:val="24"/>
                <w:szCs w:val="24"/>
                <w:lang w:val="lv"/>
              </w:rPr>
              <w:t>statusu</w:t>
            </w:r>
            <w:r w:rsidRPr="002C4A1B">
              <w:rPr>
                <w:rFonts w:ascii="Times New Roman" w:eastAsia="Times New Roman" w:hAnsi="Times New Roman" w:cs="Times New Roman"/>
                <w:sz w:val="24"/>
                <w:szCs w:val="24"/>
                <w:lang w:val="lv"/>
              </w:rPr>
              <w:t xml:space="preserve">. Šādas normas esamība neliedz </w:t>
            </w:r>
            <w:r w:rsidR="001B6311" w:rsidRPr="002C4A1B">
              <w:rPr>
                <w:rFonts w:ascii="Times New Roman" w:eastAsia="Times New Roman" w:hAnsi="Times New Roman" w:cs="Times New Roman"/>
                <w:sz w:val="24"/>
                <w:szCs w:val="24"/>
                <w:lang w:val="lv"/>
              </w:rPr>
              <w:t xml:space="preserve">starpniekam vai </w:t>
            </w:r>
            <w:r w:rsidR="00052720"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sabiedrībai datus glabāt ilgāk, ja tas ir pamatojams un atļauts ar citiem normatīvajiem aktiem. </w:t>
            </w:r>
          </w:p>
          <w:p w14:paraId="73407231" w14:textId="2D739805" w:rsidR="64DB5A0C" w:rsidRPr="002C4A1B" w:rsidRDefault="00D33F13"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Plānotie FITL noteikumi attieksies tikai uz tām regulētajā tirgū esošajām akciju sabiedrībām, kuras juridiskā adrese ir Latvijā. Respektīvi, ja Latvijā reģistrētas akciju sabiedrības akcijas būs iekļautas citas dalībvalsts regulētajā tirgū, akcionāru identificēšanai </w:t>
            </w:r>
            <w:r w:rsidR="000C5D73" w:rsidRPr="002C4A1B">
              <w:rPr>
                <w:rFonts w:ascii="Times New Roman" w:eastAsia="Times New Roman" w:hAnsi="Times New Roman" w:cs="Times New Roman"/>
                <w:sz w:val="24"/>
                <w:szCs w:val="24"/>
                <w:lang w:val="lv"/>
              </w:rPr>
              <w:t>un informēšanai</w:t>
            </w:r>
            <w:r w:rsidR="001B6311" w:rsidRPr="002C4A1B">
              <w:rPr>
                <w:rFonts w:ascii="Times New Roman" w:eastAsia="Times New Roman" w:hAnsi="Times New Roman" w:cs="Times New Roman"/>
                <w:sz w:val="24"/>
                <w:szCs w:val="24"/>
                <w:lang w:val="lv"/>
              </w:rPr>
              <w:t xml:space="preserve"> par akcionāru tiesību izlietošanu</w:t>
            </w:r>
            <w:r w:rsidR="000C5D73"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būs piemērojams </w:t>
            </w:r>
            <w:r w:rsidR="001A5434" w:rsidRPr="002C4A1B">
              <w:rPr>
                <w:rFonts w:ascii="Times New Roman" w:eastAsia="Times New Roman" w:hAnsi="Times New Roman" w:cs="Times New Roman"/>
                <w:sz w:val="24"/>
                <w:szCs w:val="24"/>
                <w:lang w:val="lv"/>
              </w:rPr>
              <w:t>FITL</w:t>
            </w:r>
            <w:r w:rsidRPr="002C4A1B">
              <w:rPr>
                <w:rFonts w:ascii="Times New Roman" w:eastAsia="Times New Roman" w:hAnsi="Times New Roman" w:cs="Times New Roman"/>
                <w:sz w:val="24"/>
                <w:szCs w:val="24"/>
                <w:lang w:val="lv"/>
              </w:rPr>
              <w:t>.</w:t>
            </w:r>
            <w:r w:rsidR="00913AFF" w:rsidRPr="002C4A1B">
              <w:rPr>
                <w:rFonts w:ascii="Times New Roman" w:eastAsia="Times New Roman" w:hAnsi="Times New Roman" w:cs="Times New Roman"/>
                <w:sz w:val="24"/>
                <w:szCs w:val="24"/>
                <w:lang w:val="lv"/>
              </w:rPr>
              <w:t xml:space="preserve"> </w:t>
            </w:r>
          </w:p>
          <w:p w14:paraId="35BFE6E4" w14:textId="4CBAE15A" w:rsidR="00913AFF" w:rsidRPr="002C4A1B" w:rsidRDefault="00913AFF" w:rsidP="000A3A26">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lastRenderedPageBreak/>
              <w:t>Eiropas Parlamenta un Padomes 2014. gada 23.</w:t>
            </w:r>
            <w:r w:rsidR="00494EDC"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jūlija regula</w:t>
            </w:r>
            <w:r w:rsidR="000A3A26" w:rsidRPr="002C4A1B">
              <w:rPr>
                <w:rFonts w:ascii="Times New Roman" w:eastAsia="Times New Roman" w:hAnsi="Times New Roman" w:cs="Times New Roman"/>
                <w:color w:val="000000" w:themeColor="text1"/>
                <w:sz w:val="24"/>
                <w:szCs w:val="24"/>
                <w:lang w:val="lv"/>
              </w:rPr>
              <w:t>s</w:t>
            </w:r>
            <w:r w:rsidRPr="002C4A1B">
              <w:rPr>
                <w:rFonts w:ascii="Times New Roman" w:eastAsia="Times New Roman" w:hAnsi="Times New Roman" w:cs="Times New Roman"/>
                <w:color w:val="000000" w:themeColor="text1"/>
                <w:sz w:val="24"/>
                <w:szCs w:val="24"/>
                <w:lang w:val="lv"/>
              </w:rPr>
              <w:t xml:space="preserve"> (ES) Nr.</w:t>
            </w:r>
            <w:r w:rsidR="00494EDC"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909/2014 par vērtspapīru norēķinu uzlabošanu Eiropas Savienībā, centrālajiem vērtspapīru depozitārijiem un grozījumiem Direktīvās 98/26/EK un 2014/65/ES un Regulā (ES) Nr. 236/2012</w:t>
            </w:r>
            <w:r w:rsidR="000A3A26" w:rsidRPr="002C4A1B">
              <w:rPr>
                <w:rFonts w:ascii="Times New Roman" w:eastAsia="Times New Roman" w:hAnsi="Times New Roman" w:cs="Times New Roman"/>
                <w:color w:val="000000" w:themeColor="text1"/>
                <w:sz w:val="24"/>
                <w:szCs w:val="24"/>
                <w:lang w:val="lv"/>
              </w:rPr>
              <w:t xml:space="preserve"> 49.</w:t>
            </w:r>
            <w:r w:rsidR="00494EDC" w:rsidRPr="002C4A1B">
              <w:rPr>
                <w:rFonts w:ascii="Times New Roman" w:eastAsia="Times New Roman" w:hAnsi="Times New Roman" w:cs="Times New Roman"/>
                <w:color w:val="000000" w:themeColor="text1"/>
                <w:sz w:val="24"/>
                <w:szCs w:val="24"/>
                <w:lang w:val="lv"/>
              </w:rPr>
              <w:t> </w:t>
            </w:r>
            <w:r w:rsidR="000A3A26" w:rsidRPr="002C4A1B">
              <w:rPr>
                <w:rFonts w:ascii="Times New Roman" w:eastAsia="Times New Roman" w:hAnsi="Times New Roman" w:cs="Times New Roman"/>
                <w:color w:val="000000" w:themeColor="text1"/>
                <w:sz w:val="24"/>
                <w:szCs w:val="24"/>
                <w:lang w:val="lv"/>
              </w:rPr>
              <w:t xml:space="preserve">pants </w:t>
            </w:r>
            <w:r w:rsidRPr="002C4A1B">
              <w:rPr>
                <w:rFonts w:ascii="Times New Roman" w:eastAsia="Times New Roman" w:hAnsi="Times New Roman" w:cs="Times New Roman"/>
                <w:color w:val="000000" w:themeColor="text1"/>
                <w:sz w:val="24"/>
                <w:szCs w:val="24"/>
                <w:lang w:val="lv"/>
              </w:rPr>
              <w:t xml:space="preserve">ļauj iegrāmatot akcijas jebkurā </w:t>
            </w:r>
            <w:r w:rsidR="000A3A26" w:rsidRPr="002C4A1B">
              <w:rPr>
                <w:rFonts w:ascii="Times New Roman" w:eastAsia="Times New Roman" w:hAnsi="Times New Roman" w:cs="Times New Roman"/>
                <w:color w:val="000000" w:themeColor="text1"/>
                <w:sz w:val="24"/>
                <w:szCs w:val="24"/>
                <w:lang w:val="lv"/>
              </w:rPr>
              <w:t xml:space="preserve">dalībvalsts </w:t>
            </w:r>
            <w:r w:rsidR="00273E91" w:rsidRPr="002C4A1B">
              <w:rPr>
                <w:rFonts w:ascii="Times New Roman" w:eastAsia="Times New Roman" w:hAnsi="Times New Roman" w:cs="Times New Roman"/>
                <w:color w:val="000000" w:themeColor="text1"/>
                <w:sz w:val="24"/>
                <w:szCs w:val="24"/>
                <w:lang w:val="lv"/>
              </w:rPr>
              <w:t xml:space="preserve">centrālajā vērtspapīru </w:t>
            </w:r>
            <w:r w:rsidRPr="002C4A1B">
              <w:rPr>
                <w:rFonts w:ascii="Times New Roman" w:eastAsia="Times New Roman" w:hAnsi="Times New Roman" w:cs="Times New Roman"/>
                <w:color w:val="000000" w:themeColor="text1"/>
                <w:sz w:val="24"/>
                <w:szCs w:val="24"/>
                <w:lang w:val="lv"/>
              </w:rPr>
              <w:t>depozitārijā</w:t>
            </w:r>
            <w:r w:rsidR="000A3A26" w:rsidRPr="002C4A1B">
              <w:rPr>
                <w:rFonts w:ascii="Times New Roman" w:eastAsia="Times New Roman" w:hAnsi="Times New Roman" w:cs="Times New Roman"/>
                <w:color w:val="000000" w:themeColor="text1"/>
                <w:sz w:val="24"/>
                <w:szCs w:val="24"/>
                <w:lang w:val="lv"/>
              </w:rPr>
              <w:t>. J</w:t>
            </w:r>
            <w:r w:rsidRPr="002C4A1B">
              <w:rPr>
                <w:rFonts w:ascii="Times New Roman" w:eastAsia="Times New Roman" w:hAnsi="Times New Roman" w:cs="Times New Roman"/>
                <w:color w:val="000000" w:themeColor="text1"/>
                <w:sz w:val="24"/>
                <w:szCs w:val="24"/>
                <w:lang w:val="lv"/>
              </w:rPr>
              <w:t xml:space="preserve">a Latvijā reģistrēta </w:t>
            </w:r>
            <w:r w:rsidR="000A3A26" w:rsidRPr="002C4A1B">
              <w:rPr>
                <w:rFonts w:ascii="Times New Roman" w:eastAsia="Times New Roman" w:hAnsi="Times New Roman" w:cs="Times New Roman"/>
                <w:color w:val="000000" w:themeColor="text1"/>
                <w:sz w:val="24"/>
                <w:szCs w:val="24"/>
                <w:lang w:val="lv"/>
              </w:rPr>
              <w:t xml:space="preserve">akciju </w:t>
            </w:r>
            <w:r w:rsidRPr="002C4A1B">
              <w:rPr>
                <w:rFonts w:ascii="Times New Roman" w:eastAsia="Times New Roman" w:hAnsi="Times New Roman" w:cs="Times New Roman"/>
                <w:color w:val="000000" w:themeColor="text1"/>
                <w:sz w:val="24"/>
                <w:szCs w:val="24"/>
                <w:lang w:val="lv"/>
              </w:rPr>
              <w:t xml:space="preserve">sabiedrība būs </w:t>
            </w:r>
            <w:r w:rsidR="007128BA" w:rsidRPr="002C4A1B">
              <w:rPr>
                <w:rFonts w:ascii="Times New Roman" w:eastAsia="Times New Roman" w:hAnsi="Times New Roman" w:cs="Times New Roman"/>
                <w:color w:val="000000" w:themeColor="text1"/>
                <w:sz w:val="24"/>
                <w:szCs w:val="24"/>
                <w:lang w:val="lv"/>
              </w:rPr>
              <w:t xml:space="preserve">sākotnēji </w:t>
            </w:r>
            <w:r w:rsidRPr="002C4A1B">
              <w:rPr>
                <w:rFonts w:ascii="Times New Roman" w:eastAsia="Times New Roman" w:hAnsi="Times New Roman" w:cs="Times New Roman"/>
                <w:color w:val="000000" w:themeColor="text1"/>
                <w:sz w:val="24"/>
                <w:szCs w:val="24"/>
                <w:lang w:val="lv"/>
              </w:rPr>
              <w:t>iegrāmatojusi</w:t>
            </w:r>
            <w:r w:rsidR="001A5434" w:rsidRPr="002C4A1B">
              <w:rPr>
                <w:rFonts w:ascii="Times New Roman" w:eastAsia="Times New Roman" w:hAnsi="Times New Roman" w:cs="Times New Roman"/>
                <w:color w:val="000000" w:themeColor="text1"/>
                <w:sz w:val="24"/>
                <w:szCs w:val="24"/>
                <w:lang w:val="lv"/>
              </w:rPr>
              <w:t xml:space="preserve"> savas </w:t>
            </w:r>
            <w:r w:rsidRPr="002C4A1B">
              <w:rPr>
                <w:rFonts w:ascii="Times New Roman" w:eastAsia="Times New Roman" w:hAnsi="Times New Roman" w:cs="Times New Roman"/>
                <w:color w:val="000000" w:themeColor="text1"/>
                <w:sz w:val="24"/>
                <w:szCs w:val="24"/>
                <w:lang w:val="lv"/>
              </w:rPr>
              <w:t>ak</w:t>
            </w:r>
            <w:r w:rsidR="000A3A26" w:rsidRPr="002C4A1B">
              <w:rPr>
                <w:rFonts w:ascii="Times New Roman" w:eastAsia="Times New Roman" w:hAnsi="Times New Roman" w:cs="Times New Roman"/>
                <w:color w:val="000000" w:themeColor="text1"/>
                <w:sz w:val="24"/>
                <w:szCs w:val="24"/>
                <w:lang w:val="lv"/>
              </w:rPr>
              <w:t xml:space="preserve">cijas citas </w:t>
            </w:r>
            <w:r w:rsidR="002D6454" w:rsidRPr="002C4A1B">
              <w:rPr>
                <w:rFonts w:ascii="Times New Roman" w:eastAsia="Times New Roman" w:hAnsi="Times New Roman" w:cs="Times New Roman"/>
                <w:color w:val="000000" w:themeColor="text1"/>
                <w:sz w:val="24"/>
                <w:szCs w:val="24"/>
                <w:lang w:val="lv"/>
              </w:rPr>
              <w:t>dalībvalsts</w:t>
            </w:r>
            <w:r w:rsidR="000A3A26" w:rsidRPr="002C4A1B">
              <w:rPr>
                <w:rFonts w:ascii="Times New Roman" w:eastAsia="Times New Roman" w:hAnsi="Times New Roman" w:cs="Times New Roman"/>
                <w:color w:val="000000" w:themeColor="text1"/>
                <w:sz w:val="24"/>
                <w:szCs w:val="24"/>
                <w:lang w:val="lv"/>
              </w:rPr>
              <w:t xml:space="preserve"> </w:t>
            </w:r>
            <w:r w:rsidR="002D6454" w:rsidRPr="002C4A1B">
              <w:rPr>
                <w:rFonts w:ascii="Times New Roman" w:eastAsia="Times New Roman" w:hAnsi="Times New Roman" w:cs="Times New Roman"/>
                <w:color w:val="000000" w:themeColor="text1"/>
                <w:sz w:val="24"/>
                <w:szCs w:val="24"/>
                <w:lang w:val="lv"/>
              </w:rPr>
              <w:t>centrālajā vērtspapīru depozitārij</w:t>
            </w:r>
            <w:r w:rsidR="001A5434" w:rsidRPr="002C4A1B">
              <w:rPr>
                <w:rFonts w:ascii="Times New Roman" w:eastAsia="Times New Roman" w:hAnsi="Times New Roman" w:cs="Times New Roman"/>
                <w:color w:val="000000" w:themeColor="text1"/>
                <w:sz w:val="24"/>
                <w:szCs w:val="24"/>
                <w:lang w:val="lv"/>
              </w:rPr>
              <w:t>ā</w:t>
            </w:r>
            <w:r w:rsidR="000A3A26" w:rsidRPr="002C4A1B">
              <w:rPr>
                <w:rFonts w:ascii="Times New Roman" w:eastAsia="Times New Roman" w:hAnsi="Times New Roman" w:cs="Times New Roman"/>
                <w:color w:val="000000" w:themeColor="text1"/>
                <w:sz w:val="24"/>
                <w:szCs w:val="24"/>
                <w:lang w:val="lv"/>
              </w:rPr>
              <w:t>,</w:t>
            </w:r>
            <w:r w:rsidR="002D6454" w:rsidRPr="002C4A1B">
              <w:rPr>
                <w:rFonts w:ascii="Times New Roman" w:eastAsia="Times New Roman" w:hAnsi="Times New Roman" w:cs="Times New Roman"/>
                <w:color w:val="000000" w:themeColor="text1"/>
                <w:sz w:val="24"/>
                <w:szCs w:val="24"/>
                <w:lang w:val="lv"/>
              </w:rPr>
              <w:t xml:space="preserve"> </w:t>
            </w:r>
            <w:r w:rsidR="001B6311" w:rsidRPr="002C4A1B">
              <w:rPr>
                <w:rFonts w:ascii="Times New Roman" w:eastAsia="Times New Roman" w:hAnsi="Times New Roman" w:cs="Times New Roman"/>
                <w:color w:val="000000" w:themeColor="text1"/>
                <w:sz w:val="24"/>
                <w:szCs w:val="24"/>
                <w:lang w:val="lv"/>
              </w:rPr>
              <w:t xml:space="preserve">akcionāru </w:t>
            </w:r>
            <w:r w:rsidR="002D6454" w:rsidRPr="002C4A1B">
              <w:rPr>
                <w:rFonts w:ascii="Times New Roman" w:eastAsia="Times New Roman" w:hAnsi="Times New Roman" w:cs="Times New Roman"/>
                <w:color w:val="000000" w:themeColor="text1"/>
                <w:sz w:val="24"/>
                <w:szCs w:val="24"/>
                <w:lang w:val="lv"/>
              </w:rPr>
              <w:t>identifikācija notiks atbilstoši FITL noteikumiem. Tas nozīmē, ka gadījumā, ja š</w:t>
            </w:r>
            <w:r w:rsidR="001F2D0E" w:rsidRPr="002C4A1B">
              <w:rPr>
                <w:rFonts w:ascii="Times New Roman" w:eastAsia="Times New Roman" w:hAnsi="Times New Roman" w:cs="Times New Roman"/>
                <w:color w:val="000000" w:themeColor="text1"/>
                <w:sz w:val="24"/>
                <w:szCs w:val="24"/>
                <w:lang w:val="lv"/>
              </w:rPr>
              <w:t>īs</w:t>
            </w:r>
            <w:r w:rsidR="002D6454" w:rsidRPr="002C4A1B">
              <w:rPr>
                <w:rFonts w:ascii="Times New Roman" w:eastAsia="Times New Roman" w:hAnsi="Times New Roman" w:cs="Times New Roman"/>
                <w:color w:val="000000" w:themeColor="text1"/>
                <w:sz w:val="24"/>
                <w:szCs w:val="24"/>
                <w:lang w:val="lv"/>
              </w:rPr>
              <w:t xml:space="preserve"> cit</w:t>
            </w:r>
            <w:r w:rsidR="001F2D0E" w:rsidRPr="002C4A1B">
              <w:rPr>
                <w:rFonts w:ascii="Times New Roman" w:eastAsia="Times New Roman" w:hAnsi="Times New Roman" w:cs="Times New Roman"/>
                <w:color w:val="000000" w:themeColor="text1"/>
                <w:sz w:val="24"/>
                <w:szCs w:val="24"/>
                <w:lang w:val="lv"/>
              </w:rPr>
              <w:t>as</w:t>
            </w:r>
            <w:r w:rsidR="002D6454" w:rsidRPr="002C4A1B">
              <w:rPr>
                <w:rFonts w:ascii="Times New Roman" w:eastAsia="Times New Roman" w:hAnsi="Times New Roman" w:cs="Times New Roman"/>
                <w:color w:val="000000" w:themeColor="text1"/>
                <w:sz w:val="24"/>
                <w:szCs w:val="24"/>
                <w:lang w:val="lv"/>
              </w:rPr>
              <w:t xml:space="preserve"> dalībvalst</w:t>
            </w:r>
            <w:r w:rsidR="00725C5E" w:rsidRPr="002C4A1B">
              <w:rPr>
                <w:rFonts w:ascii="Times New Roman" w:eastAsia="Times New Roman" w:hAnsi="Times New Roman" w:cs="Times New Roman"/>
                <w:color w:val="000000" w:themeColor="text1"/>
                <w:sz w:val="24"/>
                <w:szCs w:val="24"/>
                <w:lang w:val="lv"/>
              </w:rPr>
              <w:t>s</w:t>
            </w:r>
            <w:r w:rsidR="002D6454" w:rsidRPr="002C4A1B">
              <w:rPr>
                <w:rFonts w:ascii="Times New Roman" w:eastAsia="Times New Roman" w:hAnsi="Times New Roman" w:cs="Times New Roman"/>
                <w:color w:val="000000" w:themeColor="text1"/>
                <w:sz w:val="24"/>
                <w:szCs w:val="24"/>
                <w:lang w:val="lv"/>
              </w:rPr>
              <w:t xml:space="preserve">, kurā iegrāmatotas </w:t>
            </w:r>
            <w:r w:rsidR="001B6311" w:rsidRPr="002C4A1B">
              <w:rPr>
                <w:rFonts w:ascii="Times New Roman" w:eastAsia="Times New Roman" w:hAnsi="Times New Roman" w:cs="Times New Roman"/>
                <w:color w:val="000000" w:themeColor="text1"/>
                <w:sz w:val="24"/>
                <w:szCs w:val="24"/>
                <w:lang w:val="lv"/>
              </w:rPr>
              <w:t xml:space="preserve">Latvijā reģistrētas akciju sabiedrības </w:t>
            </w:r>
            <w:r w:rsidR="002D6454" w:rsidRPr="002C4A1B">
              <w:rPr>
                <w:rFonts w:ascii="Times New Roman" w:eastAsia="Times New Roman" w:hAnsi="Times New Roman" w:cs="Times New Roman"/>
                <w:color w:val="000000" w:themeColor="text1"/>
                <w:sz w:val="24"/>
                <w:szCs w:val="24"/>
                <w:lang w:val="lv"/>
              </w:rPr>
              <w:t>akcijas</w:t>
            </w:r>
            <w:r w:rsidR="00725C5E" w:rsidRPr="002C4A1B">
              <w:rPr>
                <w:rFonts w:ascii="Times New Roman" w:eastAsia="Times New Roman" w:hAnsi="Times New Roman" w:cs="Times New Roman"/>
                <w:color w:val="000000" w:themeColor="text1"/>
                <w:sz w:val="24"/>
                <w:szCs w:val="24"/>
                <w:lang w:val="lv"/>
              </w:rPr>
              <w:t>,</w:t>
            </w:r>
            <w:r w:rsidR="002D6454" w:rsidRPr="002C4A1B">
              <w:rPr>
                <w:rFonts w:ascii="Times New Roman" w:eastAsia="Times New Roman" w:hAnsi="Times New Roman" w:cs="Times New Roman"/>
                <w:color w:val="000000" w:themeColor="text1"/>
                <w:sz w:val="24"/>
                <w:szCs w:val="24"/>
                <w:lang w:val="lv"/>
              </w:rPr>
              <w:t xml:space="preserve"> normatīvie akti paredzēs, piemēram, </w:t>
            </w:r>
            <w:r w:rsidR="001F2D0E" w:rsidRPr="002C4A1B">
              <w:rPr>
                <w:rFonts w:ascii="Times New Roman" w:eastAsia="Times New Roman" w:hAnsi="Times New Roman" w:cs="Times New Roman"/>
                <w:color w:val="000000" w:themeColor="text1"/>
                <w:sz w:val="24"/>
                <w:szCs w:val="24"/>
                <w:lang w:val="lv"/>
              </w:rPr>
              <w:t>līdzdalības slieksni</w:t>
            </w:r>
            <w:r w:rsidR="002D6454" w:rsidRPr="002C4A1B">
              <w:rPr>
                <w:rFonts w:ascii="Times New Roman" w:eastAsia="Times New Roman" w:hAnsi="Times New Roman" w:cs="Times New Roman"/>
                <w:color w:val="000000" w:themeColor="text1"/>
                <w:sz w:val="24"/>
                <w:szCs w:val="24"/>
                <w:lang w:val="lv"/>
              </w:rPr>
              <w:t xml:space="preserve"> akcionāru identifikācijai, tad </w:t>
            </w:r>
            <w:r w:rsidR="001A5434" w:rsidRPr="002C4A1B">
              <w:rPr>
                <w:rFonts w:ascii="Times New Roman" w:eastAsia="Times New Roman" w:hAnsi="Times New Roman" w:cs="Times New Roman"/>
                <w:color w:val="000000" w:themeColor="text1"/>
                <w:sz w:val="24"/>
                <w:szCs w:val="24"/>
                <w:lang w:val="lv"/>
              </w:rPr>
              <w:t xml:space="preserve">šie izņēmumi netiks attiecināti uz Latvijā reģistrēto </w:t>
            </w:r>
            <w:r w:rsidR="001F2D0E" w:rsidRPr="002C4A1B">
              <w:rPr>
                <w:rFonts w:ascii="Times New Roman" w:eastAsia="Times New Roman" w:hAnsi="Times New Roman" w:cs="Times New Roman"/>
                <w:color w:val="000000" w:themeColor="text1"/>
                <w:sz w:val="24"/>
                <w:szCs w:val="24"/>
                <w:lang w:val="lv"/>
              </w:rPr>
              <w:t xml:space="preserve">akciju </w:t>
            </w:r>
            <w:r w:rsidR="001A5434" w:rsidRPr="002C4A1B">
              <w:rPr>
                <w:rFonts w:ascii="Times New Roman" w:eastAsia="Times New Roman" w:hAnsi="Times New Roman" w:cs="Times New Roman"/>
                <w:color w:val="000000" w:themeColor="text1"/>
                <w:sz w:val="24"/>
                <w:szCs w:val="24"/>
                <w:lang w:val="lv"/>
              </w:rPr>
              <w:t>sabiedrību.</w:t>
            </w:r>
          </w:p>
          <w:p w14:paraId="4BE7DC2E" w14:textId="1334FF10" w:rsidR="007128BA" w:rsidRPr="002C4A1B" w:rsidRDefault="00AC5DF8" w:rsidP="001F2D0E">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t xml:space="preserve">FKTK </w:t>
            </w:r>
            <w:r w:rsidR="003F5E08" w:rsidRPr="002C4A1B">
              <w:rPr>
                <w:rFonts w:ascii="Times New Roman" w:eastAsia="Times New Roman" w:hAnsi="Times New Roman" w:cs="Times New Roman"/>
                <w:color w:val="000000" w:themeColor="text1"/>
                <w:sz w:val="24"/>
                <w:szCs w:val="24"/>
                <w:lang w:val="lv"/>
              </w:rPr>
              <w:t>būs atbildīga par projektā ietvertās FITL D</w:t>
            </w:r>
            <w:r w:rsidR="00494EDC" w:rsidRPr="002C4A1B">
              <w:rPr>
                <w:rFonts w:ascii="Times New Roman" w:eastAsia="Times New Roman" w:hAnsi="Times New Roman" w:cs="Times New Roman"/>
                <w:color w:val="000000" w:themeColor="text1"/>
                <w:sz w:val="24"/>
                <w:szCs w:val="24"/>
                <w:lang w:val="lv"/>
              </w:rPr>
              <w:t> </w:t>
            </w:r>
            <w:r w:rsidR="003F5E08" w:rsidRPr="002C4A1B">
              <w:rPr>
                <w:rFonts w:ascii="Times New Roman" w:eastAsia="Times New Roman" w:hAnsi="Times New Roman" w:cs="Times New Roman"/>
                <w:color w:val="000000" w:themeColor="text1"/>
                <w:sz w:val="24"/>
                <w:szCs w:val="24"/>
                <w:lang w:val="lv"/>
              </w:rPr>
              <w:t>sadaļas III</w:t>
            </w:r>
            <w:r w:rsidR="003F5E08" w:rsidRPr="002C4A1B">
              <w:rPr>
                <w:rFonts w:ascii="Times New Roman" w:eastAsia="Times New Roman" w:hAnsi="Times New Roman" w:cs="Times New Roman"/>
                <w:color w:val="000000" w:themeColor="text1"/>
                <w:sz w:val="24"/>
                <w:szCs w:val="24"/>
                <w:vertAlign w:val="superscript"/>
                <w:lang w:val="lv"/>
              </w:rPr>
              <w:t>2</w:t>
            </w:r>
            <w:r w:rsidR="00494EDC" w:rsidRPr="002C4A1B">
              <w:rPr>
                <w:rFonts w:ascii="Times New Roman" w:eastAsia="Times New Roman" w:hAnsi="Times New Roman" w:cs="Times New Roman"/>
                <w:color w:val="000000" w:themeColor="text1"/>
                <w:sz w:val="24"/>
                <w:szCs w:val="24"/>
                <w:vertAlign w:val="superscript"/>
                <w:lang w:val="lv"/>
              </w:rPr>
              <w:t> </w:t>
            </w:r>
            <w:r w:rsidR="000B24C4" w:rsidRPr="002C4A1B">
              <w:rPr>
                <w:rFonts w:ascii="Times New Roman" w:eastAsia="Times New Roman" w:hAnsi="Times New Roman" w:cs="Times New Roman"/>
                <w:color w:val="000000" w:themeColor="text1"/>
                <w:sz w:val="24"/>
                <w:szCs w:val="24"/>
                <w:lang w:val="lv"/>
              </w:rPr>
              <w:t xml:space="preserve">nodaļas </w:t>
            </w:r>
            <w:r w:rsidR="003F5E08" w:rsidRPr="002C4A1B">
              <w:rPr>
                <w:rFonts w:ascii="Times New Roman" w:eastAsia="Times New Roman" w:hAnsi="Times New Roman" w:cs="Times New Roman"/>
                <w:color w:val="000000" w:themeColor="text1"/>
                <w:sz w:val="24"/>
                <w:szCs w:val="24"/>
                <w:lang w:val="lv"/>
              </w:rPr>
              <w:t xml:space="preserve">noteikumu izpildes uzraudzību. </w:t>
            </w:r>
            <w:r w:rsidR="00C92FFA" w:rsidRPr="00702409">
              <w:rPr>
                <w:rFonts w:ascii="Times New Roman" w:eastAsia="Times New Roman" w:hAnsi="Times New Roman" w:cs="Times New Roman"/>
                <w:color w:val="000000" w:themeColor="text1"/>
                <w:sz w:val="24"/>
                <w:szCs w:val="24"/>
                <w:lang w:val="lv"/>
              </w:rPr>
              <w:t>Galve</w:t>
            </w:r>
            <w:r w:rsidR="000B24C4" w:rsidRPr="00702409">
              <w:rPr>
                <w:rFonts w:ascii="Times New Roman" w:eastAsia="Times New Roman" w:hAnsi="Times New Roman" w:cs="Times New Roman"/>
                <w:color w:val="000000" w:themeColor="text1"/>
                <w:sz w:val="24"/>
                <w:szCs w:val="24"/>
                <w:lang w:val="lv"/>
              </w:rPr>
              <w:t>na</w:t>
            </w:r>
            <w:r w:rsidR="00C92FFA" w:rsidRPr="00702409">
              <w:rPr>
                <w:rFonts w:ascii="Times New Roman" w:eastAsia="Times New Roman" w:hAnsi="Times New Roman" w:cs="Times New Roman"/>
                <w:color w:val="000000" w:themeColor="text1"/>
                <w:sz w:val="24"/>
                <w:szCs w:val="24"/>
                <w:lang w:val="lv"/>
              </w:rPr>
              <w:t xml:space="preserve">is kritērijs tam, lai starpnieks </w:t>
            </w:r>
            <w:r w:rsidR="00A1156F" w:rsidRPr="00D4050F">
              <w:rPr>
                <w:rFonts w:ascii="Times New Roman" w:eastAsia="Times New Roman" w:hAnsi="Times New Roman" w:cs="Times New Roman"/>
                <w:color w:val="000000" w:themeColor="text1"/>
                <w:sz w:val="24"/>
                <w:szCs w:val="24"/>
                <w:lang w:val="lv"/>
              </w:rPr>
              <w:t>pakļautos FKTK uzraudzīb</w:t>
            </w:r>
            <w:r w:rsidR="00A1156F" w:rsidRPr="00626899">
              <w:rPr>
                <w:rFonts w:ascii="Times New Roman" w:eastAsia="Times New Roman" w:hAnsi="Times New Roman" w:cs="Times New Roman"/>
                <w:color w:val="000000" w:themeColor="text1"/>
                <w:sz w:val="24"/>
                <w:szCs w:val="24"/>
                <w:lang w:val="lv"/>
              </w:rPr>
              <w:t>ai</w:t>
            </w:r>
            <w:r w:rsidR="000B24C4" w:rsidRPr="00626899">
              <w:rPr>
                <w:rFonts w:ascii="Times New Roman" w:eastAsia="Times New Roman" w:hAnsi="Times New Roman" w:cs="Times New Roman"/>
                <w:color w:val="000000" w:themeColor="text1"/>
                <w:sz w:val="24"/>
                <w:szCs w:val="24"/>
                <w:lang w:val="lv"/>
              </w:rPr>
              <w:t>,</w:t>
            </w:r>
            <w:r w:rsidR="00A1156F" w:rsidRPr="00626899">
              <w:rPr>
                <w:rFonts w:ascii="Times New Roman" w:eastAsia="Times New Roman" w:hAnsi="Times New Roman" w:cs="Times New Roman"/>
                <w:color w:val="000000" w:themeColor="text1"/>
                <w:sz w:val="24"/>
                <w:szCs w:val="24"/>
                <w:lang w:val="lv"/>
              </w:rPr>
              <w:t xml:space="preserve"> ir </w:t>
            </w:r>
            <w:r w:rsidR="000B24C4" w:rsidRPr="006E1F2F">
              <w:rPr>
                <w:rFonts w:ascii="Times New Roman" w:eastAsia="Times New Roman" w:hAnsi="Times New Roman" w:cs="Times New Roman"/>
                <w:color w:val="000000" w:themeColor="text1"/>
                <w:sz w:val="24"/>
                <w:szCs w:val="24"/>
                <w:lang w:val="lv"/>
              </w:rPr>
              <w:t xml:space="preserve">pakalpojumu sniegšana </w:t>
            </w:r>
            <w:r w:rsidR="0034559C" w:rsidRPr="00702409">
              <w:rPr>
                <w:rFonts w:ascii="Times New Roman" w:eastAsia="Times New Roman" w:hAnsi="Times New Roman" w:cs="Times New Roman"/>
                <w:color w:val="000000" w:themeColor="text1"/>
                <w:sz w:val="24"/>
                <w:szCs w:val="24"/>
                <w:lang w:val="lv"/>
              </w:rPr>
              <w:t xml:space="preserve">attiecībā uz tādas </w:t>
            </w:r>
            <w:r w:rsidR="000B24C4" w:rsidRPr="00702409">
              <w:rPr>
                <w:rFonts w:ascii="Times New Roman" w:eastAsia="Times New Roman" w:hAnsi="Times New Roman" w:cs="Times New Roman"/>
                <w:color w:val="000000" w:themeColor="text1"/>
                <w:sz w:val="24"/>
                <w:szCs w:val="24"/>
                <w:lang w:val="lv"/>
              </w:rPr>
              <w:t>akciju</w:t>
            </w:r>
            <w:r w:rsidR="0034559C" w:rsidRPr="00702409">
              <w:rPr>
                <w:rFonts w:ascii="Times New Roman" w:eastAsia="Times New Roman" w:hAnsi="Times New Roman" w:cs="Times New Roman"/>
                <w:color w:val="000000" w:themeColor="text1"/>
                <w:sz w:val="24"/>
                <w:szCs w:val="24"/>
                <w:lang w:val="lv"/>
              </w:rPr>
              <w:t xml:space="preserve"> sabiedrības akciju</w:t>
            </w:r>
            <w:r w:rsidR="000B24C4" w:rsidRPr="00702409">
              <w:rPr>
                <w:rFonts w:ascii="Times New Roman" w:eastAsia="Times New Roman" w:hAnsi="Times New Roman" w:cs="Times New Roman"/>
                <w:color w:val="000000" w:themeColor="text1"/>
                <w:sz w:val="24"/>
                <w:szCs w:val="24"/>
                <w:lang w:val="lv"/>
              </w:rPr>
              <w:t xml:space="preserve"> turēšan</w:t>
            </w:r>
            <w:r w:rsidR="0034559C" w:rsidRPr="00702409">
              <w:rPr>
                <w:rFonts w:ascii="Times New Roman" w:eastAsia="Times New Roman" w:hAnsi="Times New Roman" w:cs="Times New Roman"/>
                <w:color w:val="000000" w:themeColor="text1"/>
                <w:sz w:val="24"/>
                <w:szCs w:val="24"/>
                <w:lang w:val="lv"/>
              </w:rPr>
              <w:t>u</w:t>
            </w:r>
            <w:r w:rsidR="000B24C4" w:rsidRPr="00702409">
              <w:rPr>
                <w:rFonts w:ascii="Times New Roman" w:eastAsia="Times New Roman" w:hAnsi="Times New Roman" w:cs="Times New Roman"/>
                <w:color w:val="000000" w:themeColor="text1"/>
                <w:sz w:val="24"/>
                <w:szCs w:val="24"/>
                <w:lang w:val="lv"/>
              </w:rPr>
              <w:t xml:space="preserve">, kuras </w:t>
            </w:r>
            <w:r w:rsidR="001F2D0E" w:rsidRPr="00702409">
              <w:rPr>
                <w:rFonts w:ascii="Times New Roman" w:eastAsia="Times New Roman" w:hAnsi="Times New Roman" w:cs="Times New Roman"/>
                <w:color w:val="000000" w:themeColor="text1"/>
                <w:sz w:val="24"/>
                <w:szCs w:val="24"/>
                <w:lang w:val="lv"/>
              </w:rPr>
              <w:t xml:space="preserve">juridiskās </w:t>
            </w:r>
            <w:r w:rsidR="000B24C4" w:rsidRPr="00702409">
              <w:rPr>
                <w:rFonts w:ascii="Times New Roman" w:eastAsia="Times New Roman" w:hAnsi="Times New Roman" w:cs="Times New Roman"/>
                <w:color w:val="000000" w:themeColor="text1"/>
                <w:sz w:val="24"/>
                <w:szCs w:val="24"/>
                <w:lang w:val="lv"/>
              </w:rPr>
              <w:t xml:space="preserve">adreses </w:t>
            </w:r>
            <w:r w:rsidR="001F2D0E" w:rsidRPr="00702409">
              <w:rPr>
                <w:rFonts w:ascii="Times New Roman" w:eastAsia="Times New Roman" w:hAnsi="Times New Roman" w:cs="Times New Roman"/>
                <w:color w:val="000000" w:themeColor="text1"/>
                <w:sz w:val="24"/>
                <w:szCs w:val="24"/>
                <w:lang w:val="lv"/>
              </w:rPr>
              <w:t>atrašanās vieta</w:t>
            </w:r>
            <w:r w:rsidR="000B24C4" w:rsidRPr="00702409">
              <w:rPr>
                <w:rFonts w:ascii="Times New Roman" w:eastAsia="Times New Roman" w:hAnsi="Times New Roman" w:cs="Times New Roman"/>
                <w:color w:val="000000" w:themeColor="text1"/>
                <w:sz w:val="24"/>
                <w:szCs w:val="24"/>
                <w:lang w:val="lv"/>
              </w:rPr>
              <w:t xml:space="preserve"> ir</w:t>
            </w:r>
            <w:r w:rsidR="001F2D0E" w:rsidRPr="00702409">
              <w:rPr>
                <w:rFonts w:ascii="Times New Roman" w:eastAsia="Times New Roman" w:hAnsi="Times New Roman" w:cs="Times New Roman"/>
                <w:color w:val="000000" w:themeColor="text1"/>
                <w:sz w:val="24"/>
                <w:szCs w:val="24"/>
                <w:lang w:val="lv"/>
              </w:rPr>
              <w:t xml:space="preserve"> Latvijā. Proti, </w:t>
            </w:r>
            <w:r w:rsidRPr="00702409">
              <w:rPr>
                <w:rFonts w:ascii="Times New Roman" w:eastAsia="Times New Roman" w:hAnsi="Times New Roman" w:cs="Times New Roman"/>
                <w:color w:val="000000" w:themeColor="text1"/>
                <w:sz w:val="24"/>
                <w:szCs w:val="24"/>
                <w:lang w:val="lv"/>
              </w:rPr>
              <w:t xml:space="preserve">FKTK uzraudzīs tos starpniekus, kas </w:t>
            </w:r>
            <w:r w:rsidR="000B24C4" w:rsidRPr="00702409">
              <w:rPr>
                <w:rFonts w:ascii="Times New Roman" w:eastAsia="Times New Roman" w:hAnsi="Times New Roman" w:cs="Times New Roman"/>
                <w:color w:val="000000" w:themeColor="text1"/>
                <w:sz w:val="24"/>
                <w:szCs w:val="24"/>
                <w:lang w:val="lv"/>
              </w:rPr>
              <w:t xml:space="preserve">saviem klientiem </w:t>
            </w:r>
            <w:r w:rsidRPr="00702409">
              <w:rPr>
                <w:rFonts w:ascii="Times New Roman" w:eastAsia="Times New Roman" w:hAnsi="Times New Roman" w:cs="Times New Roman"/>
                <w:color w:val="000000" w:themeColor="text1"/>
                <w:sz w:val="24"/>
                <w:szCs w:val="24"/>
                <w:lang w:val="lv"/>
              </w:rPr>
              <w:t xml:space="preserve">sniedz pakalpojumus attiecībā uz Latvijā reģistrētas akciju sabiedrības akcijām, kuras iekļautas dalībvalsts regulētajā tirgū. </w:t>
            </w:r>
            <w:r w:rsidR="004E1263" w:rsidRPr="00702409">
              <w:rPr>
                <w:rFonts w:ascii="Times New Roman" w:eastAsia="Times New Roman" w:hAnsi="Times New Roman" w:cs="Times New Roman"/>
                <w:color w:val="000000" w:themeColor="text1"/>
                <w:sz w:val="24"/>
                <w:szCs w:val="24"/>
                <w:lang w:val="lv"/>
              </w:rPr>
              <w:t xml:space="preserve">Turklāt </w:t>
            </w:r>
            <w:r w:rsidRPr="00702409">
              <w:rPr>
                <w:rFonts w:ascii="Times New Roman" w:eastAsia="Times New Roman" w:hAnsi="Times New Roman" w:cs="Times New Roman"/>
                <w:color w:val="000000" w:themeColor="text1"/>
                <w:sz w:val="24"/>
                <w:szCs w:val="24"/>
                <w:lang w:val="lv"/>
              </w:rPr>
              <w:t xml:space="preserve">FKTK </w:t>
            </w:r>
            <w:r w:rsidR="004E1263" w:rsidRPr="00702409">
              <w:rPr>
                <w:rFonts w:ascii="Times New Roman" w:eastAsia="Times New Roman" w:hAnsi="Times New Roman" w:cs="Times New Roman"/>
                <w:color w:val="000000" w:themeColor="text1"/>
                <w:sz w:val="24"/>
                <w:szCs w:val="24"/>
                <w:lang w:val="lv"/>
              </w:rPr>
              <w:t>uzraudzība aptver</w:t>
            </w:r>
            <w:r w:rsidR="00CF0EA2" w:rsidRPr="00702409">
              <w:rPr>
                <w:rFonts w:ascii="Times New Roman" w:eastAsia="Times New Roman" w:hAnsi="Times New Roman" w:cs="Times New Roman"/>
                <w:color w:val="000000" w:themeColor="text1"/>
                <w:sz w:val="24"/>
                <w:szCs w:val="24"/>
                <w:lang w:val="lv"/>
              </w:rPr>
              <w:t>s</w:t>
            </w:r>
            <w:r w:rsidR="004E1263" w:rsidRPr="00702409">
              <w:rPr>
                <w:rFonts w:ascii="Times New Roman" w:eastAsia="Times New Roman" w:hAnsi="Times New Roman" w:cs="Times New Roman"/>
                <w:color w:val="000000" w:themeColor="text1"/>
                <w:sz w:val="24"/>
                <w:szCs w:val="24"/>
                <w:lang w:val="lv"/>
              </w:rPr>
              <w:t xml:space="preserve"> </w:t>
            </w:r>
            <w:r w:rsidRPr="00702409">
              <w:rPr>
                <w:rFonts w:ascii="Times New Roman" w:eastAsia="Times New Roman" w:hAnsi="Times New Roman" w:cs="Times New Roman"/>
                <w:color w:val="000000" w:themeColor="text1"/>
                <w:sz w:val="24"/>
                <w:szCs w:val="24"/>
                <w:lang w:val="lv"/>
              </w:rPr>
              <w:t>starpniekus neatkarīgi no to juridiskās adreses vai galvenā biroja atrašanās vietas.</w:t>
            </w:r>
            <w:r w:rsidRPr="002C4A1B">
              <w:rPr>
                <w:rFonts w:ascii="Times New Roman" w:eastAsia="Times New Roman" w:hAnsi="Times New Roman" w:cs="Times New Roman"/>
                <w:color w:val="000000" w:themeColor="text1"/>
                <w:sz w:val="24"/>
                <w:szCs w:val="24"/>
                <w:lang w:val="lv"/>
              </w:rPr>
              <w:t xml:space="preserve"> </w:t>
            </w:r>
          </w:p>
          <w:p w14:paraId="78319E82" w14:textId="77777777" w:rsidR="00D33F13" w:rsidRPr="002C4A1B" w:rsidRDefault="00D33F13" w:rsidP="00401BD5">
            <w:pPr>
              <w:spacing w:after="0" w:line="240" w:lineRule="auto"/>
              <w:ind w:firstLine="284"/>
              <w:jc w:val="both"/>
              <w:rPr>
                <w:rFonts w:ascii="Times New Roman" w:eastAsia="Times New Roman" w:hAnsi="Times New Roman" w:cs="Times New Roman"/>
                <w:color w:val="000000" w:themeColor="text1"/>
                <w:sz w:val="24"/>
                <w:szCs w:val="24"/>
                <w:lang w:val="lv"/>
              </w:rPr>
            </w:pPr>
          </w:p>
          <w:p w14:paraId="33D722A3" w14:textId="0D012DEA" w:rsidR="007D2656" w:rsidRPr="002C4A1B" w:rsidRDefault="00C95161" w:rsidP="00401BD5">
            <w:pPr>
              <w:spacing w:after="0" w:line="240" w:lineRule="auto"/>
              <w:ind w:firstLine="284"/>
              <w:jc w:val="both"/>
              <w:rPr>
                <w:rFonts w:ascii="Times New Roman" w:eastAsia="Times New Roman" w:hAnsi="Times New Roman" w:cs="Times New Roman"/>
                <w:sz w:val="24"/>
                <w:szCs w:val="24"/>
                <w:lang w:val="lv"/>
              </w:rPr>
            </w:pPr>
            <w:r>
              <w:rPr>
                <w:rFonts w:ascii="Times New Roman" w:eastAsia="Times New Roman" w:hAnsi="Times New Roman" w:cs="Times New Roman"/>
                <w:b/>
                <w:bCs/>
                <w:sz w:val="24"/>
                <w:szCs w:val="24"/>
                <w:lang w:val="lv"/>
              </w:rPr>
              <w:t>Informācijas nosūtīšana</w:t>
            </w:r>
          </w:p>
          <w:p w14:paraId="3FAB791B" w14:textId="78BEA948" w:rsidR="1BA5E260" w:rsidRPr="002C4A1B" w:rsidRDefault="001966EA" w:rsidP="00401BD5">
            <w:pPr>
              <w:spacing w:after="0" w:line="240" w:lineRule="auto"/>
              <w:ind w:firstLine="284"/>
              <w:jc w:val="both"/>
            </w:pPr>
            <w:r w:rsidRPr="001966EA">
              <w:rPr>
                <w:rFonts w:ascii="Times New Roman" w:eastAsia="Times New Roman" w:hAnsi="Times New Roman" w:cs="Times New Roman"/>
                <w:sz w:val="24"/>
                <w:szCs w:val="24"/>
                <w:lang w:val="lv"/>
              </w:rPr>
              <w:t>Projekts paredz pienākumu akciju sabiedrībai savlaicīgi nosūtīt starpniekam informāciju</w:t>
            </w:r>
            <w:r w:rsidR="1BA5E260" w:rsidRPr="002C4A1B">
              <w:rPr>
                <w:rFonts w:ascii="Times New Roman" w:eastAsia="Times New Roman" w:hAnsi="Times New Roman" w:cs="Times New Roman"/>
                <w:sz w:val="24"/>
                <w:szCs w:val="24"/>
                <w:lang w:val="lv"/>
              </w:rPr>
              <w:t xml:space="preserve">, kas nepieciešama akcionāra tiesību izmantošanai, piemēram, informāciju par tiesībām piedalīties akcionāru sapulcē, </w:t>
            </w:r>
            <w:r w:rsidR="00565982" w:rsidRPr="002C4A1B">
              <w:rPr>
                <w:rFonts w:ascii="Times New Roman" w:eastAsia="Times New Roman" w:hAnsi="Times New Roman" w:cs="Times New Roman"/>
                <w:sz w:val="24"/>
                <w:szCs w:val="24"/>
                <w:lang w:val="lv"/>
              </w:rPr>
              <w:t xml:space="preserve">sniegt priekšlikumus par </w:t>
            </w:r>
            <w:r w:rsidR="1BA5E260" w:rsidRPr="002C4A1B">
              <w:rPr>
                <w:rFonts w:ascii="Times New Roman" w:eastAsia="Times New Roman" w:hAnsi="Times New Roman" w:cs="Times New Roman"/>
                <w:sz w:val="24"/>
                <w:szCs w:val="24"/>
                <w:lang w:val="lv"/>
              </w:rPr>
              <w:t>darba kārtību, kā arī informāciju par korporatīvajiem notikumiem (dividenžu izmaksu, akciju konversiju</w:t>
            </w:r>
            <w:r w:rsidR="00565982" w:rsidRPr="002C4A1B">
              <w:rPr>
                <w:rFonts w:ascii="Times New Roman" w:eastAsia="Times New Roman" w:hAnsi="Times New Roman" w:cs="Times New Roman"/>
                <w:sz w:val="24"/>
                <w:szCs w:val="24"/>
                <w:lang w:val="lv"/>
              </w:rPr>
              <w:t xml:space="preserve"> u.</w:t>
            </w:r>
            <w:r w:rsidR="00494EDC" w:rsidRPr="002C4A1B">
              <w:rPr>
                <w:rFonts w:ascii="Times New Roman" w:eastAsia="Times New Roman" w:hAnsi="Times New Roman" w:cs="Times New Roman"/>
                <w:sz w:val="24"/>
                <w:szCs w:val="24"/>
                <w:lang w:val="lv"/>
              </w:rPr>
              <w:t> </w:t>
            </w:r>
            <w:r w:rsidR="00565982" w:rsidRPr="002C4A1B">
              <w:rPr>
                <w:rFonts w:ascii="Times New Roman" w:eastAsia="Times New Roman" w:hAnsi="Times New Roman" w:cs="Times New Roman"/>
                <w:sz w:val="24"/>
                <w:szCs w:val="24"/>
                <w:lang w:val="lv"/>
              </w:rPr>
              <w:t>c.</w:t>
            </w:r>
            <w:r w:rsidR="00153774" w:rsidRPr="002C4A1B">
              <w:rPr>
                <w:rFonts w:ascii="Times New Roman" w:eastAsia="Times New Roman" w:hAnsi="Times New Roman" w:cs="Times New Roman"/>
                <w:sz w:val="24"/>
                <w:szCs w:val="24"/>
                <w:lang w:val="lv"/>
              </w:rPr>
              <w:t xml:space="preserve"> notikumiem). </w:t>
            </w:r>
            <w:r w:rsidR="1BA5E260" w:rsidRPr="002C4A1B">
              <w:rPr>
                <w:rFonts w:ascii="Times New Roman" w:eastAsia="Times New Roman" w:hAnsi="Times New Roman" w:cs="Times New Roman"/>
                <w:sz w:val="24"/>
                <w:szCs w:val="24"/>
                <w:lang w:val="lv"/>
              </w:rPr>
              <w:t>Ja informācija, kas nepieciešama akcionāra tiesību izmantošanai</w:t>
            </w:r>
            <w:r w:rsidR="00A505F5" w:rsidRPr="002C4A1B">
              <w:rPr>
                <w:rFonts w:ascii="Times New Roman" w:eastAsia="Times New Roman" w:hAnsi="Times New Roman" w:cs="Times New Roman"/>
                <w:sz w:val="24"/>
                <w:szCs w:val="24"/>
                <w:lang w:val="lv"/>
              </w:rPr>
              <w:t>,</w:t>
            </w:r>
            <w:r w:rsidR="1BA5E260" w:rsidRPr="002C4A1B">
              <w:rPr>
                <w:rFonts w:ascii="Times New Roman" w:eastAsia="Times New Roman" w:hAnsi="Times New Roman" w:cs="Times New Roman"/>
                <w:sz w:val="24"/>
                <w:szCs w:val="24"/>
                <w:lang w:val="lv"/>
              </w:rPr>
              <w:t xml:space="preserve"> ir publicēta </w:t>
            </w:r>
            <w:r w:rsidR="00052720" w:rsidRPr="002C4A1B">
              <w:rPr>
                <w:rFonts w:ascii="Times New Roman" w:eastAsia="Times New Roman" w:hAnsi="Times New Roman" w:cs="Times New Roman"/>
                <w:sz w:val="24"/>
                <w:szCs w:val="24"/>
                <w:lang w:val="lv"/>
              </w:rPr>
              <w:t xml:space="preserve">akciju </w:t>
            </w:r>
            <w:r w:rsidR="1BA5E260" w:rsidRPr="002C4A1B">
              <w:rPr>
                <w:rFonts w:ascii="Times New Roman" w:eastAsia="Times New Roman" w:hAnsi="Times New Roman" w:cs="Times New Roman"/>
                <w:sz w:val="24"/>
                <w:szCs w:val="24"/>
                <w:lang w:val="lv"/>
              </w:rPr>
              <w:t xml:space="preserve">sabiedrības mājaslapā, </w:t>
            </w:r>
            <w:r w:rsidR="00052720" w:rsidRPr="002C4A1B">
              <w:rPr>
                <w:rFonts w:ascii="Times New Roman" w:eastAsia="Times New Roman" w:hAnsi="Times New Roman" w:cs="Times New Roman"/>
                <w:sz w:val="24"/>
                <w:szCs w:val="24"/>
                <w:lang w:val="lv"/>
              </w:rPr>
              <w:t xml:space="preserve">akciju </w:t>
            </w:r>
            <w:r w:rsidR="1BA5E260" w:rsidRPr="002C4A1B">
              <w:rPr>
                <w:rFonts w:ascii="Times New Roman" w:eastAsia="Times New Roman" w:hAnsi="Times New Roman" w:cs="Times New Roman"/>
                <w:sz w:val="24"/>
                <w:szCs w:val="24"/>
                <w:lang w:val="lv"/>
              </w:rPr>
              <w:t xml:space="preserve">sabiedrība var prasīt starpniekiem, lai akcionāram tiktu nosūtīts paziņojums ar norādi, kur </w:t>
            </w:r>
            <w:r w:rsidR="00052720" w:rsidRPr="002C4A1B">
              <w:rPr>
                <w:rFonts w:ascii="Times New Roman" w:eastAsia="Times New Roman" w:hAnsi="Times New Roman" w:cs="Times New Roman"/>
                <w:sz w:val="24"/>
                <w:szCs w:val="24"/>
                <w:lang w:val="lv"/>
              </w:rPr>
              <w:t xml:space="preserve">akciju </w:t>
            </w:r>
            <w:r w:rsidR="1BA5E260" w:rsidRPr="002C4A1B">
              <w:rPr>
                <w:rFonts w:ascii="Times New Roman" w:eastAsia="Times New Roman" w:hAnsi="Times New Roman" w:cs="Times New Roman"/>
                <w:sz w:val="24"/>
                <w:szCs w:val="24"/>
                <w:lang w:val="lv"/>
              </w:rPr>
              <w:t>sabiedrības mājaslapā šī informācija ir pieejama (pi</w:t>
            </w:r>
            <w:r w:rsidR="7AC721E9" w:rsidRPr="002C4A1B">
              <w:rPr>
                <w:rFonts w:ascii="Times New Roman" w:eastAsia="Times New Roman" w:hAnsi="Times New Roman" w:cs="Times New Roman"/>
                <w:sz w:val="24"/>
                <w:szCs w:val="24"/>
                <w:lang w:val="lv"/>
              </w:rPr>
              <w:t>e</w:t>
            </w:r>
            <w:r w:rsidR="1BA5E260" w:rsidRPr="002C4A1B">
              <w:rPr>
                <w:rFonts w:ascii="Times New Roman" w:eastAsia="Times New Roman" w:hAnsi="Times New Roman" w:cs="Times New Roman"/>
                <w:sz w:val="24"/>
                <w:szCs w:val="24"/>
                <w:lang w:val="lv"/>
              </w:rPr>
              <w:t>mēram, saite uz attiecīgo informāciju vai precīzs mājasl</w:t>
            </w:r>
            <w:r w:rsidR="00EBE697" w:rsidRPr="002C4A1B">
              <w:rPr>
                <w:rFonts w:ascii="Times New Roman" w:eastAsia="Times New Roman" w:hAnsi="Times New Roman" w:cs="Times New Roman"/>
                <w:sz w:val="24"/>
                <w:szCs w:val="24"/>
                <w:lang w:val="lv"/>
              </w:rPr>
              <w:t>a</w:t>
            </w:r>
            <w:r w:rsidR="1BA5E260" w:rsidRPr="002C4A1B">
              <w:rPr>
                <w:rFonts w:ascii="Times New Roman" w:eastAsia="Times New Roman" w:hAnsi="Times New Roman" w:cs="Times New Roman"/>
                <w:sz w:val="24"/>
                <w:szCs w:val="24"/>
                <w:lang w:val="lv"/>
              </w:rPr>
              <w:t xml:space="preserve">pas sadaļas apraksts, kas ļauj akcionāram viegli atrast </w:t>
            </w:r>
            <w:r w:rsidR="00EBE697" w:rsidRPr="002C4A1B">
              <w:rPr>
                <w:rFonts w:ascii="Times New Roman" w:eastAsia="Times New Roman" w:hAnsi="Times New Roman" w:cs="Times New Roman"/>
                <w:sz w:val="24"/>
                <w:szCs w:val="24"/>
                <w:lang w:val="lv"/>
              </w:rPr>
              <w:t xml:space="preserve">vajadzīgo </w:t>
            </w:r>
            <w:r w:rsidR="1BA5E260" w:rsidRPr="002C4A1B">
              <w:rPr>
                <w:rFonts w:ascii="Times New Roman" w:eastAsia="Times New Roman" w:hAnsi="Times New Roman" w:cs="Times New Roman"/>
                <w:sz w:val="24"/>
                <w:szCs w:val="24"/>
                <w:lang w:val="lv"/>
              </w:rPr>
              <w:t>informāciju). Projekt</w:t>
            </w:r>
            <w:r w:rsidR="138C0969" w:rsidRPr="002C4A1B">
              <w:rPr>
                <w:rFonts w:ascii="Times New Roman" w:eastAsia="Times New Roman" w:hAnsi="Times New Roman" w:cs="Times New Roman"/>
                <w:sz w:val="24"/>
                <w:szCs w:val="24"/>
                <w:lang w:val="lv"/>
              </w:rPr>
              <w:t>ā vispārīgi nostiprināt</w:t>
            </w:r>
            <w:r w:rsidR="257706D1" w:rsidRPr="002C4A1B">
              <w:rPr>
                <w:rFonts w:ascii="Times New Roman" w:eastAsia="Times New Roman" w:hAnsi="Times New Roman" w:cs="Times New Roman"/>
                <w:sz w:val="24"/>
                <w:szCs w:val="24"/>
                <w:lang w:val="lv"/>
              </w:rPr>
              <w:t>a</w:t>
            </w:r>
            <w:r w:rsidR="138C0969" w:rsidRPr="002C4A1B">
              <w:rPr>
                <w:rFonts w:ascii="Times New Roman" w:eastAsia="Times New Roman" w:hAnsi="Times New Roman" w:cs="Times New Roman"/>
                <w:sz w:val="24"/>
                <w:szCs w:val="24"/>
                <w:lang w:val="lv"/>
              </w:rPr>
              <w:t>s</w:t>
            </w:r>
            <w:r w:rsidR="1BA5E260" w:rsidRPr="002C4A1B">
              <w:rPr>
                <w:rFonts w:ascii="Times New Roman" w:eastAsia="Times New Roman" w:hAnsi="Times New Roman" w:cs="Times New Roman"/>
                <w:sz w:val="24"/>
                <w:szCs w:val="24"/>
                <w:lang w:val="lv"/>
              </w:rPr>
              <w:t xml:space="preserve"> arī akcionāra </w:t>
            </w:r>
            <w:r w:rsidR="12956E20" w:rsidRPr="002C4A1B">
              <w:rPr>
                <w:rFonts w:ascii="Times New Roman" w:eastAsia="Times New Roman" w:hAnsi="Times New Roman" w:cs="Times New Roman"/>
                <w:sz w:val="24"/>
                <w:szCs w:val="24"/>
                <w:lang w:val="lv"/>
              </w:rPr>
              <w:t xml:space="preserve">tiesības </w:t>
            </w:r>
            <w:r w:rsidR="009F5082" w:rsidRPr="002C4A1B">
              <w:rPr>
                <w:rFonts w:ascii="Times New Roman" w:eastAsia="Times New Roman" w:hAnsi="Times New Roman" w:cs="Times New Roman"/>
                <w:sz w:val="24"/>
                <w:szCs w:val="24"/>
                <w:lang w:val="lv"/>
              </w:rPr>
              <w:t xml:space="preserve">ar starpnieku starpniecību </w:t>
            </w:r>
            <w:r w:rsidR="1BA5E260" w:rsidRPr="002C4A1B">
              <w:rPr>
                <w:rFonts w:ascii="Times New Roman" w:eastAsia="Times New Roman" w:hAnsi="Times New Roman" w:cs="Times New Roman"/>
                <w:sz w:val="24"/>
                <w:szCs w:val="24"/>
                <w:lang w:val="lv"/>
              </w:rPr>
              <w:t xml:space="preserve">nodot informāciju </w:t>
            </w:r>
            <w:r w:rsidR="00052720" w:rsidRPr="002C4A1B">
              <w:rPr>
                <w:rFonts w:ascii="Times New Roman" w:eastAsia="Times New Roman" w:hAnsi="Times New Roman" w:cs="Times New Roman"/>
                <w:sz w:val="24"/>
                <w:szCs w:val="24"/>
                <w:lang w:val="lv"/>
              </w:rPr>
              <w:t xml:space="preserve">akciju </w:t>
            </w:r>
            <w:r w:rsidR="1BA5E260" w:rsidRPr="002C4A1B">
              <w:rPr>
                <w:rFonts w:ascii="Times New Roman" w:eastAsia="Times New Roman" w:hAnsi="Times New Roman" w:cs="Times New Roman"/>
                <w:sz w:val="24"/>
                <w:szCs w:val="24"/>
                <w:lang w:val="lv"/>
              </w:rPr>
              <w:t>sabiedrībai. Detalizēta kārtība informācijas nosūtīšanai noteikta Īstenošanas regulā.</w:t>
            </w:r>
          </w:p>
          <w:p w14:paraId="34BCDFF2" w14:textId="77777777" w:rsidR="00401BD5" w:rsidRPr="002C4A1B" w:rsidRDefault="00401BD5" w:rsidP="00401BD5">
            <w:pPr>
              <w:spacing w:after="0" w:line="240" w:lineRule="auto"/>
              <w:ind w:firstLine="284"/>
              <w:jc w:val="both"/>
              <w:rPr>
                <w:rFonts w:ascii="Times New Roman" w:eastAsia="Times New Roman" w:hAnsi="Times New Roman" w:cs="Times New Roman"/>
                <w:b/>
                <w:bCs/>
                <w:sz w:val="24"/>
                <w:szCs w:val="24"/>
                <w:lang w:val="lv"/>
              </w:rPr>
            </w:pPr>
          </w:p>
          <w:p w14:paraId="5237A4C3" w14:textId="3BB89F1D" w:rsidR="00401BD5" w:rsidRPr="002C4A1B" w:rsidRDefault="2F97DE69"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Akcionāru tiesību izmantošanas veicināšana</w:t>
            </w:r>
          </w:p>
          <w:p w14:paraId="74C3900F" w14:textId="6B0CF71D" w:rsidR="7EE11621" w:rsidRPr="002C4A1B" w:rsidRDefault="01528445" w:rsidP="00FE3642">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sz w:val="24"/>
                <w:szCs w:val="24"/>
                <w:lang w:val="lv"/>
              </w:rPr>
              <w:t xml:space="preserve">Projekta mērķis ir panākt, lai starpnieki sekmētu akcionāra tiesību izmantošanu. Projektā vispārīgi </w:t>
            </w:r>
            <w:r w:rsidRPr="002C4A1B">
              <w:rPr>
                <w:rFonts w:ascii="Times New Roman" w:eastAsia="Times New Roman" w:hAnsi="Times New Roman" w:cs="Times New Roman"/>
                <w:color w:val="000000" w:themeColor="text1"/>
                <w:sz w:val="24"/>
                <w:szCs w:val="24"/>
                <w:lang w:val="lv"/>
              </w:rPr>
              <w:t xml:space="preserve">nostiprināts </w:t>
            </w:r>
            <w:r w:rsidR="00B061C2" w:rsidRPr="002C4A1B">
              <w:rPr>
                <w:rFonts w:ascii="Times New Roman" w:eastAsia="Times New Roman" w:hAnsi="Times New Roman" w:cs="Times New Roman"/>
                <w:color w:val="000000" w:themeColor="text1"/>
                <w:sz w:val="24"/>
                <w:szCs w:val="24"/>
                <w:lang w:val="lv"/>
              </w:rPr>
              <w:t xml:space="preserve">princips </w:t>
            </w:r>
            <w:r w:rsidRPr="002C4A1B">
              <w:rPr>
                <w:rFonts w:ascii="Times New Roman" w:eastAsia="Times New Roman" w:hAnsi="Times New Roman" w:cs="Times New Roman"/>
                <w:color w:val="000000" w:themeColor="text1"/>
                <w:sz w:val="24"/>
                <w:szCs w:val="24"/>
                <w:lang w:val="lv"/>
              </w:rPr>
              <w:t>starpniekam veikt visus iespējamos pasākumus, lai veicinātu akcionāra tiesību izlietošanu, t.</w:t>
            </w:r>
            <w:r w:rsidR="00401BD5" w:rsidRPr="002C4A1B">
              <w:rPr>
                <w:rFonts w:ascii="Times New Roman" w:eastAsia="Times New Roman" w:hAnsi="Times New Roman" w:cs="Times New Roman"/>
                <w:color w:val="000000" w:themeColor="text1"/>
                <w:sz w:val="24"/>
                <w:szCs w:val="24"/>
                <w:lang w:val="lv"/>
              </w:rPr>
              <w:t> </w:t>
            </w:r>
            <w:r w:rsidRPr="002C4A1B">
              <w:rPr>
                <w:rFonts w:ascii="Times New Roman" w:eastAsia="Times New Roman" w:hAnsi="Times New Roman" w:cs="Times New Roman"/>
                <w:color w:val="000000" w:themeColor="text1"/>
                <w:sz w:val="24"/>
                <w:szCs w:val="24"/>
                <w:lang w:val="lv"/>
              </w:rPr>
              <w:t xml:space="preserve">sk. </w:t>
            </w:r>
            <w:r w:rsidRPr="002C4A1B">
              <w:rPr>
                <w:rFonts w:ascii="Times New Roman" w:eastAsia="Times New Roman" w:hAnsi="Times New Roman" w:cs="Times New Roman"/>
                <w:color w:val="000000" w:themeColor="text1"/>
                <w:sz w:val="24"/>
                <w:szCs w:val="24"/>
                <w:lang w:val="lv"/>
              </w:rPr>
              <w:lastRenderedPageBreak/>
              <w:t xml:space="preserve">piedalīšanos akcionāru sapulcē. Starpnieks pats akcionāru sapulcē var piedalīties tikai akcionāra tiešā uzdevumā. </w:t>
            </w:r>
            <w:r w:rsidR="008B5449" w:rsidRPr="002C4A1B">
              <w:rPr>
                <w:rFonts w:ascii="Times New Roman" w:eastAsia="Times New Roman" w:hAnsi="Times New Roman" w:cs="Times New Roman"/>
                <w:color w:val="000000" w:themeColor="text1"/>
                <w:sz w:val="24"/>
                <w:szCs w:val="24"/>
                <w:lang w:val="lv"/>
              </w:rPr>
              <w:t>Gadījumos, kad balsošana akcionāru sapulcē notiek, izmantojot elektroniskos līdzekļus, p</w:t>
            </w:r>
            <w:r w:rsidRPr="002C4A1B">
              <w:rPr>
                <w:rFonts w:ascii="Times New Roman" w:eastAsia="Times New Roman" w:hAnsi="Times New Roman" w:cs="Times New Roman"/>
                <w:color w:val="000000" w:themeColor="text1"/>
                <w:sz w:val="24"/>
                <w:szCs w:val="24"/>
                <w:lang w:val="lv"/>
              </w:rPr>
              <w:t xml:space="preserve">rojekts nosaka vispārīgas </w:t>
            </w:r>
            <w:r w:rsidR="008B5449" w:rsidRPr="002C4A1B">
              <w:rPr>
                <w:rFonts w:ascii="Times New Roman" w:eastAsia="Times New Roman" w:hAnsi="Times New Roman" w:cs="Times New Roman"/>
                <w:color w:val="000000" w:themeColor="text1"/>
                <w:sz w:val="24"/>
                <w:szCs w:val="24"/>
                <w:lang w:val="lv"/>
              </w:rPr>
              <w:t>tiesības personām saņemt</w:t>
            </w:r>
            <w:r w:rsidRPr="002C4A1B">
              <w:rPr>
                <w:rFonts w:ascii="Times New Roman" w:eastAsia="Times New Roman" w:hAnsi="Times New Roman" w:cs="Times New Roman"/>
                <w:color w:val="000000" w:themeColor="text1"/>
                <w:sz w:val="24"/>
                <w:szCs w:val="24"/>
                <w:lang w:val="lv"/>
              </w:rPr>
              <w:t xml:space="preserve"> </w:t>
            </w:r>
            <w:r w:rsidR="22068EA8" w:rsidRPr="002C4A1B">
              <w:rPr>
                <w:rFonts w:ascii="Times New Roman" w:eastAsia="Times New Roman" w:hAnsi="Times New Roman" w:cs="Times New Roman"/>
                <w:color w:val="000000" w:themeColor="text1"/>
                <w:sz w:val="24"/>
                <w:szCs w:val="24"/>
                <w:lang w:val="lv"/>
              </w:rPr>
              <w:t>apstiprinājum</w:t>
            </w:r>
            <w:r w:rsidR="008B5449" w:rsidRPr="002C4A1B">
              <w:rPr>
                <w:rFonts w:ascii="Times New Roman" w:eastAsia="Times New Roman" w:hAnsi="Times New Roman" w:cs="Times New Roman"/>
                <w:color w:val="000000" w:themeColor="text1"/>
                <w:sz w:val="24"/>
                <w:szCs w:val="24"/>
                <w:lang w:val="lv"/>
              </w:rPr>
              <w:t xml:space="preserve">u, ka </w:t>
            </w:r>
            <w:r w:rsidR="0065790C" w:rsidRPr="002C4A1B">
              <w:rPr>
                <w:rFonts w:ascii="Times New Roman" w:eastAsia="Times New Roman" w:hAnsi="Times New Roman" w:cs="Times New Roman"/>
                <w:color w:val="000000" w:themeColor="text1"/>
                <w:sz w:val="24"/>
                <w:szCs w:val="24"/>
                <w:lang w:val="lv"/>
              </w:rPr>
              <w:t xml:space="preserve">akciju sabiedrība ir saņēmusi </w:t>
            </w:r>
            <w:r w:rsidR="008403AC" w:rsidRPr="002C4A1B">
              <w:rPr>
                <w:rFonts w:ascii="Times New Roman" w:eastAsia="Times New Roman" w:hAnsi="Times New Roman" w:cs="Times New Roman"/>
                <w:color w:val="000000" w:themeColor="text1"/>
                <w:sz w:val="24"/>
                <w:szCs w:val="24"/>
                <w:lang w:val="lv"/>
              </w:rPr>
              <w:t xml:space="preserve">elektroniskā veidā </w:t>
            </w:r>
            <w:r w:rsidR="008B5449" w:rsidRPr="002C4A1B">
              <w:rPr>
                <w:rFonts w:ascii="Times New Roman" w:eastAsia="Times New Roman" w:hAnsi="Times New Roman" w:cs="Times New Roman"/>
                <w:color w:val="000000" w:themeColor="text1"/>
                <w:sz w:val="24"/>
                <w:szCs w:val="24"/>
                <w:lang w:val="lv"/>
              </w:rPr>
              <w:t xml:space="preserve">nodotās balsis. </w:t>
            </w:r>
            <w:r w:rsidR="00641CC8" w:rsidRPr="002C4A1B">
              <w:rPr>
                <w:rFonts w:ascii="Times New Roman" w:eastAsia="Times New Roman" w:hAnsi="Times New Roman" w:cs="Times New Roman"/>
                <w:color w:val="000000" w:themeColor="text1"/>
                <w:sz w:val="24"/>
                <w:szCs w:val="24"/>
                <w:lang w:val="lv"/>
              </w:rPr>
              <w:t xml:space="preserve">Tāpat projekts paredz akcionāram tiesības prasīt apstiprinājumu, ka viņa </w:t>
            </w:r>
            <w:r w:rsidR="00666F4D" w:rsidRPr="002C4A1B">
              <w:rPr>
                <w:rFonts w:ascii="Times New Roman" w:eastAsia="Times New Roman" w:hAnsi="Times New Roman" w:cs="Times New Roman"/>
                <w:color w:val="000000" w:themeColor="text1"/>
                <w:sz w:val="24"/>
                <w:szCs w:val="24"/>
                <w:lang w:val="lv"/>
              </w:rPr>
              <w:t xml:space="preserve">elektroniski </w:t>
            </w:r>
            <w:r w:rsidR="00641CC8" w:rsidRPr="002C4A1B">
              <w:rPr>
                <w:rFonts w:ascii="Times New Roman" w:eastAsia="Times New Roman" w:hAnsi="Times New Roman" w:cs="Times New Roman"/>
                <w:color w:val="000000" w:themeColor="text1"/>
                <w:sz w:val="24"/>
                <w:szCs w:val="24"/>
                <w:lang w:val="lv"/>
              </w:rPr>
              <w:t>nodotās balsis ir n</w:t>
            </w:r>
            <w:r w:rsidR="008B5449" w:rsidRPr="002C4A1B">
              <w:rPr>
                <w:rFonts w:ascii="Times New Roman" w:eastAsia="Times New Roman" w:hAnsi="Times New Roman" w:cs="Times New Roman"/>
                <w:color w:val="000000" w:themeColor="text1"/>
                <w:sz w:val="24"/>
                <w:szCs w:val="24"/>
                <w:lang w:val="lv"/>
              </w:rPr>
              <w:t>ormatīvajos aktos noteiktajā kārtībā reģistrētas</w:t>
            </w:r>
            <w:r w:rsidR="005B2B09" w:rsidRPr="002C4A1B">
              <w:rPr>
                <w:rFonts w:ascii="Times New Roman" w:eastAsia="Times New Roman" w:hAnsi="Times New Roman" w:cs="Times New Roman"/>
                <w:color w:val="000000" w:themeColor="text1"/>
                <w:sz w:val="24"/>
                <w:szCs w:val="24"/>
                <w:lang w:val="lv"/>
              </w:rPr>
              <w:t>.</w:t>
            </w:r>
            <w:r w:rsidR="008B5449" w:rsidRPr="002C4A1B">
              <w:rPr>
                <w:rFonts w:ascii="Times New Roman" w:eastAsia="Times New Roman" w:hAnsi="Times New Roman" w:cs="Times New Roman"/>
                <w:color w:val="000000" w:themeColor="text1"/>
                <w:sz w:val="24"/>
                <w:szCs w:val="24"/>
                <w:lang w:val="lv"/>
              </w:rPr>
              <w:t xml:space="preserve"> </w:t>
            </w:r>
            <w:r w:rsidR="00785751" w:rsidRPr="002C4A1B">
              <w:rPr>
                <w:rFonts w:ascii="Times New Roman" w:eastAsia="Times New Roman" w:hAnsi="Times New Roman" w:cs="Times New Roman"/>
                <w:color w:val="000000" w:themeColor="text1"/>
                <w:sz w:val="24"/>
                <w:szCs w:val="24"/>
                <w:lang w:val="lv"/>
              </w:rPr>
              <w:t>Projekts paredz</w:t>
            </w:r>
            <w:r w:rsidR="003C61BD" w:rsidRPr="002C4A1B">
              <w:rPr>
                <w:rFonts w:ascii="Times New Roman" w:eastAsia="Times New Roman" w:hAnsi="Times New Roman" w:cs="Times New Roman"/>
                <w:color w:val="000000" w:themeColor="text1"/>
                <w:sz w:val="24"/>
                <w:szCs w:val="24"/>
                <w:lang w:val="lv"/>
              </w:rPr>
              <w:t>,</w:t>
            </w:r>
            <w:r w:rsidR="00666F4D" w:rsidRPr="002C4A1B">
              <w:rPr>
                <w:rFonts w:ascii="Times New Roman" w:eastAsia="Times New Roman" w:hAnsi="Times New Roman" w:cs="Times New Roman"/>
                <w:color w:val="000000" w:themeColor="text1"/>
                <w:sz w:val="24"/>
                <w:szCs w:val="24"/>
                <w:lang w:val="lv"/>
              </w:rPr>
              <w:t xml:space="preserve"> ka</w:t>
            </w:r>
            <w:r w:rsidR="003C61BD" w:rsidRPr="002C4A1B">
              <w:rPr>
                <w:rFonts w:ascii="Times New Roman" w:eastAsia="Times New Roman" w:hAnsi="Times New Roman" w:cs="Times New Roman"/>
                <w:color w:val="000000" w:themeColor="text1"/>
                <w:sz w:val="24"/>
                <w:szCs w:val="24"/>
                <w:lang w:val="lv"/>
              </w:rPr>
              <w:t xml:space="preserve"> mēneša laikā pēc attiecīgās akcionāru sapulces, kurā akcionārs piedalījies un balsojis, tas varēs pieprasīt informāciju, lai pārliecinātos, ka viņa nodotās balsis ir pareizi </w:t>
            </w:r>
            <w:r w:rsidR="00FE3642" w:rsidRPr="002C4A1B">
              <w:rPr>
                <w:rFonts w:ascii="Times New Roman" w:eastAsia="Times New Roman" w:hAnsi="Times New Roman" w:cs="Times New Roman"/>
                <w:color w:val="000000" w:themeColor="text1"/>
                <w:sz w:val="24"/>
                <w:szCs w:val="24"/>
                <w:lang w:val="lv"/>
              </w:rPr>
              <w:t>reģistrētas un saskaitītas.</w:t>
            </w:r>
            <w:r w:rsidR="2B5FE02D" w:rsidRPr="002C4A1B">
              <w:rPr>
                <w:rFonts w:ascii="Times New Roman" w:eastAsia="Times New Roman" w:hAnsi="Times New Roman" w:cs="Times New Roman"/>
                <w:color w:val="000000" w:themeColor="text1"/>
                <w:sz w:val="24"/>
                <w:szCs w:val="24"/>
                <w:lang w:val="lv"/>
              </w:rPr>
              <w:t xml:space="preserve"> </w:t>
            </w:r>
            <w:r w:rsidRPr="002C4A1B">
              <w:rPr>
                <w:rFonts w:ascii="Times New Roman" w:eastAsia="Times New Roman" w:hAnsi="Times New Roman" w:cs="Times New Roman"/>
                <w:color w:val="000000" w:themeColor="text1"/>
                <w:sz w:val="24"/>
                <w:szCs w:val="24"/>
                <w:lang w:val="lv"/>
              </w:rPr>
              <w:t>Detalizēta kārtība attiecībā uz akcionāra tiesību izmantošanas veicināšanu noteikta Īstenošanas regulā.</w:t>
            </w:r>
          </w:p>
          <w:p w14:paraId="64248227" w14:textId="6652861B" w:rsidR="00A4667F" w:rsidRPr="002C4A1B" w:rsidRDefault="00A4667F" w:rsidP="00401BD5">
            <w:pPr>
              <w:spacing w:after="0" w:line="240" w:lineRule="auto"/>
              <w:ind w:firstLine="284"/>
              <w:jc w:val="both"/>
              <w:rPr>
                <w:rFonts w:ascii="Times New Roman" w:eastAsia="Times New Roman" w:hAnsi="Times New Roman" w:cs="Times New Roman"/>
                <w:color w:val="000000" w:themeColor="text1"/>
                <w:sz w:val="24"/>
                <w:szCs w:val="24"/>
                <w:lang w:val="lv"/>
              </w:rPr>
            </w:pPr>
            <w:r w:rsidRPr="002C4A1B">
              <w:rPr>
                <w:rFonts w:ascii="Times New Roman" w:eastAsia="Times New Roman" w:hAnsi="Times New Roman" w:cs="Times New Roman"/>
                <w:color w:val="000000" w:themeColor="text1"/>
                <w:sz w:val="24"/>
                <w:szCs w:val="24"/>
                <w:lang w:val="lv"/>
              </w:rPr>
              <w:t xml:space="preserve">Arī šobrīd </w:t>
            </w:r>
            <w:r w:rsidR="001354FB" w:rsidRPr="002C4A1B">
              <w:rPr>
                <w:rFonts w:ascii="Times New Roman" w:eastAsia="Times New Roman" w:hAnsi="Times New Roman" w:cs="Times New Roman"/>
                <w:color w:val="000000" w:themeColor="text1"/>
                <w:sz w:val="24"/>
                <w:szCs w:val="24"/>
                <w:lang w:val="lv"/>
              </w:rPr>
              <w:t>atbilstoši FITL 129.</w:t>
            </w:r>
            <w:r w:rsidR="001354FB" w:rsidRPr="002C4A1B">
              <w:rPr>
                <w:rFonts w:ascii="Times New Roman" w:eastAsia="Times New Roman" w:hAnsi="Times New Roman" w:cs="Times New Roman"/>
                <w:color w:val="000000" w:themeColor="text1"/>
                <w:sz w:val="24"/>
                <w:szCs w:val="24"/>
                <w:vertAlign w:val="superscript"/>
                <w:lang w:val="lv"/>
              </w:rPr>
              <w:t>1</w:t>
            </w:r>
            <w:r w:rsidR="00494EDC" w:rsidRPr="002C4A1B">
              <w:rPr>
                <w:rFonts w:ascii="Times New Roman" w:eastAsia="Times New Roman" w:hAnsi="Times New Roman" w:cs="Times New Roman"/>
                <w:color w:val="000000" w:themeColor="text1"/>
                <w:sz w:val="24"/>
                <w:szCs w:val="24"/>
                <w:lang w:val="lv"/>
              </w:rPr>
              <w:t> </w:t>
            </w:r>
            <w:r w:rsidR="001354FB" w:rsidRPr="002C4A1B">
              <w:rPr>
                <w:rFonts w:ascii="Times New Roman" w:eastAsia="Times New Roman" w:hAnsi="Times New Roman" w:cs="Times New Roman"/>
                <w:color w:val="000000" w:themeColor="text1"/>
                <w:sz w:val="24"/>
                <w:szCs w:val="24"/>
                <w:lang w:val="lv"/>
              </w:rPr>
              <w:t xml:space="preserve">pantam </w:t>
            </w:r>
            <w:r w:rsidR="007A1602" w:rsidRPr="002C4A1B">
              <w:rPr>
                <w:rFonts w:ascii="Times New Roman" w:eastAsia="Times New Roman" w:hAnsi="Times New Roman" w:cs="Times New Roman"/>
                <w:color w:val="000000" w:themeColor="text1"/>
                <w:sz w:val="24"/>
                <w:szCs w:val="24"/>
                <w:lang w:val="lv"/>
              </w:rPr>
              <w:t xml:space="preserve">finanšu instrumentu turēšanas kā ieguldījumu </w:t>
            </w:r>
            <w:proofErr w:type="spellStart"/>
            <w:r w:rsidR="007A1602" w:rsidRPr="002C4A1B">
              <w:rPr>
                <w:rFonts w:ascii="Times New Roman" w:eastAsia="Times New Roman" w:hAnsi="Times New Roman" w:cs="Times New Roman"/>
                <w:color w:val="000000" w:themeColor="text1"/>
                <w:sz w:val="24"/>
                <w:szCs w:val="24"/>
                <w:lang w:val="lv"/>
              </w:rPr>
              <w:t>blakuspakalpojuma</w:t>
            </w:r>
            <w:proofErr w:type="spellEnd"/>
            <w:r w:rsidR="007A1602" w:rsidRPr="002C4A1B">
              <w:rPr>
                <w:rFonts w:ascii="Times New Roman" w:eastAsia="Times New Roman" w:hAnsi="Times New Roman" w:cs="Times New Roman"/>
                <w:color w:val="000000" w:themeColor="text1"/>
                <w:sz w:val="24"/>
                <w:szCs w:val="24"/>
                <w:lang w:val="lv"/>
              </w:rPr>
              <w:t xml:space="preserve"> sniegšanas gadījumā, ieguldījumu brokeru sabiedrībai un kredītiestādei</w:t>
            </w:r>
            <w:r w:rsidR="00666F4D" w:rsidRPr="002C4A1B">
              <w:rPr>
                <w:rFonts w:ascii="Times New Roman" w:eastAsia="Times New Roman" w:hAnsi="Times New Roman" w:cs="Times New Roman"/>
                <w:color w:val="000000" w:themeColor="text1"/>
                <w:sz w:val="24"/>
                <w:szCs w:val="24"/>
                <w:lang w:val="lv"/>
              </w:rPr>
              <w:t xml:space="preserve">, kā arī citām personām, kuras ir tiesīgas sniegt </w:t>
            </w:r>
            <w:r w:rsidR="008403AC" w:rsidRPr="002C4A1B">
              <w:rPr>
                <w:rFonts w:ascii="Times New Roman" w:eastAsia="Times New Roman" w:hAnsi="Times New Roman" w:cs="Times New Roman"/>
                <w:color w:val="000000" w:themeColor="text1"/>
                <w:sz w:val="24"/>
                <w:szCs w:val="24"/>
                <w:lang w:val="lv"/>
              </w:rPr>
              <w:t>portfeļa pārvaldības pakalpojum</w:t>
            </w:r>
            <w:r w:rsidR="00666F4D" w:rsidRPr="002C4A1B">
              <w:rPr>
                <w:rFonts w:ascii="Times New Roman" w:eastAsia="Times New Roman" w:hAnsi="Times New Roman" w:cs="Times New Roman"/>
                <w:color w:val="000000" w:themeColor="text1"/>
                <w:sz w:val="24"/>
                <w:szCs w:val="24"/>
                <w:lang w:val="lv"/>
              </w:rPr>
              <w:t>u,</w:t>
            </w:r>
            <w:r w:rsidR="001354FB" w:rsidRPr="002C4A1B">
              <w:rPr>
                <w:rFonts w:ascii="Times New Roman" w:eastAsia="Times New Roman" w:hAnsi="Times New Roman" w:cs="Times New Roman"/>
                <w:color w:val="000000" w:themeColor="text1"/>
                <w:sz w:val="24"/>
                <w:szCs w:val="24"/>
                <w:lang w:val="lv"/>
              </w:rPr>
              <w:t xml:space="preserve"> ir pienākums </w:t>
            </w:r>
            <w:r w:rsidR="000E5400" w:rsidRPr="002C4A1B">
              <w:rPr>
                <w:rFonts w:ascii="Times New Roman" w:eastAsia="Times New Roman" w:hAnsi="Times New Roman" w:cs="Times New Roman"/>
                <w:color w:val="000000" w:themeColor="text1"/>
                <w:sz w:val="24"/>
                <w:szCs w:val="24"/>
                <w:lang w:val="lv"/>
              </w:rPr>
              <w:t xml:space="preserve">sniegt </w:t>
            </w:r>
            <w:r w:rsidR="00CF0EA2" w:rsidRPr="002C4A1B">
              <w:rPr>
                <w:rFonts w:ascii="Times New Roman" w:eastAsia="Times New Roman" w:hAnsi="Times New Roman" w:cs="Times New Roman"/>
                <w:color w:val="000000" w:themeColor="text1"/>
                <w:sz w:val="24"/>
                <w:szCs w:val="24"/>
                <w:lang w:val="lv"/>
              </w:rPr>
              <w:t xml:space="preserve">finanšu instrumenta īpašniekam </w:t>
            </w:r>
            <w:r w:rsidR="001354FB" w:rsidRPr="002C4A1B">
              <w:rPr>
                <w:rFonts w:ascii="Times New Roman" w:eastAsia="Times New Roman" w:hAnsi="Times New Roman" w:cs="Times New Roman"/>
                <w:color w:val="000000" w:themeColor="text1"/>
                <w:sz w:val="24"/>
                <w:szCs w:val="24"/>
                <w:lang w:val="lv"/>
              </w:rPr>
              <w:t>informāciju</w:t>
            </w:r>
            <w:r w:rsidR="000E5400" w:rsidRPr="002C4A1B">
              <w:rPr>
                <w:rFonts w:ascii="Times New Roman" w:eastAsia="Times New Roman" w:hAnsi="Times New Roman" w:cs="Times New Roman"/>
                <w:color w:val="000000" w:themeColor="text1"/>
                <w:sz w:val="24"/>
                <w:szCs w:val="24"/>
                <w:lang w:val="lv"/>
              </w:rPr>
              <w:t xml:space="preserve">, kas nepieciešama </w:t>
            </w:r>
            <w:r w:rsidR="00FB4955" w:rsidRPr="002C4A1B">
              <w:rPr>
                <w:rFonts w:ascii="Times New Roman" w:eastAsia="Times New Roman" w:hAnsi="Times New Roman" w:cs="Times New Roman"/>
                <w:color w:val="000000" w:themeColor="text1"/>
                <w:sz w:val="24"/>
                <w:szCs w:val="24"/>
                <w:lang w:val="lv"/>
              </w:rPr>
              <w:t>no šī</w:t>
            </w:r>
            <w:r w:rsidR="000E5400" w:rsidRPr="002C4A1B">
              <w:rPr>
                <w:rFonts w:ascii="Times New Roman" w:eastAsia="Times New Roman" w:hAnsi="Times New Roman" w:cs="Times New Roman"/>
                <w:color w:val="000000" w:themeColor="text1"/>
                <w:sz w:val="24"/>
                <w:szCs w:val="24"/>
                <w:lang w:val="lv"/>
              </w:rPr>
              <w:t xml:space="preserve"> finanšu instrumenta </w:t>
            </w:r>
            <w:r w:rsidR="00FB4955" w:rsidRPr="002C4A1B">
              <w:rPr>
                <w:rFonts w:ascii="Times New Roman" w:eastAsia="Times New Roman" w:hAnsi="Times New Roman" w:cs="Times New Roman"/>
                <w:color w:val="000000" w:themeColor="text1"/>
                <w:sz w:val="24"/>
                <w:szCs w:val="24"/>
                <w:lang w:val="lv"/>
              </w:rPr>
              <w:t>izrietošo</w:t>
            </w:r>
            <w:r w:rsidR="000E5400" w:rsidRPr="002C4A1B">
              <w:rPr>
                <w:rFonts w:ascii="Times New Roman" w:eastAsia="Times New Roman" w:hAnsi="Times New Roman" w:cs="Times New Roman"/>
                <w:color w:val="000000" w:themeColor="text1"/>
                <w:sz w:val="24"/>
                <w:szCs w:val="24"/>
                <w:lang w:val="lv"/>
              </w:rPr>
              <w:t xml:space="preserve"> tiesību realizācijai.</w:t>
            </w:r>
            <w:r w:rsidR="001354FB" w:rsidRPr="002C4A1B">
              <w:rPr>
                <w:rFonts w:ascii="Times New Roman" w:eastAsia="Times New Roman" w:hAnsi="Times New Roman" w:cs="Times New Roman"/>
                <w:color w:val="000000" w:themeColor="text1"/>
                <w:sz w:val="24"/>
                <w:szCs w:val="24"/>
                <w:lang w:val="lv"/>
              </w:rPr>
              <w:t xml:space="preserve"> Ņemot vērā Direktīvā noteiktās prasības, ar projektu noteikta detalizēta kārtība tikai attiecībā uz </w:t>
            </w:r>
            <w:r w:rsidR="00666F4D" w:rsidRPr="002C4A1B">
              <w:rPr>
                <w:rFonts w:ascii="Times New Roman" w:eastAsia="Times New Roman" w:hAnsi="Times New Roman" w:cs="Times New Roman"/>
                <w:color w:val="000000" w:themeColor="text1"/>
                <w:sz w:val="24"/>
                <w:szCs w:val="24"/>
                <w:lang w:val="lv"/>
              </w:rPr>
              <w:t xml:space="preserve">dalībvalstī regulētā tirgū iekļautajām </w:t>
            </w:r>
            <w:r w:rsidR="001354FB" w:rsidRPr="002C4A1B">
              <w:rPr>
                <w:rFonts w:ascii="Times New Roman" w:eastAsia="Times New Roman" w:hAnsi="Times New Roman" w:cs="Times New Roman"/>
                <w:color w:val="000000" w:themeColor="text1"/>
                <w:sz w:val="24"/>
                <w:szCs w:val="24"/>
                <w:lang w:val="lv"/>
              </w:rPr>
              <w:t>akcijām kā finanšu instrumentiem</w:t>
            </w:r>
            <w:r w:rsidR="00CF0EA2" w:rsidRPr="002C4A1B">
              <w:rPr>
                <w:rFonts w:ascii="Times New Roman" w:eastAsia="Times New Roman" w:hAnsi="Times New Roman" w:cs="Times New Roman"/>
                <w:color w:val="000000" w:themeColor="text1"/>
                <w:sz w:val="24"/>
                <w:szCs w:val="24"/>
                <w:lang w:val="lv"/>
              </w:rPr>
              <w:t>. Projekts</w:t>
            </w:r>
            <w:r w:rsidR="0018317E" w:rsidRPr="002C4A1B">
              <w:rPr>
                <w:rFonts w:ascii="Times New Roman" w:eastAsia="Times New Roman" w:hAnsi="Times New Roman" w:cs="Times New Roman"/>
                <w:color w:val="000000" w:themeColor="text1"/>
                <w:sz w:val="24"/>
                <w:szCs w:val="24"/>
                <w:lang w:val="lv"/>
              </w:rPr>
              <w:t xml:space="preserve"> nemain</w:t>
            </w:r>
            <w:r w:rsidR="00CF0EA2" w:rsidRPr="002C4A1B">
              <w:rPr>
                <w:rFonts w:ascii="Times New Roman" w:eastAsia="Times New Roman" w:hAnsi="Times New Roman" w:cs="Times New Roman"/>
                <w:color w:val="000000" w:themeColor="text1"/>
                <w:sz w:val="24"/>
                <w:szCs w:val="24"/>
                <w:lang w:val="lv"/>
              </w:rPr>
              <w:t>a</w:t>
            </w:r>
            <w:r w:rsidR="0018317E" w:rsidRPr="002C4A1B">
              <w:rPr>
                <w:rFonts w:ascii="Times New Roman" w:eastAsia="Times New Roman" w:hAnsi="Times New Roman" w:cs="Times New Roman"/>
                <w:color w:val="000000" w:themeColor="text1"/>
                <w:sz w:val="24"/>
                <w:szCs w:val="24"/>
                <w:lang w:val="lv"/>
              </w:rPr>
              <w:t xml:space="preserve"> </w:t>
            </w:r>
            <w:r w:rsidR="00873E7A" w:rsidRPr="002C4A1B">
              <w:rPr>
                <w:rFonts w:ascii="Times New Roman" w:eastAsia="Times New Roman" w:hAnsi="Times New Roman" w:cs="Times New Roman"/>
                <w:color w:val="000000" w:themeColor="text1"/>
                <w:sz w:val="24"/>
                <w:szCs w:val="24"/>
                <w:lang w:val="lv"/>
              </w:rPr>
              <w:t>kārtību, kādā ieguldījumu brokeru sabiedrības un kredītiestādes informē citu finanšu instrumentu īpašniekus attiecīb</w:t>
            </w:r>
            <w:r w:rsidR="00FB4955" w:rsidRPr="002C4A1B">
              <w:rPr>
                <w:rFonts w:ascii="Times New Roman" w:eastAsia="Times New Roman" w:hAnsi="Times New Roman" w:cs="Times New Roman"/>
                <w:color w:val="000000" w:themeColor="text1"/>
                <w:sz w:val="24"/>
                <w:szCs w:val="24"/>
                <w:lang w:val="lv"/>
              </w:rPr>
              <w:t>ā</w:t>
            </w:r>
            <w:r w:rsidR="00873E7A" w:rsidRPr="002C4A1B">
              <w:rPr>
                <w:rFonts w:ascii="Times New Roman" w:eastAsia="Times New Roman" w:hAnsi="Times New Roman" w:cs="Times New Roman"/>
                <w:color w:val="000000" w:themeColor="text1"/>
                <w:sz w:val="24"/>
                <w:szCs w:val="24"/>
                <w:lang w:val="lv"/>
              </w:rPr>
              <w:t xml:space="preserve"> uz </w:t>
            </w:r>
            <w:r w:rsidR="00CF0EA2" w:rsidRPr="002C4A1B">
              <w:rPr>
                <w:rFonts w:ascii="Times New Roman" w:eastAsia="Times New Roman" w:hAnsi="Times New Roman" w:cs="Times New Roman"/>
                <w:color w:val="000000" w:themeColor="text1"/>
                <w:sz w:val="24"/>
                <w:szCs w:val="24"/>
                <w:lang w:val="lv"/>
              </w:rPr>
              <w:t xml:space="preserve">to </w:t>
            </w:r>
            <w:r w:rsidR="00FB4955" w:rsidRPr="002C4A1B">
              <w:rPr>
                <w:rFonts w:ascii="Times New Roman" w:eastAsia="Times New Roman" w:hAnsi="Times New Roman" w:cs="Times New Roman"/>
                <w:color w:val="000000" w:themeColor="text1"/>
                <w:sz w:val="24"/>
                <w:szCs w:val="24"/>
                <w:lang w:val="lv"/>
              </w:rPr>
              <w:t>tiesību</w:t>
            </w:r>
            <w:r w:rsidR="00CF0EA2" w:rsidRPr="002C4A1B">
              <w:rPr>
                <w:rFonts w:ascii="Times New Roman" w:eastAsia="Times New Roman" w:hAnsi="Times New Roman" w:cs="Times New Roman"/>
                <w:color w:val="000000" w:themeColor="text1"/>
                <w:sz w:val="24"/>
                <w:szCs w:val="24"/>
                <w:lang w:val="lv"/>
              </w:rPr>
              <w:t xml:space="preserve"> rea</w:t>
            </w:r>
            <w:r w:rsidR="008403AC" w:rsidRPr="002C4A1B">
              <w:rPr>
                <w:rFonts w:ascii="Times New Roman" w:eastAsia="Times New Roman" w:hAnsi="Times New Roman" w:cs="Times New Roman"/>
                <w:color w:val="000000" w:themeColor="text1"/>
                <w:sz w:val="24"/>
                <w:szCs w:val="24"/>
                <w:lang w:val="lv"/>
              </w:rPr>
              <w:t>l</w:t>
            </w:r>
            <w:r w:rsidR="00CF0EA2" w:rsidRPr="002C4A1B">
              <w:rPr>
                <w:rFonts w:ascii="Times New Roman" w:eastAsia="Times New Roman" w:hAnsi="Times New Roman" w:cs="Times New Roman"/>
                <w:color w:val="000000" w:themeColor="text1"/>
                <w:sz w:val="24"/>
                <w:szCs w:val="24"/>
                <w:lang w:val="lv"/>
              </w:rPr>
              <w:t>izēšanu</w:t>
            </w:r>
            <w:r w:rsidR="00FB4955" w:rsidRPr="002C4A1B">
              <w:rPr>
                <w:rFonts w:ascii="Times New Roman" w:eastAsia="Times New Roman" w:hAnsi="Times New Roman" w:cs="Times New Roman"/>
                <w:color w:val="000000" w:themeColor="text1"/>
                <w:sz w:val="24"/>
                <w:szCs w:val="24"/>
                <w:lang w:val="lv"/>
              </w:rPr>
              <w:t>, ko rada š</w:t>
            </w:r>
            <w:r w:rsidR="00CF0EA2" w:rsidRPr="002C4A1B">
              <w:rPr>
                <w:rFonts w:ascii="Times New Roman" w:eastAsia="Times New Roman" w:hAnsi="Times New Roman" w:cs="Times New Roman"/>
                <w:color w:val="000000" w:themeColor="text1"/>
                <w:sz w:val="24"/>
                <w:szCs w:val="24"/>
                <w:lang w:val="lv"/>
              </w:rPr>
              <w:t xml:space="preserve">o </w:t>
            </w:r>
            <w:r w:rsidR="00FB4955" w:rsidRPr="002C4A1B">
              <w:rPr>
                <w:rFonts w:ascii="Times New Roman" w:eastAsia="Times New Roman" w:hAnsi="Times New Roman" w:cs="Times New Roman"/>
                <w:color w:val="000000" w:themeColor="text1"/>
                <w:sz w:val="24"/>
                <w:szCs w:val="24"/>
                <w:lang w:val="lv"/>
              </w:rPr>
              <w:t>cit</w:t>
            </w:r>
            <w:r w:rsidR="00CF0EA2" w:rsidRPr="002C4A1B">
              <w:rPr>
                <w:rFonts w:ascii="Times New Roman" w:eastAsia="Times New Roman" w:hAnsi="Times New Roman" w:cs="Times New Roman"/>
                <w:color w:val="000000" w:themeColor="text1"/>
                <w:sz w:val="24"/>
                <w:szCs w:val="24"/>
                <w:lang w:val="lv"/>
              </w:rPr>
              <w:t xml:space="preserve">u </w:t>
            </w:r>
            <w:r w:rsidR="00FB4955" w:rsidRPr="002C4A1B">
              <w:rPr>
                <w:rFonts w:ascii="Times New Roman" w:eastAsia="Times New Roman" w:hAnsi="Times New Roman" w:cs="Times New Roman"/>
                <w:color w:val="000000" w:themeColor="text1"/>
                <w:sz w:val="24"/>
                <w:szCs w:val="24"/>
                <w:lang w:val="lv"/>
              </w:rPr>
              <w:t>finanšu instrument</w:t>
            </w:r>
            <w:r w:rsidR="00CF0EA2" w:rsidRPr="002C4A1B">
              <w:rPr>
                <w:rFonts w:ascii="Times New Roman" w:eastAsia="Times New Roman" w:hAnsi="Times New Roman" w:cs="Times New Roman"/>
                <w:color w:val="000000" w:themeColor="text1"/>
                <w:sz w:val="24"/>
                <w:szCs w:val="24"/>
                <w:lang w:val="lv"/>
              </w:rPr>
              <w:t>u</w:t>
            </w:r>
            <w:r w:rsidR="00FB4955" w:rsidRPr="002C4A1B">
              <w:rPr>
                <w:rFonts w:ascii="Times New Roman" w:eastAsia="Times New Roman" w:hAnsi="Times New Roman" w:cs="Times New Roman"/>
                <w:color w:val="000000" w:themeColor="text1"/>
                <w:sz w:val="24"/>
                <w:szCs w:val="24"/>
                <w:lang w:val="lv"/>
              </w:rPr>
              <w:t xml:space="preserve"> īpašumtiesības. </w:t>
            </w:r>
          </w:p>
          <w:p w14:paraId="33A3070E" w14:textId="0DA7ADDF" w:rsidR="7EE11621" w:rsidRPr="002C4A1B" w:rsidRDefault="7EE11621" w:rsidP="00401BD5">
            <w:pPr>
              <w:spacing w:after="0" w:line="240" w:lineRule="auto"/>
              <w:ind w:firstLine="284"/>
              <w:jc w:val="both"/>
              <w:rPr>
                <w:rFonts w:ascii="Times New Roman" w:eastAsia="Times New Roman" w:hAnsi="Times New Roman" w:cs="Times New Roman"/>
                <w:b/>
                <w:bCs/>
                <w:sz w:val="24"/>
                <w:szCs w:val="24"/>
                <w:lang w:val="lv"/>
              </w:rPr>
            </w:pPr>
          </w:p>
          <w:p w14:paraId="66D7088F" w14:textId="77777777" w:rsidR="00401BD5" w:rsidRPr="002C4A1B" w:rsidRDefault="3824561D"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Trešo valstu starpnieki</w:t>
            </w:r>
          </w:p>
          <w:p w14:paraId="09016B56" w14:textId="6B1E75D6" w:rsidR="00401BD5" w:rsidRPr="002C4A1B" w:rsidRDefault="7F3E9DF5"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Projekts noteic, ka par starpnieku ir uzskatāms centrālais vērtspapīru depozitārijs, kredītiestāde, ieguldījumu brokeru sabiedrība, kā arī cit</w:t>
            </w:r>
            <w:r w:rsidR="001E0D65"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 persona, kas sniedz finanšu instrumenta konta uzturēšanas un sabiedrības akciju turēšanas pakalpojumus neatkarīgi no </w:t>
            </w:r>
            <w:r w:rsidR="1F8A6398" w:rsidRPr="002C4A1B">
              <w:rPr>
                <w:rFonts w:ascii="Times New Roman" w:eastAsia="Times New Roman" w:hAnsi="Times New Roman" w:cs="Times New Roman"/>
                <w:sz w:val="24"/>
                <w:szCs w:val="24"/>
                <w:lang w:val="lv"/>
              </w:rPr>
              <w:t>star</w:t>
            </w:r>
            <w:r w:rsidR="00401BD5" w:rsidRPr="002C4A1B">
              <w:rPr>
                <w:rFonts w:ascii="Times New Roman" w:eastAsia="Times New Roman" w:hAnsi="Times New Roman" w:cs="Times New Roman"/>
                <w:sz w:val="24"/>
                <w:szCs w:val="24"/>
                <w:lang w:val="lv"/>
              </w:rPr>
              <w:t>pnieka</w:t>
            </w:r>
            <w:r w:rsidRPr="002C4A1B">
              <w:rPr>
                <w:rFonts w:ascii="Times New Roman" w:eastAsia="Times New Roman" w:hAnsi="Times New Roman" w:cs="Times New Roman"/>
                <w:sz w:val="24"/>
                <w:szCs w:val="24"/>
                <w:lang w:val="lv"/>
              </w:rPr>
              <w:t xml:space="preserve"> juridiskās adreses vai galvenā biroja atrašanās vietas. </w:t>
            </w:r>
            <w:r w:rsidR="00EC3EE2" w:rsidRPr="002C4A1B">
              <w:rPr>
                <w:rFonts w:ascii="Times New Roman" w:eastAsia="Times New Roman" w:hAnsi="Times New Roman" w:cs="Times New Roman"/>
                <w:sz w:val="24"/>
                <w:szCs w:val="24"/>
                <w:lang w:val="lv"/>
              </w:rPr>
              <w:t xml:space="preserve">Eiropas Savienības un </w:t>
            </w:r>
            <w:r w:rsidRPr="002C4A1B">
              <w:rPr>
                <w:rFonts w:ascii="Times New Roman" w:eastAsia="Times New Roman" w:hAnsi="Times New Roman" w:cs="Times New Roman"/>
                <w:sz w:val="24"/>
                <w:szCs w:val="24"/>
                <w:lang w:val="lv"/>
              </w:rPr>
              <w:t xml:space="preserve">Eiropas Ekonomikas zonas </w:t>
            </w:r>
            <w:r w:rsidR="00361E56" w:rsidRPr="002C4A1B">
              <w:rPr>
                <w:rFonts w:ascii="Times New Roman" w:eastAsia="Times New Roman" w:hAnsi="Times New Roman" w:cs="Times New Roman"/>
                <w:sz w:val="24"/>
                <w:szCs w:val="24"/>
                <w:lang w:val="lv"/>
              </w:rPr>
              <w:t xml:space="preserve">valstu </w:t>
            </w:r>
            <w:r w:rsidRPr="002C4A1B">
              <w:rPr>
                <w:rFonts w:ascii="Times New Roman" w:eastAsia="Times New Roman" w:hAnsi="Times New Roman" w:cs="Times New Roman"/>
                <w:sz w:val="24"/>
                <w:szCs w:val="24"/>
                <w:lang w:val="lv"/>
              </w:rPr>
              <w:t>ietvaros visiem starpniekiem būs līdzīgas prasības attiecībā uz akcionāru identificēšanas nodrošināšanu</w:t>
            </w:r>
            <w:r w:rsidR="692B0BCC" w:rsidRPr="002C4A1B">
              <w:rPr>
                <w:rFonts w:ascii="Times New Roman" w:eastAsia="Times New Roman" w:hAnsi="Times New Roman" w:cs="Times New Roman"/>
                <w:sz w:val="24"/>
                <w:szCs w:val="24"/>
                <w:lang w:val="lv"/>
              </w:rPr>
              <w:t xml:space="preserve"> un informācijas </w:t>
            </w:r>
            <w:r w:rsidR="692B0BCC" w:rsidRPr="002C4A1B">
              <w:rPr>
                <w:rFonts w:ascii="Times New Roman" w:eastAsia="Times New Roman" w:hAnsi="Times New Roman" w:cs="Times New Roman"/>
                <w:color w:val="000000" w:themeColor="text1"/>
                <w:sz w:val="24"/>
                <w:szCs w:val="24"/>
                <w:lang w:val="lv"/>
              </w:rPr>
              <w:t>pārsūtīšanu</w:t>
            </w:r>
            <w:r w:rsidRPr="002C4A1B">
              <w:rPr>
                <w:rFonts w:ascii="Times New Roman" w:eastAsia="Times New Roman" w:hAnsi="Times New Roman" w:cs="Times New Roman"/>
                <w:color w:val="000000" w:themeColor="text1"/>
                <w:sz w:val="24"/>
                <w:szCs w:val="24"/>
                <w:lang w:val="lv"/>
              </w:rPr>
              <w:t>, savukārt gadījumā, ja būs iesaistīts trešās valsts starpnieks</w:t>
            </w:r>
            <w:r w:rsidR="00D33F13" w:rsidRPr="002C4A1B">
              <w:rPr>
                <w:rFonts w:ascii="Times New Roman" w:eastAsia="Times New Roman" w:hAnsi="Times New Roman" w:cs="Times New Roman"/>
                <w:color w:val="000000" w:themeColor="text1"/>
                <w:sz w:val="24"/>
                <w:szCs w:val="24"/>
                <w:lang w:val="lv"/>
              </w:rPr>
              <w:t xml:space="preserve"> </w:t>
            </w:r>
            <w:r w:rsidR="00D33F13" w:rsidRPr="002C4A1B">
              <w:rPr>
                <w:rFonts w:ascii="Times New Roman" w:eastAsia="Times New Roman" w:hAnsi="Times New Roman" w:cs="Times New Roman"/>
                <w:color w:val="000000" w:themeColor="text1"/>
                <w:sz w:val="24"/>
                <w:szCs w:val="24"/>
              </w:rPr>
              <w:t>(starpnieka juridiskā adrese vai galvenā biroja atrašanās vieta nav dalībvalstī)</w:t>
            </w:r>
            <w:r w:rsidRPr="002C4A1B">
              <w:rPr>
                <w:rFonts w:ascii="Times New Roman" w:eastAsia="Times New Roman" w:hAnsi="Times New Roman" w:cs="Times New Roman"/>
                <w:color w:val="000000" w:themeColor="text1"/>
                <w:sz w:val="24"/>
                <w:szCs w:val="24"/>
                <w:lang w:val="lv"/>
              </w:rPr>
              <w:t xml:space="preserve">, tad jaunā regulējuma prasību izpilde </w:t>
            </w:r>
            <w:r w:rsidR="00361E56" w:rsidRPr="002C4A1B">
              <w:rPr>
                <w:rFonts w:ascii="Times New Roman" w:eastAsia="Times New Roman" w:hAnsi="Times New Roman" w:cs="Times New Roman"/>
                <w:color w:val="000000" w:themeColor="text1"/>
                <w:sz w:val="24"/>
                <w:szCs w:val="24"/>
                <w:lang w:val="lv"/>
              </w:rPr>
              <w:t xml:space="preserve">praktiski </w:t>
            </w:r>
            <w:r w:rsidRPr="002C4A1B">
              <w:rPr>
                <w:rFonts w:ascii="Times New Roman" w:eastAsia="Times New Roman" w:hAnsi="Times New Roman" w:cs="Times New Roman"/>
                <w:color w:val="000000" w:themeColor="text1"/>
                <w:sz w:val="24"/>
                <w:szCs w:val="24"/>
                <w:lang w:val="lv"/>
              </w:rPr>
              <w:t>var būt daudz sarežģītāka</w:t>
            </w:r>
            <w:r w:rsidR="00D33F13" w:rsidRPr="002C4A1B">
              <w:rPr>
                <w:rFonts w:ascii="Times New Roman" w:eastAsia="Times New Roman" w:hAnsi="Times New Roman" w:cs="Times New Roman"/>
                <w:color w:val="000000" w:themeColor="text1"/>
                <w:sz w:val="24"/>
                <w:szCs w:val="24"/>
              </w:rPr>
              <w:t xml:space="preserve">. Lai arī Direktīvā tieši uzsvērts, ka prasības par akcionāru identitātes noskaidrošanu attiecināmas arī </w:t>
            </w:r>
            <w:r w:rsidR="00361E56" w:rsidRPr="002C4A1B">
              <w:rPr>
                <w:rFonts w:ascii="Times New Roman" w:eastAsia="Times New Roman" w:hAnsi="Times New Roman" w:cs="Times New Roman"/>
                <w:color w:val="000000" w:themeColor="text1"/>
                <w:sz w:val="24"/>
                <w:szCs w:val="24"/>
              </w:rPr>
              <w:t xml:space="preserve">uz </w:t>
            </w:r>
            <w:r w:rsidR="00D33F13" w:rsidRPr="002C4A1B">
              <w:rPr>
                <w:rFonts w:ascii="Times New Roman" w:eastAsia="Times New Roman" w:hAnsi="Times New Roman" w:cs="Times New Roman"/>
                <w:color w:val="000000" w:themeColor="text1"/>
                <w:sz w:val="24"/>
                <w:szCs w:val="24"/>
              </w:rPr>
              <w:t>trešo valstu starpniekiem</w:t>
            </w:r>
            <w:r w:rsidR="00D33F13" w:rsidRPr="002C4A1B">
              <w:rPr>
                <w:rFonts w:ascii="Times New Roman" w:eastAsia="Times New Roman" w:hAnsi="Times New Roman" w:cs="Times New Roman"/>
                <w:color w:val="000000" w:themeColor="text1"/>
                <w:sz w:val="24"/>
                <w:szCs w:val="24"/>
                <w:lang w:val="lv"/>
              </w:rPr>
              <w:t xml:space="preserve">, tomēr šo trešo valstu starpnieku nacionālie normatīvie akti var neparedzēt Direktīvai līdzīgu regulējumu. Šādā gadījumā pastāv risks, ka trešo valstu starpnieki var </w:t>
            </w:r>
            <w:r w:rsidR="005B2B09" w:rsidRPr="002C4A1B">
              <w:rPr>
                <w:rFonts w:ascii="Times New Roman" w:eastAsia="Times New Roman" w:hAnsi="Times New Roman" w:cs="Times New Roman"/>
                <w:color w:val="000000" w:themeColor="text1"/>
                <w:sz w:val="24"/>
                <w:szCs w:val="24"/>
                <w:lang w:val="lv"/>
              </w:rPr>
              <w:t>nep</w:t>
            </w:r>
            <w:r w:rsidR="00D33F13" w:rsidRPr="002C4A1B">
              <w:rPr>
                <w:rFonts w:ascii="Times New Roman" w:eastAsia="Times New Roman" w:hAnsi="Times New Roman" w:cs="Times New Roman"/>
                <w:color w:val="000000" w:themeColor="text1"/>
                <w:sz w:val="24"/>
                <w:szCs w:val="24"/>
                <w:lang w:val="lv"/>
              </w:rPr>
              <w:t>ildīt Direktīvā paredzētās prasības.</w:t>
            </w:r>
            <w:r w:rsidRPr="002C4A1B">
              <w:rPr>
                <w:rFonts w:ascii="Times New Roman" w:eastAsia="Times New Roman" w:hAnsi="Times New Roman" w:cs="Times New Roman"/>
                <w:color w:val="000000" w:themeColor="text1"/>
                <w:sz w:val="24"/>
                <w:szCs w:val="24"/>
                <w:lang w:val="lv"/>
              </w:rPr>
              <w:t xml:space="preserve"> Lai nodrošinātu, ka arī trešo valstu starpniekam pēc būtības ir saistošs projektā noteiktais </w:t>
            </w:r>
            <w:r w:rsidRPr="002C4A1B">
              <w:rPr>
                <w:rFonts w:ascii="Times New Roman" w:eastAsia="Times New Roman" w:hAnsi="Times New Roman" w:cs="Times New Roman"/>
                <w:color w:val="000000" w:themeColor="text1"/>
                <w:sz w:val="24"/>
                <w:szCs w:val="24"/>
                <w:lang w:val="lv"/>
              </w:rPr>
              <w:lastRenderedPageBreak/>
              <w:t>regulējums par informācijas sniegšanu un pārsūtīšanu</w:t>
            </w:r>
            <w:r w:rsidRPr="002C4A1B">
              <w:rPr>
                <w:rFonts w:ascii="Times New Roman" w:eastAsia="Times New Roman" w:hAnsi="Times New Roman" w:cs="Times New Roman"/>
                <w:sz w:val="24"/>
                <w:szCs w:val="24"/>
                <w:lang w:val="lv"/>
              </w:rPr>
              <w:t xml:space="preserve">, projekts paredz, ka </w:t>
            </w:r>
            <w:r w:rsidR="3F2947A4" w:rsidRPr="002C4A1B">
              <w:rPr>
                <w:rFonts w:ascii="Times New Roman" w:eastAsia="Times New Roman" w:hAnsi="Times New Roman" w:cs="Times New Roman"/>
                <w:sz w:val="24"/>
                <w:szCs w:val="24"/>
                <w:lang w:val="lv"/>
              </w:rPr>
              <w:t>Latvijā reģistrē</w:t>
            </w:r>
            <w:r w:rsidR="00A505F5" w:rsidRPr="002C4A1B">
              <w:rPr>
                <w:rFonts w:ascii="Times New Roman" w:eastAsia="Times New Roman" w:hAnsi="Times New Roman" w:cs="Times New Roman"/>
                <w:sz w:val="24"/>
                <w:szCs w:val="24"/>
                <w:lang w:val="lv"/>
              </w:rPr>
              <w:t>ts</w:t>
            </w:r>
            <w:r w:rsidR="0D37C6C2"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starpnieks līgumos ar trešo valstu starpniekiem iekļauj noteikumus, kas nodrošina šī</w:t>
            </w:r>
            <w:r w:rsidR="0D37C6C2" w:rsidRPr="002C4A1B">
              <w:rPr>
                <w:rFonts w:ascii="Times New Roman" w:eastAsia="Times New Roman" w:hAnsi="Times New Roman" w:cs="Times New Roman"/>
                <w:sz w:val="24"/>
                <w:szCs w:val="24"/>
                <w:lang w:val="lv"/>
              </w:rPr>
              <w:t xml:space="preserve"> projekta</w:t>
            </w:r>
            <w:r w:rsidR="00361E56" w:rsidRPr="002C4A1B">
              <w:rPr>
                <w:rFonts w:ascii="Times New Roman" w:eastAsia="Times New Roman" w:hAnsi="Times New Roman" w:cs="Times New Roman"/>
                <w:sz w:val="24"/>
                <w:szCs w:val="24"/>
                <w:lang w:val="lv"/>
              </w:rPr>
              <w:t xml:space="preserve"> prasību par akcionāru identifikāciju un informācijas apmaiņu par akcionāra tiesību izlietošanu, </w:t>
            </w:r>
            <w:r w:rsidRPr="002C4A1B">
              <w:rPr>
                <w:rFonts w:ascii="Times New Roman" w:eastAsia="Times New Roman" w:hAnsi="Times New Roman" w:cs="Times New Roman"/>
                <w:sz w:val="24"/>
                <w:szCs w:val="24"/>
                <w:lang w:val="lv"/>
              </w:rPr>
              <w:t>izpildi. Gadījumā, ja trešās valsts starpniek</w:t>
            </w:r>
            <w:r w:rsidR="00361E56" w:rsidRPr="002C4A1B">
              <w:rPr>
                <w:rFonts w:ascii="Times New Roman" w:eastAsia="Times New Roman" w:hAnsi="Times New Roman" w:cs="Times New Roman"/>
                <w:sz w:val="24"/>
                <w:szCs w:val="24"/>
                <w:lang w:val="lv"/>
              </w:rPr>
              <w:t>ie</w:t>
            </w:r>
            <w:r w:rsidRPr="002C4A1B">
              <w:rPr>
                <w:rFonts w:ascii="Times New Roman" w:eastAsia="Times New Roman" w:hAnsi="Times New Roman" w:cs="Times New Roman"/>
                <w:sz w:val="24"/>
                <w:szCs w:val="24"/>
                <w:lang w:val="lv"/>
              </w:rPr>
              <w:t xml:space="preserve">m būs līgumiskas attiecības ar citu trešās valsts starpnieku, tad, lai nodrošinātu </w:t>
            </w:r>
            <w:r w:rsidR="00361E56" w:rsidRPr="002C4A1B">
              <w:rPr>
                <w:rFonts w:ascii="Times New Roman" w:eastAsia="Times New Roman" w:hAnsi="Times New Roman" w:cs="Times New Roman"/>
                <w:sz w:val="24"/>
                <w:szCs w:val="24"/>
                <w:lang w:val="lv"/>
              </w:rPr>
              <w:t xml:space="preserve">savu </w:t>
            </w:r>
            <w:r w:rsidRPr="002C4A1B">
              <w:rPr>
                <w:rFonts w:ascii="Times New Roman" w:eastAsia="Times New Roman" w:hAnsi="Times New Roman" w:cs="Times New Roman"/>
                <w:sz w:val="24"/>
                <w:szCs w:val="24"/>
                <w:lang w:val="lv"/>
              </w:rPr>
              <w:t>līgumisko attiecību izpildi ar pirmo starpnieku</w:t>
            </w:r>
            <w:r w:rsidR="00361E56" w:rsidRPr="002C4A1B">
              <w:rPr>
                <w:rFonts w:ascii="Times New Roman" w:eastAsia="Times New Roman" w:hAnsi="Times New Roman" w:cs="Times New Roman"/>
                <w:sz w:val="24"/>
                <w:szCs w:val="24"/>
                <w:lang w:val="lv"/>
              </w:rPr>
              <w:t xml:space="preserve"> no </w:t>
            </w:r>
            <w:r w:rsidR="00D64B17">
              <w:rPr>
                <w:rFonts w:ascii="Times New Roman" w:eastAsia="Times New Roman" w:hAnsi="Times New Roman" w:cs="Times New Roman"/>
                <w:sz w:val="24"/>
                <w:szCs w:val="24"/>
                <w:lang w:val="lv"/>
              </w:rPr>
              <w:t>Eiropas Ekonomiskās zonas</w:t>
            </w:r>
            <w:r w:rsidRPr="002C4A1B">
              <w:rPr>
                <w:rFonts w:ascii="Times New Roman" w:eastAsia="Times New Roman" w:hAnsi="Times New Roman" w:cs="Times New Roman"/>
                <w:sz w:val="24"/>
                <w:szCs w:val="24"/>
                <w:lang w:val="lv"/>
              </w:rPr>
              <w:t>, tam šāds noteikums būs jāiekļauj arī savstarpējā līgumā</w:t>
            </w:r>
            <w:r w:rsidR="00361E56" w:rsidRPr="002C4A1B">
              <w:rPr>
                <w:rFonts w:ascii="Times New Roman" w:eastAsia="Times New Roman" w:hAnsi="Times New Roman" w:cs="Times New Roman"/>
                <w:sz w:val="24"/>
                <w:szCs w:val="24"/>
                <w:lang w:val="lv"/>
              </w:rPr>
              <w:t xml:space="preserve"> ar nākamo starpnieku ķēdē esošo starpnieku</w:t>
            </w:r>
            <w:r w:rsidRPr="002C4A1B">
              <w:rPr>
                <w:rFonts w:ascii="Times New Roman" w:eastAsia="Times New Roman" w:hAnsi="Times New Roman" w:cs="Times New Roman"/>
                <w:sz w:val="24"/>
                <w:szCs w:val="24"/>
                <w:lang w:val="lv"/>
              </w:rPr>
              <w:t>.</w:t>
            </w:r>
          </w:p>
          <w:p w14:paraId="214DA14B" w14:textId="0A9B725B" w:rsidR="006F0FA8" w:rsidRPr="002C4A1B" w:rsidRDefault="006F0FA8" w:rsidP="00C5600D">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FITL 93. pantā jau šobrīd ir paredzēts pienākums ieguldījumu brokeru sabiedrībām un kredītiestādēm</w:t>
            </w:r>
            <w:r w:rsidR="00C5600D" w:rsidRPr="002C4A1B">
              <w:rPr>
                <w:rFonts w:ascii="Times New Roman" w:eastAsia="Times New Roman" w:hAnsi="Times New Roman" w:cs="Times New Roman"/>
                <w:sz w:val="24"/>
                <w:szCs w:val="24"/>
                <w:lang w:val="lv"/>
              </w:rPr>
              <w:t xml:space="preserve"> kā starpniekiem sniegt informāciju par finanšu instrumentu īpašniekiem, </w:t>
            </w:r>
            <w:r w:rsidR="00691420" w:rsidRPr="002C4A1B">
              <w:rPr>
                <w:rFonts w:ascii="Times New Roman" w:eastAsia="Times New Roman" w:hAnsi="Times New Roman" w:cs="Times New Roman"/>
                <w:sz w:val="24"/>
                <w:szCs w:val="24"/>
                <w:lang w:val="lv"/>
              </w:rPr>
              <w:t xml:space="preserve">tālāk nodot saviem klientiem </w:t>
            </w:r>
            <w:r w:rsidR="00C5600D" w:rsidRPr="002C4A1B">
              <w:rPr>
                <w:rFonts w:ascii="Times New Roman" w:eastAsia="Times New Roman" w:hAnsi="Times New Roman" w:cs="Times New Roman"/>
                <w:sz w:val="24"/>
                <w:szCs w:val="24"/>
                <w:lang w:val="lv"/>
              </w:rPr>
              <w:t xml:space="preserve">informāciju </w:t>
            </w:r>
            <w:r w:rsidR="00E8257F" w:rsidRPr="002C4A1B">
              <w:rPr>
                <w:rFonts w:ascii="Times New Roman" w:eastAsia="Times New Roman" w:hAnsi="Times New Roman" w:cs="Times New Roman"/>
                <w:sz w:val="24"/>
                <w:szCs w:val="24"/>
                <w:lang w:val="lv"/>
              </w:rPr>
              <w:t xml:space="preserve">par </w:t>
            </w:r>
            <w:r w:rsidR="00C5600D" w:rsidRPr="002C4A1B">
              <w:rPr>
                <w:rFonts w:ascii="Times New Roman" w:eastAsia="Times New Roman" w:hAnsi="Times New Roman" w:cs="Times New Roman"/>
                <w:sz w:val="24"/>
                <w:szCs w:val="24"/>
                <w:lang w:val="lv"/>
              </w:rPr>
              <w:t>korporatīvajiem notikumiem</w:t>
            </w:r>
            <w:r w:rsidR="00731970" w:rsidRPr="002C4A1B">
              <w:rPr>
                <w:rFonts w:ascii="Times New Roman" w:eastAsia="Times New Roman" w:hAnsi="Times New Roman" w:cs="Times New Roman"/>
                <w:sz w:val="24"/>
                <w:szCs w:val="24"/>
                <w:lang w:val="lv"/>
              </w:rPr>
              <w:t xml:space="preserve">, kā arī paredzēts pienākums centrālajam vērtspapīru depozitārijam kā starpniekam nodrošināt līgumā ar centrālā vērtspapīru depozitārija dalībniekiem noteikumus, kas nodrošina finanšu instrumentu īpašnieku noskaidrošanu un </w:t>
            </w:r>
            <w:r w:rsidR="00521CB4" w:rsidRPr="002C4A1B">
              <w:rPr>
                <w:rFonts w:ascii="Times New Roman" w:eastAsia="Times New Roman" w:hAnsi="Times New Roman" w:cs="Times New Roman"/>
                <w:sz w:val="24"/>
                <w:szCs w:val="24"/>
                <w:lang w:val="lv"/>
              </w:rPr>
              <w:t xml:space="preserve">informācijas </w:t>
            </w:r>
            <w:r w:rsidR="00691420" w:rsidRPr="002C4A1B">
              <w:rPr>
                <w:rFonts w:ascii="Times New Roman" w:eastAsia="Times New Roman" w:hAnsi="Times New Roman" w:cs="Times New Roman"/>
                <w:sz w:val="24"/>
                <w:szCs w:val="24"/>
                <w:lang w:val="lv"/>
              </w:rPr>
              <w:t xml:space="preserve">savstarpēju </w:t>
            </w:r>
            <w:r w:rsidR="00521CB4" w:rsidRPr="002C4A1B">
              <w:rPr>
                <w:rFonts w:ascii="Times New Roman" w:eastAsia="Times New Roman" w:hAnsi="Times New Roman" w:cs="Times New Roman"/>
                <w:sz w:val="24"/>
                <w:szCs w:val="24"/>
                <w:lang w:val="lv"/>
              </w:rPr>
              <w:t>izplatīšanu.</w:t>
            </w:r>
            <w:r w:rsidR="00C5600D"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Ņemot vērā, ka FITL 93. pants attiecas ne tikai uz akcijām, bet arī </w:t>
            </w:r>
            <w:r w:rsidR="00D939F0" w:rsidRPr="002C4A1B">
              <w:rPr>
                <w:rFonts w:ascii="Times New Roman" w:eastAsia="Times New Roman" w:hAnsi="Times New Roman" w:cs="Times New Roman"/>
                <w:sz w:val="24"/>
                <w:szCs w:val="24"/>
                <w:lang w:val="lv"/>
              </w:rPr>
              <w:t xml:space="preserve">uz citiem </w:t>
            </w:r>
            <w:r w:rsidRPr="002C4A1B">
              <w:rPr>
                <w:rFonts w:ascii="Times New Roman" w:eastAsia="Times New Roman" w:hAnsi="Times New Roman" w:cs="Times New Roman"/>
                <w:sz w:val="24"/>
                <w:szCs w:val="24"/>
                <w:lang w:val="lv"/>
              </w:rPr>
              <w:t>finanšu instrumentiem</w:t>
            </w:r>
            <w:r w:rsidR="00C5600D" w:rsidRPr="002C4A1B">
              <w:rPr>
                <w:rFonts w:ascii="Times New Roman" w:eastAsia="Times New Roman" w:hAnsi="Times New Roman" w:cs="Times New Roman"/>
                <w:sz w:val="24"/>
                <w:szCs w:val="24"/>
                <w:lang w:val="lv"/>
              </w:rPr>
              <w:t xml:space="preserve">, </w:t>
            </w:r>
            <w:r w:rsidR="00D33F13" w:rsidRPr="002C4A1B">
              <w:rPr>
                <w:rFonts w:ascii="Times New Roman" w:eastAsia="Times New Roman" w:hAnsi="Times New Roman" w:cs="Times New Roman"/>
                <w:sz w:val="24"/>
                <w:szCs w:val="24"/>
                <w:lang w:val="lv"/>
              </w:rPr>
              <w:t xml:space="preserve">projekts neparedz </w:t>
            </w:r>
            <w:r w:rsidR="0076406C" w:rsidRPr="002C4A1B">
              <w:rPr>
                <w:rFonts w:ascii="Times New Roman" w:eastAsia="Times New Roman" w:hAnsi="Times New Roman" w:cs="Times New Roman"/>
                <w:sz w:val="24"/>
                <w:szCs w:val="24"/>
                <w:lang w:val="lv"/>
              </w:rPr>
              <w:t>FITL 93.</w:t>
            </w:r>
            <w:r w:rsidR="00EC502F">
              <w:rPr>
                <w:rFonts w:ascii="Times New Roman" w:eastAsia="Times New Roman" w:hAnsi="Times New Roman" w:cs="Times New Roman"/>
                <w:sz w:val="24"/>
                <w:szCs w:val="24"/>
                <w:lang w:val="lv"/>
              </w:rPr>
              <w:t> </w:t>
            </w:r>
            <w:r w:rsidR="00D33F13" w:rsidRPr="002C4A1B">
              <w:rPr>
                <w:rFonts w:ascii="Times New Roman" w:eastAsia="Times New Roman" w:hAnsi="Times New Roman" w:cs="Times New Roman"/>
                <w:sz w:val="24"/>
                <w:szCs w:val="24"/>
                <w:lang w:val="lv"/>
              </w:rPr>
              <w:t>panta izslēgšanu</w:t>
            </w:r>
            <w:r w:rsidR="0076406C" w:rsidRPr="002C4A1B">
              <w:rPr>
                <w:rFonts w:ascii="Times New Roman" w:eastAsia="Times New Roman" w:hAnsi="Times New Roman" w:cs="Times New Roman"/>
                <w:sz w:val="24"/>
                <w:szCs w:val="24"/>
                <w:lang w:val="lv"/>
              </w:rPr>
              <w:t xml:space="preserve">. </w:t>
            </w:r>
            <w:r w:rsidR="00B061C2" w:rsidRPr="002C4A1B">
              <w:rPr>
                <w:rFonts w:ascii="Times New Roman" w:eastAsia="Times New Roman" w:hAnsi="Times New Roman" w:cs="Times New Roman"/>
                <w:sz w:val="24"/>
                <w:szCs w:val="24"/>
                <w:lang w:val="lv"/>
              </w:rPr>
              <w:t>A</w:t>
            </w:r>
            <w:r w:rsidR="00521CB4" w:rsidRPr="002C4A1B">
              <w:rPr>
                <w:rFonts w:ascii="Times New Roman" w:eastAsia="Times New Roman" w:hAnsi="Times New Roman" w:cs="Times New Roman"/>
                <w:sz w:val="24"/>
                <w:szCs w:val="24"/>
                <w:lang w:val="lv"/>
              </w:rPr>
              <w:t>kciju sabiedrību</w:t>
            </w:r>
            <w:r w:rsidR="00691420" w:rsidRPr="002C4A1B">
              <w:rPr>
                <w:rFonts w:ascii="Times New Roman" w:eastAsia="Times New Roman" w:hAnsi="Times New Roman" w:cs="Times New Roman"/>
                <w:sz w:val="24"/>
                <w:szCs w:val="24"/>
                <w:lang w:val="lv"/>
              </w:rPr>
              <w:t>, ja šīs akciju sabiedrības juridiskā adrese ir Latvijā un tās akcijas ir iekļautas dalībvalsts regulētā tirgū,</w:t>
            </w:r>
            <w:r w:rsidR="00521CB4" w:rsidRPr="002C4A1B">
              <w:rPr>
                <w:rFonts w:ascii="Times New Roman" w:eastAsia="Times New Roman" w:hAnsi="Times New Roman" w:cs="Times New Roman"/>
                <w:sz w:val="24"/>
                <w:szCs w:val="24"/>
                <w:lang w:val="lv"/>
              </w:rPr>
              <w:t xml:space="preserve"> akcionāru</w:t>
            </w:r>
            <w:r w:rsidR="0076406C" w:rsidRPr="002C4A1B">
              <w:rPr>
                <w:rFonts w:ascii="Times New Roman" w:eastAsia="Times New Roman" w:hAnsi="Times New Roman" w:cs="Times New Roman"/>
                <w:sz w:val="24"/>
                <w:szCs w:val="24"/>
                <w:lang w:val="lv"/>
              </w:rPr>
              <w:t xml:space="preserve"> identificēšanas kārtība veicama atbilstoši projekta D sadaļā iekļautās III</w:t>
            </w:r>
            <w:r w:rsidR="0076406C" w:rsidRPr="002C4A1B">
              <w:rPr>
                <w:rFonts w:ascii="Times New Roman" w:eastAsia="Times New Roman" w:hAnsi="Times New Roman" w:cs="Times New Roman"/>
                <w:sz w:val="24"/>
                <w:szCs w:val="24"/>
                <w:vertAlign w:val="superscript"/>
                <w:lang w:val="lv"/>
              </w:rPr>
              <w:t>2</w:t>
            </w:r>
            <w:r w:rsidR="00702409">
              <w:rPr>
                <w:rFonts w:ascii="Times New Roman" w:eastAsia="Times New Roman" w:hAnsi="Times New Roman" w:cs="Times New Roman"/>
                <w:sz w:val="24"/>
                <w:szCs w:val="24"/>
                <w:lang w:val="lv"/>
              </w:rPr>
              <w:t> </w:t>
            </w:r>
            <w:r w:rsidR="0076406C" w:rsidRPr="002C4A1B">
              <w:rPr>
                <w:rFonts w:ascii="Times New Roman" w:eastAsia="Times New Roman" w:hAnsi="Times New Roman" w:cs="Times New Roman"/>
                <w:sz w:val="24"/>
                <w:szCs w:val="24"/>
                <w:lang w:val="lv"/>
              </w:rPr>
              <w:t xml:space="preserve">nodaļas noteikumiem. </w:t>
            </w:r>
          </w:p>
          <w:p w14:paraId="7A43616A" w14:textId="77777777" w:rsidR="006F0FA8" w:rsidRPr="002C4A1B" w:rsidRDefault="006F0FA8" w:rsidP="00401BD5">
            <w:pPr>
              <w:spacing w:after="0" w:line="240" w:lineRule="auto"/>
              <w:ind w:firstLine="284"/>
              <w:jc w:val="both"/>
              <w:rPr>
                <w:rFonts w:ascii="Times New Roman" w:eastAsia="Times New Roman" w:hAnsi="Times New Roman" w:cs="Times New Roman"/>
                <w:b/>
                <w:bCs/>
                <w:sz w:val="24"/>
                <w:szCs w:val="24"/>
                <w:lang w:val="lv"/>
              </w:rPr>
            </w:pPr>
          </w:p>
          <w:p w14:paraId="64DB8378" w14:textId="167F8083" w:rsidR="48D7C7F9" w:rsidRPr="002C4A1B" w:rsidDel="451C62BF" w:rsidRDefault="12167E6F"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b/>
                <w:bCs/>
                <w:sz w:val="24"/>
                <w:szCs w:val="24"/>
                <w:lang w:val="lv"/>
              </w:rPr>
              <w:t>A</w:t>
            </w:r>
            <w:r w:rsidR="6AC822AB" w:rsidRPr="002C4A1B">
              <w:rPr>
                <w:rFonts w:ascii="Times New Roman" w:eastAsia="Times New Roman" w:hAnsi="Times New Roman" w:cs="Times New Roman"/>
                <w:b/>
                <w:bCs/>
                <w:sz w:val="24"/>
                <w:szCs w:val="24"/>
                <w:lang w:val="lv"/>
              </w:rPr>
              <w:t>ktīvu pārvaldnieku darbības caurskatāmība</w:t>
            </w:r>
            <w:r w:rsidRPr="002C4A1B">
              <w:rPr>
                <w:rFonts w:ascii="Times New Roman" w:eastAsia="Times New Roman" w:hAnsi="Times New Roman" w:cs="Times New Roman"/>
                <w:b/>
                <w:bCs/>
                <w:sz w:val="24"/>
                <w:szCs w:val="24"/>
                <w:lang w:val="lv"/>
              </w:rPr>
              <w:t xml:space="preserve"> (iesaistīšanās politika</w:t>
            </w:r>
            <w:r w:rsidR="7074FE11" w:rsidRPr="002C4A1B">
              <w:rPr>
                <w:rFonts w:ascii="Times New Roman" w:eastAsia="Times New Roman" w:hAnsi="Times New Roman" w:cs="Times New Roman"/>
                <w:b/>
                <w:bCs/>
                <w:sz w:val="24"/>
                <w:szCs w:val="24"/>
                <w:lang w:val="lv"/>
              </w:rPr>
              <w:t>s izstrāde)</w:t>
            </w:r>
            <w:r w:rsidR="6AC822AB" w:rsidRPr="002C4A1B">
              <w:rPr>
                <w:rFonts w:ascii="Times New Roman" w:eastAsia="Times New Roman" w:hAnsi="Times New Roman" w:cs="Times New Roman"/>
                <w:sz w:val="24"/>
                <w:szCs w:val="24"/>
                <w:lang w:val="lv"/>
              </w:rPr>
              <w:t xml:space="preserve"> </w:t>
            </w:r>
          </w:p>
          <w:p w14:paraId="4FA88B94" w14:textId="7137A7A4" w:rsidR="00A505F5" w:rsidRPr="002C4A1B" w:rsidRDefault="00A505F5" w:rsidP="00A505F5">
            <w:pPr>
              <w:spacing w:after="0" w:line="240" w:lineRule="auto"/>
              <w:ind w:firstLine="284"/>
              <w:jc w:val="both"/>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Institucionālie ieguldītāji (Direktīvas izpratnē – privātie pensiju fondi, apdrošināšanas un pārapdrošināšanas sabiedrības, kas veic dzīvības apdrošināšanu vai pārapdrošināšanu) un aktīvu pārvaldnieki (Direktīvas izpratnē</w:t>
            </w:r>
            <w:r w:rsidR="00E870D7" w:rsidRPr="002C4A1B">
              <w:rPr>
                <w:rFonts w:ascii="Times New Roman" w:eastAsia="Times New Roman" w:hAnsi="Times New Roman" w:cs="Times New Roman"/>
                <w:color w:val="000000" w:themeColor="text1"/>
                <w:sz w:val="24"/>
                <w:szCs w:val="24"/>
              </w:rPr>
              <w:t>, piemēram,</w:t>
            </w:r>
            <w:r w:rsidRPr="002C4A1B">
              <w:rPr>
                <w:rFonts w:ascii="Times New Roman" w:eastAsia="Times New Roman" w:hAnsi="Times New Roman" w:cs="Times New Roman"/>
                <w:color w:val="000000" w:themeColor="text1"/>
                <w:sz w:val="24"/>
                <w:szCs w:val="24"/>
              </w:rPr>
              <w:t xml:space="preserve"> ieguldījumu pārvaldes sabiedrības, alternatīvo ieguldījumu fondu pārvaldnieki) var būt ietekmīgi akcionāri akciju sabiedrībās, kuru juridiskā adrese ir dalībvalstī un kuru akcijas iekļautas šo dalībvalstu regulētajā tirgū. Tādējādi tie spēlē arī būtisku lomu akciju sabiedrību korporatīvajā pārvaldē un akciju sabiedrību ilgtermiņa interešu veicināšanā. Projekts paredz veicināt aktīvu pārvaldnieku darbības caurskatāmību jautājumos, kas saistīti ar ieguldījumiem šādu akciju sabiedrību akcijās. Plānots, ka papildu prasības </w:t>
            </w:r>
            <w:r w:rsidR="002A5867" w:rsidRPr="002C4A1B">
              <w:rPr>
                <w:rFonts w:ascii="Times New Roman" w:eastAsia="Times New Roman" w:hAnsi="Times New Roman" w:cs="Times New Roman"/>
                <w:color w:val="000000" w:themeColor="text1"/>
                <w:sz w:val="24"/>
                <w:szCs w:val="24"/>
              </w:rPr>
              <w:t>aktīvu pārvaldnieku</w:t>
            </w:r>
            <w:r w:rsidRPr="002C4A1B">
              <w:rPr>
                <w:rFonts w:ascii="Times New Roman" w:eastAsia="Times New Roman" w:hAnsi="Times New Roman" w:cs="Times New Roman"/>
                <w:color w:val="000000" w:themeColor="text1"/>
                <w:sz w:val="24"/>
                <w:szCs w:val="24"/>
              </w:rPr>
              <w:t xml:space="preserve"> darbības caurskatāmībai veicinās dialogu starp akciju sabiedrību un tās akcionāriem, kā arī atvieglos </w:t>
            </w:r>
            <w:r w:rsidR="00B0305F" w:rsidRPr="002C4A1B">
              <w:rPr>
                <w:rFonts w:ascii="Times New Roman" w:eastAsia="Times New Roman" w:hAnsi="Times New Roman" w:cs="Times New Roman"/>
                <w:color w:val="000000" w:themeColor="text1"/>
                <w:sz w:val="24"/>
                <w:szCs w:val="24"/>
              </w:rPr>
              <w:t xml:space="preserve">ar </w:t>
            </w:r>
            <w:r w:rsidRPr="002C4A1B">
              <w:rPr>
                <w:rFonts w:ascii="Times New Roman" w:eastAsia="Times New Roman" w:hAnsi="Times New Roman" w:cs="Times New Roman"/>
                <w:color w:val="000000" w:themeColor="text1"/>
                <w:sz w:val="24"/>
                <w:szCs w:val="24"/>
              </w:rPr>
              <w:t>ieguldījumiem saistīto lēmumu pieņemšanu</w:t>
            </w:r>
            <w:r w:rsidR="006147E6" w:rsidRPr="002C4A1B">
              <w:rPr>
                <w:rFonts w:ascii="Times New Roman" w:eastAsia="Times New Roman" w:hAnsi="Times New Roman" w:cs="Times New Roman"/>
                <w:color w:val="000000" w:themeColor="text1"/>
                <w:sz w:val="24"/>
                <w:szCs w:val="24"/>
              </w:rPr>
              <w:t xml:space="preserve"> ieguldītājiem, kas izmanto institucionālo ieguldītāju un aktīvu pārvaldnieku sniegtos pakalpojumus.</w:t>
            </w:r>
          </w:p>
          <w:p w14:paraId="7642C404" w14:textId="087EB7D9"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bookmarkStart w:id="3" w:name="_Hlk532471507"/>
            <w:r w:rsidRPr="002C4A1B">
              <w:rPr>
                <w:rFonts w:ascii="Times New Roman" w:eastAsia="Times New Roman" w:hAnsi="Times New Roman" w:cs="Times New Roman"/>
                <w:sz w:val="24"/>
                <w:szCs w:val="24"/>
                <w:lang w:val="lv"/>
              </w:rPr>
              <w:lastRenderedPageBreak/>
              <w:t>Projekts attiecas uz tiem aktīvu pārvaldniekiem, kas uzskatāmi par ieguldījum</w:t>
            </w:r>
            <w:r w:rsidR="006A1A97" w:rsidRPr="002C4A1B">
              <w:rPr>
                <w:rFonts w:ascii="Times New Roman" w:eastAsia="Times New Roman" w:hAnsi="Times New Roman" w:cs="Times New Roman"/>
                <w:sz w:val="24"/>
                <w:szCs w:val="24"/>
                <w:lang w:val="lv"/>
              </w:rPr>
              <w:t>u</w:t>
            </w:r>
            <w:r w:rsidR="00B061C2"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sabiedrībām Eiropas Parlamenta un Padomes 2014.</w:t>
            </w:r>
            <w:r w:rsidR="00626899">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gada 15.</w:t>
            </w:r>
            <w:r w:rsidR="00415104"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maija direktīvas 2014/65/ES par finanšu instrumentu tirgiem un ar ko groza Direktīvu 2002/92/ES un Direktīvu 2011/61/ES (</w:t>
            </w:r>
            <w:proofErr w:type="spellStart"/>
            <w:r w:rsidRPr="002C4A1B">
              <w:rPr>
                <w:rFonts w:ascii="Times New Roman" w:eastAsia="Times New Roman" w:hAnsi="Times New Roman" w:cs="Times New Roman"/>
                <w:sz w:val="24"/>
                <w:szCs w:val="24"/>
                <w:lang w:val="lv"/>
              </w:rPr>
              <w:t>MiFID</w:t>
            </w:r>
            <w:proofErr w:type="spellEnd"/>
            <w:r w:rsidRPr="002C4A1B">
              <w:rPr>
                <w:rFonts w:ascii="Times New Roman" w:eastAsia="Times New Roman" w:hAnsi="Times New Roman" w:cs="Times New Roman"/>
                <w:sz w:val="24"/>
                <w:szCs w:val="24"/>
                <w:lang w:val="lv"/>
              </w:rPr>
              <w:t xml:space="preserve"> II)</w:t>
            </w:r>
            <w:r w:rsidR="008F602D">
              <w:rPr>
                <w:rFonts w:ascii="Times New Roman" w:eastAsia="Times New Roman" w:hAnsi="Times New Roman" w:cs="Times New Roman"/>
                <w:sz w:val="24"/>
                <w:szCs w:val="24"/>
                <w:lang w:val="lv"/>
              </w:rPr>
              <w:t>, izpratnē</w:t>
            </w:r>
            <w:r w:rsidRPr="002C4A1B">
              <w:rPr>
                <w:rFonts w:ascii="Times New Roman" w:eastAsia="Times New Roman" w:hAnsi="Times New Roman" w:cs="Times New Roman"/>
                <w:sz w:val="24"/>
                <w:szCs w:val="24"/>
                <w:lang w:val="lv"/>
              </w:rPr>
              <w:t xml:space="preserve"> un kas sniedz portfeļa pārvaldības pakalpojumus</w:t>
            </w:r>
            <w:r w:rsidR="00153774" w:rsidRPr="002C4A1B">
              <w:rPr>
                <w:rFonts w:ascii="Times New Roman" w:eastAsia="Times New Roman" w:hAnsi="Times New Roman" w:cs="Times New Roman"/>
                <w:sz w:val="24"/>
                <w:szCs w:val="24"/>
                <w:lang w:val="lv"/>
              </w:rPr>
              <w:t xml:space="preserve">, portfelī ietverot </w:t>
            </w:r>
            <w:r w:rsidRPr="002C4A1B">
              <w:rPr>
                <w:rFonts w:ascii="Times New Roman" w:eastAsia="Times New Roman" w:hAnsi="Times New Roman" w:cs="Times New Roman"/>
                <w:sz w:val="24"/>
                <w:szCs w:val="24"/>
                <w:lang w:val="lv"/>
              </w:rPr>
              <w:t>ieguldījumu</w:t>
            </w:r>
            <w:r w:rsidR="00153774" w:rsidRPr="002C4A1B">
              <w:rPr>
                <w:rFonts w:ascii="Times New Roman" w:eastAsia="Times New Roman" w:hAnsi="Times New Roman" w:cs="Times New Roman"/>
                <w:sz w:val="24"/>
                <w:szCs w:val="24"/>
                <w:lang w:val="lv"/>
              </w:rPr>
              <w:t>s</w:t>
            </w:r>
            <w:r w:rsidRPr="002C4A1B">
              <w:rPr>
                <w:rFonts w:ascii="Times New Roman" w:eastAsia="Times New Roman" w:hAnsi="Times New Roman" w:cs="Times New Roman"/>
                <w:sz w:val="24"/>
                <w:szCs w:val="24"/>
                <w:lang w:val="lv"/>
              </w:rPr>
              <w:t xml:space="preserve"> tādas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w:t>
            </w:r>
          </w:p>
          <w:bookmarkEnd w:id="3"/>
          <w:p w14:paraId="2465363E" w14:textId="27C0BEE8"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Atbilstoši FITL 101.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pantam ieguldījumu pakalpojumus (portfeļa pārvaldību) Latvijas Republikā ir tiesīgas sniegt ieguldījumu brokeru sabiedrības, kredītiestādes, apdrošināšanas brokeri — juridiskās personas, kā arī ieguldījumu pārvaldes sabiedrības to darbību regulējošos normatīvajos aktos noteiktajā kārtībā. Tāpat atbilstoši Alternatīvo ieguldījumu fondu un to pārvaldnieku likuma 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septītajai daļai finanšu instrumentu portfeļa individuālu pārvaldīšanu ir tiesīgs veikt arī licencēts ārējais pārvaldnieks.</w:t>
            </w:r>
          </w:p>
          <w:p w14:paraId="5D68DB7C" w14:textId="70CDE21F"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Atbilstoši FITL 101.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1.</w:t>
            </w:r>
            <w:r w:rsidRPr="002C4A1B">
              <w:rPr>
                <w:rFonts w:ascii="Times New Roman" w:eastAsia="Times New Roman" w:hAnsi="Times New Roman" w:cs="Times New Roman"/>
                <w:sz w:val="24"/>
                <w:szCs w:val="24"/>
                <w:vertAlign w:val="superscript"/>
                <w:lang w:val="lv"/>
              </w:rPr>
              <w:t>1</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daļai apdrošināšanas brokeris - juridiskā persona ieguldījumu pakalpojumu sniegšanai saņem licenci </w:t>
            </w:r>
            <w:r w:rsidR="61145BAC" w:rsidRPr="002C4A1B">
              <w:rPr>
                <w:rFonts w:ascii="Times New Roman" w:eastAsia="Times New Roman" w:hAnsi="Times New Roman" w:cs="Times New Roman"/>
                <w:sz w:val="24"/>
                <w:szCs w:val="24"/>
                <w:lang w:val="lv"/>
              </w:rPr>
              <w:t>FITL</w:t>
            </w:r>
            <w:r w:rsidRPr="002C4A1B">
              <w:rPr>
                <w:rFonts w:ascii="Times New Roman" w:eastAsia="Times New Roman" w:hAnsi="Times New Roman" w:cs="Times New Roman"/>
                <w:sz w:val="24"/>
                <w:szCs w:val="24"/>
                <w:lang w:val="lv"/>
              </w:rPr>
              <w:t xml:space="preserve"> VIII</w:t>
            </w:r>
            <w:r w:rsidR="00626899">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nodaļā noteiktajā kārtībā un ievēro ieguldījumu brokeru sabiedrības darbībai izvirzītās prasības. Saskaņā ar Ieguldījumu pārvaldes sabiedrību likuma 13.</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otrās daļas 6.</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punktu gadījumā, ja ieguldījumu pārvaldes sabiedrība papildus fondu pārvaldei </w:t>
            </w:r>
            <w:r w:rsidR="00E32EB8" w:rsidRPr="002C4A1B">
              <w:rPr>
                <w:rFonts w:ascii="Times New Roman" w:eastAsia="Times New Roman" w:hAnsi="Times New Roman" w:cs="Times New Roman"/>
                <w:sz w:val="24"/>
                <w:szCs w:val="24"/>
                <w:lang w:val="lv"/>
              </w:rPr>
              <w:t xml:space="preserve">sniedz </w:t>
            </w:r>
            <w:r w:rsidRPr="002C4A1B">
              <w:rPr>
                <w:rFonts w:ascii="Times New Roman" w:eastAsia="Times New Roman" w:hAnsi="Times New Roman" w:cs="Times New Roman"/>
                <w:sz w:val="24"/>
                <w:szCs w:val="24"/>
                <w:lang w:val="lv"/>
              </w:rPr>
              <w:t>ieguldītāja</w:t>
            </w:r>
            <w:r w:rsidR="00E32EB8" w:rsidRPr="002C4A1B">
              <w:rPr>
                <w:rFonts w:ascii="Times New Roman" w:eastAsia="Times New Roman" w:hAnsi="Times New Roman" w:cs="Times New Roman"/>
                <w:sz w:val="24"/>
                <w:szCs w:val="24"/>
                <w:lang w:val="lv"/>
              </w:rPr>
              <w:t>m</w:t>
            </w:r>
            <w:r w:rsidRPr="002C4A1B">
              <w:rPr>
                <w:rFonts w:ascii="Times New Roman" w:eastAsia="Times New Roman" w:hAnsi="Times New Roman" w:cs="Times New Roman"/>
                <w:sz w:val="24"/>
                <w:szCs w:val="24"/>
                <w:lang w:val="lv"/>
              </w:rPr>
              <w:t xml:space="preserve"> finanšu instrumentu portfeļa  pārvaldī</w:t>
            </w:r>
            <w:r w:rsidR="00E32EB8" w:rsidRPr="002C4A1B">
              <w:rPr>
                <w:rFonts w:ascii="Times New Roman" w:eastAsia="Times New Roman" w:hAnsi="Times New Roman" w:cs="Times New Roman"/>
                <w:sz w:val="24"/>
                <w:szCs w:val="24"/>
                <w:lang w:val="lv"/>
              </w:rPr>
              <w:t>bas pakalpojumu</w:t>
            </w:r>
            <w:r w:rsidRPr="002C4A1B">
              <w:rPr>
                <w:rFonts w:ascii="Times New Roman" w:eastAsia="Times New Roman" w:hAnsi="Times New Roman" w:cs="Times New Roman"/>
                <w:sz w:val="24"/>
                <w:szCs w:val="24"/>
                <w:lang w:val="lv"/>
              </w:rPr>
              <w:t>, tad tā ievēro un izpilda prasības, kas saskaņā ar FITL XII</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nodaļu ir noteiktas ieguldījumu brokeru sabiedrībām, kuras </w:t>
            </w:r>
            <w:r w:rsidR="00E32EB8" w:rsidRPr="002C4A1B">
              <w:rPr>
                <w:rFonts w:ascii="Times New Roman" w:eastAsia="Times New Roman" w:hAnsi="Times New Roman" w:cs="Times New Roman"/>
                <w:sz w:val="24"/>
                <w:szCs w:val="24"/>
                <w:lang w:val="lv"/>
              </w:rPr>
              <w:t xml:space="preserve">sniedz </w:t>
            </w:r>
            <w:r w:rsidRPr="002C4A1B">
              <w:rPr>
                <w:rFonts w:ascii="Times New Roman" w:eastAsia="Times New Roman" w:hAnsi="Times New Roman" w:cs="Times New Roman"/>
                <w:sz w:val="24"/>
                <w:szCs w:val="24"/>
                <w:lang w:val="lv"/>
              </w:rPr>
              <w:t xml:space="preserve"> finanšu instrumentu portfeļa pārvaldī</w:t>
            </w:r>
            <w:r w:rsidR="00E32EB8" w:rsidRPr="002C4A1B">
              <w:rPr>
                <w:rFonts w:ascii="Times New Roman" w:eastAsia="Times New Roman" w:hAnsi="Times New Roman" w:cs="Times New Roman"/>
                <w:sz w:val="24"/>
                <w:szCs w:val="24"/>
                <w:lang w:val="lv"/>
              </w:rPr>
              <w:t>bas  pakalpojumu</w:t>
            </w:r>
            <w:r w:rsidRPr="002C4A1B">
              <w:rPr>
                <w:rFonts w:ascii="Times New Roman" w:eastAsia="Times New Roman" w:hAnsi="Times New Roman" w:cs="Times New Roman"/>
                <w:sz w:val="24"/>
                <w:szCs w:val="24"/>
                <w:lang w:val="lv"/>
              </w:rPr>
              <w:t>. Līdzīgs regulējums noteikts arī Alternatīvo ieguldījumu fondu un to pārvaldnieku likuma 22.</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panta ceturtās daļas 5.</w:t>
            </w:r>
            <w:r w:rsidR="00401BD5"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punktā. Proti, ja licencētam ārējam pārvaldniekam atļauts veikt finanšu instrumentu portfeļa individuālu pārvaldīšanu, tad tas ievēro un izpilda citas prasības, kas saskaņā ar FITL ir noteiktas ieguldījumu brokeru sabiedrībai, kura ieguldītāj</w:t>
            </w:r>
            <w:r w:rsidR="004C0090" w:rsidRPr="002C4A1B">
              <w:rPr>
                <w:rFonts w:ascii="Times New Roman" w:eastAsia="Times New Roman" w:hAnsi="Times New Roman" w:cs="Times New Roman"/>
                <w:sz w:val="24"/>
                <w:szCs w:val="24"/>
                <w:lang w:val="lv"/>
              </w:rPr>
              <w:t xml:space="preserve">iem sniedz </w:t>
            </w:r>
            <w:r w:rsidRPr="002C4A1B">
              <w:rPr>
                <w:rFonts w:ascii="Times New Roman" w:eastAsia="Times New Roman" w:hAnsi="Times New Roman" w:cs="Times New Roman"/>
                <w:sz w:val="24"/>
                <w:szCs w:val="24"/>
                <w:lang w:val="lv"/>
              </w:rPr>
              <w:t>portfeļ</w:t>
            </w:r>
            <w:r w:rsidR="004C0090"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 pārvaldī</w:t>
            </w:r>
            <w:r w:rsidR="004C0090" w:rsidRPr="002C4A1B">
              <w:rPr>
                <w:rFonts w:ascii="Times New Roman" w:eastAsia="Times New Roman" w:hAnsi="Times New Roman" w:cs="Times New Roman"/>
                <w:sz w:val="24"/>
                <w:szCs w:val="24"/>
                <w:lang w:val="lv"/>
              </w:rPr>
              <w:t>bas</w:t>
            </w:r>
            <w:r w:rsidR="00C13D57" w:rsidRPr="002C4A1B">
              <w:rPr>
                <w:rFonts w:ascii="Times New Roman" w:eastAsia="Times New Roman" w:hAnsi="Times New Roman" w:cs="Times New Roman"/>
                <w:sz w:val="24"/>
                <w:szCs w:val="24"/>
                <w:lang w:val="lv"/>
              </w:rPr>
              <w:t xml:space="preserve"> </w:t>
            </w:r>
            <w:r w:rsidR="004C0090" w:rsidRPr="002C4A1B">
              <w:rPr>
                <w:rFonts w:ascii="Times New Roman" w:eastAsia="Times New Roman" w:hAnsi="Times New Roman" w:cs="Times New Roman"/>
                <w:sz w:val="24"/>
                <w:szCs w:val="24"/>
                <w:lang w:val="lv"/>
              </w:rPr>
              <w:t>pakalpojumu</w:t>
            </w:r>
            <w:r w:rsidRPr="002C4A1B">
              <w:rPr>
                <w:rFonts w:ascii="Times New Roman" w:eastAsia="Times New Roman" w:hAnsi="Times New Roman" w:cs="Times New Roman"/>
                <w:sz w:val="24"/>
                <w:szCs w:val="24"/>
                <w:lang w:val="lv"/>
              </w:rPr>
              <w:t xml:space="preserve">. Ņemot vērā, ka apdrošināšanas brokerim, ieguldījumu </w:t>
            </w:r>
            <w:r w:rsidR="00761F67" w:rsidRPr="002C4A1B">
              <w:rPr>
                <w:rFonts w:ascii="Times New Roman" w:eastAsia="Times New Roman" w:hAnsi="Times New Roman" w:cs="Times New Roman"/>
                <w:sz w:val="24"/>
                <w:szCs w:val="24"/>
                <w:lang w:val="lv"/>
              </w:rPr>
              <w:t xml:space="preserve">pārvaldes </w:t>
            </w:r>
            <w:r w:rsidRPr="002C4A1B">
              <w:rPr>
                <w:rFonts w:ascii="Times New Roman" w:eastAsia="Times New Roman" w:hAnsi="Times New Roman" w:cs="Times New Roman"/>
                <w:sz w:val="24"/>
                <w:szCs w:val="24"/>
                <w:lang w:val="lv"/>
              </w:rPr>
              <w:t>sabiedrībai, alternatīvo ieguldījumu fondu ārējam pārvaldniekam, kuri veic portfeļa pārvaldīšanu, piemēr</w:t>
            </w:r>
            <w:r w:rsidR="04F8EBCF" w:rsidRPr="002C4A1B">
              <w:rPr>
                <w:rFonts w:ascii="Times New Roman" w:eastAsia="Times New Roman" w:hAnsi="Times New Roman" w:cs="Times New Roman"/>
                <w:sz w:val="24"/>
                <w:szCs w:val="24"/>
                <w:lang w:val="lv"/>
              </w:rPr>
              <w:t>o</w:t>
            </w:r>
            <w:r w:rsidRPr="002C4A1B">
              <w:rPr>
                <w:rFonts w:ascii="Times New Roman" w:eastAsia="Times New Roman" w:hAnsi="Times New Roman" w:cs="Times New Roman"/>
                <w:sz w:val="24"/>
                <w:szCs w:val="24"/>
                <w:lang w:val="lv"/>
              </w:rPr>
              <w:t xml:space="preserve">jams ieguldījumu brokeru sabiedrību regulējums, projekts </w:t>
            </w:r>
            <w:r w:rsidR="00BF1078" w:rsidRPr="002C4A1B">
              <w:rPr>
                <w:rFonts w:ascii="Times New Roman" w:eastAsia="Times New Roman" w:hAnsi="Times New Roman" w:cs="Times New Roman"/>
                <w:sz w:val="24"/>
                <w:szCs w:val="24"/>
                <w:lang w:val="lv"/>
              </w:rPr>
              <w:t xml:space="preserve">groza </w:t>
            </w:r>
            <w:r w:rsidRPr="002C4A1B">
              <w:rPr>
                <w:rFonts w:ascii="Times New Roman" w:eastAsia="Times New Roman" w:hAnsi="Times New Roman" w:cs="Times New Roman"/>
                <w:sz w:val="24"/>
                <w:szCs w:val="24"/>
                <w:lang w:val="lv"/>
              </w:rPr>
              <w:t>tikai kredītiestāžu un ieguldījumu brokeru sabiedrību regulējumu.</w:t>
            </w:r>
          </w:p>
          <w:p w14:paraId="199D4766" w14:textId="3ECB07AF" w:rsidR="48D7C7F9" w:rsidRPr="002C4A1B" w:rsidDel="451C62BF"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w:t>
            </w:r>
            <w:r w:rsidR="153FED0D" w:rsidRPr="002C4A1B">
              <w:rPr>
                <w:rFonts w:ascii="Times New Roman" w:eastAsia="Times New Roman" w:hAnsi="Times New Roman" w:cs="Times New Roman"/>
                <w:sz w:val="24"/>
                <w:szCs w:val="24"/>
                <w:lang w:val="lv"/>
              </w:rPr>
              <w:t>noteic</w:t>
            </w:r>
            <w:r w:rsidRPr="002C4A1B">
              <w:rPr>
                <w:rFonts w:ascii="Times New Roman" w:eastAsia="Times New Roman" w:hAnsi="Times New Roman" w:cs="Times New Roman"/>
                <w:sz w:val="24"/>
                <w:szCs w:val="24"/>
                <w:lang w:val="lv"/>
              </w:rPr>
              <w:t xml:space="preserve">, ka gadījumā, ja ieguldījumu brokeru sabiedrība un </w:t>
            </w:r>
            <w:r w:rsidRPr="002C4A1B">
              <w:rPr>
                <w:rFonts w:ascii="Times New Roman" w:eastAsia="Times New Roman" w:hAnsi="Times New Roman" w:cs="Times New Roman"/>
                <w:color w:val="000000" w:themeColor="text1"/>
                <w:sz w:val="24"/>
                <w:szCs w:val="24"/>
                <w:lang w:val="lv"/>
              </w:rPr>
              <w:t>kredītiestāde paredz sniegt portfeļa pārvaldības pakalpojumu</w:t>
            </w:r>
            <w:r w:rsidR="00FE3642" w:rsidRPr="002C4A1B">
              <w:rPr>
                <w:rFonts w:ascii="Times New Roman" w:eastAsia="Times New Roman" w:hAnsi="Times New Roman" w:cs="Times New Roman"/>
                <w:color w:val="000000" w:themeColor="text1"/>
                <w:sz w:val="24"/>
                <w:szCs w:val="24"/>
                <w:lang w:val="lv"/>
              </w:rPr>
              <w:t xml:space="preserve">, portfelī ietverot </w:t>
            </w:r>
            <w:r w:rsidRPr="002C4A1B">
              <w:rPr>
                <w:rFonts w:ascii="Times New Roman" w:eastAsia="Times New Roman" w:hAnsi="Times New Roman" w:cs="Times New Roman"/>
                <w:sz w:val="24"/>
                <w:szCs w:val="24"/>
                <w:lang w:val="lv"/>
              </w:rPr>
              <w:t xml:space="preserve">ieguldījumu veikšanu tādas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sabiedrības akcijās, kuras juridiskā adrese ir dalībvalstī un kuras akcijas iekļautas dalībvalsts regulētajā tirgū, ieguldījumu brokeru sabiedrībām un kredītiestādēm būs pienākums izstrādāt politiku, kurā tiks </w:t>
            </w:r>
            <w:r w:rsidRPr="002C4A1B">
              <w:rPr>
                <w:rFonts w:ascii="Times New Roman" w:eastAsia="Times New Roman" w:hAnsi="Times New Roman" w:cs="Times New Roman"/>
                <w:sz w:val="24"/>
                <w:szCs w:val="24"/>
                <w:lang w:val="lv"/>
              </w:rPr>
              <w:lastRenderedPageBreak/>
              <w:t xml:space="preserve">aprakstīts un skaidrots, kā ieguldījumu brokeru sabiedrības </w:t>
            </w:r>
            <w:r w:rsidR="00761F67" w:rsidRPr="002C4A1B">
              <w:rPr>
                <w:rFonts w:ascii="Times New Roman" w:eastAsia="Times New Roman" w:hAnsi="Times New Roman" w:cs="Times New Roman"/>
                <w:sz w:val="24"/>
                <w:szCs w:val="24"/>
                <w:lang w:val="lv"/>
              </w:rPr>
              <w:t xml:space="preserve">vai </w:t>
            </w:r>
            <w:r w:rsidRPr="002C4A1B">
              <w:rPr>
                <w:rFonts w:ascii="Times New Roman" w:eastAsia="Times New Roman" w:hAnsi="Times New Roman" w:cs="Times New Roman"/>
                <w:sz w:val="24"/>
                <w:szCs w:val="24"/>
                <w:lang w:val="lv"/>
              </w:rPr>
              <w:t xml:space="preserve">kredītiestādes stratēģijā tiek iekļauta akcionāra tiesību izmantošana šīs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sabiedrības pārvaldē. Projekts paredz, ka kredītiestādēm un ieguldījumu brokeru sabiedrībām, jau iesniedzot dokumentu</w:t>
            </w:r>
            <w:r w:rsidR="00C74788" w:rsidRPr="002C4A1B">
              <w:rPr>
                <w:rFonts w:ascii="Times New Roman" w:eastAsia="Times New Roman" w:hAnsi="Times New Roman" w:cs="Times New Roman"/>
                <w:sz w:val="24"/>
                <w:szCs w:val="24"/>
                <w:lang w:val="lv"/>
              </w:rPr>
              <w:t>s</w:t>
            </w:r>
            <w:r w:rsidRPr="002C4A1B">
              <w:rPr>
                <w:rFonts w:ascii="Times New Roman" w:eastAsia="Times New Roman" w:hAnsi="Times New Roman" w:cs="Times New Roman"/>
                <w:sz w:val="24"/>
                <w:szCs w:val="24"/>
                <w:lang w:val="lv"/>
              </w:rPr>
              <w:t xml:space="preserve"> licences iegūšanai, būs pienākums izstrādāt iesaistīšanās politiku</w:t>
            </w:r>
            <w:r w:rsidR="006147E6" w:rsidRPr="002C4A1B">
              <w:rPr>
                <w:rFonts w:ascii="Times New Roman" w:eastAsia="Times New Roman" w:hAnsi="Times New Roman" w:cs="Times New Roman"/>
                <w:sz w:val="24"/>
                <w:szCs w:val="24"/>
                <w:lang w:val="lv"/>
              </w:rPr>
              <w:t>. Tādas pašas prasības attiecināmas uz citiem subjektiem, kas plāno sniegt portfeļa pārvaldības pakalpojumu.</w:t>
            </w:r>
            <w:r w:rsidRPr="002C4A1B">
              <w:rPr>
                <w:rFonts w:ascii="Times New Roman" w:eastAsia="Times New Roman" w:hAnsi="Times New Roman" w:cs="Times New Roman"/>
                <w:sz w:val="24"/>
                <w:szCs w:val="24"/>
                <w:lang w:val="lv"/>
              </w:rPr>
              <w:t xml:space="preserve"> Lai nodrošinātu, ka arī līdz projekta spēkā stāšanās brīdim jau licencētas ieguldījumu brokeru sabiedrības un kredītiestādes izstrādā iesaistīšanās politiku</w:t>
            </w:r>
            <w:r w:rsidR="006147E6" w:rsidRPr="002C4A1B">
              <w:rPr>
                <w:rFonts w:ascii="Times New Roman" w:eastAsia="Times New Roman" w:hAnsi="Times New Roman" w:cs="Times New Roman"/>
                <w:sz w:val="24"/>
                <w:szCs w:val="24"/>
                <w:lang w:val="lv"/>
              </w:rPr>
              <w:t xml:space="preserve"> (</w:t>
            </w:r>
            <w:r w:rsidR="00CB7A6E" w:rsidRPr="002C4A1B">
              <w:rPr>
                <w:rFonts w:ascii="Times New Roman" w:eastAsia="Times New Roman" w:hAnsi="Times New Roman" w:cs="Times New Roman"/>
                <w:sz w:val="24"/>
                <w:szCs w:val="24"/>
                <w:lang w:val="lv"/>
              </w:rPr>
              <w:t xml:space="preserve">ja </w:t>
            </w:r>
            <w:r w:rsidR="006147E6" w:rsidRPr="002C4A1B">
              <w:rPr>
                <w:rFonts w:ascii="Times New Roman" w:eastAsia="Times New Roman" w:hAnsi="Times New Roman" w:cs="Times New Roman"/>
                <w:sz w:val="24"/>
                <w:szCs w:val="24"/>
                <w:lang w:val="lv"/>
              </w:rPr>
              <w:t>portfelī var tikt ietverti ieguldījumi</w:t>
            </w:r>
            <w:r w:rsidR="00CB7A6E" w:rsidRPr="002C4A1B">
              <w:rPr>
                <w:rFonts w:ascii="Times New Roman" w:eastAsia="Times New Roman" w:hAnsi="Times New Roman" w:cs="Times New Roman"/>
                <w:sz w:val="24"/>
                <w:szCs w:val="24"/>
                <w:lang w:val="lv"/>
              </w:rPr>
              <w:t xml:space="preserve"> </w:t>
            </w:r>
            <w:r w:rsidR="006147E6" w:rsidRPr="002C4A1B">
              <w:rPr>
                <w:rFonts w:ascii="Times New Roman" w:eastAsia="Times New Roman" w:hAnsi="Times New Roman" w:cs="Times New Roman"/>
                <w:sz w:val="24"/>
                <w:szCs w:val="24"/>
                <w:lang w:val="lv"/>
              </w:rPr>
              <w:t xml:space="preserve">tādu akciju sabiedrību akcijās, kuras </w:t>
            </w:r>
            <w:r w:rsidR="00CB7A6E" w:rsidRPr="002C4A1B">
              <w:rPr>
                <w:rFonts w:ascii="Times New Roman" w:eastAsia="Times New Roman" w:hAnsi="Times New Roman" w:cs="Times New Roman"/>
                <w:sz w:val="24"/>
                <w:szCs w:val="24"/>
                <w:lang w:val="lv"/>
              </w:rPr>
              <w:t>juridiskā adrese ir dalībvalstī</w:t>
            </w:r>
            <w:r w:rsidR="00934C87" w:rsidRPr="002C4A1B">
              <w:rPr>
                <w:rFonts w:ascii="Times New Roman" w:eastAsia="Times New Roman" w:hAnsi="Times New Roman" w:cs="Times New Roman"/>
                <w:sz w:val="24"/>
                <w:szCs w:val="24"/>
                <w:lang w:val="lv"/>
              </w:rPr>
              <w:t xml:space="preserve"> un kuras akcijas iekļautas dalībvalsts regulētajā tirgū)</w:t>
            </w:r>
            <w:r w:rsidR="00CB7A6E"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 xml:space="preserve">projekts paredz pārejas noteikumus, kas uzliek par pienākumu šādiem jau licencētiem </w:t>
            </w:r>
            <w:r w:rsidR="00242A8D" w:rsidRPr="002C4A1B">
              <w:rPr>
                <w:rFonts w:ascii="Times New Roman" w:eastAsia="Times New Roman" w:hAnsi="Times New Roman" w:cs="Times New Roman"/>
                <w:sz w:val="24"/>
                <w:szCs w:val="24"/>
                <w:lang w:val="lv"/>
              </w:rPr>
              <w:t>tirgus dalībniekiem</w:t>
            </w:r>
            <w:r w:rsidRPr="002C4A1B">
              <w:rPr>
                <w:rFonts w:ascii="Times New Roman" w:eastAsia="Times New Roman" w:hAnsi="Times New Roman" w:cs="Times New Roman"/>
                <w:sz w:val="24"/>
                <w:szCs w:val="24"/>
                <w:lang w:val="lv"/>
              </w:rPr>
              <w:t xml:space="preserve"> izstrādāt un publiskot iesaistīšanās politiku līdz 2019.</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gada 1.</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 xml:space="preserve">novembrim. </w:t>
            </w:r>
          </w:p>
          <w:p w14:paraId="2B9DA064" w14:textId="3E629FF8" w:rsidR="002866D4" w:rsidRPr="002C4A1B" w:rsidRDefault="002866D4" w:rsidP="001739D7">
            <w:pPr>
              <w:spacing w:after="0" w:line="240" w:lineRule="auto"/>
              <w:ind w:firstLine="284"/>
              <w:jc w:val="both"/>
              <w:rPr>
                <w:rFonts w:ascii="Times New Roman" w:eastAsia="Times New Roman" w:hAnsi="Times New Roman" w:cs="Times New Roman"/>
                <w:color w:val="000000"/>
                <w:sz w:val="24"/>
                <w:szCs w:val="24"/>
              </w:rPr>
            </w:pPr>
            <w:r w:rsidRPr="002C4A1B">
              <w:rPr>
                <w:rFonts w:ascii="Times New Roman" w:eastAsia="Times New Roman" w:hAnsi="Times New Roman" w:cs="Times New Roman"/>
                <w:color w:val="000000"/>
                <w:sz w:val="24"/>
                <w:szCs w:val="24"/>
              </w:rPr>
              <w:t xml:space="preserve">Projekts paredz, ka iesaistīšanās politikā </w:t>
            </w:r>
            <w:r w:rsidR="00D36B28" w:rsidRPr="002C4A1B">
              <w:rPr>
                <w:rFonts w:ascii="Times New Roman" w:eastAsia="Times New Roman" w:hAnsi="Times New Roman" w:cs="Times New Roman"/>
                <w:color w:val="000000"/>
                <w:sz w:val="24"/>
                <w:szCs w:val="24"/>
              </w:rPr>
              <w:t>ieguldījumu brokeru sabiedrības un kredītiestādes</w:t>
            </w:r>
            <w:r w:rsidRPr="002C4A1B">
              <w:rPr>
                <w:rFonts w:ascii="Times New Roman" w:eastAsia="Times New Roman" w:hAnsi="Times New Roman" w:cs="Times New Roman"/>
                <w:color w:val="000000"/>
                <w:sz w:val="24"/>
                <w:szCs w:val="24"/>
              </w:rPr>
              <w:t xml:space="preserve"> atklās informāciju par to, kā tā</w:t>
            </w:r>
            <w:r w:rsidR="00C74788" w:rsidRPr="002C4A1B">
              <w:rPr>
                <w:rFonts w:ascii="Times New Roman" w:eastAsia="Times New Roman" w:hAnsi="Times New Roman" w:cs="Times New Roman"/>
                <w:color w:val="000000"/>
                <w:sz w:val="24"/>
                <w:szCs w:val="24"/>
              </w:rPr>
              <w:t>s</w:t>
            </w:r>
            <w:r w:rsidRPr="002C4A1B">
              <w:rPr>
                <w:rFonts w:ascii="Times New Roman" w:eastAsia="Times New Roman" w:hAnsi="Times New Roman" w:cs="Times New Roman"/>
                <w:color w:val="000000"/>
                <w:sz w:val="24"/>
                <w:szCs w:val="24"/>
              </w:rPr>
              <w:t xml:space="preserve"> pārrauga tās akciju sabiedrības darbību, kuras akcijās veikts ieguldījums (piemēram, cik un kādā veidā tā iesaistās akciju sabiedrības pārvaldībā, kā tiek ņemta vērā akciju sabiedrības ietekme uz vidi u. c. jautājumi). Attiecībā uz iesaistīšanās politikas izstrādi </w:t>
            </w:r>
            <w:r w:rsidR="001739D7" w:rsidRPr="002C4A1B">
              <w:rPr>
                <w:rFonts w:ascii="Times New Roman" w:eastAsia="Times New Roman" w:hAnsi="Times New Roman" w:cs="Times New Roman"/>
                <w:color w:val="000000"/>
                <w:sz w:val="24"/>
                <w:szCs w:val="24"/>
              </w:rPr>
              <w:t xml:space="preserve">likumā tiek </w:t>
            </w:r>
            <w:r w:rsidRPr="002C4A1B">
              <w:rPr>
                <w:rFonts w:ascii="Times New Roman" w:eastAsia="Times New Roman" w:hAnsi="Times New Roman" w:cs="Times New Roman"/>
                <w:color w:val="000000"/>
                <w:sz w:val="24"/>
                <w:szCs w:val="24"/>
              </w:rPr>
              <w:t xml:space="preserve">nostiprināts </w:t>
            </w:r>
            <w:r w:rsidR="00050485">
              <w:rPr>
                <w:rFonts w:ascii="Times New Roman" w:eastAsia="Times New Roman" w:hAnsi="Times New Roman" w:cs="Times New Roman"/>
                <w:color w:val="000000"/>
                <w:sz w:val="24"/>
                <w:szCs w:val="24"/>
              </w:rPr>
              <w:t>"</w:t>
            </w:r>
            <w:r w:rsidRPr="002C4A1B">
              <w:rPr>
                <w:rFonts w:ascii="Times New Roman" w:eastAsia="Times New Roman" w:hAnsi="Times New Roman" w:cs="Times New Roman"/>
                <w:color w:val="000000"/>
                <w:sz w:val="24"/>
                <w:szCs w:val="24"/>
              </w:rPr>
              <w:t>ievēro vai paskaidro</w:t>
            </w:r>
            <w:r w:rsidR="00050485">
              <w:rPr>
                <w:rFonts w:ascii="Times New Roman" w:eastAsia="Times New Roman" w:hAnsi="Times New Roman" w:cs="Times New Roman"/>
                <w:color w:val="000000"/>
                <w:sz w:val="24"/>
                <w:szCs w:val="24"/>
              </w:rPr>
              <w:t>"</w:t>
            </w:r>
            <w:r w:rsidRPr="002C4A1B">
              <w:rPr>
                <w:rFonts w:ascii="Times New Roman" w:eastAsia="Times New Roman" w:hAnsi="Times New Roman" w:cs="Times New Roman"/>
                <w:color w:val="000000"/>
                <w:sz w:val="24"/>
                <w:szCs w:val="24"/>
              </w:rPr>
              <w:t xml:space="preserve"> princips, proti, ieguldījumu </w:t>
            </w:r>
            <w:r w:rsidR="004900F9" w:rsidRPr="002C4A1B">
              <w:rPr>
                <w:rFonts w:ascii="Times New Roman" w:eastAsia="Times New Roman" w:hAnsi="Times New Roman" w:cs="Times New Roman"/>
                <w:color w:val="000000"/>
                <w:sz w:val="24"/>
                <w:szCs w:val="24"/>
              </w:rPr>
              <w:t>brokeru</w:t>
            </w:r>
            <w:r w:rsidRPr="002C4A1B">
              <w:rPr>
                <w:rFonts w:ascii="Times New Roman" w:eastAsia="Times New Roman" w:hAnsi="Times New Roman" w:cs="Times New Roman"/>
                <w:color w:val="000000"/>
                <w:sz w:val="24"/>
                <w:szCs w:val="24"/>
              </w:rPr>
              <w:t xml:space="preserve"> sabiedrībai </w:t>
            </w:r>
            <w:r w:rsidR="004900F9" w:rsidRPr="002C4A1B">
              <w:rPr>
                <w:rFonts w:ascii="Times New Roman" w:eastAsia="Times New Roman" w:hAnsi="Times New Roman" w:cs="Times New Roman"/>
                <w:color w:val="000000"/>
                <w:sz w:val="24"/>
                <w:szCs w:val="24"/>
              </w:rPr>
              <w:t xml:space="preserve">un kredītiestādei </w:t>
            </w:r>
            <w:r w:rsidRPr="002C4A1B">
              <w:rPr>
                <w:rFonts w:ascii="Times New Roman" w:eastAsia="Times New Roman" w:hAnsi="Times New Roman" w:cs="Times New Roman"/>
                <w:color w:val="000000"/>
                <w:sz w:val="24"/>
                <w:szCs w:val="24"/>
              </w:rPr>
              <w:t>būs tiesības nepiemērot noteikumus par iesaistīšanās aktivitātēm, tomēr šādā gadījumā t</w:t>
            </w:r>
            <w:r w:rsidR="00C74788" w:rsidRPr="002C4A1B">
              <w:rPr>
                <w:rFonts w:ascii="Times New Roman" w:eastAsia="Times New Roman" w:hAnsi="Times New Roman" w:cs="Times New Roman"/>
                <w:color w:val="000000"/>
                <w:sz w:val="24"/>
                <w:szCs w:val="24"/>
              </w:rPr>
              <w:t xml:space="preserve">ām </w:t>
            </w:r>
            <w:r w:rsidRPr="002C4A1B">
              <w:rPr>
                <w:rFonts w:ascii="Times New Roman" w:eastAsia="Times New Roman" w:hAnsi="Times New Roman" w:cs="Times New Roman"/>
                <w:color w:val="000000"/>
                <w:sz w:val="24"/>
                <w:szCs w:val="24"/>
              </w:rPr>
              <w:t xml:space="preserve">būs pienākums sniegt detalizētu skaidrojumu šādai </w:t>
            </w:r>
            <w:r w:rsidR="001739D7" w:rsidRPr="002C4A1B">
              <w:rPr>
                <w:rFonts w:ascii="Times New Roman" w:eastAsia="Times New Roman" w:hAnsi="Times New Roman" w:cs="Times New Roman"/>
                <w:color w:val="000000"/>
                <w:sz w:val="24"/>
                <w:szCs w:val="24"/>
              </w:rPr>
              <w:t>atkāpei</w:t>
            </w:r>
            <w:r w:rsidRPr="002C4A1B">
              <w:rPr>
                <w:rFonts w:ascii="Times New Roman" w:eastAsia="Times New Roman" w:hAnsi="Times New Roman" w:cs="Times New Roman"/>
                <w:color w:val="000000"/>
                <w:sz w:val="24"/>
                <w:szCs w:val="24"/>
              </w:rPr>
              <w:t xml:space="preserve">. Projekta mērķis ir nodrošināt, ka personām, kuras izmanto ieguldījumu </w:t>
            </w:r>
            <w:r w:rsidR="004900F9" w:rsidRPr="002C4A1B">
              <w:rPr>
                <w:rFonts w:ascii="Times New Roman" w:eastAsia="Times New Roman" w:hAnsi="Times New Roman" w:cs="Times New Roman"/>
                <w:color w:val="000000"/>
                <w:sz w:val="24"/>
                <w:szCs w:val="24"/>
              </w:rPr>
              <w:t>brokeru sabiedrību un kredītiestāžu</w:t>
            </w:r>
            <w:r w:rsidRPr="002C4A1B">
              <w:rPr>
                <w:rFonts w:ascii="Times New Roman" w:eastAsia="Times New Roman" w:hAnsi="Times New Roman" w:cs="Times New Roman"/>
                <w:color w:val="000000"/>
                <w:sz w:val="24"/>
                <w:szCs w:val="24"/>
              </w:rPr>
              <w:t xml:space="preserve"> pakalpojumus, būs iespējams iegūt informāciju par </w:t>
            </w:r>
            <w:r w:rsidR="001739D7" w:rsidRPr="002C4A1B">
              <w:rPr>
                <w:rFonts w:ascii="Times New Roman" w:eastAsia="Times New Roman" w:hAnsi="Times New Roman" w:cs="Times New Roman"/>
                <w:color w:val="000000"/>
                <w:sz w:val="24"/>
                <w:szCs w:val="24"/>
              </w:rPr>
              <w:t>pakalpojuma sniedzēja</w:t>
            </w:r>
            <w:r w:rsidRPr="002C4A1B">
              <w:rPr>
                <w:rFonts w:ascii="Times New Roman" w:eastAsia="Times New Roman" w:hAnsi="Times New Roman" w:cs="Times New Roman"/>
                <w:color w:val="000000"/>
                <w:sz w:val="24"/>
                <w:szCs w:val="24"/>
              </w:rPr>
              <w:t xml:space="preserve"> iesaistīšanās aktivitātēm akciju sabiedrības pārvaldē. Arī tad, ja ieguldījumu </w:t>
            </w:r>
            <w:r w:rsidR="004900F9" w:rsidRPr="002C4A1B">
              <w:rPr>
                <w:rFonts w:ascii="Times New Roman" w:eastAsia="Times New Roman" w:hAnsi="Times New Roman" w:cs="Times New Roman"/>
                <w:color w:val="000000"/>
                <w:sz w:val="24"/>
                <w:szCs w:val="24"/>
              </w:rPr>
              <w:t>brokeru</w:t>
            </w:r>
            <w:r w:rsidRPr="002C4A1B">
              <w:rPr>
                <w:rFonts w:ascii="Times New Roman" w:eastAsia="Times New Roman" w:hAnsi="Times New Roman" w:cs="Times New Roman"/>
                <w:color w:val="000000"/>
                <w:sz w:val="24"/>
                <w:szCs w:val="24"/>
              </w:rPr>
              <w:t xml:space="preserve"> sabiedrība </w:t>
            </w:r>
            <w:r w:rsidR="004900F9" w:rsidRPr="002C4A1B">
              <w:rPr>
                <w:rFonts w:ascii="Times New Roman" w:eastAsia="Times New Roman" w:hAnsi="Times New Roman" w:cs="Times New Roman"/>
                <w:color w:val="000000"/>
                <w:sz w:val="24"/>
                <w:szCs w:val="24"/>
              </w:rPr>
              <w:t xml:space="preserve">un kredītiestāde </w:t>
            </w:r>
            <w:r w:rsidRPr="002C4A1B">
              <w:rPr>
                <w:rFonts w:ascii="Times New Roman" w:eastAsia="Times New Roman" w:hAnsi="Times New Roman" w:cs="Times New Roman"/>
                <w:color w:val="000000"/>
                <w:sz w:val="24"/>
                <w:szCs w:val="24"/>
              </w:rPr>
              <w:t>būs norādījusi, ka tā nekādā veidā neiesaistās akciju sabiedrības pārvaldē, personām, kuras izmanto vai plāno izmantot šāda</w:t>
            </w:r>
            <w:r w:rsidR="00C74788" w:rsidRPr="002C4A1B">
              <w:rPr>
                <w:rFonts w:ascii="Times New Roman" w:eastAsia="Times New Roman" w:hAnsi="Times New Roman" w:cs="Times New Roman"/>
                <w:color w:val="000000"/>
                <w:sz w:val="24"/>
                <w:szCs w:val="24"/>
              </w:rPr>
              <w:t>s ieguldījumu brokeru</w:t>
            </w:r>
            <w:r w:rsidRPr="002C4A1B">
              <w:rPr>
                <w:rFonts w:ascii="Times New Roman" w:eastAsia="Times New Roman" w:hAnsi="Times New Roman" w:cs="Times New Roman"/>
                <w:color w:val="000000"/>
                <w:sz w:val="24"/>
                <w:szCs w:val="24"/>
              </w:rPr>
              <w:t xml:space="preserve"> sabiedrības </w:t>
            </w:r>
            <w:r w:rsidR="00C74788" w:rsidRPr="002C4A1B">
              <w:rPr>
                <w:rFonts w:ascii="Times New Roman" w:eastAsia="Times New Roman" w:hAnsi="Times New Roman" w:cs="Times New Roman"/>
                <w:color w:val="000000"/>
                <w:sz w:val="24"/>
                <w:szCs w:val="24"/>
              </w:rPr>
              <w:t xml:space="preserve">un kredītiestādes </w:t>
            </w:r>
            <w:r w:rsidRPr="002C4A1B">
              <w:rPr>
                <w:rFonts w:ascii="Times New Roman" w:eastAsia="Times New Roman" w:hAnsi="Times New Roman" w:cs="Times New Roman"/>
                <w:color w:val="000000"/>
                <w:sz w:val="24"/>
                <w:szCs w:val="24"/>
              </w:rPr>
              <w:t xml:space="preserve">pakalpojumus, būs </w:t>
            </w:r>
            <w:r w:rsidR="001739D7" w:rsidRPr="002C4A1B">
              <w:rPr>
                <w:rFonts w:ascii="Times New Roman" w:eastAsia="Times New Roman" w:hAnsi="Times New Roman" w:cs="Times New Roman"/>
                <w:color w:val="000000"/>
                <w:sz w:val="24"/>
                <w:szCs w:val="24"/>
              </w:rPr>
              <w:t>sniegta</w:t>
            </w:r>
            <w:r w:rsidRPr="002C4A1B">
              <w:rPr>
                <w:rFonts w:ascii="Times New Roman" w:eastAsia="Times New Roman" w:hAnsi="Times New Roman" w:cs="Times New Roman"/>
                <w:color w:val="000000"/>
                <w:sz w:val="24"/>
                <w:szCs w:val="24"/>
              </w:rPr>
              <w:t xml:space="preserve"> informācija, ko izmantot </w:t>
            </w:r>
            <w:r w:rsidR="001739D7" w:rsidRPr="002C4A1B">
              <w:rPr>
                <w:rFonts w:ascii="Times New Roman" w:eastAsia="Times New Roman" w:hAnsi="Times New Roman" w:cs="Times New Roman"/>
                <w:color w:val="000000"/>
                <w:sz w:val="24"/>
                <w:szCs w:val="24"/>
              </w:rPr>
              <w:t xml:space="preserve">savu </w:t>
            </w:r>
            <w:r w:rsidRPr="002C4A1B">
              <w:rPr>
                <w:rFonts w:ascii="Times New Roman" w:eastAsia="Times New Roman" w:hAnsi="Times New Roman" w:cs="Times New Roman"/>
                <w:color w:val="000000"/>
                <w:sz w:val="24"/>
                <w:szCs w:val="24"/>
              </w:rPr>
              <w:t xml:space="preserve">turpmāko ar ieguldījumiem saistīto lēmumu pieņemšanā. </w:t>
            </w:r>
          </w:p>
          <w:p w14:paraId="04C4E58D" w14:textId="4EDDC405" w:rsidR="002A280D" w:rsidRPr="002C4A1B" w:rsidRDefault="002866D4" w:rsidP="002866D4">
            <w:pPr>
              <w:spacing w:after="0" w:line="240" w:lineRule="auto"/>
              <w:ind w:firstLine="284"/>
              <w:jc w:val="both"/>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sz w:val="24"/>
                <w:szCs w:val="24"/>
              </w:rPr>
              <w:t xml:space="preserve">Ieguldījumu </w:t>
            </w:r>
            <w:r w:rsidR="00D36B28"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sabiedrībai </w:t>
            </w:r>
            <w:r w:rsidR="00D36B28" w:rsidRPr="002C4A1B">
              <w:rPr>
                <w:rFonts w:ascii="Times New Roman" w:eastAsia="Times New Roman" w:hAnsi="Times New Roman" w:cs="Times New Roman"/>
                <w:color w:val="000000" w:themeColor="text1"/>
                <w:sz w:val="24"/>
                <w:szCs w:val="24"/>
              </w:rPr>
              <w:t xml:space="preserve">un kredītiestādei </w:t>
            </w:r>
            <w:r w:rsidRPr="002C4A1B">
              <w:rPr>
                <w:rFonts w:ascii="Times New Roman" w:eastAsia="Times New Roman" w:hAnsi="Times New Roman" w:cs="Times New Roman"/>
                <w:color w:val="000000" w:themeColor="text1"/>
                <w:sz w:val="24"/>
                <w:szCs w:val="24"/>
              </w:rPr>
              <w:t xml:space="preserve">katru gadu būs pienākums publiskot ziņojumu par iesaistīšanās politikas īstenošanu, sniedzot vispārīgu informāciju par to, kā ieguldījumu </w:t>
            </w:r>
            <w:r w:rsidR="00D36B28" w:rsidRPr="002C4A1B">
              <w:rPr>
                <w:rFonts w:ascii="Times New Roman" w:eastAsia="Times New Roman" w:hAnsi="Times New Roman" w:cs="Times New Roman"/>
                <w:color w:val="000000" w:themeColor="text1"/>
                <w:sz w:val="24"/>
                <w:szCs w:val="24"/>
              </w:rPr>
              <w:t xml:space="preserve">brokeru </w:t>
            </w:r>
            <w:r w:rsidRPr="002C4A1B">
              <w:rPr>
                <w:rFonts w:ascii="Times New Roman" w:eastAsia="Times New Roman" w:hAnsi="Times New Roman" w:cs="Times New Roman"/>
                <w:color w:val="000000" w:themeColor="text1"/>
                <w:sz w:val="24"/>
                <w:szCs w:val="24"/>
              </w:rPr>
              <w:t xml:space="preserve">sabiedrība </w:t>
            </w:r>
            <w:r w:rsidR="00C74788" w:rsidRPr="002C4A1B">
              <w:rPr>
                <w:rFonts w:ascii="Times New Roman" w:eastAsia="Times New Roman" w:hAnsi="Times New Roman" w:cs="Times New Roman"/>
                <w:color w:val="000000" w:themeColor="text1"/>
                <w:sz w:val="24"/>
                <w:szCs w:val="24"/>
              </w:rPr>
              <w:t xml:space="preserve">un kredītiestāde </w:t>
            </w:r>
            <w:r w:rsidRPr="002C4A1B">
              <w:rPr>
                <w:rFonts w:ascii="Times New Roman" w:eastAsia="Times New Roman" w:hAnsi="Times New Roman" w:cs="Times New Roman"/>
                <w:color w:val="000000" w:themeColor="text1"/>
                <w:sz w:val="24"/>
                <w:szCs w:val="24"/>
              </w:rPr>
              <w:t xml:space="preserve">īsteno balsstiesības, kā arī sniedzot skaidrojumu par svarīgākajiem balsojumiem. Tāpat ieguldījumu </w:t>
            </w:r>
            <w:r w:rsidR="00E973B0"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sabiedrībai </w:t>
            </w:r>
            <w:r w:rsidR="00571865" w:rsidRPr="002C4A1B">
              <w:rPr>
                <w:rFonts w:ascii="Times New Roman" w:eastAsia="Times New Roman" w:hAnsi="Times New Roman" w:cs="Times New Roman"/>
                <w:color w:val="000000" w:themeColor="text1"/>
                <w:sz w:val="24"/>
                <w:szCs w:val="24"/>
              </w:rPr>
              <w:t xml:space="preserve">un kredītiestādei </w:t>
            </w:r>
            <w:r w:rsidRPr="002C4A1B">
              <w:rPr>
                <w:rFonts w:ascii="Times New Roman" w:eastAsia="Times New Roman" w:hAnsi="Times New Roman" w:cs="Times New Roman"/>
                <w:color w:val="000000" w:themeColor="text1"/>
                <w:sz w:val="24"/>
                <w:szCs w:val="24"/>
              </w:rPr>
              <w:t xml:space="preserve">būs jāpublisko savi balsojumi akciju sabiedrību akcionāru sapulcēs. </w:t>
            </w:r>
            <w:r w:rsidR="00F21CFB" w:rsidRPr="002C4A1B">
              <w:rPr>
                <w:rFonts w:ascii="Times New Roman" w:eastAsia="Times New Roman" w:hAnsi="Times New Roman" w:cs="Times New Roman"/>
                <w:color w:val="000000" w:themeColor="text1"/>
                <w:sz w:val="24"/>
                <w:szCs w:val="24"/>
              </w:rPr>
              <w:t xml:space="preserve">Šis pienākums attieksies tikai uz tiem </w:t>
            </w:r>
            <w:r w:rsidR="001F7C55" w:rsidRPr="002C4A1B">
              <w:rPr>
                <w:rFonts w:ascii="Times New Roman" w:eastAsia="Times New Roman" w:hAnsi="Times New Roman" w:cs="Times New Roman"/>
                <w:color w:val="000000" w:themeColor="text1"/>
                <w:sz w:val="24"/>
                <w:szCs w:val="24"/>
              </w:rPr>
              <w:t>gadījumiem, kad</w:t>
            </w:r>
            <w:r w:rsidR="00AE6270" w:rsidRPr="002C4A1B">
              <w:rPr>
                <w:rFonts w:ascii="Times New Roman" w:eastAsia="Times New Roman" w:hAnsi="Times New Roman" w:cs="Times New Roman"/>
                <w:color w:val="000000" w:themeColor="text1"/>
                <w:sz w:val="24"/>
                <w:szCs w:val="24"/>
              </w:rPr>
              <w:t xml:space="preserve"> </w:t>
            </w:r>
            <w:r w:rsidR="001F7C55" w:rsidRPr="002C4A1B">
              <w:rPr>
                <w:rFonts w:ascii="Times New Roman" w:eastAsia="Times New Roman" w:hAnsi="Times New Roman" w:cs="Times New Roman"/>
                <w:color w:val="000000" w:themeColor="text1"/>
                <w:sz w:val="24"/>
                <w:szCs w:val="24"/>
              </w:rPr>
              <w:t>ieguldījumu brokeru sabiedrība un kredītiestāde iesaist</w:t>
            </w:r>
            <w:r w:rsidR="00AA1388" w:rsidRPr="002C4A1B">
              <w:rPr>
                <w:rFonts w:ascii="Times New Roman" w:eastAsia="Times New Roman" w:hAnsi="Times New Roman" w:cs="Times New Roman"/>
                <w:color w:val="000000" w:themeColor="text1"/>
                <w:sz w:val="24"/>
                <w:szCs w:val="24"/>
              </w:rPr>
              <w:t xml:space="preserve">ās akciju sabiedrības pārvaldē, pamatojoties uz savu iesaistīšanās politiku. Ja ieguldījumu brokeru sabiedrība un kredītiestāde īsteno </w:t>
            </w:r>
            <w:r w:rsidR="00AA1388" w:rsidRPr="002C4A1B">
              <w:rPr>
                <w:rFonts w:ascii="Times New Roman" w:eastAsia="Times New Roman" w:hAnsi="Times New Roman" w:cs="Times New Roman"/>
                <w:color w:val="000000" w:themeColor="text1"/>
                <w:sz w:val="24"/>
                <w:szCs w:val="24"/>
              </w:rPr>
              <w:lastRenderedPageBreak/>
              <w:t>balsošanas tiesības atbilstoši konkrētām klienta norādēm</w:t>
            </w:r>
            <w:r w:rsidR="001739D7" w:rsidRPr="002C4A1B">
              <w:rPr>
                <w:rFonts w:ascii="Times New Roman" w:eastAsia="Times New Roman" w:hAnsi="Times New Roman" w:cs="Times New Roman"/>
                <w:color w:val="000000" w:themeColor="text1"/>
                <w:sz w:val="24"/>
                <w:szCs w:val="24"/>
              </w:rPr>
              <w:t xml:space="preserve"> (pilnvara </w:t>
            </w:r>
            <w:r w:rsidR="00904ED2" w:rsidRPr="002C4A1B">
              <w:rPr>
                <w:rFonts w:ascii="Times New Roman" w:eastAsia="Times New Roman" w:hAnsi="Times New Roman" w:cs="Times New Roman"/>
                <w:color w:val="000000" w:themeColor="text1"/>
                <w:sz w:val="24"/>
                <w:szCs w:val="24"/>
              </w:rPr>
              <w:t xml:space="preserve">atbilstoši Komerclikuma </w:t>
            </w:r>
            <w:r w:rsidR="000F2BEF" w:rsidRPr="002C4A1B">
              <w:rPr>
                <w:rFonts w:ascii="Times New Roman" w:eastAsia="Times New Roman" w:hAnsi="Times New Roman" w:cs="Times New Roman"/>
                <w:color w:val="000000" w:themeColor="text1"/>
                <w:sz w:val="24"/>
                <w:szCs w:val="24"/>
              </w:rPr>
              <w:t xml:space="preserve">277. panta </w:t>
            </w:r>
            <w:r w:rsidR="00904ED2" w:rsidRPr="002C4A1B">
              <w:rPr>
                <w:rFonts w:ascii="Times New Roman" w:eastAsia="Times New Roman" w:hAnsi="Times New Roman" w:cs="Times New Roman"/>
                <w:color w:val="000000" w:themeColor="text1"/>
                <w:sz w:val="24"/>
                <w:szCs w:val="24"/>
              </w:rPr>
              <w:t>noteikumiem</w:t>
            </w:r>
            <w:r w:rsidR="001739D7" w:rsidRPr="002C4A1B">
              <w:rPr>
                <w:rFonts w:ascii="Times New Roman" w:eastAsia="Times New Roman" w:hAnsi="Times New Roman" w:cs="Times New Roman"/>
                <w:color w:val="000000" w:themeColor="text1"/>
                <w:sz w:val="24"/>
                <w:szCs w:val="24"/>
              </w:rPr>
              <w:t>)</w:t>
            </w:r>
            <w:r w:rsidR="00AA1388" w:rsidRPr="002C4A1B">
              <w:rPr>
                <w:rFonts w:ascii="Times New Roman" w:eastAsia="Times New Roman" w:hAnsi="Times New Roman" w:cs="Times New Roman"/>
                <w:color w:val="000000" w:themeColor="text1"/>
                <w:sz w:val="24"/>
                <w:szCs w:val="24"/>
              </w:rPr>
              <w:t xml:space="preserve">, šāda rīcība nebūs uzskatāma par iesaistīšanās politikas īstenošanu. Ņemot vērā projekta mērķi </w:t>
            </w:r>
            <w:r w:rsidR="00366CB9" w:rsidRPr="002C4A1B">
              <w:rPr>
                <w:rFonts w:ascii="Times New Roman" w:eastAsia="Times New Roman" w:hAnsi="Times New Roman" w:cs="Times New Roman"/>
                <w:color w:val="000000" w:themeColor="text1"/>
                <w:sz w:val="24"/>
                <w:szCs w:val="24"/>
              </w:rPr>
              <w:t xml:space="preserve">veicināt aktīvu pārvaldītāju ilgtermiņa iesaisti </w:t>
            </w:r>
            <w:r w:rsidR="00D55E72" w:rsidRPr="002C4A1B">
              <w:rPr>
                <w:rFonts w:ascii="Times New Roman" w:eastAsia="Times New Roman" w:hAnsi="Times New Roman" w:cs="Times New Roman"/>
                <w:color w:val="000000" w:themeColor="text1"/>
                <w:sz w:val="24"/>
                <w:szCs w:val="24"/>
              </w:rPr>
              <w:t xml:space="preserve">akciju sabiedrību pārvaldē, </w:t>
            </w:r>
            <w:r w:rsidR="00AA1388" w:rsidRPr="002C4A1B">
              <w:rPr>
                <w:rFonts w:ascii="Times New Roman" w:eastAsia="Times New Roman" w:hAnsi="Times New Roman" w:cs="Times New Roman"/>
                <w:color w:val="000000" w:themeColor="text1"/>
                <w:sz w:val="24"/>
                <w:szCs w:val="24"/>
              </w:rPr>
              <w:t>informācijas atklāšana</w:t>
            </w:r>
            <w:r w:rsidR="008A4DD7" w:rsidRPr="002C4A1B">
              <w:rPr>
                <w:rFonts w:ascii="Times New Roman" w:eastAsia="Times New Roman" w:hAnsi="Times New Roman" w:cs="Times New Roman"/>
                <w:color w:val="000000" w:themeColor="text1"/>
                <w:sz w:val="24"/>
                <w:szCs w:val="24"/>
              </w:rPr>
              <w:t>i</w:t>
            </w:r>
            <w:r w:rsidR="00AA1388" w:rsidRPr="002C4A1B">
              <w:rPr>
                <w:rFonts w:ascii="Times New Roman" w:eastAsia="Times New Roman" w:hAnsi="Times New Roman" w:cs="Times New Roman"/>
                <w:color w:val="000000" w:themeColor="text1"/>
                <w:sz w:val="24"/>
                <w:szCs w:val="24"/>
              </w:rPr>
              <w:t xml:space="preserve"> </w:t>
            </w:r>
            <w:r w:rsidR="008A4DD7" w:rsidRPr="002C4A1B">
              <w:rPr>
                <w:rFonts w:ascii="Times New Roman" w:eastAsia="Times New Roman" w:hAnsi="Times New Roman" w:cs="Times New Roman"/>
                <w:color w:val="000000" w:themeColor="text1"/>
                <w:sz w:val="24"/>
                <w:szCs w:val="24"/>
              </w:rPr>
              <w:t xml:space="preserve">plašākai sabiedrībai </w:t>
            </w:r>
            <w:r w:rsidR="00D55E72" w:rsidRPr="002C4A1B">
              <w:rPr>
                <w:rFonts w:ascii="Times New Roman" w:eastAsia="Times New Roman" w:hAnsi="Times New Roman" w:cs="Times New Roman"/>
                <w:color w:val="000000" w:themeColor="text1"/>
                <w:sz w:val="24"/>
                <w:szCs w:val="24"/>
              </w:rPr>
              <w:t xml:space="preserve">par </w:t>
            </w:r>
            <w:r w:rsidR="008A4DD7" w:rsidRPr="002C4A1B">
              <w:rPr>
                <w:rFonts w:ascii="Times New Roman" w:eastAsia="Times New Roman" w:hAnsi="Times New Roman" w:cs="Times New Roman"/>
                <w:color w:val="000000" w:themeColor="text1"/>
                <w:sz w:val="24"/>
                <w:szCs w:val="24"/>
              </w:rPr>
              <w:t xml:space="preserve">konkrētu </w:t>
            </w:r>
            <w:r w:rsidR="006F2B8C" w:rsidRPr="002C4A1B">
              <w:rPr>
                <w:rFonts w:ascii="Times New Roman" w:eastAsia="Times New Roman" w:hAnsi="Times New Roman" w:cs="Times New Roman"/>
                <w:color w:val="000000" w:themeColor="text1"/>
                <w:sz w:val="24"/>
                <w:szCs w:val="24"/>
              </w:rPr>
              <w:t xml:space="preserve">ieguldījumu brokeru sabiedrības vai kredītiestādes </w:t>
            </w:r>
            <w:r w:rsidR="00D55E72" w:rsidRPr="002C4A1B">
              <w:rPr>
                <w:rFonts w:ascii="Times New Roman" w:eastAsia="Times New Roman" w:hAnsi="Times New Roman" w:cs="Times New Roman"/>
                <w:color w:val="000000" w:themeColor="text1"/>
                <w:sz w:val="24"/>
                <w:szCs w:val="24"/>
              </w:rPr>
              <w:t>klient</w:t>
            </w:r>
            <w:r w:rsidR="006F2B8C" w:rsidRPr="002C4A1B">
              <w:rPr>
                <w:rFonts w:ascii="Times New Roman" w:eastAsia="Times New Roman" w:hAnsi="Times New Roman" w:cs="Times New Roman"/>
                <w:color w:val="000000" w:themeColor="text1"/>
                <w:sz w:val="24"/>
                <w:szCs w:val="24"/>
              </w:rPr>
              <w:t>u</w:t>
            </w:r>
            <w:r w:rsidR="008A4DD7" w:rsidRPr="002C4A1B">
              <w:rPr>
                <w:rFonts w:ascii="Times New Roman" w:eastAsia="Times New Roman" w:hAnsi="Times New Roman" w:cs="Times New Roman"/>
                <w:color w:val="000000" w:themeColor="text1"/>
                <w:sz w:val="24"/>
                <w:szCs w:val="24"/>
              </w:rPr>
              <w:t xml:space="preserve"> norāžu izpildi, balsojot akcionāru sapulcē, </w:t>
            </w:r>
            <w:r w:rsidR="009B03BF" w:rsidRPr="002C4A1B">
              <w:rPr>
                <w:rFonts w:ascii="Times New Roman" w:eastAsia="Times New Roman" w:hAnsi="Times New Roman" w:cs="Times New Roman"/>
                <w:color w:val="000000" w:themeColor="text1"/>
                <w:sz w:val="24"/>
                <w:szCs w:val="24"/>
              </w:rPr>
              <w:t>radītu nepareizu priekšstatu par ieguldījumu brokeru sabiedrības un kredītiestādes iesaistīšanās politikas īstenošanu</w:t>
            </w:r>
            <w:r w:rsidR="00AA1388" w:rsidRPr="002C4A1B">
              <w:rPr>
                <w:rFonts w:ascii="Times New Roman" w:eastAsia="Times New Roman" w:hAnsi="Times New Roman" w:cs="Times New Roman"/>
                <w:color w:val="000000" w:themeColor="text1"/>
                <w:sz w:val="24"/>
                <w:szCs w:val="24"/>
              </w:rPr>
              <w:t xml:space="preserve">. </w:t>
            </w:r>
          </w:p>
          <w:p w14:paraId="591ED6B2" w14:textId="4E7FAC24" w:rsidR="002866D4" w:rsidRPr="002C4A1B" w:rsidRDefault="002866D4" w:rsidP="002866D4">
            <w:pPr>
              <w:spacing w:after="0" w:line="240" w:lineRule="auto"/>
              <w:ind w:firstLine="284"/>
              <w:jc w:val="both"/>
              <w:rPr>
                <w:rFonts w:ascii="Times New Roman" w:eastAsia="Times New Roman" w:hAnsi="Times New Roman" w:cs="Times New Roman"/>
                <w:color w:val="000000"/>
                <w:sz w:val="24"/>
                <w:szCs w:val="24"/>
              </w:rPr>
            </w:pPr>
            <w:r w:rsidRPr="002C4A1B">
              <w:rPr>
                <w:rFonts w:ascii="Times New Roman" w:eastAsia="Times New Roman" w:hAnsi="Times New Roman" w:cs="Times New Roman"/>
                <w:color w:val="000000" w:themeColor="text1"/>
                <w:sz w:val="24"/>
                <w:szCs w:val="24"/>
              </w:rPr>
              <w:t>Lai izvairītos no nevajadzīga administratīvā sloga, projekts ļauj nepubliskot balsojumus, kas atbilstoši iesaistīšanās politikai ir uzskatāmi par maznozīmīgiem (piemēram</w:t>
            </w:r>
            <w:r w:rsidR="002A280D" w:rsidRPr="002C4A1B">
              <w:rPr>
                <w:rFonts w:ascii="Times New Roman" w:eastAsia="Times New Roman" w:hAnsi="Times New Roman" w:cs="Times New Roman"/>
                <w:color w:val="000000" w:themeColor="text1"/>
                <w:sz w:val="24"/>
                <w:szCs w:val="24"/>
              </w:rPr>
              <w:t xml:space="preserve">, </w:t>
            </w:r>
            <w:r w:rsidRPr="002C4A1B">
              <w:rPr>
                <w:rFonts w:ascii="Times New Roman" w:eastAsia="Times New Roman" w:hAnsi="Times New Roman" w:cs="Times New Roman"/>
                <w:color w:val="000000" w:themeColor="text1"/>
                <w:sz w:val="24"/>
                <w:szCs w:val="24"/>
              </w:rPr>
              <w:t xml:space="preserve">ieguldījumu </w:t>
            </w:r>
            <w:r w:rsidR="00FE5CD5" w:rsidRPr="002C4A1B">
              <w:rPr>
                <w:rFonts w:ascii="Times New Roman" w:eastAsia="Times New Roman" w:hAnsi="Times New Roman" w:cs="Times New Roman"/>
                <w:color w:val="000000" w:themeColor="text1"/>
                <w:sz w:val="24"/>
                <w:szCs w:val="24"/>
              </w:rPr>
              <w:t>brokeru</w:t>
            </w:r>
            <w:r w:rsidRPr="002C4A1B">
              <w:rPr>
                <w:rFonts w:ascii="Times New Roman" w:eastAsia="Times New Roman" w:hAnsi="Times New Roman" w:cs="Times New Roman"/>
                <w:color w:val="000000" w:themeColor="text1"/>
                <w:sz w:val="24"/>
                <w:szCs w:val="24"/>
              </w:rPr>
              <w:t xml:space="preserve"> sabiedrības </w:t>
            </w:r>
            <w:r w:rsidR="005978E5" w:rsidRPr="002C4A1B">
              <w:rPr>
                <w:rFonts w:ascii="Times New Roman" w:eastAsia="Times New Roman" w:hAnsi="Times New Roman" w:cs="Times New Roman"/>
                <w:color w:val="000000" w:themeColor="text1"/>
                <w:sz w:val="24"/>
                <w:szCs w:val="24"/>
              </w:rPr>
              <w:t xml:space="preserve">un kredītiestādes </w:t>
            </w:r>
            <w:r w:rsidRPr="002C4A1B">
              <w:rPr>
                <w:rFonts w:ascii="Times New Roman" w:eastAsia="Times New Roman" w:hAnsi="Times New Roman" w:cs="Times New Roman"/>
                <w:color w:val="000000" w:themeColor="text1"/>
                <w:sz w:val="24"/>
                <w:szCs w:val="24"/>
              </w:rPr>
              <w:t xml:space="preserve">līdzdalība attiecīgās akciju sabiedrības pamatkapitālā ir </w:t>
            </w:r>
            <w:r w:rsidRPr="002C4A1B">
              <w:rPr>
                <w:rFonts w:ascii="Times New Roman" w:eastAsia="Times New Roman" w:hAnsi="Times New Roman" w:cs="Times New Roman"/>
                <w:color w:val="000000"/>
                <w:sz w:val="24"/>
                <w:szCs w:val="24"/>
              </w:rPr>
              <w:t>ļoti niecīga salīdzinājumā ar citiem šīs akciju sabiedrības akcionāriem).</w:t>
            </w:r>
            <w:r w:rsidR="00FB4955" w:rsidRPr="002C4A1B">
              <w:rPr>
                <w:rFonts w:ascii="Times New Roman" w:eastAsia="Times New Roman" w:hAnsi="Times New Roman" w:cs="Times New Roman"/>
                <w:color w:val="000000"/>
                <w:sz w:val="24"/>
                <w:szCs w:val="24"/>
              </w:rPr>
              <w:t xml:space="preserve"> </w:t>
            </w:r>
          </w:p>
          <w:p w14:paraId="0F1F579D" w14:textId="6D3253E2" w:rsidR="002866D4" w:rsidRPr="002C4A1B" w:rsidRDefault="002866D4" w:rsidP="002866D4">
            <w:pPr>
              <w:spacing w:after="0" w:line="240" w:lineRule="auto"/>
              <w:ind w:firstLine="284"/>
              <w:jc w:val="both"/>
              <w:rPr>
                <w:rFonts w:ascii="Times New Roman" w:eastAsia="Times New Roman" w:hAnsi="Times New Roman" w:cs="Times New Roman"/>
                <w:sz w:val="24"/>
                <w:szCs w:val="24"/>
              </w:rPr>
            </w:pPr>
            <w:r w:rsidRPr="002C4A1B">
              <w:rPr>
                <w:rFonts w:ascii="Times New Roman" w:eastAsia="Times New Roman" w:hAnsi="Times New Roman" w:cs="Times New Roman"/>
                <w:sz w:val="24"/>
                <w:szCs w:val="24"/>
              </w:rPr>
              <w:t>Projekts paredz, ka ziņojumu par iesaistīšanās politikas īstenošanu būs pienākums atklāt katru gadu līdz 1. augustam. Šāds datums projektā noteikts</w:t>
            </w:r>
            <w:r w:rsidR="00A42721" w:rsidRPr="002C4A1B">
              <w:rPr>
                <w:rFonts w:ascii="Times New Roman" w:eastAsia="Times New Roman" w:hAnsi="Times New Roman" w:cs="Times New Roman"/>
                <w:sz w:val="24"/>
                <w:szCs w:val="24"/>
              </w:rPr>
              <w:t>,</w:t>
            </w:r>
            <w:r w:rsidRPr="002C4A1B">
              <w:rPr>
                <w:rFonts w:ascii="Times New Roman" w:eastAsia="Times New Roman" w:hAnsi="Times New Roman" w:cs="Times New Roman"/>
                <w:sz w:val="24"/>
                <w:szCs w:val="24"/>
              </w:rPr>
              <w:t xml:space="preserve"> ņemot vērā Gada pārskatu un konsolidēto gada pārskatu likumā nostiprināto pienākumu apstiprināt konsolidēto gada pārskatu koncerna mātes sabiedrības akcionāru sapulcē septiņu mēnešu laikā pēc pārskata gada beigām. </w:t>
            </w:r>
            <w:r w:rsidRPr="002C4A1B">
              <w:rPr>
                <w:rFonts w:ascii="Times New Roman" w:eastAsia="Times New Roman" w:hAnsi="Times New Roman" w:cs="Times New Roman"/>
                <w:color w:val="000000" w:themeColor="text1"/>
                <w:sz w:val="24"/>
                <w:szCs w:val="24"/>
              </w:rPr>
              <w:t>Tas nozīmē, ka gadījumā, ja akciju sabiedrības pārskata gads sakrīt ar kalendāro gadu, un akciju sabiedrība sagatavo</w:t>
            </w:r>
            <w:r w:rsidR="00A42721" w:rsidRPr="002C4A1B">
              <w:rPr>
                <w:rFonts w:ascii="Times New Roman" w:eastAsia="Times New Roman" w:hAnsi="Times New Roman" w:cs="Times New Roman"/>
                <w:color w:val="000000" w:themeColor="text1"/>
                <w:sz w:val="24"/>
                <w:szCs w:val="24"/>
              </w:rPr>
              <w:t xml:space="preserve"> arī</w:t>
            </w:r>
            <w:r w:rsidRPr="002C4A1B">
              <w:rPr>
                <w:rFonts w:ascii="Times New Roman" w:eastAsia="Times New Roman" w:hAnsi="Times New Roman" w:cs="Times New Roman"/>
                <w:color w:val="000000" w:themeColor="text1"/>
                <w:sz w:val="24"/>
                <w:szCs w:val="24"/>
              </w:rPr>
              <w:t xml:space="preserve"> konsolidēto gada pārskatu, ieguldījumu brokeru sabiedrības un kredītiestādes varēs atklāt informāciju par balsojumiem šo akciju sabiedrību </w:t>
            </w:r>
            <w:r w:rsidR="00A42721" w:rsidRPr="002C4A1B">
              <w:rPr>
                <w:rFonts w:ascii="Times New Roman" w:eastAsia="Times New Roman" w:hAnsi="Times New Roman" w:cs="Times New Roman"/>
                <w:color w:val="000000" w:themeColor="text1"/>
                <w:sz w:val="24"/>
                <w:szCs w:val="24"/>
              </w:rPr>
              <w:t xml:space="preserve">kārtējās </w:t>
            </w:r>
            <w:r w:rsidRPr="002C4A1B">
              <w:rPr>
                <w:rFonts w:ascii="Times New Roman" w:eastAsia="Times New Roman" w:hAnsi="Times New Roman" w:cs="Times New Roman"/>
                <w:color w:val="000000" w:themeColor="text1"/>
                <w:sz w:val="24"/>
                <w:szCs w:val="24"/>
              </w:rPr>
              <w:t>akcionāru sapulcēs</w:t>
            </w:r>
            <w:r w:rsidR="00A42721" w:rsidRPr="002C4A1B">
              <w:rPr>
                <w:rFonts w:ascii="Times New Roman" w:eastAsia="Times New Roman" w:hAnsi="Times New Roman" w:cs="Times New Roman"/>
                <w:color w:val="000000" w:themeColor="text1"/>
                <w:sz w:val="24"/>
                <w:szCs w:val="24"/>
              </w:rPr>
              <w:t>, kurām būtu jānotiek līdz jūlija beigām</w:t>
            </w:r>
            <w:r w:rsidRPr="002C4A1B">
              <w:rPr>
                <w:rFonts w:ascii="Times New Roman" w:eastAsia="Times New Roman" w:hAnsi="Times New Roman" w:cs="Times New Roman"/>
                <w:color w:val="000000" w:themeColor="text1"/>
                <w:sz w:val="24"/>
                <w:szCs w:val="24"/>
              </w:rPr>
              <w:t xml:space="preserve">. Pirmais ziņojums būs jāsniedz par laika periodu no iesaistīšanās politikas publicēšanas brīža līdz ziņojuma sniegšanas brīdim. </w:t>
            </w:r>
            <w:r w:rsidR="00A42721" w:rsidRPr="002C4A1B">
              <w:rPr>
                <w:rFonts w:ascii="Times New Roman" w:eastAsia="Times New Roman" w:hAnsi="Times New Roman" w:cs="Times New Roman"/>
                <w:color w:val="000000" w:themeColor="text1"/>
                <w:sz w:val="24"/>
                <w:szCs w:val="24"/>
              </w:rPr>
              <w:t>Sniedzot nākamo</w:t>
            </w:r>
            <w:r w:rsidRPr="002C4A1B">
              <w:rPr>
                <w:rFonts w:ascii="Times New Roman" w:eastAsia="Times New Roman" w:hAnsi="Times New Roman" w:cs="Times New Roman"/>
                <w:color w:val="000000" w:themeColor="text1"/>
                <w:sz w:val="24"/>
                <w:szCs w:val="24"/>
              </w:rPr>
              <w:t xml:space="preserve"> ziņojum</w:t>
            </w:r>
            <w:r w:rsidR="00A42721" w:rsidRPr="002C4A1B">
              <w:rPr>
                <w:rFonts w:ascii="Times New Roman" w:eastAsia="Times New Roman" w:hAnsi="Times New Roman" w:cs="Times New Roman"/>
                <w:color w:val="000000" w:themeColor="text1"/>
                <w:sz w:val="24"/>
                <w:szCs w:val="24"/>
              </w:rPr>
              <w:t>u,</w:t>
            </w:r>
            <w:r w:rsidRPr="002C4A1B">
              <w:rPr>
                <w:rFonts w:ascii="Times New Roman" w:eastAsia="Times New Roman" w:hAnsi="Times New Roman" w:cs="Times New Roman"/>
                <w:color w:val="000000" w:themeColor="text1"/>
                <w:sz w:val="24"/>
                <w:szCs w:val="24"/>
              </w:rPr>
              <w:t xml:space="preserve"> ziņojumā būs jāiekļauj informācija par laika periodu no dienas, kad publiskots </w:t>
            </w:r>
            <w:r w:rsidR="00A42721" w:rsidRPr="002C4A1B">
              <w:rPr>
                <w:rFonts w:ascii="Times New Roman" w:eastAsia="Times New Roman" w:hAnsi="Times New Roman" w:cs="Times New Roman"/>
                <w:color w:val="000000" w:themeColor="text1"/>
                <w:sz w:val="24"/>
                <w:szCs w:val="24"/>
              </w:rPr>
              <w:t>iepriekšējais</w:t>
            </w:r>
            <w:r w:rsidRPr="002C4A1B">
              <w:rPr>
                <w:rFonts w:ascii="Times New Roman" w:eastAsia="Times New Roman" w:hAnsi="Times New Roman" w:cs="Times New Roman"/>
                <w:color w:val="000000" w:themeColor="text1"/>
                <w:sz w:val="24"/>
                <w:szCs w:val="24"/>
              </w:rPr>
              <w:t xml:space="preserve"> ziņojums par iesaistīšanās politikas īstenošanu, līdz dienai, kad publiskots jaunais ziņojums. Ņemot vērā plānoto projekta spēkā stāšanos, projekts paredz, ka prasības par iesaistīšanās politikas </w:t>
            </w:r>
            <w:r w:rsidR="00A42721" w:rsidRPr="002C4A1B">
              <w:rPr>
                <w:rFonts w:ascii="Times New Roman" w:eastAsia="Times New Roman" w:hAnsi="Times New Roman" w:cs="Times New Roman"/>
                <w:color w:val="000000" w:themeColor="text1"/>
                <w:sz w:val="24"/>
                <w:szCs w:val="24"/>
              </w:rPr>
              <w:t>izpild</w:t>
            </w:r>
            <w:r w:rsidR="0045670D" w:rsidRPr="002C4A1B">
              <w:rPr>
                <w:rFonts w:ascii="Times New Roman" w:eastAsia="Times New Roman" w:hAnsi="Times New Roman" w:cs="Times New Roman"/>
                <w:color w:val="000000" w:themeColor="text1"/>
                <w:sz w:val="24"/>
                <w:szCs w:val="24"/>
              </w:rPr>
              <w:t>es</w:t>
            </w:r>
            <w:r w:rsidR="00A42721" w:rsidRPr="002C4A1B">
              <w:rPr>
                <w:rFonts w:ascii="Times New Roman" w:eastAsia="Times New Roman" w:hAnsi="Times New Roman" w:cs="Times New Roman"/>
                <w:color w:val="000000" w:themeColor="text1"/>
                <w:sz w:val="24"/>
                <w:szCs w:val="24"/>
              </w:rPr>
              <w:t xml:space="preserve"> </w:t>
            </w:r>
            <w:r w:rsidRPr="002C4A1B">
              <w:rPr>
                <w:rFonts w:ascii="Times New Roman" w:eastAsia="Times New Roman" w:hAnsi="Times New Roman" w:cs="Times New Roman"/>
                <w:color w:val="000000" w:themeColor="text1"/>
                <w:sz w:val="24"/>
                <w:szCs w:val="24"/>
              </w:rPr>
              <w:t xml:space="preserve">ziņojumu </w:t>
            </w:r>
            <w:r w:rsidR="00A42721" w:rsidRPr="002C4A1B">
              <w:rPr>
                <w:rFonts w:ascii="Times New Roman" w:eastAsia="Times New Roman" w:hAnsi="Times New Roman" w:cs="Times New Roman"/>
                <w:color w:val="000000" w:themeColor="text1"/>
                <w:sz w:val="24"/>
                <w:szCs w:val="24"/>
              </w:rPr>
              <w:t xml:space="preserve">būs </w:t>
            </w:r>
            <w:r w:rsidRPr="002C4A1B">
              <w:rPr>
                <w:rFonts w:ascii="Times New Roman" w:eastAsia="Times New Roman" w:hAnsi="Times New Roman" w:cs="Times New Roman"/>
                <w:color w:val="000000" w:themeColor="text1"/>
                <w:sz w:val="24"/>
                <w:szCs w:val="24"/>
              </w:rPr>
              <w:t>piemērojamas, sākot ar 2020. gadu.</w:t>
            </w:r>
          </w:p>
          <w:p w14:paraId="06D0C810" w14:textId="56EF0B9E" w:rsidR="48D7C7F9" w:rsidRPr="002C4A1B" w:rsidRDefault="6AC822AB"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Projekts paredz, ka ieguldījumu brokeru sabiedrības un kredītiestādes </w:t>
            </w:r>
            <w:r w:rsidR="25FDFF57" w:rsidRPr="002C4A1B">
              <w:rPr>
                <w:rFonts w:ascii="Times New Roman" w:eastAsia="Times New Roman" w:hAnsi="Times New Roman" w:cs="Times New Roman"/>
                <w:sz w:val="24"/>
                <w:szCs w:val="24"/>
                <w:lang w:val="lv"/>
              </w:rPr>
              <w:t xml:space="preserve">to mājaslapā </w:t>
            </w:r>
            <w:r w:rsidRPr="002C4A1B">
              <w:rPr>
                <w:rFonts w:ascii="Times New Roman" w:eastAsia="Times New Roman" w:hAnsi="Times New Roman" w:cs="Times New Roman"/>
                <w:sz w:val="24"/>
                <w:szCs w:val="24"/>
                <w:lang w:val="lv"/>
              </w:rPr>
              <w:t xml:space="preserve">publisko informāciju par iesaistīšanās politiku, tās izpildi vai arī atkāpšanos no viena vai vairākiem ar iesaistīšanās politiku saistītā regulējuma  noteikumiem. Šādai informācijai ir jābūt bez maksas viegli pieejamai visām ieinteresētajām personām. </w:t>
            </w:r>
          </w:p>
          <w:p w14:paraId="5184E880" w14:textId="19FF4F88" w:rsidR="66994169" w:rsidRPr="002C4A1B" w:rsidRDefault="66994169" w:rsidP="00401BD5">
            <w:pPr>
              <w:spacing w:after="0" w:line="240" w:lineRule="auto"/>
              <w:ind w:firstLine="284"/>
              <w:jc w:val="both"/>
              <w:rPr>
                <w:rFonts w:ascii="Times New Roman" w:eastAsia="Times New Roman" w:hAnsi="Times New Roman" w:cs="Times New Roman"/>
                <w:sz w:val="24"/>
                <w:szCs w:val="24"/>
                <w:lang w:val="lv"/>
              </w:rPr>
            </w:pPr>
          </w:p>
          <w:p w14:paraId="18178248" w14:textId="1CFA2BA3" w:rsidR="66994169" w:rsidRPr="002C4A1B" w:rsidRDefault="66994169" w:rsidP="00401BD5">
            <w:pPr>
              <w:spacing w:after="0" w:line="240" w:lineRule="auto"/>
              <w:ind w:firstLine="284"/>
              <w:jc w:val="both"/>
              <w:rPr>
                <w:rFonts w:ascii="Times New Roman" w:eastAsia="Times New Roman" w:hAnsi="Times New Roman" w:cs="Times New Roman"/>
                <w:b/>
                <w:bCs/>
                <w:sz w:val="24"/>
                <w:szCs w:val="24"/>
                <w:lang w:val="lv"/>
              </w:rPr>
            </w:pPr>
            <w:r w:rsidRPr="002C4A1B">
              <w:rPr>
                <w:rFonts w:ascii="Times New Roman" w:eastAsia="Times New Roman" w:hAnsi="Times New Roman" w:cs="Times New Roman"/>
                <w:b/>
                <w:bCs/>
                <w:sz w:val="24"/>
                <w:szCs w:val="24"/>
                <w:lang w:val="lv"/>
              </w:rPr>
              <w:t>Pilnvaroto padomdevēju darbī</w:t>
            </w:r>
            <w:r w:rsidR="285ABB24" w:rsidRPr="002C4A1B">
              <w:rPr>
                <w:rFonts w:ascii="Times New Roman" w:eastAsia="Times New Roman" w:hAnsi="Times New Roman" w:cs="Times New Roman"/>
                <w:b/>
                <w:bCs/>
                <w:sz w:val="24"/>
                <w:szCs w:val="24"/>
                <w:lang w:val="lv"/>
              </w:rPr>
              <w:t>bas caurskatāmība</w:t>
            </w:r>
          </w:p>
          <w:p w14:paraId="4BC30A5C" w14:textId="2568AEC2" w:rsidR="00401BD5" w:rsidRPr="002C4A1B" w:rsidRDefault="31AFF83E" w:rsidP="00401BD5">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 xml:space="preserve">Aktīvu pārvaldnieki un institucionālie ieguldītāji </w:t>
            </w:r>
            <w:r w:rsidR="00207B01" w:rsidRPr="002C4A1B">
              <w:rPr>
                <w:rFonts w:ascii="Times New Roman" w:eastAsia="Times New Roman" w:hAnsi="Times New Roman" w:cs="Times New Roman"/>
                <w:sz w:val="24"/>
                <w:szCs w:val="24"/>
                <w:lang w:val="lv"/>
              </w:rPr>
              <w:t xml:space="preserve">var </w:t>
            </w:r>
            <w:r w:rsidRPr="002C4A1B">
              <w:rPr>
                <w:rFonts w:ascii="Times New Roman" w:eastAsia="Times New Roman" w:hAnsi="Times New Roman" w:cs="Times New Roman"/>
                <w:sz w:val="24"/>
                <w:szCs w:val="24"/>
                <w:lang w:val="lv"/>
              </w:rPr>
              <w:t>izmanto</w:t>
            </w:r>
            <w:r w:rsidR="00207B01" w:rsidRPr="002C4A1B">
              <w:rPr>
                <w:rFonts w:ascii="Times New Roman" w:eastAsia="Times New Roman" w:hAnsi="Times New Roman" w:cs="Times New Roman"/>
                <w:sz w:val="24"/>
                <w:szCs w:val="24"/>
                <w:lang w:val="lv"/>
              </w:rPr>
              <w:t>t</w:t>
            </w:r>
            <w:r w:rsidRPr="002C4A1B">
              <w:rPr>
                <w:rFonts w:ascii="Times New Roman" w:eastAsia="Times New Roman" w:hAnsi="Times New Roman" w:cs="Times New Roman"/>
                <w:sz w:val="24"/>
                <w:szCs w:val="24"/>
                <w:lang w:val="lv"/>
              </w:rPr>
              <w:t xml:space="preserve"> pilnvaroto padomdevēju pakalpojumus, lai saņemtu ieteikumus un rekomendācijas attiecībā uz balsošanas tiesību izmantošanu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akcionāru </w:t>
            </w:r>
            <w:r w:rsidRPr="002C4A1B">
              <w:rPr>
                <w:rFonts w:ascii="Times New Roman" w:eastAsia="Times New Roman" w:hAnsi="Times New Roman" w:cs="Times New Roman"/>
                <w:sz w:val="24"/>
                <w:szCs w:val="24"/>
                <w:lang w:val="lv"/>
              </w:rPr>
              <w:lastRenderedPageBreak/>
              <w:t xml:space="preserve">sapulcēs. Tādējādi pilnvarotajiem padomdevējiem var būt nozīmīga loma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sabiedrību korporatīvajā pārvaldībā un ieguldītāju balsošanas uzvedības veidošanā. Ieviešot Direktīvas prasības, projekts paredz pienākumu pilnvarotajiem padomdevējiem publisko</w:t>
            </w:r>
            <w:r w:rsidR="105F8C99" w:rsidRPr="002C4A1B">
              <w:rPr>
                <w:rFonts w:ascii="Times New Roman" w:eastAsia="Times New Roman" w:hAnsi="Times New Roman" w:cs="Times New Roman"/>
                <w:sz w:val="24"/>
                <w:szCs w:val="24"/>
                <w:lang w:val="lv"/>
              </w:rPr>
              <w:t>t</w:t>
            </w:r>
            <w:r w:rsidRPr="002C4A1B">
              <w:rPr>
                <w:rFonts w:ascii="Times New Roman" w:eastAsia="Times New Roman" w:hAnsi="Times New Roman" w:cs="Times New Roman"/>
                <w:sz w:val="24"/>
                <w:szCs w:val="24"/>
                <w:lang w:val="lv"/>
              </w:rPr>
              <w:t xml:space="preserve"> informāciju par tā darbībā piemērojamo kodeksu. </w:t>
            </w:r>
            <w:r w:rsidR="105F8C99"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ttiecībā uz pilnvaroto padomdevēju darbības kodeksa piemērošanu noteikts </w:t>
            </w:r>
            <w:r w:rsidR="00050485">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ievēro vai paskaidro</w:t>
            </w:r>
            <w:r w:rsidR="00050485">
              <w:rPr>
                <w:rFonts w:ascii="Times New Roman" w:eastAsia="Times New Roman" w:hAnsi="Times New Roman" w:cs="Times New Roman"/>
                <w:sz w:val="24"/>
                <w:szCs w:val="24"/>
                <w:lang w:val="lv"/>
              </w:rPr>
              <w:t>"</w:t>
            </w:r>
            <w:r w:rsidRPr="002C4A1B">
              <w:rPr>
                <w:rFonts w:ascii="Times New Roman" w:eastAsia="Times New Roman" w:hAnsi="Times New Roman" w:cs="Times New Roman"/>
                <w:sz w:val="24"/>
                <w:szCs w:val="24"/>
                <w:lang w:val="lv"/>
              </w:rPr>
              <w:t xml:space="preserve"> princips, proti, ja pilnvarotais padomdevējs nepiemēro darbības kodeksu, tas sniedz detalizētu šādas rīcības </w:t>
            </w:r>
            <w:r w:rsidR="21239330" w:rsidRPr="002C4A1B">
              <w:rPr>
                <w:rFonts w:ascii="Times New Roman" w:eastAsia="Times New Roman" w:hAnsi="Times New Roman" w:cs="Times New Roman"/>
                <w:sz w:val="24"/>
                <w:szCs w:val="24"/>
                <w:lang w:val="lv"/>
              </w:rPr>
              <w:t>skaidr</w:t>
            </w:r>
            <w:r w:rsidRPr="002C4A1B">
              <w:rPr>
                <w:rFonts w:ascii="Times New Roman" w:eastAsia="Times New Roman" w:hAnsi="Times New Roman" w:cs="Times New Roman"/>
                <w:sz w:val="24"/>
                <w:szCs w:val="24"/>
                <w:lang w:val="lv"/>
              </w:rPr>
              <w:t>ojumu. Gadījumā, ja tas savā darbībā piemēro kodeksu,</w:t>
            </w:r>
            <w:r w:rsidR="00853483">
              <w:rPr>
                <w:rFonts w:ascii="Times New Roman" w:eastAsia="Times New Roman" w:hAnsi="Times New Roman" w:cs="Times New Roman"/>
                <w:sz w:val="24"/>
                <w:szCs w:val="24"/>
                <w:lang w:val="lv"/>
              </w:rPr>
              <w:t xml:space="preserve"> un </w:t>
            </w:r>
            <w:r w:rsidRPr="002C4A1B">
              <w:rPr>
                <w:rFonts w:ascii="Times New Roman" w:eastAsia="Times New Roman" w:hAnsi="Times New Roman" w:cs="Times New Roman"/>
                <w:sz w:val="24"/>
                <w:szCs w:val="24"/>
                <w:lang w:val="lv"/>
              </w:rPr>
              <w:t xml:space="preserve">tomēr atkāpjas no kāda </w:t>
            </w:r>
            <w:r w:rsidR="27C11B6E" w:rsidRPr="002C4A1B">
              <w:rPr>
                <w:rFonts w:ascii="Times New Roman" w:eastAsia="Times New Roman" w:hAnsi="Times New Roman" w:cs="Times New Roman"/>
                <w:sz w:val="24"/>
                <w:szCs w:val="24"/>
                <w:lang w:val="lv"/>
              </w:rPr>
              <w:t>tā ieteikuma</w:t>
            </w:r>
            <w:r w:rsidRPr="002C4A1B">
              <w:rPr>
                <w:rFonts w:ascii="Times New Roman" w:eastAsia="Times New Roman" w:hAnsi="Times New Roman" w:cs="Times New Roman"/>
                <w:sz w:val="24"/>
                <w:szCs w:val="24"/>
                <w:lang w:val="lv"/>
              </w:rPr>
              <w:t xml:space="preserve">, tad pilnvarotajam padomdevējam ir pienākums sniegt šādas </w:t>
            </w:r>
            <w:r w:rsidR="0075288B" w:rsidRPr="002C4A1B">
              <w:rPr>
                <w:rFonts w:ascii="Times New Roman" w:eastAsia="Times New Roman" w:hAnsi="Times New Roman" w:cs="Times New Roman"/>
                <w:sz w:val="24"/>
                <w:szCs w:val="24"/>
                <w:lang w:val="lv"/>
              </w:rPr>
              <w:t>atkāpes</w:t>
            </w:r>
            <w:r w:rsidRPr="002C4A1B">
              <w:rPr>
                <w:rFonts w:ascii="Times New Roman" w:eastAsia="Times New Roman" w:hAnsi="Times New Roman" w:cs="Times New Roman"/>
                <w:sz w:val="24"/>
                <w:szCs w:val="24"/>
                <w:lang w:val="lv"/>
              </w:rPr>
              <w:t xml:space="preserve"> pamatojumu. Informācija par pilnvarotā padomdevēja darbībā piemērojamo kodeksu ir publicējama tā mājaslapā un atjaunojama vismaz reizi gadā.</w:t>
            </w:r>
          </w:p>
          <w:p w14:paraId="4A256E5D" w14:textId="2E2E9921" w:rsidR="00F32BB4" w:rsidRPr="002C4A1B" w:rsidRDefault="31AFF83E" w:rsidP="00F32BB4">
            <w:pPr>
              <w:spacing w:after="0" w:line="240" w:lineRule="auto"/>
              <w:ind w:firstLine="284"/>
              <w:jc w:val="both"/>
              <w:rPr>
                <w:rFonts w:ascii="Times New Roman" w:eastAsia="Times New Roman" w:hAnsi="Times New Roman" w:cs="Times New Roman"/>
                <w:sz w:val="24"/>
                <w:szCs w:val="24"/>
                <w:lang w:val="lv"/>
              </w:rPr>
            </w:pPr>
            <w:r w:rsidRPr="002C4A1B">
              <w:rPr>
                <w:rFonts w:ascii="Times New Roman" w:eastAsia="Times New Roman" w:hAnsi="Times New Roman" w:cs="Times New Roman"/>
                <w:sz w:val="24"/>
                <w:szCs w:val="24"/>
                <w:lang w:val="lv"/>
              </w:rPr>
              <w:t>Projekts paredz pienākumu pilnvarotajiem padomdevējiem katru gadu atklāt informāciju par iespējamajiem interešu konfl</w:t>
            </w:r>
            <w:r w:rsidR="3A7A91E2" w:rsidRPr="002C4A1B">
              <w:rPr>
                <w:rFonts w:ascii="Times New Roman" w:eastAsia="Times New Roman" w:hAnsi="Times New Roman" w:cs="Times New Roman"/>
                <w:sz w:val="24"/>
                <w:szCs w:val="24"/>
                <w:lang w:val="lv"/>
              </w:rPr>
              <w:t>i</w:t>
            </w:r>
            <w:r w:rsidRPr="002C4A1B">
              <w:rPr>
                <w:rFonts w:ascii="Times New Roman" w:eastAsia="Times New Roman" w:hAnsi="Times New Roman" w:cs="Times New Roman"/>
                <w:sz w:val="24"/>
                <w:szCs w:val="24"/>
                <w:lang w:val="lv"/>
              </w:rPr>
              <w:t>ktiem, kā arī publiskot noteiktu informāciju par pilnvaroto padomdevēju sniegtajiem pakalpojumiem, piemēram, par to, kā pilnvarotais p</w:t>
            </w:r>
            <w:r w:rsidR="1D2FEED0" w:rsidRPr="002C4A1B">
              <w:rPr>
                <w:rFonts w:ascii="Times New Roman" w:eastAsia="Times New Roman" w:hAnsi="Times New Roman" w:cs="Times New Roman"/>
                <w:sz w:val="24"/>
                <w:szCs w:val="24"/>
                <w:lang w:val="lv"/>
              </w:rPr>
              <w:t>a</w:t>
            </w:r>
            <w:r w:rsidRPr="002C4A1B">
              <w:rPr>
                <w:rFonts w:ascii="Times New Roman" w:eastAsia="Times New Roman" w:hAnsi="Times New Roman" w:cs="Times New Roman"/>
                <w:sz w:val="24"/>
                <w:szCs w:val="24"/>
                <w:lang w:val="lv"/>
              </w:rPr>
              <w:t xml:space="preserve">domdevējs komunicē ar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sabiedrību, kādus informācijas avotus izmanto u.</w:t>
            </w:r>
            <w:r w:rsidR="002D6AFB" w:rsidRPr="002C4A1B">
              <w:rPr>
                <w:rFonts w:ascii="Times New Roman" w:eastAsia="Times New Roman" w:hAnsi="Times New Roman" w:cs="Times New Roman"/>
                <w:sz w:val="24"/>
                <w:szCs w:val="24"/>
                <w:lang w:val="lv"/>
              </w:rPr>
              <w:t> </w:t>
            </w:r>
            <w:r w:rsidRPr="002C4A1B">
              <w:rPr>
                <w:rFonts w:ascii="Times New Roman" w:eastAsia="Times New Roman" w:hAnsi="Times New Roman" w:cs="Times New Roman"/>
                <w:sz w:val="24"/>
                <w:szCs w:val="24"/>
                <w:lang w:val="lv"/>
              </w:rPr>
              <w:t>c. informāciju, kas ļauj pilnvaroto padomdevēju pakalpojumu saņēmējiem izvērtēt to darbību. Šādai informācijai jābūt publiski pieejamai pilnvaroto padomdevēju mājaslapā vismaz trīs gadus no t</w:t>
            </w:r>
            <w:r w:rsidR="00050485">
              <w:rPr>
                <w:rFonts w:ascii="Times New Roman" w:eastAsia="Times New Roman" w:hAnsi="Times New Roman" w:cs="Times New Roman"/>
                <w:sz w:val="24"/>
                <w:szCs w:val="24"/>
                <w:lang w:val="lv"/>
              </w:rPr>
              <w:t>ās</w:t>
            </w:r>
            <w:r w:rsidRPr="002C4A1B">
              <w:rPr>
                <w:rFonts w:ascii="Times New Roman" w:eastAsia="Times New Roman" w:hAnsi="Times New Roman" w:cs="Times New Roman"/>
                <w:sz w:val="24"/>
                <w:szCs w:val="24"/>
                <w:lang w:val="lv"/>
              </w:rPr>
              <w:t xml:space="preserve"> publicēšanas brīža</w:t>
            </w:r>
            <w:r w:rsidR="1D2FEED0" w:rsidRPr="002C4A1B">
              <w:rPr>
                <w:rFonts w:ascii="Times New Roman" w:eastAsia="Times New Roman" w:hAnsi="Times New Roman" w:cs="Times New Roman"/>
                <w:sz w:val="24"/>
                <w:szCs w:val="24"/>
                <w:lang w:val="lv"/>
              </w:rPr>
              <w:t>.</w:t>
            </w:r>
          </w:p>
          <w:p w14:paraId="30C06537" w14:textId="5C810F16" w:rsidR="00C74788" w:rsidRPr="002C4A1B" w:rsidRDefault="31AFF83E" w:rsidP="007C4D2E">
            <w:pPr>
              <w:spacing w:after="0" w:line="240" w:lineRule="auto"/>
              <w:ind w:firstLine="284"/>
              <w:jc w:val="both"/>
              <w:rPr>
                <w:rFonts w:ascii="Times New Roman" w:eastAsia="Times New Roman" w:hAnsi="Times New Roman" w:cs="Times New Roman"/>
                <w:sz w:val="24"/>
                <w:szCs w:val="24"/>
              </w:rPr>
            </w:pPr>
            <w:r w:rsidRPr="002C4A1B">
              <w:rPr>
                <w:rFonts w:ascii="Times New Roman" w:eastAsia="Times New Roman" w:hAnsi="Times New Roman" w:cs="Times New Roman"/>
                <w:sz w:val="24"/>
                <w:szCs w:val="24"/>
                <w:lang w:val="lv"/>
              </w:rPr>
              <w:t xml:space="preserve">Regulējums par pilnvarotajiem padomdevējiem attiecas uz ikvienu pilnvaroto padomdevēju, kas sniedz pakalpojumus attiecībā </w:t>
            </w:r>
            <w:r w:rsidR="007F375D" w:rsidRPr="002C4A1B">
              <w:rPr>
                <w:rFonts w:ascii="Times New Roman" w:eastAsia="Times New Roman" w:hAnsi="Times New Roman" w:cs="Times New Roman"/>
                <w:sz w:val="24"/>
                <w:szCs w:val="24"/>
                <w:lang w:val="lv"/>
              </w:rPr>
              <w:t xml:space="preserve">uz </w:t>
            </w:r>
            <w:r w:rsidR="34663612" w:rsidRPr="002C4A1B">
              <w:rPr>
                <w:rFonts w:ascii="Times New Roman" w:eastAsia="Times New Roman" w:hAnsi="Times New Roman" w:cs="Times New Roman"/>
                <w:sz w:val="24"/>
                <w:szCs w:val="24"/>
                <w:lang w:val="lv"/>
              </w:rPr>
              <w:t>tādu</w:t>
            </w:r>
            <w:r w:rsidRPr="002C4A1B">
              <w:rPr>
                <w:rFonts w:ascii="Times New Roman" w:eastAsia="Times New Roman" w:hAnsi="Times New Roman" w:cs="Times New Roman"/>
                <w:sz w:val="24"/>
                <w:szCs w:val="24"/>
                <w:lang w:val="lv"/>
              </w:rPr>
              <w:t xml:space="preserve"> </w:t>
            </w:r>
            <w:r w:rsidR="00415104" w:rsidRPr="002C4A1B">
              <w:rPr>
                <w:rFonts w:ascii="Times New Roman" w:eastAsia="Times New Roman" w:hAnsi="Times New Roman" w:cs="Times New Roman"/>
                <w:sz w:val="24"/>
                <w:szCs w:val="24"/>
                <w:lang w:val="lv"/>
              </w:rPr>
              <w:t xml:space="preserve">akciju </w:t>
            </w:r>
            <w:r w:rsidRPr="002C4A1B">
              <w:rPr>
                <w:rFonts w:ascii="Times New Roman" w:eastAsia="Times New Roman" w:hAnsi="Times New Roman" w:cs="Times New Roman"/>
                <w:sz w:val="24"/>
                <w:szCs w:val="24"/>
                <w:lang w:val="lv"/>
              </w:rPr>
              <w:t xml:space="preserve">sabiedrību akcijām, </w:t>
            </w:r>
            <w:r w:rsidR="0038510C" w:rsidRPr="002C4A1B">
              <w:rPr>
                <w:rFonts w:ascii="Times New Roman" w:eastAsia="Times New Roman" w:hAnsi="Times New Roman" w:cs="Times New Roman"/>
                <w:sz w:val="24"/>
                <w:szCs w:val="24"/>
                <w:lang w:val="lv"/>
              </w:rPr>
              <w:t xml:space="preserve">kuru </w:t>
            </w:r>
            <w:r w:rsidR="34663612" w:rsidRPr="002C4A1B">
              <w:rPr>
                <w:rFonts w:ascii="Times New Roman" w:eastAsia="Times New Roman" w:hAnsi="Times New Roman" w:cs="Times New Roman"/>
                <w:sz w:val="24"/>
                <w:szCs w:val="24"/>
                <w:lang w:val="lv"/>
              </w:rPr>
              <w:t xml:space="preserve">juridiskā adrese </w:t>
            </w:r>
            <w:r w:rsidR="00C74788" w:rsidRPr="002C4A1B">
              <w:rPr>
                <w:rFonts w:ascii="Times New Roman" w:eastAsia="Times New Roman" w:hAnsi="Times New Roman" w:cs="Times New Roman"/>
                <w:sz w:val="24"/>
                <w:szCs w:val="24"/>
                <w:lang w:val="lv"/>
              </w:rPr>
              <w:t xml:space="preserve">ir dalībvalstī un kuras akcijas iekļautas dalībvalsts regulētajā tirgū.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pilnvarotā padomdevēja darbību, ja tā juridiskā adrese atrodas Latvijā. Ja pilnvarotā padomdevēja juridiskā adrese nav Latvijā,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pilnvaroto padomdevēja darbību, ja tā galvenā biroja atrašanās vieta atrodas Latvijā. Ja </w:t>
            </w:r>
            <w:r w:rsidR="007C4D2E" w:rsidRPr="002C4A1B">
              <w:rPr>
                <w:rFonts w:ascii="Times New Roman" w:hAnsi="Times New Roman" w:cs="Times New Roman"/>
                <w:sz w:val="24"/>
                <w:szCs w:val="24"/>
                <w:lang w:eastAsia="lv-LV"/>
              </w:rPr>
              <w:t xml:space="preserve">Latvijā nav ne </w:t>
            </w:r>
            <w:r w:rsidR="00F32BB4" w:rsidRPr="002C4A1B">
              <w:rPr>
                <w:rFonts w:ascii="Times New Roman" w:hAnsi="Times New Roman" w:cs="Times New Roman"/>
                <w:sz w:val="24"/>
                <w:szCs w:val="24"/>
                <w:lang w:eastAsia="lv-LV"/>
              </w:rPr>
              <w:t>pilnvarotā padomdevēja juridiskā adrese</w:t>
            </w:r>
            <w:r w:rsidR="007C4D2E" w:rsidRPr="002C4A1B">
              <w:rPr>
                <w:rFonts w:ascii="Times New Roman" w:hAnsi="Times New Roman" w:cs="Times New Roman"/>
                <w:sz w:val="24"/>
                <w:szCs w:val="24"/>
                <w:lang w:eastAsia="lv-LV"/>
              </w:rPr>
              <w:t>, ne arī tā</w:t>
            </w:r>
            <w:r w:rsidR="002A280D" w:rsidRPr="002C4A1B">
              <w:rPr>
                <w:rFonts w:ascii="Times New Roman" w:hAnsi="Times New Roman" w:cs="Times New Roman"/>
                <w:sz w:val="24"/>
                <w:szCs w:val="24"/>
                <w:lang w:eastAsia="lv-LV"/>
              </w:rPr>
              <w:t xml:space="preserve"> galvenā biroja atrašanās vieta</w:t>
            </w:r>
            <w:r w:rsidR="00F32BB4" w:rsidRPr="002C4A1B">
              <w:rPr>
                <w:rFonts w:ascii="Times New Roman" w:hAnsi="Times New Roman" w:cs="Times New Roman"/>
                <w:sz w:val="24"/>
                <w:szCs w:val="24"/>
                <w:lang w:eastAsia="lv-LV"/>
              </w:rPr>
              <w:t xml:space="preserve">, </w:t>
            </w:r>
            <w:r w:rsidR="00AC5DF8" w:rsidRPr="002C4A1B">
              <w:rPr>
                <w:rFonts w:ascii="Times New Roman" w:hAnsi="Times New Roman" w:cs="Times New Roman"/>
                <w:sz w:val="24"/>
                <w:szCs w:val="24"/>
                <w:lang w:eastAsia="lv-LV"/>
              </w:rPr>
              <w:t>FKTK</w:t>
            </w:r>
            <w:r w:rsidR="00F32BB4" w:rsidRPr="002C4A1B">
              <w:rPr>
                <w:rFonts w:ascii="Times New Roman" w:hAnsi="Times New Roman" w:cs="Times New Roman"/>
                <w:sz w:val="24"/>
                <w:szCs w:val="24"/>
                <w:lang w:eastAsia="lv-LV"/>
              </w:rPr>
              <w:t xml:space="preserve"> uzraudzīs pilnvarotā padomdevēja darbību, ja tā filiāle ir reģistrēta Latvijā.</w:t>
            </w:r>
          </w:p>
        </w:tc>
      </w:tr>
      <w:tr w:rsidR="006914CD" w:rsidRPr="002C4A1B"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6F16B411"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BCE42A8" w14:textId="005BC84C" w:rsidR="00CF69CA" w:rsidRPr="002C4A1B" w:rsidRDefault="00FA2A06" w:rsidP="006914CD">
            <w:pPr>
              <w:spacing w:after="0" w:line="240" w:lineRule="auto"/>
              <w:jc w:val="both"/>
              <w:rPr>
                <w:rFonts w:ascii="Times New Roman" w:hAnsi="Times New Roman" w:cs="Times New Roman"/>
                <w:sz w:val="24"/>
                <w:szCs w:val="24"/>
                <w:lang w:eastAsia="lv-LV"/>
              </w:rPr>
            </w:pPr>
            <w:r w:rsidRPr="002C4A1B">
              <w:rPr>
                <w:rFonts w:ascii="Times New Roman" w:hAnsi="Times New Roman" w:cs="Times New Roman"/>
                <w:sz w:val="24"/>
                <w:szCs w:val="24"/>
                <w:lang w:eastAsia="lv-LV"/>
              </w:rPr>
              <w:t>Tieslietu</w:t>
            </w:r>
            <w:r w:rsidR="00CF69CA" w:rsidRPr="002C4A1B">
              <w:rPr>
                <w:rFonts w:ascii="Times New Roman" w:hAnsi="Times New Roman" w:cs="Times New Roman"/>
                <w:sz w:val="24"/>
                <w:szCs w:val="24"/>
                <w:lang w:eastAsia="lv-LV"/>
              </w:rPr>
              <w:t xml:space="preserve"> ministrija</w:t>
            </w:r>
            <w:r w:rsidR="00586AE8" w:rsidRPr="002C4A1B">
              <w:rPr>
                <w:rFonts w:ascii="Times New Roman" w:hAnsi="Times New Roman" w:cs="Times New Roman"/>
                <w:sz w:val="24"/>
                <w:szCs w:val="24"/>
                <w:lang w:eastAsia="lv-LV"/>
              </w:rPr>
              <w:t xml:space="preserve"> un</w:t>
            </w:r>
            <w:r w:rsidR="00FB41B8" w:rsidRPr="002C4A1B">
              <w:rPr>
                <w:rFonts w:ascii="Times New Roman" w:hAnsi="Times New Roman" w:cs="Times New Roman"/>
                <w:sz w:val="24"/>
                <w:szCs w:val="24"/>
                <w:lang w:eastAsia="lv-LV"/>
              </w:rPr>
              <w:t xml:space="preserve"> </w:t>
            </w:r>
            <w:r w:rsidR="00AC5DF8" w:rsidRPr="002C4A1B">
              <w:rPr>
                <w:rFonts w:ascii="Times New Roman" w:hAnsi="Times New Roman" w:cs="Times New Roman"/>
                <w:sz w:val="24"/>
                <w:szCs w:val="24"/>
                <w:lang w:eastAsia="lv-LV"/>
              </w:rPr>
              <w:t>FKTK</w:t>
            </w:r>
            <w:r w:rsidR="00CF69CA" w:rsidRPr="002C4A1B">
              <w:rPr>
                <w:rFonts w:ascii="Times New Roman" w:hAnsi="Times New Roman" w:cs="Times New Roman"/>
                <w:sz w:val="24"/>
                <w:szCs w:val="24"/>
                <w:lang w:eastAsia="lv-LV"/>
              </w:rPr>
              <w:t>.</w:t>
            </w:r>
          </w:p>
          <w:p w14:paraId="15B61DA6" w14:textId="77777777" w:rsidR="00FB41B8" w:rsidRPr="002C4A1B" w:rsidRDefault="00FB41B8" w:rsidP="006914CD">
            <w:pPr>
              <w:spacing w:after="0" w:line="240" w:lineRule="auto"/>
              <w:jc w:val="both"/>
              <w:rPr>
                <w:rFonts w:ascii="Times New Roman" w:hAnsi="Times New Roman" w:cs="Times New Roman"/>
                <w:sz w:val="24"/>
                <w:szCs w:val="24"/>
                <w:lang w:eastAsia="lv-LV"/>
              </w:rPr>
            </w:pPr>
          </w:p>
          <w:p w14:paraId="09DA66A3" w14:textId="36A81B85" w:rsidR="006914CD" w:rsidRPr="002C4A1B" w:rsidRDefault="006914CD" w:rsidP="006914CD">
            <w:pPr>
              <w:spacing w:after="0" w:line="240" w:lineRule="auto"/>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lang w:eastAsia="lv-LV"/>
              </w:rPr>
              <w:t xml:space="preserve"> </w:t>
            </w:r>
          </w:p>
        </w:tc>
      </w:tr>
      <w:tr w:rsidR="006914CD" w:rsidRPr="002C4A1B"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2C4A1B" w:rsidRDefault="006914CD" w:rsidP="006914C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CB5659F" w:rsidR="006914CD" w:rsidRPr="002C4A1B" w:rsidRDefault="1CB73AEC" w:rsidP="0059750C">
            <w:pPr>
              <w:spacing w:after="0" w:line="240" w:lineRule="auto"/>
              <w:jc w:val="both"/>
            </w:pPr>
            <w:r w:rsidRPr="002C4A1B">
              <w:rPr>
                <w:rFonts w:ascii="Times New Roman" w:eastAsia="Times New Roman" w:hAnsi="Times New Roman" w:cs="Times New Roman"/>
                <w:sz w:val="24"/>
                <w:szCs w:val="24"/>
                <w:lang w:eastAsia="lv-LV"/>
              </w:rPr>
              <w:t>Projekts daļ</w:t>
            </w:r>
            <w:r w:rsidR="0059750C" w:rsidRPr="002C4A1B">
              <w:rPr>
                <w:rFonts w:ascii="Times New Roman" w:eastAsia="Times New Roman" w:hAnsi="Times New Roman" w:cs="Times New Roman"/>
                <w:sz w:val="24"/>
                <w:szCs w:val="24"/>
                <w:lang w:eastAsia="lv-LV"/>
              </w:rPr>
              <w:t>ā</w:t>
            </w:r>
            <w:r w:rsidR="00401BD5" w:rsidRPr="002C4A1B">
              <w:rPr>
                <w:rFonts w:ascii="Times New Roman" w:eastAsia="Times New Roman" w:hAnsi="Times New Roman" w:cs="Times New Roman"/>
                <w:sz w:val="24"/>
                <w:szCs w:val="24"/>
                <w:lang w:eastAsia="lv-LV"/>
              </w:rPr>
              <w:t xml:space="preserve"> par vadītāju atalgojumu un saistīto pušu darījumiem</w:t>
            </w:r>
            <w:r w:rsidRPr="002C4A1B">
              <w:rPr>
                <w:rFonts w:ascii="Times New Roman" w:eastAsia="Times New Roman" w:hAnsi="Times New Roman" w:cs="Times New Roman"/>
                <w:sz w:val="24"/>
                <w:szCs w:val="24"/>
                <w:lang w:eastAsia="lv-LV"/>
              </w:rPr>
              <w:t xml:space="preserve"> ir izskatīt</w:t>
            </w:r>
            <w:r w:rsidR="00050485">
              <w:rPr>
                <w:rFonts w:ascii="Times New Roman" w:eastAsia="Times New Roman" w:hAnsi="Times New Roman" w:cs="Times New Roman"/>
                <w:sz w:val="24"/>
                <w:szCs w:val="24"/>
                <w:lang w:eastAsia="lv-LV"/>
              </w:rPr>
              <w:t>s</w:t>
            </w:r>
            <w:r w:rsidRPr="002C4A1B">
              <w:rPr>
                <w:rFonts w:ascii="Times New Roman" w:eastAsia="Times New Roman" w:hAnsi="Times New Roman" w:cs="Times New Roman"/>
                <w:sz w:val="24"/>
                <w:szCs w:val="24"/>
                <w:lang w:eastAsia="lv-LV"/>
              </w:rPr>
              <w:t xml:space="preserve"> arī Tieslietu ministrijas </w:t>
            </w:r>
            <w:r w:rsidRPr="002C4A1B">
              <w:rPr>
                <w:rFonts w:ascii="Times New Roman" w:hAnsi="Times New Roman" w:cs="Times New Roman"/>
                <w:sz w:val="24"/>
                <w:szCs w:val="24"/>
                <w:lang w:eastAsia="lv-LV"/>
              </w:rPr>
              <w:t xml:space="preserve">izveidotajā pastāvīgajā darba grupā </w:t>
            </w:r>
            <w:r w:rsidRPr="002C4A1B">
              <w:rPr>
                <w:rFonts w:ascii="Times New Roman" w:eastAsia="Times New Roman" w:hAnsi="Times New Roman" w:cs="Times New Roman"/>
                <w:sz w:val="24"/>
                <w:szCs w:val="24"/>
                <w:lang w:eastAsia="lv-LV"/>
              </w:rPr>
              <w:t>Komerclikuma grozījumu izstrādei, kuras sastāvā ir komerctiesību eksperti un praktiķi, kā arī pārstāvji no sociālajiem partneriem.</w:t>
            </w:r>
            <w:r w:rsidRPr="002C4A1B">
              <w:t xml:space="preserve"> </w:t>
            </w:r>
          </w:p>
        </w:tc>
      </w:tr>
      <w:tr w:rsidR="005D4E8A" w:rsidRPr="002C4A1B"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2C4A1B"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b/>
            </w:r>
          </w:p>
        </w:tc>
      </w:tr>
      <w:tr w:rsidR="00BC2633" w:rsidRPr="002C4A1B"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2C4A1B"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6B727B21" w:rsidR="005B1841" w:rsidRPr="002C4A1B" w:rsidRDefault="003661B4" w:rsidP="003A558C">
            <w:pPr>
              <w:spacing w:after="0" w:line="240" w:lineRule="auto"/>
              <w:ind w:firstLine="316"/>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rPr>
              <w:t>Akciju sabiedrības, kuru akcijas ir iekļautas regulētajā tirgū Latvijā (šobrīd tāda ir 21 akciju sabiedrība), z</w:t>
            </w:r>
            <w:r w:rsidRPr="002C4A1B">
              <w:rPr>
                <w:rFonts w:ascii="Times New Roman" w:eastAsia="Times New Roman" w:hAnsi="Times New Roman" w:cs="Times New Roman"/>
                <w:sz w:val="24"/>
                <w:szCs w:val="24"/>
                <w:lang w:eastAsia="lv-LV"/>
              </w:rPr>
              <w:t>vērināti revidenti</w:t>
            </w:r>
            <w:r w:rsidR="0059750C" w:rsidRPr="002C4A1B">
              <w:rPr>
                <w:rFonts w:ascii="Times New Roman" w:eastAsia="Times New Roman" w:hAnsi="Times New Roman" w:cs="Times New Roman"/>
                <w:sz w:val="24"/>
                <w:szCs w:val="24"/>
                <w:lang w:eastAsia="lv-LV"/>
              </w:rPr>
              <w:t xml:space="preserve"> (</w:t>
            </w:r>
            <w:r w:rsidR="00153766" w:rsidRPr="002C4A1B">
              <w:rPr>
                <w:rFonts w:ascii="Times New Roman" w:eastAsia="Times New Roman" w:hAnsi="Times New Roman" w:cs="Times New Roman"/>
                <w:sz w:val="24"/>
                <w:szCs w:val="24"/>
                <w:lang w:eastAsia="lv-LV"/>
              </w:rPr>
              <w:t xml:space="preserve">ja </w:t>
            </w:r>
            <w:r w:rsidR="00BA09D8" w:rsidRPr="002C4A1B">
              <w:rPr>
                <w:rFonts w:ascii="Times New Roman" w:eastAsia="Times New Roman" w:hAnsi="Times New Roman" w:cs="Times New Roman"/>
                <w:sz w:val="24"/>
                <w:szCs w:val="24"/>
                <w:lang w:eastAsia="lv-LV"/>
              </w:rPr>
              <w:t>akciju sabiedrība</w:t>
            </w:r>
            <w:r w:rsidR="0059750C" w:rsidRPr="002C4A1B">
              <w:rPr>
                <w:rFonts w:ascii="Times New Roman" w:eastAsia="Times New Roman" w:hAnsi="Times New Roman" w:cs="Times New Roman"/>
                <w:sz w:val="24"/>
                <w:szCs w:val="24"/>
                <w:lang w:eastAsia="lv-LV"/>
              </w:rPr>
              <w:t xml:space="preserve"> gatavo ziņojumu par tā</w:t>
            </w:r>
            <w:r w:rsidR="00BA09D8" w:rsidRPr="002C4A1B">
              <w:rPr>
                <w:rFonts w:ascii="Times New Roman" w:eastAsia="Times New Roman" w:hAnsi="Times New Roman" w:cs="Times New Roman"/>
                <w:sz w:val="24"/>
                <w:szCs w:val="24"/>
                <w:lang w:eastAsia="lv-LV"/>
              </w:rPr>
              <w:t>s</w:t>
            </w:r>
            <w:r w:rsidR="0059750C" w:rsidRPr="002C4A1B">
              <w:rPr>
                <w:rFonts w:ascii="Times New Roman" w:eastAsia="Times New Roman" w:hAnsi="Times New Roman" w:cs="Times New Roman"/>
                <w:sz w:val="24"/>
                <w:szCs w:val="24"/>
                <w:lang w:eastAsia="lv-LV"/>
              </w:rPr>
              <w:t xml:space="preserve"> valdes un padomes atalgojumu)</w:t>
            </w:r>
            <w:r w:rsidRPr="002C4A1B">
              <w:rPr>
                <w:rFonts w:ascii="Times New Roman" w:eastAsia="Times New Roman" w:hAnsi="Times New Roman" w:cs="Times New Roman"/>
                <w:sz w:val="24"/>
                <w:szCs w:val="24"/>
                <w:lang w:eastAsia="lv-LV"/>
              </w:rPr>
              <w:t xml:space="preserve">, </w:t>
            </w:r>
            <w:r w:rsidR="008F602D">
              <w:rPr>
                <w:rFonts w:ascii="Times New Roman" w:eastAsia="Times New Roman" w:hAnsi="Times New Roman" w:cs="Times New Roman"/>
                <w:sz w:val="24"/>
                <w:szCs w:val="24"/>
                <w:lang w:eastAsia="lv-LV"/>
              </w:rPr>
              <w:t xml:space="preserve">pilnvarotie padomdevēji, </w:t>
            </w:r>
            <w:r w:rsidR="00794B68" w:rsidRPr="002C4A1B">
              <w:rPr>
                <w:rFonts w:ascii="Times New Roman" w:eastAsia="Times New Roman" w:hAnsi="Times New Roman" w:cs="Times New Roman"/>
                <w:sz w:val="24"/>
                <w:szCs w:val="24"/>
                <w:lang w:eastAsia="lv-LV"/>
              </w:rPr>
              <w:t>k</w:t>
            </w:r>
            <w:r w:rsidR="005B1841" w:rsidRPr="002C4A1B">
              <w:rPr>
                <w:rFonts w:ascii="Times New Roman" w:eastAsia="Times New Roman" w:hAnsi="Times New Roman" w:cs="Times New Roman"/>
                <w:sz w:val="24"/>
                <w:szCs w:val="24"/>
                <w:lang w:eastAsia="lv-LV"/>
              </w:rPr>
              <w:t xml:space="preserve">redītiestādes un ieguldījumu brokeru sabiedrības, </w:t>
            </w:r>
            <w:r w:rsidR="00F13BF3" w:rsidRPr="002C4A1B">
              <w:rPr>
                <w:rFonts w:ascii="Times New Roman" w:eastAsia="Times New Roman" w:hAnsi="Times New Roman" w:cs="Times New Roman"/>
                <w:sz w:val="24"/>
                <w:szCs w:val="24"/>
                <w:lang w:eastAsia="lv-LV"/>
              </w:rPr>
              <w:t>centrālie vērtspapīru depozitāriji,</w:t>
            </w:r>
            <w:r w:rsidR="002A280D" w:rsidRPr="002C4A1B">
              <w:rPr>
                <w:rFonts w:ascii="Times New Roman" w:eastAsia="Times New Roman" w:hAnsi="Times New Roman" w:cs="Times New Roman"/>
                <w:sz w:val="24"/>
                <w:szCs w:val="24"/>
                <w:lang w:eastAsia="lv-LV"/>
              </w:rPr>
              <w:t xml:space="preserve"> citas personas, kas tiesīgas sniegt portfeļa pārvaldības pakalpojumu, </w:t>
            </w:r>
            <w:r w:rsidR="00AC5DF8" w:rsidRPr="002C4A1B">
              <w:rPr>
                <w:rFonts w:ascii="Times New Roman" w:eastAsia="Times New Roman" w:hAnsi="Times New Roman" w:cs="Times New Roman"/>
                <w:sz w:val="24"/>
                <w:szCs w:val="24"/>
                <w:lang w:eastAsia="lv-LV"/>
              </w:rPr>
              <w:t>FKTK</w:t>
            </w:r>
            <w:r w:rsidRPr="002C4A1B">
              <w:rPr>
                <w:rFonts w:ascii="Times New Roman" w:eastAsia="Times New Roman" w:hAnsi="Times New Roman" w:cs="Times New Roman"/>
                <w:sz w:val="24"/>
                <w:szCs w:val="24"/>
                <w:lang w:eastAsia="lv-LV"/>
              </w:rPr>
              <w:t>.</w:t>
            </w:r>
          </w:p>
        </w:tc>
      </w:tr>
      <w:tr w:rsidR="00DA326E" w:rsidRPr="002C4A1B" w14:paraId="135FDA25" w14:textId="77777777" w:rsidTr="00A4667F">
        <w:trPr>
          <w:trHeight w:val="112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5D0DAFB2" w14:textId="70DAC244" w:rsidR="004D15A9" w:rsidRPr="002C4A1B"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Akciju sabiedrībām, kuru akcijas iekļautas regulētajā tirgū, palielinās administratīvais slogs – projekts paredz izstrādā</w:t>
            </w:r>
            <w:r w:rsidR="006C7052" w:rsidRPr="002C4A1B">
              <w:rPr>
                <w:rFonts w:ascii="Times New Roman" w:eastAsia="Times New Roman" w:hAnsi="Times New Roman" w:cs="Times New Roman"/>
                <w:sz w:val="24"/>
                <w:szCs w:val="24"/>
                <w:lang w:eastAsia="lv-LV"/>
              </w:rPr>
              <w:t>t</w:t>
            </w:r>
            <w:r w:rsidRPr="002C4A1B">
              <w:rPr>
                <w:rFonts w:ascii="Times New Roman" w:eastAsia="Times New Roman" w:hAnsi="Times New Roman" w:cs="Times New Roman"/>
                <w:sz w:val="24"/>
                <w:szCs w:val="24"/>
                <w:lang w:eastAsia="lv-LV"/>
              </w:rPr>
              <w:t xml:space="preserve"> un publiskot atalgojuma politiku un </w:t>
            </w:r>
            <w:r w:rsidR="00664E00" w:rsidRPr="002C4A1B">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ziņojumu</w:t>
            </w:r>
            <w:r w:rsidR="00664E00" w:rsidRPr="002C4A1B">
              <w:rPr>
                <w:rFonts w:ascii="Times New Roman" w:eastAsia="Times New Roman" w:hAnsi="Times New Roman" w:cs="Times New Roman"/>
                <w:sz w:val="24"/>
                <w:szCs w:val="24"/>
                <w:lang w:eastAsia="lv-LV"/>
              </w:rPr>
              <w:t xml:space="preserve"> (plānots</w:t>
            </w:r>
            <w:r w:rsidR="00282F7D" w:rsidRPr="002C4A1B">
              <w:rPr>
                <w:rFonts w:ascii="Times New Roman" w:eastAsia="Times New Roman" w:hAnsi="Times New Roman" w:cs="Times New Roman"/>
                <w:sz w:val="24"/>
                <w:szCs w:val="24"/>
                <w:lang w:eastAsia="lv-LV"/>
              </w:rPr>
              <w:t>,</w:t>
            </w:r>
            <w:r w:rsidR="00664E00" w:rsidRPr="002C4A1B">
              <w:rPr>
                <w:rFonts w:ascii="Times New Roman" w:eastAsia="Times New Roman" w:hAnsi="Times New Roman" w:cs="Times New Roman"/>
                <w:sz w:val="24"/>
                <w:szCs w:val="24"/>
                <w:lang w:eastAsia="lv-LV"/>
              </w:rPr>
              <w:t xml:space="preserve"> ka to </w:t>
            </w:r>
            <w:r w:rsidR="00D61E0D" w:rsidRPr="002C4A1B">
              <w:rPr>
                <w:rFonts w:ascii="Times New Roman" w:eastAsia="Times New Roman" w:hAnsi="Times New Roman" w:cs="Times New Roman"/>
                <w:sz w:val="24"/>
                <w:szCs w:val="24"/>
                <w:lang w:eastAsia="lv-LV"/>
              </w:rPr>
              <w:t>snieg</w:t>
            </w:r>
            <w:r w:rsidR="00664E00" w:rsidRPr="002C4A1B">
              <w:rPr>
                <w:rFonts w:ascii="Times New Roman" w:eastAsia="Times New Roman" w:hAnsi="Times New Roman" w:cs="Times New Roman"/>
                <w:sz w:val="24"/>
                <w:szCs w:val="24"/>
                <w:lang w:eastAsia="lv-LV"/>
              </w:rPr>
              <w:t>s</w:t>
            </w:r>
            <w:r w:rsidR="00D61E0D" w:rsidRPr="002C4A1B">
              <w:rPr>
                <w:rFonts w:ascii="Times New Roman" w:eastAsia="Times New Roman" w:hAnsi="Times New Roman" w:cs="Times New Roman"/>
                <w:sz w:val="24"/>
                <w:szCs w:val="24"/>
                <w:lang w:eastAsia="lv-LV"/>
              </w:rPr>
              <w:t xml:space="preserve"> </w:t>
            </w:r>
            <w:r w:rsidR="00664E00" w:rsidRPr="002C4A1B">
              <w:rPr>
                <w:rFonts w:ascii="Times New Roman" w:eastAsia="Times New Roman" w:hAnsi="Times New Roman" w:cs="Times New Roman"/>
                <w:sz w:val="24"/>
                <w:szCs w:val="24"/>
                <w:lang w:eastAsia="lv-LV"/>
              </w:rPr>
              <w:t>kopā ar gada pārskatu)</w:t>
            </w:r>
            <w:r w:rsidR="00D61E0D" w:rsidRPr="002C4A1B">
              <w:rPr>
                <w:rFonts w:ascii="Times New Roman" w:eastAsia="Times New Roman" w:hAnsi="Times New Roman" w:cs="Times New Roman"/>
                <w:sz w:val="24"/>
                <w:szCs w:val="24"/>
                <w:lang w:eastAsia="lv-LV"/>
              </w:rPr>
              <w:t xml:space="preserve">, </w:t>
            </w:r>
            <w:r w:rsidR="00282F7D" w:rsidRPr="002C4A1B">
              <w:rPr>
                <w:rFonts w:ascii="Times New Roman" w:eastAsia="Times New Roman" w:hAnsi="Times New Roman" w:cs="Times New Roman"/>
                <w:sz w:val="24"/>
                <w:szCs w:val="24"/>
                <w:lang w:eastAsia="lv-LV"/>
              </w:rPr>
              <w:t xml:space="preserve">kā arī paredz </w:t>
            </w:r>
            <w:r w:rsidR="00664E00" w:rsidRPr="002C4A1B">
              <w:rPr>
                <w:rFonts w:ascii="Times New Roman" w:eastAsia="Times New Roman" w:hAnsi="Times New Roman" w:cs="Times New Roman"/>
                <w:sz w:val="24"/>
                <w:szCs w:val="24"/>
                <w:lang w:eastAsia="lv-LV"/>
              </w:rPr>
              <w:t xml:space="preserve">atsevišķas jaunas prasības </w:t>
            </w:r>
            <w:r w:rsidR="00282F7D" w:rsidRPr="002C4A1B">
              <w:rPr>
                <w:rFonts w:ascii="Times New Roman" w:eastAsia="Times New Roman" w:hAnsi="Times New Roman" w:cs="Times New Roman"/>
                <w:sz w:val="24"/>
                <w:szCs w:val="24"/>
                <w:lang w:eastAsia="lv-LV"/>
              </w:rPr>
              <w:t>ziņo</w:t>
            </w:r>
            <w:r w:rsidR="00664E00" w:rsidRPr="002C4A1B">
              <w:rPr>
                <w:rFonts w:ascii="Times New Roman" w:eastAsia="Times New Roman" w:hAnsi="Times New Roman" w:cs="Times New Roman"/>
                <w:sz w:val="24"/>
                <w:szCs w:val="24"/>
                <w:lang w:eastAsia="lv-LV"/>
              </w:rPr>
              <w:t xml:space="preserve">šanai par saistīto pušu darījumiem un ievieš prasības ziņot </w:t>
            </w:r>
            <w:r w:rsidR="00282F7D" w:rsidRPr="002C4A1B">
              <w:rPr>
                <w:rFonts w:ascii="Times New Roman" w:eastAsia="Times New Roman" w:hAnsi="Times New Roman" w:cs="Times New Roman"/>
                <w:sz w:val="24"/>
                <w:szCs w:val="24"/>
                <w:lang w:eastAsia="lv-LV"/>
              </w:rPr>
              <w:t>par meitas sabiedrības noslēgtajiem darījumiem ar akciju sabiedrības saistīto pusi.</w:t>
            </w:r>
          </w:p>
          <w:p w14:paraId="711A36B9" w14:textId="1386EFC5" w:rsidR="003661B4" w:rsidRPr="002C4A1B" w:rsidRDefault="003661B4"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Zvērināti revidenti </w:t>
            </w:r>
            <w:r w:rsidR="00664E00" w:rsidRPr="002C4A1B">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r w:rsidR="00664E00" w:rsidRPr="002C4A1B">
              <w:rPr>
                <w:rFonts w:ascii="Times New Roman" w:eastAsia="Times New Roman" w:hAnsi="Times New Roman" w:cs="Times New Roman"/>
                <w:sz w:val="24"/>
                <w:szCs w:val="24"/>
                <w:lang w:eastAsia="lv-LV"/>
              </w:rPr>
              <w:t xml:space="preserve">par vienu dokumentu </w:t>
            </w:r>
            <w:r w:rsidRPr="002C4A1B">
              <w:rPr>
                <w:rFonts w:ascii="Times New Roman" w:eastAsia="Times New Roman" w:hAnsi="Times New Roman" w:cs="Times New Roman"/>
                <w:sz w:val="24"/>
                <w:szCs w:val="24"/>
                <w:lang w:eastAsia="lv-LV"/>
              </w:rPr>
              <w:t>tiek paplašināts to dokumentu skaits, kas ir izvērtējami revīzijas pakalpojumu sniegšanas ietvaros. Zvērināti revidenti tām akciju sabiedrībām, kur</w:t>
            </w:r>
            <w:r w:rsidR="00050485">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akcijas ir iekļautas regulētajā tirgū, papildus izvērtēs arī atalgojuma ziņojumu.</w:t>
            </w:r>
            <w:r w:rsidR="00C329B3" w:rsidRPr="002C4A1B">
              <w:rPr>
                <w:rFonts w:ascii="Times New Roman" w:eastAsia="Times New Roman" w:hAnsi="Times New Roman" w:cs="Times New Roman"/>
                <w:sz w:val="24"/>
                <w:szCs w:val="24"/>
                <w:lang w:eastAsia="lv-LV"/>
              </w:rPr>
              <w:t xml:space="preserve"> Atbilstoši Latvijas Zvērinātu revidentu asociācijas mājaslapā norādītajai informācijai Latvijā ir aptuveni 200 </w:t>
            </w:r>
            <w:r w:rsidR="007E2200" w:rsidRPr="002C4A1B">
              <w:rPr>
                <w:rFonts w:ascii="Times New Roman" w:eastAsia="Times New Roman" w:hAnsi="Times New Roman" w:cs="Times New Roman"/>
                <w:sz w:val="24"/>
                <w:szCs w:val="24"/>
                <w:lang w:eastAsia="lv-LV"/>
              </w:rPr>
              <w:t xml:space="preserve">sertificēti </w:t>
            </w:r>
            <w:r w:rsidR="00C329B3" w:rsidRPr="002C4A1B">
              <w:rPr>
                <w:rFonts w:ascii="Times New Roman" w:eastAsia="Times New Roman" w:hAnsi="Times New Roman" w:cs="Times New Roman"/>
                <w:sz w:val="24"/>
                <w:szCs w:val="24"/>
                <w:lang w:eastAsia="lv-LV"/>
              </w:rPr>
              <w:t>zvērināti revidenti</w:t>
            </w:r>
            <w:r w:rsidR="007E2200" w:rsidRPr="002C4A1B">
              <w:rPr>
                <w:rFonts w:ascii="Times New Roman" w:eastAsia="Times New Roman" w:hAnsi="Times New Roman" w:cs="Times New Roman"/>
                <w:sz w:val="24"/>
                <w:szCs w:val="24"/>
                <w:lang w:eastAsia="lv-LV"/>
              </w:rPr>
              <w:t xml:space="preserve"> un ap 180 licencētas zvērinātu revidentu komercsabiedrības</w:t>
            </w:r>
            <w:r w:rsidR="0003429F" w:rsidRPr="002C4A1B">
              <w:rPr>
                <w:rFonts w:ascii="Times New Roman" w:eastAsia="Times New Roman" w:hAnsi="Times New Roman" w:cs="Times New Roman"/>
                <w:sz w:val="24"/>
                <w:szCs w:val="24"/>
                <w:lang w:eastAsia="lv-LV"/>
              </w:rPr>
              <w:t xml:space="preserve"> (abi kopā </w:t>
            </w:r>
            <w:r w:rsidR="00D64B17">
              <w:rPr>
                <w:rFonts w:ascii="Times New Roman" w:eastAsia="Times New Roman" w:hAnsi="Times New Roman" w:cs="Times New Roman"/>
                <w:sz w:val="24"/>
                <w:szCs w:val="24"/>
                <w:lang w:eastAsia="lv-LV"/>
              </w:rPr>
              <w:t>–</w:t>
            </w:r>
            <w:r w:rsidR="0003429F" w:rsidRPr="002C4A1B">
              <w:rPr>
                <w:rFonts w:ascii="Times New Roman" w:eastAsia="Times New Roman" w:hAnsi="Times New Roman" w:cs="Times New Roman"/>
                <w:sz w:val="24"/>
                <w:szCs w:val="24"/>
                <w:lang w:eastAsia="lv-LV"/>
              </w:rPr>
              <w:t xml:space="preserve"> </w:t>
            </w:r>
            <w:r w:rsidR="00D64B17">
              <w:rPr>
                <w:rFonts w:ascii="Times New Roman" w:eastAsia="Times New Roman" w:hAnsi="Times New Roman" w:cs="Times New Roman"/>
                <w:sz w:val="24"/>
                <w:szCs w:val="24"/>
                <w:lang w:eastAsia="lv-LV"/>
              </w:rPr>
              <w:t xml:space="preserve">zvērināts </w:t>
            </w:r>
            <w:r w:rsidR="0003429F" w:rsidRPr="002C4A1B">
              <w:rPr>
                <w:rFonts w:ascii="Times New Roman" w:eastAsia="Times New Roman" w:hAnsi="Times New Roman" w:cs="Times New Roman"/>
                <w:sz w:val="24"/>
                <w:szCs w:val="24"/>
                <w:lang w:eastAsia="lv-LV"/>
              </w:rPr>
              <w:t>revidents)</w:t>
            </w:r>
            <w:r w:rsidR="007E2200" w:rsidRPr="002C4A1B">
              <w:rPr>
                <w:rFonts w:ascii="Times New Roman" w:eastAsia="Times New Roman" w:hAnsi="Times New Roman" w:cs="Times New Roman"/>
                <w:sz w:val="24"/>
                <w:szCs w:val="24"/>
                <w:lang w:eastAsia="lv-LV"/>
              </w:rPr>
              <w:t>, kur</w:t>
            </w:r>
            <w:r w:rsidR="00153766" w:rsidRPr="002C4A1B">
              <w:rPr>
                <w:rFonts w:ascii="Times New Roman" w:eastAsia="Times New Roman" w:hAnsi="Times New Roman" w:cs="Times New Roman"/>
                <w:sz w:val="24"/>
                <w:szCs w:val="24"/>
                <w:lang w:eastAsia="lv-LV"/>
              </w:rPr>
              <w:t>as</w:t>
            </w:r>
            <w:r w:rsidR="007E2200" w:rsidRPr="002C4A1B">
              <w:rPr>
                <w:rFonts w:ascii="Times New Roman" w:eastAsia="Times New Roman" w:hAnsi="Times New Roman" w:cs="Times New Roman"/>
                <w:sz w:val="24"/>
                <w:szCs w:val="24"/>
                <w:lang w:eastAsia="lv-LV"/>
              </w:rPr>
              <w:t xml:space="preserve"> var sniegt revīzijas pakalpojumus kādai no pašlaik </w:t>
            </w:r>
            <w:r w:rsidR="0013321C" w:rsidRPr="002C4A1B">
              <w:rPr>
                <w:rFonts w:ascii="Times New Roman" w:eastAsia="Times New Roman" w:hAnsi="Times New Roman" w:cs="Times New Roman"/>
                <w:sz w:val="24"/>
                <w:szCs w:val="24"/>
                <w:lang w:eastAsia="lv-LV"/>
              </w:rPr>
              <w:t>21 akciju sabiedrīb</w:t>
            </w:r>
            <w:r w:rsidR="00A507CF" w:rsidRPr="002C4A1B">
              <w:rPr>
                <w:rFonts w:ascii="Times New Roman" w:eastAsia="Times New Roman" w:hAnsi="Times New Roman" w:cs="Times New Roman"/>
                <w:sz w:val="24"/>
                <w:szCs w:val="24"/>
                <w:lang w:eastAsia="lv-LV"/>
              </w:rPr>
              <w:t>ām</w:t>
            </w:r>
            <w:r w:rsidR="0013321C" w:rsidRPr="002C4A1B">
              <w:rPr>
                <w:rFonts w:ascii="Times New Roman" w:eastAsia="Times New Roman" w:hAnsi="Times New Roman" w:cs="Times New Roman"/>
                <w:sz w:val="24"/>
                <w:szCs w:val="24"/>
                <w:lang w:eastAsia="lv-LV"/>
              </w:rPr>
              <w:t>, uz kuru attiecīgās prasības attieksies</w:t>
            </w:r>
            <w:r w:rsidR="00A507CF" w:rsidRPr="002C4A1B">
              <w:rPr>
                <w:rFonts w:ascii="Times New Roman" w:eastAsia="Times New Roman" w:hAnsi="Times New Roman" w:cs="Times New Roman"/>
                <w:sz w:val="24"/>
                <w:szCs w:val="24"/>
                <w:lang w:eastAsia="lv-LV"/>
              </w:rPr>
              <w:t xml:space="preserve">, tātad, </w:t>
            </w:r>
            <w:r w:rsidR="0003429F" w:rsidRPr="002C4A1B">
              <w:rPr>
                <w:rFonts w:ascii="Times New Roman" w:eastAsia="Times New Roman" w:hAnsi="Times New Roman" w:cs="Times New Roman"/>
                <w:sz w:val="24"/>
                <w:szCs w:val="24"/>
                <w:lang w:eastAsia="lv-LV"/>
              </w:rPr>
              <w:t xml:space="preserve">jaunās prasības attieksies uz tiem </w:t>
            </w:r>
            <w:r w:rsidR="00D64B17">
              <w:rPr>
                <w:rFonts w:ascii="Times New Roman" w:eastAsia="Times New Roman" w:hAnsi="Times New Roman" w:cs="Times New Roman"/>
                <w:sz w:val="24"/>
                <w:szCs w:val="24"/>
                <w:lang w:eastAsia="lv-LV"/>
              </w:rPr>
              <w:t xml:space="preserve">zvērinātiem </w:t>
            </w:r>
            <w:r w:rsidR="0003429F" w:rsidRPr="002C4A1B">
              <w:rPr>
                <w:rFonts w:ascii="Times New Roman" w:eastAsia="Times New Roman" w:hAnsi="Times New Roman" w:cs="Times New Roman"/>
                <w:sz w:val="24"/>
                <w:szCs w:val="24"/>
                <w:lang w:eastAsia="lv-LV"/>
              </w:rPr>
              <w:t>revidentiem</w:t>
            </w:r>
            <w:r w:rsidR="00A507CF" w:rsidRPr="002C4A1B">
              <w:rPr>
                <w:rFonts w:ascii="Times New Roman" w:eastAsia="Times New Roman" w:hAnsi="Times New Roman" w:cs="Times New Roman"/>
                <w:sz w:val="24"/>
                <w:szCs w:val="24"/>
                <w:lang w:eastAsia="lv-LV"/>
              </w:rPr>
              <w:t xml:space="preserve">, </w:t>
            </w:r>
            <w:r w:rsidR="0003429F" w:rsidRPr="002C4A1B">
              <w:rPr>
                <w:rFonts w:ascii="Times New Roman" w:eastAsia="Times New Roman" w:hAnsi="Times New Roman" w:cs="Times New Roman"/>
                <w:sz w:val="24"/>
                <w:szCs w:val="24"/>
                <w:lang w:eastAsia="lv-LV"/>
              </w:rPr>
              <w:t xml:space="preserve">kuri tām </w:t>
            </w:r>
            <w:r w:rsidR="00A507CF" w:rsidRPr="002C4A1B">
              <w:rPr>
                <w:rFonts w:ascii="Times New Roman" w:eastAsia="Times New Roman" w:hAnsi="Times New Roman" w:cs="Times New Roman"/>
                <w:sz w:val="24"/>
                <w:szCs w:val="24"/>
                <w:lang w:eastAsia="lv-LV"/>
              </w:rPr>
              <w:t>akciju sabiedrīb</w:t>
            </w:r>
            <w:r w:rsidR="0003429F" w:rsidRPr="002C4A1B">
              <w:rPr>
                <w:rFonts w:ascii="Times New Roman" w:eastAsia="Times New Roman" w:hAnsi="Times New Roman" w:cs="Times New Roman"/>
                <w:sz w:val="24"/>
                <w:szCs w:val="24"/>
                <w:lang w:eastAsia="lv-LV"/>
              </w:rPr>
              <w:t>ām</w:t>
            </w:r>
            <w:r w:rsidR="00A507CF" w:rsidRPr="002C4A1B">
              <w:rPr>
                <w:rFonts w:ascii="Times New Roman" w:eastAsia="Times New Roman" w:hAnsi="Times New Roman" w:cs="Times New Roman"/>
                <w:sz w:val="24"/>
                <w:szCs w:val="24"/>
                <w:lang w:eastAsia="lv-LV"/>
              </w:rPr>
              <w:t xml:space="preserve">, uz kurām tobrīd prasība par atalgojuma ziņojumu sagatavošanu attieksies, </w:t>
            </w:r>
            <w:r w:rsidR="0003429F" w:rsidRPr="002C4A1B">
              <w:rPr>
                <w:rFonts w:ascii="Times New Roman" w:eastAsia="Times New Roman" w:hAnsi="Times New Roman" w:cs="Times New Roman"/>
                <w:sz w:val="24"/>
                <w:szCs w:val="24"/>
                <w:lang w:eastAsia="lv-LV"/>
              </w:rPr>
              <w:t>sniegs savus pakalpojumus</w:t>
            </w:r>
            <w:r w:rsidR="00C329B3" w:rsidRPr="002C4A1B">
              <w:rPr>
                <w:rFonts w:ascii="Times New Roman" w:eastAsia="Times New Roman" w:hAnsi="Times New Roman" w:cs="Times New Roman"/>
                <w:sz w:val="24"/>
                <w:szCs w:val="24"/>
                <w:lang w:eastAsia="lv-LV"/>
              </w:rPr>
              <w:t>.</w:t>
            </w:r>
          </w:p>
          <w:p w14:paraId="12A1A34A" w14:textId="5BF1DFCF" w:rsidR="003661B4" w:rsidRPr="002C4A1B" w:rsidRDefault="00AC5DF8" w:rsidP="002D6AFB">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3661B4" w:rsidRPr="002C4A1B">
              <w:rPr>
                <w:rFonts w:ascii="Times New Roman" w:eastAsia="Times New Roman" w:hAnsi="Times New Roman" w:cs="Times New Roman"/>
                <w:sz w:val="24"/>
                <w:szCs w:val="24"/>
                <w:lang w:eastAsia="lv-LV"/>
              </w:rPr>
              <w:t xml:space="preserve"> – </w:t>
            </w:r>
            <w:r w:rsidR="00964ACC" w:rsidRPr="002C4A1B">
              <w:rPr>
                <w:rFonts w:ascii="Times New Roman" w:eastAsia="Times New Roman" w:hAnsi="Times New Roman" w:cs="Times New Roman"/>
                <w:sz w:val="24"/>
                <w:szCs w:val="24"/>
                <w:lang w:eastAsia="lv-LV"/>
              </w:rPr>
              <w:t xml:space="preserve">paredzēts, ka </w:t>
            </w:r>
            <w:r w:rsidR="003661B4" w:rsidRPr="002C4A1B">
              <w:rPr>
                <w:rFonts w:ascii="Times New Roman" w:eastAsia="Times New Roman" w:hAnsi="Times New Roman" w:cs="Times New Roman"/>
                <w:sz w:val="24"/>
                <w:szCs w:val="24"/>
                <w:lang w:eastAsia="lv-LV"/>
              </w:rPr>
              <w:t xml:space="preserve">jāveic </w:t>
            </w:r>
            <w:r w:rsidR="00964ACC" w:rsidRPr="002C4A1B">
              <w:rPr>
                <w:rFonts w:ascii="Times New Roman" w:eastAsia="Times New Roman" w:hAnsi="Times New Roman" w:cs="Times New Roman"/>
                <w:sz w:val="24"/>
                <w:szCs w:val="24"/>
                <w:lang w:eastAsia="lv-LV"/>
              </w:rPr>
              <w:t xml:space="preserve">uzraudzība, vai tās </w:t>
            </w:r>
            <w:r w:rsidR="003661B4" w:rsidRPr="002C4A1B">
              <w:rPr>
                <w:rFonts w:ascii="Times New Roman" w:eastAsia="Times New Roman" w:hAnsi="Times New Roman" w:cs="Times New Roman"/>
                <w:sz w:val="24"/>
                <w:szCs w:val="24"/>
                <w:lang w:eastAsia="lv-LV"/>
              </w:rPr>
              <w:t>akciju sabiedrības, kur</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 xml:space="preserve"> akcijas </w:t>
            </w:r>
            <w:r w:rsidR="00964ACC" w:rsidRPr="002C4A1B">
              <w:rPr>
                <w:rFonts w:ascii="Times New Roman" w:eastAsia="Times New Roman" w:hAnsi="Times New Roman" w:cs="Times New Roman"/>
                <w:sz w:val="24"/>
                <w:szCs w:val="24"/>
                <w:lang w:eastAsia="lv-LV"/>
              </w:rPr>
              <w:t xml:space="preserve">ir </w:t>
            </w:r>
            <w:r w:rsidR="003661B4" w:rsidRPr="002C4A1B">
              <w:rPr>
                <w:rFonts w:ascii="Times New Roman" w:eastAsia="Times New Roman" w:hAnsi="Times New Roman" w:cs="Times New Roman"/>
                <w:sz w:val="24"/>
                <w:szCs w:val="24"/>
                <w:lang w:eastAsia="lv-LV"/>
              </w:rPr>
              <w:t>iekļautas regulētajā tirgū</w:t>
            </w:r>
            <w:r w:rsidR="00964ACC" w:rsidRPr="002C4A1B">
              <w:rPr>
                <w:rFonts w:ascii="Times New Roman" w:eastAsia="Times New Roman" w:hAnsi="Times New Roman" w:cs="Times New Roman"/>
                <w:sz w:val="24"/>
                <w:szCs w:val="24"/>
                <w:lang w:eastAsia="lv-LV"/>
              </w:rPr>
              <w:t xml:space="preserve"> Latvijā, un kuru juridiskā adrese ir Latvijas Republikā, ir izstrādājušas un likumā paredzētajā kārtībā publiskojušas</w:t>
            </w:r>
            <w:r w:rsidR="003661B4" w:rsidRPr="002C4A1B">
              <w:rPr>
                <w:rFonts w:ascii="Times New Roman" w:eastAsia="Times New Roman" w:hAnsi="Times New Roman" w:cs="Times New Roman"/>
                <w:sz w:val="24"/>
                <w:szCs w:val="24"/>
                <w:lang w:eastAsia="lv-LV"/>
              </w:rPr>
              <w:t xml:space="preserve"> atalgojuma politik</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 xml:space="preserve"> un</w:t>
            </w:r>
            <w:r w:rsidR="00964ACC" w:rsidRPr="002C4A1B">
              <w:rPr>
                <w:rFonts w:ascii="Times New Roman" w:eastAsia="Times New Roman" w:hAnsi="Times New Roman" w:cs="Times New Roman"/>
                <w:sz w:val="24"/>
                <w:szCs w:val="24"/>
                <w:lang w:eastAsia="lv-LV"/>
              </w:rPr>
              <w:t xml:space="preserve"> kopā ar gada pārskatu ir sniegušas</w:t>
            </w:r>
            <w:r w:rsidR="003661B4" w:rsidRPr="002C4A1B">
              <w:rPr>
                <w:rFonts w:ascii="Times New Roman" w:eastAsia="Times New Roman" w:hAnsi="Times New Roman" w:cs="Times New Roman"/>
                <w:sz w:val="24"/>
                <w:szCs w:val="24"/>
                <w:lang w:eastAsia="lv-LV"/>
              </w:rPr>
              <w:t xml:space="preserve"> </w:t>
            </w:r>
            <w:r w:rsidR="00964ACC" w:rsidRPr="002C4A1B">
              <w:rPr>
                <w:rFonts w:ascii="Times New Roman" w:eastAsia="Times New Roman" w:hAnsi="Times New Roman" w:cs="Times New Roman"/>
                <w:sz w:val="24"/>
                <w:szCs w:val="24"/>
                <w:lang w:eastAsia="lv-LV"/>
              </w:rPr>
              <w:t xml:space="preserve">atalgojuma </w:t>
            </w:r>
            <w:r w:rsidR="003661B4" w:rsidRPr="002C4A1B">
              <w:rPr>
                <w:rFonts w:ascii="Times New Roman" w:eastAsia="Times New Roman" w:hAnsi="Times New Roman" w:cs="Times New Roman"/>
                <w:sz w:val="24"/>
                <w:szCs w:val="24"/>
                <w:lang w:eastAsia="lv-LV"/>
              </w:rPr>
              <w:t>ziņojum</w:t>
            </w:r>
            <w:r w:rsidR="00964ACC" w:rsidRPr="002C4A1B">
              <w:rPr>
                <w:rFonts w:ascii="Times New Roman" w:eastAsia="Times New Roman" w:hAnsi="Times New Roman" w:cs="Times New Roman"/>
                <w:sz w:val="24"/>
                <w:szCs w:val="24"/>
                <w:lang w:eastAsia="lv-LV"/>
              </w:rPr>
              <w:t>u</w:t>
            </w:r>
            <w:r w:rsidR="003661B4" w:rsidRPr="002C4A1B">
              <w:rPr>
                <w:rFonts w:ascii="Times New Roman" w:eastAsia="Times New Roman" w:hAnsi="Times New Roman" w:cs="Times New Roman"/>
                <w:sz w:val="24"/>
                <w:szCs w:val="24"/>
                <w:lang w:eastAsia="lv-LV"/>
              </w:rPr>
              <w:t>.</w:t>
            </w:r>
          </w:p>
          <w:p w14:paraId="528C444B" w14:textId="7855D8FD" w:rsidR="0038510C" w:rsidRPr="002C4A1B" w:rsidRDefault="0038510C" w:rsidP="0038510C">
            <w:pPr>
              <w:spacing w:after="0" w:line="240" w:lineRule="auto"/>
              <w:ind w:firstLine="284"/>
              <w:jc w:val="both"/>
              <w:rPr>
                <w:rFonts w:ascii="Times New Roman" w:eastAsia="Times New Roman" w:hAnsi="Times New Roman" w:cs="Times New Roman"/>
                <w:noProof/>
                <w:color w:val="000000" w:themeColor="text1"/>
                <w:sz w:val="24"/>
                <w:szCs w:val="24"/>
              </w:rPr>
            </w:pPr>
            <w:r w:rsidRPr="002C4A1B">
              <w:rPr>
                <w:rFonts w:ascii="Times New Roman" w:eastAsia="Times New Roman" w:hAnsi="Times New Roman" w:cs="Times New Roman"/>
                <w:noProof/>
                <w:color w:val="000000" w:themeColor="text1"/>
                <w:sz w:val="24"/>
                <w:szCs w:val="24"/>
              </w:rPr>
              <w:t>Ieguldījumu brokeru sabiedrībai un kredītiestādei būs pienākums sagatavot un atklāt noteiktu informāciju</w:t>
            </w:r>
            <w:r w:rsidR="00C13D57" w:rsidRPr="002C4A1B">
              <w:rPr>
                <w:rFonts w:ascii="Times New Roman" w:eastAsia="Times New Roman" w:hAnsi="Times New Roman" w:cs="Times New Roman"/>
                <w:noProof/>
                <w:color w:val="000000" w:themeColor="text1"/>
                <w:sz w:val="24"/>
                <w:szCs w:val="24"/>
              </w:rPr>
              <w:t xml:space="preserve"> (iesaistīšanās politiku)</w:t>
            </w:r>
            <w:r w:rsidRPr="002C4A1B">
              <w:rPr>
                <w:rFonts w:ascii="Times New Roman" w:eastAsia="Times New Roman" w:hAnsi="Times New Roman" w:cs="Times New Roman"/>
                <w:noProof/>
                <w:color w:val="000000" w:themeColor="text1"/>
                <w:sz w:val="24"/>
                <w:szCs w:val="24"/>
              </w:rPr>
              <w:t xml:space="preserve"> par ieguldījumiem tādu akciju sabiedrību akcijās, kuru juridiskā adrese ir dalībvalstī un kuru akcijas iekļautas dalībvalsts regulētajā tirgū. </w:t>
            </w:r>
          </w:p>
          <w:p w14:paraId="77C7676F" w14:textId="77777777" w:rsidR="0038510C" w:rsidRPr="002C4A1B" w:rsidRDefault="00AC5DF8" w:rsidP="00AC5DF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38510C" w:rsidRPr="002C4A1B">
              <w:rPr>
                <w:rFonts w:ascii="Times New Roman" w:eastAsia="Times New Roman" w:hAnsi="Times New Roman" w:cs="Times New Roman"/>
                <w:sz w:val="24"/>
                <w:szCs w:val="24"/>
                <w:lang w:eastAsia="lv-LV"/>
              </w:rPr>
              <w:t xml:space="preserve"> kā par likuma prasību izpildi atbildīgajai iestādei būs pienākums uzraudzīt, vai ieguldījumu brokeru sabiedrība un kredītiestāde ievēro šajā projektā noteiktās informācijas atklātības prasības.</w:t>
            </w:r>
          </w:p>
          <w:p w14:paraId="12DBBFF5" w14:textId="4BE4EED1" w:rsidR="000449AC" w:rsidRPr="002C4A1B" w:rsidRDefault="000449AC" w:rsidP="005B483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 arī veiks uzraudzību p</w:t>
            </w:r>
            <w:r w:rsidR="005B4838"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r to, kā ieguldījumu brokeru sabiedrības un kredītiestādes ievēro FITL noteiktās prasības par informācijas apriti par akcionāru identitātes noskaidrošanu un informācijas par akcionāru tiesību izlietošanu </w:t>
            </w:r>
            <w:r w:rsidR="00844014" w:rsidRPr="002C4A1B">
              <w:rPr>
                <w:rFonts w:ascii="Times New Roman" w:eastAsia="Times New Roman" w:hAnsi="Times New Roman" w:cs="Times New Roman"/>
                <w:sz w:val="24"/>
                <w:szCs w:val="24"/>
                <w:lang w:eastAsia="lv-LV"/>
              </w:rPr>
              <w:t xml:space="preserve">tālāk </w:t>
            </w:r>
            <w:r w:rsidRPr="002C4A1B">
              <w:rPr>
                <w:rFonts w:ascii="Times New Roman" w:eastAsia="Times New Roman" w:hAnsi="Times New Roman" w:cs="Times New Roman"/>
                <w:sz w:val="24"/>
                <w:szCs w:val="24"/>
                <w:lang w:eastAsia="lv-LV"/>
              </w:rPr>
              <w:t xml:space="preserve">nodošanu </w:t>
            </w:r>
            <w:r w:rsidR="005B4838" w:rsidRPr="002C4A1B">
              <w:rPr>
                <w:rFonts w:ascii="Times New Roman" w:eastAsia="Times New Roman" w:hAnsi="Times New Roman" w:cs="Times New Roman"/>
                <w:sz w:val="24"/>
                <w:szCs w:val="24"/>
                <w:lang w:eastAsia="lv-LV"/>
              </w:rPr>
              <w:t>normatīvajos</w:t>
            </w:r>
            <w:r w:rsidRPr="002C4A1B">
              <w:rPr>
                <w:rFonts w:ascii="Times New Roman" w:eastAsia="Times New Roman" w:hAnsi="Times New Roman" w:cs="Times New Roman"/>
                <w:sz w:val="24"/>
                <w:szCs w:val="24"/>
                <w:lang w:eastAsia="lv-LV"/>
              </w:rPr>
              <w:t xml:space="preserve"> aktos paredzētajā veidā un termiņos.  </w:t>
            </w:r>
          </w:p>
        </w:tc>
      </w:tr>
      <w:tr w:rsidR="00DA326E" w:rsidRPr="002C4A1B" w14:paraId="5245BA7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39B897D3" w14:textId="65AC35C4" w:rsidR="00D61E0D" w:rsidRPr="002C4A1B" w:rsidRDefault="00C329B3" w:rsidP="00D61E0D">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Administratīvās izmaksas (izmaksas, ko rada informācijas sniegšanas vai uzglabāšanas pienākumi) veidojas no atalgojuma politikas publiskošanas mājaslapā un atalgojuma ziņojuma </w:t>
            </w:r>
            <w:r w:rsidR="001556F7" w:rsidRPr="002C4A1B">
              <w:rPr>
                <w:rFonts w:ascii="Times New Roman" w:eastAsia="Times New Roman" w:hAnsi="Times New Roman" w:cs="Times New Roman"/>
                <w:sz w:val="24"/>
                <w:szCs w:val="24"/>
                <w:lang w:eastAsia="lv-LV"/>
              </w:rPr>
              <w:t xml:space="preserve">sagatavošanas un tā </w:t>
            </w:r>
            <w:r w:rsidRPr="002C4A1B">
              <w:rPr>
                <w:rFonts w:ascii="Times New Roman" w:eastAsia="Times New Roman" w:hAnsi="Times New Roman" w:cs="Times New Roman"/>
                <w:sz w:val="24"/>
                <w:szCs w:val="24"/>
                <w:lang w:eastAsia="lv-LV"/>
              </w:rPr>
              <w:t xml:space="preserve">sniegšanas </w:t>
            </w:r>
            <w:r w:rsidR="001556F7" w:rsidRPr="002C4A1B">
              <w:rPr>
                <w:rFonts w:ascii="Times New Roman" w:eastAsia="Times New Roman" w:hAnsi="Times New Roman" w:cs="Times New Roman"/>
                <w:sz w:val="24"/>
                <w:szCs w:val="24"/>
                <w:lang w:eastAsia="lv-LV"/>
              </w:rPr>
              <w:t>kopā ar gada pārskatu</w:t>
            </w:r>
            <w:r w:rsidRPr="002C4A1B">
              <w:rPr>
                <w:rFonts w:ascii="Times New Roman" w:eastAsia="Times New Roman" w:hAnsi="Times New Roman" w:cs="Times New Roman"/>
                <w:sz w:val="24"/>
                <w:szCs w:val="24"/>
                <w:lang w:eastAsia="lv-LV"/>
              </w:rPr>
              <w:t xml:space="preserve">. </w:t>
            </w:r>
          </w:p>
          <w:p w14:paraId="77B951F0" w14:textId="3AA901DA" w:rsidR="00156AA9" w:rsidRPr="002C4A1B" w:rsidRDefault="00156AA9" w:rsidP="00BA7305">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w:t>
            </w:r>
            <w:r w:rsidR="0074013C" w:rsidRPr="002C4A1B">
              <w:rPr>
                <w:rFonts w:ascii="Times New Roman" w:eastAsia="Times New Roman" w:hAnsi="Times New Roman" w:cs="Times New Roman"/>
                <w:sz w:val="24"/>
                <w:szCs w:val="24"/>
                <w:lang w:eastAsia="lv-LV"/>
              </w:rPr>
              <w:t xml:space="preserve">kciju sabiedrībām, kuru akcijas iekļautas regulētajā tirgū, jau šobrīd ir jābūt savai mājaslapai, </w:t>
            </w:r>
            <w:r w:rsidRPr="002C4A1B">
              <w:rPr>
                <w:rFonts w:ascii="Times New Roman" w:eastAsia="Times New Roman" w:hAnsi="Times New Roman" w:cs="Times New Roman"/>
                <w:sz w:val="24"/>
                <w:szCs w:val="24"/>
                <w:lang w:eastAsia="lv-LV"/>
              </w:rPr>
              <w:t>tāpēc</w:t>
            </w:r>
            <w:r w:rsidR="0074013C" w:rsidRPr="002C4A1B">
              <w:rPr>
                <w:rFonts w:ascii="Times New Roman" w:eastAsia="Times New Roman" w:hAnsi="Times New Roman" w:cs="Times New Roman"/>
                <w:sz w:val="24"/>
                <w:szCs w:val="24"/>
                <w:lang w:eastAsia="lv-LV"/>
              </w:rPr>
              <w:t xml:space="preserve"> </w:t>
            </w:r>
            <w:r w:rsidR="001556F7" w:rsidRPr="002C4A1B">
              <w:rPr>
                <w:rFonts w:ascii="Times New Roman" w:eastAsia="Times New Roman" w:hAnsi="Times New Roman" w:cs="Times New Roman"/>
                <w:sz w:val="24"/>
                <w:szCs w:val="24"/>
                <w:lang w:eastAsia="lv-LV"/>
              </w:rPr>
              <w:t xml:space="preserve">papildu </w:t>
            </w:r>
            <w:r w:rsidR="0074013C" w:rsidRPr="002C4A1B">
              <w:rPr>
                <w:rFonts w:ascii="Times New Roman" w:eastAsia="Times New Roman" w:hAnsi="Times New Roman" w:cs="Times New Roman"/>
                <w:sz w:val="24"/>
                <w:szCs w:val="24"/>
                <w:lang w:eastAsia="lv-LV"/>
              </w:rPr>
              <w:t xml:space="preserve">informācijas ievietošana </w:t>
            </w:r>
            <w:r w:rsidR="001556F7" w:rsidRPr="002C4A1B">
              <w:rPr>
                <w:rFonts w:ascii="Times New Roman" w:eastAsia="Times New Roman" w:hAnsi="Times New Roman" w:cs="Times New Roman"/>
                <w:sz w:val="24"/>
                <w:szCs w:val="24"/>
                <w:lang w:eastAsia="lv-LV"/>
              </w:rPr>
              <w:t xml:space="preserve">jau esošā </w:t>
            </w:r>
            <w:r w:rsidR="0074013C" w:rsidRPr="002C4A1B">
              <w:rPr>
                <w:rFonts w:ascii="Times New Roman" w:eastAsia="Times New Roman" w:hAnsi="Times New Roman" w:cs="Times New Roman"/>
                <w:sz w:val="24"/>
                <w:szCs w:val="24"/>
                <w:lang w:eastAsia="lv-LV"/>
              </w:rPr>
              <w:t>mājaslapā</w:t>
            </w:r>
            <w:r w:rsidR="00D61E0D" w:rsidRPr="002C4A1B">
              <w:rPr>
                <w:rFonts w:ascii="Times New Roman" w:eastAsia="Times New Roman" w:hAnsi="Times New Roman" w:cs="Times New Roman"/>
                <w:sz w:val="24"/>
                <w:szCs w:val="24"/>
                <w:lang w:eastAsia="lv-LV"/>
              </w:rPr>
              <w:t xml:space="preserve"> un šīs informācijas uzturēšana mājaslapā</w:t>
            </w:r>
            <w:r w:rsidR="001556F7" w:rsidRPr="002C4A1B">
              <w:rPr>
                <w:rFonts w:ascii="Times New Roman" w:eastAsia="Times New Roman" w:hAnsi="Times New Roman" w:cs="Times New Roman"/>
                <w:sz w:val="24"/>
                <w:szCs w:val="24"/>
                <w:lang w:eastAsia="lv-LV"/>
              </w:rPr>
              <w:t xml:space="preserve">, kamēr informācija ir aktuāla, </w:t>
            </w:r>
            <w:r w:rsidR="0074013C" w:rsidRPr="002C4A1B">
              <w:rPr>
                <w:rFonts w:ascii="Times New Roman" w:eastAsia="Times New Roman" w:hAnsi="Times New Roman" w:cs="Times New Roman"/>
                <w:sz w:val="24"/>
                <w:szCs w:val="24"/>
                <w:lang w:eastAsia="lv-LV"/>
              </w:rPr>
              <w:t>nerada</w:t>
            </w:r>
            <w:r w:rsidR="00D61E0D"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 xml:space="preserve">būtiskas papildu </w:t>
            </w:r>
            <w:r w:rsidR="0074013C" w:rsidRPr="002C4A1B">
              <w:rPr>
                <w:rFonts w:ascii="Times New Roman" w:eastAsia="Times New Roman" w:hAnsi="Times New Roman" w:cs="Times New Roman"/>
                <w:sz w:val="24"/>
                <w:szCs w:val="24"/>
                <w:lang w:eastAsia="lv-LV"/>
              </w:rPr>
              <w:t>izmaksas</w:t>
            </w:r>
            <w:r w:rsidRPr="002C4A1B">
              <w:rPr>
                <w:rFonts w:ascii="Times New Roman" w:eastAsia="Times New Roman" w:hAnsi="Times New Roman" w:cs="Times New Roman"/>
                <w:sz w:val="24"/>
                <w:szCs w:val="24"/>
                <w:lang w:eastAsia="lv-LV"/>
              </w:rPr>
              <w:t xml:space="preserve">. Savukārt atalgojuma ziņojuma sniegšana </w:t>
            </w:r>
            <w:r w:rsidR="001556F7" w:rsidRPr="002C4A1B">
              <w:rPr>
                <w:rFonts w:ascii="Times New Roman" w:eastAsia="Times New Roman" w:hAnsi="Times New Roman" w:cs="Times New Roman"/>
                <w:sz w:val="24"/>
                <w:szCs w:val="24"/>
                <w:lang w:eastAsia="lv-LV"/>
              </w:rPr>
              <w:t xml:space="preserve">ieguldītājiem </w:t>
            </w:r>
            <w:r w:rsidRPr="002C4A1B">
              <w:rPr>
                <w:rFonts w:ascii="Times New Roman" w:eastAsia="Times New Roman" w:hAnsi="Times New Roman" w:cs="Times New Roman"/>
                <w:sz w:val="24"/>
                <w:szCs w:val="24"/>
                <w:lang w:eastAsia="lv-LV"/>
              </w:rPr>
              <w:t xml:space="preserve">notiek vienlaikus ar gada pārskata </w:t>
            </w:r>
            <w:r w:rsidR="001556F7" w:rsidRPr="002C4A1B">
              <w:rPr>
                <w:rFonts w:ascii="Times New Roman" w:eastAsia="Times New Roman" w:hAnsi="Times New Roman" w:cs="Times New Roman"/>
                <w:sz w:val="24"/>
                <w:szCs w:val="24"/>
                <w:lang w:eastAsia="lv-LV"/>
              </w:rPr>
              <w:t>publicēšanu FITL paredzētajā kārtībā un termiņā</w:t>
            </w:r>
            <w:r w:rsidRPr="002C4A1B">
              <w:rPr>
                <w:rFonts w:ascii="Times New Roman" w:eastAsia="Times New Roman" w:hAnsi="Times New Roman" w:cs="Times New Roman"/>
                <w:sz w:val="24"/>
                <w:szCs w:val="24"/>
                <w:lang w:eastAsia="lv-LV"/>
              </w:rPr>
              <w:t xml:space="preserve">. </w:t>
            </w:r>
            <w:r w:rsidR="00BA7305" w:rsidRPr="002C4A1B">
              <w:rPr>
                <w:rFonts w:ascii="Times New Roman" w:eastAsia="Times New Roman" w:hAnsi="Times New Roman" w:cs="Times New Roman"/>
                <w:sz w:val="24"/>
                <w:szCs w:val="24"/>
                <w:lang w:eastAsia="lv-LV"/>
              </w:rPr>
              <w:t xml:space="preserve">Izmaksas var radīt atalgojuma ziņojuma </w:t>
            </w:r>
            <w:r w:rsidR="002778E8" w:rsidRPr="002C4A1B">
              <w:rPr>
                <w:rFonts w:ascii="Times New Roman" w:eastAsia="Times New Roman" w:hAnsi="Times New Roman" w:cs="Times New Roman"/>
                <w:sz w:val="24"/>
                <w:szCs w:val="24"/>
                <w:lang w:eastAsia="lv-LV"/>
              </w:rPr>
              <w:t xml:space="preserve">kā jauna dokumenta </w:t>
            </w:r>
            <w:r w:rsidR="00BA7305" w:rsidRPr="002C4A1B">
              <w:rPr>
                <w:rFonts w:ascii="Times New Roman" w:eastAsia="Times New Roman" w:hAnsi="Times New Roman" w:cs="Times New Roman"/>
                <w:sz w:val="24"/>
                <w:szCs w:val="24"/>
                <w:lang w:eastAsia="lv-LV"/>
              </w:rPr>
              <w:t>sagatavošana, bet ne tā pievienošana gada pārskatam, jo attiecībā uz emitenta gada pārskata publicēšanu FITL noteiktajā kārtībā papildu izmaksas nerada tas, no kādām sastāvdaļām vai pārskatam pievienojamiem dokumentiem pārskats sastāv</w:t>
            </w:r>
            <w:r w:rsidR="002778E8" w:rsidRPr="002C4A1B">
              <w:rPr>
                <w:rFonts w:ascii="Times New Roman" w:eastAsia="Times New Roman" w:hAnsi="Times New Roman" w:cs="Times New Roman"/>
                <w:sz w:val="24"/>
                <w:szCs w:val="24"/>
                <w:lang w:eastAsia="lv-LV"/>
              </w:rPr>
              <w:t>, kad šis pārskats tiek publicēts</w:t>
            </w:r>
            <w:r w:rsidR="00BA7305"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Līdz ar to prognozējams, ka šīs administratīvās izmaksas</w:t>
            </w:r>
            <w:r w:rsidR="002D6AFB"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mērķgrupai nepārsni</w:t>
            </w:r>
            <w:r w:rsidR="00774408" w:rsidRPr="002C4A1B">
              <w:rPr>
                <w:rFonts w:ascii="Times New Roman" w:eastAsia="Times New Roman" w:hAnsi="Times New Roman" w:cs="Times New Roman"/>
                <w:sz w:val="24"/>
                <w:szCs w:val="24"/>
                <w:lang w:eastAsia="lv-LV"/>
              </w:rPr>
              <w:t>e</w:t>
            </w:r>
            <w:r w:rsidRPr="002C4A1B">
              <w:rPr>
                <w:rFonts w:ascii="Times New Roman" w:eastAsia="Times New Roman" w:hAnsi="Times New Roman" w:cs="Times New Roman"/>
                <w:sz w:val="24"/>
                <w:szCs w:val="24"/>
                <w:lang w:eastAsia="lv-LV"/>
              </w:rPr>
              <w:t>gs 2000</w:t>
            </w:r>
            <w:r w:rsidR="008B27A0">
              <w:rPr>
                <w:rFonts w:ascii="Times New Roman" w:eastAsia="Times New Roman" w:hAnsi="Times New Roman" w:cs="Times New Roman"/>
                <w:sz w:val="24"/>
                <w:szCs w:val="24"/>
                <w:lang w:eastAsia="lv-LV"/>
              </w:rPr>
              <w:t> </w:t>
            </w:r>
            <w:proofErr w:type="spellStart"/>
            <w:r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Pr="00786809">
              <w:rPr>
                <w:rFonts w:ascii="Times New Roman" w:eastAsia="Times New Roman" w:hAnsi="Times New Roman" w:cs="Times New Roman"/>
                <w:i/>
                <w:sz w:val="24"/>
                <w:szCs w:val="24"/>
                <w:lang w:eastAsia="lv-LV"/>
              </w:rPr>
              <w:t>ro</w:t>
            </w:r>
            <w:proofErr w:type="spellEnd"/>
            <w:r w:rsidRPr="002C4A1B">
              <w:rPr>
                <w:rFonts w:ascii="Times New Roman" w:eastAsia="Times New Roman" w:hAnsi="Times New Roman" w:cs="Times New Roman"/>
                <w:sz w:val="24"/>
                <w:szCs w:val="24"/>
                <w:lang w:eastAsia="lv-LV"/>
              </w:rPr>
              <w:t xml:space="preserve"> gada laikā. </w:t>
            </w:r>
          </w:p>
          <w:p w14:paraId="6E062B7C" w14:textId="00B8E543" w:rsidR="00700530" w:rsidRPr="002C4A1B" w:rsidRDefault="00D61E0D" w:rsidP="005E6583">
            <w:pPr>
              <w:spacing w:after="0" w:line="240" w:lineRule="auto"/>
              <w:ind w:firstLine="284"/>
              <w:jc w:val="both"/>
              <w:rPr>
                <w:rFonts w:ascii="Times New Roman" w:eastAsia="Times New Roman" w:hAnsi="Times New Roman" w:cs="Times New Roman"/>
                <w:color w:val="000000"/>
                <w:sz w:val="24"/>
                <w:szCs w:val="24"/>
                <w:lang w:eastAsia="lv-LV"/>
              </w:rPr>
            </w:pPr>
            <w:r w:rsidRPr="002C4A1B">
              <w:rPr>
                <w:rFonts w:ascii="Times New Roman" w:eastAsia="Times New Roman" w:hAnsi="Times New Roman" w:cs="Times New Roman"/>
                <w:sz w:val="24"/>
                <w:szCs w:val="24"/>
                <w:lang w:eastAsia="lv-LV"/>
              </w:rPr>
              <w:t xml:space="preserve">Projekts paredz </w:t>
            </w:r>
            <w:r w:rsidR="00AE272B" w:rsidRPr="002C4A1B">
              <w:rPr>
                <w:rFonts w:ascii="Times New Roman" w:eastAsia="Times New Roman" w:hAnsi="Times New Roman" w:cs="Times New Roman"/>
                <w:sz w:val="24"/>
                <w:szCs w:val="24"/>
                <w:lang w:eastAsia="lv-LV"/>
              </w:rPr>
              <w:t xml:space="preserve">emitentam </w:t>
            </w:r>
            <w:r w:rsidRPr="002C4A1B">
              <w:rPr>
                <w:rFonts w:ascii="Times New Roman" w:eastAsia="Times New Roman" w:hAnsi="Times New Roman" w:cs="Times New Roman"/>
                <w:sz w:val="24"/>
                <w:szCs w:val="24"/>
                <w:lang w:eastAsia="lv-LV"/>
              </w:rPr>
              <w:t xml:space="preserve">sniegt informāciju par </w:t>
            </w:r>
            <w:r w:rsidR="00AE272B" w:rsidRPr="002C4A1B">
              <w:rPr>
                <w:rFonts w:ascii="Times New Roman" w:eastAsia="Times New Roman" w:hAnsi="Times New Roman" w:cs="Times New Roman"/>
                <w:sz w:val="24"/>
                <w:szCs w:val="24"/>
                <w:lang w:eastAsia="lv-LV"/>
              </w:rPr>
              <w:t xml:space="preserve">tā </w:t>
            </w:r>
            <w:r w:rsidRPr="002C4A1B">
              <w:rPr>
                <w:rFonts w:ascii="Times New Roman" w:eastAsia="Times New Roman" w:hAnsi="Times New Roman" w:cs="Times New Roman"/>
                <w:sz w:val="24"/>
                <w:szCs w:val="24"/>
                <w:lang w:eastAsia="lv-LV"/>
              </w:rPr>
              <w:t xml:space="preserve">meitas sabiedrības noslēgtajiem darījumiem ar </w:t>
            </w:r>
            <w:r w:rsidR="00AE272B" w:rsidRPr="002C4A1B">
              <w:rPr>
                <w:rFonts w:ascii="Times New Roman" w:eastAsia="Times New Roman" w:hAnsi="Times New Roman" w:cs="Times New Roman"/>
                <w:sz w:val="24"/>
                <w:szCs w:val="24"/>
                <w:lang w:eastAsia="lv-LV"/>
              </w:rPr>
              <w:t xml:space="preserve">personu, kas uzskatāma par attiecīgās </w:t>
            </w:r>
            <w:r w:rsidRPr="002C4A1B">
              <w:rPr>
                <w:rFonts w:ascii="Times New Roman" w:eastAsia="Times New Roman" w:hAnsi="Times New Roman" w:cs="Times New Roman"/>
                <w:sz w:val="24"/>
                <w:szCs w:val="24"/>
                <w:lang w:eastAsia="lv-LV"/>
              </w:rPr>
              <w:t xml:space="preserve">akciju sabiedrības </w:t>
            </w:r>
            <w:r w:rsidR="00AE272B" w:rsidRPr="002C4A1B">
              <w:rPr>
                <w:rFonts w:ascii="Times New Roman" w:eastAsia="Times New Roman" w:hAnsi="Times New Roman" w:cs="Times New Roman"/>
                <w:sz w:val="24"/>
                <w:szCs w:val="24"/>
                <w:lang w:eastAsia="lv-LV"/>
              </w:rPr>
              <w:t xml:space="preserve">(emitenta) </w:t>
            </w:r>
            <w:r w:rsidRPr="002C4A1B">
              <w:rPr>
                <w:rFonts w:ascii="Times New Roman" w:eastAsia="Times New Roman" w:hAnsi="Times New Roman" w:cs="Times New Roman"/>
                <w:sz w:val="24"/>
                <w:szCs w:val="24"/>
                <w:lang w:eastAsia="lv-LV"/>
              </w:rPr>
              <w:t xml:space="preserve">saistīto pusi. </w:t>
            </w:r>
            <w:r w:rsidR="00156AA9" w:rsidRPr="002C4A1B">
              <w:rPr>
                <w:rFonts w:ascii="Times New Roman" w:eastAsia="Times New Roman" w:hAnsi="Times New Roman" w:cs="Times New Roman"/>
                <w:sz w:val="24"/>
                <w:szCs w:val="24"/>
                <w:lang w:eastAsia="lv-LV"/>
              </w:rPr>
              <w:t>M</w:t>
            </w:r>
            <w:r w:rsidR="00700530" w:rsidRPr="002C4A1B">
              <w:rPr>
                <w:rFonts w:ascii="Times New Roman" w:eastAsia="Times New Roman" w:hAnsi="Times New Roman" w:cs="Times New Roman"/>
                <w:color w:val="000000"/>
                <w:sz w:val="24"/>
                <w:szCs w:val="24"/>
                <w:lang w:eastAsia="lv-LV"/>
              </w:rPr>
              <w:t xml:space="preserve">inētais informācijas sniegšanas pienākums iestājas tikai tad, ja, pirmkārt, </w:t>
            </w:r>
            <w:r w:rsidRPr="002C4A1B">
              <w:rPr>
                <w:rFonts w:ascii="Times New Roman" w:eastAsia="Times New Roman" w:hAnsi="Times New Roman" w:cs="Times New Roman"/>
                <w:color w:val="000000"/>
                <w:sz w:val="24"/>
                <w:szCs w:val="24"/>
                <w:lang w:eastAsia="lv-LV"/>
              </w:rPr>
              <w:t>akciju sabiedrībai vispār ir meitas sabiedrība, otrkārt, meitas sabiedrība</w:t>
            </w:r>
            <w:r w:rsidR="00700530" w:rsidRPr="002C4A1B">
              <w:rPr>
                <w:rFonts w:ascii="Times New Roman" w:eastAsia="Times New Roman" w:hAnsi="Times New Roman" w:cs="Times New Roman"/>
                <w:color w:val="000000"/>
                <w:sz w:val="24"/>
                <w:szCs w:val="24"/>
                <w:lang w:eastAsia="lv-LV"/>
              </w:rPr>
              <w:t xml:space="preserve"> slēdz darījumu ar konkrētu subjektu (</w:t>
            </w:r>
            <w:r w:rsidR="00156AA9" w:rsidRPr="002C4A1B">
              <w:rPr>
                <w:rFonts w:ascii="Times New Roman" w:eastAsia="Times New Roman" w:hAnsi="Times New Roman" w:cs="Times New Roman"/>
                <w:color w:val="000000"/>
                <w:sz w:val="24"/>
                <w:szCs w:val="24"/>
                <w:lang w:eastAsia="lv-LV"/>
              </w:rPr>
              <w:t xml:space="preserve">akciju sabiedrības </w:t>
            </w:r>
            <w:r w:rsidR="00700530" w:rsidRPr="002C4A1B">
              <w:rPr>
                <w:rFonts w:ascii="Times New Roman" w:eastAsia="Times New Roman" w:hAnsi="Times New Roman" w:cs="Times New Roman"/>
                <w:color w:val="000000"/>
                <w:sz w:val="24"/>
                <w:szCs w:val="24"/>
                <w:lang w:eastAsia="lv-LV"/>
              </w:rPr>
              <w:t xml:space="preserve">saistīto personu) un, </w:t>
            </w:r>
            <w:r w:rsidR="00156AA9" w:rsidRPr="002C4A1B">
              <w:rPr>
                <w:rFonts w:ascii="Times New Roman" w:eastAsia="Times New Roman" w:hAnsi="Times New Roman" w:cs="Times New Roman"/>
                <w:color w:val="000000"/>
                <w:sz w:val="24"/>
                <w:szCs w:val="24"/>
                <w:lang w:eastAsia="lv-LV"/>
              </w:rPr>
              <w:t>treškārt</w:t>
            </w:r>
            <w:r w:rsidR="00700530" w:rsidRPr="002C4A1B">
              <w:rPr>
                <w:rFonts w:ascii="Times New Roman" w:eastAsia="Times New Roman" w:hAnsi="Times New Roman" w:cs="Times New Roman"/>
                <w:color w:val="000000"/>
                <w:sz w:val="24"/>
                <w:szCs w:val="24"/>
                <w:lang w:eastAsia="lv-LV"/>
              </w:rPr>
              <w:t>, darījums atbilst noteiktiem kritērijiem</w:t>
            </w:r>
            <w:r w:rsidRPr="002C4A1B">
              <w:rPr>
                <w:rFonts w:ascii="Times New Roman" w:eastAsia="Times New Roman" w:hAnsi="Times New Roman" w:cs="Times New Roman"/>
                <w:color w:val="000000"/>
                <w:sz w:val="24"/>
                <w:szCs w:val="24"/>
                <w:lang w:eastAsia="lv-LV"/>
              </w:rPr>
              <w:t xml:space="preserve"> – darījums vienlaikus ir netipisks</w:t>
            </w:r>
            <w:r w:rsidR="00700530" w:rsidRPr="002C4A1B">
              <w:rPr>
                <w:rFonts w:ascii="Times New Roman" w:eastAsia="Times New Roman" w:hAnsi="Times New Roman" w:cs="Times New Roman"/>
                <w:color w:val="000000"/>
                <w:sz w:val="24"/>
                <w:szCs w:val="24"/>
                <w:lang w:eastAsia="lv-LV"/>
              </w:rPr>
              <w:t xml:space="preserve"> (nav slēgts parasti veicamās komercdarbības ietvaros</w:t>
            </w:r>
            <w:r w:rsidRPr="002C4A1B">
              <w:rPr>
                <w:rFonts w:ascii="Times New Roman" w:eastAsia="Times New Roman" w:hAnsi="Times New Roman" w:cs="Times New Roman"/>
                <w:color w:val="000000"/>
                <w:sz w:val="24"/>
                <w:szCs w:val="24"/>
                <w:lang w:eastAsia="lv-LV"/>
              </w:rPr>
              <w:t xml:space="preserve"> un</w:t>
            </w:r>
            <w:r w:rsidR="00700530" w:rsidRPr="002C4A1B">
              <w:rPr>
                <w:rFonts w:ascii="Times New Roman" w:eastAsia="Times New Roman" w:hAnsi="Times New Roman" w:cs="Times New Roman"/>
                <w:color w:val="000000"/>
                <w:sz w:val="24"/>
                <w:szCs w:val="24"/>
                <w:lang w:eastAsia="lv-LV"/>
              </w:rPr>
              <w:t xml:space="preserve"> nav slēgts uz tirgus nosacījumiem</w:t>
            </w:r>
            <w:r w:rsidRPr="002C4A1B">
              <w:rPr>
                <w:rFonts w:ascii="Times New Roman" w:eastAsia="Times New Roman" w:hAnsi="Times New Roman" w:cs="Times New Roman"/>
                <w:color w:val="000000"/>
                <w:sz w:val="24"/>
                <w:szCs w:val="24"/>
                <w:lang w:eastAsia="lv-LV"/>
              </w:rPr>
              <w:t>)</w:t>
            </w:r>
            <w:r w:rsidR="00700530" w:rsidRPr="002C4A1B">
              <w:rPr>
                <w:rFonts w:ascii="Times New Roman" w:eastAsia="Times New Roman" w:hAnsi="Times New Roman" w:cs="Times New Roman"/>
                <w:color w:val="000000"/>
                <w:sz w:val="24"/>
                <w:szCs w:val="24"/>
                <w:lang w:eastAsia="lv-LV"/>
              </w:rPr>
              <w:t xml:space="preserve"> vai ir nozīmīga apjoma darījums</w:t>
            </w:r>
            <w:r w:rsidR="00156AA9" w:rsidRPr="002C4A1B">
              <w:rPr>
                <w:rFonts w:ascii="Times New Roman" w:eastAsia="Times New Roman" w:hAnsi="Times New Roman" w:cs="Times New Roman"/>
                <w:color w:val="000000"/>
                <w:sz w:val="24"/>
                <w:szCs w:val="24"/>
                <w:lang w:eastAsia="lv-LV"/>
              </w:rPr>
              <w:t xml:space="preserve">. Līdz ar to nav iespējams precīzi noteikt, cik liela ir mērķgrupa un cik regulāri šāda informācija būtu sagatavojama, tomēr </w:t>
            </w:r>
            <w:proofErr w:type="spellStart"/>
            <w:r w:rsidR="00700530" w:rsidRPr="002C4A1B">
              <w:rPr>
                <w:rFonts w:ascii="Times New Roman" w:eastAsia="Times New Roman" w:hAnsi="Times New Roman" w:cs="Times New Roman"/>
                <w:color w:val="000000"/>
                <w:sz w:val="24"/>
                <w:szCs w:val="24"/>
                <w:lang w:eastAsia="lv-LV"/>
              </w:rPr>
              <w:t>prezumējams</w:t>
            </w:r>
            <w:proofErr w:type="spellEnd"/>
            <w:r w:rsidR="00700530" w:rsidRPr="002C4A1B">
              <w:rPr>
                <w:rFonts w:ascii="Times New Roman" w:eastAsia="Times New Roman" w:hAnsi="Times New Roman" w:cs="Times New Roman"/>
                <w:color w:val="000000"/>
                <w:sz w:val="24"/>
                <w:szCs w:val="24"/>
                <w:lang w:eastAsia="lv-LV"/>
              </w:rPr>
              <w:t xml:space="preserve">, ka šādi darījumi </w:t>
            </w:r>
            <w:r w:rsidRPr="002C4A1B">
              <w:rPr>
                <w:rFonts w:ascii="Times New Roman" w:eastAsia="Times New Roman" w:hAnsi="Times New Roman" w:cs="Times New Roman"/>
                <w:color w:val="000000"/>
                <w:sz w:val="24"/>
                <w:szCs w:val="24"/>
                <w:lang w:eastAsia="lv-LV"/>
              </w:rPr>
              <w:t>tiek</w:t>
            </w:r>
            <w:r w:rsidR="00700530" w:rsidRPr="002C4A1B">
              <w:rPr>
                <w:rFonts w:ascii="Times New Roman" w:eastAsia="Times New Roman" w:hAnsi="Times New Roman" w:cs="Times New Roman"/>
                <w:color w:val="000000"/>
                <w:sz w:val="24"/>
                <w:szCs w:val="24"/>
                <w:lang w:eastAsia="lv-LV"/>
              </w:rPr>
              <w:t xml:space="preserve"> slēgti </w:t>
            </w:r>
            <w:r w:rsidRPr="002C4A1B">
              <w:rPr>
                <w:rFonts w:ascii="Times New Roman" w:eastAsia="Times New Roman" w:hAnsi="Times New Roman" w:cs="Times New Roman"/>
                <w:color w:val="000000"/>
                <w:sz w:val="24"/>
                <w:szCs w:val="24"/>
                <w:lang w:eastAsia="lv-LV"/>
              </w:rPr>
              <w:t>reti</w:t>
            </w:r>
            <w:r w:rsidR="00700530" w:rsidRPr="002C4A1B">
              <w:rPr>
                <w:rFonts w:ascii="Times New Roman" w:eastAsia="Times New Roman" w:hAnsi="Times New Roman" w:cs="Times New Roman"/>
                <w:color w:val="000000"/>
                <w:sz w:val="24"/>
                <w:szCs w:val="24"/>
                <w:lang w:eastAsia="lv-LV"/>
              </w:rPr>
              <w:t xml:space="preserve"> un ka šādus darījumus neslēdz visas </w:t>
            </w:r>
            <w:r w:rsidRPr="002C4A1B">
              <w:rPr>
                <w:rFonts w:ascii="Times New Roman" w:eastAsia="Times New Roman" w:hAnsi="Times New Roman" w:cs="Times New Roman"/>
                <w:color w:val="000000"/>
                <w:sz w:val="24"/>
                <w:szCs w:val="24"/>
                <w:lang w:eastAsia="lv-LV"/>
              </w:rPr>
              <w:t>akciju sabiedrību meitas sabiedrības</w:t>
            </w:r>
            <w:r w:rsidR="00700530" w:rsidRPr="002C4A1B">
              <w:rPr>
                <w:rFonts w:ascii="Times New Roman" w:eastAsia="Times New Roman" w:hAnsi="Times New Roman" w:cs="Times New Roman"/>
                <w:color w:val="000000"/>
                <w:sz w:val="24"/>
                <w:szCs w:val="24"/>
                <w:lang w:eastAsia="lv-LV"/>
              </w:rPr>
              <w:t>.</w:t>
            </w:r>
            <w:r w:rsidR="00156AA9" w:rsidRPr="002C4A1B">
              <w:rPr>
                <w:rFonts w:ascii="Times New Roman" w:eastAsia="Times New Roman" w:hAnsi="Times New Roman" w:cs="Times New Roman"/>
                <w:color w:val="000000"/>
                <w:sz w:val="24"/>
                <w:szCs w:val="24"/>
                <w:lang w:eastAsia="lv-LV"/>
              </w:rPr>
              <w:t xml:space="preserve"> Tādējādi prognozējams, ka šīs administratīvās izmaksas mērķgrupai nepārsniedz 2000</w:t>
            </w:r>
            <w:r w:rsidR="008B27A0">
              <w:rPr>
                <w:rFonts w:ascii="Times New Roman" w:eastAsia="Times New Roman" w:hAnsi="Times New Roman" w:cs="Times New Roman"/>
                <w:color w:val="000000"/>
                <w:sz w:val="24"/>
                <w:szCs w:val="24"/>
                <w:lang w:eastAsia="lv-LV"/>
              </w:rPr>
              <w:t> </w:t>
            </w:r>
            <w:proofErr w:type="spellStart"/>
            <w:r w:rsidR="00165C6A" w:rsidRPr="00786809">
              <w:rPr>
                <w:rFonts w:ascii="Times New Roman" w:eastAsia="Times New Roman" w:hAnsi="Times New Roman" w:cs="Times New Roman"/>
                <w:i/>
                <w:color w:val="000000"/>
                <w:sz w:val="24"/>
                <w:szCs w:val="24"/>
                <w:lang w:eastAsia="lv-LV"/>
              </w:rPr>
              <w:t>e</w:t>
            </w:r>
            <w:r w:rsidR="00050485" w:rsidRPr="00786809">
              <w:rPr>
                <w:rFonts w:ascii="Times New Roman" w:eastAsia="Times New Roman" w:hAnsi="Times New Roman" w:cs="Times New Roman"/>
                <w:i/>
                <w:color w:val="000000"/>
                <w:sz w:val="24"/>
                <w:szCs w:val="24"/>
                <w:lang w:eastAsia="lv-LV"/>
              </w:rPr>
              <w:t>u</w:t>
            </w:r>
            <w:r w:rsidR="00165C6A" w:rsidRPr="00786809">
              <w:rPr>
                <w:rFonts w:ascii="Times New Roman" w:eastAsia="Times New Roman" w:hAnsi="Times New Roman" w:cs="Times New Roman"/>
                <w:i/>
                <w:color w:val="000000"/>
                <w:sz w:val="24"/>
                <w:szCs w:val="24"/>
                <w:lang w:eastAsia="lv-LV"/>
              </w:rPr>
              <w:t>ro</w:t>
            </w:r>
            <w:proofErr w:type="spellEnd"/>
            <w:r w:rsidR="00156AA9" w:rsidRPr="002C4A1B">
              <w:rPr>
                <w:rFonts w:ascii="Times New Roman" w:eastAsia="Times New Roman" w:hAnsi="Times New Roman" w:cs="Times New Roman"/>
                <w:color w:val="000000"/>
                <w:sz w:val="24"/>
                <w:szCs w:val="24"/>
                <w:lang w:eastAsia="lv-LV"/>
              </w:rPr>
              <w:t xml:space="preserve"> gada laikā.</w:t>
            </w:r>
          </w:p>
          <w:p w14:paraId="5D564945" w14:textId="503FDF61" w:rsidR="00794B68" w:rsidRPr="002C4A1B" w:rsidRDefault="00F13BF3" w:rsidP="0035659A">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Administratīvās izmaksas veidojas arī iesaistīšanās politikas un ziņojuma par iesaistīšanās politikas izpildi publiskošanas </w:t>
            </w:r>
            <w:r w:rsidR="000E0746" w:rsidRPr="002C4A1B">
              <w:rPr>
                <w:rFonts w:ascii="Times New Roman" w:eastAsia="Times New Roman" w:hAnsi="Times New Roman" w:cs="Times New Roman"/>
                <w:color w:val="000000" w:themeColor="text1"/>
                <w:sz w:val="24"/>
                <w:szCs w:val="24"/>
                <w:lang w:eastAsia="lv-LV"/>
              </w:rPr>
              <w:t xml:space="preserve">ieguldījumu brokeru sabiedrības un kredītiestādes </w:t>
            </w:r>
            <w:r w:rsidRPr="002C4A1B">
              <w:rPr>
                <w:rFonts w:ascii="Times New Roman" w:eastAsia="Times New Roman" w:hAnsi="Times New Roman" w:cs="Times New Roman"/>
                <w:color w:val="000000" w:themeColor="text1"/>
                <w:sz w:val="24"/>
                <w:szCs w:val="24"/>
                <w:lang w:eastAsia="lv-LV"/>
              </w:rPr>
              <w:t>mājaslapā. Ieguldījumu brokeru sabiedrībām un kredītiestādēm jau šobrīd ir jābūt savām mājaslapām. Papildu informācijas ievietošana mājaslapā nerada būtiskas papildu izmaksas</w:t>
            </w:r>
            <w:r w:rsidR="00934C87" w:rsidRPr="002C4A1B">
              <w:rPr>
                <w:rFonts w:ascii="Times New Roman" w:eastAsia="Times New Roman" w:hAnsi="Times New Roman" w:cs="Times New Roman"/>
                <w:color w:val="000000" w:themeColor="text1"/>
                <w:sz w:val="24"/>
                <w:szCs w:val="24"/>
                <w:lang w:eastAsia="lv-LV"/>
              </w:rPr>
              <w:t xml:space="preserve">. Vienlaikus secināms, ka tirgus dalībniekam </w:t>
            </w:r>
            <w:r w:rsidR="006C4B37" w:rsidRPr="002C4A1B">
              <w:rPr>
                <w:rFonts w:ascii="Times New Roman" w:eastAsia="Times New Roman" w:hAnsi="Times New Roman" w:cs="Times New Roman"/>
                <w:color w:val="000000" w:themeColor="text1"/>
                <w:sz w:val="24"/>
                <w:szCs w:val="24"/>
                <w:lang w:eastAsia="lv-LV"/>
              </w:rPr>
              <w:t xml:space="preserve">papildu resursus </w:t>
            </w:r>
            <w:r w:rsidR="00880BC2" w:rsidRPr="002C4A1B">
              <w:rPr>
                <w:rFonts w:ascii="Times New Roman" w:eastAsia="Times New Roman" w:hAnsi="Times New Roman" w:cs="Times New Roman"/>
                <w:color w:val="000000" w:themeColor="text1"/>
                <w:sz w:val="24"/>
                <w:szCs w:val="24"/>
                <w:lang w:eastAsia="lv-LV"/>
              </w:rPr>
              <w:t>prasīs sekošana līdzi tam</w:t>
            </w:r>
            <w:r w:rsidR="006C4B37" w:rsidRPr="002C4A1B">
              <w:rPr>
                <w:rFonts w:ascii="Times New Roman" w:eastAsia="Times New Roman" w:hAnsi="Times New Roman" w:cs="Times New Roman"/>
                <w:color w:val="000000" w:themeColor="text1"/>
                <w:sz w:val="24"/>
                <w:szCs w:val="24"/>
                <w:lang w:eastAsia="lv-LV"/>
              </w:rPr>
              <w:t xml:space="preserve">, ka </w:t>
            </w:r>
            <w:r w:rsidR="000E0746" w:rsidRPr="002C4A1B">
              <w:rPr>
                <w:rFonts w:ascii="Times New Roman" w:eastAsia="Times New Roman" w:hAnsi="Times New Roman" w:cs="Times New Roman"/>
                <w:color w:val="000000" w:themeColor="text1"/>
                <w:sz w:val="24"/>
                <w:szCs w:val="24"/>
                <w:lang w:eastAsia="lv-LV"/>
              </w:rPr>
              <w:t>mājaslapā ir aktualizēts dokuments.</w:t>
            </w:r>
            <w:r w:rsidRPr="002C4A1B">
              <w:rPr>
                <w:rFonts w:ascii="Times New Roman" w:eastAsia="Times New Roman" w:hAnsi="Times New Roman" w:cs="Times New Roman"/>
                <w:color w:val="000000" w:themeColor="text1"/>
                <w:sz w:val="24"/>
                <w:szCs w:val="24"/>
                <w:lang w:eastAsia="lv-LV"/>
              </w:rPr>
              <w:t xml:space="preserve"> Prognozējams, ka administratīvās izmaksas mērķgrupai nepārsniegs 2000</w:t>
            </w:r>
            <w:r w:rsidR="008B27A0">
              <w:rPr>
                <w:rFonts w:ascii="Times New Roman" w:eastAsia="Times New Roman" w:hAnsi="Times New Roman" w:cs="Times New Roman"/>
                <w:color w:val="000000" w:themeColor="text1"/>
                <w:sz w:val="24"/>
                <w:szCs w:val="24"/>
                <w:lang w:eastAsia="lv-LV"/>
              </w:rPr>
              <w:t> </w:t>
            </w:r>
            <w:proofErr w:type="spellStart"/>
            <w:r w:rsidR="00165C6A"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165C6A" w:rsidRPr="00786809">
              <w:rPr>
                <w:rFonts w:ascii="Times New Roman" w:eastAsia="Times New Roman" w:hAnsi="Times New Roman" w:cs="Times New Roman"/>
                <w:i/>
                <w:color w:val="000000" w:themeColor="text1"/>
                <w:sz w:val="24"/>
                <w:szCs w:val="24"/>
                <w:lang w:eastAsia="lv-LV"/>
              </w:rPr>
              <w:t>ro</w:t>
            </w:r>
            <w:proofErr w:type="spellEnd"/>
            <w:r w:rsidRPr="002C4A1B">
              <w:rPr>
                <w:rFonts w:ascii="Times New Roman" w:eastAsia="Times New Roman" w:hAnsi="Times New Roman" w:cs="Times New Roman"/>
                <w:color w:val="000000" w:themeColor="text1"/>
                <w:sz w:val="24"/>
                <w:szCs w:val="24"/>
                <w:lang w:eastAsia="lv-LV"/>
              </w:rPr>
              <w:t xml:space="preserve"> gadā.</w:t>
            </w:r>
          </w:p>
        </w:tc>
      </w:tr>
      <w:tr w:rsidR="00DA326E" w:rsidRPr="002C4A1B"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4B319FD8" w:rsidR="00A1552F"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4AB2232B" w14:textId="66A52120" w:rsidR="006879C0" w:rsidRPr="002C4A1B" w:rsidRDefault="001A3A5D" w:rsidP="00A42F06">
            <w:pPr>
              <w:spacing w:after="0" w:line="240" w:lineRule="auto"/>
              <w:ind w:firstLine="284"/>
              <w:jc w:val="both"/>
              <w:rPr>
                <w:rFonts w:ascii="Times New Roman" w:eastAsia="Times New Roman" w:hAnsi="Times New Roman" w:cs="Times New Roman"/>
                <w:b/>
                <w:sz w:val="24"/>
                <w:szCs w:val="24"/>
                <w:lang w:eastAsia="lv-LV"/>
              </w:rPr>
            </w:pPr>
            <w:r w:rsidRPr="002C4A1B">
              <w:rPr>
                <w:rFonts w:ascii="Times New Roman" w:eastAsia="Times New Roman" w:hAnsi="Times New Roman" w:cs="Times New Roman"/>
                <w:b/>
                <w:sz w:val="24"/>
                <w:szCs w:val="24"/>
                <w:lang w:eastAsia="lv-LV"/>
              </w:rPr>
              <w:t>Atalgojuma politikas un ziņojuma izstrāde</w:t>
            </w:r>
          </w:p>
          <w:p w14:paraId="3837F402" w14:textId="3D69743E" w:rsidR="00E83201" w:rsidRPr="002C4A1B" w:rsidRDefault="00522039" w:rsidP="00A42F06">
            <w:pPr>
              <w:spacing w:after="0" w:line="240" w:lineRule="auto"/>
              <w:ind w:firstLine="284"/>
              <w:jc w:val="both"/>
              <w:rPr>
                <w:rFonts w:ascii="Times New Roman" w:hAnsi="Times New Roman" w:cs="Times New Roman"/>
                <w:sz w:val="24"/>
                <w:szCs w:val="24"/>
              </w:rPr>
            </w:pPr>
            <w:r w:rsidRPr="002C4A1B">
              <w:rPr>
                <w:rFonts w:ascii="Times New Roman" w:eastAsia="Times New Roman" w:hAnsi="Times New Roman" w:cs="Times New Roman"/>
                <w:sz w:val="24"/>
                <w:szCs w:val="24"/>
                <w:lang w:eastAsia="lv-LV"/>
              </w:rPr>
              <w:lastRenderedPageBreak/>
              <w:t>Atalgojuma politiku n</w:t>
            </w:r>
            <w:r w:rsidR="00E83201" w:rsidRPr="002C4A1B">
              <w:rPr>
                <w:rFonts w:ascii="Times New Roman" w:eastAsia="Times New Roman" w:hAnsi="Times New Roman" w:cs="Times New Roman"/>
                <w:sz w:val="24"/>
                <w:szCs w:val="24"/>
                <w:lang w:eastAsia="lv-LV"/>
              </w:rPr>
              <w:t xml:space="preserve">av pienākums radīt no jauna, bet ir pietiekoši aprakstīt esošo praksi atbilstoši </w:t>
            </w:r>
            <w:r w:rsidR="00EB4318" w:rsidRPr="002C4A1B">
              <w:rPr>
                <w:rFonts w:ascii="Times New Roman" w:eastAsia="Times New Roman" w:hAnsi="Times New Roman" w:cs="Times New Roman"/>
                <w:sz w:val="24"/>
                <w:szCs w:val="24"/>
                <w:lang w:eastAsia="lv-LV"/>
              </w:rPr>
              <w:t>p</w:t>
            </w:r>
            <w:r w:rsidR="00E83201" w:rsidRPr="002C4A1B">
              <w:rPr>
                <w:rFonts w:ascii="Times New Roman" w:eastAsia="Times New Roman" w:hAnsi="Times New Roman" w:cs="Times New Roman"/>
                <w:sz w:val="24"/>
                <w:szCs w:val="24"/>
                <w:lang w:eastAsia="lv-LV"/>
              </w:rPr>
              <w:t xml:space="preserve">rojektā paredzētajiem kritērijiem. Proti, tā vairāk ir </w:t>
            </w:r>
            <w:r w:rsidR="002D6AFB" w:rsidRPr="002C4A1B">
              <w:rPr>
                <w:rFonts w:ascii="Times New Roman" w:eastAsia="Times New Roman" w:hAnsi="Times New Roman" w:cs="Times New Roman"/>
                <w:sz w:val="24"/>
                <w:szCs w:val="24"/>
                <w:lang w:eastAsia="lv-LV"/>
              </w:rPr>
              <w:t xml:space="preserve">jauna dokumenta izstrāde - </w:t>
            </w:r>
            <w:r w:rsidR="00E83201" w:rsidRPr="002C4A1B">
              <w:rPr>
                <w:rFonts w:ascii="Times New Roman" w:eastAsia="Times New Roman" w:hAnsi="Times New Roman" w:cs="Times New Roman"/>
                <w:sz w:val="24"/>
                <w:szCs w:val="24"/>
                <w:lang w:eastAsia="lv-LV"/>
              </w:rPr>
              <w:t xml:space="preserve">jau esošas informācijas apkopošana un strukturēšana, nevis jaunas informācijas </w:t>
            </w:r>
            <w:r w:rsidR="00101ED0" w:rsidRPr="002C4A1B">
              <w:rPr>
                <w:rFonts w:ascii="Times New Roman" w:eastAsia="Times New Roman" w:hAnsi="Times New Roman" w:cs="Times New Roman"/>
                <w:sz w:val="24"/>
                <w:szCs w:val="24"/>
                <w:lang w:eastAsia="lv-LV"/>
              </w:rPr>
              <w:t xml:space="preserve">un jaunas līdz tam nebijušas kārtības </w:t>
            </w:r>
            <w:r w:rsidR="00E83201" w:rsidRPr="002C4A1B">
              <w:rPr>
                <w:rFonts w:ascii="Times New Roman" w:eastAsia="Times New Roman" w:hAnsi="Times New Roman" w:cs="Times New Roman"/>
                <w:sz w:val="24"/>
                <w:szCs w:val="24"/>
                <w:lang w:eastAsia="lv-LV"/>
              </w:rPr>
              <w:t xml:space="preserve">radīšana. </w:t>
            </w:r>
            <w:r w:rsidR="00101ED0" w:rsidRPr="002C4A1B">
              <w:rPr>
                <w:rFonts w:ascii="Times New Roman" w:eastAsia="Times New Roman" w:hAnsi="Times New Roman" w:cs="Times New Roman"/>
                <w:sz w:val="24"/>
                <w:szCs w:val="24"/>
                <w:lang w:eastAsia="lv-LV"/>
              </w:rPr>
              <w:t>Tomēr p</w:t>
            </w:r>
            <w:r w:rsidR="00E83201" w:rsidRPr="002C4A1B">
              <w:rPr>
                <w:rFonts w:ascii="Times New Roman" w:eastAsia="Times New Roman" w:hAnsi="Times New Roman" w:cs="Times New Roman"/>
                <w:sz w:val="24"/>
                <w:szCs w:val="24"/>
                <w:lang w:eastAsia="lv-LV"/>
              </w:rPr>
              <w:t xml:space="preserve">rojekts veicinās akciju sabiedrībām domāt par komersanta </w:t>
            </w:r>
            <w:r w:rsidR="00101ED0" w:rsidRPr="002C4A1B">
              <w:rPr>
                <w:rFonts w:ascii="Times New Roman" w:eastAsia="Times New Roman" w:hAnsi="Times New Roman" w:cs="Times New Roman"/>
                <w:sz w:val="24"/>
                <w:szCs w:val="24"/>
                <w:lang w:eastAsia="lv-LV"/>
              </w:rPr>
              <w:t xml:space="preserve">un visu akcionāru, </w:t>
            </w:r>
            <w:r w:rsidR="0035659A" w:rsidRPr="002C4A1B">
              <w:rPr>
                <w:rFonts w:ascii="Times New Roman" w:eastAsia="Times New Roman" w:hAnsi="Times New Roman" w:cs="Times New Roman"/>
                <w:sz w:val="24"/>
                <w:szCs w:val="24"/>
                <w:lang w:eastAsia="lv-LV"/>
              </w:rPr>
              <w:t>t.</w:t>
            </w:r>
            <w:r w:rsidR="004E2AA7">
              <w:rPr>
                <w:rFonts w:ascii="Times New Roman" w:eastAsia="Times New Roman" w:hAnsi="Times New Roman" w:cs="Times New Roman"/>
                <w:sz w:val="24"/>
                <w:szCs w:val="24"/>
                <w:lang w:eastAsia="lv-LV"/>
              </w:rPr>
              <w:t> </w:t>
            </w:r>
            <w:r w:rsidR="0035659A" w:rsidRPr="002C4A1B">
              <w:rPr>
                <w:rFonts w:ascii="Times New Roman" w:eastAsia="Times New Roman" w:hAnsi="Times New Roman" w:cs="Times New Roman"/>
                <w:sz w:val="24"/>
                <w:szCs w:val="24"/>
                <w:lang w:eastAsia="lv-LV"/>
              </w:rPr>
              <w:t xml:space="preserve">sk. </w:t>
            </w:r>
            <w:r w:rsidR="00101ED0" w:rsidRPr="002C4A1B">
              <w:rPr>
                <w:rFonts w:ascii="Times New Roman" w:eastAsia="Times New Roman" w:hAnsi="Times New Roman" w:cs="Times New Roman"/>
                <w:sz w:val="24"/>
                <w:szCs w:val="24"/>
                <w:lang w:eastAsia="lv-LV"/>
              </w:rPr>
              <w:t xml:space="preserve">arī mazākuma akcionāru </w:t>
            </w:r>
            <w:r w:rsidR="00E83201" w:rsidRPr="002C4A1B">
              <w:rPr>
                <w:rFonts w:ascii="Times New Roman" w:eastAsia="Times New Roman" w:hAnsi="Times New Roman" w:cs="Times New Roman"/>
                <w:sz w:val="24"/>
                <w:szCs w:val="24"/>
                <w:lang w:eastAsia="lv-LV"/>
              </w:rPr>
              <w:t>interesēm atbilstošu atalgojuma politiku un</w:t>
            </w:r>
            <w:r w:rsidR="00EC2332" w:rsidRPr="002C4A1B">
              <w:rPr>
                <w:rFonts w:ascii="Times New Roman" w:eastAsia="Times New Roman" w:hAnsi="Times New Roman" w:cs="Times New Roman"/>
                <w:sz w:val="24"/>
                <w:szCs w:val="24"/>
                <w:lang w:eastAsia="lv-LV"/>
              </w:rPr>
              <w:t>,</w:t>
            </w:r>
            <w:r w:rsidR="00E83201" w:rsidRPr="002C4A1B">
              <w:rPr>
                <w:rFonts w:ascii="Times New Roman" w:eastAsia="Times New Roman" w:hAnsi="Times New Roman" w:cs="Times New Roman"/>
                <w:sz w:val="24"/>
                <w:szCs w:val="24"/>
                <w:lang w:eastAsia="lv-LV"/>
              </w:rPr>
              <w:t xml:space="preserve"> iespējams</w:t>
            </w:r>
            <w:r w:rsidR="00EC2332" w:rsidRPr="002C4A1B">
              <w:rPr>
                <w:rFonts w:ascii="Times New Roman" w:eastAsia="Times New Roman" w:hAnsi="Times New Roman" w:cs="Times New Roman"/>
                <w:sz w:val="24"/>
                <w:szCs w:val="24"/>
                <w:lang w:eastAsia="lv-LV"/>
              </w:rPr>
              <w:t>,</w:t>
            </w:r>
            <w:r w:rsidR="00E83201" w:rsidRPr="002C4A1B">
              <w:rPr>
                <w:rFonts w:ascii="Times New Roman" w:eastAsia="Times New Roman" w:hAnsi="Times New Roman" w:cs="Times New Roman"/>
                <w:sz w:val="24"/>
                <w:szCs w:val="24"/>
                <w:lang w:eastAsia="lv-LV"/>
              </w:rPr>
              <w:t xml:space="preserve"> veicinās pārskatīt esošo praksi, tomēr šāds pienākums tieši neizriet no </w:t>
            </w:r>
            <w:r w:rsidR="00EB4318" w:rsidRPr="002C4A1B">
              <w:rPr>
                <w:rFonts w:ascii="Times New Roman" w:eastAsia="Times New Roman" w:hAnsi="Times New Roman" w:cs="Times New Roman"/>
                <w:sz w:val="24"/>
                <w:szCs w:val="24"/>
                <w:lang w:eastAsia="lv-LV"/>
              </w:rPr>
              <w:t>p</w:t>
            </w:r>
            <w:r w:rsidR="00E83201" w:rsidRPr="002C4A1B">
              <w:rPr>
                <w:rFonts w:ascii="Times New Roman" w:eastAsia="Times New Roman" w:hAnsi="Times New Roman" w:cs="Times New Roman"/>
                <w:sz w:val="24"/>
                <w:szCs w:val="24"/>
                <w:lang w:eastAsia="lv-LV"/>
              </w:rPr>
              <w:t>rojekta. Projekta minimālais mērķis ir radī</w:t>
            </w:r>
            <w:r w:rsidRPr="002C4A1B">
              <w:rPr>
                <w:rFonts w:ascii="Times New Roman" w:eastAsia="Times New Roman" w:hAnsi="Times New Roman" w:cs="Times New Roman"/>
                <w:sz w:val="24"/>
                <w:szCs w:val="24"/>
                <w:lang w:eastAsia="lv-LV"/>
              </w:rPr>
              <w:t>t</w:t>
            </w:r>
            <w:r w:rsidR="00E83201" w:rsidRPr="002C4A1B">
              <w:rPr>
                <w:rFonts w:ascii="Times New Roman" w:eastAsia="Times New Roman" w:hAnsi="Times New Roman" w:cs="Times New Roman"/>
                <w:sz w:val="24"/>
                <w:szCs w:val="24"/>
                <w:lang w:eastAsia="lv-LV"/>
              </w:rPr>
              <w:t xml:space="preserve"> caurspīdīgu, atklātu un </w:t>
            </w:r>
            <w:r w:rsidR="00C85166" w:rsidRPr="002C4A1B">
              <w:rPr>
                <w:rFonts w:ascii="Times New Roman" w:eastAsia="Times New Roman" w:hAnsi="Times New Roman" w:cs="Times New Roman"/>
                <w:sz w:val="24"/>
                <w:szCs w:val="24"/>
                <w:lang w:eastAsia="lv-LV"/>
              </w:rPr>
              <w:t xml:space="preserve">uz </w:t>
            </w:r>
            <w:r w:rsidR="00E83201" w:rsidRPr="002C4A1B">
              <w:rPr>
                <w:rFonts w:ascii="Times New Roman" w:eastAsia="Times New Roman" w:hAnsi="Times New Roman" w:cs="Times New Roman"/>
                <w:sz w:val="24"/>
                <w:szCs w:val="24"/>
                <w:lang w:eastAsia="lv-LV"/>
              </w:rPr>
              <w:t>atbildīb</w:t>
            </w:r>
            <w:r w:rsidR="00C85166" w:rsidRPr="002C4A1B">
              <w:rPr>
                <w:rFonts w:ascii="Times New Roman" w:eastAsia="Times New Roman" w:hAnsi="Times New Roman" w:cs="Times New Roman"/>
                <w:sz w:val="24"/>
                <w:szCs w:val="24"/>
                <w:lang w:eastAsia="lv-LV"/>
              </w:rPr>
              <w:t>as</w:t>
            </w:r>
            <w:r w:rsidR="00E83201" w:rsidRPr="002C4A1B">
              <w:rPr>
                <w:rFonts w:ascii="Times New Roman" w:eastAsia="Times New Roman" w:hAnsi="Times New Roman" w:cs="Times New Roman"/>
                <w:sz w:val="24"/>
                <w:szCs w:val="24"/>
                <w:lang w:eastAsia="lv-LV"/>
              </w:rPr>
              <w:t xml:space="preserve"> stiprin</w:t>
            </w:r>
            <w:r w:rsidR="00C85166" w:rsidRPr="002C4A1B">
              <w:rPr>
                <w:rFonts w:ascii="Times New Roman" w:eastAsia="Times New Roman" w:hAnsi="Times New Roman" w:cs="Times New Roman"/>
                <w:sz w:val="24"/>
                <w:szCs w:val="24"/>
                <w:lang w:eastAsia="lv-LV"/>
              </w:rPr>
              <w:t>āšanu vērstu</w:t>
            </w:r>
            <w:r w:rsidR="00E83201" w:rsidRPr="002C4A1B">
              <w:rPr>
                <w:rFonts w:ascii="Times New Roman" w:eastAsia="Times New Roman" w:hAnsi="Times New Roman" w:cs="Times New Roman"/>
                <w:sz w:val="24"/>
                <w:szCs w:val="24"/>
                <w:lang w:eastAsia="lv-LV"/>
              </w:rPr>
              <w:t xml:space="preserve"> </w:t>
            </w:r>
            <w:r w:rsidR="00101ED0" w:rsidRPr="002C4A1B">
              <w:rPr>
                <w:rFonts w:ascii="Times New Roman" w:eastAsia="Times New Roman" w:hAnsi="Times New Roman" w:cs="Times New Roman"/>
                <w:sz w:val="24"/>
                <w:szCs w:val="24"/>
                <w:lang w:eastAsia="lv-LV"/>
              </w:rPr>
              <w:t xml:space="preserve">rakstveida </w:t>
            </w:r>
            <w:r w:rsidR="00E83201" w:rsidRPr="002C4A1B">
              <w:rPr>
                <w:rFonts w:ascii="Times New Roman" w:eastAsia="Times New Roman" w:hAnsi="Times New Roman" w:cs="Times New Roman"/>
                <w:sz w:val="24"/>
                <w:szCs w:val="24"/>
                <w:lang w:eastAsia="lv-LV"/>
              </w:rPr>
              <w:t>procedūru valdes un padomes atlīdzības noteikšanai. Līdz ar to atbilstības izmaksas veido tikai process, kas saistīts ar jau esošas informācijas strukturēšanu</w:t>
            </w:r>
            <w:r w:rsidR="004D20F0" w:rsidRPr="002C4A1B">
              <w:rPr>
                <w:rFonts w:ascii="Times New Roman" w:eastAsia="Times New Roman" w:hAnsi="Times New Roman" w:cs="Times New Roman"/>
                <w:sz w:val="24"/>
                <w:szCs w:val="24"/>
                <w:lang w:eastAsia="lv-LV"/>
              </w:rPr>
              <w:t xml:space="preserve"> </w:t>
            </w:r>
            <w:r w:rsidR="00101ED0" w:rsidRPr="002C4A1B">
              <w:rPr>
                <w:rFonts w:ascii="Times New Roman" w:eastAsia="Times New Roman" w:hAnsi="Times New Roman" w:cs="Times New Roman"/>
                <w:sz w:val="24"/>
                <w:szCs w:val="24"/>
                <w:lang w:eastAsia="lv-LV"/>
              </w:rPr>
              <w:t xml:space="preserve">un dokumenta sagatavošanu </w:t>
            </w:r>
            <w:r w:rsidR="004D20F0" w:rsidRPr="002C4A1B">
              <w:rPr>
                <w:rFonts w:ascii="Times New Roman" w:eastAsia="Times New Roman" w:hAnsi="Times New Roman" w:cs="Times New Roman"/>
                <w:sz w:val="24"/>
                <w:szCs w:val="24"/>
                <w:lang w:eastAsia="lv-LV"/>
              </w:rPr>
              <w:t xml:space="preserve">atbilstoši </w:t>
            </w:r>
            <w:r w:rsidR="00EB4318" w:rsidRPr="002C4A1B">
              <w:rPr>
                <w:rFonts w:ascii="Times New Roman" w:eastAsia="Times New Roman" w:hAnsi="Times New Roman" w:cs="Times New Roman"/>
                <w:sz w:val="24"/>
                <w:szCs w:val="24"/>
                <w:lang w:eastAsia="lv-LV"/>
              </w:rPr>
              <w:t>p</w:t>
            </w:r>
            <w:r w:rsidR="004D20F0" w:rsidRPr="002C4A1B">
              <w:rPr>
                <w:rFonts w:ascii="Times New Roman" w:eastAsia="Times New Roman" w:hAnsi="Times New Roman" w:cs="Times New Roman"/>
                <w:sz w:val="24"/>
                <w:szCs w:val="24"/>
                <w:lang w:eastAsia="lv-LV"/>
              </w:rPr>
              <w:t>rojektā izvirzītajām prasībām. Vienlaikus jāņem vērā, ka atalgojuma politikas un ziņojuma izstrāde pirmajā gadā noteikti prasīs lielāku laika patēriņu</w:t>
            </w:r>
            <w:r w:rsidR="00101ED0" w:rsidRPr="002C4A1B">
              <w:rPr>
                <w:rFonts w:ascii="Times New Roman" w:eastAsia="Times New Roman" w:hAnsi="Times New Roman" w:cs="Times New Roman"/>
                <w:sz w:val="24"/>
                <w:szCs w:val="24"/>
                <w:lang w:eastAsia="lv-LV"/>
              </w:rPr>
              <w:t xml:space="preserve"> akciju sabiedrībai</w:t>
            </w:r>
            <w:r w:rsidR="004D20F0" w:rsidRPr="002C4A1B">
              <w:rPr>
                <w:rFonts w:ascii="Times New Roman" w:eastAsia="Times New Roman" w:hAnsi="Times New Roman" w:cs="Times New Roman"/>
                <w:sz w:val="24"/>
                <w:szCs w:val="24"/>
                <w:lang w:eastAsia="lv-LV"/>
              </w:rPr>
              <w:t>, bet turpmākajos gados tās būs pārsvarā tehnisk</w:t>
            </w:r>
            <w:r w:rsidR="00101ED0" w:rsidRPr="002C4A1B">
              <w:rPr>
                <w:rFonts w:ascii="Times New Roman" w:eastAsia="Times New Roman" w:hAnsi="Times New Roman" w:cs="Times New Roman"/>
                <w:sz w:val="24"/>
                <w:szCs w:val="24"/>
                <w:lang w:eastAsia="lv-LV"/>
              </w:rPr>
              <w:t>a</w:t>
            </w:r>
            <w:r w:rsidR="004D20F0" w:rsidRPr="002C4A1B">
              <w:rPr>
                <w:rFonts w:ascii="Times New Roman" w:eastAsia="Times New Roman" w:hAnsi="Times New Roman" w:cs="Times New Roman"/>
                <w:sz w:val="24"/>
                <w:szCs w:val="24"/>
                <w:lang w:eastAsia="lv-LV"/>
              </w:rPr>
              <w:t xml:space="preserve">s darbības </w:t>
            </w:r>
            <w:r w:rsidR="00101ED0" w:rsidRPr="002C4A1B">
              <w:rPr>
                <w:rFonts w:ascii="Times New Roman" w:eastAsia="Times New Roman" w:hAnsi="Times New Roman" w:cs="Times New Roman"/>
                <w:sz w:val="24"/>
                <w:szCs w:val="24"/>
                <w:lang w:eastAsia="lv-LV"/>
              </w:rPr>
              <w:t>aktuālās</w:t>
            </w:r>
            <w:r w:rsidR="004D20F0" w:rsidRPr="002C4A1B">
              <w:rPr>
                <w:rFonts w:ascii="Times New Roman" w:eastAsia="Times New Roman" w:hAnsi="Times New Roman" w:cs="Times New Roman"/>
                <w:sz w:val="24"/>
                <w:szCs w:val="24"/>
                <w:lang w:eastAsia="lv-LV"/>
              </w:rPr>
              <w:t xml:space="preserve"> informācijas apstrādē.</w:t>
            </w:r>
            <w:r w:rsidR="00C85166" w:rsidRPr="002C4A1B">
              <w:rPr>
                <w:rFonts w:ascii="Times New Roman" w:eastAsia="Times New Roman" w:hAnsi="Times New Roman" w:cs="Times New Roman"/>
                <w:sz w:val="24"/>
                <w:szCs w:val="24"/>
                <w:lang w:eastAsia="lv-LV"/>
              </w:rPr>
              <w:t xml:space="preserve"> Turkl</w:t>
            </w:r>
            <w:r w:rsidR="00A42F06" w:rsidRPr="002C4A1B">
              <w:rPr>
                <w:rFonts w:ascii="Times New Roman" w:eastAsia="Times New Roman" w:hAnsi="Times New Roman" w:cs="Times New Roman"/>
                <w:sz w:val="24"/>
                <w:szCs w:val="24"/>
                <w:lang w:eastAsia="lv-LV"/>
              </w:rPr>
              <w:t>ā</w:t>
            </w:r>
            <w:r w:rsidR="00C85166" w:rsidRPr="002C4A1B">
              <w:rPr>
                <w:rFonts w:ascii="Times New Roman" w:eastAsia="Times New Roman" w:hAnsi="Times New Roman" w:cs="Times New Roman"/>
                <w:sz w:val="24"/>
                <w:szCs w:val="24"/>
                <w:lang w:eastAsia="lv-LV"/>
              </w:rPr>
              <w:t xml:space="preserve">t jau šobrīd mērķgrupas </w:t>
            </w:r>
            <w:r w:rsidR="00C85166" w:rsidRPr="002C4A1B">
              <w:rPr>
                <w:rFonts w:ascii="Times New Roman" w:hAnsi="Times New Roman" w:cs="Times New Roman"/>
                <w:sz w:val="24"/>
                <w:szCs w:val="24"/>
              </w:rPr>
              <w:t>akciju sabiedrīb</w:t>
            </w:r>
            <w:r w:rsidR="00101ED0" w:rsidRPr="002C4A1B">
              <w:rPr>
                <w:rFonts w:ascii="Times New Roman" w:hAnsi="Times New Roman" w:cs="Times New Roman"/>
                <w:sz w:val="24"/>
                <w:szCs w:val="24"/>
              </w:rPr>
              <w:t>as savā praksē piemēro Latvijas regulētā tirgus organizētāja akciju sabiedrības ''</w:t>
            </w:r>
            <w:r w:rsidR="00C85166" w:rsidRPr="002C4A1B">
              <w:rPr>
                <w:rFonts w:ascii="Times New Roman" w:hAnsi="Times New Roman" w:cs="Times New Roman"/>
                <w:sz w:val="24"/>
                <w:szCs w:val="24"/>
              </w:rPr>
              <w:t xml:space="preserve">NASDAQ </w:t>
            </w:r>
            <w:proofErr w:type="spellStart"/>
            <w:r w:rsidR="00101ED0" w:rsidRPr="002C4A1B">
              <w:rPr>
                <w:rFonts w:ascii="Times New Roman" w:hAnsi="Times New Roman" w:cs="Times New Roman"/>
                <w:sz w:val="24"/>
                <w:szCs w:val="24"/>
              </w:rPr>
              <w:t>Riga</w:t>
            </w:r>
            <w:proofErr w:type="spellEnd"/>
            <w:r w:rsidR="00101ED0" w:rsidRPr="002C4A1B">
              <w:rPr>
                <w:rFonts w:ascii="Times New Roman" w:hAnsi="Times New Roman" w:cs="Times New Roman"/>
                <w:sz w:val="24"/>
                <w:szCs w:val="24"/>
              </w:rPr>
              <w:t xml:space="preserve">'' </w:t>
            </w:r>
            <w:r w:rsidR="00C85166" w:rsidRPr="002C4A1B">
              <w:rPr>
                <w:rFonts w:ascii="Times New Roman" w:hAnsi="Times New Roman" w:cs="Times New Roman"/>
                <w:sz w:val="24"/>
                <w:szCs w:val="24"/>
              </w:rPr>
              <w:t>Korporatīvās pārvaldības princip</w:t>
            </w:r>
            <w:r w:rsidR="00101ED0" w:rsidRPr="002C4A1B">
              <w:rPr>
                <w:rFonts w:ascii="Times New Roman" w:hAnsi="Times New Roman" w:cs="Times New Roman"/>
                <w:sz w:val="24"/>
                <w:szCs w:val="24"/>
              </w:rPr>
              <w:t xml:space="preserve">us, kuros ir ieteikumi arī </w:t>
            </w:r>
            <w:r w:rsidR="00C85166" w:rsidRPr="002C4A1B">
              <w:rPr>
                <w:rFonts w:ascii="Times New Roman" w:hAnsi="Times New Roman" w:cs="Times New Roman"/>
                <w:sz w:val="24"/>
                <w:szCs w:val="24"/>
              </w:rPr>
              <w:t>attiecībā uz vadītāju atalgojumu. Šie principi jau šobrīd paredz līdzīgas informācijas apkopošanu par valdes un padomes atalgojumu</w:t>
            </w:r>
            <w:r w:rsidR="00101ED0" w:rsidRPr="002C4A1B">
              <w:rPr>
                <w:rFonts w:ascii="Times New Roman" w:hAnsi="Times New Roman" w:cs="Times New Roman"/>
                <w:sz w:val="24"/>
                <w:szCs w:val="24"/>
              </w:rPr>
              <w:t>, ar to atšķirību, ka principi ir piemērojami pēc ''ievēro vai paskaidro'' principa, bet likuma prasības būs saistošas visām akciju sabiedrībām</w:t>
            </w:r>
            <w:r w:rsidR="00C85166" w:rsidRPr="002C4A1B">
              <w:rPr>
                <w:rFonts w:ascii="Times New Roman" w:hAnsi="Times New Roman" w:cs="Times New Roman"/>
                <w:sz w:val="24"/>
                <w:szCs w:val="24"/>
              </w:rPr>
              <w:t>.</w:t>
            </w:r>
          </w:p>
          <w:p w14:paraId="3C64E1F5" w14:textId="56927020" w:rsidR="00265ECB" w:rsidRPr="002C4A1B" w:rsidRDefault="00C85166" w:rsidP="00101ED0">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Ņemot vērā minēto, prognozējams, ka atalgojuma politikas un </w:t>
            </w:r>
            <w:r w:rsidR="00844014" w:rsidRPr="002C4A1B">
              <w:rPr>
                <w:rFonts w:ascii="Times New Roman" w:eastAsia="Times New Roman" w:hAnsi="Times New Roman" w:cs="Times New Roman"/>
                <w:sz w:val="24"/>
                <w:szCs w:val="24"/>
                <w:lang w:eastAsia="lv-LV"/>
              </w:rPr>
              <w:t xml:space="preserve">atalgojuma </w:t>
            </w:r>
            <w:r w:rsidRPr="002C4A1B">
              <w:rPr>
                <w:rFonts w:ascii="Times New Roman" w:eastAsia="Times New Roman" w:hAnsi="Times New Roman" w:cs="Times New Roman"/>
                <w:sz w:val="24"/>
                <w:szCs w:val="24"/>
                <w:lang w:eastAsia="lv-LV"/>
              </w:rPr>
              <w:t xml:space="preserve">ziņojuma izstrāde atbilstoši </w:t>
            </w:r>
            <w:r w:rsidR="00EB4318" w:rsidRPr="002C4A1B">
              <w:rPr>
                <w:rFonts w:ascii="Times New Roman" w:eastAsia="Times New Roman" w:hAnsi="Times New Roman" w:cs="Times New Roman"/>
                <w:sz w:val="24"/>
                <w:szCs w:val="24"/>
                <w:lang w:eastAsia="lv-LV"/>
              </w:rPr>
              <w:t>p</w:t>
            </w:r>
            <w:r w:rsidRPr="002C4A1B">
              <w:rPr>
                <w:rFonts w:ascii="Times New Roman" w:eastAsia="Times New Roman" w:hAnsi="Times New Roman" w:cs="Times New Roman"/>
                <w:sz w:val="24"/>
                <w:szCs w:val="24"/>
                <w:lang w:eastAsia="lv-LV"/>
              </w:rPr>
              <w:t>rojekta prasībām pirmajā gadā varētu radīt atbilstības izmaksas šādā apjomā – viena darbinieka nedēļas darba laiks</w:t>
            </w:r>
            <w:r w:rsidR="00A42F06" w:rsidRPr="002C4A1B">
              <w:rPr>
                <w:rFonts w:ascii="Times New Roman" w:eastAsia="Times New Roman" w:hAnsi="Times New Roman" w:cs="Times New Roman"/>
                <w:sz w:val="24"/>
                <w:szCs w:val="24"/>
                <w:lang w:eastAsia="lv-LV"/>
              </w:rPr>
              <w:t xml:space="preserve"> (40 stundas)</w:t>
            </w:r>
            <w:r w:rsidRPr="002C4A1B">
              <w:rPr>
                <w:rFonts w:ascii="Times New Roman" w:eastAsia="Times New Roman" w:hAnsi="Times New Roman" w:cs="Times New Roman"/>
                <w:sz w:val="24"/>
                <w:szCs w:val="24"/>
                <w:lang w:eastAsia="lv-LV"/>
              </w:rPr>
              <w:t xml:space="preserve">. </w:t>
            </w:r>
            <w:r w:rsidR="00265ECB" w:rsidRPr="002C4A1B">
              <w:rPr>
                <w:rFonts w:ascii="Times New Roman" w:eastAsia="Times New Roman" w:hAnsi="Times New Roman" w:cs="Times New Roman"/>
                <w:sz w:val="24"/>
                <w:szCs w:val="24"/>
                <w:lang w:eastAsia="lv-LV"/>
              </w:rPr>
              <w:t xml:space="preserve">Atalgojuma politiku ir pienākums pārskatīt </w:t>
            </w:r>
            <w:r w:rsidR="00844014" w:rsidRPr="002C4A1B">
              <w:rPr>
                <w:rFonts w:ascii="Times New Roman" w:eastAsia="Times New Roman" w:hAnsi="Times New Roman" w:cs="Times New Roman"/>
                <w:sz w:val="24"/>
                <w:szCs w:val="24"/>
                <w:lang w:eastAsia="lv-LV"/>
              </w:rPr>
              <w:t xml:space="preserve">ne retāk kā </w:t>
            </w:r>
            <w:r w:rsidR="00265ECB" w:rsidRPr="002C4A1B">
              <w:rPr>
                <w:rFonts w:ascii="Times New Roman" w:eastAsia="Times New Roman" w:hAnsi="Times New Roman" w:cs="Times New Roman"/>
                <w:sz w:val="24"/>
                <w:szCs w:val="24"/>
                <w:lang w:eastAsia="lv-LV"/>
              </w:rPr>
              <w:t xml:space="preserve">reizi četros gadus, bet atalgojuma ziņojumā turpmāk ir </w:t>
            </w:r>
            <w:r w:rsidR="00844014" w:rsidRPr="002C4A1B">
              <w:rPr>
                <w:rFonts w:ascii="Times New Roman" w:eastAsia="Times New Roman" w:hAnsi="Times New Roman" w:cs="Times New Roman"/>
                <w:sz w:val="24"/>
                <w:szCs w:val="24"/>
                <w:lang w:eastAsia="lv-LV"/>
              </w:rPr>
              <w:t xml:space="preserve">gadu </w:t>
            </w:r>
            <w:r w:rsidR="00265ECB" w:rsidRPr="002C4A1B">
              <w:rPr>
                <w:rFonts w:ascii="Times New Roman" w:eastAsia="Times New Roman" w:hAnsi="Times New Roman" w:cs="Times New Roman"/>
                <w:sz w:val="24"/>
                <w:szCs w:val="24"/>
                <w:lang w:eastAsia="lv-LV"/>
              </w:rPr>
              <w:t xml:space="preserve">jāveic </w:t>
            </w:r>
            <w:r w:rsidR="0035659A" w:rsidRPr="002C4A1B">
              <w:rPr>
                <w:rFonts w:ascii="Times New Roman" w:eastAsia="Times New Roman" w:hAnsi="Times New Roman" w:cs="Times New Roman"/>
                <w:sz w:val="24"/>
                <w:szCs w:val="24"/>
                <w:lang w:eastAsia="lv-LV"/>
              </w:rPr>
              <w:t>d</w:t>
            </w:r>
            <w:r w:rsidR="00265ECB" w:rsidRPr="002C4A1B">
              <w:rPr>
                <w:rFonts w:ascii="Times New Roman" w:eastAsia="Times New Roman" w:hAnsi="Times New Roman" w:cs="Times New Roman"/>
                <w:sz w:val="24"/>
                <w:szCs w:val="24"/>
                <w:lang w:eastAsia="lv-LV"/>
              </w:rPr>
              <w:t>arbības informācijas apkopošanai un aktualizēšanai</w:t>
            </w:r>
            <w:r w:rsidR="00844014" w:rsidRPr="002C4A1B">
              <w:rPr>
                <w:rFonts w:ascii="Times New Roman" w:eastAsia="Times New Roman" w:hAnsi="Times New Roman" w:cs="Times New Roman"/>
                <w:sz w:val="24"/>
                <w:szCs w:val="24"/>
                <w:lang w:eastAsia="lv-LV"/>
              </w:rPr>
              <w:t xml:space="preserve"> par finanšu gadu, kas noslēdzies</w:t>
            </w:r>
            <w:r w:rsidR="00265ECB" w:rsidRPr="002C4A1B">
              <w:rPr>
                <w:rFonts w:ascii="Times New Roman" w:eastAsia="Times New Roman" w:hAnsi="Times New Roman" w:cs="Times New Roman"/>
                <w:sz w:val="24"/>
                <w:szCs w:val="24"/>
                <w:lang w:eastAsia="lv-LV"/>
              </w:rPr>
              <w:t xml:space="preserve">, tāpēc prognozējams, ka turpmākajos </w:t>
            </w:r>
            <w:r w:rsidR="00844014" w:rsidRPr="002C4A1B">
              <w:rPr>
                <w:rFonts w:ascii="Times New Roman" w:eastAsia="Times New Roman" w:hAnsi="Times New Roman" w:cs="Times New Roman"/>
                <w:sz w:val="24"/>
                <w:szCs w:val="24"/>
                <w:lang w:eastAsia="lv-LV"/>
              </w:rPr>
              <w:t xml:space="preserve">vidējais </w:t>
            </w:r>
            <w:r w:rsidR="00265ECB" w:rsidRPr="002C4A1B">
              <w:rPr>
                <w:rFonts w:ascii="Times New Roman" w:eastAsia="Times New Roman" w:hAnsi="Times New Roman" w:cs="Times New Roman"/>
                <w:sz w:val="24"/>
                <w:szCs w:val="24"/>
                <w:lang w:eastAsia="lv-LV"/>
              </w:rPr>
              <w:t>gados laika patēriņš ir tikai viena darba diena</w:t>
            </w:r>
            <w:r w:rsidR="00A42F06" w:rsidRPr="002C4A1B">
              <w:rPr>
                <w:rFonts w:ascii="Times New Roman" w:eastAsia="Times New Roman" w:hAnsi="Times New Roman" w:cs="Times New Roman"/>
                <w:sz w:val="24"/>
                <w:szCs w:val="24"/>
                <w:lang w:eastAsia="lv-LV"/>
              </w:rPr>
              <w:t xml:space="preserve"> (8 stundas)</w:t>
            </w:r>
            <w:r w:rsidR="00265ECB"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Aktuālās</w:t>
            </w:r>
            <w:r w:rsidR="00265ECB" w:rsidRPr="002C4A1B">
              <w:rPr>
                <w:rFonts w:ascii="Times New Roman" w:eastAsia="Times New Roman" w:hAnsi="Times New Roman" w:cs="Times New Roman"/>
                <w:sz w:val="24"/>
                <w:szCs w:val="24"/>
                <w:lang w:eastAsia="lv-LV"/>
              </w:rPr>
              <w:t xml:space="preserve"> informācijas apstrādi </w:t>
            </w:r>
            <w:r w:rsidR="00F1551F" w:rsidRPr="002C4A1B">
              <w:rPr>
                <w:rFonts w:ascii="Times New Roman" w:eastAsia="Times New Roman" w:hAnsi="Times New Roman" w:cs="Times New Roman"/>
                <w:sz w:val="24"/>
                <w:szCs w:val="24"/>
                <w:lang w:eastAsia="lv-LV"/>
              </w:rPr>
              <w:t xml:space="preserve">un tās sagatavošanu rakstveidā </w:t>
            </w:r>
            <w:r w:rsidR="00265ECB" w:rsidRPr="002C4A1B">
              <w:rPr>
                <w:rFonts w:ascii="Times New Roman" w:eastAsia="Times New Roman" w:hAnsi="Times New Roman" w:cs="Times New Roman"/>
                <w:sz w:val="24"/>
                <w:szCs w:val="24"/>
                <w:lang w:eastAsia="lv-LV"/>
              </w:rPr>
              <w:t xml:space="preserve">var veikt ne tikai valdes locekļi, bet </w:t>
            </w:r>
            <w:r w:rsidR="00F1551F" w:rsidRPr="002C4A1B">
              <w:rPr>
                <w:rFonts w:ascii="Times New Roman" w:eastAsia="Times New Roman" w:hAnsi="Times New Roman" w:cs="Times New Roman"/>
                <w:sz w:val="24"/>
                <w:szCs w:val="24"/>
                <w:lang w:eastAsia="lv-LV"/>
              </w:rPr>
              <w:t xml:space="preserve">arī </w:t>
            </w:r>
            <w:r w:rsidR="00265ECB" w:rsidRPr="002C4A1B">
              <w:rPr>
                <w:rFonts w:ascii="Times New Roman" w:eastAsia="Times New Roman" w:hAnsi="Times New Roman" w:cs="Times New Roman"/>
                <w:sz w:val="24"/>
                <w:szCs w:val="24"/>
                <w:lang w:eastAsia="lv-LV"/>
              </w:rPr>
              <w:t xml:space="preserve">dažādi </w:t>
            </w:r>
            <w:r w:rsidR="00F1551F" w:rsidRPr="002C4A1B">
              <w:rPr>
                <w:rFonts w:ascii="Times New Roman" w:eastAsia="Times New Roman" w:hAnsi="Times New Roman" w:cs="Times New Roman"/>
                <w:sz w:val="24"/>
                <w:szCs w:val="24"/>
                <w:lang w:eastAsia="lv-LV"/>
              </w:rPr>
              <w:t xml:space="preserve">citi </w:t>
            </w:r>
            <w:r w:rsidR="00265ECB" w:rsidRPr="002C4A1B">
              <w:rPr>
                <w:rFonts w:ascii="Times New Roman" w:eastAsia="Times New Roman" w:hAnsi="Times New Roman" w:cs="Times New Roman"/>
                <w:sz w:val="24"/>
                <w:szCs w:val="24"/>
                <w:lang w:eastAsia="lv-LV"/>
              </w:rPr>
              <w:t>akciju sabiedrības speciālisti (piemēram, juristi, finansisti vai grāmatveži)</w:t>
            </w:r>
            <w:r w:rsidR="00F1551F" w:rsidRPr="002C4A1B">
              <w:rPr>
                <w:rFonts w:ascii="Times New Roman" w:eastAsia="Times New Roman" w:hAnsi="Times New Roman" w:cs="Times New Roman"/>
                <w:sz w:val="24"/>
                <w:szCs w:val="24"/>
                <w:lang w:eastAsia="lv-LV"/>
              </w:rPr>
              <w:t xml:space="preserve">. Tā </w:t>
            </w:r>
            <w:r w:rsidR="0085549F" w:rsidRPr="002C4A1B">
              <w:rPr>
                <w:rFonts w:ascii="Times New Roman" w:eastAsia="Times New Roman" w:hAnsi="Times New Roman" w:cs="Times New Roman"/>
                <w:sz w:val="24"/>
                <w:szCs w:val="24"/>
                <w:lang w:eastAsia="lv-LV"/>
              </w:rPr>
              <w:t xml:space="preserve">kā mērķgrupas akciju sabiedrības komercdarbību veic </w:t>
            </w:r>
            <w:r w:rsidR="00F1551F" w:rsidRPr="002C4A1B">
              <w:rPr>
                <w:rFonts w:ascii="Times New Roman" w:eastAsia="Times New Roman" w:hAnsi="Times New Roman" w:cs="Times New Roman"/>
                <w:sz w:val="24"/>
                <w:szCs w:val="24"/>
                <w:lang w:eastAsia="lv-LV"/>
              </w:rPr>
              <w:t xml:space="preserve">ļoti </w:t>
            </w:r>
            <w:r w:rsidR="0085549F" w:rsidRPr="002C4A1B">
              <w:rPr>
                <w:rFonts w:ascii="Times New Roman" w:eastAsia="Times New Roman" w:hAnsi="Times New Roman" w:cs="Times New Roman"/>
                <w:sz w:val="24"/>
                <w:szCs w:val="24"/>
                <w:lang w:eastAsia="lv-LV"/>
              </w:rPr>
              <w:t>dažādās sfērās</w:t>
            </w:r>
            <w:r w:rsidR="00F1551F" w:rsidRPr="002C4A1B">
              <w:rPr>
                <w:rFonts w:ascii="Times New Roman" w:eastAsia="Times New Roman" w:hAnsi="Times New Roman" w:cs="Times New Roman"/>
                <w:sz w:val="24"/>
                <w:szCs w:val="24"/>
                <w:lang w:eastAsia="lv-LV"/>
              </w:rPr>
              <w:t xml:space="preserve">, </w:t>
            </w:r>
            <w:r w:rsidR="00265ECB" w:rsidRPr="002C4A1B">
              <w:rPr>
                <w:rFonts w:ascii="Times New Roman" w:eastAsia="Times New Roman" w:hAnsi="Times New Roman" w:cs="Times New Roman"/>
                <w:sz w:val="24"/>
                <w:szCs w:val="24"/>
                <w:lang w:eastAsia="lv-LV"/>
              </w:rPr>
              <w:t>stundas samaksas likmei ņemti dati par</w:t>
            </w:r>
            <w:r w:rsidR="00265ECB" w:rsidRPr="002C4A1B">
              <w:rPr>
                <w:rFonts w:ascii="Times New Roman" w:eastAsia="Times New Roman" w:hAnsi="Times New Roman" w:cs="Times New Roman"/>
                <w:sz w:val="23"/>
                <w:szCs w:val="23"/>
                <w:lang w:eastAsia="lv-LV"/>
              </w:rPr>
              <w:t xml:space="preserve"> </w:t>
            </w:r>
            <w:r w:rsidR="00265ECB" w:rsidRPr="002C4A1B">
              <w:rPr>
                <w:rFonts w:ascii="Times New Roman" w:eastAsia="Times New Roman" w:hAnsi="Times New Roman" w:cs="Times New Roman"/>
                <w:sz w:val="24"/>
                <w:szCs w:val="24"/>
                <w:lang w:eastAsia="lv-LV"/>
              </w:rPr>
              <w:t>valstī vidējām darbaspēka izmaksām vienā stundā.</w:t>
            </w:r>
          </w:p>
          <w:p w14:paraId="230AE59C" w14:textId="354DA0CA" w:rsidR="00265ECB" w:rsidRPr="002C4A1B" w:rsidRDefault="0085549F" w:rsidP="00A42F06">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Atbilstības izmaksas pirmajā gadā </w:t>
            </w:r>
            <w:r w:rsidR="00A42F06" w:rsidRPr="002C4A1B">
              <w:rPr>
                <w:rFonts w:ascii="Times New Roman" w:eastAsia="Times New Roman" w:hAnsi="Times New Roman" w:cs="Times New Roman"/>
                <w:sz w:val="24"/>
                <w:szCs w:val="24"/>
                <w:lang w:eastAsia="lv-LV"/>
              </w:rPr>
              <w:t xml:space="preserve">mērķgrupai (21 akciju sabiedrībai) veido vidējās darbaspēka izmaksas 40  stundām, bet turpmākajos gados 8 stundām. </w:t>
            </w:r>
            <w:r w:rsidR="00265ECB" w:rsidRPr="002C4A1B">
              <w:rPr>
                <w:rFonts w:ascii="Times New Roman" w:eastAsia="Times New Roman" w:hAnsi="Times New Roman" w:cs="Times New Roman"/>
                <w:sz w:val="24"/>
                <w:szCs w:val="24"/>
                <w:lang w:eastAsia="lv-LV"/>
              </w:rPr>
              <w:t xml:space="preserve">Līdz ar to prognozējams, ka visai mērķgrupai kopējās atbilstības izmaksas pirmajā gadā būs </w:t>
            </w:r>
            <w:r w:rsidR="00A42F06" w:rsidRPr="002C4A1B">
              <w:rPr>
                <w:rFonts w:ascii="Times New Roman" w:eastAsia="Times New Roman" w:hAnsi="Times New Roman" w:cs="Times New Roman"/>
                <w:sz w:val="24"/>
                <w:szCs w:val="24"/>
                <w:lang w:eastAsia="lv-LV"/>
              </w:rPr>
              <w:t>6594</w:t>
            </w:r>
            <w:r w:rsidR="002E2EF0">
              <w:rPr>
                <w:rFonts w:ascii="Times New Roman" w:eastAsia="Times New Roman" w:hAnsi="Times New Roman" w:cs="Times New Roman"/>
                <w:sz w:val="24"/>
                <w:szCs w:val="24"/>
                <w:lang w:eastAsia="lv-LV"/>
              </w:rPr>
              <w:t> </w:t>
            </w:r>
            <w:proofErr w:type="spellStart"/>
            <w:r w:rsidR="00265ECB"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265ECB" w:rsidRPr="00786809">
              <w:rPr>
                <w:rFonts w:ascii="Times New Roman" w:eastAsia="Times New Roman" w:hAnsi="Times New Roman" w:cs="Times New Roman"/>
                <w:i/>
                <w:sz w:val="24"/>
                <w:szCs w:val="24"/>
                <w:lang w:eastAsia="lv-LV"/>
              </w:rPr>
              <w:t>ro</w:t>
            </w:r>
            <w:proofErr w:type="spellEnd"/>
            <w:r w:rsidR="00A42F06" w:rsidRPr="00786809">
              <w:rPr>
                <w:rFonts w:ascii="Times New Roman" w:eastAsia="Times New Roman" w:hAnsi="Times New Roman" w:cs="Times New Roman"/>
                <w:i/>
                <w:sz w:val="24"/>
                <w:szCs w:val="24"/>
                <w:lang w:eastAsia="lv-LV"/>
              </w:rPr>
              <w:t xml:space="preserve"> </w:t>
            </w:r>
            <w:r w:rsidR="00A42F06" w:rsidRPr="002C4A1B">
              <w:rPr>
                <w:rFonts w:ascii="Times New Roman" w:eastAsia="Times New Roman" w:hAnsi="Times New Roman" w:cs="Times New Roman"/>
                <w:sz w:val="24"/>
                <w:szCs w:val="24"/>
                <w:lang w:eastAsia="lv-LV"/>
              </w:rPr>
              <w:t>(7</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85 (</w:t>
            </w:r>
            <w:proofErr w:type="spellStart"/>
            <w:r w:rsidR="00A42F06"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A42F06" w:rsidRPr="00786809">
              <w:rPr>
                <w:rFonts w:ascii="Times New Roman" w:eastAsia="Times New Roman" w:hAnsi="Times New Roman" w:cs="Times New Roman"/>
                <w:i/>
                <w:sz w:val="24"/>
                <w:szCs w:val="24"/>
                <w:lang w:eastAsia="lv-LV"/>
              </w:rPr>
              <w:t>ro</w:t>
            </w:r>
            <w:proofErr w:type="spellEnd"/>
            <w:r w:rsidR="00A42F06" w:rsidRPr="002C4A1B">
              <w:rPr>
                <w:rFonts w:ascii="Times New Roman" w:eastAsia="Times New Roman" w:hAnsi="Times New Roman" w:cs="Times New Roman"/>
                <w:sz w:val="24"/>
                <w:szCs w:val="24"/>
                <w:lang w:eastAsia="lv-LV"/>
              </w:rPr>
              <w:t>) x 40 x 21)</w:t>
            </w:r>
            <w:r w:rsidR="00265ECB" w:rsidRPr="002C4A1B">
              <w:rPr>
                <w:rFonts w:ascii="Times New Roman" w:eastAsia="Times New Roman" w:hAnsi="Times New Roman" w:cs="Times New Roman"/>
                <w:sz w:val="24"/>
                <w:szCs w:val="24"/>
                <w:lang w:eastAsia="lv-LV"/>
              </w:rPr>
              <w:t xml:space="preserve">, bet turpmākajos gados </w:t>
            </w:r>
            <w:r w:rsidR="00A42F06" w:rsidRPr="002C4A1B">
              <w:rPr>
                <w:rFonts w:ascii="Times New Roman" w:eastAsia="Times New Roman" w:hAnsi="Times New Roman" w:cs="Times New Roman"/>
                <w:sz w:val="24"/>
                <w:szCs w:val="24"/>
                <w:lang w:eastAsia="lv-LV"/>
              </w:rPr>
              <w:t>1318</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80</w:t>
            </w:r>
            <w:r w:rsidR="002E2EF0">
              <w:rPr>
                <w:rFonts w:ascii="Times New Roman" w:eastAsia="Times New Roman" w:hAnsi="Times New Roman" w:cs="Times New Roman"/>
                <w:sz w:val="24"/>
                <w:szCs w:val="24"/>
                <w:lang w:eastAsia="lv-LV"/>
              </w:rPr>
              <w:t> </w:t>
            </w:r>
            <w:proofErr w:type="spellStart"/>
            <w:r w:rsidR="00265ECB"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265ECB" w:rsidRPr="00786809">
              <w:rPr>
                <w:rFonts w:ascii="Times New Roman" w:eastAsia="Times New Roman" w:hAnsi="Times New Roman" w:cs="Times New Roman"/>
                <w:i/>
                <w:sz w:val="24"/>
                <w:szCs w:val="24"/>
                <w:lang w:eastAsia="lv-LV"/>
              </w:rPr>
              <w:t>ro</w:t>
            </w:r>
            <w:proofErr w:type="spellEnd"/>
            <w:r w:rsidR="00A42F06" w:rsidRPr="002C4A1B">
              <w:rPr>
                <w:rFonts w:ascii="Times New Roman" w:eastAsia="Times New Roman" w:hAnsi="Times New Roman" w:cs="Times New Roman"/>
                <w:sz w:val="24"/>
                <w:szCs w:val="24"/>
                <w:lang w:eastAsia="lv-LV"/>
              </w:rPr>
              <w:t xml:space="preserve"> (7</w:t>
            </w:r>
            <w:r w:rsidR="00050485">
              <w:rPr>
                <w:rFonts w:ascii="Times New Roman" w:eastAsia="Times New Roman" w:hAnsi="Times New Roman" w:cs="Times New Roman"/>
                <w:sz w:val="24"/>
                <w:szCs w:val="24"/>
                <w:lang w:eastAsia="lv-LV"/>
              </w:rPr>
              <w:t>,</w:t>
            </w:r>
            <w:r w:rsidR="00A42F06" w:rsidRPr="002C4A1B">
              <w:rPr>
                <w:rFonts w:ascii="Times New Roman" w:eastAsia="Times New Roman" w:hAnsi="Times New Roman" w:cs="Times New Roman"/>
                <w:sz w:val="24"/>
                <w:szCs w:val="24"/>
                <w:lang w:eastAsia="lv-LV"/>
              </w:rPr>
              <w:t>85 (</w:t>
            </w:r>
            <w:proofErr w:type="spellStart"/>
            <w:r w:rsidR="00A42F06" w:rsidRPr="00786809">
              <w:rPr>
                <w:rFonts w:ascii="Times New Roman" w:eastAsia="Times New Roman" w:hAnsi="Times New Roman" w:cs="Times New Roman"/>
                <w:i/>
                <w:sz w:val="24"/>
                <w:szCs w:val="24"/>
                <w:lang w:eastAsia="lv-LV"/>
              </w:rPr>
              <w:t>e</w:t>
            </w:r>
            <w:r w:rsidR="00050485" w:rsidRPr="00786809">
              <w:rPr>
                <w:rFonts w:ascii="Times New Roman" w:eastAsia="Times New Roman" w:hAnsi="Times New Roman" w:cs="Times New Roman"/>
                <w:i/>
                <w:sz w:val="24"/>
                <w:szCs w:val="24"/>
                <w:lang w:eastAsia="lv-LV"/>
              </w:rPr>
              <w:t>u</w:t>
            </w:r>
            <w:r w:rsidR="00A42F06" w:rsidRPr="00786809">
              <w:rPr>
                <w:rFonts w:ascii="Times New Roman" w:eastAsia="Times New Roman" w:hAnsi="Times New Roman" w:cs="Times New Roman"/>
                <w:i/>
                <w:sz w:val="24"/>
                <w:szCs w:val="24"/>
                <w:lang w:eastAsia="lv-LV"/>
              </w:rPr>
              <w:t>ro</w:t>
            </w:r>
            <w:proofErr w:type="spellEnd"/>
            <w:r w:rsidR="00A42F06" w:rsidRPr="002C4A1B">
              <w:rPr>
                <w:rFonts w:ascii="Times New Roman" w:eastAsia="Times New Roman" w:hAnsi="Times New Roman" w:cs="Times New Roman"/>
                <w:sz w:val="24"/>
                <w:szCs w:val="24"/>
                <w:lang w:eastAsia="lv-LV"/>
              </w:rPr>
              <w:t>) x 8 x 21)</w:t>
            </w:r>
            <w:r w:rsidR="00265ECB" w:rsidRPr="002C4A1B">
              <w:rPr>
                <w:rFonts w:ascii="Times New Roman" w:eastAsia="Times New Roman" w:hAnsi="Times New Roman" w:cs="Times New Roman"/>
                <w:sz w:val="24"/>
                <w:szCs w:val="24"/>
                <w:lang w:eastAsia="lv-LV"/>
              </w:rPr>
              <w:t>.</w:t>
            </w:r>
          </w:p>
          <w:p w14:paraId="0047DA5A" w14:textId="2ADC524A" w:rsidR="00C85166" w:rsidRPr="002C4A1B" w:rsidRDefault="00522039" w:rsidP="00F1551F">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 xml:space="preserve">Atalgojuma politikas izskatīšana akcionāru sapulcē nerada </w:t>
            </w:r>
            <w:r w:rsidR="00C85166" w:rsidRPr="002C4A1B">
              <w:rPr>
                <w:rFonts w:ascii="Times New Roman" w:eastAsia="Times New Roman" w:hAnsi="Times New Roman" w:cs="Times New Roman"/>
                <w:sz w:val="24"/>
                <w:szCs w:val="24"/>
                <w:lang w:eastAsia="lv-LV"/>
              </w:rPr>
              <w:t xml:space="preserve">būtiskas </w:t>
            </w:r>
            <w:r w:rsidRPr="002C4A1B">
              <w:rPr>
                <w:rFonts w:ascii="Times New Roman" w:eastAsia="Times New Roman" w:hAnsi="Times New Roman" w:cs="Times New Roman"/>
                <w:sz w:val="24"/>
                <w:szCs w:val="24"/>
                <w:lang w:eastAsia="lv-LV"/>
              </w:rPr>
              <w:t>papildu atbilstības izmaksas, jo pārejas noteikumos paredzētais termiņš ir pietiekams, lai šo darba kārtības jautājumu iekļautu jau kādā no ikgadējām akcionāru sapulcēm</w:t>
            </w:r>
            <w:r w:rsidR="00F1551F" w:rsidRPr="002C4A1B">
              <w:rPr>
                <w:rFonts w:ascii="Times New Roman" w:eastAsia="Times New Roman" w:hAnsi="Times New Roman" w:cs="Times New Roman"/>
                <w:sz w:val="24"/>
                <w:szCs w:val="24"/>
                <w:lang w:eastAsia="lv-LV"/>
              </w:rPr>
              <w:t>, kurai katru gadu ir jānotiek obligāti, lai lemtu par gada pārskata apstiprināšanu,</w:t>
            </w:r>
            <w:r w:rsidRPr="002C4A1B">
              <w:rPr>
                <w:rFonts w:ascii="Times New Roman" w:eastAsia="Times New Roman" w:hAnsi="Times New Roman" w:cs="Times New Roman"/>
                <w:sz w:val="24"/>
                <w:szCs w:val="24"/>
                <w:lang w:eastAsia="lv-LV"/>
              </w:rPr>
              <w:t xml:space="preserve"> un izskatītu vienlaikus ar citiem darba kārtības jautājumiem.</w:t>
            </w:r>
            <w:r w:rsidR="00C85166" w:rsidRPr="002C4A1B">
              <w:rPr>
                <w:rFonts w:ascii="Times New Roman" w:eastAsia="Times New Roman" w:hAnsi="Times New Roman" w:cs="Times New Roman"/>
                <w:sz w:val="24"/>
                <w:szCs w:val="24"/>
                <w:lang w:eastAsia="lv-LV"/>
              </w:rPr>
              <w:t xml:space="preserve"> Atalgojuma ziņojuma izskatīšana akcionāru sapulcē nerada būtiskas papildu izmaksas, jo to izskata ikgadējā sapulcē vienlaikus ar </w:t>
            </w:r>
            <w:r w:rsidR="00F1551F" w:rsidRPr="002C4A1B">
              <w:rPr>
                <w:rFonts w:ascii="Times New Roman" w:eastAsia="Times New Roman" w:hAnsi="Times New Roman" w:cs="Times New Roman"/>
                <w:sz w:val="24"/>
                <w:szCs w:val="24"/>
                <w:lang w:eastAsia="lv-LV"/>
              </w:rPr>
              <w:t xml:space="preserve">darba kārtības jautājumu par </w:t>
            </w:r>
            <w:r w:rsidR="00C85166" w:rsidRPr="002C4A1B">
              <w:rPr>
                <w:rFonts w:ascii="Times New Roman" w:eastAsia="Times New Roman" w:hAnsi="Times New Roman" w:cs="Times New Roman"/>
                <w:sz w:val="24"/>
                <w:szCs w:val="24"/>
                <w:lang w:eastAsia="lv-LV"/>
              </w:rPr>
              <w:t>gada pārskatu.</w:t>
            </w:r>
          </w:p>
          <w:p w14:paraId="25D72667" w14:textId="7E1E424A" w:rsidR="00774408" w:rsidRPr="002C4A1B" w:rsidRDefault="00522039" w:rsidP="00321720">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Zvērinātiem revidentiem </w:t>
            </w:r>
            <w:r w:rsidR="00F1551F" w:rsidRPr="002C4A1B">
              <w:rPr>
                <w:rFonts w:ascii="Times New Roman" w:eastAsia="Times New Roman" w:hAnsi="Times New Roman" w:cs="Times New Roman"/>
                <w:sz w:val="24"/>
                <w:szCs w:val="24"/>
                <w:lang w:eastAsia="lv-LV"/>
              </w:rPr>
              <w:t xml:space="preserve">par vienu dokumentu </w:t>
            </w:r>
            <w:r w:rsidRPr="002C4A1B">
              <w:rPr>
                <w:rFonts w:ascii="Times New Roman" w:eastAsia="Times New Roman" w:hAnsi="Times New Roman" w:cs="Times New Roman"/>
                <w:sz w:val="24"/>
                <w:szCs w:val="24"/>
                <w:lang w:eastAsia="lv-LV"/>
              </w:rPr>
              <w:t xml:space="preserve">tiek paplašināts to dokumentu </w:t>
            </w:r>
            <w:r w:rsidR="00F1551F" w:rsidRPr="002C4A1B">
              <w:rPr>
                <w:rFonts w:ascii="Times New Roman" w:eastAsia="Times New Roman" w:hAnsi="Times New Roman" w:cs="Times New Roman"/>
                <w:sz w:val="24"/>
                <w:szCs w:val="24"/>
                <w:lang w:eastAsia="lv-LV"/>
              </w:rPr>
              <w:t>apjoms</w:t>
            </w:r>
            <w:r w:rsidRPr="002C4A1B">
              <w:rPr>
                <w:rFonts w:ascii="Times New Roman" w:eastAsia="Times New Roman" w:hAnsi="Times New Roman" w:cs="Times New Roman"/>
                <w:sz w:val="24"/>
                <w:szCs w:val="24"/>
                <w:lang w:eastAsia="lv-LV"/>
              </w:rPr>
              <w:t>, kas ir izvērtējami revīzijas pakalpojumu sniegšanas ietvaros. Zvērināti revidenti tām akciju sabiedrībām, kuras akcijas ir iekļautas regulētajā tirgū, papildus izvērtēs arī atalgojuma ziņojumu. Tomēr šāda</w:t>
            </w:r>
            <w:r w:rsidR="00F1551F" w:rsidRPr="002C4A1B">
              <w:rPr>
                <w:rFonts w:ascii="Times New Roman" w:eastAsia="Times New Roman" w:hAnsi="Times New Roman" w:cs="Times New Roman"/>
                <w:sz w:val="24"/>
                <w:szCs w:val="24"/>
                <w:lang w:eastAsia="lv-LV"/>
              </w:rPr>
              <w:t>i</w:t>
            </w:r>
            <w:r w:rsidRPr="002C4A1B">
              <w:rPr>
                <w:rFonts w:ascii="Times New Roman" w:eastAsia="Times New Roman" w:hAnsi="Times New Roman" w:cs="Times New Roman"/>
                <w:sz w:val="24"/>
                <w:szCs w:val="24"/>
                <w:lang w:eastAsia="lv-LV"/>
              </w:rPr>
              <w:t xml:space="preserve"> papildu pārbaude</w:t>
            </w:r>
            <w:r w:rsidR="00F1551F" w:rsidRPr="002C4A1B">
              <w:rPr>
                <w:rFonts w:ascii="Times New Roman" w:eastAsia="Times New Roman" w:hAnsi="Times New Roman" w:cs="Times New Roman"/>
                <w:sz w:val="24"/>
                <w:szCs w:val="24"/>
                <w:lang w:eastAsia="lv-LV"/>
              </w:rPr>
              <w:t>i</w:t>
            </w:r>
            <w:r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 xml:space="preserve">nevajadzētu </w:t>
            </w:r>
            <w:r w:rsidRPr="002C4A1B">
              <w:rPr>
                <w:rFonts w:ascii="Times New Roman" w:eastAsia="Times New Roman" w:hAnsi="Times New Roman" w:cs="Times New Roman"/>
                <w:sz w:val="24"/>
                <w:szCs w:val="24"/>
                <w:lang w:eastAsia="lv-LV"/>
              </w:rPr>
              <w:t>rad</w:t>
            </w:r>
            <w:r w:rsidR="00F1551F" w:rsidRPr="002C4A1B">
              <w:rPr>
                <w:rFonts w:ascii="Times New Roman" w:eastAsia="Times New Roman" w:hAnsi="Times New Roman" w:cs="Times New Roman"/>
                <w:sz w:val="24"/>
                <w:szCs w:val="24"/>
                <w:lang w:eastAsia="lv-LV"/>
              </w:rPr>
              <w:t>īt</w:t>
            </w:r>
            <w:r w:rsidRPr="002C4A1B">
              <w:rPr>
                <w:rFonts w:ascii="Times New Roman" w:eastAsia="Times New Roman" w:hAnsi="Times New Roman" w:cs="Times New Roman"/>
                <w:sz w:val="24"/>
                <w:szCs w:val="24"/>
                <w:lang w:eastAsia="lv-LV"/>
              </w:rPr>
              <w:t xml:space="preserve"> </w:t>
            </w:r>
            <w:r w:rsidR="00F1551F" w:rsidRPr="002C4A1B">
              <w:rPr>
                <w:rFonts w:ascii="Times New Roman" w:eastAsia="Times New Roman" w:hAnsi="Times New Roman" w:cs="Times New Roman"/>
                <w:sz w:val="24"/>
                <w:szCs w:val="24"/>
                <w:lang w:eastAsia="lv-LV"/>
              </w:rPr>
              <w:t>būtiskas</w:t>
            </w:r>
            <w:r w:rsidRPr="002C4A1B">
              <w:rPr>
                <w:rFonts w:ascii="Times New Roman" w:eastAsia="Times New Roman" w:hAnsi="Times New Roman" w:cs="Times New Roman"/>
                <w:sz w:val="24"/>
                <w:szCs w:val="24"/>
                <w:lang w:eastAsia="lv-LV"/>
              </w:rPr>
              <w:t xml:space="preserve"> papildu izmaksas zvērinātiem revidentiem, </w:t>
            </w:r>
            <w:r w:rsidR="00F1551F" w:rsidRPr="002C4A1B">
              <w:rPr>
                <w:rFonts w:ascii="Times New Roman" w:eastAsia="Times New Roman" w:hAnsi="Times New Roman" w:cs="Times New Roman"/>
                <w:sz w:val="24"/>
                <w:szCs w:val="24"/>
                <w:lang w:eastAsia="lv-LV"/>
              </w:rPr>
              <w:t xml:space="preserve">bet pagaidām </w:t>
            </w:r>
            <w:r w:rsidRPr="002C4A1B">
              <w:rPr>
                <w:rFonts w:ascii="Times New Roman" w:eastAsia="Times New Roman" w:hAnsi="Times New Roman" w:cs="Times New Roman"/>
                <w:sz w:val="24"/>
                <w:szCs w:val="24"/>
                <w:lang w:eastAsia="lv-LV"/>
              </w:rPr>
              <w:t xml:space="preserve">nav iespējams prognozēt to iespējamo apmēru, jo </w:t>
            </w:r>
            <w:r w:rsidR="00F1551F" w:rsidRPr="002C4A1B">
              <w:rPr>
                <w:rFonts w:ascii="Times New Roman" w:eastAsia="Times New Roman" w:hAnsi="Times New Roman" w:cs="Times New Roman"/>
                <w:sz w:val="24"/>
                <w:szCs w:val="24"/>
                <w:lang w:eastAsia="lv-LV"/>
              </w:rPr>
              <w:t xml:space="preserve">plānots, ka </w:t>
            </w:r>
            <w:r w:rsidRPr="002C4A1B">
              <w:rPr>
                <w:rFonts w:ascii="Times New Roman" w:eastAsia="Times New Roman" w:hAnsi="Times New Roman" w:cs="Times New Roman"/>
                <w:sz w:val="24"/>
                <w:szCs w:val="24"/>
                <w:lang w:eastAsia="lv-LV"/>
              </w:rPr>
              <w:t xml:space="preserve">papildu </w:t>
            </w:r>
            <w:r w:rsidR="00F1551F" w:rsidRPr="002C4A1B">
              <w:rPr>
                <w:rFonts w:ascii="Times New Roman" w:eastAsia="Times New Roman" w:hAnsi="Times New Roman" w:cs="Times New Roman"/>
                <w:sz w:val="24"/>
                <w:szCs w:val="24"/>
                <w:lang w:eastAsia="lv-LV"/>
              </w:rPr>
              <w:t xml:space="preserve">dokumenta </w:t>
            </w:r>
            <w:r w:rsidRPr="002C4A1B">
              <w:rPr>
                <w:rFonts w:ascii="Times New Roman" w:eastAsia="Times New Roman" w:hAnsi="Times New Roman" w:cs="Times New Roman"/>
                <w:sz w:val="24"/>
                <w:szCs w:val="24"/>
                <w:lang w:eastAsia="lv-LV"/>
              </w:rPr>
              <w:t>pārbaude</w:t>
            </w:r>
            <w:r w:rsidR="002D6AFB" w:rsidRPr="002C4A1B">
              <w:rPr>
                <w:rFonts w:ascii="Times New Roman" w:eastAsia="Times New Roman" w:hAnsi="Times New Roman" w:cs="Times New Roman"/>
                <w:sz w:val="24"/>
                <w:szCs w:val="24"/>
                <w:lang w:eastAsia="lv-LV"/>
              </w:rPr>
              <w:t xml:space="preserve"> </w:t>
            </w:r>
            <w:r w:rsidRPr="002C4A1B">
              <w:rPr>
                <w:rFonts w:ascii="Times New Roman" w:eastAsia="Times New Roman" w:hAnsi="Times New Roman" w:cs="Times New Roman"/>
                <w:sz w:val="24"/>
                <w:szCs w:val="24"/>
                <w:lang w:eastAsia="lv-LV"/>
              </w:rPr>
              <w:t>tiek veikta kopējā revīzijas pakalpojuma ietvaros</w:t>
            </w:r>
            <w:r w:rsidR="002D6AFB" w:rsidRPr="002C4A1B">
              <w:rPr>
                <w:rFonts w:ascii="Times New Roman" w:eastAsia="Times New Roman" w:hAnsi="Times New Roman" w:cs="Times New Roman"/>
                <w:sz w:val="24"/>
                <w:szCs w:val="24"/>
                <w:lang w:eastAsia="lv-LV"/>
              </w:rPr>
              <w:t xml:space="preserve">, tomēr </w:t>
            </w:r>
            <w:r w:rsidR="00F1551F" w:rsidRPr="002C4A1B">
              <w:rPr>
                <w:rFonts w:ascii="Times New Roman" w:eastAsia="Times New Roman" w:hAnsi="Times New Roman" w:cs="Times New Roman"/>
                <w:sz w:val="24"/>
                <w:szCs w:val="24"/>
                <w:lang w:eastAsia="lv-LV"/>
              </w:rPr>
              <w:t xml:space="preserve">tas </w:t>
            </w:r>
            <w:r w:rsidR="002D6AFB" w:rsidRPr="002C4A1B">
              <w:rPr>
                <w:rFonts w:ascii="Times New Roman" w:eastAsia="Times New Roman" w:hAnsi="Times New Roman" w:cs="Times New Roman"/>
                <w:sz w:val="24"/>
                <w:szCs w:val="24"/>
                <w:lang w:eastAsia="lv-LV"/>
              </w:rPr>
              <w:t>varētu paildzināt kopējo pārbaudes laiku</w:t>
            </w:r>
            <w:r w:rsidR="00F51CE6" w:rsidRPr="002C4A1B">
              <w:rPr>
                <w:rFonts w:ascii="Times New Roman" w:eastAsia="Times New Roman" w:hAnsi="Times New Roman" w:cs="Times New Roman"/>
                <w:sz w:val="24"/>
                <w:szCs w:val="24"/>
                <w:lang w:eastAsia="lv-LV"/>
              </w:rPr>
              <w:t xml:space="preserve">, un revidents par to var </w:t>
            </w:r>
            <w:r w:rsidRPr="002C4A1B">
              <w:rPr>
                <w:rFonts w:ascii="Times New Roman" w:eastAsia="Times New Roman" w:hAnsi="Times New Roman" w:cs="Times New Roman"/>
                <w:sz w:val="24"/>
                <w:szCs w:val="24"/>
                <w:lang w:eastAsia="lv-LV"/>
              </w:rPr>
              <w:t>pras</w:t>
            </w:r>
            <w:r w:rsidR="00F51CE6" w:rsidRPr="002C4A1B">
              <w:rPr>
                <w:rFonts w:ascii="Times New Roman" w:eastAsia="Times New Roman" w:hAnsi="Times New Roman" w:cs="Times New Roman"/>
                <w:sz w:val="24"/>
                <w:szCs w:val="24"/>
                <w:lang w:eastAsia="lv-LV"/>
              </w:rPr>
              <w:t>ī</w:t>
            </w:r>
            <w:r w:rsidRPr="002C4A1B">
              <w:rPr>
                <w:rFonts w:ascii="Times New Roman" w:eastAsia="Times New Roman" w:hAnsi="Times New Roman" w:cs="Times New Roman"/>
                <w:sz w:val="24"/>
                <w:szCs w:val="24"/>
                <w:lang w:eastAsia="lv-LV"/>
              </w:rPr>
              <w:t>t lielāku samaksu par revīzijas pakalpojum</w:t>
            </w:r>
            <w:r w:rsidR="00F51CE6"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 sniegšanu no revidējamās akciju sabiedrības. </w:t>
            </w:r>
            <w:r w:rsidR="00F46AA0" w:rsidRPr="002C4A1B">
              <w:rPr>
                <w:rFonts w:ascii="Times New Roman" w:eastAsia="Times New Roman" w:hAnsi="Times New Roman" w:cs="Times New Roman"/>
                <w:sz w:val="24"/>
                <w:szCs w:val="24"/>
                <w:lang w:eastAsia="lv-LV"/>
              </w:rPr>
              <w:t xml:space="preserve">Tā kā nepastāv prasība, ka gan gada pārskatu jārevidē, gan atalgojuma ziņojums ir jāpārbauda vienam un tam pašam revidentam, akciju sabiedrība minētos pienākumus var uzticēt diviem dažādiem revidentiem, bet </w:t>
            </w:r>
            <w:r w:rsidR="0035659A" w:rsidRPr="002C4A1B">
              <w:rPr>
                <w:rFonts w:ascii="Times New Roman" w:eastAsia="Times New Roman" w:hAnsi="Times New Roman" w:cs="Times New Roman"/>
                <w:sz w:val="24"/>
                <w:szCs w:val="24"/>
                <w:lang w:eastAsia="lv-LV"/>
              </w:rPr>
              <w:t xml:space="preserve">šādā </w:t>
            </w:r>
            <w:r w:rsidR="00F46AA0" w:rsidRPr="002C4A1B">
              <w:rPr>
                <w:rFonts w:ascii="Times New Roman" w:eastAsia="Times New Roman" w:hAnsi="Times New Roman" w:cs="Times New Roman"/>
                <w:sz w:val="24"/>
                <w:szCs w:val="24"/>
                <w:lang w:eastAsia="lv-LV"/>
              </w:rPr>
              <w:t xml:space="preserve">gadījumā tas gan var radīt lielākas izmaksas par revidenta pakalpojumu. </w:t>
            </w:r>
            <w:r w:rsidR="00513DD9" w:rsidRPr="002C4A1B">
              <w:rPr>
                <w:rFonts w:ascii="Times New Roman" w:eastAsia="Times New Roman" w:hAnsi="Times New Roman" w:cs="Times New Roman"/>
                <w:sz w:val="24"/>
                <w:szCs w:val="24"/>
                <w:lang w:eastAsia="lv-LV"/>
              </w:rPr>
              <w:t xml:space="preserve">Tādējādi prasība par </w:t>
            </w:r>
            <w:r w:rsidRPr="002C4A1B">
              <w:rPr>
                <w:rFonts w:ascii="Times New Roman" w:eastAsia="Times New Roman" w:hAnsi="Times New Roman" w:cs="Times New Roman"/>
                <w:sz w:val="24"/>
                <w:szCs w:val="24"/>
                <w:lang w:eastAsia="lv-LV"/>
              </w:rPr>
              <w:t xml:space="preserve">atalgojuma ziņojuma </w:t>
            </w:r>
            <w:r w:rsidR="00513DD9" w:rsidRPr="002C4A1B">
              <w:rPr>
                <w:rFonts w:ascii="Times New Roman" w:eastAsia="Times New Roman" w:hAnsi="Times New Roman" w:cs="Times New Roman"/>
                <w:sz w:val="24"/>
                <w:szCs w:val="24"/>
                <w:lang w:eastAsia="lv-LV"/>
              </w:rPr>
              <w:t>pārbaudi</w:t>
            </w:r>
            <w:r w:rsidRPr="002C4A1B">
              <w:rPr>
                <w:rFonts w:ascii="Times New Roman" w:eastAsia="Times New Roman" w:hAnsi="Times New Roman" w:cs="Times New Roman"/>
                <w:sz w:val="24"/>
                <w:szCs w:val="24"/>
                <w:lang w:eastAsia="lv-LV"/>
              </w:rPr>
              <w:t xml:space="preserve"> varētu radīt papildu izmaksas tieši akciju sabiedrībām, jo pastāv iespēja</w:t>
            </w:r>
            <w:r w:rsidR="00513DD9" w:rsidRPr="002C4A1B">
              <w:rPr>
                <w:rFonts w:ascii="Times New Roman" w:eastAsia="Times New Roman" w:hAnsi="Times New Roman" w:cs="Times New Roman"/>
                <w:sz w:val="24"/>
                <w:szCs w:val="24"/>
                <w:lang w:eastAsia="lv-LV"/>
              </w:rPr>
              <w:t>mība</w:t>
            </w:r>
            <w:r w:rsidRPr="002C4A1B">
              <w:rPr>
                <w:rFonts w:ascii="Times New Roman" w:eastAsia="Times New Roman" w:hAnsi="Times New Roman" w:cs="Times New Roman"/>
                <w:sz w:val="24"/>
                <w:szCs w:val="24"/>
                <w:lang w:eastAsia="lv-LV"/>
              </w:rPr>
              <w:t xml:space="preserve">, ka zvērināti revidenti, </w:t>
            </w:r>
            <w:r w:rsidR="00513DD9" w:rsidRPr="002C4A1B">
              <w:rPr>
                <w:rFonts w:ascii="Times New Roman" w:eastAsia="Times New Roman" w:hAnsi="Times New Roman" w:cs="Times New Roman"/>
                <w:sz w:val="24"/>
                <w:szCs w:val="24"/>
                <w:lang w:eastAsia="lv-LV"/>
              </w:rPr>
              <w:t>kad ir jā</w:t>
            </w:r>
            <w:r w:rsidRPr="002C4A1B">
              <w:rPr>
                <w:rFonts w:ascii="Times New Roman" w:eastAsia="Times New Roman" w:hAnsi="Times New Roman" w:cs="Times New Roman"/>
                <w:sz w:val="24"/>
                <w:szCs w:val="24"/>
                <w:lang w:eastAsia="lv-LV"/>
              </w:rPr>
              <w:t>revidē</w:t>
            </w:r>
            <w:r w:rsidR="00513DD9" w:rsidRPr="002C4A1B">
              <w:rPr>
                <w:rFonts w:ascii="Times New Roman" w:eastAsia="Times New Roman" w:hAnsi="Times New Roman" w:cs="Times New Roman"/>
                <w:sz w:val="24"/>
                <w:szCs w:val="24"/>
                <w:lang w:eastAsia="lv-LV"/>
              </w:rPr>
              <w:t xml:space="preserve"> gan</w:t>
            </w:r>
            <w:r w:rsidRPr="002C4A1B">
              <w:rPr>
                <w:rFonts w:ascii="Times New Roman" w:eastAsia="Times New Roman" w:hAnsi="Times New Roman" w:cs="Times New Roman"/>
                <w:sz w:val="24"/>
                <w:szCs w:val="24"/>
                <w:lang w:eastAsia="lv-LV"/>
              </w:rPr>
              <w:t xml:space="preserve"> gada pārskat</w:t>
            </w:r>
            <w:r w:rsidR="00513DD9" w:rsidRPr="002C4A1B">
              <w:rPr>
                <w:rFonts w:ascii="Times New Roman" w:eastAsia="Times New Roman" w:hAnsi="Times New Roman" w:cs="Times New Roman"/>
                <w:sz w:val="24"/>
                <w:szCs w:val="24"/>
                <w:lang w:eastAsia="lv-LV"/>
              </w:rPr>
              <w:t>s, gan arī jā</w:t>
            </w:r>
            <w:r w:rsidR="00F46AA0" w:rsidRPr="002C4A1B">
              <w:rPr>
                <w:rFonts w:ascii="Times New Roman" w:eastAsia="Times New Roman" w:hAnsi="Times New Roman" w:cs="Times New Roman"/>
                <w:sz w:val="24"/>
                <w:szCs w:val="24"/>
                <w:lang w:eastAsia="lv-LV"/>
              </w:rPr>
              <w:t>pārbaud</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atalgojuma ziņojum</w:t>
            </w:r>
            <w:r w:rsidR="00513DD9" w:rsidRPr="002C4A1B">
              <w:rPr>
                <w:rFonts w:ascii="Times New Roman" w:eastAsia="Times New Roman" w:hAnsi="Times New Roman" w:cs="Times New Roman"/>
                <w:sz w:val="24"/>
                <w:szCs w:val="24"/>
                <w:lang w:eastAsia="lv-LV"/>
              </w:rPr>
              <w:t>s</w:t>
            </w:r>
            <w:r w:rsidRPr="002C4A1B">
              <w:rPr>
                <w:rFonts w:ascii="Times New Roman" w:eastAsia="Times New Roman" w:hAnsi="Times New Roman" w:cs="Times New Roman"/>
                <w:sz w:val="24"/>
                <w:szCs w:val="24"/>
                <w:lang w:eastAsia="lv-LV"/>
              </w:rPr>
              <w:t>, varētu prasīt lielāku samaksu tām akciju sabiedrībām, kurām papildus ir izstrādāts arī atalgojuma ziņojums</w:t>
            </w:r>
            <w:r w:rsidR="00513DD9" w:rsidRPr="002C4A1B">
              <w:rPr>
                <w:rFonts w:ascii="Times New Roman" w:eastAsia="Times New Roman" w:hAnsi="Times New Roman" w:cs="Times New Roman"/>
                <w:sz w:val="24"/>
                <w:szCs w:val="24"/>
                <w:lang w:eastAsia="lv-LV"/>
              </w:rPr>
              <w:t>. Gadījumā</w:t>
            </w:r>
            <w:r w:rsidR="00F46AA0" w:rsidRPr="002C4A1B">
              <w:rPr>
                <w:rFonts w:ascii="Times New Roman" w:eastAsia="Times New Roman" w:hAnsi="Times New Roman" w:cs="Times New Roman"/>
                <w:sz w:val="24"/>
                <w:szCs w:val="24"/>
                <w:lang w:eastAsia="lv-LV"/>
              </w:rPr>
              <w:t xml:space="preserve">, </w:t>
            </w:r>
            <w:r w:rsidR="00513DD9" w:rsidRPr="002C4A1B">
              <w:rPr>
                <w:rFonts w:ascii="Times New Roman" w:eastAsia="Times New Roman" w:hAnsi="Times New Roman" w:cs="Times New Roman"/>
                <w:sz w:val="24"/>
                <w:szCs w:val="24"/>
                <w:lang w:eastAsia="lv-LV"/>
              </w:rPr>
              <w:t xml:space="preserve">ja pakalpojums par atalgojuma ziņojuma pārbaudi tiek sniegts atsevišķi no revīzijas pakalpojuma par gada pārskatu sniegšanas, var tikt </w:t>
            </w:r>
            <w:r w:rsidR="00F46AA0" w:rsidRPr="002C4A1B">
              <w:rPr>
                <w:rFonts w:ascii="Times New Roman" w:eastAsia="Times New Roman" w:hAnsi="Times New Roman" w:cs="Times New Roman"/>
                <w:sz w:val="24"/>
                <w:szCs w:val="24"/>
                <w:lang w:eastAsia="lv-LV"/>
              </w:rPr>
              <w:t>noteikt</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konkrēt</w:t>
            </w:r>
            <w:r w:rsidR="00513DD9" w:rsidRPr="002C4A1B">
              <w:rPr>
                <w:rFonts w:ascii="Times New Roman" w:eastAsia="Times New Roman" w:hAnsi="Times New Roman" w:cs="Times New Roman"/>
                <w:sz w:val="24"/>
                <w:szCs w:val="24"/>
                <w:lang w:eastAsia="lv-LV"/>
              </w:rPr>
              <w:t>a</w:t>
            </w:r>
            <w:r w:rsidR="00F46AA0" w:rsidRPr="002C4A1B">
              <w:rPr>
                <w:rFonts w:ascii="Times New Roman" w:eastAsia="Times New Roman" w:hAnsi="Times New Roman" w:cs="Times New Roman"/>
                <w:sz w:val="24"/>
                <w:szCs w:val="24"/>
                <w:lang w:eastAsia="lv-LV"/>
              </w:rPr>
              <w:t xml:space="preserve"> samaksu par tād</w:t>
            </w:r>
            <w:r w:rsidR="00513DD9" w:rsidRPr="002C4A1B">
              <w:rPr>
                <w:rFonts w:ascii="Times New Roman" w:eastAsia="Times New Roman" w:hAnsi="Times New Roman" w:cs="Times New Roman"/>
                <w:sz w:val="24"/>
                <w:szCs w:val="24"/>
                <w:lang w:eastAsia="lv-LV"/>
              </w:rPr>
              <w:t xml:space="preserve">a veida </w:t>
            </w:r>
            <w:r w:rsidR="00F46AA0" w:rsidRPr="002C4A1B">
              <w:rPr>
                <w:rFonts w:ascii="Times New Roman" w:eastAsia="Times New Roman" w:hAnsi="Times New Roman" w:cs="Times New Roman"/>
                <w:sz w:val="24"/>
                <w:szCs w:val="24"/>
                <w:lang w:eastAsia="lv-LV"/>
              </w:rPr>
              <w:t>pakalpojumu</w:t>
            </w:r>
            <w:r w:rsidRPr="002C4A1B">
              <w:rPr>
                <w:rFonts w:ascii="Times New Roman" w:eastAsia="Times New Roman" w:hAnsi="Times New Roman" w:cs="Times New Roman"/>
                <w:sz w:val="24"/>
                <w:szCs w:val="24"/>
                <w:lang w:eastAsia="lv-LV"/>
              </w:rPr>
              <w:t>. Precīzu aprēķinu nav iespējams sniegt, jo maksas apmēri netiek reglamentēti, bet tā ir privāttiesiska vienošanās starp akciju sabiedrību un revīzijas pakalpojumu sniedzēju.</w:t>
            </w:r>
            <w:r w:rsidR="003E7B8F" w:rsidRPr="002C4A1B">
              <w:rPr>
                <w:rFonts w:ascii="Times New Roman" w:eastAsia="Times New Roman" w:hAnsi="Times New Roman" w:cs="Times New Roman"/>
                <w:sz w:val="24"/>
                <w:szCs w:val="24"/>
                <w:lang w:eastAsia="lv-LV"/>
              </w:rPr>
              <w:t xml:space="preserve"> Vienlaikus norādāms, ka </w:t>
            </w:r>
            <w:r w:rsidR="00F72AC6" w:rsidRPr="002C4A1B">
              <w:rPr>
                <w:rFonts w:ascii="Times New Roman" w:eastAsia="Times New Roman" w:hAnsi="Times New Roman" w:cs="Times New Roman"/>
                <w:sz w:val="24"/>
                <w:szCs w:val="24"/>
                <w:lang w:eastAsia="lv-LV"/>
              </w:rPr>
              <w:t>normas (</w:t>
            </w:r>
            <w:r w:rsidR="00321720" w:rsidRPr="002C4A1B">
              <w:rPr>
                <w:rFonts w:ascii="Times New Roman" w:eastAsia="Times New Roman" w:hAnsi="Times New Roman" w:cs="Times New Roman"/>
                <w:sz w:val="24"/>
                <w:szCs w:val="24"/>
                <w:lang w:eastAsia="lv-LV"/>
              </w:rPr>
              <w:t>kas paredz, ka revidenta viedoklis par atalgojuma ziņojumu iekļaujams gada pārskatā)</w:t>
            </w:r>
            <w:r w:rsidR="00872825" w:rsidRPr="002C4A1B">
              <w:rPr>
                <w:rFonts w:ascii="Times New Roman" w:eastAsia="Times New Roman" w:hAnsi="Times New Roman" w:cs="Times New Roman"/>
                <w:sz w:val="24"/>
                <w:szCs w:val="24"/>
                <w:lang w:eastAsia="lv-LV"/>
              </w:rPr>
              <w:t xml:space="preserve"> mērķis ir nodrošināt, ka maksa par revidenta pakalpojumiem ir mazāka nekā situācijā, ja revidents sniegtu viedokli </w:t>
            </w:r>
            <w:r w:rsidR="00ED5A6E" w:rsidRPr="002C4A1B">
              <w:rPr>
                <w:rFonts w:ascii="Times New Roman" w:eastAsia="Times New Roman" w:hAnsi="Times New Roman" w:cs="Times New Roman"/>
                <w:sz w:val="24"/>
                <w:szCs w:val="24"/>
                <w:lang w:eastAsia="lv-LV"/>
              </w:rPr>
              <w:t xml:space="preserve">atsevišķi </w:t>
            </w:r>
            <w:r w:rsidR="00872825" w:rsidRPr="002C4A1B">
              <w:rPr>
                <w:rFonts w:ascii="Times New Roman" w:eastAsia="Times New Roman" w:hAnsi="Times New Roman" w:cs="Times New Roman"/>
                <w:sz w:val="24"/>
                <w:szCs w:val="24"/>
                <w:lang w:eastAsia="lv-LV"/>
              </w:rPr>
              <w:t xml:space="preserve">tikai par atalgojuma ziņojumu. </w:t>
            </w:r>
          </w:p>
          <w:p w14:paraId="7183BB9C" w14:textId="77777777" w:rsidR="00CF6D34" w:rsidRPr="002C4A1B" w:rsidRDefault="00CF6D34" w:rsidP="00A42F06">
            <w:pPr>
              <w:spacing w:after="0" w:line="240" w:lineRule="auto"/>
              <w:ind w:firstLine="284"/>
              <w:jc w:val="both"/>
              <w:rPr>
                <w:rFonts w:ascii="Times New Roman" w:eastAsia="Times New Roman" w:hAnsi="Times New Roman" w:cs="Times New Roman"/>
                <w:sz w:val="24"/>
                <w:szCs w:val="24"/>
                <w:lang w:eastAsia="lv-LV"/>
              </w:rPr>
            </w:pPr>
          </w:p>
          <w:p w14:paraId="253A70F7" w14:textId="245D8B93" w:rsidR="00F13BF3" w:rsidRPr="002C4A1B" w:rsidRDefault="0038510C" w:rsidP="00F13BF3">
            <w:pPr>
              <w:spacing w:after="0" w:line="240" w:lineRule="auto"/>
              <w:ind w:firstLine="284"/>
              <w:jc w:val="both"/>
              <w:rPr>
                <w:rFonts w:ascii="Times New Roman" w:eastAsia="Times New Roman" w:hAnsi="Times New Roman" w:cs="Times New Roman"/>
                <w:b/>
                <w:color w:val="000000" w:themeColor="text1"/>
                <w:sz w:val="24"/>
                <w:szCs w:val="24"/>
                <w:lang w:eastAsia="lv-LV"/>
              </w:rPr>
            </w:pPr>
            <w:r w:rsidRPr="002C4A1B">
              <w:rPr>
                <w:rFonts w:ascii="Times New Roman" w:eastAsia="Times New Roman" w:hAnsi="Times New Roman" w:cs="Times New Roman"/>
                <w:b/>
                <w:color w:val="000000" w:themeColor="text1"/>
                <w:sz w:val="24"/>
                <w:szCs w:val="24"/>
                <w:lang w:eastAsia="lv-LV"/>
              </w:rPr>
              <w:t>Starpnieka pienākumi attiecībā uz a</w:t>
            </w:r>
            <w:r w:rsidR="00F13BF3" w:rsidRPr="002C4A1B">
              <w:rPr>
                <w:rFonts w:ascii="Times New Roman" w:eastAsia="Times New Roman" w:hAnsi="Times New Roman" w:cs="Times New Roman"/>
                <w:b/>
                <w:color w:val="000000" w:themeColor="text1"/>
                <w:sz w:val="24"/>
                <w:szCs w:val="24"/>
                <w:lang w:eastAsia="lv-LV"/>
              </w:rPr>
              <w:t xml:space="preserve">kcionāru identitātes </w:t>
            </w:r>
            <w:r w:rsidRPr="002C4A1B">
              <w:rPr>
                <w:rFonts w:ascii="Times New Roman" w:eastAsia="Times New Roman" w:hAnsi="Times New Roman" w:cs="Times New Roman"/>
                <w:b/>
                <w:color w:val="000000" w:themeColor="text1"/>
                <w:sz w:val="24"/>
                <w:szCs w:val="24"/>
                <w:lang w:eastAsia="lv-LV"/>
              </w:rPr>
              <w:t xml:space="preserve">noskaidrošanu </w:t>
            </w:r>
            <w:r w:rsidR="00F13BF3" w:rsidRPr="002C4A1B">
              <w:rPr>
                <w:rFonts w:ascii="Times New Roman" w:eastAsia="Times New Roman" w:hAnsi="Times New Roman" w:cs="Times New Roman"/>
                <w:b/>
                <w:color w:val="000000" w:themeColor="text1"/>
                <w:sz w:val="24"/>
                <w:szCs w:val="24"/>
                <w:lang w:eastAsia="lv-LV"/>
              </w:rPr>
              <w:t xml:space="preserve">un akcionāru tiesību </w:t>
            </w:r>
            <w:r w:rsidRPr="002C4A1B">
              <w:rPr>
                <w:rFonts w:ascii="Times New Roman" w:eastAsia="Times New Roman" w:hAnsi="Times New Roman" w:cs="Times New Roman"/>
                <w:b/>
                <w:color w:val="000000" w:themeColor="text1"/>
                <w:sz w:val="24"/>
                <w:szCs w:val="24"/>
                <w:lang w:eastAsia="lv-LV"/>
              </w:rPr>
              <w:t>veicināšanu</w:t>
            </w:r>
          </w:p>
          <w:p w14:paraId="74C0700D" w14:textId="7BF4ECC7" w:rsidR="00CF6D34" w:rsidRPr="002C4A1B" w:rsidRDefault="00F13BF3"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Lai nodrošinātu projektā paredzētās tiesības noskaidrot akcionārus vai arī, lai komunicētu ar tiem, starpniekiem būs </w:t>
            </w:r>
            <w:r w:rsidRPr="002C4A1B">
              <w:rPr>
                <w:rFonts w:ascii="Times New Roman" w:eastAsia="Times New Roman" w:hAnsi="Times New Roman" w:cs="Times New Roman"/>
                <w:color w:val="000000" w:themeColor="text1"/>
                <w:sz w:val="24"/>
                <w:szCs w:val="24"/>
                <w:lang w:eastAsia="lv-LV"/>
              </w:rPr>
              <w:lastRenderedPageBreak/>
              <w:t xml:space="preserve">tiesības </w:t>
            </w:r>
            <w:r w:rsidR="00CF6D34" w:rsidRPr="002C4A1B">
              <w:rPr>
                <w:rFonts w:ascii="Times New Roman" w:eastAsia="Times New Roman" w:hAnsi="Times New Roman" w:cs="Times New Roman"/>
                <w:color w:val="000000" w:themeColor="text1"/>
                <w:sz w:val="24"/>
                <w:szCs w:val="24"/>
                <w:lang w:eastAsia="lv-LV"/>
              </w:rPr>
              <w:t xml:space="preserve">prasīt samaksu par sniegtajiem pakalpojumiem. Līdz ar to šajā projektā paredzētās atbilstības izmaksas attiecībā uz akcionāru identitātes noskaidrošanu vai komunicēšanu ar akcionāriem, segs pati </w:t>
            </w:r>
            <w:r w:rsidR="0038510C" w:rsidRPr="002C4A1B">
              <w:rPr>
                <w:rFonts w:ascii="Times New Roman" w:eastAsia="Times New Roman" w:hAnsi="Times New Roman" w:cs="Times New Roman"/>
                <w:color w:val="000000" w:themeColor="text1"/>
                <w:sz w:val="24"/>
                <w:szCs w:val="24"/>
                <w:lang w:eastAsia="lv-LV"/>
              </w:rPr>
              <w:t>kapitālsabiedrība</w:t>
            </w:r>
            <w:r w:rsidR="005643FA" w:rsidRPr="002C4A1B">
              <w:rPr>
                <w:rFonts w:ascii="Times New Roman" w:eastAsia="Times New Roman" w:hAnsi="Times New Roman" w:cs="Times New Roman"/>
                <w:color w:val="000000" w:themeColor="text1"/>
                <w:sz w:val="24"/>
                <w:szCs w:val="24"/>
                <w:lang w:eastAsia="lv-LV"/>
              </w:rPr>
              <w:t xml:space="preserve"> vai arī starpnieks iekasēs lielāku samaksu no sava klienta – akcionāra</w:t>
            </w:r>
            <w:r w:rsidR="00403CC4" w:rsidRPr="002C4A1B">
              <w:rPr>
                <w:rFonts w:ascii="Times New Roman" w:eastAsia="Times New Roman" w:hAnsi="Times New Roman" w:cs="Times New Roman"/>
                <w:color w:val="000000" w:themeColor="text1"/>
                <w:sz w:val="24"/>
                <w:szCs w:val="24"/>
                <w:lang w:eastAsia="lv-LV"/>
              </w:rPr>
              <w:t xml:space="preserve">, ja akcionārs izmantos kādu no šajā projekta nodaļā paredzētajām tiesībām, tad starpniekam būs tiesības prasīt samaksu par pakalpojumiem. </w:t>
            </w:r>
            <w:r w:rsidR="00CF6D34" w:rsidRPr="002C4A1B">
              <w:rPr>
                <w:rFonts w:ascii="Times New Roman" w:eastAsia="Times New Roman" w:hAnsi="Times New Roman" w:cs="Times New Roman"/>
                <w:color w:val="000000" w:themeColor="text1"/>
                <w:sz w:val="24"/>
                <w:szCs w:val="24"/>
                <w:lang w:eastAsia="lv-LV"/>
              </w:rPr>
              <w:t xml:space="preserve"> </w:t>
            </w:r>
          </w:p>
          <w:p w14:paraId="4E0C790A" w14:textId="15978987" w:rsidR="00F13BF3" w:rsidRPr="002C4A1B" w:rsidRDefault="00CF6D34"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 </w:t>
            </w:r>
          </w:p>
          <w:p w14:paraId="22FC8A60" w14:textId="7F0606A9" w:rsidR="00F13BF3" w:rsidRPr="002C4A1B" w:rsidRDefault="00F13BF3" w:rsidP="00F13BF3">
            <w:pPr>
              <w:spacing w:after="0" w:line="240" w:lineRule="auto"/>
              <w:ind w:firstLine="284"/>
              <w:jc w:val="both"/>
              <w:rPr>
                <w:rFonts w:ascii="Times New Roman" w:eastAsia="Times New Roman" w:hAnsi="Times New Roman" w:cs="Times New Roman"/>
                <w:b/>
                <w:color w:val="000000" w:themeColor="text1"/>
                <w:sz w:val="24"/>
                <w:szCs w:val="24"/>
                <w:lang w:eastAsia="lv-LV"/>
              </w:rPr>
            </w:pPr>
            <w:r w:rsidRPr="002C4A1B">
              <w:rPr>
                <w:rFonts w:ascii="Times New Roman" w:eastAsia="Times New Roman" w:hAnsi="Times New Roman" w:cs="Times New Roman"/>
                <w:b/>
                <w:color w:val="000000" w:themeColor="text1"/>
                <w:sz w:val="24"/>
                <w:szCs w:val="24"/>
                <w:lang w:eastAsia="lv-LV"/>
              </w:rPr>
              <w:t>Iesaistīšanās politikas sagatavošana un ziņošana par iesaistīšanās politikas īstenošanu</w:t>
            </w:r>
          </w:p>
          <w:p w14:paraId="2758FBDC" w14:textId="69E21A13" w:rsidR="00F13BF3" w:rsidRPr="002C4A1B" w:rsidRDefault="00F13BF3" w:rsidP="00F13BF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nozīmē, ka iesaistīšanās politiku nepieciešams </w:t>
            </w:r>
            <w:r w:rsidR="00B358FD" w:rsidRPr="002C4A1B">
              <w:rPr>
                <w:rFonts w:ascii="Times New Roman" w:eastAsia="Times New Roman" w:hAnsi="Times New Roman" w:cs="Times New Roman"/>
                <w:color w:val="000000" w:themeColor="text1"/>
                <w:sz w:val="24"/>
                <w:szCs w:val="24"/>
                <w:lang w:eastAsia="lv-LV"/>
              </w:rPr>
              <w:t xml:space="preserve">aktualizēt </w:t>
            </w:r>
            <w:r w:rsidRPr="002C4A1B">
              <w:rPr>
                <w:rFonts w:ascii="Times New Roman" w:eastAsia="Times New Roman" w:hAnsi="Times New Roman" w:cs="Times New Roman"/>
                <w:color w:val="000000" w:themeColor="text1"/>
                <w:sz w:val="24"/>
                <w:szCs w:val="24"/>
                <w:lang w:eastAsia="lv-LV"/>
              </w:rPr>
              <w:t xml:space="preserve"> tikai tad, kad mainās kāds no politikas nosacījumiem. Iesaistīšanās politikas izstrādi var veikt ne tikai valdes locekļi, bet </w:t>
            </w:r>
            <w:r w:rsidR="00B358FD" w:rsidRPr="002C4A1B">
              <w:rPr>
                <w:rFonts w:ascii="Times New Roman" w:eastAsia="Times New Roman" w:hAnsi="Times New Roman" w:cs="Times New Roman"/>
                <w:color w:val="000000" w:themeColor="text1"/>
                <w:sz w:val="24"/>
                <w:szCs w:val="24"/>
                <w:lang w:eastAsia="lv-LV"/>
              </w:rPr>
              <w:t xml:space="preserve">citi </w:t>
            </w:r>
            <w:r w:rsidRPr="002C4A1B">
              <w:rPr>
                <w:rFonts w:ascii="Times New Roman" w:eastAsia="Times New Roman" w:hAnsi="Times New Roman" w:cs="Times New Roman"/>
                <w:color w:val="000000" w:themeColor="text1"/>
                <w:sz w:val="24"/>
                <w:szCs w:val="24"/>
                <w:lang w:eastAsia="lv-LV"/>
              </w:rPr>
              <w:t>ieguldījumu brokeru sabiedrības un kredītiestādes speciālisti (piemēram, finansisti vai juristi). Līdz ar to stundas samaksas likmei ņemti dati par valstī vidējām darbaspēka samaksām vienā stundā. Prognozējams, ka visai mērķgrupai (5 ieguldījumu brokeru sabiedrības un 9 kredītiestādes, kas sniedz portfeļa pārvaldības pakalpojumus) kopīgās atbilstības izmaksas būs 7144</w:t>
            </w:r>
            <w:r w:rsidR="006F1738">
              <w:rPr>
                <w:rFonts w:ascii="Times New Roman" w:eastAsia="Times New Roman" w:hAnsi="Times New Roman" w:cs="Times New Roman"/>
                <w:color w:val="000000" w:themeColor="text1"/>
                <w:sz w:val="24"/>
                <w:szCs w:val="24"/>
                <w:lang w:eastAsia="lv-LV"/>
              </w:rPr>
              <w:t> </w:t>
            </w:r>
            <w:proofErr w:type="spellStart"/>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proofErr w:type="spellEnd"/>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(7</w:t>
            </w:r>
            <w:r w:rsidR="00050485">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lang w:eastAsia="lv-LV"/>
              </w:rPr>
              <w:t xml:space="preserve">85 </w:t>
            </w:r>
            <w:proofErr w:type="spellStart"/>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proofErr w:type="spellEnd"/>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 xml:space="preserve">x 65 x 14). </w:t>
            </w:r>
          </w:p>
          <w:p w14:paraId="6596B901" w14:textId="220F3B39" w:rsidR="001F257B" w:rsidRPr="002C4A1B" w:rsidRDefault="00F13BF3" w:rsidP="00F13BF3">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color w:val="000000" w:themeColor="text1"/>
                <w:sz w:val="24"/>
                <w:szCs w:val="24"/>
                <w:lang w:eastAsia="lv-LV"/>
              </w:rPr>
              <w:t>Ziņošana par iesaistīšanās politikas īstenošanu varētu radīt atbilstības izmaksas ik gadu šādā apjomā – viena darbinieka 4 stundas (nepieciešamais laiks ziņo</w:t>
            </w:r>
            <w:r w:rsidR="00B358FD" w:rsidRPr="002C4A1B">
              <w:rPr>
                <w:rFonts w:ascii="Times New Roman" w:eastAsia="Times New Roman" w:hAnsi="Times New Roman" w:cs="Times New Roman"/>
                <w:color w:val="000000" w:themeColor="text1"/>
                <w:sz w:val="24"/>
                <w:szCs w:val="24"/>
                <w:lang w:eastAsia="lv-LV"/>
              </w:rPr>
              <w:t>juma sagatavošanai</w:t>
            </w:r>
            <w:r w:rsidRPr="002C4A1B">
              <w:rPr>
                <w:rFonts w:ascii="Times New Roman" w:eastAsia="Times New Roman" w:hAnsi="Times New Roman" w:cs="Times New Roman"/>
                <w:color w:val="000000" w:themeColor="text1"/>
                <w:sz w:val="24"/>
                <w:szCs w:val="24"/>
                <w:lang w:eastAsia="lv-LV"/>
              </w:rPr>
              <w:t xml:space="preserve"> </w:t>
            </w:r>
            <w:r w:rsidR="00B358FD" w:rsidRPr="002C4A1B">
              <w:rPr>
                <w:rFonts w:ascii="Times New Roman" w:eastAsia="Times New Roman" w:hAnsi="Times New Roman" w:cs="Times New Roman"/>
                <w:color w:val="000000" w:themeColor="text1"/>
                <w:sz w:val="24"/>
                <w:szCs w:val="24"/>
                <w:lang w:eastAsia="lv-LV"/>
              </w:rPr>
              <w:t xml:space="preserve">būs </w:t>
            </w:r>
            <w:r w:rsidRPr="002C4A1B">
              <w:rPr>
                <w:rFonts w:ascii="Times New Roman" w:eastAsia="Times New Roman" w:hAnsi="Times New Roman" w:cs="Times New Roman"/>
                <w:color w:val="000000" w:themeColor="text1"/>
                <w:sz w:val="24"/>
                <w:szCs w:val="24"/>
                <w:lang w:eastAsia="lv-LV"/>
              </w:rPr>
              <w:t>atkarīgs no to akciju sabiedrību skait</w:t>
            </w:r>
            <w:r w:rsidR="00B358FD" w:rsidRPr="002C4A1B">
              <w:rPr>
                <w:rFonts w:ascii="Times New Roman" w:eastAsia="Times New Roman" w:hAnsi="Times New Roman" w:cs="Times New Roman"/>
                <w:color w:val="000000" w:themeColor="text1"/>
                <w:sz w:val="24"/>
                <w:szCs w:val="24"/>
                <w:lang w:eastAsia="lv-LV"/>
              </w:rPr>
              <w:t>a</w:t>
            </w:r>
            <w:r w:rsidRPr="002C4A1B">
              <w:rPr>
                <w:rFonts w:ascii="Times New Roman" w:eastAsia="Times New Roman" w:hAnsi="Times New Roman" w:cs="Times New Roman"/>
                <w:color w:val="000000" w:themeColor="text1"/>
                <w:sz w:val="24"/>
                <w:szCs w:val="24"/>
                <w:lang w:eastAsia="lv-LV"/>
              </w:rPr>
              <w:t xml:space="preserve">, kuru akcijās </w:t>
            </w:r>
            <w:r w:rsidR="007C5D66" w:rsidRPr="002C4A1B">
              <w:rPr>
                <w:rFonts w:ascii="Times New Roman" w:eastAsia="Times New Roman" w:hAnsi="Times New Roman" w:cs="Times New Roman"/>
                <w:color w:val="000000" w:themeColor="text1"/>
                <w:sz w:val="24"/>
                <w:szCs w:val="24"/>
                <w:lang w:eastAsia="lv-LV"/>
              </w:rPr>
              <w:t xml:space="preserve">attiecīgajā laika periodā ir </w:t>
            </w:r>
            <w:r w:rsidRPr="002C4A1B">
              <w:rPr>
                <w:rFonts w:ascii="Times New Roman" w:eastAsia="Times New Roman" w:hAnsi="Times New Roman" w:cs="Times New Roman"/>
                <w:color w:val="000000" w:themeColor="text1"/>
                <w:sz w:val="24"/>
                <w:szCs w:val="24"/>
                <w:lang w:eastAsia="lv-LV"/>
              </w:rPr>
              <w:t>veikts ieguldījums</w:t>
            </w:r>
            <w:r w:rsidR="007C5D66" w:rsidRPr="002C4A1B">
              <w:rPr>
                <w:rFonts w:ascii="Times New Roman" w:eastAsia="Times New Roman" w:hAnsi="Times New Roman" w:cs="Times New Roman"/>
                <w:color w:val="000000" w:themeColor="text1"/>
                <w:sz w:val="24"/>
                <w:szCs w:val="24"/>
                <w:lang w:eastAsia="lv-LV"/>
              </w:rPr>
              <w:t xml:space="preserve"> un </w:t>
            </w:r>
            <w:r w:rsidRPr="002C4A1B">
              <w:rPr>
                <w:rFonts w:ascii="Times New Roman" w:eastAsia="Times New Roman" w:hAnsi="Times New Roman" w:cs="Times New Roman"/>
                <w:color w:val="000000" w:themeColor="text1"/>
                <w:sz w:val="24"/>
                <w:szCs w:val="24"/>
                <w:lang w:eastAsia="lv-LV"/>
              </w:rPr>
              <w:t xml:space="preserve">no īstenotajām </w:t>
            </w:r>
            <w:r w:rsidR="000F2BEF" w:rsidRPr="002C4A1B">
              <w:rPr>
                <w:rFonts w:ascii="Times New Roman" w:eastAsia="Times New Roman" w:hAnsi="Times New Roman" w:cs="Times New Roman"/>
                <w:color w:val="000000" w:themeColor="text1"/>
                <w:sz w:val="24"/>
                <w:szCs w:val="24"/>
                <w:lang w:eastAsia="lv-LV"/>
              </w:rPr>
              <w:t xml:space="preserve">aktivitātēm saistībā ar </w:t>
            </w:r>
            <w:r w:rsidR="007C5D66" w:rsidRPr="002C4A1B">
              <w:rPr>
                <w:rFonts w:ascii="Times New Roman" w:eastAsia="Times New Roman" w:hAnsi="Times New Roman" w:cs="Times New Roman"/>
                <w:color w:val="000000" w:themeColor="text1"/>
                <w:sz w:val="24"/>
                <w:szCs w:val="24"/>
                <w:lang w:eastAsia="lv-LV"/>
              </w:rPr>
              <w:t>akcionāra tiesību izmantošan</w:t>
            </w:r>
            <w:r w:rsidR="000F2BEF" w:rsidRPr="002C4A1B">
              <w:rPr>
                <w:rFonts w:ascii="Times New Roman" w:eastAsia="Times New Roman" w:hAnsi="Times New Roman" w:cs="Times New Roman"/>
                <w:color w:val="000000" w:themeColor="text1"/>
                <w:sz w:val="24"/>
                <w:szCs w:val="24"/>
                <w:lang w:eastAsia="lv-LV"/>
              </w:rPr>
              <w:t>u</w:t>
            </w:r>
            <w:r w:rsidRPr="002C4A1B">
              <w:rPr>
                <w:rFonts w:ascii="Times New Roman" w:eastAsia="Times New Roman" w:hAnsi="Times New Roman" w:cs="Times New Roman"/>
                <w:color w:val="000000" w:themeColor="text1"/>
                <w:sz w:val="24"/>
                <w:szCs w:val="24"/>
                <w:lang w:eastAsia="lv-LV"/>
              </w:rPr>
              <w:t>). Prognozējams, ka visai mērķgrupai kopīgās atbilstības izmaksas ik gadu nepārsniegs 2000</w:t>
            </w:r>
            <w:r w:rsidR="006F1738">
              <w:rPr>
                <w:rFonts w:ascii="Times New Roman" w:eastAsia="Times New Roman" w:hAnsi="Times New Roman" w:cs="Times New Roman"/>
                <w:color w:val="000000" w:themeColor="text1"/>
                <w:sz w:val="24"/>
                <w:szCs w:val="24"/>
                <w:lang w:eastAsia="lv-LV"/>
              </w:rPr>
              <w:t> </w:t>
            </w:r>
            <w:proofErr w:type="spellStart"/>
            <w:r w:rsidR="004E2AA7" w:rsidRPr="00786809">
              <w:rPr>
                <w:rFonts w:ascii="Times New Roman" w:eastAsia="Times New Roman" w:hAnsi="Times New Roman" w:cs="Times New Roman"/>
                <w:i/>
                <w:color w:val="000000" w:themeColor="text1"/>
                <w:sz w:val="24"/>
                <w:szCs w:val="24"/>
                <w:lang w:eastAsia="lv-LV"/>
              </w:rPr>
              <w:t>e</w:t>
            </w:r>
            <w:r w:rsidR="00050485" w:rsidRPr="00786809">
              <w:rPr>
                <w:rFonts w:ascii="Times New Roman" w:eastAsia="Times New Roman" w:hAnsi="Times New Roman" w:cs="Times New Roman"/>
                <w:i/>
                <w:color w:val="000000" w:themeColor="text1"/>
                <w:sz w:val="24"/>
                <w:szCs w:val="24"/>
                <w:lang w:eastAsia="lv-LV"/>
              </w:rPr>
              <w:t>u</w:t>
            </w:r>
            <w:r w:rsidR="004E2AA7" w:rsidRPr="00786809">
              <w:rPr>
                <w:rFonts w:ascii="Times New Roman" w:eastAsia="Times New Roman" w:hAnsi="Times New Roman" w:cs="Times New Roman"/>
                <w:i/>
                <w:color w:val="000000" w:themeColor="text1"/>
                <w:sz w:val="24"/>
                <w:szCs w:val="24"/>
                <w:lang w:eastAsia="lv-LV"/>
              </w:rPr>
              <w:t>ro</w:t>
            </w:r>
            <w:proofErr w:type="spellEnd"/>
            <w:r w:rsidRPr="002C4A1B">
              <w:rPr>
                <w:rFonts w:ascii="Times New Roman" w:eastAsia="Times New Roman" w:hAnsi="Times New Roman" w:cs="Times New Roman"/>
                <w:i/>
                <w:color w:val="000000" w:themeColor="text1"/>
                <w:sz w:val="24"/>
                <w:szCs w:val="24"/>
                <w:lang w:eastAsia="lv-LV"/>
              </w:rPr>
              <w:t xml:space="preserve"> </w:t>
            </w:r>
            <w:r w:rsidRPr="002C4A1B">
              <w:rPr>
                <w:rFonts w:ascii="Times New Roman" w:eastAsia="Times New Roman" w:hAnsi="Times New Roman" w:cs="Times New Roman"/>
                <w:color w:val="000000" w:themeColor="text1"/>
                <w:sz w:val="24"/>
                <w:szCs w:val="24"/>
                <w:lang w:eastAsia="lv-LV"/>
              </w:rPr>
              <w:t>gadā.</w:t>
            </w:r>
          </w:p>
          <w:p w14:paraId="0C5B7775" w14:textId="39B61503" w:rsidR="001F257B" w:rsidRPr="002C4A1B" w:rsidRDefault="001F257B" w:rsidP="00794B68">
            <w:pPr>
              <w:spacing w:after="0" w:line="240" w:lineRule="auto"/>
              <w:ind w:firstLine="284"/>
              <w:jc w:val="both"/>
              <w:rPr>
                <w:rFonts w:ascii="Times New Roman" w:eastAsia="Times New Roman" w:hAnsi="Times New Roman" w:cs="Times New Roman"/>
                <w:sz w:val="24"/>
                <w:szCs w:val="24"/>
                <w:lang w:eastAsia="lv-LV"/>
              </w:rPr>
            </w:pPr>
          </w:p>
        </w:tc>
      </w:tr>
      <w:tr w:rsidR="00DA326E" w:rsidRPr="002C4A1B"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3A3ECB21" w:rsidR="004D15A9"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5</w:t>
            </w:r>
            <w:r w:rsidR="004D15A9" w:rsidRPr="002C4A1B">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2C4A1B" w:rsidRDefault="001A3A5D"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r w:rsidR="0059057E" w:rsidRPr="002C4A1B"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Pr="002C4A1B"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2C4A1B"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III. Tiesību akta projekta ietekme uz valsts budžetu un pašvaldību budžetiem</w:t>
            </w:r>
          </w:p>
        </w:tc>
      </w:tr>
      <w:tr w:rsidR="00CF69CA" w:rsidRPr="002C4A1B"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2C4A1B" w:rsidRDefault="00CF69CA" w:rsidP="001F68D7">
            <w:pPr>
              <w:spacing w:after="0" w:line="240" w:lineRule="auto"/>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bl>
    <w:p w14:paraId="717F7F2B" w14:textId="553CEE65"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C4A1B"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C4A1B"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2C4A1B" w:rsidRDefault="00A1552F"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w:t>
            </w:r>
            <w:r w:rsidR="004D15A9" w:rsidRPr="002C4A1B">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Pr="002C4A1B" w:rsidRDefault="00CF69CA"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 xml:space="preserve">Projekts saistīts ar </w:t>
            </w:r>
            <w:r w:rsidR="004375DC" w:rsidRPr="002C4A1B">
              <w:rPr>
                <w:rFonts w:ascii="Times New Roman" w:hAnsi="Times New Roman" w:cs="Times New Roman"/>
                <w:sz w:val="24"/>
                <w:szCs w:val="24"/>
              </w:rPr>
              <w:t>šādiem likumprojektiem:</w:t>
            </w:r>
          </w:p>
          <w:p w14:paraId="3D0D1A62" w14:textId="7DCCF7F6" w:rsidR="004375DC" w:rsidRPr="002C4A1B" w:rsidRDefault="004375DC"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1) </w:t>
            </w:r>
            <w:r w:rsidR="00DF21B5" w:rsidRPr="00074F02">
              <w:rPr>
                <w:rFonts w:ascii="Times New Roman" w:hAnsi="Times New Roman" w:cs="Times New Roman"/>
                <w:sz w:val="24"/>
                <w:szCs w:val="24"/>
              </w:rPr>
              <w:t xml:space="preserve">likumprojekts </w:t>
            </w:r>
            <w:r w:rsidR="006F1738">
              <w:rPr>
                <w:rFonts w:ascii="Times New Roman" w:hAnsi="Times New Roman" w:cs="Times New Roman"/>
                <w:sz w:val="24"/>
                <w:szCs w:val="24"/>
              </w:rPr>
              <w:t>"</w:t>
            </w:r>
            <w:r w:rsidR="00DF21B5" w:rsidRPr="00074F02">
              <w:rPr>
                <w:rFonts w:ascii="Times New Roman" w:hAnsi="Times New Roman" w:cs="Times New Roman"/>
                <w:sz w:val="24"/>
                <w:szCs w:val="24"/>
              </w:rPr>
              <w:t>Grozījums Revīzijas pakalpojumu likumā</w:t>
            </w:r>
            <w:r w:rsidR="006F1738">
              <w:rPr>
                <w:rFonts w:ascii="Times New Roman" w:hAnsi="Times New Roman" w:cs="Times New Roman"/>
                <w:sz w:val="24"/>
                <w:szCs w:val="24"/>
              </w:rPr>
              <w:t>"</w:t>
            </w:r>
            <w:r w:rsidR="00DB79D4">
              <w:rPr>
                <w:rFonts w:ascii="Times New Roman" w:hAnsi="Times New Roman" w:cs="Times New Roman"/>
                <w:sz w:val="24"/>
                <w:szCs w:val="24"/>
              </w:rPr>
              <w:t xml:space="preserve"> (</w:t>
            </w:r>
            <w:r w:rsidR="00D64B17">
              <w:rPr>
                <w:rFonts w:ascii="Times New Roman" w:hAnsi="Times New Roman" w:cs="Times New Roman"/>
                <w:sz w:val="24"/>
                <w:szCs w:val="24"/>
              </w:rPr>
              <w:t xml:space="preserve">20.12.2018., prot. Nr. 50, </w:t>
            </w:r>
            <w:r w:rsidR="00DB79D4">
              <w:rPr>
                <w:rFonts w:ascii="Times New Roman" w:hAnsi="Times New Roman" w:cs="Times New Roman"/>
                <w:sz w:val="24"/>
                <w:szCs w:val="24"/>
              </w:rPr>
              <w:t>VSS-1299)</w:t>
            </w:r>
            <w:r w:rsidR="00DF21B5" w:rsidRPr="00074F02">
              <w:rPr>
                <w:rFonts w:ascii="Times New Roman" w:hAnsi="Times New Roman" w:cs="Times New Roman"/>
                <w:sz w:val="24"/>
                <w:szCs w:val="24"/>
              </w:rPr>
              <w:t xml:space="preserve">, kas paredz zvērināta revidenta pienākumu revidentu ziņojumā sniegt viedokli arī par atalgojuma ziņojuma, kuru ir sagatavojusi kapitālsabiedrība, </w:t>
            </w:r>
            <w:r w:rsidR="00DF21B5" w:rsidRPr="00074F02">
              <w:rPr>
                <w:rFonts w:ascii="Times New Roman" w:hAnsi="Times New Roman" w:cs="Times New Roman"/>
                <w:sz w:val="24"/>
                <w:szCs w:val="24"/>
              </w:rPr>
              <w:lastRenderedPageBreak/>
              <w:t xml:space="preserve">kuras akcijas ir iekļautas regulētajā tirgū, satura atbilstību </w:t>
            </w:r>
            <w:r w:rsidR="006F1738">
              <w:rPr>
                <w:rFonts w:ascii="Times New Roman" w:hAnsi="Times New Roman" w:cs="Times New Roman"/>
                <w:sz w:val="24"/>
                <w:szCs w:val="24"/>
              </w:rPr>
              <w:t>FITL</w:t>
            </w:r>
            <w:r w:rsidR="00DF21B5" w:rsidRPr="00074F02">
              <w:rPr>
                <w:rFonts w:ascii="Times New Roman" w:hAnsi="Times New Roman" w:cs="Times New Roman"/>
                <w:sz w:val="24"/>
                <w:szCs w:val="24"/>
              </w:rPr>
              <w:t xml:space="preserve"> 59.</w:t>
            </w:r>
            <w:r w:rsidR="00DF21B5" w:rsidRPr="00074F02">
              <w:rPr>
                <w:rFonts w:ascii="Times New Roman" w:hAnsi="Times New Roman" w:cs="Times New Roman"/>
                <w:sz w:val="24"/>
                <w:szCs w:val="24"/>
                <w:vertAlign w:val="superscript"/>
              </w:rPr>
              <w:t>4</w:t>
            </w:r>
            <w:r w:rsidR="006F1738">
              <w:rPr>
                <w:rFonts w:ascii="Times New Roman" w:hAnsi="Times New Roman" w:cs="Times New Roman"/>
                <w:sz w:val="24"/>
                <w:szCs w:val="24"/>
              </w:rPr>
              <w:t> </w:t>
            </w:r>
            <w:r w:rsidR="00DF21B5" w:rsidRPr="00074F02">
              <w:rPr>
                <w:rFonts w:ascii="Times New Roman" w:hAnsi="Times New Roman" w:cs="Times New Roman"/>
                <w:sz w:val="24"/>
                <w:szCs w:val="24"/>
              </w:rPr>
              <w:t>panta prasībām, kā arī par šajā ziņojumā konstatētajām neatbilstībām;</w:t>
            </w:r>
          </w:p>
          <w:p w14:paraId="1874DF8A" w14:textId="4ACE5D0E" w:rsidR="00B103C5" w:rsidRPr="002C4A1B" w:rsidRDefault="00B103C5" w:rsidP="00B103C5">
            <w:pPr>
              <w:spacing w:after="0" w:line="240" w:lineRule="auto"/>
              <w:ind w:firstLine="284"/>
              <w:jc w:val="both"/>
            </w:pPr>
            <w:r w:rsidRPr="002C4A1B">
              <w:rPr>
                <w:rFonts w:ascii="Times New Roman" w:hAnsi="Times New Roman" w:cs="Times New Roman"/>
                <w:sz w:val="24"/>
                <w:szCs w:val="24"/>
                <w:shd w:val="clear" w:color="auto" w:fill="FFFFFF"/>
              </w:rPr>
              <w:t xml:space="preserve">2) likumprojekts </w:t>
            </w:r>
            <w:r w:rsidRPr="002C4A1B">
              <w:rPr>
                <w:rFonts w:ascii="Times New Roman" w:hAnsi="Times New Roman" w:cs="Times New Roman"/>
                <w:sz w:val="24"/>
                <w:szCs w:val="24"/>
              </w:rPr>
              <w:t>"</w:t>
            </w:r>
            <w:r w:rsidRPr="002C4A1B">
              <w:rPr>
                <w:rFonts w:ascii="Times New Roman" w:hAnsi="Times New Roman" w:cs="Times New Roman"/>
                <w:sz w:val="24"/>
                <w:szCs w:val="24"/>
                <w:shd w:val="clear" w:color="auto" w:fill="FFFFFF"/>
              </w:rPr>
              <w:t xml:space="preserve">Grozījumi likumā </w:t>
            </w:r>
            <w:r w:rsidRPr="002C4A1B">
              <w:rPr>
                <w:rFonts w:ascii="Times New Roman" w:hAnsi="Times New Roman" w:cs="Times New Roman"/>
                <w:sz w:val="24"/>
                <w:szCs w:val="24"/>
              </w:rPr>
              <w:t>"</w:t>
            </w:r>
            <w:r w:rsidRPr="002C4A1B">
              <w:rPr>
                <w:rFonts w:ascii="Times New Roman" w:hAnsi="Times New Roman" w:cs="Times New Roman"/>
                <w:sz w:val="24"/>
                <w:szCs w:val="24"/>
                <w:shd w:val="clear" w:color="auto" w:fill="FFFFFF"/>
              </w:rPr>
              <w:t>Par privātajiem pensiju fondiem</w:t>
            </w:r>
            <w:r w:rsidRPr="002C4A1B">
              <w:rPr>
                <w:rFonts w:ascii="Times New Roman" w:hAnsi="Times New Roman" w:cs="Times New Roman"/>
                <w:sz w:val="24"/>
                <w:szCs w:val="24"/>
              </w:rPr>
              <w:t>""</w:t>
            </w:r>
            <w:r w:rsidR="00DB79D4">
              <w:rPr>
                <w:rFonts w:ascii="Times New Roman" w:hAnsi="Times New Roman" w:cs="Times New Roman"/>
                <w:sz w:val="24"/>
                <w:szCs w:val="24"/>
              </w:rPr>
              <w:t xml:space="preserve"> (</w:t>
            </w:r>
            <w:r w:rsidR="00D64B17">
              <w:rPr>
                <w:rFonts w:ascii="Times New Roman" w:hAnsi="Times New Roman" w:cs="Times New Roman"/>
                <w:sz w:val="24"/>
                <w:szCs w:val="24"/>
              </w:rPr>
              <w:t xml:space="preserve">20.12.2018., prot. Nr. 50, </w:t>
            </w:r>
            <w:r w:rsidR="00DB79D4">
              <w:rPr>
                <w:rFonts w:ascii="Times New Roman" w:hAnsi="Times New Roman" w:cs="Times New Roman"/>
                <w:sz w:val="24"/>
                <w:szCs w:val="24"/>
              </w:rPr>
              <w:t>VSS-1300)</w:t>
            </w:r>
            <w:r w:rsidRPr="002C4A1B">
              <w:rPr>
                <w:rFonts w:ascii="Times New Roman" w:hAnsi="Times New Roman" w:cs="Times New Roman"/>
                <w:sz w:val="24"/>
                <w:szCs w:val="24"/>
                <w:shd w:val="clear" w:color="auto" w:fill="FFFFFF"/>
              </w:rPr>
              <w:t xml:space="preserve">, kas paredz grozījumus saistībā ar pienākumu </w:t>
            </w:r>
            <w:r w:rsidRPr="002C4A1B">
              <w:rPr>
                <w:rStyle w:val="gmaildefault"/>
                <w:rFonts w:ascii="Times New Roman" w:hAnsi="Times New Roman" w:cs="Times New Roman"/>
                <w:sz w:val="24"/>
                <w:szCs w:val="24"/>
                <w:shd w:val="clear" w:color="auto" w:fill="FFFFFF"/>
              </w:rPr>
              <w:t xml:space="preserve">pensiju fondam </w:t>
            </w:r>
            <w:r w:rsidRPr="002C4A1B">
              <w:rPr>
                <w:rFonts w:ascii="Times New Roman" w:hAnsi="Times New Roman" w:cs="Times New Roman"/>
                <w:sz w:val="24"/>
                <w:szCs w:val="24"/>
                <w:shd w:val="clear" w:color="auto" w:fill="FFFFFF"/>
              </w:rPr>
              <w:t xml:space="preserve">izstrādāt un publiskot iesaistīšanās politiku (politiku, kurā apraksta un skaidro kā </w:t>
            </w:r>
            <w:r w:rsidRPr="002C4A1B">
              <w:rPr>
                <w:rStyle w:val="gmaildefault"/>
                <w:rFonts w:ascii="Times New Roman" w:hAnsi="Times New Roman" w:cs="Times New Roman"/>
                <w:sz w:val="24"/>
                <w:szCs w:val="24"/>
                <w:shd w:val="clear" w:color="auto" w:fill="FFFFFF"/>
              </w:rPr>
              <w:t>pensiju fonds iesaistās tās akciju sabiedrības pārvaldībā, kurā tiek ieguldīti pensiju plāna aktīvi</w:t>
            </w:r>
            <w:r w:rsidRPr="002C4A1B">
              <w:rPr>
                <w:rFonts w:ascii="Times New Roman" w:hAnsi="Times New Roman" w:cs="Times New Roman"/>
                <w:sz w:val="24"/>
                <w:szCs w:val="24"/>
                <w:shd w:val="clear" w:color="auto" w:fill="FFFFFF"/>
              </w:rPr>
              <w:t>)</w:t>
            </w:r>
            <w:r w:rsidRPr="002C4A1B">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ja atbilstoši</w:t>
            </w:r>
            <w:r w:rsidRPr="002C4A1B">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2C4A1B">
              <w:rPr>
                <w:rStyle w:val="gmaildefault"/>
                <w:rFonts w:ascii="Times New Roman" w:hAnsi="Times New Roman" w:cs="Times New Roman"/>
                <w:sz w:val="24"/>
                <w:szCs w:val="24"/>
                <w:shd w:val="clear" w:color="auto" w:fill="FFFFFF"/>
              </w:rPr>
              <w:t xml:space="preserve">. Tāpat grozījumi paredz līdzekļu pārvaldītājam </w:t>
            </w:r>
            <w:r w:rsidRPr="002C4A1B">
              <w:rPr>
                <w:rFonts w:ascii="Times New Roman" w:hAnsi="Times New Roman" w:cs="Times New Roman"/>
                <w:sz w:val="24"/>
                <w:szCs w:val="24"/>
              </w:rPr>
              <w:t>pienākumu</w:t>
            </w:r>
            <w:r w:rsidRPr="002C4A1B">
              <w:rPr>
                <w:rStyle w:val="gmaildefault"/>
                <w:rFonts w:ascii="Times New Roman" w:hAnsi="Times New Roman" w:cs="Times New Roman"/>
                <w:sz w:val="24"/>
                <w:szCs w:val="24"/>
              </w:rPr>
              <w:t xml:space="preserve"> </w:t>
            </w:r>
            <w:r w:rsidRPr="002C4A1B">
              <w:rPr>
                <w:rFonts w:ascii="Times New Roman" w:hAnsi="Times New Roman" w:cs="Times New Roman"/>
                <w:sz w:val="24"/>
                <w:szCs w:val="24"/>
              </w:rPr>
              <w:t>atklāt pensiju fondam</w:t>
            </w:r>
            <w:r w:rsidRPr="002C4A1B">
              <w:rPr>
                <w:rStyle w:val="gmaildefault"/>
                <w:rFonts w:ascii="Times New Roman" w:hAnsi="Times New Roman" w:cs="Times New Roman"/>
                <w:sz w:val="24"/>
                <w:szCs w:val="24"/>
              </w:rPr>
              <w:t xml:space="preserve"> </w:t>
            </w:r>
            <w:r w:rsidRPr="002C4A1B">
              <w:rPr>
                <w:rFonts w:ascii="Times New Roman" w:hAnsi="Times New Roman" w:cs="Times New Roman"/>
                <w:sz w:val="24"/>
                <w:szCs w:val="24"/>
              </w:rPr>
              <w:t xml:space="preserve">noteiktu informāciju </w:t>
            </w:r>
            <w:r w:rsidRPr="002C4A1B">
              <w:rPr>
                <w:rStyle w:val="gmaildefault"/>
                <w:rFonts w:ascii="Times New Roman" w:hAnsi="Times New Roman" w:cs="Times New Roman"/>
                <w:sz w:val="24"/>
                <w:szCs w:val="24"/>
              </w:rPr>
              <w:t xml:space="preserve">par to, kā līdzekļu pārvaldītājs veicina pensiju </w:t>
            </w:r>
            <w:r w:rsidR="009A63F9" w:rsidRPr="002C4A1B">
              <w:rPr>
                <w:rStyle w:val="gmaildefault"/>
                <w:rFonts w:ascii="Times New Roman" w:hAnsi="Times New Roman" w:cs="Times New Roman"/>
                <w:sz w:val="24"/>
                <w:szCs w:val="24"/>
              </w:rPr>
              <w:t xml:space="preserve">plāna </w:t>
            </w:r>
            <w:r w:rsidRPr="002C4A1B">
              <w:rPr>
                <w:rStyle w:val="gmaildefault"/>
                <w:rFonts w:ascii="Times New Roman" w:hAnsi="Times New Roman" w:cs="Times New Roman"/>
                <w:sz w:val="24"/>
                <w:szCs w:val="24"/>
              </w:rPr>
              <w:t>ilgtermiņa darbības rezultātus</w:t>
            </w:r>
            <w:r w:rsidR="00A168B6" w:rsidRPr="002C4A1B">
              <w:rPr>
                <w:rStyle w:val="gmaildefault"/>
                <w:rFonts w:ascii="Times New Roman" w:hAnsi="Times New Roman" w:cs="Times New Roman"/>
                <w:sz w:val="24"/>
                <w:szCs w:val="24"/>
              </w:rPr>
              <w:t>;</w:t>
            </w:r>
          </w:p>
          <w:p w14:paraId="56B06F19" w14:textId="3B519965" w:rsidR="00B103C5" w:rsidRPr="002C4A1B" w:rsidRDefault="00B103C5" w:rsidP="00B103C5">
            <w:pPr>
              <w:spacing w:after="0" w:line="240" w:lineRule="auto"/>
              <w:ind w:firstLine="284"/>
              <w:jc w:val="both"/>
            </w:pPr>
            <w:r w:rsidRPr="002C4A1B">
              <w:rPr>
                <w:rFonts w:ascii="Times New Roman" w:hAnsi="Times New Roman" w:cs="Times New Roman"/>
                <w:sz w:val="24"/>
                <w:szCs w:val="24"/>
              </w:rPr>
              <w:t>3) likumprojekts "Grozījumi Ieguldījumu pārvaldes sabiedrību likumā"</w:t>
            </w:r>
            <w:r w:rsidR="00DB79D4">
              <w:rPr>
                <w:rFonts w:ascii="Times New Roman" w:hAnsi="Times New Roman" w:cs="Times New Roman"/>
                <w:sz w:val="24"/>
                <w:szCs w:val="24"/>
              </w:rPr>
              <w:t xml:space="preserve"> (</w:t>
            </w:r>
            <w:r w:rsidR="00D64B17">
              <w:rPr>
                <w:rFonts w:ascii="Times New Roman" w:hAnsi="Times New Roman" w:cs="Times New Roman"/>
                <w:sz w:val="24"/>
                <w:szCs w:val="24"/>
              </w:rPr>
              <w:t xml:space="preserve">20.12.2018., prot. Nr. 50, </w:t>
            </w:r>
            <w:r w:rsidR="00DB79D4">
              <w:rPr>
                <w:rFonts w:ascii="Times New Roman" w:hAnsi="Times New Roman" w:cs="Times New Roman"/>
                <w:sz w:val="24"/>
                <w:szCs w:val="24"/>
              </w:rPr>
              <w:t>VSS-1302)</w:t>
            </w:r>
            <w:r w:rsidRPr="002C4A1B">
              <w:rPr>
                <w:rFonts w:ascii="Times New Roman" w:hAnsi="Times New Roman" w:cs="Times New Roman"/>
                <w:sz w:val="24"/>
                <w:szCs w:val="24"/>
              </w:rPr>
              <w:t>, kas paredz grozījumus saistībā ar pienākumu izstrādāt un publiskot iesaistīšanās politiku;</w:t>
            </w:r>
          </w:p>
          <w:p w14:paraId="49A2F43D" w14:textId="44768970" w:rsidR="00B103C5" w:rsidRPr="002C4A1B" w:rsidRDefault="00B103C5" w:rsidP="00B103C5">
            <w:pPr>
              <w:spacing w:after="0" w:line="240" w:lineRule="auto"/>
              <w:ind w:firstLine="284"/>
              <w:jc w:val="both"/>
            </w:pPr>
            <w:r w:rsidRPr="002C4A1B">
              <w:rPr>
                <w:rFonts w:ascii="Times New Roman" w:hAnsi="Times New Roman" w:cs="Times New Roman"/>
                <w:sz w:val="24"/>
                <w:szCs w:val="24"/>
              </w:rPr>
              <w:t>4) likumprojekts "Grozījumi Apdrošināšanas un pārapdrošināšanas likumā"</w:t>
            </w:r>
            <w:r w:rsidR="00DB79D4">
              <w:rPr>
                <w:rFonts w:ascii="Times New Roman" w:hAnsi="Times New Roman" w:cs="Times New Roman"/>
                <w:sz w:val="24"/>
                <w:szCs w:val="24"/>
              </w:rPr>
              <w:t xml:space="preserve"> (</w:t>
            </w:r>
            <w:r w:rsidR="00D64B17">
              <w:rPr>
                <w:rFonts w:ascii="Times New Roman" w:hAnsi="Times New Roman" w:cs="Times New Roman"/>
                <w:sz w:val="24"/>
                <w:szCs w:val="24"/>
              </w:rPr>
              <w:t xml:space="preserve">20.12.2018., prot. Nr. 50, </w:t>
            </w:r>
            <w:r w:rsidR="00DB79D4">
              <w:rPr>
                <w:rFonts w:ascii="Times New Roman" w:hAnsi="Times New Roman" w:cs="Times New Roman"/>
                <w:sz w:val="24"/>
                <w:szCs w:val="24"/>
              </w:rPr>
              <w:t>VSS-1303)</w:t>
            </w:r>
            <w:r w:rsidRPr="002C4A1B">
              <w:rPr>
                <w:rFonts w:ascii="Times New Roman" w:hAnsi="Times New Roman" w:cs="Times New Roman"/>
                <w:sz w:val="24"/>
                <w:szCs w:val="24"/>
              </w:rPr>
              <w:t xml:space="preserve">, kas </w:t>
            </w:r>
            <w:r w:rsidRPr="002C4A1B">
              <w:rPr>
                <w:rStyle w:val="gmaildefault"/>
                <w:rFonts w:ascii="Times New Roman" w:hAnsi="Times New Roman" w:cs="Times New Roman"/>
                <w:sz w:val="24"/>
                <w:szCs w:val="24"/>
              </w:rPr>
              <w:t xml:space="preserve">pēc būtības </w:t>
            </w:r>
            <w:r w:rsidRPr="002C4A1B">
              <w:rPr>
                <w:rFonts w:ascii="Times New Roman" w:hAnsi="Times New Roman" w:cs="Times New Roman"/>
                <w:sz w:val="24"/>
                <w:szCs w:val="24"/>
              </w:rPr>
              <w:t xml:space="preserve">paredz </w:t>
            </w:r>
            <w:r w:rsidRPr="002C4A1B">
              <w:rPr>
                <w:rStyle w:val="gmaildefault"/>
                <w:rFonts w:ascii="Times New Roman" w:hAnsi="Times New Roman" w:cs="Times New Roman"/>
                <w:sz w:val="24"/>
                <w:szCs w:val="24"/>
              </w:rPr>
              <w:t xml:space="preserve">līdzīgus </w:t>
            </w:r>
            <w:r w:rsidRPr="002C4A1B">
              <w:rPr>
                <w:rFonts w:ascii="Times New Roman" w:hAnsi="Times New Roman" w:cs="Times New Roman"/>
                <w:sz w:val="24"/>
                <w:szCs w:val="24"/>
              </w:rPr>
              <w:t>grozījumus</w:t>
            </w:r>
            <w:r w:rsidRPr="002C4A1B">
              <w:rPr>
                <w:rStyle w:val="gmaildefault"/>
                <w:rFonts w:ascii="Times New Roman" w:hAnsi="Times New Roman" w:cs="Times New Roman"/>
                <w:sz w:val="24"/>
                <w:szCs w:val="24"/>
              </w:rPr>
              <w:t xml:space="preserve"> kādi plānoti likumā "Par privātajiem pensiju fondiem". Grozījumi paredz pienākumu</w:t>
            </w:r>
            <w:r w:rsidRPr="002C4A1B">
              <w:rPr>
                <w:rFonts w:ascii="Times New Roman" w:hAnsi="Times New Roman" w:cs="Times New Roman"/>
                <w:sz w:val="24"/>
                <w:szCs w:val="24"/>
              </w:rPr>
              <w:t xml:space="preserve"> </w:t>
            </w:r>
            <w:r w:rsidRPr="002C4A1B">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2C4A1B">
              <w:rPr>
                <w:rFonts w:ascii="Times New Roman" w:hAnsi="Times New Roman" w:cs="Times New Roman"/>
                <w:sz w:val="24"/>
                <w:szCs w:val="24"/>
              </w:rPr>
              <w:t>izstrādāt un publiskot iesaistīšanās politiku</w:t>
            </w:r>
            <w:r w:rsidR="00E13DC2" w:rsidRPr="002C4A1B">
              <w:rPr>
                <w:rStyle w:val="gmaildefault"/>
                <w:rFonts w:ascii="Times New Roman" w:hAnsi="Times New Roman" w:cs="Times New Roman"/>
                <w:sz w:val="24"/>
                <w:szCs w:val="24"/>
              </w:rPr>
              <w:t xml:space="preserve"> (ja ieguldījumu veidošanas politika paredz veikt ieguldījumus tādas akciju sabiedrības akcijās, kuras juridiskā adrese ir dalībvalstī un kuras akcijas iekļautas dalībvalsts regulētajā tirgū), </w:t>
            </w:r>
            <w:r w:rsidRPr="002C4A1B">
              <w:rPr>
                <w:rStyle w:val="gmaildefault"/>
                <w:rFonts w:ascii="Times New Roman" w:hAnsi="Times New Roman" w:cs="Times New Roman"/>
                <w:sz w:val="24"/>
                <w:szCs w:val="24"/>
              </w:rPr>
              <w:t>kā arī sniegt noteiktu informāciju par līgumu ar līdzekļu pārvaldītāju, ja šīs apdrošināšanas un pārapdrošināšanas sabiedrības pašas neveic ieguldījumus, bet to ir uzticējušas veikt citai personai - līdzekļu pārvaldītājam</w:t>
            </w:r>
            <w:r w:rsidR="000D2C40">
              <w:rPr>
                <w:rStyle w:val="gmaildefault"/>
                <w:rFonts w:ascii="Times New Roman" w:hAnsi="Times New Roman" w:cs="Times New Roman"/>
                <w:sz w:val="24"/>
                <w:szCs w:val="24"/>
              </w:rPr>
              <w:t>;</w:t>
            </w:r>
            <w:r w:rsidRPr="002C4A1B">
              <w:rPr>
                <w:rStyle w:val="gmaildefault"/>
                <w:rFonts w:ascii="Times New Roman" w:hAnsi="Times New Roman" w:cs="Times New Roman"/>
                <w:sz w:val="24"/>
                <w:szCs w:val="24"/>
              </w:rPr>
              <w:t> </w:t>
            </w:r>
          </w:p>
          <w:p w14:paraId="12B3526A" w14:textId="12836E0C" w:rsidR="00B103C5" w:rsidRPr="002C4A1B" w:rsidRDefault="00B103C5" w:rsidP="00B103C5">
            <w:pPr>
              <w:spacing w:after="0" w:line="240" w:lineRule="auto"/>
              <w:ind w:firstLine="284"/>
              <w:jc w:val="both"/>
              <w:rPr>
                <w:rFonts w:ascii="Times New Roman" w:hAnsi="Times New Roman" w:cs="Times New Roman"/>
                <w:sz w:val="24"/>
                <w:szCs w:val="24"/>
              </w:rPr>
            </w:pPr>
            <w:r w:rsidRPr="002C4A1B">
              <w:rPr>
                <w:rFonts w:ascii="Times New Roman" w:hAnsi="Times New Roman" w:cs="Times New Roman"/>
                <w:sz w:val="24"/>
                <w:szCs w:val="24"/>
              </w:rPr>
              <w:t>5) likumprojekts "Grozījumi Alternatīvo ieguldījumu fondu un to pārvaldnieku likumā"</w:t>
            </w:r>
            <w:r w:rsidR="00DB79D4">
              <w:rPr>
                <w:rFonts w:ascii="Times New Roman" w:hAnsi="Times New Roman" w:cs="Times New Roman"/>
                <w:sz w:val="24"/>
                <w:szCs w:val="24"/>
              </w:rPr>
              <w:t xml:space="preserve"> (</w:t>
            </w:r>
            <w:r w:rsidR="00D64B17">
              <w:rPr>
                <w:rFonts w:ascii="Times New Roman" w:hAnsi="Times New Roman" w:cs="Times New Roman"/>
                <w:sz w:val="24"/>
                <w:szCs w:val="24"/>
              </w:rPr>
              <w:t xml:space="preserve">20.12.2018., prot. Nr. 50, </w:t>
            </w:r>
            <w:r w:rsidR="00DB79D4">
              <w:rPr>
                <w:rFonts w:ascii="Times New Roman" w:hAnsi="Times New Roman" w:cs="Times New Roman"/>
                <w:sz w:val="24"/>
                <w:szCs w:val="24"/>
              </w:rPr>
              <w:t>VSS-1305)</w:t>
            </w:r>
            <w:r w:rsidRPr="002C4A1B">
              <w:rPr>
                <w:rFonts w:ascii="Times New Roman" w:hAnsi="Times New Roman" w:cs="Times New Roman"/>
                <w:sz w:val="24"/>
                <w:szCs w:val="24"/>
              </w:rPr>
              <w:t>, kas paredz grozījumus saistībā ar pienākumu izstrādāt un publiskot iesaistīšanās politiku.</w:t>
            </w:r>
          </w:p>
          <w:p w14:paraId="1B579D3B" w14:textId="7B0F3D65" w:rsidR="00CF69CA" w:rsidRPr="002C4A1B" w:rsidRDefault="00CF69CA" w:rsidP="00B103C5">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rPr>
              <w:t>Projekt</w:t>
            </w:r>
            <w:r w:rsidR="00EB4318" w:rsidRPr="002C4A1B">
              <w:rPr>
                <w:rFonts w:ascii="Times New Roman" w:hAnsi="Times New Roman" w:cs="Times New Roman"/>
                <w:sz w:val="24"/>
                <w:szCs w:val="24"/>
              </w:rPr>
              <w:t>s un minētie likumprojekti</w:t>
            </w:r>
            <w:r w:rsidRPr="002C4A1B">
              <w:rPr>
                <w:rFonts w:ascii="Times New Roman" w:hAnsi="Times New Roman" w:cs="Times New Roman"/>
                <w:sz w:val="24"/>
                <w:szCs w:val="24"/>
              </w:rPr>
              <w:t xml:space="preserve"> Ministru kabinetā un Saeimā skatāmi vienlaicīgi.</w:t>
            </w:r>
          </w:p>
        </w:tc>
      </w:tr>
      <w:tr w:rsidR="00BC2633" w:rsidRPr="002C4A1B"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0A32513" w:rsidR="004D15A9" w:rsidRPr="002C4A1B" w:rsidRDefault="00CF69CA"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Tieslietu ministrija</w:t>
            </w:r>
            <w:r w:rsidR="00050485">
              <w:rPr>
                <w:rFonts w:ascii="Times New Roman" w:eastAsia="Times New Roman" w:hAnsi="Times New Roman" w:cs="Times New Roman"/>
                <w:sz w:val="24"/>
                <w:szCs w:val="24"/>
                <w:lang w:eastAsia="lv-LV"/>
              </w:rPr>
              <w:t>.</w:t>
            </w:r>
          </w:p>
        </w:tc>
      </w:tr>
      <w:tr w:rsidR="004D15A9" w:rsidRPr="002C4A1B"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2C4A1B" w:rsidRDefault="00CF69CA" w:rsidP="001C5969">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14:paraId="2CBEBB46"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2C4A1B"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2C4A1B"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7C7DFC44" w:rsidR="004D15A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Eiropas Parlamenta un Padomes </w:t>
            </w:r>
            <w:r w:rsidR="00050485" w:rsidRPr="002C4A1B">
              <w:rPr>
                <w:rFonts w:ascii="Times New Roman" w:eastAsia="Times New Roman" w:hAnsi="Times New Roman" w:cs="Times New Roman"/>
                <w:sz w:val="24"/>
                <w:szCs w:val="24"/>
                <w:lang w:eastAsia="lv-LV"/>
              </w:rPr>
              <w:t>2017. gada 17. maij</w:t>
            </w:r>
            <w:r w:rsidR="00050485">
              <w:rPr>
                <w:rFonts w:ascii="Times New Roman" w:eastAsia="Times New Roman" w:hAnsi="Times New Roman" w:cs="Times New Roman"/>
                <w:sz w:val="24"/>
                <w:szCs w:val="24"/>
                <w:lang w:eastAsia="lv-LV"/>
              </w:rPr>
              <w:t>a</w:t>
            </w:r>
            <w:r w:rsidR="00050485" w:rsidRPr="002C4A1B">
              <w:rPr>
                <w:rFonts w:ascii="Times New Roman" w:eastAsia="Times New Roman" w:hAnsi="Times New Roman" w:cs="Times New Roman"/>
                <w:sz w:val="24"/>
                <w:szCs w:val="24"/>
                <w:lang w:eastAsia="lv-LV"/>
              </w:rPr>
              <w:t xml:space="preserve"> </w:t>
            </w:r>
            <w:r w:rsidR="00050485">
              <w:rPr>
                <w:rFonts w:ascii="Times New Roman" w:eastAsia="Times New Roman" w:hAnsi="Times New Roman" w:cs="Times New Roman"/>
                <w:sz w:val="24"/>
                <w:szCs w:val="24"/>
                <w:lang w:eastAsia="lv-LV"/>
              </w:rPr>
              <w:t>d</w:t>
            </w:r>
            <w:r w:rsidRPr="002C4A1B">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46F4ED3F" w14:textId="2B919EDC" w:rsidR="00C2623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Direktīvas prasības ir jāievieš līdz 2019. gada 10. jūnijam.</w:t>
            </w:r>
          </w:p>
        </w:tc>
      </w:tr>
      <w:tr w:rsidR="00BC2633" w:rsidRPr="002C4A1B"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2C4A1B" w:rsidRDefault="00C26239" w:rsidP="00964EA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4D15A9" w:rsidRPr="002C4A1B"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2B2E50F5" w:rsidR="004D15A9" w:rsidRPr="002C4A1B" w:rsidRDefault="64DB5A0C" w:rsidP="64DB5A0C">
            <w:pPr>
              <w:pStyle w:val="title-doc-first2"/>
              <w:shd w:val="clear" w:color="auto" w:fill="FFFFFF" w:themeFill="background1"/>
              <w:spacing w:before="0" w:line="240" w:lineRule="auto"/>
              <w:ind w:firstLine="284"/>
              <w:jc w:val="both"/>
              <w:rPr>
                <w:rFonts w:eastAsia="Arial Unicode MS"/>
                <w:b w:val="0"/>
                <w:bCs w:val="0"/>
              </w:rPr>
            </w:pPr>
            <w:r w:rsidRPr="002C4A1B">
              <w:rPr>
                <w:b w:val="0"/>
                <w:bCs w:val="0"/>
              </w:rPr>
              <w:t xml:space="preserve">Lai būtu vieglāk atspoguļot atbilstību Direktīvas prasībām, tad 1. tabulā tiek lietota atsauce arī uz grozīto direktīvu - Eiropas Parlamenta un Padomes </w:t>
            </w:r>
            <w:r w:rsidR="00050485" w:rsidRPr="002C4A1B">
              <w:rPr>
                <w:rFonts w:eastAsia="Arial Unicode MS"/>
                <w:b w:val="0"/>
                <w:bCs w:val="0"/>
              </w:rPr>
              <w:t>2007. gada 11. jūlij</w:t>
            </w:r>
            <w:r w:rsidR="00050485">
              <w:rPr>
                <w:rFonts w:eastAsia="Arial Unicode MS"/>
                <w:b w:val="0"/>
                <w:bCs w:val="0"/>
              </w:rPr>
              <w:t>a</w:t>
            </w:r>
            <w:r w:rsidR="00050485" w:rsidRPr="002C4A1B">
              <w:rPr>
                <w:b w:val="0"/>
                <w:bCs w:val="0"/>
              </w:rPr>
              <w:t xml:space="preserve"> </w:t>
            </w:r>
            <w:r w:rsidR="00050485">
              <w:rPr>
                <w:b w:val="0"/>
                <w:bCs w:val="0"/>
              </w:rPr>
              <w:t>d</w:t>
            </w:r>
            <w:r w:rsidRPr="002C4A1B">
              <w:rPr>
                <w:b w:val="0"/>
                <w:bCs w:val="0"/>
              </w:rPr>
              <w:t>irektīva 2007/36/EK</w:t>
            </w:r>
            <w:r w:rsidRPr="002C4A1B">
              <w:rPr>
                <w:rFonts w:eastAsia="Arial Unicode MS"/>
                <w:b w:val="0"/>
                <w:bCs w:val="0"/>
              </w:rPr>
              <w:t xml:space="preserve"> par biržu sarakstos iekļautu sabiedrību akcionāru konkrētu tiesību izmantošanu (turpmāk – Direktīva 2007/36/EK).</w:t>
            </w:r>
          </w:p>
        </w:tc>
      </w:tr>
    </w:tbl>
    <w:p w14:paraId="31665CF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6"/>
        <w:gridCol w:w="283"/>
        <w:gridCol w:w="1766"/>
        <w:gridCol w:w="2396"/>
        <w:gridCol w:w="2544"/>
      </w:tblGrid>
      <w:tr w:rsidR="00BC2633" w:rsidRPr="002C4A1B" w14:paraId="66408AB4"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1.</w:t>
            </w:r>
            <w:r w:rsidR="00BC2633" w:rsidRPr="002C4A1B">
              <w:rPr>
                <w:rFonts w:ascii="Times New Roman" w:eastAsia="Times New Roman" w:hAnsi="Times New Roman" w:cs="Times New Roman"/>
                <w:b/>
                <w:bCs/>
                <w:sz w:val="24"/>
                <w:szCs w:val="24"/>
                <w:lang w:eastAsia="lv-LV"/>
              </w:rPr>
              <w:t> </w:t>
            </w:r>
            <w:r w:rsidRPr="002C4A1B">
              <w:rPr>
                <w:rFonts w:ascii="Times New Roman" w:eastAsia="Times New Roman" w:hAnsi="Times New Roman" w:cs="Times New Roman"/>
                <w:b/>
                <w:bCs/>
                <w:sz w:val="24"/>
                <w:szCs w:val="24"/>
                <w:lang w:eastAsia="lv-LV"/>
              </w:rPr>
              <w:t>tabula</w:t>
            </w:r>
            <w:r w:rsidRPr="002C4A1B">
              <w:rPr>
                <w:rFonts w:ascii="Times New Roman" w:eastAsia="Times New Roman" w:hAnsi="Times New Roman" w:cs="Times New Roman"/>
                <w:b/>
                <w:bCs/>
                <w:sz w:val="24"/>
                <w:szCs w:val="24"/>
                <w:lang w:eastAsia="lv-LV"/>
              </w:rPr>
              <w:br/>
              <w:t>Tiesību akta projekta atbilstība ES tiesību aktiem</w:t>
            </w:r>
          </w:p>
        </w:tc>
      </w:tr>
      <w:tr w:rsidR="00BC2633" w:rsidRPr="002C4A1B" w14:paraId="0167E14F"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Attiecīgā ES tiesību akta datums, numurs un nosaukums</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49E8C204" w14:textId="5FDE3D03" w:rsidR="004D15A9" w:rsidRPr="002C4A1B" w:rsidRDefault="00C26239" w:rsidP="001F68D7">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Eiropas Parlamenta un Padomes </w:t>
            </w:r>
            <w:r w:rsidR="00050485" w:rsidRPr="002C4A1B">
              <w:rPr>
                <w:rFonts w:ascii="Times New Roman" w:eastAsia="Times New Roman" w:hAnsi="Times New Roman" w:cs="Times New Roman"/>
                <w:sz w:val="24"/>
                <w:szCs w:val="24"/>
                <w:lang w:eastAsia="lv-LV"/>
              </w:rPr>
              <w:t>2017. gada 17. maij</w:t>
            </w:r>
            <w:r w:rsidR="00050485">
              <w:rPr>
                <w:rFonts w:ascii="Times New Roman" w:eastAsia="Times New Roman" w:hAnsi="Times New Roman" w:cs="Times New Roman"/>
                <w:sz w:val="24"/>
                <w:szCs w:val="24"/>
                <w:lang w:eastAsia="lv-LV"/>
              </w:rPr>
              <w:t>a d</w:t>
            </w:r>
            <w:r w:rsidRPr="002C4A1B">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r w:rsidR="001F68D7" w:rsidRPr="002C4A1B">
              <w:rPr>
                <w:rFonts w:ascii="Times New Roman" w:eastAsia="Times New Roman" w:hAnsi="Times New Roman" w:cs="Times New Roman"/>
                <w:sz w:val="24"/>
                <w:szCs w:val="24"/>
                <w:lang w:eastAsia="lv-LV"/>
              </w:rPr>
              <w:t>.</w:t>
            </w:r>
          </w:p>
        </w:tc>
      </w:tr>
      <w:tr w:rsidR="00BC2633" w:rsidRPr="002C4A1B" w14:paraId="301CF4B1" w14:textId="77777777" w:rsidTr="005839C8">
        <w:tc>
          <w:tcPr>
            <w:tcW w:w="1141"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w:t>
            </w:r>
          </w:p>
        </w:tc>
        <w:tc>
          <w:tcPr>
            <w:tcW w:w="1131"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2C4A1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w:t>
            </w:r>
          </w:p>
        </w:tc>
      </w:tr>
      <w:tr w:rsidR="00BC2633" w:rsidRPr="002C4A1B" w14:paraId="140E374C" w14:textId="77777777" w:rsidTr="005839C8">
        <w:tc>
          <w:tcPr>
            <w:tcW w:w="1141"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31"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40A25B6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2C4A1B" w:rsidRDefault="004D15A9" w:rsidP="00612A92">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2C4A1B" w:rsidRDefault="004D15A9" w:rsidP="00ED573E">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2C4A1B" w:rsidRDefault="004D15A9" w:rsidP="00612A92">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2C4A1B" w:rsidRDefault="004D15A9" w:rsidP="00ED573E">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C26239" w:rsidRPr="002C4A1B" w14:paraId="2E2BE34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C6CB8DF" w14:textId="7EF1C064" w:rsidR="00196BBF" w:rsidRPr="002C4A1B" w:rsidRDefault="009A6EF5" w:rsidP="00DA596D">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BABE23E" w14:textId="77777777" w:rsidR="006E007A"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1FD2B63" w14:textId="22D3FAE1" w:rsidR="00C26239"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84318E">
              <w:rPr>
                <w:rFonts w:ascii="Times New Roman" w:eastAsia="Times New Roman" w:hAnsi="Times New Roman" w:cs="Times New Roman"/>
                <w:color w:val="000000" w:themeColor="text1"/>
                <w:sz w:val="24"/>
                <w:szCs w:val="24"/>
                <w:vertAlign w:val="superscript"/>
                <w:lang w:eastAsia="lv-LV"/>
              </w:rPr>
              <w:t>6</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daļa, 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septītā daļa, 126.</w:t>
            </w:r>
            <w:r w:rsidRPr="002C4A1B">
              <w:rPr>
                <w:rFonts w:ascii="Times New Roman" w:eastAsia="Times New Roman" w:hAnsi="Times New Roman" w:cs="Times New Roman"/>
                <w:color w:val="000000" w:themeColor="text1"/>
                <w:sz w:val="24"/>
                <w:szCs w:val="24"/>
                <w:vertAlign w:val="superscript"/>
                <w:lang w:eastAsia="lv-LV"/>
              </w:rPr>
              <w:t>3</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78764FC6" w14:textId="560D0C41" w:rsidR="00C26239" w:rsidRPr="002C4A1B" w:rsidRDefault="00F64E5A" w:rsidP="00DA596D">
            <w:pPr>
              <w:spacing w:after="0" w:line="240" w:lineRule="auto"/>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DDF64D3" w14:textId="40ABDF94" w:rsidR="00C26239" w:rsidRPr="002C4A1B" w:rsidRDefault="006E007A" w:rsidP="00DA596D">
            <w:pPr>
              <w:spacing w:after="0" w:line="240" w:lineRule="auto"/>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5839C8" w:rsidRPr="002C4A1B" w14:paraId="113D242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D2AC00" w14:textId="23D68235" w:rsidR="005839C8" w:rsidRPr="002C4A1B" w:rsidRDefault="009A6EF5"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Arial Unicode MS" w:hAnsi="Times New Roman" w:cs="Times New Roman"/>
                <w:color w:val="000000" w:themeColor="text1"/>
                <w:sz w:val="24"/>
                <w:szCs w:val="24"/>
              </w:rPr>
              <w:t>Direktīvas 2007/36/EK 1.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F1D511F" w14:textId="408CADD9" w:rsidR="005839C8" w:rsidRPr="002C4A1B" w:rsidRDefault="006E007A" w:rsidP="006E007A">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ED79F1"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00ED79F1"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ceturtā daļa, </w:t>
            </w: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septītā daļa</w:t>
            </w:r>
          </w:p>
        </w:tc>
        <w:tc>
          <w:tcPr>
            <w:tcW w:w="1323" w:type="pct"/>
            <w:tcBorders>
              <w:top w:val="outset" w:sz="6" w:space="0" w:color="414142"/>
              <w:left w:val="outset" w:sz="6" w:space="0" w:color="414142"/>
              <w:bottom w:val="outset" w:sz="6" w:space="0" w:color="414142"/>
              <w:right w:val="outset" w:sz="6" w:space="0" w:color="414142"/>
            </w:tcBorders>
          </w:tcPr>
          <w:p w14:paraId="72BDD2EC" w14:textId="4F7F6631" w:rsidR="005839C8" w:rsidRPr="002C4A1B" w:rsidRDefault="005839C8"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7519E91" w14:textId="344EDB90" w:rsidR="005839C8" w:rsidRPr="002C4A1B" w:rsidRDefault="006E007A" w:rsidP="005839C8">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ACC8B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B6E51A7" w14:textId="229DC61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1.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23F56F3" w14:textId="3D92B01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42F7759A" w14:textId="3F7AC56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A67802B" w14:textId="63F34F0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E09E82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3F17CF" w14:textId="3C33125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BCE2D86"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18143C7" w14:textId="6FF621D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1712127F" w14:textId="66422BF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B5C4683" w14:textId="23AAAC7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8A507E3" w14:textId="77777777" w:rsidTr="00831D8D">
        <w:trPr>
          <w:trHeight w:val="823"/>
        </w:trPr>
        <w:tc>
          <w:tcPr>
            <w:tcW w:w="1141" w:type="pct"/>
            <w:tcBorders>
              <w:top w:val="outset" w:sz="6" w:space="0" w:color="414142"/>
              <w:left w:val="outset" w:sz="6" w:space="0" w:color="414142"/>
              <w:bottom w:val="outset" w:sz="6" w:space="0" w:color="414142"/>
              <w:right w:val="outset" w:sz="6" w:space="0" w:color="414142"/>
            </w:tcBorders>
          </w:tcPr>
          <w:p w14:paraId="2CFC74A2" w14:textId="30FD097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C134390" w14:textId="507E18C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786809">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vertAlign w:val="superscript"/>
                <w:lang w:eastAsia="lv-LV"/>
              </w:rPr>
              <w:t xml:space="preserve"> </w:t>
            </w:r>
            <w:r w:rsidRPr="002C4A1B">
              <w:rPr>
                <w:rFonts w:ascii="Times New Roman" w:eastAsia="Times New Roman" w:hAnsi="Times New Roman" w:cs="Times New Roman"/>
                <w:color w:val="000000" w:themeColor="text1"/>
                <w:sz w:val="24"/>
                <w:szCs w:val="24"/>
                <w:lang w:eastAsia="lv-LV"/>
              </w:rPr>
              <w:t>un 126.</w:t>
            </w:r>
            <w:r w:rsidRPr="002C4A1B">
              <w:rPr>
                <w:rFonts w:ascii="Times New Roman" w:eastAsia="Times New Roman" w:hAnsi="Times New Roman" w:cs="Times New Roman"/>
                <w:color w:val="000000" w:themeColor="text1"/>
                <w:sz w:val="24"/>
                <w:szCs w:val="24"/>
                <w:vertAlign w:val="superscript"/>
                <w:lang w:eastAsia="lv-LV"/>
              </w:rPr>
              <w:t>3</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A13EDEA" w14:textId="139D6B7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99AF490" w14:textId="3685725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BD306D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4D78E1" w14:textId="018B7C3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 panta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522F2A7" w14:textId="79F5A4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8C3E33D" w14:textId="65F77B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5DF14438" w14:textId="2FA24DB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2300B4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BEF666E" w14:textId="59B6531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 a)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39715C" w14:textId="1089E0D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olor w:val="000000" w:themeColor="text1"/>
                <w:sz w:val="24"/>
                <w:szCs w:val="24"/>
              </w:rPr>
              <w:t>FITL 1.</w:t>
            </w:r>
            <w:r w:rsidR="006F1738">
              <w:rPr>
                <w:rFonts w:ascii="Times New Roman" w:eastAsia="Times New Roman" w:hAnsi="Times New Roman"/>
                <w:color w:val="000000" w:themeColor="text1"/>
                <w:sz w:val="24"/>
                <w:szCs w:val="24"/>
              </w:rPr>
              <w:t> </w:t>
            </w:r>
            <w:r w:rsidRPr="002C4A1B">
              <w:rPr>
                <w:rFonts w:ascii="Times New Roman" w:eastAsia="Times New Roman" w:hAnsi="Times New Roman"/>
                <w:color w:val="000000" w:themeColor="text1"/>
                <w:sz w:val="24"/>
                <w:szCs w:val="24"/>
              </w:rPr>
              <w:t xml:space="preserve">panta pirmās daļas 6. punkts </w:t>
            </w:r>
          </w:p>
        </w:tc>
        <w:tc>
          <w:tcPr>
            <w:tcW w:w="1323" w:type="pct"/>
            <w:tcBorders>
              <w:top w:val="outset" w:sz="6" w:space="0" w:color="414142"/>
              <w:left w:val="outset" w:sz="6" w:space="0" w:color="414142"/>
              <w:bottom w:val="outset" w:sz="6" w:space="0" w:color="414142"/>
              <w:right w:val="outset" w:sz="6" w:space="0" w:color="414142"/>
            </w:tcBorders>
          </w:tcPr>
          <w:p w14:paraId="68BEC9BC" w14:textId="6F40753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7A4E200A" w14:textId="3CF8C35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2FC77C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52DFFF"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1EF4F3F6" w14:textId="776E988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4836989"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63FF73D" w14:textId="148266D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6</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 xml:space="preserve">panta </w:t>
            </w:r>
            <w:r w:rsidR="00FC0EEB" w:rsidRPr="002C4A1B">
              <w:rPr>
                <w:rFonts w:ascii="Times New Roman" w:eastAsia="Times New Roman" w:hAnsi="Times New Roman" w:cs="Times New Roman"/>
                <w:color w:val="000000" w:themeColor="text1"/>
                <w:sz w:val="24"/>
                <w:szCs w:val="24"/>
                <w:lang w:eastAsia="lv-LV"/>
              </w:rPr>
              <w:t xml:space="preserve">otrā </w:t>
            </w:r>
            <w:r w:rsidRPr="002C4A1B">
              <w:rPr>
                <w:rFonts w:ascii="Times New Roman" w:eastAsia="Times New Roman" w:hAnsi="Times New Roman" w:cs="Times New Roman"/>
                <w:color w:val="000000" w:themeColor="text1"/>
                <w:sz w:val="24"/>
                <w:szCs w:val="24"/>
                <w:lang w:eastAsia="lv-LV"/>
              </w:rPr>
              <w:t>daļa</w:t>
            </w:r>
          </w:p>
        </w:tc>
        <w:tc>
          <w:tcPr>
            <w:tcW w:w="1323" w:type="pct"/>
            <w:tcBorders>
              <w:top w:val="outset" w:sz="6" w:space="0" w:color="414142"/>
              <w:left w:val="outset" w:sz="6" w:space="0" w:color="414142"/>
              <w:bottom w:val="outset" w:sz="6" w:space="0" w:color="414142"/>
              <w:right w:val="outset" w:sz="6" w:space="0" w:color="414142"/>
            </w:tcBorders>
          </w:tcPr>
          <w:p w14:paraId="4EFCB4F4" w14:textId="0BC8A37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FB6CDA8" w14:textId="2A0AF90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575679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86859E8"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74CEC61D" w14:textId="3707F04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f)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B933A60" w14:textId="7740344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101.</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1A3347D3" w14:textId="64ADDD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3C57200D" w14:textId="581251E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88D0EF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A1E27AE"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43999E52" w14:textId="50E813B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g)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75B7C23" w14:textId="7D26F5F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1.</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panta pirmās daļas 106.</w:t>
            </w:r>
            <w:r w:rsidR="00786809">
              <w:rPr>
                <w:rFonts w:ascii="Times New Roman" w:eastAsia="Times New Roman" w:hAnsi="Times New Roman" w:cs="Times New Roman"/>
                <w:color w:val="000000" w:themeColor="text1"/>
                <w:sz w:val="24"/>
                <w:szCs w:val="24"/>
                <w:lang w:eastAsia="lv-LV"/>
              </w:rPr>
              <w:t> </w:t>
            </w:r>
            <w:r w:rsidRPr="002C4A1B">
              <w:rPr>
                <w:rFonts w:ascii="Times New Roman" w:eastAsia="Times New Roman" w:hAnsi="Times New Roman" w:cs="Times New Roman"/>
                <w:color w:val="000000" w:themeColor="text1"/>
                <w:sz w:val="24"/>
                <w:szCs w:val="24"/>
                <w:lang w:eastAsia="lv-LV"/>
              </w:rPr>
              <w:t>punkts</w:t>
            </w:r>
          </w:p>
        </w:tc>
        <w:tc>
          <w:tcPr>
            <w:tcW w:w="1323" w:type="pct"/>
            <w:tcBorders>
              <w:top w:val="outset" w:sz="6" w:space="0" w:color="414142"/>
              <w:left w:val="outset" w:sz="6" w:space="0" w:color="414142"/>
              <w:bottom w:val="outset" w:sz="6" w:space="0" w:color="414142"/>
              <w:right w:val="outset" w:sz="6" w:space="0" w:color="414142"/>
            </w:tcBorders>
          </w:tcPr>
          <w:p w14:paraId="0BB64E71" w14:textId="649CD6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BEC051D" w14:textId="3632116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61CCE2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132A1F3" w14:textId="77777777"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Direktīvas 2007/36/EK 2. panta</w:t>
            </w:r>
          </w:p>
          <w:p w14:paraId="38A51A78" w14:textId="3D449DF0"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h)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0F531C8" w14:textId="67AFB11B"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FITL 1. panta ceturtā daļa</w:t>
            </w:r>
          </w:p>
        </w:tc>
        <w:tc>
          <w:tcPr>
            <w:tcW w:w="1323" w:type="pct"/>
            <w:tcBorders>
              <w:top w:val="outset" w:sz="6" w:space="0" w:color="414142"/>
              <w:left w:val="outset" w:sz="6" w:space="0" w:color="414142"/>
              <w:bottom w:val="outset" w:sz="6" w:space="0" w:color="414142"/>
              <w:right w:val="outset" w:sz="6" w:space="0" w:color="414142"/>
            </w:tcBorders>
          </w:tcPr>
          <w:p w14:paraId="4983845F" w14:textId="11C24D53" w:rsidR="00ED79F1" w:rsidRPr="002C4A1B" w:rsidRDefault="00FC0EEB"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Jau ieviests</w:t>
            </w:r>
          </w:p>
        </w:tc>
        <w:tc>
          <w:tcPr>
            <w:tcW w:w="1405" w:type="pct"/>
            <w:tcBorders>
              <w:top w:val="outset" w:sz="6" w:space="0" w:color="414142"/>
              <w:left w:val="outset" w:sz="6" w:space="0" w:color="414142"/>
              <w:bottom w:val="outset" w:sz="6" w:space="0" w:color="414142"/>
              <w:right w:val="outset" w:sz="6" w:space="0" w:color="414142"/>
            </w:tcBorders>
          </w:tcPr>
          <w:p w14:paraId="557A0BA0" w14:textId="0673FD71"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53B54F3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DAC5B19" w14:textId="77777777"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Direktīvas 2007/36/EK 2. panta</w:t>
            </w:r>
          </w:p>
          <w:p w14:paraId="04B1672B" w14:textId="46A3033F" w:rsidR="00ED79F1" w:rsidRPr="002C4A1B" w:rsidRDefault="00ED79F1" w:rsidP="00ED79F1">
            <w:pPr>
              <w:spacing w:after="0" w:line="240" w:lineRule="auto"/>
              <w:rPr>
                <w:rFonts w:ascii="Times New Roman" w:eastAsia="Arial Unicode MS" w:hAnsi="Times New Roman" w:cs="Times New Roman"/>
                <w:sz w:val="24"/>
                <w:szCs w:val="24"/>
              </w:rPr>
            </w:pPr>
            <w:r w:rsidRPr="002C4A1B">
              <w:rPr>
                <w:rFonts w:ascii="Times New Roman" w:eastAsia="Arial Unicode MS" w:hAnsi="Times New Roman" w:cs="Times New Roman"/>
                <w:sz w:val="24"/>
                <w:szCs w:val="24"/>
              </w:rPr>
              <w:t>i)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4CF8862" w14:textId="79FC49CD"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Projektā ietvertā FITL 5</w:t>
            </w:r>
            <w:r w:rsidR="00786809">
              <w:rPr>
                <w:rFonts w:ascii="Times New Roman" w:eastAsia="Times New Roman" w:hAnsi="Times New Roman" w:cs="Times New Roman"/>
                <w:sz w:val="24"/>
                <w:szCs w:val="24"/>
                <w:lang w:eastAsia="lv-LV"/>
              </w:rPr>
              <w:t>9</w:t>
            </w:r>
            <w:r w:rsidRPr="002C4A1B">
              <w:rPr>
                <w:rFonts w:ascii="Times New Roman" w:eastAsia="Times New Roman" w:hAnsi="Times New Roman" w:cs="Times New Roman"/>
                <w:sz w:val="24"/>
                <w:szCs w:val="24"/>
                <w:lang w:eastAsia="lv-LV"/>
              </w:rPr>
              <w:t>.</w:t>
            </w:r>
            <w:r w:rsidR="00786809" w:rsidRPr="00786809">
              <w:rPr>
                <w:rFonts w:ascii="Times New Roman" w:eastAsia="Times New Roman" w:hAnsi="Times New Roman" w:cs="Times New Roman"/>
                <w:sz w:val="24"/>
                <w:szCs w:val="24"/>
                <w:vertAlign w:val="superscript"/>
                <w:lang w:eastAsia="lv-LV"/>
              </w:rPr>
              <w:t>3</w:t>
            </w:r>
            <w:r w:rsidRPr="002C4A1B">
              <w:rPr>
                <w:rFonts w:ascii="Times New Roman" w:eastAsia="Times New Roman" w:hAnsi="Times New Roman" w:cs="Times New Roman"/>
                <w:sz w:val="24"/>
                <w:szCs w:val="24"/>
                <w:vertAlign w:val="superscript"/>
                <w:lang w:eastAsia="lv-LV"/>
              </w:rPr>
              <w:t> </w:t>
            </w:r>
            <w:r w:rsidRPr="002C4A1B">
              <w:rPr>
                <w:rFonts w:ascii="Times New Roman" w:eastAsia="Times New Roman" w:hAnsi="Times New Roman" w:cs="Times New Roman"/>
                <w:sz w:val="24"/>
                <w:szCs w:val="24"/>
                <w:lang w:eastAsia="lv-LV"/>
              </w:rPr>
              <w:t>panta pirmā daļa</w:t>
            </w:r>
          </w:p>
        </w:tc>
        <w:tc>
          <w:tcPr>
            <w:tcW w:w="1323" w:type="pct"/>
            <w:tcBorders>
              <w:top w:val="outset" w:sz="6" w:space="0" w:color="414142"/>
              <w:left w:val="outset" w:sz="6" w:space="0" w:color="414142"/>
              <w:bottom w:val="outset" w:sz="6" w:space="0" w:color="414142"/>
              <w:right w:val="outset" w:sz="6" w:space="0" w:color="414142"/>
            </w:tcBorders>
          </w:tcPr>
          <w:p w14:paraId="48AFCE13" w14:textId="354722A3"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B818AC4" w14:textId="050885DC"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72D7384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979107" w14:textId="7777777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2. panta</w:t>
            </w:r>
          </w:p>
          <w:p w14:paraId="7402F043" w14:textId="6E1782E1"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j)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DFC7EC0"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FC834A0" w14:textId="46AA429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2E97A263" w14:textId="71AD020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A3D75A7" w14:textId="1534AB2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2BAC0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1EFEB7" w14:textId="22CA821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1.punkts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94A854" w14:textId="660B82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61EA918" w14:textId="6BB3A47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5149C5E0" w14:textId="6004E8B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638F925" w14:textId="32968EF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B32D3A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5297C29" w14:textId="554A7C9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2.punkts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51476F4" w14:textId="4A3FC7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38CF9E1" w14:textId="78D6715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225ADD12" w14:textId="0C9F925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2DFB516" w14:textId="1BF054E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67C80E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BACC6D" w14:textId="6D00057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3.punkta 1.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070586B7" w14:textId="0BC5A1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A414418" w14:textId="7C34E25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panta trešā daļa</w:t>
            </w:r>
          </w:p>
        </w:tc>
        <w:tc>
          <w:tcPr>
            <w:tcW w:w="1323" w:type="pct"/>
            <w:tcBorders>
              <w:top w:val="outset" w:sz="6" w:space="0" w:color="414142"/>
              <w:left w:val="outset" w:sz="6" w:space="0" w:color="414142"/>
              <w:bottom w:val="outset" w:sz="6" w:space="0" w:color="414142"/>
              <w:right w:val="outset" w:sz="6" w:space="0" w:color="414142"/>
            </w:tcBorders>
          </w:tcPr>
          <w:p w14:paraId="24DE2609" w14:textId="2150487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965EE86" w14:textId="467184E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5E06C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2F9B9D8" w14:textId="31AE745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3.a panta 3. punkta 2. 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E14EFAF" w14:textId="37C1B0C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15B6D88" w14:textId="57C9F53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xml:space="preserve"> panta otrā daļa </w:t>
            </w:r>
          </w:p>
        </w:tc>
        <w:tc>
          <w:tcPr>
            <w:tcW w:w="1323" w:type="pct"/>
            <w:tcBorders>
              <w:top w:val="outset" w:sz="6" w:space="0" w:color="414142"/>
              <w:left w:val="outset" w:sz="6" w:space="0" w:color="414142"/>
              <w:bottom w:val="outset" w:sz="6" w:space="0" w:color="414142"/>
              <w:right w:val="outset" w:sz="6" w:space="0" w:color="414142"/>
            </w:tcBorders>
          </w:tcPr>
          <w:p w14:paraId="3B85E0FC" w14:textId="6D6CEF5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A14F093" w14:textId="07274723"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251D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F4621E6" w14:textId="07FCEAC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53CA2D" w14:textId="1CA73F0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08F7E93" w14:textId="26A7D106"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ceturtā daļa </w:t>
            </w:r>
          </w:p>
        </w:tc>
        <w:tc>
          <w:tcPr>
            <w:tcW w:w="1323" w:type="pct"/>
            <w:tcBorders>
              <w:top w:val="outset" w:sz="6" w:space="0" w:color="414142"/>
              <w:left w:val="outset" w:sz="6" w:space="0" w:color="414142"/>
              <w:bottom w:val="outset" w:sz="6" w:space="0" w:color="414142"/>
              <w:right w:val="outset" w:sz="6" w:space="0" w:color="414142"/>
            </w:tcBorders>
          </w:tcPr>
          <w:p w14:paraId="5BF79735" w14:textId="0082A33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470A2DF" w14:textId="2EBB981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037B7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66D2F69" w14:textId="2D3CBE6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1E334A7" w14:textId="572896C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65C0A2D6" w14:textId="256BE3B5"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piektā daļa </w:t>
            </w:r>
          </w:p>
        </w:tc>
        <w:tc>
          <w:tcPr>
            <w:tcW w:w="1323" w:type="pct"/>
            <w:tcBorders>
              <w:top w:val="outset" w:sz="6" w:space="0" w:color="414142"/>
              <w:left w:val="outset" w:sz="6" w:space="0" w:color="414142"/>
              <w:bottom w:val="outset" w:sz="6" w:space="0" w:color="414142"/>
              <w:right w:val="outset" w:sz="6" w:space="0" w:color="414142"/>
            </w:tcBorders>
          </w:tcPr>
          <w:p w14:paraId="2A33E7D3" w14:textId="59EDB7C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4515BB3" w14:textId="0FB09A4D"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BFBB0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A0DFECF" w14:textId="74CF377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E5DC7B1" w14:textId="4B2D177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5F52F4E" w14:textId="4C8C6D28"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7</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sestā daļa </w:t>
            </w:r>
          </w:p>
        </w:tc>
        <w:tc>
          <w:tcPr>
            <w:tcW w:w="1323" w:type="pct"/>
            <w:tcBorders>
              <w:top w:val="outset" w:sz="6" w:space="0" w:color="414142"/>
              <w:left w:val="outset" w:sz="6" w:space="0" w:color="414142"/>
              <w:bottom w:val="outset" w:sz="6" w:space="0" w:color="414142"/>
              <w:right w:val="outset" w:sz="6" w:space="0" w:color="414142"/>
            </w:tcBorders>
          </w:tcPr>
          <w:p w14:paraId="7A249095" w14:textId="7ADF104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7CBAEBE" w14:textId="5A7FB48D"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1BC90F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3F64E94" w14:textId="4D8C329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3.a panta 7 un 8.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B31610E" w14:textId="585DCE3C"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00650F09" w14:textId="5A81356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FE818B" w14:textId="001BEF3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C92F16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84A1C53" w14:textId="61F41C8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036285D" w14:textId="1BEA6C3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E2D6727" w14:textId="69AF8FA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786809">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786809"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0EDB3C8E" w14:textId="2BC618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BAED0F5" w14:textId="69AD2D7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641053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3A48D32" w14:textId="6A95832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E22C775" w14:textId="0B46BCC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0AC99B92" w14:textId="0F2611AC"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otrā daļa </w:t>
            </w:r>
          </w:p>
        </w:tc>
        <w:tc>
          <w:tcPr>
            <w:tcW w:w="1323" w:type="pct"/>
            <w:tcBorders>
              <w:top w:val="outset" w:sz="6" w:space="0" w:color="414142"/>
              <w:left w:val="outset" w:sz="6" w:space="0" w:color="414142"/>
              <w:bottom w:val="outset" w:sz="6" w:space="0" w:color="414142"/>
              <w:right w:val="outset" w:sz="6" w:space="0" w:color="414142"/>
            </w:tcBorders>
          </w:tcPr>
          <w:p w14:paraId="7361F2CC" w14:textId="425CAF0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FAC763F" w14:textId="78B3193F"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CAB5F9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771B68A" w14:textId="6C7A796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6C2A31F" w14:textId="33C59B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074C8BE" w14:textId="4280A277"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pirmā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6B45D71F" w14:textId="4366E3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15A9FA5" w14:textId="5D343A8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1548690"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7F67DB6" w14:textId="545715E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3F3DED" w14:textId="3EF5E7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64167C4" w14:textId="5BE584CC"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trešā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663689F7" w14:textId="28A874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557B8AC" w14:textId="61932291"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83BF62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2BB0141" w14:textId="4843D9D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A482C57" w14:textId="7AC1DAC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B2BE445" w14:textId="0F247096"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ceturtā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7DE0F3BE" w14:textId="4A7D88A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9F3C792" w14:textId="4CF0B42E"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D49BF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5EB592" w14:textId="408B96B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B49D3CB" w14:textId="79F2DF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F686A7F" w14:textId="03FFE23E" w:rsidR="00ED79F1" w:rsidRPr="002C4A1B" w:rsidRDefault="00786809"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786809">
              <w:rPr>
                <w:rFonts w:ascii="Times New Roman" w:eastAsia="Times New Roman" w:hAnsi="Times New Roman" w:cs="Times New Roman"/>
                <w:color w:val="000000" w:themeColor="text1"/>
                <w:sz w:val="24"/>
                <w:szCs w:val="24"/>
                <w:vertAlign w:val="superscript"/>
                <w:lang w:eastAsia="lv-LV"/>
              </w:rPr>
              <w:t>8</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w:t>
            </w:r>
            <w:r w:rsidR="003317F7">
              <w:rPr>
                <w:rFonts w:ascii="Times New Roman" w:eastAsia="Times New Roman" w:hAnsi="Times New Roman" w:cs="Times New Roman"/>
                <w:color w:val="000000" w:themeColor="text1"/>
                <w:sz w:val="24"/>
                <w:szCs w:val="24"/>
                <w:lang w:eastAsia="lv-LV"/>
              </w:rPr>
              <w:t>piektā</w:t>
            </w:r>
            <w:r w:rsidR="00ED79F1" w:rsidRPr="002C4A1B">
              <w:rPr>
                <w:rFonts w:ascii="Times New Roman" w:eastAsia="Times New Roman" w:hAnsi="Times New Roman" w:cs="Times New Roman"/>
                <w:color w:val="000000" w:themeColor="text1"/>
                <w:sz w:val="24"/>
                <w:szCs w:val="24"/>
                <w:lang w:eastAsia="lv-LV"/>
              </w:rPr>
              <w:t xml:space="preserve"> daļa </w:t>
            </w:r>
          </w:p>
        </w:tc>
        <w:tc>
          <w:tcPr>
            <w:tcW w:w="1323" w:type="pct"/>
            <w:tcBorders>
              <w:top w:val="outset" w:sz="6" w:space="0" w:color="414142"/>
              <w:left w:val="outset" w:sz="6" w:space="0" w:color="414142"/>
              <w:bottom w:val="outset" w:sz="6" w:space="0" w:color="414142"/>
              <w:right w:val="outset" w:sz="6" w:space="0" w:color="414142"/>
            </w:tcBorders>
          </w:tcPr>
          <w:p w14:paraId="23CA566A" w14:textId="2543954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461F6E7" w14:textId="2CC2E571"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34F5AD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155CAC8" w14:textId="05BF805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3.b panta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513E04" w14:textId="0672362E"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EC4CD62" w14:textId="1CF7577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080FB5" w14:textId="78463B43"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9B89E6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2472CE6" w14:textId="6ABB2E3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B6258D5" w14:textId="7565EE5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4F923E8F" w14:textId="0A971D6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9</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 xml:space="preserve">panta pirmā daļa </w:t>
            </w:r>
          </w:p>
        </w:tc>
        <w:tc>
          <w:tcPr>
            <w:tcW w:w="1323" w:type="pct"/>
            <w:tcBorders>
              <w:top w:val="outset" w:sz="6" w:space="0" w:color="414142"/>
              <w:left w:val="outset" w:sz="6" w:space="0" w:color="414142"/>
              <w:bottom w:val="outset" w:sz="6" w:space="0" w:color="414142"/>
              <w:right w:val="outset" w:sz="6" w:space="0" w:color="414142"/>
            </w:tcBorders>
          </w:tcPr>
          <w:p w14:paraId="3876C6F8" w14:textId="3363F7E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FBBFBD3" w14:textId="1D2A35D5"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59DECF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AA28E18" w14:textId="745E40B8"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3.c panta 2. punkta 1.paragrāfs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4B54FE74" w14:textId="6275703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9320809" w14:textId="624F805C"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otrā daļa </w:t>
            </w:r>
          </w:p>
        </w:tc>
        <w:tc>
          <w:tcPr>
            <w:tcW w:w="1323" w:type="pct"/>
            <w:tcBorders>
              <w:top w:val="outset" w:sz="6" w:space="0" w:color="414142"/>
              <w:left w:val="outset" w:sz="6" w:space="0" w:color="414142"/>
              <w:bottom w:val="outset" w:sz="6" w:space="0" w:color="414142"/>
              <w:right w:val="outset" w:sz="6" w:space="0" w:color="414142"/>
            </w:tcBorders>
          </w:tcPr>
          <w:p w14:paraId="4F6B0887" w14:textId="5A847C9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832F2EA" w14:textId="27ACB90C"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DE785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98F0DD" w14:textId="54CC2E0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2. punkta 2.paragrāfs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47F341C" w14:textId="4E5F14D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45D110C" w14:textId="1EFC2D01"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trešā daļa </w:t>
            </w:r>
          </w:p>
        </w:tc>
        <w:tc>
          <w:tcPr>
            <w:tcW w:w="1323" w:type="pct"/>
            <w:tcBorders>
              <w:top w:val="outset" w:sz="6" w:space="0" w:color="414142"/>
              <w:left w:val="outset" w:sz="6" w:space="0" w:color="414142"/>
              <w:bottom w:val="outset" w:sz="6" w:space="0" w:color="414142"/>
              <w:right w:val="outset" w:sz="6" w:space="0" w:color="414142"/>
            </w:tcBorders>
          </w:tcPr>
          <w:p w14:paraId="7163CD20" w14:textId="2C57A39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CC147AD" w14:textId="392CD97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087137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06B30A" w14:textId="214EAE2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2. punkta 3.paragrāfs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5C8428C1" w14:textId="30AF900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7A0F8555" w14:textId="4B574233"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DF159B">
              <w:rPr>
                <w:rFonts w:ascii="Times New Roman" w:eastAsia="Times New Roman" w:hAnsi="Times New Roman" w:cs="Times New Roman"/>
                <w:color w:val="000000" w:themeColor="text1"/>
                <w:sz w:val="24"/>
                <w:szCs w:val="24"/>
                <w:vertAlign w:val="superscript"/>
                <w:lang w:eastAsia="lv-LV"/>
              </w:rPr>
              <w:t>9</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 xml:space="preserve">panta ceturtā daļa </w:t>
            </w:r>
          </w:p>
        </w:tc>
        <w:tc>
          <w:tcPr>
            <w:tcW w:w="1323" w:type="pct"/>
            <w:tcBorders>
              <w:top w:val="outset" w:sz="6" w:space="0" w:color="414142"/>
              <w:left w:val="outset" w:sz="6" w:space="0" w:color="414142"/>
              <w:bottom w:val="outset" w:sz="6" w:space="0" w:color="414142"/>
              <w:right w:val="outset" w:sz="6" w:space="0" w:color="414142"/>
            </w:tcBorders>
          </w:tcPr>
          <w:p w14:paraId="407B1413" w14:textId="3B8548B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CBE0307" w14:textId="034275B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4DB9A21"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03641F" w14:textId="1C513A69"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3.c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24DE91" w14:textId="370B7ED2"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B7B2A54" w14:textId="2F22B69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3F13C78F" w14:textId="22855F09"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2E0CED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B4D462" w14:textId="7589FF9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3.d panta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C7BB2DC" w14:textId="5A34B25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5F4478C2" w14:textId="6D93794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DF159B">
              <w:rPr>
                <w:rFonts w:ascii="Times New Roman" w:eastAsia="Times New Roman" w:hAnsi="Times New Roman" w:cs="Times New Roman"/>
                <w:color w:val="000000" w:themeColor="text1"/>
                <w:sz w:val="24"/>
                <w:szCs w:val="24"/>
                <w:vertAlign w:val="superscript"/>
                <w:lang w:eastAsia="lv-LV"/>
              </w:rPr>
              <w:t>0</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daļa</w:t>
            </w:r>
          </w:p>
        </w:tc>
        <w:tc>
          <w:tcPr>
            <w:tcW w:w="1323" w:type="pct"/>
            <w:tcBorders>
              <w:top w:val="outset" w:sz="6" w:space="0" w:color="414142"/>
              <w:left w:val="outset" w:sz="6" w:space="0" w:color="414142"/>
              <w:bottom w:val="outset" w:sz="6" w:space="0" w:color="414142"/>
              <w:right w:val="outset" w:sz="6" w:space="0" w:color="414142"/>
            </w:tcBorders>
          </w:tcPr>
          <w:p w14:paraId="60D99D6A" w14:textId="78D5F1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778DDC7" w14:textId="42A0803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6A0504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56C0D1C" w14:textId="1DF115A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3.d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2E20577" w14:textId="32AB432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D3FC071" w14:textId="4D9FFE45"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0</w:t>
            </w:r>
            <w:r w:rsidR="006F1738">
              <w:rPr>
                <w:rFonts w:ascii="Times New Roman" w:eastAsia="Times New Roman" w:hAnsi="Times New Roman" w:cs="Times New Roman"/>
                <w:color w:val="000000" w:themeColor="text1"/>
                <w:sz w:val="24"/>
                <w:szCs w:val="24"/>
                <w:vertAlign w:val="superscript"/>
                <w:lang w:eastAsia="lv-LV"/>
              </w:rPr>
              <w:t> </w:t>
            </w:r>
            <w:r w:rsidR="00ED79F1"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01C67DA8" w14:textId="313EBC1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6CF37E6" w14:textId="4EC27E7E"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12AB7E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3520A5" w14:textId="70F1E39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3.e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22C5FB2" w14:textId="6F3BC67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043213CA" w14:textId="0DEA6B8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6</w:t>
            </w:r>
            <w:r w:rsidR="006F1738">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otrā un trešā daļa</w:t>
            </w:r>
          </w:p>
        </w:tc>
        <w:tc>
          <w:tcPr>
            <w:tcW w:w="1323" w:type="pct"/>
            <w:tcBorders>
              <w:top w:val="outset" w:sz="6" w:space="0" w:color="414142"/>
              <w:left w:val="outset" w:sz="6" w:space="0" w:color="414142"/>
              <w:bottom w:val="outset" w:sz="6" w:space="0" w:color="414142"/>
              <w:right w:val="outset" w:sz="6" w:space="0" w:color="414142"/>
            </w:tcBorders>
          </w:tcPr>
          <w:p w14:paraId="102DE88E" w14:textId="488B4E6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C3F3D97" w14:textId="234B66B0"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A1EA2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C3F4ABE" w14:textId="05BB0C5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3.f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32310BF" w14:textId="7CA2A109"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346524B" w14:textId="4B9713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2BCFD818" w14:textId="1EECBEB9"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Nav attiecināms </w:t>
            </w:r>
          </w:p>
        </w:tc>
      </w:tr>
      <w:tr w:rsidR="00ED79F1" w:rsidRPr="002C4A1B" w14:paraId="55C124E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1F077CD" w14:textId="67394E8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1. punkta ievaddaļa</w:t>
            </w:r>
          </w:p>
        </w:tc>
        <w:tc>
          <w:tcPr>
            <w:tcW w:w="1131" w:type="pct"/>
            <w:gridSpan w:val="2"/>
            <w:tcBorders>
              <w:top w:val="outset" w:sz="6" w:space="0" w:color="414142"/>
              <w:left w:val="outset" w:sz="6" w:space="0" w:color="414142"/>
              <w:bottom w:val="outset" w:sz="6" w:space="0" w:color="414142"/>
              <w:right w:val="outset" w:sz="6" w:space="0" w:color="414142"/>
            </w:tcBorders>
          </w:tcPr>
          <w:p w14:paraId="5130A66C" w14:textId="6521A90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piektā daļa</w:t>
            </w:r>
          </w:p>
        </w:tc>
        <w:tc>
          <w:tcPr>
            <w:tcW w:w="1323" w:type="pct"/>
            <w:tcBorders>
              <w:top w:val="outset" w:sz="6" w:space="0" w:color="414142"/>
              <w:left w:val="outset" w:sz="6" w:space="0" w:color="414142"/>
              <w:bottom w:val="outset" w:sz="6" w:space="0" w:color="414142"/>
              <w:right w:val="outset" w:sz="6" w:space="0" w:color="414142"/>
            </w:tcBorders>
          </w:tcPr>
          <w:p w14:paraId="526D6ADB" w14:textId="08332A1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AA9236F" w14:textId="2DE1794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4DE61C9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D2118C" w14:textId="3DF5C3D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1. punkta a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CF7EA51" w14:textId="4C75FAC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4DE52A0C" w14:textId="2821252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6B8AFBAD" w14:textId="5BBB848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FCDBC53"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1279F3C" w14:textId="76DF504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1. punkta b apakšpunkts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8147878" w14:textId="7DBCBB9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trešā un ceturtā daļa</w:t>
            </w:r>
          </w:p>
        </w:tc>
        <w:tc>
          <w:tcPr>
            <w:tcW w:w="1323" w:type="pct"/>
            <w:tcBorders>
              <w:top w:val="outset" w:sz="6" w:space="0" w:color="414142"/>
              <w:left w:val="outset" w:sz="6" w:space="0" w:color="414142"/>
              <w:bottom w:val="outset" w:sz="6" w:space="0" w:color="414142"/>
              <w:right w:val="outset" w:sz="6" w:space="0" w:color="414142"/>
            </w:tcBorders>
          </w:tcPr>
          <w:p w14:paraId="045E6BDD" w14:textId="71E6EC8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355CAFB6" w14:textId="4C2C49D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7ED264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45A5175" w14:textId="3988ED2F"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7F3C8AD" w14:textId="57FF71C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sestā daļa</w:t>
            </w:r>
          </w:p>
        </w:tc>
        <w:tc>
          <w:tcPr>
            <w:tcW w:w="1323" w:type="pct"/>
            <w:tcBorders>
              <w:top w:val="outset" w:sz="6" w:space="0" w:color="414142"/>
              <w:left w:val="outset" w:sz="6" w:space="0" w:color="414142"/>
              <w:bottom w:val="outset" w:sz="6" w:space="0" w:color="414142"/>
              <w:right w:val="outset" w:sz="6" w:space="0" w:color="414142"/>
            </w:tcBorders>
          </w:tcPr>
          <w:p w14:paraId="4E666026" w14:textId="6EE2B43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488380B3" w14:textId="49DBCA3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7A385BA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D5D5B90" w14:textId="2736597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Direktīvas 2007/36/EK 3.g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18E8B50" w14:textId="3D148A0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 xml:space="preserve">Projektā ietvertā </w:t>
            </w:r>
            <w:r w:rsidRPr="002C4A1B">
              <w:rPr>
                <w:rFonts w:ascii="Times New Roman" w:eastAsia="Times New Roman" w:hAnsi="Times New Roman" w:cs="Times New Roman"/>
                <w:color w:val="000000" w:themeColor="text1"/>
                <w:sz w:val="24"/>
                <w:szCs w:val="24"/>
                <w:lang w:eastAsia="lv-LV"/>
              </w:rPr>
              <w:t>FITL</w:t>
            </w:r>
            <w:r w:rsidRPr="002C4A1B">
              <w:rPr>
                <w:rFonts w:ascii="Times New Roman" w:eastAsia="Times New Roman" w:hAnsi="Times New Roman" w:cs="Times New Roman"/>
                <w:color w:val="000000" w:themeColor="text1"/>
                <w:sz w:val="24"/>
                <w:szCs w:val="24"/>
              </w:rPr>
              <w:t xml:space="preserve"> 126.</w:t>
            </w:r>
            <w:r w:rsidRPr="002C4A1B">
              <w:rPr>
                <w:rFonts w:ascii="Times New Roman" w:eastAsia="Times New Roman" w:hAnsi="Times New Roman" w:cs="Times New Roman"/>
                <w:color w:val="000000" w:themeColor="text1"/>
                <w:sz w:val="24"/>
                <w:szCs w:val="24"/>
                <w:vertAlign w:val="superscript"/>
              </w:rPr>
              <w:t>3</w:t>
            </w:r>
            <w:r w:rsidRPr="002C4A1B">
              <w:rPr>
                <w:rFonts w:ascii="Times New Roman" w:eastAsia="Times New Roman" w:hAnsi="Times New Roman" w:cs="Times New Roman"/>
                <w:color w:val="000000" w:themeColor="text1"/>
                <w:sz w:val="24"/>
                <w:szCs w:val="24"/>
              </w:rPr>
              <w:t> panta sestā daļa</w:t>
            </w:r>
          </w:p>
        </w:tc>
        <w:tc>
          <w:tcPr>
            <w:tcW w:w="1323" w:type="pct"/>
            <w:tcBorders>
              <w:top w:val="outset" w:sz="6" w:space="0" w:color="414142"/>
              <w:left w:val="outset" w:sz="6" w:space="0" w:color="414142"/>
              <w:bottom w:val="outset" w:sz="6" w:space="0" w:color="414142"/>
              <w:right w:val="outset" w:sz="6" w:space="0" w:color="414142"/>
            </w:tcBorders>
          </w:tcPr>
          <w:p w14:paraId="34835A66" w14:textId="0226A7C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rPr>
              <w:t>Pārņemts pilnībā </w:t>
            </w:r>
          </w:p>
        </w:tc>
        <w:tc>
          <w:tcPr>
            <w:tcW w:w="1405" w:type="pct"/>
            <w:tcBorders>
              <w:top w:val="outset" w:sz="6" w:space="0" w:color="414142"/>
              <w:left w:val="outset" w:sz="6" w:space="0" w:color="414142"/>
              <w:bottom w:val="outset" w:sz="6" w:space="0" w:color="414142"/>
              <w:right w:val="outset" w:sz="6" w:space="0" w:color="414142"/>
            </w:tcBorders>
          </w:tcPr>
          <w:p w14:paraId="2E2FC8D5" w14:textId="441A794A"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E86477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647F794" w14:textId="4CE634FC"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3.j panta 1.</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punkta 1.</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9EF9135"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1F1A1A4" w14:textId="50CE686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sidR="00DF159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pirmā daļa</w:t>
            </w:r>
          </w:p>
        </w:tc>
        <w:tc>
          <w:tcPr>
            <w:tcW w:w="1323" w:type="pct"/>
            <w:tcBorders>
              <w:top w:val="outset" w:sz="6" w:space="0" w:color="414142"/>
              <w:left w:val="outset" w:sz="6" w:space="0" w:color="414142"/>
              <w:bottom w:val="outset" w:sz="6" w:space="0" w:color="414142"/>
              <w:right w:val="outset" w:sz="6" w:space="0" w:color="414142"/>
            </w:tcBorders>
          </w:tcPr>
          <w:p w14:paraId="7DD2BEE1" w14:textId="7D51372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8F1C7AF" w14:textId="2FBDCC54"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644BC32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1F8AE1E" w14:textId="1F50275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1.</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punkta 2.</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709F9008"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2C3C90E9" w14:textId="5501A81B"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2A901695" w14:textId="3113CC9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4BF2718" w14:textId="5F9C33B6"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C9123F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47F67EB" w14:textId="47250A2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1.</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punkta 3.</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2C492B95" w14:textId="64264E8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66C26EA5" w14:textId="40375B03"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4C1BACB2" w14:textId="0CB1309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CBD1310" w14:textId="04A22897"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2D39C2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CCE02C4" w14:textId="21FE51A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2.</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punkta 1.</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6E117D73" w14:textId="74A4590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64CE722" w14:textId="18B8B6B4"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1F4BB33C" w14:textId="06AF887E"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627BAE5" w14:textId="171406C5"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3F3A715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90AA502" w14:textId="7419B9E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2.</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punkta 2.</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paragrāfs</w:t>
            </w:r>
          </w:p>
        </w:tc>
        <w:tc>
          <w:tcPr>
            <w:tcW w:w="1131" w:type="pct"/>
            <w:gridSpan w:val="2"/>
            <w:tcBorders>
              <w:top w:val="outset" w:sz="6" w:space="0" w:color="414142"/>
              <w:left w:val="outset" w:sz="6" w:space="0" w:color="414142"/>
              <w:bottom w:val="outset" w:sz="6" w:space="0" w:color="414142"/>
              <w:right w:val="outset" w:sz="6" w:space="0" w:color="414142"/>
            </w:tcBorders>
          </w:tcPr>
          <w:p w14:paraId="66D0BC12" w14:textId="57D0424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38691492" w14:textId="6D9B7749"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piektā daļa</w:t>
            </w:r>
          </w:p>
        </w:tc>
        <w:tc>
          <w:tcPr>
            <w:tcW w:w="1323" w:type="pct"/>
            <w:tcBorders>
              <w:top w:val="outset" w:sz="6" w:space="0" w:color="414142"/>
              <w:left w:val="outset" w:sz="6" w:space="0" w:color="414142"/>
              <w:bottom w:val="outset" w:sz="6" w:space="0" w:color="414142"/>
              <w:right w:val="outset" w:sz="6" w:space="0" w:color="414142"/>
            </w:tcBorders>
          </w:tcPr>
          <w:p w14:paraId="3246EC86" w14:textId="5B6622C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5EC8F18" w14:textId="7851ED5C"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069C0F3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0BCB3CA" w14:textId="0E75CC5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3.</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CD3A32" w14:textId="72F1DEC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724A3C9F" w14:textId="1A642F2D"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2504A3B6" w14:textId="11EBABC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E095203" w14:textId="1928D9A4"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5F2AB71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C97C65D" w14:textId="582DD23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3.j panta 4.</w:t>
            </w:r>
            <w:r w:rsidR="006F1738">
              <w:rPr>
                <w:rFonts w:ascii="Times New Roman" w:eastAsia="Arial Unicode MS" w:hAnsi="Times New Roman" w:cs="Times New Roman"/>
                <w:color w:val="000000" w:themeColor="text1"/>
                <w:sz w:val="24"/>
                <w:szCs w:val="24"/>
              </w:rPr>
              <w:t> </w:t>
            </w:r>
            <w:r w:rsidRPr="002C4A1B">
              <w:rPr>
                <w:rFonts w:ascii="Times New Roman" w:eastAsia="Arial Unicode MS" w:hAnsi="Times New Roman" w:cs="Times New Roman"/>
                <w:color w:val="000000" w:themeColor="text1"/>
                <w:sz w:val="24"/>
                <w:szCs w:val="24"/>
              </w:rPr>
              <w:t>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346C05E" w14:textId="49455F4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w:t>
            </w:r>
          </w:p>
          <w:p w14:paraId="15A1D72C" w14:textId="14AC0F34" w:rsidR="00ED79F1" w:rsidRPr="002C4A1B" w:rsidRDefault="00DF159B"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5</w:t>
            </w:r>
            <w:r>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Pr="002C4A1B">
              <w:rPr>
                <w:rFonts w:ascii="Times New Roman" w:eastAsia="Times New Roman" w:hAnsi="Times New Roman" w:cs="Times New Roman"/>
                <w:color w:val="000000" w:themeColor="text1"/>
                <w:sz w:val="24"/>
                <w:szCs w:val="24"/>
                <w:vertAlign w:val="superscript"/>
                <w:lang w:eastAsia="lv-LV"/>
              </w:rPr>
              <w:t>1</w:t>
            </w:r>
            <w:r>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w:t>
            </w:r>
            <w:r w:rsidR="00ED79F1" w:rsidRPr="002C4A1B">
              <w:rPr>
                <w:rFonts w:ascii="Times New Roman" w:eastAsia="Times New Roman" w:hAnsi="Times New Roman" w:cs="Times New Roman"/>
                <w:color w:val="000000" w:themeColor="text1"/>
                <w:sz w:val="24"/>
                <w:szCs w:val="24"/>
                <w:lang w:eastAsia="lv-LV"/>
              </w:rPr>
              <w:t>panta septītā daļa</w:t>
            </w:r>
          </w:p>
        </w:tc>
        <w:tc>
          <w:tcPr>
            <w:tcW w:w="1323" w:type="pct"/>
            <w:tcBorders>
              <w:top w:val="outset" w:sz="6" w:space="0" w:color="414142"/>
              <w:left w:val="outset" w:sz="6" w:space="0" w:color="414142"/>
              <w:bottom w:val="outset" w:sz="6" w:space="0" w:color="414142"/>
              <w:right w:val="outset" w:sz="6" w:space="0" w:color="414142"/>
            </w:tcBorders>
          </w:tcPr>
          <w:p w14:paraId="7CC87059" w14:textId="73AAF8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08AFD78" w14:textId="0112B4E2" w:rsidR="00ED79F1" w:rsidRPr="002C4A1B" w:rsidRDefault="00ED79F1" w:rsidP="00ED79F1">
            <w:pPr>
              <w:spacing w:after="0" w:line="240" w:lineRule="auto"/>
              <w:rPr>
                <w:rFonts w:ascii="Times New Roman" w:eastAsia="Times New Roman" w:hAnsi="Times New Roman" w:cs="Times New Roman"/>
                <w:color w:val="000000" w:themeColor="text1"/>
                <w:sz w:val="24"/>
                <w:szCs w:val="24"/>
              </w:rPr>
            </w:pPr>
            <w:r w:rsidRPr="002C4A1B">
              <w:rPr>
                <w:rFonts w:ascii="Times New Roman" w:eastAsia="Times New Roman" w:hAnsi="Times New Roman" w:cs="Times New Roman"/>
                <w:color w:val="000000" w:themeColor="text1"/>
                <w:sz w:val="24"/>
                <w:szCs w:val="24"/>
              </w:rPr>
              <w:t>Neparedz stingrākas prasības </w:t>
            </w:r>
          </w:p>
        </w:tc>
      </w:tr>
      <w:tr w:rsidR="00ED79F1" w:rsidRPr="002C4A1B" w14:paraId="18C3CF1E"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7C51250" w14:textId="38CF63F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3.k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4E5C45ED" w14:textId="43236286"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B508211" w14:textId="7777777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p w14:paraId="44F37E26" w14:textId="7238779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(pienākums Eiropas Komisijai izstrādāt ziņojumu par Direktīvas normu izpildi)</w:t>
            </w:r>
          </w:p>
        </w:tc>
        <w:tc>
          <w:tcPr>
            <w:tcW w:w="1405" w:type="pct"/>
            <w:tcBorders>
              <w:top w:val="outset" w:sz="6" w:space="0" w:color="414142"/>
              <w:left w:val="outset" w:sz="6" w:space="0" w:color="414142"/>
              <w:bottom w:val="outset" w:sz="6" w:space="0" w:color="414142"/>
              <w:right w:val="outset" w:sz="6" w:space="0" w:color="414142"/>
            </w:tcBorders>
          </w:tcPr>
          <w:p w14:paraId="4C3B449B" w14:textId="4F96C3B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9AC9AF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2F1F5E8" w14:textId="5A9AB87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bookmarkStart w:id="4" w:name="_Hlk526844764"/>
            <w:r w:rsidRPr="002C4A1B">
              <w:rPr>
                <w:rFonts w:ascii="Times New Roman" w:eastAsia="Arial Unicode MS" w:hAnsi="Times New Roman" w:cs="Times New Roman"/>
                <w:color w:val="000000" w:themeColor="text1"/>
                <w:sz w:val="24"/>
                <w:szCs w:val="24"/>
              </w:rPr>
              <w:t>Direktīvas 2007/36/EK 9.a panta 1. un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773B9B8" w14:textId="6518F7D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un piektā daļa</w:t>
            </w:r>
          </w:p>
        </w:tc>
        <w:tc>
          <w:tcPr>
            <w:tcW w:w="1323" w:type="pct"/>
            <w:tcBorders>
              <w:top w:val="outset" w:sz="6" w:space="0" w:color="414142"/>
              <w:left w:val="outset" w:sz="6" w:space="0" w:color="414142"/>
              <w:bottom w:val="outset" w:sz="6" w:space="0" w:color="414142"/>
              <w:right w:val="outset" w:sz="6" w:space="0" w:color="414142"/>
            </w:tcBorders>
          </w:tcPr>
          <w:p w14:paraId="3DA8AC2C" w14:textId="46FA6ED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AE1F625" w14:textId="107A8A3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953FF9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46419A" w14:textId="607AE859"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panta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E4F92F3" w14:textId="4E667A83"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7DC56497" w14:textId="241FFC3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18B0FFDA" w14:textId="735AC05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bookmarkEnd w:id="4"/>
      <w:tr w:rsidR="00ED79F1" w:rsidRPr="002C4A1B" w14:paraId="62AE5EEC"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0E0E325" w14:textId="59CF455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E76EA4A" w14:textId="2701E0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13070FA6" w14:textId="1235864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0F002F6" w14:textId="2A6C302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2E3F9AF"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8580DAB" w14:textId="122B8AF3"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5110F39" w14:textId="429FABA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otrā daļa</w:t>
            </w:r>
          </w:p>
        </w:tc>
        <w:tc>
          <w:tcPr>
            <w:tcW w:w="1323" w:type="pct"/>
            <w:tcBorders>
              <w:top w:val="outset" w:sz="6" w:space="0" w:color="414142"/>
              <w:left w:val="outset" w:sz="6" w:space="0" w:color="414142"/>
              <w:bottom w:val="outset" w:sz="6" w:space="0" w:color="414142"/>
              <w:right w:val="outset" w:sz="6" w:space="0" w:color="414142"/>
            </w:tcBorders>
          </w:tcPr>
          <w:p w14:paraId="7A81B6B9" w14:textId="1723607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D4BE02D" w14:textId="4337BE1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49B172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6230EC8" w14:textId="0B39340D"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9.a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9FAD431" w14:textId="3F53C2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16AB24DC" w14:textId="720EA80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EB1C338" w14:textId="37516EE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3A9B529"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F290A7" w14:textId="7BBD5E9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9.a pants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40A41B74" w14:textId="59990CE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3</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72BE013C" w14:textId="6C60BFE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7E4261AA" w14:textId="56AECD1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A11BB7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E2CB74C" w14:textId="5323381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480D538" w14:textId="277AC4D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pirmā un otrā daļa</w:t>
            </w:r>
          </w:p>
        </w:tc>
        <w:tc>
          <w:tcPr>
            <w:tcW w:w="1323" w:type="pct"/>
            <w:tcBorders>
              <w:top w:val="outset" w:sz="6" w:space="0" w:color="414142"/>
              <w:left w:val="outset" w:sz="6" w:space="0" w:color="414142"/>
              <w:bottom w:val="outset" w:sz="6" w:space="0" w:color="414142"/>
              <w:right w:val="outset" w:sz="6" w:space="0" w:color="414142"/>
            </w:tcBorders>
          </w:tcPr>
          <w:p w14:paraId="0D80B3CB" w14:textId="2076895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D7E1C55" w14:textId="7E7E9EB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810B79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874AFA" w14:textId="6AFDE70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544577" w14:textId="38769FD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trešā daļa</w:t>
            </w:r>
          </w:p>
        </w:tc>
        <w:tc>
          <w:tcPr>
            <w:tcW w:w="1323" w:type="pct"/>
            <w:tcBorders>
              <w:top w:val="outset" w:sz="6" w:space="0" w:color="414142"/>
              <w:left w:val="outset" w:sz="6" w:space="0" w:color="414142"/>
              <w:bottom w:val="outset" w:sz="6" w:space="0" w:color="414142"/>
              <w:right w:val="outset" w:sz="6" w:space="0" w:color="414142"/>
            </w:tcBorders>
          </w:tcPr>
          <w:p w14:paraId="56F9CEC1" w14:textId="56561AC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87DAADD" w14:textId="404DEA6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1F6F6FD"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F748A6" w14:textId="1E90D90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EAABC01" w14:textId="2622E04A"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26FB58F1" w14:textId="58EC68E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138FE2A8" w14:textId="0080A70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0D7EBFE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6046B0A" w14:textId="30A86390"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228B64D5" w14:textId="4E1A9EF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ceturtā daļa</w:t>
            </w:r>
          </w:p>
        </w:tc>
        <w:tc>
          <w:tcPr>
            <w:tcW w:w="1323" w:type="pct"/>
            <w:tcBorders>
              <w:top w:val="outset" w:sz="6" w:space="0" w:color="414142"/>
              <w:left w:val="outset" w:sz="6" w:space="0" w:color="414142"/>
              <w:bottom w:val="outset" w:sz="6" w:space="0" w:color="414142"/>
              <w:right w:val="outset" w:sz="6" w:space="0" w:color="414142"/>
            </w:tcBorders>
          </w:tcPr>
          <w:p w14:paraId="58A7FF24" w14:textId="7FC9EF9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FF3F805" w14:textId="00F8CCD2"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5917689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9428107" w14:textId="17A73BA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575CB033" w14:textId="389DEEA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Projektā ietvertā FITL </w:t>
            </w:r>
            <w:r w:rsidR="00DF159B" w:rsidRPr="002C4A1B">
              <w:rPr>
                <w:rFonts w:ascii="Times New Roman" w:eastAsia="Times New Roman" w:hAnsi="Times New Roman" w:cs="Times New Roman"/>
                <w:color w:val="000000" w:themeColor="text1"/>
                <w:sz w:val="24"/>
                <w:szCs w:val="24"/>
                <w:lang w:eastAsia="lv-LV"/>
              </w:rPr>
              <w:t>5</w:t>
            </w:r>
            <w:r w:rsidR="00DF159B">
              <w:rPr>
                <w:rFonts w:ascii="Times New Roman" w:eastAsia="Times New Roman" w:hAnsi="Times New Roman" w:cs="Times New Roman"/>
                <w:color w:val="000000" w:themeColor="text1"/>
                <w:sz w:val="24"/>
                <w:szCs w:val="24"/>
                <w:lang w:eastAsia="lv-LV"/>
              </w:rPr>
              <w:t>9</w:t>
            </w:r>
            <w:r w:rsidR="00DF159B" w:rsidRPr="002C4A1B">
              <w:rPr>
                <w:rFonts w:ascii="Times New Roman" w:eastAsia="Times New Roman" w:hAnsi="Times New Roman" w:cs="Times New Roman"/>
                <w:color w:val="000000" w:themeColor="text1"/>
                <w:sz w:val="24"/>
                <w:szCs w:val="24"/>
                <w:lang w:eastAsia="lv-LV"/>
              </w:rPr>
              <w:t>.</w:t>
            </w:r>
            <w:r w:rsidR="00DF159B" w:rsidRPr="00DF159B">
              <w:rPr>
                <w:rFonts w:ascii="Times New Roman" w:eastAsia="Times New Roman" w:hAnsi="Times New Roman" w:cs="Times New Roman"/>
                <w:color w:val="000000" w:themeColor="text1"/>
                <w:sz w:val="24"/>
                <w:szCs w:val="24"/>
                <w:vertAlign w:val="superscript"/>
                <w:lang w:eastAsia="lv-LV"/>
              </w:rPr>
              <w:t>4</w:t>
            </w:r>
            <w:r w:rsidR="00DF159B"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panta sestā daļa</w:t>
            </w:r>
          </w:p>
        </w:tc>
        <w:tc>
          <w:tcPr>
            <w:tcW w:w="1323" w:type="pct"/>
            <w:tcBorders>
              <w:top w:val="outset" w:sz="6" w:space="0" w:color="414142"/>
              <w:left w:val="outset" w:sz="6" w:space="0" w:color="414142"/>
              <w:bottom w:val="outset" w:sz="6" w:space="0" w:color="414142"/>
              <w:right w:val="outset" w:sz="6" w:space="0" w:color="414142"/>
            </w:tcBorders>
          </w:tcPr>
          <w:p w14:paraId="19E07962" w14:textId="11B98F8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539D6ACF" w14:textId="16C3BC4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77DC0FC4"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22A1CA5B" w14:textId="4293DE0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9.b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3DCD0BD" w14:textId="4AAE9865"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940A7AB" w14:textId="006AD06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006D3021" w14:textId="2FD70B6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16CD4CF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457BB548" w14:textId="20173E5B"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1.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E65F3A" w14:textId="6791A365"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septītā daļa</w:t>
            </w:r>
          </w:p>
        </w:tc>
        <w:tc>
          <w:tcPr>
            <w:tcW w:w="1323" w:type="pct"/>
            <w:tcBorders>
              <w:top w:val="outset" w:sz="6" w:space="0" w:color="414142"/>
              <w:left w:val="outset" w:sz="6" w:space="0" w:color="414142"/>
              <w:bottom w:val="outset" w:sz="6" w:space="0" w:color="414142"/>
              <w:right w:val="outset" w:sz="6" w:space="0" w:color="414142"/>
            </w:tcBorders>
          </w:tcPr>
          <w:p w14:paraId="61E00644" w14:textId="1CB92FDD"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A5D4281" w14:textId="076DF03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774D8B7"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30B9C14" w14:textId="3132261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2.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F6F9D62" w14:textId="6A72FDD0"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desmitā un vienpadsmitā daļa</w:t>
            </w:r>
          </w:p>
        </w:tc>
        <w:tc>
          <w:tcPr>
            <w:tcW w:w="1323" w:type="pct"/>
            <w:tcBorders>
              <w:top w:val="outset" w:sz="6" w:space="0" w:color="414142"/>
              <w:left w:val="outset" w:sz="6" w:space="0" w:color="414142"/>
              <w:bottom w:val="outset" w:sz="6" w:space="0" w:color="414142"/>
              <w:right w:val="outset" w:sz="6" w:space="0" w:color="414142"/>
            </w:tcBorders>
          </w:tcPr>
          <w:p w14:paraId="17F584A8" w14:textId="0AA965A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0EEE285" w14:textId="1FAE165B"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B51ABB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E52D0D9" w14:textId="2CEEBCBA"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3.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7A230778" w14:textId="5C3C443F"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piektā daļa un desmitās daļas 6. punkts</w:t>
            </w:r>
          </w:p>
        </w:tc>
        <w:tc>
          <w:tcPr>
            <w:tcW w:w="1323" w:type="pct"/>
            <w:tcBorders>
              <w:top w:val="outset" w:sz="6" w:space="0" w:color="414142"/>
              <w:left w:val="outset" w:sz="6" w:space="0" w:color="414142"/>
              <w:bottom w:val="outset" w:sz="6" w:space="0" w:color="414142"/>
              <w:right w:val="outset" w:sz="6" w:space="0" w:color="414142"/>
            </w:tcBorders>
          </w:tcPr>
          <w:p w14:paraId="2CE28380" w14:textId="1F834A1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08DB978D" w14:textId="0ABD78D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83D624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6368001" w14:textId="428A60D5"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4.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3D97C63" w14:textId="570BBE71"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trešā daļa un Komerclikuma 184.</w:t>
            </w:r>
            <w:r w:rsidRPr="002C4A1B">
              <w:rPr>
                <w:rFonts w:ascii="Times New Roman" w:eastAsia="Times New Roman" w:hAnsi="Times New Roman" w:cs="Times New Roman"/>
                <w:color w:val="000000" w:themeColor="text1"/>
                <w:sz w:val="24"/>
                <w:szCs w:val="24"/>
                <w:vertAlign w:val="superscript"/>
                <w:lang w:eastAsia="lv-LV"/>
              </w:rPr>
              <w:t>2</w:t>
            </w:r>
            <w:r w:rsidRPr="002C4A1B">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49858328" w14:textId="67D0583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22058148" w14:textId="3ED5469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C60F2AA"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529618EA" w14:textId="4712CED2"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5.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6346A910" w14:textId="29A72EE1"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pants un Komerclikuma 184.</w:t>
            </w:r>
            <w:r w:rsidRPr="002C4A1B">
              <w:rPr>
                <w:rFonts w:ascii="Times New Roman" w:eastAsia="Times New Roman" w:hAnsi="Times New Roman" w:cs="Times New Roman"/>
                <w:color w:val="000000" w:themeColor="text1"/>
                <w:sz w:val="24"/>
                <w:szCs w:val="24"/>
                <w:vertAlign w:val="superscript"/>
                <w:lang w:eastAsia="lv-LV"/>
              </w:rPr>
              <w:t>2</w:t>
            </w:r>
            <w:r w:rsidRPr="002C4A1B">
              <w:rPr>
                <w:rFonts w:ascii="Times New Roman" w:eastAsia="Times New Roman" w:hAnsi="Times New Roman" w:cs="Times New Roman"/>
                <w:color w:val="000000" w:themeColor="text1"/>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8D0C5C6" w14:textId="1AD0E2A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6C3FF32D" w14:textId="45F7A004"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Latvija daļēji ir izvēlējusies Direktīvas piedāvāto stingrāko prasību. </w:t>
            </w:r>
          </w:p>
        </w:tc>
      </w:tr>
      <w:tr w:rsidR="00ED79F1" w:rsidRPr="002C4A1B" w14:paraId="7CB7145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7435213C" w14:textId="263FAF9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6.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548F455" w14:textId="56F57CA9"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4AD22C55" w14:textId="5BEE01B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7BFB8F58" w14:textId="22CC8FA9"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 xml:space="preserve">Nav attiecināms </w:t>
            </w:r>
          </w:p>
        </w:tc>
      </w:tr>
      <w:tr w:rsidR="00ED79F1" w:rsidRPr="002C4A1B" w14:paraId="4867CB6B"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34D1309" w14:textId="06A27BE6"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lastRenderedPageBreak/>
              <w:t>Direktīvas 2007/36/EK 9.c pants 7.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0EDFFB8B" w14:textId="00DA2CD3"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Projektā ietvertā 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divpadsmitā daļa</w:t>
            </w:r>
          </w:p>
        </w:tc>
        <w:tc>
          <w:tcPr>
            <w:tcW w:w="1323" w:type="pct"/>
            <w:tcBorders>
              <w:top w:val="outset" w:sz="6" w:space="0" w:color="414142"/>
              <w:left w:val="outset" w:sz="6" w:space="0" w:color="414142"/>
              <w:bottom w:val="outset" w:sz="6" w:space="0" w:color="414142"/>
              <w:right w:val="outset" w:sz="6" w:space="0" w:color="414142"/>
            </w:tcBorders>
          </w:tcPr>
          <w:p w14:paraId="41C1AA9C" w14:textId="3A20B9D1"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DBAF578" w14:textId="14856AF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3B28B86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67B54CE9" w14:textId="12B58574"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8.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31546A3A" w14:textId="23A82396"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59.</w:t>
            </w:r>
            <w:r w:rsidRPr="002C4A1B">
              <w:rPr>
                <w:rFonts w:ascii="Times New Roman" w:eastAsia="Times New Roman" w:hAnsi="Times New Roman" w:cs="Times New Roman"/>
                <w:color w:val="000000" w:themeColor="text1"/>
                <w:sz w:val="24"/>
                <w:szCs w:val="24"/>
                <w:vertAlign w:val="superscript"/>
                <w:lang w:eastAsia="lv-LV"/>
              </w:rPr>
              <w:t>1</w:t>
            </w:r>
            <w:r w:rsidRPr="002C4A1B">
              <w:rPr>
                <w:rFonts w:ascii="Times New Roman" w:eastAsia="Times New Roman" w:hAnsi="Times New Roman" w:cs="Times New Roman"/>
                <w:color w:val="000000" w:themeColor="text1"/>
                <w:sz w:val="24"/>
                <w:szCs w:val="24"/>
                <w:lang w:eastAsia="lv-LV"/>
              </w:rPr>
              <w:t> panta astotā daļa</w:t>
            </w:r>
          </w:p>
        </w:tc>
        <w:tc>
          <w:tcPr>
            <w:tcW w:w="1323" w:type="pct"/>
            <w:tcBorders>
              <w:top w:val="outset" w:sz="6" w:space="0" w:color="414142"/>
              <w:left w:val="outset" w:sz="6" w:space="0" w:color="414142"/>
              <w:bottom w:val="outset" w:sz="6" w:space="0" w:color="414142"/>
              <w:right w:val="outset" w:sz="6" w:space="0" w:color="414142"/>
            </w:tcBorders>
          </w:tcPr>
          <w:p w14:paraId="0E7BF5E9" w14:textId="62149846"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4495A005" w14:textId="4B22A4E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407863F6"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3C1F6FA8" w14:textId="1063DEB7"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9.c pants 9. punkts</w:t>
            </w:r>
          </w:p>
        </w:tc>
        <w:tc>
          <w:tcPr>
            <w:tcW w:w="1131" w:type="pct"/>
            <w:gridSpan w:val="2"/>
            <w:tcBorders>
              <w:top w:val="outset" w:sz="6" w:space="0" w:color="414142"/>
              <w:left w:val="outset" w:sz="6" w:space="0" w:color="414142"/>
              <w:bottom w:val="outset" w:sz="6" w:space="0" w:color="414142"/>
              <w:right w:val="outset" w:sz="6" w:space="0" w:color="414142"/>
            </w:tcBorders>
          </w:tcPr>
          <w:p w14:paraId="1D0B5F6B" w14:textId="3525D8FC"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5858481D" w14:textId="1E66F735"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DD35BDF" w14:textId="3563D1F7"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7B158075"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145F0DE9" w14:textId="53DDE1CE" w:rsidR="00ED79F1" w:rsidRPr="002C4A1B" w:rsidRDefault="00ED79F1" w:rsidP="00ED79F1">
            <w:pPr>
              <w:spacing w:after="0" w:line="240" w:lineRule="auto"/>
              <w:rPr>
                <w:rFonts w:ascii="Times New Roman" w:eastAsia="Arial Unicode MS" w:hAnsi="Times New Roman" w:cs="Times New Roman"/>
                <w:color w:val="000000" w:themeColor="text1"/>
                <w:sz w:val="24"/>
                <w:szCs w:val="24"/>
              </w:rPr>
            </w:pPr>
            <w:r w:rsidRPr="002C4A1B">
              <w:rPr>
                <w:rFonts w:ascii="Times New Roman" w:eastAsia="Arial Unicode MS" w:hAnsi="Times New Roman" w:cs="Times New Roman"/>
                <w:color w:val="000000" w:themeColor="text1"/>
                <w:sz w:val="24"/>
                <w:szCs w:val="24"/>
              </w:rPr>
              <w:t>Direktīvas 2007/36/EK 14.a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1DA56C41" w14:textId="7905F1D4" w:rsidR="00ED79F1" w:rsidRPr="002C4A1B" w:rsidRDefault="00ED79F1" w:rsidP="00ED79F1">
            <w:pPr>
              <w:spacing w:after="0" w:line="240" w:lineRule="auto"/>
              <w:jc w:val="center"/>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6E36AD76" w14:textId="741B5A88"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2A97C61" w14:textId="586D11CF"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2CBF2398"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FE052FA" w14:textId="27004ED3"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Arial Unicode MS" w:hAnsi="Times New Roman" w:cs="Times New Roman"/>
                <w:color w:val="000000" w:themeColor="text1"/>
                <w:sz w:val="24"/>
                <w:szCs w:val="24"/>
              </w:rPr>
              <w:t>Direktīvas 2007/36/EK 14.b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BDC0CE0" w14:textId="71D5BE3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FITL 148. pants un Projektā ietvertā FITL 5</w:t>
            </w:r>
            <w:r w:rsidR="00DF159B">
              <w:rPr>
                <w:rFonts w:ascii="Times New Roman" w:eastAsia="Times New Roman" w:hAnsi="Times New Roman" w:cs="Times New Roman"/>
                <w:color w:val="000000" w:themeColor="text1"/>
                <w:sz w:val="24"/>
                <w:szCs w:val="24"/>
                <w:lang w:eastAsia="lv-LV"/>
              </w:rPr>
              <w:t>9</w:t>
            </w:r>
            <w:r w:rsidRPr="002C4A1B">
              <w:rPr>
                <w:rFonts w:ascii="Times New Roman" w:eastAsia="Times New Roman" w:hAnsi="Times New Roman" w:cs="Times New Roman"/>
                <w:color w:val="000000" w:themeColor="text1"/>
                <w:sz w:val="24"/>
                <w:szCs w:val="24"/>
                <w:lang w:eastAsia="lv-LV"/>
              </w:rPr>
              <w:t>.</w:t>
            </w:r>
            <w:r w:rsidR="00DF159B">
              <w:rPr>
                <w:rFonts w:ascii="Times New Roman" w:eastAsia="Times New Roman" w:hAnsi="Times New Roman" w:cs="Times New Roman"/>
                <w:color w:val="000000" w:themeColor="text1"/>
                <w:sz w:val="24"/>
                <w:szCs w:val="24"/>
                <w:vertAlign w:val="superscript"/>
                <w:lang w:eastAsia="lv-LV"/>
              </w:rPr>
              <w:t>5</w:t>
            </w:r>
            <w:r w:rsidRPr="002C4A1B">
              <w:rPr>
                <w:rFonts w:ascii="Times New Roman" w:eastAsia="Times New Roman" w:hAnsi="Times New Roman" w:cs="Times New Roman"/>
                <w:color w:val="000000" w:themeColor="text1"/>
                <w:sz w:val="24"/>
                <w:szCs w:val="24"/>
                <w:vertAlign w:val="superscript"/>
                <w:lang w:eastAsia="lv-LV"/>
              </w:rPr>
              <w:t> </w:t>
            </w:r>
            <w:r w:rsidRPr="002C4A1B">
              <w:rPr>
                <w:rFonts w:ascii="Times New Roman" w:eastAsia="Times New Roman" w:hAnsi="Times New Roman" w:cs="Times New Roman"/>
                <w:color w:val="000000" w:themeColor="text1"/>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3E6AEDD" w14:textId="4F4D2B8C"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Pārņemts pilnībā</w:t>
            </w:r>
          </w:p>
        </w:tc>
        <w:tc>
          <w:tcPr>
            <w:tcW w:w="1405" w:type="pct"/>
            <w:tcBorders>
              <w:top w:val="outset" w:sz="6" w:space="0" w:color="414142"/>
              <w:left w:val="outset" w:sz="6" w:space="0" w:color="414142"/>
              <w:bottom w:val="outset" w:sz="6" w:space="0" w:color="414142"/>
              <w:right w:val="outset" w:sz="6" w:space="0" w:color="414142"/>
            </w:tcBorders>
          </w:tcPr>
          <w:p w14:paraId="33CF24AF" w14:textId="5E8C7160" w:rsidR="00ED79F1" w:rsidRPr="002C4A1B" w:rsidRDefault="00ED79F1" w:rsidP="00ED79F1">
            <w:pPr>
              <w:spacing w:after="0" w:line="240" w:lineRule="auto"/>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 attiecināms</w:t>
            </w:r>
          </w:p>
        </w:tc>
      </w:tr>
      <w:tr w:rsidR="00ED79F1" w:rsidRPr="002C4A1B" w14:paraId="6BB70662" w14:textId="77777777" w:rsidTr="005839C8">
        <w:tc>
          <w:tcPr>
            <w:tcW w:w="1141" w:type="pct"/>
            <w:tcBorders>
              <w:top w:val="outset" w:sz="6" w:space="0" w:color="414142"/>
              <w:left w:val="outset" w:sz="6" w:space="0" w:color="414142"/>
              <w:bottom w:val="outset" w:sz="6" w:space="0" w:color="414142"/>
              <w:right w:val="outset" w:sz="6" w:space="0" w:color="414142"/>
            </w:tcBorders>
          </w:tcPr>
          <w:p w14:paraId="004341F6" w14:textId="04CC7C9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Direktīvas 2., 3. un 4. pants</w:t>
            </w:r>
          </w:p>
        </w:tc>
        <w:tc>
          <w:tcPr>
            <w:tcW w:w="1131" w:type="pct"/>
            <w:gridSpan w:val="2"/>
            <w:tcBorders>
              <w:top w:val="outset" w:sz="6" w:space="0" w:color="414142"/>
              <w:left w:val="outset" w:sz="6" w:space="0" w:color="414142"/>
              <w:bottom w:val="outset" w:sz="6" w:space="0" w:color="414142"/>
              <w:right w:val="outset" w:sz="6" w:space="0" w:color="414142"/>
            </w:tcBorders>
          </w:tcPr>
          <w:p w14:paraId="2F46332A" w14:textId="25126D0D"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________</w:t>
            </w:r>
          </w:p>
        </w:tc>
        <w:tc>
          <w:tcPr>
            <w:tcW w:w="1323" w:type="pct"/>
            <w:tcBorders>
              <w:top w:val="outset" w:sz="6" w:space="0" w:color="414142"/>
              <w:left w:val="outset" w:sz="6" w:space="0" w:color="414142"/>
              <w:bottom w:val="outset" w:sz="6" w:space="0" w:color="414142"/>
              <w:right w:val="outset" w:sz="6" w:space="0" w:color="414142"/>
            </w:tcBorders>
          </w:tcPr>
          <w:p w14:paraId="33259FF6" w14:textId="4EEE5B39"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jāievieš</w:t>
            </w:r>
          </w:p>
        </w:tc>
        <w:tc>
          <w:tcPr>
            <w:tcW w:w="1405" w:type="pct"/>
            <w:tcBorders>
              <w:top w:val="outset" w:sz="6" w:space="0" w:color="414142"/>
              <w:left w:val="outset" w:sz="6" w:space="0" w:color="414142"/>
              <w:bottom w:val="outset" w:sz="6" w:space="0" w:color="414142"/>
              <w:right w:val="outset" w:sz="6" w:space="0" w:color="414142"/>
            </w:tcBorders>
          </w:tcPr>
          <w:p w14:paraId="45767017" w14:textId="292E68D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 attiecināms</w:t>
            </w:r>
          </w:p>
        </w:tc>
      </w:tr>
      <w:tr w:rsidR="00ED79F1" w:rsidRPr="002C4A1B" w14:paraId="1019C6BA"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6178FAAB"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2C4A1B">
              <w:rPr>
                <w:rFonts w:ascii="Times New Roman" w:eastAsia="Times New Roman" w:hAnsi="Times New Roman" w:cs="Times New Roman"/>
                <w:sz w:val="24"/>
                <w:szCs w:val="24"/>
                <w:lang w:eastAsia="lv-LV"/>
              </w:rPr>
              <w:br/>
              <w:t>Kādēļ?</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2457BF3B" w14:textId="212F2367"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 Nav izmantota iespēja paredzēt procentuālo slieksni (</w:t>
            </w:r>
            <w:r w:rsidRPr="002C4A1B">
              <w:rPr>
                <w:rFonts w:ascii="Times New Roman" w:eastAsia="Arial Unicode MS" w:hAnsi="Times New Roman" w:cs="Times New Roman"/>
                <w:sz w:val="24"/>
                <w:szCs w:val="24"/>
              </w:rPr>
              <w:t>Direktīvas 2007/36/EK 3.a panta 1. punkts</w:t>
            </w:r>
            <w:r w:rsidRPr="002C4A1B">
              <w:rPr>
                <w:rFonts w:ascii="Times New Roman" w:eastAsia="Times New Roman" w:hAnsi="Times New Roman" w:cs="Times New Roman"/>
                <w:sz w:val="24"/>
                <w:szCs w:val="24"/>
                <w:lang w:eastAsia="lv-LV"/>
              </w:rPr>
              <w:t xml:space="preserve">), kas ļautu neidentificēt akcionārus, kas nepārsniedz šo slieksni. </w:t>
            </w:r>
            <w:r w:rsidRPr="002C4A1B">
              <w:rPr>
                <w:rFonts w:ascii="Times New Roman" w:eastAsia="Times New Roman" w:hAnsi="Times New Roman" w:cs="Times New Roman"/>
                <w:sz w:val="24"/>
                <w:szCs w:val="24"/>
                <w:lang w:val="lv"/>
              </w:rPr>
              <w:t>Ņemot vērā Latvijā reģistrētu sabiedrību akcionāru struktūru (lielai daļai akcionāru pieder niecīgs balsstiesīgo akciju skaits), kā arī vairumu citu dalībvalstu plānus neizmantot Direktīvā paredzēto izvēles iespēju, projekts paredz, ka tiesības identificēt sabiedrības akcionārus attieksies uz ikvienu akciju sabiedrības akcionāru neatkarīgi no tam piederošo balsstiesīgo akciju skaita.</w:t>
            </w:r>
          </w:p>
          <w:p w14:paraId="785AFED0" w14:textId="6D3A44FE"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 Izmantota iespēja akciju sabiedrībai prasīt informāciju depozitārijam par akcionāru identifikāciju (</w:t>
            </w:r>
            <w:r w:rsidRPr="002C4A1B">
              <w:rPr>
                <w:rFonts w:ascii="Times New Roman" w:eastAsia="Arial Unicode MS" w:hAnsi="Times New Roman" w:cs="Times New Roman"/>
                <w:sz w:val="24"/>
                <w:szCs w:val="24"/>
              </w:rPr>
              <w:t>Direktīvas 2007/36/EK 3.a panta 3. punkta trešā daļa</w:t>
            </w:r>
            <w:r w:rsidRPr="002C4A1B">
              <w:rPr>
                <w:rFonts w:ascii="Times New Roman" w:eastAsia="Times New Roman" w:hAnsi="Times New Roman" w:cs="Times New Roman"/>
                <w:sz w:val="24"/>
                <w:szCs w:val="24"/>
                <w:lang w:eastAsia="lv-LV"/>
              </w:rPr>
              <w:t xml:space="preserve">). Šādu pieeju ir izvēlējusies lielākā daļa dalībvalstu. </w:t>
            </w:r>
            <w:r w:rsidRPr="0084318E">
              <w:rPr>
                <w:rFonts w:ascii="Times New Roman" w:eastAsia="Times New Roman" w:hAnsi="Times New Roman" w:cs="Times New Roman"/>
                <w:sz w:val="24"/>
                <w:szCs w:val="24"/>
                <w:lang w:eastAsia="lv-LV"/>
              </w:rPr>
              <w:t>C</w:t>
            </w:r>
            <w:r w:rsidRPr="0084318E">
              <w:rPr>
                <w:rFonts w:ascii="Times New Roman" w:eastAsia="Times New Roman" w:hAnsi="Times New Roman" w:cs="Times New Roman"/>
                <w:sz w:val="24"/>
                <w:szCs w:val="24"/>
              </w:rPr>
              <w:t xml:space="preserve">entrālā </w:t>
            </w:r>
            <w:r w:rsidRPr="002C4A1B">
              <w:rPr>
                <w:rFonts w:ascii="Times New Roman" w:eastAsia="Times New Roman" w:hAnsi="Times New Roman" w:cs="Times New Roman"/>
                <w:sz w:val="24"/>
                <w:szCs w:val="24"/>
                <w:lang w:val="lv"/>
              </w:rPr>
              <w:t xml:space="preserve">vērtspapīru depozitārija noteikšana par atbildīgo attiecībā uz akcionāru identificējošās informācijas apkopošanu ir akciju sabiedrībai ērtākais un </w:t>
            </w:r>
            <w:proofErr w:type="spellStart"/>
            <w:r w:rsidR="00E629CB" w:rsidRPr="002C4A1B">
              <w:rPr>
                <w:rFonts w:ascii="Times New Roman" w:eastAsia="Times New Roman" w:hAnsi="Times New Roman" w:cs="Times New Roman"/>
                <w:sz w:val="24"/>
                <w:szCs w:val="24"/>
              </w:rPr>
              <w:t>optimālākais</w:t>
            </w:r>
            <w:proofErr w:type="spellEnd"/>
            <w:r w:rsidR="00E629CB" w:rsidRPr="002C4A1B">
              <w:rPr>
                <w:rFonts w:ascii="Times New Roman" w:eastAsia="Times New Roman" w:hAnsi="Times New Roman" w:cs="Times New Roman"/>
                <w:sz w:val="24"/>
                <w:szCs w:val="24"/>
                <w:lang w:val="lv"/>
              </w:rPr>
              <w:t xml:space="preserve"> </w:t>
            </w:r>
            <w:r w:rsidRPr="002C4A1B">
              <w:rPr>
                <w:rFonts w:ascii="Times New Roman" w:eastAsia="Times New Roman" w:hAnsi="Times New Roman" w:cs="Times New Roman"/>
                <w:sz w:val="24"/>
                <w:szCs w:val="24"/>
                <w:lang w:val="lv"/>
              </w:rPr>
              <w:t>veids akcionāru noskaidrošanai</w:t>
            </w:r>
            <w:r w:rsidR="00E629CB" w:rsidRPr="002C4A1B">
              <w:rPr>
                <w:rFonts w:ascii="Times New Roman" w:eastAsia="Times New Roman" w:hAnsi="Times New Roman" w:cs="Times New Roman"/>
                <w:sz w:val="24"/>
                <w:szCs w:val="24"/>
                <w:lang w:val="lv"/>
              </w:rPr>
              <w:t>.</w:t>
            </w:r>
          </w:p>
          <w:p w14:paraId="159A91B0" w14:textId="3F364C3E"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 Nav izmantota iespēja akciju sabiedrībai vai tās pilnvarotajai personai tiesības prasīt starpniekam ziņot par nākamo starpnieku (</w:t>
            </w:r>
            <w:r w:rsidRPr="002C4A1B">
              <w:rPr>
                <w:rFonts w:ascii="Times New Roman" w:eastAsia="Arial Unicode MS" w:hAnsi="Times New Roman" w:cs="Times New Roman"/>
                <w:sz w:val="24"/>
                <w:szCs w:val="24"/>
              </w:rPr>
              <w:t>Direktīvas 2007/36/EK 3.a panta 3. punkta ceturtā daļa</w:t>
            </w:r>
            <w:r w:rsidRPr="002C4A1B">
              <w:rPr>
                <w:rFonts w:ascii="Times New Roman" w:eastAsia="Times New Roman" w:hAnsi="Times New Roman" w:cs="Times New Roman"/>
                <w:sz w:val="24"/>
                <w:szCs w:val="24"/>
                <w:lang w:eastAsia="lv-LV"/>
              </w:rPr>
              <w:t>). Šādu pieeju ir izvēlējusies lielākā daļa dalībvalstu.</w:t>
            </w:r>
          </w:p>
          <w:p w14:paraId="136DB525" w14:textId="19FD19E6" w:rsidR="00ED79F1" w:rsidRPr="002C4A1B" w:rsidRDefault="00ED79F1" w:rsidP="00ED79F1">
            <w:pPr>
              <w:spacing w:after="0" w:line="240" w:lineRule="auto"/>
              <w:ind w:firstLine="284"/>
              <w:jc w:val="both"/>
              <w:rPr>
                <w:rFonts w:ascii="Times New Roman" w:hAnsi="Times New Roman" w:cs="Times New Roman"/>
                <w:color w:val="000000"/>
                <w:sz w:val="24"/>
                <w:szCs w:val="24"/>
              </w:rPr>
            </w:pPr>
            <w:r w:rsidRPr="002C4A1B">
              <w:rPr>
                <w:rFonts w:ascii="Times New Roman" w:eastAsia="Times New Roman" w:hAnsi="Times New Roman" w:cs="Times New Roman"/>
                <w:sz w:val="24"/>
                <w:szCs w:val="24"/>
                <w:lang w:eastAsia="lv-LV"/>
              </w:rPr>
              <w:t xml:space="preserve">4)Izmantota iespēja noteikt termiņu, kādā </w:t>
            </w:r>
            <w:r w:rsidRPr="002C4A1B">
              <w:rPr>
                <w:rFonts w:ascii="Times New Roman" w:hAnsi="Times New Roman" w:cs="Times New Roman"/>
                <w:color w:val="000000"/>
                <w:sz w:val="24"/>
                <w:szCs w:val="24"/>
              </w:rPr>
              <w:t xml:space="preserve">akcionārs var prasīt apstiprinājumu par to, ka viņa nodotās balsis ir likumā noteiktajā kārtībā reģistrētas </w:t>
            </w:r>
            <w:r w:rsidRPr="002C4A1B">
              <w:rPr>
                <w:rFonts w:ascii="Times New Roman" w:eastAsia="Times New Roman" w:hAnsi="Times New Roman" w:cs="Times New Roman"/>
                <w:sz w:val="24"/>
                <w:szCs w:val="24"/>
                <w:lang w:eastAsia="lv-LV"/>
              </w:rPr>
              <w:t>(</w:t>
            </w:r>
            <w:r w:rsidRPr="002C4A1B">
              <w:rPr>
                <w:rFonts w:ascii="Times New Roman" w:eastAsia="Arial Unicode MS" w:hAnsi="Times New Roman" w:cs="Times New Roman"/>
                <w:sz w:val="24"/>
                <w:szCs w:val="24"/>
              </w:rPr>
              <w:t>Direktīvas 2007/36/EK 3.c panta 2. punkts</w:t>
            </w:r>
            <w:r w:rsidRPr="002C4A1B">
              <w:rPr>
                <w:rFonts w:ascii="Times New Roman" w:eastAsia="Times New Roman" w:hAnsi="Times New Roman" w:cs="Times New Roman"/>
                <w:sz w:val="24"/>
                <w:szCs w:val="24"/>
                <w:lang w:eastAsia="lv-LV"/>
              </w:rPr>
              <w:t>)</w:t>
            </w:r>
            <w:r w:rsidRPr="002C4A1B">
              <w:rPr>
                <w:rFonts w:ascii="Times New Roman" w:hAnsi="Times New Roman" w:cs="Times New Roman"/>
                <w:color w:val="000000"/>
                <w:sz w:val="24"/>
                <w:szCs w:val="24"/>
              </w:rPr>
              <w:t xml:space="preserve">. Šīs tiesības akcionārs var izlietot mēneša laikā no akcionāru sapulces norises dienas. Šāds termiņš noteikts, lai neradītu </w:t>
            </w:r>
            <w:r w:rsidR="00E629CB" w:rsidRPr="002C4A1B">
              <w:rPr>
                <w:rFonts w:ascii="Times New Roman" w:hAnsi="Times New Roman" w:cs="Times New Roman"/>
                <w:color w:val="000000"/>
                <w:sz w:val="24"/>
                <w:szCs w:val="24"/>
              </w:rPr>
              <w:t>nesamērīgu</w:t>
            </w:r>
            <w:r w:rsidRPr="002C4A1B">
              <w:rPr>
                <w:rFonts w:ascii="Times New Roman" w:hAnsi="Times New Roman" w:cs="Times New Roman"/>
                <w:color w:val="000000"/>
                <w:sz w:val="24"/>
                <w:szCs w:val="24"/>
              </w:rPr>
              <w:t xml:space="preserve"> administratīvo slogu akciju sabiedrībām</w:t>
            </w:r>
            <w:r w:rsidR="003D18C9" w:rsidRPr="002C4A1B">
              <w:rPr>
                <w:rFonts w:ascii="Times New Roman" w:hAnsi="Times New Roman" w:cs="Times New Roman"/>
                <w:color w:val="000000"/>
                <w:sz w:val="24"/>
                <w:szCs w:val="24"/>
              </w:rPr>
              <w:t xml:space="preserve"> un veicinātu to, ka akcionāri pēc iespējas operatīvāk izmanto tiem ar likumu piešķirtās tiesības</w:t>
            </w:r>
            <w:r w:rsidRPr="002C4A1B">
              <w:rPr>
                <w:rFonts w:ascii="Times New Roman" w:hAnsi="Times New Roman" w:cs="Times New Roman"/>
                <w:color w:val="000000"/>
                <w:sz w:val="24"/>
                <w:szCs w:val="24"/>
              </w:rPr>
              <w:t xml:space="preserve">.  </w:t>
            </w:r>
          </w:p>
          <w:p w14:paraId="66FA7035" w14:textId="6A32915D"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color w:val="000000"/>
                <w:sz w:val="24"/>
                <w:szCs w:val="24"/>
              </w:rPr>
              <w:t>5)</w:t>
            </w:r>
            <w:r w:rsidR="006F1738">
              <w:rPr>
                <w:rFonts w:ascii="Times New Roman" w:hAnsi="Times New Roman" w:cs="Times New Roman"/>
                <w:color w:val="000000"/>
                <w:sz w:val="24"/>
                <w:szCs w:val="24"/>
              </w:rPr>
              <w:t> </w:t>
            </w:r>
            <w:r w:rsidRPr="002C4A1B">
              <w:rPr>
                <w:rFonts w:ascii="Times New Roman" w:eastAsia="Times New Roman" w:hAnsi="Times New Roman" w:cs="Times New Roman"/>
                <w:sz w:val="24"/>
                <w:szCs w:val="24"/>
                <w:lang w:eastAsia="lv-LV"/>
              </w:rPr>
              <w:t>Nav izmantota iespēja noteikt, ka starpniekiem nav tiesību prasīt maksu no akciju sabiedrībām un to akcionāriem par projektā iekļautajā FITL III</w:t>
            </w:r>
            <w:r w:rsidRPr="002C4A1B">
              <w:rPr>
                <w:rFonts w:ascii="Times New Roman" w:eastAsia="Times New Roman" w:hAnsi="Times New Roman" w:cs="Times New Roman"/>
                <w:sz w:val="24"/>
                <w:szCs w:val="24"/>
                <w:vertAlign w:val="superscript"/>
                <w:lang w:eastAsia="lv-LV"/>
              </w:rPr>
              <w:t>2</w:t>
            </w:r>
            <w:r w:rsidR="006F1738">
              <w:rPr>
                <w:rFonts w:ascii="Times New Roman" w:eastAsia="Times New Roman" w:hAnsi="Times New Roman" w:cs="Times New Roman"/>
                <w:sz w:val="24"/>
                <w:szCs w:val="24"/>
                <w:lang w:eastAsia="lv-LV"/>
              </w:rPr>
              <w:t> </w:t>
            </w:r>
            <w:r w:rsidRPr="002C4A1B">
              <w:rPr>
                <w:rFonts w:ascii="Times New Roman" w:eastAsia="Times New Roman" w:hAnsi="Times New Roman" w:cs="Times New Roman"/>
                <w:sz w:val="24"/>
                <w:szCs w:val="24"/>
                <w:lang w:eastAsia="lv-LV"/>
              </w:rPr>
              <w:t>nodaļā minēto pakalpojumu sniegšanu. Šādas iespējas izmantošana radītu starpniekiem nesamērīgu administratīvo slogu</w:t>
            </w:r>
            <w:r w:rsidR="00E629CB" w:rsidRPr="002C4A1B">
              <w:rPr>
                <w:rFonts w:ascii="Times New Roman" w:eastAsia="Times New Roman" w:hAnsi="Times New Roman" w:cs="Times New Roman"/>
                <w:sz w:val="24"/>
                <w:szCs w:val="24"/>
                <w:lang w:eastAsia="lv-LV"/>
              </w:rPr>
              <w:t xml:space="preserve"> un izmaksas starpniek</w:t>
            </w:r>
            <w:r w:rsidR="003D18C9" w:rsidRPr="002C4A1B">
              <w:rPr>
                <w:rFonts w:ascii="Times New Roman" w:eastAsia="Times New Roman" w:hAnsi="Times New Roman" w:cs="Times New Roman"/>
                <w:sz w:val="24"/>
                <w:szCs w:val="24"/>
                <w:lang w:eastAsia="lv-LV"/>
              </w:rPr>
              <w:t>iem</w:t>
            </w:r>
            <w:r w:rsidR="00F2375D" w:rsidRPr="002C4A1B">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p>
          <w:p w14:paraId="1FC7DB6D" w14:textId="120B2493"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6) Nav izmantota iespēja paredzēt konsultatīvu akcionāru sapulces balsojumu par atalgojuma politiku. Komerclikuma 268. panta pirmās </w:t>
            </w:r>
            <w:r w:rsidRPr="002C4A1B">
              <w:rPr>
                <w:rFonts w:ascii="Times New Roman" w:eastAsia="Times New Roman" w:hAnsi="Times New Roman" w:cs="Times New Roman"/>
                <w:sz w:val="24"/>
                <w:szCs w:val="24"/>
                <w:lang w:eastAsia="lv-LV"/>
              </w:rPr>
              <w:lastRenderedPageBreak/>
              <w:t xml:space="preserve">daļas 11. punkts jau no 2008. gada 28. maija paredz, ka akcionāru sapulces balsojums par valdes un padomes locekļiem paredzētās atlīdzības noteikšanas vispārējiem principiem, veidiem un kritērijiem ir </w:t>
            </w:r>
            <w:r w:rsidR="003D18C9" w:rsidRPr="002C4A1B">
              <w:rPr>
                <w:rFonts w:ascii="Times New Roman" w:eastAsia="Times New Roman" w:hAnsi="Times New Roman" w:cs="Times New Roman"/>
                <w:sz w:val="24"/>
                <w:szCs w:val="24"/>
                <w:lang w:eastAsia="lv-LV"/>
              </w:rPr>
              <w:t xml:space="preserve">akciju sabiedrībai </w:t>
            </w:r>
            <w:r w:rsidRPr="002C4A1B">
              <w:rPr>
                <w:rFonts w:ascii="Times New Roman" w:eastAsia="Times New Roman" w:hAnsi="Times New Roman" w:cs="Times New Roman"/>
                <w:sz w:val="24"/>
                <w:szCs w:val="24"/>
                <w:lang w:eastAsia="lv-LV"/>
              </w:rPr>
              <w:t>saistošs. Nav nekāda pamata samazināt jau esošas prasības, kas ir vērstas uz akcionāru interešu aizsardzību. Arī lielākā daļa citu dalībvalstu ir izvēlējusies saistošu, nevis konsultatīvu balsojumu.</w:t>
            </w:r>
          </w:p>
          <w:p w14:paraId="3F2A6137" w14:textId="263DC118"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7) </w:t>
            </w:r>
            <w:r w:rsidR="00EB75B9" w:rsidRPr="002C4A1B">
              <w:rPr>
                <w:rFonts w:ascii="Times New Roman" w:eastAsia="Times New Roman" w:hAnsi="Times New Roman" w:cs="Times New Roman"/>
                <w:sz w:val="24"/>
                <w:szCs w:val="24"/>
                <w:lang w:eastAsia="lv-LV"/>
              </w:rPr>
              <w:t>N</w:t>
            </w:r>
            <w:r w:rsidRPr="002C4A1B">
              <w:rPr>
                <w:rFonts w:ascii="Times New Roman" w:eastAsia="Times New Roman" w:hAnsi="Times New Roman" w:cs="Times New Roman"/>
                <w:sz w:val="24"/>
                <w:szCs w:val="24"/>
                <w:lang w:eastAsia="lv-LV"/>
              </w:rPr>
              <w:t>av izmantota iespēja paredzēt atkāpi no atalgojuma ziņojuma izskatīšanas akcionāru sapulcē maziem un vidēji lieliem uzņēmumiem (</w:t>
            </w:r>
            <w:r w:rsidRPr="002C4A1B">
              <w:rPr>
                <w:rFonts w:ascii="Times New Roman" w:eastAsia="Arial Unicode MS" w:hAnsi="Times New Roman" w:cs="Times New Roman"/>
                <w:sz w:val="24"/>
                <w:szCs w:val="24"/>
              </w:rPr>
              <w:t>Direktīvas 2007/36/EK 9.b pants 4. punkts</w:t>
            </w:r>
            <w:r w:rsidRPr="002C4A1B">
              <w:rPr>
                <w:rFonts w:ascii="Times New Roman" w:eastAsia="Times New Roman" w:hAnsi="Times New Roman" w:cs="Times New Roman"/>
                <w:sz w:val="24"/>
                <w:szCs w:val="24"/>
                <w:lang w:eastAsia="lv-LV"/>
              </w:rPr>
              <w:t xml:space="preserve">). Latvijā nav paredzēts </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konsultatīvs balsojums</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tāpēc pēc būtības jebkura jautājuma izskatīšana akcionāru sapulcē, ja par to netiek pieņemts saistošs balsojums, ir uzskatāma gan par konsultatīvu balsojumu, gan par apspriešanu akcionāru sapulcē, jo akcionāriem jebkurā gadījumā ir iespēja gan izteikt viedokli un iebildumus, gan organizēt nesaistošu (indikatīvu) balsojumu.</w:t>
            </w:r>
          </w:p>
          <w:p w14:paraId="40244AEB" w14:textId="7345B5EB"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8) Nav izmantota iespēja atļaut akcionāram, kurš ir saistītā puse, piedalīties balsojumā (</w:t>
            </w:r>
            <w:r w:rsidRPr="002C4A1B">
              <w:rPr>
                <w:rFonts w:ascii="Times New Roman" w:eastAsia="Arial Unicode MS" w:hAnsi="Times New Roman" w:cs="Times New Roman"/>
                <w:sz w:val="24"/>
                <w:szCs w:val="24"/>
              </w:rPr>
              <w:t>Direktīvas 2007/36/EK 9.c pants 4. punkta ceturtā daļa</w:t>
            </w:r>
            <w:r w:rsidRPr="002C4A1B">
              <w:rPr>
                <w:rFonts w:ascii="Times New Roman" w:eastAsia="Times New Roman" w:hAnsi="Times New Roman" w:cs="Times New Roman"/>
                <w:sz w:val="24"/>
                <w:szCs w:val="24"/>
                <w:lang w:eastAsia="lv-LV"/>
              </w:rPr>
              <w:t>), jo Latvijā šāds regulējums pastāv jau no 2012. gada (Komerclikuma 280. panta otrās daļas 5.</w:t>
            </w:r>
            <w:r w:rsidRPr="002C4A1B">
              <w:rPr>
                <w:rFonts w:ascii="Times New Roman" w:hAnsi="Times New Roman" w:cs="Times New Roman"/>
                <w:sz w:val="24"/>
                <w:szCs w:val="24"/>
              </w:rPr>
              <w:t> punkts</w:t>
            </w:r>
            <w:r w:rsidRPr="002C4A1B">
              <w:rPr>
                <w:rFonts w:ascii="Times New Roman" w:eastAsia="Times New Roman" w:hAnsi="Times New Roman" w:cs="Times New Roman"/>
                <w:sz w:val="24"/>
                <w:szCs w:val="24"/>
                <w:lang w:eastAsia="lv-LV"/>
              </w:rPr>
              <w:t>).</w:t>
            </w:r>
          </w:p>
          <w:p w14:paraId="7D2AD38A" w14:textId="79FF00CA" w:rsidR="00ED79F1" w:rsidRPr="002C4A1B" w:rsidRDefault="00ED79F1" w:rsidP="00ED79F1">
            <w:pPr>
              <w:spacing w:after="0" w:line="240" w:lineRule="auto"/>
              <w:ind w:firstLine="284"/>
              <w:jc w:val="both"/>
              <w:rPr>
                <w:rFonts w:ascii="Times New Roman" w:eastAsia="Times New Roman" w:hAnsi="Times New Roman" w:cs="Times New Roman"/>
                <w:color w:val="FF0000"/>
                <w:sz w:val="24"/>
                <w:szCs w:val="24"/>
                <w:lang w:eastAsia="lv-LV"/>
              </w:rPr>
            </w:pPr>
            <w:r w:rsidRPr="002C4A1B">
              <w:rPr>
                <w:rFonts w:ascii="Times New Roman" w:eastAsia="Times New Roman" w:hAnsi="Times New Roman" w:cs="Times New Roman"/>
                <w:sz w:val="24"/>
                <w:szCs w:val="24"/>
                <w:lang w:eastAsia="lv-LV"/>
              </w:rPr>
              <w:t xml:space="preserve">9) Izmantota iespēja paredzēt, ka </w:t>
            </w:r>
            <w:r w:rsidR="00BF1D0F" w:rsidRPr="002C4A1B">
              <w:rPr>
                <w:rFonts w:ascii="Times New Roman" w:eastAsia="Times New Roman" w:hAnsi="Times New Roman" w:cs="Times New Roman"/>
                <w:sz w:val="24"/>
                <w:szCs w:val="24"/>
                <w:lang w:eastAsia="lv-LV"/>
              </w:rPr>
              <w:t xml:space="preserve">prasības par informācijas atklāšanu par </w:t>
            </w:r>
            <w:r w:rsidRPr="002C4A1B">
              <w:rPr>
                <w:rFonts w:ascii="Times New Roman" w:eastAsia="Times New Roman" w:hAnsi="Times New Roman" w:cs="Times New Roman"/>
                <w:sz w:val="24"/>
                <w:szCs w:val="24"/>
                <w:lang w:eastAsia="lv-LV"/>
              </w:rPr>
              <w:t xml:space="preserve">nozīmīga apjoma saistīto pušu darījuma prasības attiecas arī uz </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tipiskiem darījumiem</w:t>
            </w:r>
            <w:r w:rsidR="008A5A72">
              <w:rPr>
                <w:rFonts w:ascii="Times New Roman" w:eastAsia="Times New Roman" w:hAnsi="Times New Roman" w:cs="Times New Roman"/>
                <w:sz w:val="24"/>
                <w:szCs w:val="24"/>
                <w:lang w:eastAsia="lv-LV"/>
              </w:rPr>
              <w:t>"</w:t>
            </w:r>
            <w:r w:rsidRPr="002C4A1B">
              <w:rPr>
                <w:rFonts w:ascii="Times New Roman" w:eastAsia="Times New Roman" w:hAnsi="Times New Roman" w:cs="Times New Roman"/>
                <w:sz w:val="24"/>
                <w:szCs w:val="24"/>
                <w:lang w:eastAsia="lv-LV"/>
              </w:rPr>
              <w:t xml:space="preserve"> (</w:t>
            </w:r>
            <w:r w:rsidRPr="002C4A1B">
              <w:rPr>
                <w:rFonts w:ascii="Times New Roman" w:eastAsia="Arial Unicode MS" w:hAnsi="Times New Roman" w:cs="Times New Roman"/>
                <w:sz w:val="24"/>
                <w:szCs w:val="24"/>
              </w:rPr>
              <w:t>Direktīvas 2007/36/EK 9.c pants 5. punkta otrā daļa</w:t>
            </w:r>
            <w:r w:rsidRPr="002C4A1B">
              <w:rPr>
                <w:rFonts w:ascii="Times New Roman" w:eastAsia="Times New Roman" w:hAnsi="Times New Roman" w:cs="Times New Roman"/>
                <w:sz w:val="24"/>
                <w:szCs w:val="24"/>
                <w:lang w:eastAsia="lv-LV"/>
              </w:rPr>
              <w:t xml:space="preserve">). Latvija daļēji ir izvēlējusies Direktīvas piedāvāto stingrāko prasību. FITL regulējums jau šobrīd paredz, ka </w:t>
            </w:r>
            <w:r w:rsidR="00BF1D0F" w:rsidRPr="002C4A1B">
              <w:rPr>
                <w:rFonts w:ascii="Times New Roman" w:eastAsia="Times New Roman" w:hAnsi="Times New Roman" w:cs="Times New Roman"/>
                <w:sz w:val="24"/>
                <w:szCs w:val="24"/>
                <w:lang w:eastAsia="lv-LV"/>
              </w:rPr>
              <w:t xml:space="preserve">informācijas atklāšanas prasība par darījumu ar </w:t>
            </w:r>
            <w:r w:rsidRPr="002C4A1B">
              <w:rPr>
                <w:rFonts w:ascii="Times New Roman" w:eastAsia="Times New Roman" w:hAnsi="Times New Roman" w:cs="Times New Roman"/>
                <w:sz w:val="24"/>
                <w:szCs w:val="24"/>
                <w:lang w:eastAsia="lv-LV"/>
              </w:rPr>
              <w:t>saistīto pu</w:t>
            </w:r>
            <w:r w:rsidR="00BF1D0F" w:rsidRPr="002C4A1B">
              <w:rPr>
                <w:rFonts w:ascii="Times New Roman" w:eastAsia="Times New Roman" w:hAnsi="Times New Roman" w:cs="Times New Roman"/>
                <w:sz w:val="24"/>
                <w:szCs w:val="24"/>
                <w:lang w:eastAsia="lv-LV"/>
              </w:rPr>
              <w:t>si</w:t>
            </w:r>
            <w:r w:rsidRPr="002C4A1B">
              <w:rPr>
                <w:rFonts w:ascii="Times New Roman" w:eastAsia="Times New Roman" w:hAnsi="Times New Roman" w:cs="Times New Roman"/>
                <w:sz w:val="24"/>
                <w:szCs w:val="24"/>
                <w:lang w:eastAsia="lv-LV"/>
              </w:rPr>
              <w:t xml:space="preserve"> attiecas gan uz nozīmīga apjoma, gan netipiskiem darījumiem. Proti, </w:t>
            </w:r>
            <w:r w:rsidR="00777212" w:rsidRPr="002C4A1B">
              <w:rPr>
                <w:rFonts w:ascii="Times New Roman" w:eastAsia="Times New Roman" w:hAnsi="Times New Roman" w:cs="Times New Roman"/>
                <w:sz w:val="24"/>
                <w:szCs w:val="24"/>
                <w:lang w:eastAsia="lv-LV"/>
              </w:rPr>
              <w:t xml:space="preserve">informācija par </w:t>
            </w:r>
            <w:r w:rsidRPr="002C4A1B">
              <w:rPr>
                <w:rFonts w:ascii="Times New Roman" w:eastAsia="Times New Roman" w:hAnsi="Times New Roman" w:cs="Times New Roman"/>
                <w:sz w:val="24"/>
                <w:szCs w:val="24"/>
                <w:lang w:eastAsia="lv-LV"/>
              </w:rPr>
              <w:t>nozīmīga apjoma darījumi</w:t>
            </w:r>
            <w:r w:rsidR="00777212" w:rsidRPr="002C4A1B">
              <w:rPr>
                <w:rFonts w:ascii="Times New Roman" w:eastAsia="Times New Roman" w:hAnsi="Times New Roman" w:cs="Times New Roman"/>
                <w:sz w:val="24"/>
                <w:szCs w:val="24"/>
                <w:lang w:eastAsia="lv-LV"/>
              </w:rPr>
              <w:t>em</w:t>
            </w:r>
            <w:r w:rsidRPr="002C4A1B">
              <w:rPr>
                <w:rFonts w:ascii="Times New Roman" w:eastAsia="Times New Roman" w:hAnsi="Times New Roman" w:cs="Times New Roman"/>
                <w:sz w:val="24"/>
                <w:szCs w:val="24"/>
                <w:lang w:eastAsia="lv-LV"/>
              </w:rPr>
              <w:t xml:space="preserve"> tiek publiskot</w:t>
            </w:r>
            <w:r w:rsidR="00777212" w:rsidRPr="002C4A1B">
              <w:rPr>
                <w:rFonts w:ascii="Times New Roman" w:eastAsia="Times New Roman" w:hAnsi="Times New Roman" w:cs="Times New Roman"/>
                <w:sz w:val="24"/>
                <w:szCs w:val="24"/>
                <w:lang w:eastAsia="lv-LV"/>
              </w:rPr>
              <w:t>a</w:t>
            </w:r>
            <w:r w:rsidRPr="002C4A1B">
              <w:rPr>
                <w:rFonts w:ascii="Times New Roman" w:eastAsia="Times New Roman" w:hAnsi="Times New Roman" w:cs="Times New Roman"/>
                <w:sz w:val="24"/>
                <w:szCs w:val="24"/>
                <w:lang w:eastAsia="lv-LV"/>
              </w:rPr>
              <w:t xml:space="preserve"> arī tad, ja tie atbilst tirgus nosacījumiem. Savukārt padomes vai akcionāru sapulces piekrišana ir nepieciešama tikai netipisk</w:t>
            </w:r>
            <w:r w:rsidR="00777212" w:rsidRPr="002C4A1B">
              <w:rPr>
                <w:rFonts w:ascii="Times New Roman" w:eastAsia="Times New Roman" w:hAnsi="Times New Roman" w:cs="Times New Roman"/>
                <w:sz w:val="24"/>
                <w:szCs w:val="24"/>
                <w:lang w:eastAsia="lv-LV"/>
              </w:rPr>
              <w:t>u</w:t>
            </w:r>
            <w:r w:rsidRPr="002C4A1B">
              <w:rPr>
                <w:rFonts w:ascii="Times New Roman" w:eastAsia="Times New Roman" w:hAnsi="Times New Roman" w:cs="Times New Roman"/>
                <w:sz w:val="24"/>
                <w:szCs w:val="24"/>
                <w:lang w:eastAsia="lv-LV"/>
              </w:rPr>
              <w:t xml:space="preserve"> darījum</w:t>
            </w:r>
            <w:r w:rsidR="00777212" w:rsidRPr="002C4A1B">
              <w:rPr>
                <w:rFonts w:ascii="Times New Roman" w:eastAsia="Times New Roman" w:hAnsi="Times New Roman" w:cs="Times New Roman"/>
                <w:sz w:val="24"/>
                <w:szCs w:val="24"/>
                <w:lang w:eastAsia="lv-LV"/>
              </w:rPr>
              <w:t>u slēgšanai, ja otra darījuma puse ir saistītā puse</w:t>
            </w:r>
            <w:r w:rsidRPr="002C4A1B">
              <w:rPr>
                <w:rFonts w:ascii="Times New Roman" w:eastAsia="Times New Roman" w:hAnsi="Times New Roman" w:cs="Times New Roman"/>
                <w:sz w:val="24"/>
                <w:szCs w:val="24"/>
                <w:lang w:eastAsia="lv-LV"/>
              </w:rPr>
              <w:t xml:space="preserve">, bet </w:t>
            </w:r>
            <w:r w:rsidR="00777212" w:rsidRPr="002C4A1B">
              <w:rPr>
                <w:rFonts w:ascii="Times New Roman" w:eastAsia="Times New Roman" w:hAnsi="Times New Roman" w:cs="Times New Roman"/>
                <w:sz w:val="24"/>
                <w:szCs w:val="24"/>
                <w:lang w:eastAsia="lv-LV"/>
              </w:rPr>
              <w:t xml:space="preserve">tas </w:t>
            </w:r>
            <w:r w:rsidRPr="002C4A1B">
              <w:rPr>
                <w:rFonts w:ascii="Times New Roman" w:eastAsia="Times New Roman" w:hAnsi="Times New Roman" w:cs="Times New Roman"/>
                <w:sz w:val="24"/>
                <w:szCs w:val="24"/>
                <w:lang w:eastAsia="lv-LV"/>
              </w:rPr>
              <w:t>neattiecas uz nozīmīg</w:t>
            </w:r>
            <w:r w:rsidR="00777212" w:rsidRPr="002C4A1B">
              <w:rPr>
                <w:rFonts w:ascii="Times New Roman" w:eastAsia="Times New Roman" w:hAnsi="Times New Roman" w:cs="Times New Roman"/>
                <w:sz w:val="24"/>
                <w:szCs w:val="24"/>
                <w:lang w:eastAsia="lv-LV"/>
              </w:rPr>
              <w:t xml:space="preserve">u </w:t>
            </w:r>
            <w:r w:rsidRPr="002C4A1B">
              <w:rPr>
                <w:rFonts w:ascii="Times New Roman" w:eastAsia="Times New Roman" w:hAnsi="Times New Roman" w:cs="Times New Roman"/>
                <w:sz w:val="24"/>
                <w:szCs w:val="24"/>
                <w:lang w:eastAsia="lv-LV"/>
              </w:rPr>
              <w:t>darījum</w:t>
            </w:r>
            <w:r w:rsidR="00777212" w:rsidRPr="002C4A1B">
              <w:rPr>
                <w:rFonts w:ascii="Times New Roman" w:eastAsia="Times New Roman" w:hAnsi="Times New Roman" w:cs="Times New Roman"/>
                <w:sz w:val="24"/>
                <w:szCs w:val="24"/>
                <w:lang w:eastAsia="lv-LV"/>
              </w:rPr>
              <w:t>u slēgšanu</w:t>
            </w:r>
            <w:r w:rsidRPr="002C4A1B">
              <w:rPr>
                <w:rFonts w:ascii="Times New Roman" w:eastAsia="Times New Roman" w:hAnsi="Times New Roman" w:cs="Times New Roman"/>
                <w:sz w:val="24"/>
                <w:szCs w:val="24"/>
                <w:lang w:eastAsia="lv-LV"/>
              </w:rPr>
              <w:t>.</w:t>
            </w:r>
          </w:p>
          <w:p w14:paraId="67A83AAE" w14:textId="2ACB5E84"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10) Nav izmantota iespēja paredzēt saistīto pušu darījumu noslēgšanas atvieglojumus noteikta veida saistīto pušu darījumiem (</w:t>
            </w:r>
            <w:r w:rsidRPr="002C4A1B">
              <w:rPr>
                <w:rFonts w:ascii="Times New Roman" w:eastAsia="Arial Unicode MS" w:hAnsi="Times New Roman" w:cs="Times New Roman"/>
                <w:sz w:val="24"/>
                <w:szCs w:val="24"/>
              </w:rPr>
              <w:t>Direktīvas 2007/36/EK 9.c pants 6. punkts</w:t>
            </w:r>
            <w:r w:rsidRPr="002C4A1B">
              <w:rPr>
                <w:rFonts w:ascii="Times New Roman" w:eastAsia="Times New Roman" w:hAnsi="Times New Roman" w:cs="Times New Roman"/>
                <w:sz w:val="24"/>
                <w:szCs w:val="24"/>
                <w:lang w:eastAsia="lv-LV"/>
              </w:rPr>
              <w:t>). Ikviens šāds izņēmums samazina esošo akcionāru</w:t>
            </w:r>
            <w:r w:rsidR="00777212" w:rsidRPr="002C4A1B">
              <w:rPr>
                <w:rFonts w:ascii="Times New Roman" w:eastAsia="Times New Roman" w:hAnsi="Times New Roman" w:cs="Times New Roman"/>
                <w:sz w:val="24"/>
                <w:szCs w:val="24"/>
                <w:lang w:eastAsia="lv-LV"/>
              </w:rPr>
              <w:t>, jo īpaši mazākuma akcionāru</w:t>
            </w:r>
            <w:r w:rsidRPr="002C4A1B">
              <w:rPr>
                <w:rFonts w:ascii="Times New Roman" w:eastAsia="Times New Roman" w:hAnsi="Times New Roman" w:cs="Times New Roman"/>
                <w:sz w:val="24"/>
                <w:szCs w:val="24"/>
                <w:lang w:eastAsia="lv-LV"/>
              </w:rPr>
              <w:t xml:space="preserve"> un potenciālo </w:t>
            </w:r>
            <w:r w:rsidR="00777212" w:rsidRPr="002C4A1B">
              <w:rPr>
                <w:rFonts w:ascii="Times New Roman" w:eastAsia="Times New Roman" w:hAnsi="Times New Roman" w:cs="Times New Roman"/>
                <w:sz w:val="24"/>
                <w:szCs w:val="24"/>
                <w:lang w:eastAsia="lv-LV"/>
              </w:rPr>
              <w:t>ieguldītāju</w:t>
            </w:r>
            <w:r w:rsidRPr="002C4A1B">
              <w:rPr>
                <w:rFonts w:ascii="Times New Roman" w:eastAsia="Times New Roman" w:hAnsi="Times New Roman" w:cs="Times New Roman"/>
                <w:sz w:val="24"/>
                <w:szCs w:val="24"/>
                <w:lang w:eastAsia="lv-LV"/>
              </w:rPr>
              <w:t xml:space="preserve"> tiesību aizsardzības līmeni. Vienlaikus paredzētie izņēmumi neattiecas uz parast</w:t>
            </w:r>
            <w:r w:rsidR="00777212" w:rsidRPr="002C4A1B">
              <w:rPr>
                <w:rFonts w:ascii="Times New Roman" w:eastAsia="Times New Roman" w:hAnsi="Times New Roman" w:cs="Times New Roman"/>
                <w:sz w:val="24"/>
                <w:szCs w:val="24"/>
                <w:lang w:eastAsia="lv-LV"/>
              </w:rPr>
              <w:t xml:space="preserve">ās </w:t>
            </w:r>
            <w:r w:rsidRPr="002C4A1B">
              <w:rPr>
                <w:rFonts w:ascii="Times New Roman" w:eastAsia="Times New Roman" w:hAnsi="Times New Roman" w:cs="Times New Roman"/>
                <w:sz w:val="24"/>
                <w:szCs w:val="24"/>
                <w:lang w:eastAsia="lv-LV"/>
              </w:rPr>
              <w:t>komercdarbīb</w:t>
            </w:r>
            <w:r w:rsidR="00777212" w:rsidRPr="002C4A1B">
              <w:rPr>
                <w:rFonts w:ascii="Times New Roman" w:eastAsia="Times New Roman" w:hAnsi="Times New Roman" w:cs="Times New Roman"/>
                <w:sz w:val="24"/>
                <w:szCs w:val="24"/>
                <w:lang w:eastAsia="lv-LV"/>
              </w:rPr>
              <w:t>as ietvaros slēgtiem jebkuriem citiem darījumiem</w:t>
            </w:r>
            <w:r w:rsidRPr="002C4A1B">
              <w:rPr>
                <w:rFonts w:ascii="Times New Roman" w:eastAsia="Times New Roman" w:hAnsi="Times New Roman" w:cs="Times New Roman"/>
                <w:sz w:val="24"/>
                <w:szCs w:val="24"/>
                <w:lang w:eastAsia="lv-LV"/>
              </w:rPr>
              <w:t>, jo ziņošanas pienākums ir tikai par nozīmīgiem darījumiem</w:t>
            </w:r>
            <w:r w:rsidR="00777212" w:rsidRPr="002C4A1B">
              <w:rPr>
                <w:rFonts w:ascii="Times New Roman" w:eastAsia="Times New Roman" w:hAnsi="Times New Roman" w:cs="Times New Roman"/>
                <w:sz w:val="24"/>
                <w:szCs w:val="24"/>
                <w:lang w:eastAsia="lv-LV"/>
              </w:rPr>
              <w:t>, kas slēgti</w:t>
            </w:r>
            <w:r w:rsidRPr="002C4A1B">
              <w:rPr>
                <w:rFonts w:ascii="Times New Roman" w:eastAsia="Times New Roman" w:hAnsi="Times New Roman" w:cs="Times New Roman"/>
                <w:sz w:val="24"/>
                <w:szCs w:val="24"/>
                <w:lang w:eastAsia="lv-LV"/>
              </w:rPr>
              <w:t xml:space="preserve"> ar saistītajām pusēm. Turklāt Latvijā regulējums </w:t>
            </w:r>
            <w:r w:rsidR="00777212" w:rsidRPr="002C4A1B">
              <w:rPr>
                <w:rFonts w:ascii="Times New Roman" w:eastAsia="Times New Roman" w:hAnsi="Times New Roman" w:cs="Times New Roman"/>
                <w:sz w:val="24"/>
                <w:szCs w:val="24"/>
                <w:lang w:eastAsia="lv-LV"/>
              </w:rPr>
              <w:t xml:space="preserve">par darījumiem ar saistīto pusi </w:t>
            </w:r>
            <w:r w:rsidRPr="002C4A1B">
              <w:rPr>
                <w:rFonts w:ascii="Times New Roman" w:eastAsia="Times New Roman" w:hAnsi="Times New Roman" w:cs="Times New Roman"/>
                <w:sz w:val="24"/>
                <w:szCs w:val="24"/>
                <w:lang w:eastAsia="lv-LV"/>
              </w:rPr>
              <w:t>pastāv jau no 2017. </w:t>
            </w:r>
            <w:r w:rsidR="00777212" w:rsidRPr="002C4A1B">
              <w:rPr>
                <w:rFonts w:ascii="Times New Roman" w:eastAsia="Times New Roman" w:hAnsi="Times New Roman" w:cs="Times New Roman"/>
                <w:sz w:val="24"/>
                <w:szCs w:val="24"/>
                <w:lang w:eastAsia="lv-LV"/>
              </w:rPr>
              <w:t>g</w:t>
            </w:r>
            <w:r w:rsidRPr="002C4A1B">
              <w:rPr>
                <w:rFonts w:ascii="Times New Roman" w:eastAsia="Times New Roman" w:hAnsi="Times New Roman" w:cs="Times New Roman"/>
                <w:sz w:val="24"/>
                <w:szCs w:val="24"/>
                <w:lang w:eastAsia="lv-LV"/>
              </w:rPr>
              <w:t>ada.</w:t>
            </w:r>
          </w:p>
          <w:p w14:paraId="03B22D63" w14:textId="56F5B68F" w:rsidR="00ED79F1" w:rsidRPr="002C4A1B" w:rsidRDefault="00ED79F1" w:rsidP="00ED79F1">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11) Nav izmantota iespēja paredzēt pienākumu obligāti sagatavot un publiskot ziņojumu par saistīto pušu darījumu (</w:t>
            </w:r>
            <w:r w:rsidRPr="002C4A1B">
              <w:rPr>
                <w:rFonts w:ascii="Times New Roman" w:eastAsia="Arial Unicode MS" w:hAnsi="Times New Roman" w:cs="Times New Roman"/>
                <w:sz w:val="24"/>
                <w:szCs w:val="24"/>
              </w:rPr>
              <w:t>Direktīvas 2007/36/EK 9.c pants 3. punkts un 7. punkta 2. teikums</w:t>
            </w:r>
            <w:r w:rsidRPr="002C4A1B">
              <w:rPr>
                <w:rFonts w:ascii="Times New Roman" w:eastAsia="Times New Roman" w:hAnsi="Times New Roman" w:cs="Times New Roman"/>
                <w:sz w:val="24"/>
                <w:szCs w:val="24"/>
                <w:lang w:eastAsia="lv-LV"/>
              </w:rPr>
              <w:t xml:space="preserve">), jo tas būtu papildu slogs akciju sabiedrībām un </w:t>
            </w:r>
            <w:r w:rsidR="003D2767" w:rsidRPr="002C4A1B">
              <w:rPr>
                <w:rFonts w:ascii="Times New Roman" w:eastAsia="Times New Roman" w:hAnsi="Times New Roman" w:cs="Times New Roman"/>
                <w:sz w:val="24"/>
                <w:szCs w:val="24"/>
                <w:lang w:eastAsia="lv-LV"/>
              </w:rPr>
              <w:t xml:space="preserve">var </w:t>
            </w:r>
            <w:r w:rsidRPr="002C4A1B">
              <w:rPr>
                <w:rFonts w:ascii="Times New Roman" w:eastAsia="Times New Roman" w:hAnsi="Times New Roman" w:cs="Times New Roman"/>
                <w:sz w:val="24"/>
                <w:szCs w:val="24"/>
                <w:lang w:eastAsia="lv-LV"/>
              </w:rPr>
              <w:t>kavēt darījumu noslēgšanas procesu. Vienlaikus FITL 59.</w:t>
            </w:r>
            <w:r w:rsidRPr="002C4A1B">
              <w:rPr>
                <w:rFonts w:ascii="Times New Roman" w:eastAsia="Times New Roman" w:hAnsi="Times New Roman" w:cs="Times New Roman"/>
                <w:sz w:val="24"/>
                <w:szCs w:val="24"/>
                <w:vertAlign w:val="superscript"/>
                <w:lang w:eastAsia="lv-LV"/>
              </w:rPr>
              <w:t>1 </w:t>
            </w:r>
            <w:r w:rsidRPr="002C4A1B">
              <w:rPr>
                <w:rFonts w:ascii="Times New Roman" w:eastAsia="Times New Roman" w:hAnsi="Times New Roman" w:cs="Times New Roman"/>
                <w:sz w:val="24"/>
                <w:szCs w:val="24"/>
                <w:lang w:eastAsia="lv-LV"/>
              </w:rPr>
              <w:t xml:space="preserve">panta piektā daļa un desmitās daļas 6. punkts paredz, ka akciju sabiedrībai ir pienākums publiskot ziņojumu, ja tāds </w:t>
            </w:r>
            <w:r w:rsidR="003D2767" w:rsidRPr="002C4A1B">
              <w:rPr>
                <w:rFonts w:ascii="Times New Roman" w:eastAsia="Times New Roman" w:hAnsi="Times New Roman" w:cs="Times New Roman"/>
                <w:sz w:val="24"/>
                <w:szCs w:val="24"/>
                <w:lang w:eastAsia="lv-LV"/>
              </w:rPr>
              <w:t xml:space="preserve">tai </w:t>
            </w:r>
            <w:r w:rsidRPr="002C4A1B">
              <w:rPr>
                <w:rFonts w:ascii="Times New Roman" w:eastAsia="Times New Roman" w:hAnsi="Times New Roman" w:cs="Times New Roman"/>
                <w:sz w:val="24"/>
                <w:szCs w:val="24"/>
                <w:lang w:eastAsia="lv-LV"/>
              </w:rPr>
              <w:t>tomēr ir.</w:t>
            </w:r>
          </w:p>
          <w:p w14:paraId="793562BC" w14:textId="30FF87DC" w:rsidR="00ED79F1" w:rsidRPr="002C4A1B" w:rsidRDefault="00ED79F1" w:rsidP="0091011E">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12)</w:t>
            </w:r>
            <w:r w:rsidR="006E1F2F">
              <w:rPr>
                <w:rFonts w:ascii="Times New Roman" w:eastAsia="Times New Roman" w:hAnsi="Times New Roman" w:cs="Times New Roman"/>
                <w:sz w:val="24"/>
                <w:szCs w:val="24"/>
                <w:lang w:eastAsia="lv-LV"/>
              </w:rPr>
              <w:t> </w:t>
            </w:r>
            <w:r w:rsidRPr="002C4A1B">
              <w:rPr>
                <w:rFonts w:ascii="Times New Roman" w:eastAsia="Times New Roman" w:hAnsi="Times New Roman" w:cs="Times New Roman"/>
                <w:sz w:val="24"/>
                <w:szCs w:val="24"/>
                <w:lang w:eastAsia="lv-LV"/>
              </w:rPr>
              <w:t xml:space="preserve">Projektā nav ieviesta Direktīvas </w:t>
            </w:r>
            <w:r w:rsidRPr="002C4A1B">
              <w:rPr>
                <w:rFonts w:ascii="Times New Roman" w:eastAsia="Times New Roman" w:hAnsi="Times New Roman" w:cs="Times New Roman"/>
                <w:color w:val="000000" w:themeColor="text1"/>
                <w:sz w:val="24"/>
                <w:szCs w:val="24"/>
              </w:rPr>
              <w:t>2007/36/EK 3.g 2. punktā paredzētā iespēja informāciju par iesaistīšanās politiku publiskot ne tikai ieguldījumu brokeru sabiedrības un kredītiestādes mājaslapā, bet arī citā vietnē. Šāda iespēja nav izmantota, jo ieguldījumu brokeru sabiedrībām un kredītiestādēm ir savas mājaslapas</w:t>
            </w:r>
            <w:r w:rsidR="0091011E" w:rsidRPr="002C4A1B">
              <w:rPr>
                <w:rFonts w:ascii="Times New Roman" w:eastAsia="Times New Roman" w:hAnsi="Times New Roman" w:cs="Times New Roman"/>
                <w:color w:val="000000" w:themeColor="text1"/>
                <w:sz w:val="24"/>
                <w:szCs w:val="24"/>
              </w:rPr>
              <w:t xml:space="preserve"> un ieguldītājiem būs vienkāršāk </w:t>
            </w:r>
            <w:r w:rsidR="0091011E" w:rsidRPr="002C4A1B">
              <w:rPr>
                <w:rFonts w:ascii="Times New Roman" w:eastAsia="Times New Roman" w:hAnsi="Times New Roman" w:cs="Times New Roman"/>
                <w:color w:val="000000" w:themeColor="text1"/>
                <w:sz w:val="24"/>
                <w:szCs w:val="24"/>
              </w:rPr>
              <w:lastRenderedPageBreak/>
              <w:t>iegūt informāciju par iesaistīšan</w:t>
            </w:r>
            <w:r w:rsidR="007C2E40" w:rsidRPr="002C4A1B">
              <w:rPr>
                <w:rFonts w:ascii="Times New Roman" w:eastAsia="Times New Roman" w:hAnsi="Times New Roman" w:cs="Times New Roman"/>
                <w:color w:val="000000" w:themeColor="text1"/>
                <w:sz w:val="24"/>
                <w:szCs w:val="24"/>
              </w:rPr>
              <w:t>ās politiku tieši ieguldījumu brokeru sabiedrību un kredītiestāžu mājaslapās.</w:t>
            </w:r>
          </w:p>
        </w:tc>
      </w:tr>
      <w:tr w:rsidR="00ED79F1" w:rsidRPr="002C4A1B" w14:paraId="4BB3E07D"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7E98DEF"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65F6E4C9" w14:textId="156D9340"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ED79F1" w:rsidRPr="002C4A1B" w14:paraId="37A77CFC" w14:textId="77777777" w:rsidTr="00FA2A06">
        <w:tc>
          <w:tcPr>
            <w:tcW w:w="1141" w:type="pct"/>
            <w:tcBorders>
              <w:top w:val="outset" w:sz="6" w:space="0" w:color="414142"/>
              <w:left w:val="outset" w:sz="6" w:space="0" w:color="414142"/>
              <w:bottom w:val="outset" w:sz="6" w:space="0" w:color="414142"/>
              <w:right w:val="outset" w:sz="6" w:space="0" w:color="414142"/>
            </w:tcBorders>
            <w:hideMark/>
          </w:tcPr>
          <w:p w14:paraId="4EB803B6"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859" w:type="pct"/>
            <w:gridSpan w:val="4"/>
            <w:tcBorders>
              <w:top w:val="outset" w:sz="6" w:space="0" w:color="414142"/>
              <w:left w:val="outset" w:sz="6" w:space="0" w:color="414142"/>
              <w:bottom w:val="outset" w:sz="6" w:space="0" w:color="414142"/>
              <w:right w:val="outset" w:sz="6" w:space="0" w:color="414142"/>
            </w:tcBorders>
            <w:hideMark/>
          </w:tcPr>
          <w:p w14:paraId="522A3105" w14:textId="0CF434B5"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r w:rsidR="00ED79F1" w:rsidRPr="002C4A1B" w14:paraId="5C5D7232" w14:textId="77777777" w:rsidTr="004D15A9">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2F72A62A" w14:textId="77777777" w:rsidR="00ED79F1" w:rsidRPr="002C4A1B" w:rsidRDefault="00ED79F1" w:rsidP="00ED79F1">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2. tabula</w:t>
            </w:r>
            <w:r w:rsidRPr="002C4A1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2C4A1B">
              <w:rPr>
                <w:rFonts w:ascii="Times New Roman" w:eastAsia="Times New Roman" w:hAnsi="Times New Roman" w:cs="Times New Roman"/>
                <w:b/>
                <w:bCs/>
                <w:sz w:val="24"/>
                <w:szCs w:val="24"/>
                <w:lang w:eastAsia="lv-LV"/>
              </w:rPr>
              <w:br/>
              <w:t>Pasākumi šo saistību izpildei</w:t>
            </w:r>
          </w:p>
        </w:tc>
      </w:tr>
      <w:tr w:rsidR="00ED79F1" w:rsidRPr="002C4A1B" w14:paraId="07F340A9" w14:textId="77777777" w:rsidTr="00FA2A06">
        <w:trPr>
          <w:trHeight w:val="240"/>
        </w:trPr>
        <w:tc>
          <w:tcPr>
            <w:tcW w:w="5000" w:type="pct"/>
            <w:gridSpan w:val="5"/>
            <w:tcBorders>
              <w:top w:val="outset" w:sz="6" w:space="0" w:color="414142"/>
              <w:left w:val="outset" w:sz="6" w:space="0" w:color="414142"/>
              <w:right w:val="outset" w:sz="6" w:space="0" w:color="414142"/>
            </w:tcBorders>
            <w:vAlign w:val="center"/>
          </w:tcPr>
          <w:p w14:paraId="0A8769D2" w14:textId="45AD512C" w:rsidR="00ED79F1" w:rsidRPr="002C4A1B" w:rsidRDefault="00ED79F1" w:rsidP="00ED79F1">
            <w:pPr>
              <w:spacing w:after="0" w:line="240" w:lineRule="auto"/>
              <w:jc w:val="center"/>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Projekts šo jomu neskar.</w:t>
            </w:r>
          </w:p>
        </w:tc>
      </w:tr>
      <w:tr w:rsidR="00ED79F1" w:rsidRPr="002C4A1B" w14:paraId="3C8C0D3F" w14:textId="77777777" w:rsidTr="004C3B12">
        <w:tc>
          <w:tcPr>
            <w:tcW w:w="1297"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ED79F1" w:rsidRPr="002C4A1B" w:rsidRDefault="00ED79F1" w:rsidP="00ED79F1">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703" w:type="pct"/>
            <w:gridSpan w:val="3"/>
            <w:tcBorders>
              <w:top w:val="outset" w:sz="6" w:space="0" w:color="414142"/>
              <w:left w:val="outset" w:sz="6" w:space="0" w:color="414142"/>
              <w:bottom w:val="outset" w:sz="6" w:space="0" w:color="414142"/>
              <w:right w:val="outset" w:sz="6" w:space="0" w:color="414142"/>
            </w:tcBorders>
            <w:hideMark/>
          </w:tcPr>
          <w:p w14:paraId="18FCFD3F" w14:textId="57E1C0CE" w:rsidR="00ED79F1" w:rsidRPr="002C4A1B" w:rsidRDefault="00ED79F1" w:rsidP="00ED79F1">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Nav.</w:t>
            </w:r>
          </w:p>
        </w:tc>
      </w:tr>
    </w:tbl>
    <w:p w14:paraId="63E4FCA9"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702"/>
        <w:gridCol w:w="5900"/>
      </w:tblGrid>
      <w:tr w:rsidR="00BC2633" w:rsidRPr="002C4A1B"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VI. Sabiedrības līdzdalība un komunikācijas aktivitātes</w:t>
            </w:r>
          </w:p>
        </w:tc>
      </w:tr>
      <w:tr w:rsidR="00BC2633" w:rsidRPr="002C4A1B" w14:paraId="7B1FA7B2" w14:textId="77777777" w:rsidTr="006F0FA8">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Plānotās sabiedrības līdzdalības un komunikācijas aktivitātes saistībā ar projektu</w:t>
            </w:r>
          </w:p>
        </w:tc>
        <w:tc>
          <w:tcPr>
            <w:tcW w:w="3259" w:type="pct"/>
            <w:tcBorders>
              <w:top w:val="outset" w:sz="6" w:space="0" w:color="414142"/>
              <w:left w:val="outset" w:sz="6" w:space="0" w:color="414142"/>
              <w:bottom w:val="outset" w:sz="6" w:space="0" w:color="414142"/>
              <w:right w:val="outset" w:sz="6" w:space="0" w:color="414142"/>
            </w:tcBorders>
            <w:hideMark/>
          </w:tcPr>
          <w:p w14:paraId="298F5795" w14:textId="7AD9B21F" w:rsidR="001C5969" w:rsidRPr="002C4A1B" w:rsidRDefault="001A3A5D" w:rsidP="001C5969">
            <w:pPr>
              <w:spacing w:after="0" w:line="240" w:lineRule="auto"/>
              <w:jc w:val="both"/>
              <w:rPr>
                <w:rFonts w:ascii="Times New Roman" w:hAnsi="Times New Roman" w:cs="Times New Roman"/>
                <w:sz w:val="24"/>
                <w:szCs w:val="24"/>
              </w:rPr>
            </w:pPr>
            <w:r w:rsidRPr="002C4A1B">
              <w:rPr>
                <w:rFonts w:ascii="Times New Roman" w:hAnsi="Times New Roman" w:cs="Times New Roman"/>
                <w:color w:val="000000" w:themeColor="text1"/>
                <w:sz w:val="24"/>
                <w:szCs w:val="24"/>
                <w:lang w:eastAsia="lv-LV"/>
              </w:rPr>
              <w:t xml:space="preserve">2018. gada </w:t>
            </w:r>
            <w:r w:rsidR="00216180" w:rsidRPr="002C4A1B">
              <w:rPr>
                <w:rFonts w:ascii="Times New Roman" w:hAnsi="Times New Roman" w:cs="Times New Roman"/>
                <w:color w:val="000000" w:themeColor="text1"/>
                <w:sz w:val="24"/>
                <w:szCs w:val="24"/>
                <w:lang w:eastAsia="lv-LV"/>
              </w:rPr>
              <w:t>29. oktobrī</w:t>
            </w:r>
            <w:r w:rsidRPr="002C4A1B">
              <w:rPr>
                <w:rFonts w:ascii="Times New Roman" w:hAnsi="Times New Roman" w:cs="Times New Roman"/>
                <w:color w:val="000000" w:themeColor="text1"/>
                <w:sz w:val="24"/>
                <w:szCs w:val="24"/>
                <w:lang w:eastAsia="lv-LV"/>
              </w:rPr>
              <w:t xml:space="preserve"> projekts tika publicēts arī Tieslietu ministrijas un Ministru kabineta </w:t>
            </w:r>
            <w:r w:rsidRPr="002C4A1B">
              <w:rPr>
                <w:rFonts w:ascii="Times New Roman" w:hAnsi="Times New Roman" w:cs="Times New Roman"/>
                <w:sz w:val="24"/>
                <w:szCs w:val="24"/>
                <w:lang w:eastAsia="lv-LV"/>
              </w:rPr>
              <w:t>tīmekļvietnē, tādējādi dodot iespēju sabiedrībai līdzdarboties tiesību akta izstrādes procesā.</w:t>
            </w:r>
          </w:p>
        </w:tc>
      </w:tr>
      <w:tr w:rsidR="00BC2633" w:rsidRPr="002C4A1B" w14:paraId="27BA751E" w14:textId="77777777" w:rsidTr="006F0FA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līdzdalība projekta izstrādē</w:t>
            </w:r>
          </w:p>
        </w:tc>
        <w:tc>
          <w:tcPr>
            <w:tcW w:w="3259" w:type="pct"/>
            <w:tcBorders>
              <w:top w:val="outset" w:sz="6" w:space="0" w:color="414142"/>
              <w:left w:val="outset" w:sz="6" w:space="0" w:color="414142"/>
              <w:bottom w:val="outset" w:sz="6" w:space="0" w:color="414142"/>
              <w:right w:val="outset" w:sz="6" w:space="0" w:color="414142"/>
            </w:tcBorders>
            <w:hideMark/>
          </w:tcPr>
          <w:p w14:paraId="4B5CC76D" w14:textId="3AEC4166" w:rsidR="005B7142" w:rsidRPr="002C4A1B" w:rsidRDefault="005B7142" w:rsidP="00EB4318">
            <w:pPr>
              <w:spacing w:after="0" w:line="240" w:lineRule="auto"/>
              <w:ind w:firstLine="284"/>
              <w:jc w:val="both"/>
              <w:rPr>
                <w:rFonts w:ascii="Times New Roman" w:hAnsi="Times New Roman" w:cs="Times New Roman"/>
                <w:sz w:val="24"/>
                <w:szCs w:val="24"/>
                <w:lang w:eastAsia="lv-LV"/>
              </w:rPr>
            </w:pPr>
            <w:r w:rsidRPr="002C4A1B">
              <w:rPr>
                <w:rFonts w:ascii="Times New Roman" w:hAnsi="Times New Roman" w:cs="Times New Roman"/>
                <w:sz w:val="24"/>
                <w:szCs w:val="24"/>
                <w:lang w:eastAsia="lv-LV"/>
              </w:rPr>
              <w:t xml:space="preserve">Projekta izstrādē piedalījās </w:t>
            </w:r>
            <w:r w:rsidR="00AC5DF8" w:rsidRPr="002C4A1B">
              <w:rPr>
                <w:rFonts w:ascii="Times New Roman" w:hAnsi="Times New Roman" w:cs="Times New Roman"/>
                <w:sz w:val="24"/>
                <w:szCs w:val="24"/>
                <w:lang w:eastAsia="lv-LV"/>
              </w:rPr>
              <w:t>FKTK</w:t>
            </w:r>
            <w:r w:rsidRPr="002C4A1B">
              <w:rPr>
                <w:rFonts w:ascii="Times New Roman" w:hAnsi="Times New Roman" w:cs="Times New Roman"/>
                <w:sz w:val="24"/>
                <w:szCs w:val="24"/>
                <w:lang w:eastAsia="lv-LV"/>
              </w:rPr>
              <w:t xml:space="preserve">, kā arī tika rīkotas sanāksmes ar </w:t>
            </w:r>
            <w:r w:rsidR="00586AE8" w:rsidRPr="002C4A1B">
              <w:rPr>
                <w:rFonts w:ascii="Times New Roman" w:hAnsi="Times New Roman" w:cs="Times New Roman"/>
                <w:sz w:val="24"/>
                <w:szCs w:val="24"/>
                <w:lang w:eastAsia="lv-LV"/>
              </w:rPr>
              <w:t xml:space="preserve">Finanšu ministrijas, </w:t>
            </w:r>
            <w:r w:rsidR="003D2767" w:rsidRPr="002C4A1B">
              <w:rPr>
                <w:rFonts w:ascii="Times New Roman" w:hAnsi="Times New Roman" w:cs="Times New Roman"/>
                <w:sz w:val="24"/>
                <w:szCs w:val="24"/>
                <w:lang w:eastAsia="lv-LV"/>
              </w:rPr>
              <w:t xml:space="preserve">regulētā tirgus organizētāja </w:t>
            </w:r>
            <w:r w:rsidR="006D7F6C" w:rsidRPr="002C4A1B">
              <w:rPr>
                <w:rFonts w:ascii="Times New Roman" w:hAnsi="Times New Roman" w:cs="Times New Roman"/>
                <w:sz w:val="24"/>
                <w:szCs w:val="24"/>
                <w:lang w:eastAsia="lv-LV"/>
              </w:rPr>
              <w:t>akciju sabiedrības ''</w:t>
            </w:r>
            <w:r w:rsidRPr="002C4A1B">
              <w:rPr>
                <w:rFonts w:ascii="Times New Roman" w:hAnsi="Times New Roman" w:cs="Times New Roman"/>
                <w:sz w:val="24"/>
                <w:szCs w:val="24"/>
                <w:lang w:eastAsia="lv-LV"/>
              </w:rPr>
              <w:t xml:space="preserve">Nasdaq </w:t>
            </w:r>
            <w:proofErr w:type="spellStart"/>
            <w:r w:rsidRPr="002C4A1B">
              <w:rPr>
                <w:rFonts w:ascii="Times New Roman" w:hAnsi="Times New Roman" w:cs="Times New Roman"/>
                <w:sz w:val="24"/>
                <w:szCs w:val="24"/>
                <w:lang w:eastAsia="lv-LV"/>
              </w:rPr>
              <w:t>Riga</w:t>
            </w:r>
            <w:proofErr w:type="spellEnd"/>
            <w:r w:rsidR="006D7F6C" w:rsidRPr="002C4A1B">
              <w:rPr>
                <w:rFonts w:ascii="Times New Roman" w:hAnsi="Times New Roman" w:cs="Times New Roman"/>
                <w:sz w:val="24"/>
                <w:szCs w:val="24"/>
                <w:lang w:eastAsia="lv-LV"/>
              </w:rPr>
              <w:t xml:space="preserve">'' (biržas) </w:t>
            </w:r>
            <w:r w:rsidRPr="002C4A1B">
              <w:rPr>
                <w:rFonts w:ascii="Times New Roman" w:hAnsi="Times New Roman" w:cs="Times New Roman"/>
                <w:sz w:val="24"/>
                <w:szCs w:val="24"/>
                <w:lang w:eastAsia="lv-LV"/>
              </w:rPr>
              <w:t>un Baltijas Korporatīvās pārvaldības institūta (BICG) pārstāvjiem. Projekts tika izskatīts arī Tieslietu ministrijas izveidot</w:t>
            </w:r>
            <w:r w:rsidR="00D64B17">
              <w:rPr>
                <w:rFonts w:ascii="Times New Roman" w:hAnsi="Times New Roman" w:cs="Times New Roman"/>
                <w:sz w:val="24"/>
                <w:szCs w:val="24"/>
                <w:lang w:eastAsia="lv-LV"/>
              </w:rPr>
              <w:t>ajā</w:t>
            </w:r>
            <w:r w:rsidRPr="002C4A1B">
              <w:rPr>
                <w:rFonts w:ascii="Times New Roman" w:hAnsi="Times New Roman" w:cs="Times New Roman"/>
                <w:sz w:val="24"/>
                <w:szCs w:val="24"/>
                <w:lang w:eastAsia="lv-LV"/>
              </w:rPr>
              <w:t xml:space="preserve"> pastāvīgajā darba grupā Komerclikuma grozījumu izstrādei, kuras </w:t>
            </w:r>
            <w:r w:rsidR="00700530" w:rsidRPr="002C4A1B">
              <w:rPr>
                <w:rFonts w:ascii="Times New Roman" w:hAnsi="Times New Roman" w:cs="Times New Roman"/>
                <w:sz w:val="24"/>
                <w:szCs w:val="24"/>
                <w:lang w:eastAsia="lv-LV"/>
              </w:rPr>
              <w:t>sastāvā ir komerctiesību eksperti un praktiķi, kā arī pārstāvji no sociālajiem partneriem.</w:t>
            </w:r>
            <w:r w:rsidRPr="002C4A1B">
              <w:rPr>
                <w:rFonts w:ascii="Times New Roman" w:hAnsi="Times New Roman" w:cs="Times New Roman"/>
                <w:sz w:val="24"/>
                <w:szCs w:val="24"/>
                <w:lang w:eastAsia="lv-LV"/>
              </w:rPr>
              <w:t xml:space="preserve"> </w:t>
            </w:r>
          </w:p>
          <w:p w14:paraId="1EE08E29" w14:textId="40971D2E" w:rsidR="00700530" w:rsidRPr="002C4A1B" w:rsidRDefault="00586AE8" w:rsidP="00EB4318">
            <w:pPr>
              <w:spacing w:after="0" w:line="240" w:lineRule="auto"/>
              <w:ind w:firstLine="284"/>
              <w:jc w:val="both"/>
              <w:rPr>
                <w:rFonts w:ascii="Times New Roman" w:eastAsia="Times New Roman" w:hAnsi="Times New Roman" w:cs="Times New Roman"/>
                <w:sz w:val="24"/>
                <w:szCs w:val="24"/>
                <w:lang w:eastAsia="lv-LV"/>
              </w:rPr>
            </w:pPr>
            <w:r w:rsidRPr="002C4A1B">
              <w:rPr>
                <w:rFonts w:ascii="Times New Roman" w:hAnsi="Times New Roman" w:cs="Times New Roman"/>
                <w:sz w:val="24"/>
                <w:szCs w:val="24"/>
                <w:lang w:eastAsia="lv-LV"/>
              </w:rPr>
              <w:t xml:space="preserve">Projekts </w:t>
            </w:r>
            <w:r w:rsidRPr="002C4A1B">
              <w:rPr>
                <w:rFonts w:ascii="Times New Roman" w:hAnsi="Times New Roman" w:cs="Times New Roman"/>
                <w:color w:val="000000" w:themeColor="text1"/>
                <w:sz w:val="24"/>
                <w:szCs w:val="24"/>
                <w:lang w:eastAsia="lv-LV"/>
              </w:rPr>
              <w:t>2018.</w:t>
            </w:r>
            <w:r w:rsidR="005E4D47" w:rsidRPr="002C4A1B">
              <w:rPr>
                <w:rFonts w:ascii="Times New Roman" w:hAnsi="Times New Roman" w:cs="Times New Roman"/>
                <w:color w:val="000000" w:themeColor="text1"/>
                <w:sz w:val="24"/>
                <w:szCs w:val="24"/>
                <w:lang w:eastAsia="lv-LV"/>
              </w:rPr>
              <w:t> </w:t>
            </w:r>
            <w:r w:rsidRPr="002C4A1B">
              <w:rPr>
                <w:rFonts w:ascii="Times New Roman" w:hAnsi="Times New Roman" w:cs="Times New Roman"/>
                <w:color w:val="000000" w:themeColor="text1"/>
                <w:sz w:val="24"/>
                <w:szCs w:val="24"/>
                <w:lang w:eastAsia="lv-LV"/>
              </w:rPr>
              <w:t xml:space="preserve">gada </w:t>
            </w:r>
            <w:r w:rsidR="00216180" w:rsidRPr="002C4A1B">
              <w:rPr>
                <w:rFonts w:ascii="Times New Roman" w:hAnsi="Times New Roman" w:cs="Times New Roman"/>
                <w:color w:val="000000" w:themeColor="text1"/>
                <w:sz w:val="24"/>
                <w:szCs w:val="24"/>
                <w:lang w:eastAsia="lv-LV"/>
              </w:rPr>
              <w:t>29. oktobrī</w:t>
            </w:r>
            <w:r w:rsidRPr="002C4A1B">
              <w:rPr>
                <w:rFonts w:ascii="Times New Roman" w:hAnsi="Times New Roman" w:cs="Times New Roman"/>
                <w:color w:val="000000" w:themeColor="text1"/>
                <w:sz w:val="24"/>
                <w:szCs w:val="24"/>
                <w:lang w:eastAsia="lv-LV"/>
              </w:rPr>
              <w:t xml:space="preserve"> tika </w:t>
            </w:r>
            <w:r w:rsidRPr="002C4A1B">
              <w:rPr>
                <w:rFonts w:ascii="Times New Roman" w:hAnsi="Times New Roman" w:cs="Times New Roman"/>
                <w:sz w:val="24"/>
                <w:szCs w:val="24"/>
                <w:lang w:eastAsia="lv-LV"/>
              </w:rPr>
              <w:t>publicēts Tieslietu ministrijas tīmekļvietnes sadaļā "Sabiedrības līdzdalība" (</w:t>
            </w:r>
            <w:hyperlink r:id="rId10" w:history="1">
              <w:r w:rsidRPr="002C4A1B">
                <w:rPr>
                  <w:rStyle w:val="Hipersaite"/>
                  <w:rFonts w:ascii="Times New Roman" w:hAnsi="Times New Roman" w:cs="Times New Roman"/>
                  <w:sz w:val="24"/>
                  <w:szCs w:val="24"/>
                  <w:lang w:eastAsia="lv-LV"/>
                </w:rPr>
                <w:t>https://www.tm.gov.lv/lv/sabiedribas-lidzdaliba/diskusiju-dokumenti/tiesibu-akti</w:t>
              </w:r>
            </w:hyperlink>
            <w:r w:rsidRPr="002C4A1B">
              <w:rPr>
                <w:rFonts w:ascii="Times New Roman" w:hAnsi="Times New Roman" w:cs="Times New Roman"/>
                <w:sz w:val="24"/>
                <w:szCs w:val="24"/>
                <w:lang w:eastAsia="lv-LV"/>
              </w:rPr>
              <w:t>) un Ministru kabineta tīmekļvietnē (</w:t>
            </w:r>
            <w:hyperlink r:id="rId11" w:history="1">
              <w:r w:rsidRPr="002C4A1B">
                <w:rPr>
                  <w:rStyle w:val="Hipersaite"/>
                  <w:rFonts w:ascii="Times New Roman" w:hAnsi="Times New Roman" w:cs="Times New Roman"/>
                  <w:sz w:val="24"/>
                  <w:szCs w:val="24"/>
                  <w:lang w:eastAsia="lv-LV"/>
                </w:rPr>
                <w:t>https://mk.gov.lv/content/ministru-kabineta-diskusiju-dokumenti</w:t>
              </w:r>
            </w:hyperlink>
            <w:r w:rsidRPr="002C4A1B">
              <w:rPr>
                <w:rFonts w:ascii="Times New Roman" w:hAnsi="Times New Roman" w:cs="Times New Roman"/>
                <w:sz w:val="24"/>
                <w:szCs w:val="24"/>
                <w:lang w:eastAsia="lv-LV"/>
              </w:rPr>
              <w:t xml:space="preserve">), aicinot sniegt priekšlikumus par projektu līdz </w:t>
            </w:r>
            <w:r w:rsidRPr="002C4A1B">
              <w:rPr>
                <w:rFonts w:ascii="Times New Roman" w:hAnsi="Times New Roman" w:cs="Times New Roman"/>
                <w:color w:val="000000" w:themeColor="text1"/>
                <w:sz w:val="24"/>
                <w:szCs w:val="24"/>
                <w:lang w:eastAsia="lv-LV"/>
              </w:rPr>
              <w:t xml:space="preserve">2018. gada </w:t>
            </w:r>
            <w:r w:rsidR="00216180" w:rsidRPr="002C4A1B">
              <w:rPr>
                <w:rFonts w:ascii="Times New Roman" w:hAnsi="Times New Roman" w:cs="Times New Roman"/>
                <w:color w:val="000000" w:themeColor="text1"/>
                <w:sz w:val="24"/>
                <w:szCs w:val="24"/>
                <w:lang w:eastAsia="lv-LV"/>
              </w:rPr>
              <w:t>12. novembrim</w:t>
            </w:r>
            <w:r w:rsidRPr="002C4A1B">
              <w:rPr>
                <w:rFonts w:ascii="Times New Roman" w:hAnsi="Times New Roman" w:cs="Times New Roman"/>
                <w:color w:val="000000" w:themeColor="text1"/>
                <w:sz w:val="24"/>
                <w:szCs w:val="24"/>
                <w:lang w:eastAsia="lv-LV"/>
              </w:rPr>
              <w:t>.</w:t>
            </w:r>
          </w:p>
        </w:tc>
      </w:tr>
      <w:tr w:rsidR="00BC2633" w:rsidRPr="002C4A1B" w14:paraId="221D5F5F" w14:textId="77777777" w:rsidTr="006F0FA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lastRenderedPageBreak/>
              <w:t>3.</w:t>
            </w:r>
          </w:p>
        </w:tc>
        <w:tc>
          <w:tcPr>
            <w:tcW w:w="1492"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Sabiedrības līdzdalības rezultāti</w:t>
            </w:r>
          </w:p>
        </w:tc>
        <w:tc>
          <w:tcPr>
            <w:tcW w:w="3259" w:type="pct"/>
            <w:tcBorders>
              <w:top w:val="outset" w:sz="6" w:space="0" w:color="414142"/>
              <w:left w:val="outset" w:sz="6" w:space="0" w:color="414142"/>
              <w:bottom w:val="outset" w:sz="6" w:space="0" w:color="414142"/>
              <w:right w:val="outset" w:sz="6" w:space="0" w:color="414142"/>
            </w:tcBorders>
            <w:hideMark/>
          </w:tcPr>
          <w:p w14:paraId="3E3C15CE" w14:textId="33A8CA7E" w:rsidR="005B7142" w:rsidRPr="002C4A1B" w:rsidRDefault="005B7142" w:rsidP="001C5969">
            <w:pPr>
              <w:spacing w:after="0" w:line="240" w:lineRule="auto"/>
              <w:jc w:val="both"/>
              <w:rPr>
                <w:rFonts w:ascii="Times New Roman" w:hAnsi="Times New Roman" w:cs="Times New Roman"/>
                <w:color w:val="000000" w:themeColor="text1"/>
                <w:sz w:val="24"/>
                <w:szCs w:val="24"/>
              </w:rPr>
            </w:pPr>
            <w:r w:rsidRPr="002C4A1B">
              <w:rPr>
                <w:rFonts w:ascii="Times New Roman" w:hAnsi="Times New Roman" w:cs="Times New Roman"/>
                <w:color w:val="000000" w:themeColor="text1"/>
                <w:sz w:val="24"/>
                <w:szCs w:val="24"/>
              </w:rPr>
              <w:t>Līdz 201</w:t>
            </w:r>
            <w:r w:rsidR="00196BBF" w:rsidRPr="002C4A1B">
              <w:rPr>
                <w:rFonts w:ascii="Times New Roman" w:hAnsi="Times New Roman" w:cs="Times New Roman"/>
                <w:color w:val="000000" w:themeColor="text1"/>
                <w:sz w:val="24"/>
                <w:szCs w:val="24"/>
              </w:rPr>
              <w:t>8</w:t>
            </w:r>
            <w:r w:rsidRPr="002C4A1B">
              <w:rPr>
                <w:rFonts w:ascii="Times New Roman" w:hAnsi="Times New Roman" w:cs="Times New Roman"/>
                <w:color w:val="000000" w:themeColor="text1"/>
                <w:sz w:val="24"/>
                <w:szCs w:val="24"/>
              </w:rPr>
              <w:t xml:space="preserve">. gada </w:t>
            </w:r>
            <w:r w:rsidR="00216180" w:rsidRPr="002C4A1B">
              <w:rPr>
                <w:rFonts w:ascii="Times New Roman" w:hAnsi="Times New Roman" w:cs="Times New Roman"/>
                <w:color w:val="000000" w:themeColor="text1"/>
                <w:sz w:val="24"/>
                <w:szCs w:val="24"/>
              </w:rPr>
              <w:t>12. novembrim nav</w:t>
            </w:r>
            <w:r w:rsidR="005E4D47" w:rsidRPr="002C4A1B">
              <w:rPr>
                <w:rFonts w:ascii="Times New Roman" w:hAnsi="Times New Roman" w:cs="Times New Roman"/>
                <w:color w:val="000000" w:themeColor="text1"/>
                <w:sz w:val="24"/>
                <w:szCs w:val="24"/>
              </w:rPr>
              <w:t xml:space="preserve"> saņemti </w:t>
            </w:r>
            <w:r w:rsidRPr="002C4A1B">
              <w:rPr>
                <w:rFonts w:ascii="Times New Roman" w:hAnsi="Times New Roman" w:cs="Times New Roman"/>
                <w:color w:val="000000" w:themeColor="text1"/>
                <w:sz w:val="24"/>
                <w:szCs w:val="24"/>
              </w:rPr>
              <w:t>priekšlikum</w:t>
            </w:r>
            <w:r w:rsidR="005E4D47" w:rsidRPr="002C4A1B">
              <w:rPr>
                <w:rFonts w:ascii="Times New Roman" w:hAnsi="Times New Roman" w:cs="Times New Roman"/>
                <w:color w:val="000000" w:themeColor="text1"/>
                <w:sz w:val="24"/>
                <w:szCs w:val="24"/>
              </w:rPr>
              <w:t xml:space="preserve">i </w:t>
            </w:r>
            <w:r w:rsidR="00216180" w:rsidRPr="002C4A1B">
              <w:rPr>
                <w:rFonts w:ascii="Times New Roman" w:hAnsi="Times New Roman" w:cs="Times New Roman"/>
                <w:color w:val="000000" w:themeColor="text1"/>
                <w:sz w:val="24"/>
                <w:szCs w:val="24"/>
              </w:rPr>
              <w:t>vai komentāri par tīmekļvietnē publicēto projektu.</w:t>
            </w:r>
          </w:p>
        </w:tc>
      </w:tr>
      <w:tr w:rsidR="004D15A9" w:rsidRPr="002C4A1B" w14:paraId="5F54E321" w14:textId="77777777" w:rsidTr="006F0FA8">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4.</w:t>
            </w:r>
          </w:p>
        </w:tc>
        <w:tc>
          <w:tcPr>
            <w:tcW w:w="1492"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259"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2C4A1B" w:rsidRDefault="005B7142" w:rsidP="001C5969">
            <w:pPr>
              <w:spacing w:after="0" w:line="240" w:lineRule="auto"/>
              <w:jc w:val="both"/>
              <w:rPr>
                <w:rFonts w:ascii="Times New Roman" w:eastAsia="Times New Roman" w:hAnsi="Times New Roman" w:cs="Times New Roman"/>
                <w:color w:val="000000" w:themeColor="text1"/>
                <w:sz w:val="24"/>
                <w:szCs w:val="24"/>
                <w:lang w:eastAsia="lv-LV"/>
              </w:rPr>
            </w:pPr>
            <w:r w:rsidRPr="002C4A1B">
              <w:rPr>
                <w:rFonts w:ascii="Times New Roman" w:eastAsia="Times New Roman" w:hAnsi="Times New Roman" w:cs="Times New Roman"/>
                <w:color w:val="000000" w:themeColor="text1"/>
                <w:sz w:val="24"/>
                <w:szCs w:val="24"/>
                <w:lang w:eastAsia="lv-LV"/>
              </w:rPr>
              <w:t>Nav.</w:t>
            </w:r>
          </w:p>
        </w:tc>
      </w:tr>
    </w:tbl>
    <w:p w14:paraId="569A45C0"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2C4A1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2C4A1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C4A1B">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C4A1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FC3E97C" w:rsidR="005B7142" w:rsidRPr="002C4A1B" w:rsidRDefault="00AC5DF8" w:rsidP="0073730D">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FKTK</w:t>
            </w:r>
            <w:r w:rsidR="005B7142" w:rsidRPr="002C4A1B">
              <w:rPr>
                <w:rFonts w:ascii="Times New Roman" w:eastAsia="Times New Roman" w:hAnsi="Times New Roman" w:cs="Times New Roman"/>
                <w:sz w:val="24"/>
                <w:szCs w:val="24"/>
                <w:lang w:eastAsia="lv-LV"/>
              </w:rPr>
              <w:t>.</w:t>
            </w:r>
          </w:p>
        </w:tc>
      </w:tr>
      <w:tr w:rsidR="00BC2633" w:rsidRPr="002C4A1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2C4A1B" w:rsidRDefault="004D15A9" w:rsidP="0042645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0F36B3E" w:rsidR="005B7142" w:rsidRPr="002C4A1B" w:rsidRDefault="00DF159B"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uzraudzību veiks esošo resursu ietvaros.</w:t>
            </w:r>
          </w:p>
        </w:tc>
      </w:tr>
      <w:tr w:rsidR="004D15A9" w:rsidRPr="002C4A1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2C4A1B" w:rsidRDefault="004D15A9" w:rsidP="00DA596D">
            <w:pPr>
              <w:spacing w:after="0" w:line="240" w:lineRule="auto"/>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ED1635E" w:rsidR="004D15A9" w:rsidRPr="002C4A1B" w:rsidRDefault="005B7142" w:rsidP="0073730D">
            <w:pPr>
              <w:spacing w:after="0" w:line="240" w:lineRule="auto"/>
              <w:jc w:val="both"/>
              <w:rPr>
                <w:rFonts w:ascii="Times New Roman" w:eastAsia="Times New Roman" w:hAnsi="Times New Roman" w:cs="Times New Roman"/>
                <w:sz w:val="24"/>
                <w:szCs w:val="24"/>
                <w:lang w:eastAsia="lv-LV"/>
              </w:rPr>
            </w:pPr>
            <w:r w:rsidRPr="002C4A1B">
              <w:rPr>
                <w:rFonts w:ascii="Times New Roman" w:eastAsia="Times New Roman" w:hAnsi="Times New Roman" w:cs="Times New Roman"/>
                <w:sz w:val="24"/>
                <w:szCs w:val="24"/>
                <w:lang w:eastAsia="lv-LV"/>
              </w:rPr>
              <w:t>Zvērinātiem revidentiem tiek paplašināts to dokumentu skaits, kas ir izvērtējami revīzijas pakalpojumu sniegšanas ietvaros. Zvērināti revidenti tām akciju sabiedrībām, kuras akcijas ir iekļautas regulētajā tirgū, papildus izvērtēs arī atalgojuma ziņojumu.</w:t>
            </w:r>
          </w:p>
        </w:tc>
      </w:tr>
    </w:tbl>
    <w:p w14:paraId="10F26810" w14:textId="77777777" w:rsidR="00BB1F46" w:rsidRPr="002C4A1B" w:rsidRDefault="00BB1F46" w:rsidP="00DA596D">
      <w:pPr>
        <w:spacing w:after="0" w:line="240" w:lineRule="auto"/>
        <w:rPr>
          <w:rFonts w:ascii="Times New Roman" w:hAnsi="Times New Roman" w:cs="Times New Roman"/>
          <w:sz w:val="24"/>
          <w:szCs w:val="24"/>
        </w:rPr>
      </w:pPr>
    </w:p>
    <w:p w14:paraId="077F60D9" w14:textId="77777777" w:rsidR="00216180" w:rsidRPr="002C4A1B" w:rsidRDefault="00216180" w:rsidP="00216180">
      <w:pPr>
        <w:pStyle w:val="StyleRight"/>
        <w:spacing w:after="0"/>
        <w:ind w:firstLine="0"/>
        <w:jc w:val="both"/>
        <w:rPr>
          <w:sz w:val="24"/>
          <w:szCs w:val="24"/>
        </w:rPr>
      </w:pPr>
      <w:r w:rsidRPr="002C4A1B">
        <w:rPr>
          <w:sz w:val="24"/>
          <w:szCs w:val="24"/>
        </w:rPr>
        <w:t>Iesniedzējs:</w:t>
      </w:r>
    </w:p>
    <w:p w14:paraId="49BAE437" w14:textId="1495BBDA" w:rsidR="00752F0F" w:rsidRPr="005E57E3" w:rsidRDefault="00C11335" w:rsidP="00752F0F">
      <w:pPr>
        <w:pStyle w:val="StyleRight"/>
        <w:spacing w:after="0"/>
        <w:ind w:firstLine="0"/>
        <w:jc w:val="both"/>
        <w:rPr>
          <w:sz w:val="24"/>
          <w:szCs w:val="24"/>
        </w:rPr>
      </w:pPr>
      <w:r>
        <w:rPr>
          <w:sz w:val="24"/>
          <w:szCs w:val="24"/>
        </w:rPr>
        <w:t>t</w:t>
      </w:r>
      <w:r w:rsidR="00752F0F" w:rsidRPr="005E57E3">
        <w:rPr>
          <w:sz w:val="24"/>
          <w:szCs w:val="24"/>
        </w:rPr>
        <w:t>ieslietu ministrs</w:t>
      </w:r>
      <w:r w:rsidR="00752F0F" w:rsidRPr="005E57E3">
        <w:rPr>
          <w:sz w:val="24"/>
          <w:szCs w:val="24"/>
        </w:rPr>
        <w:tab/>
      </w:r>
      <w:r w:rsidR="00752F0F" w:rsidRPr="005E57E3">
        <w:rPr>
          <w:sz w:val="24"/>
          <w:szCs w:val="24"/>
        </w:rPr>
        <w:tab/>
      </w:r>
      <w:r w:rsidR="00752F0F" w:rsidRPr="005E57E3">
        <w:rPr>
          <w:sz w:val="24"/>
          <w:szCs w:val="24"/>
        </w:rPr>
        <w:tab/>
      </w:r>
      <w:r w:rsidR="00752F0F" w:rsidRPr="005E57E3">
        <w:rPr>
          <w:sz w:val="24"/>
          <w:szCs w:val="24"/>
        </w:rPr>
        <w:tab/>
      </w:r>
      <w:r w:rsidR="00752F0F" w:rsidRPr="005E57E3">
        <w:rPr>
          <w:sz w:val="24"/>
          <w:szCs w:val="24"/>
        </w:rPr>
        <w:tab/>
      </w:r>
      <w:r w:rsidR="00752F0F" w:rsidRPr="005E57E3">
        <w:rPr>
          <w:sz w:val="24"/>
          <w:szCs w:val="24"/>
        </w:rPr>
        <w:tab/>
      </w:r>
      <w:r w:rsidR="00752F0F" w:rsidRPr="005E57E3">
        <w:rPr>
          <w:sz w:val="24"/>
          <w:szCs w:val="24"/>
        </w:rPr>
        <w:tab/>
      </w:r>
      <w:r w:rsidR="00752F0F">
        <w:rPr>
          <w:sz w:val="24"/>
          <w:szCs w:val="24"/>
        </w:rPr>
        <w:tab/>
        <w:t>J. </w:t>
      </w:r>
      <w:proofErr w:type="spellStart"/>
      <w:r w:rsidR="00752F0F">
        <w:rPr>
          <w:sz w:val="24"/>
          <w:szCs w:val="24"/>
        </w:rPr>
        <w:t>Bordāns</w:t>
      </w:r>
      <w:proofErr w:type="spellEnd"/>
    </w:p>
    <w:p w14:paraId="3F730C75" w14:textId="54BC13B4" w:rsidR="00216180" w:rsidRDefault="00567AC4" w:rsidP="00567AC4">
      <w:pPr>
        <w:pStyle w:val="StyleRight"/>
        <w:tabs>
          <w:tab w:val="left" w:pos="240"/>
        </w:tabs>
        <w:spacing w:after="0"/>
        <w:ind w:firstLine="0"/>
        <w:jc w:val="left"/>
        <w:rPr>
          <w:sz w:val="24"/>
          <w:szCs w:val="24"/>
        </w:rPr>
      </w:pPr>
      <w:r>
        <w:rPr>
          <w:sz w:val="24"/>
          <w:szCs w:val="24"/>
        </w:rPr>
        <w:tab/>
      </w:r>
    </w:p>
    <w:p w14:paraId="4E4CC11F" w14:textId="77777777" w:rsidR="00C11335" w:rsidRDefault="00C11335" w:rsidP="00567AC4">
      <w:pPr>
        <w:pStyle w:val="StyleRight"/>
        <w:tabs>
          <w:tab w:val="left" w:pos="240"/>
        </w:tabs>
        <w:spacing w:after="0"/>
        <w:ind w:firstLine="0"/>
        <w:jc w:val="left"/>
        <w:rPr>
          <w:sz w:val="24"/>
          <w:szCs w:val="24"/>
        </w:rPr>
      </w:pPr>
    </w:p>
    <w:p w14:paraId="29AFAC5F" w14:textId="77777777" w:rsidR="00216180" w:rsidRPr="002C4A1B" w:rsidRDefault="00216180" w:rsidP="00216180">
      <w:pPr>
        <w:spacing w:after="0" w:line="240" w:lineRule="auto"/>
        <w:rPr>
          <w:rFonts w:ascii="Times New Roman" w:hAnsi="Times New Roman" w:cs="Times New Roman"/>
          <w:sz w:val="20"/>
          <w:szCs w:val="20"/>
        </w:rPr>
      </w:pPr>
      <w:r w:rsidRPr="002C4A1B">
        <w:rPr>
          <w:rFonts w:ascii="Times New Roman" w:hAnsi="Times New Roman" w:cs="Times New Roman"/>
          <w:sz w:val="20"/>
          <w:szCs w:val="20"/>
        </w:rPr>
        <w:t>Latkovskis 67036953</w:t>
      </w:r>
    </w:p>
    <w:p w14:paraId="53747F05" w14:textId="77777777" w:rsidR="00216180" w:rsidRPr="002C4A1B" w:rsidRDefault="00216180" w:rsidP="00216180">
      <w:pPr>
        <w:spacing w:after="0" w:line="240" w:lineRule="auto"/>
        <w:rPr>
          <w:rFonts w:ascii="Times New Roman" w:hAnsi="Times New Roman" w:cs="Times New Roman"/>
          <w:sz w:val="20"/>
          <w:szCs w:val="20"/>
        </w:rPr>
      </w:pPr>
      <w:r w:rsidRPr="002C4A1B">
        <w:rPr>
          <w:rFonts w:ascii="Times New Roman" w:hAnsi="Times New Roman" w:cs="Times New Roman"/>
          <w:sz w:val="20"/>
          <w:szCs w:val="20"/>
        </w:rPr>
        <w:t>Aivars.Latkovskis@tm.gov.lv</w:t>
      </w:r>
    </w:p>
    <w:p w14:paraId="3739B9BC" w14:textId="77777777" w:rsidR="00216180" w:rsidRPr="002C4A1B" w:rsidRDefault="00216180" w:rsidP="00216180">
      <w:pPr>
        <w:spacing w:after="0" w:line="240" w:lineRule="auto"/>
        <w:rPr>
          <w:rFonts w:ascii="Times New Roman" w:hAnsi="Times New Roman" w:cs="Times New Roman"/>
          <w:sz w:val="20"/>
          <w:szCs w:val="20"/>
        </w:rPr>
      </w:pPr>
    </w:p>
    <w:p w14:paraId="7C1609DF" w14:textId="4EA8AA42" w:rsidR="00FA2A06" w:rsidRPr="002C4A1B" w:rsidRDefault="00FA2A06" w:rsidP="00FA2A06">
      <w:pPr>
        <w:pStyle w:val="Bezatstarpm"/>
        <w:rPr>
          <w:rFonts w:ascii="Times New Roman" w:hAnsi="Times New Roman" w:cs="Times New Roman"/>
          <w:sz w:val="20"/>
          <w:szCs w:val="20"/>
          <w:lang w:eastAsia="lv-LV"/>
        </w:rPr>
      </w:pPr>
      <w:r w:rsidRPr="002C4A1B">
        <w:rPr>
          <w:rFonts w:ascii="Times New Roman" w:hAnsi="Times New Roman" w:cs="Times New Roman"/>
          <w:sz w:val="20"/>
          <w:szCs w:val="20"/>
          <w:lang w:eastAsia="lv-LV"/>
        </w:rPr>
        <w:t>Vecozols 67774941</w:t>
      </w:r>
    </w:p>
    <w:p w14:paraId="7485BD79" w14:textId="0E3F424D" w:rsidR="00FA2A06" w:rsidRDefault="00FA2A06" w:rsidP="00FA2A06">
      <w:pPr>
        <w:pStyle w:val="Bezatstarpm"/>
        <w:rPr>
          <w:rFonts w:ascii="Times New Roman" w:hAnsi="Times New Roman" w:cs="Times New Roman"/>
          <w:sz w:val="20"/>
          <w:szCs w:val="20"/>
        </w:rPr>
      </w:pPr>
      <w:r w:rsidRPr="002C4A1B">
        <w:rPr>
          <w:rFonts w:ascii="Times New Roman" w:hAnsi="Times New Roman" w:cs="Times New Roman"/>
          <w:sz w:val="20"/>
          <w:szCs w:val="20"/>
        </w:rPr>
        <w:t>Kaspars.Vecozols@fktk.lv</w:t>
      </w:r>
    </w:p>
    <w:p w14:paraId="2BDF2EC2" w14:textId="77777777" w:rsidR="00752F0F" w:rsidRPr="00752F0F" w:rsidRDefault="00752F0F" w:rsidP="00752F0F">
      <w:pPr>
        <w:jc w:val="center"/>
      </w:pPr>
    </w:p>
    <w:sectPr w:rsidR="00752F0F" w:rsidRPr="00752F0F" w:rsidSect="00684057">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396F" w14:textId="77777777" w:rsidR="00702409" w:rsidRDefault="00702409" w:rsidP="004D15A9">
      <w:pPr>
        <w:spacing w:after="0" w:line="240" w:lineRule="auto"/>
      </w:pPr>
      <w:r>
        <w:separator/>
      </w:r>
    </w:p>
  </w:endnote>
  <w:endnote w:type="continuationSeparator" w:id="0">
    <w:p w14:paraId="00BE6F91" w14:textId="77777777" w:rsidR="00702409" w:rsidRDefault="00702409" w:rsidP="004D15A9">
      <w:pPr>
        <w:spacing w:after="0" w:line="240" w:lineRule="auto"/>
      </w:pPr>
      <w:r>
        <w:continuationSeparator/>
      </w:r>
    </w:p>
  </w:endnote>
  <w:endnote w:type="continuationNotice" w:id="1">
    <w:p w14:paraId="12CDD66B" w14:textId="77777777" w:rsidR="00702409" w:rsidRDefault="0070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702409" w:rsidRDefault="00702409" w:rsidP="0042645D">
    <w:pPr>
      <w:pStyle w:val="Kjene"/>
      <w:rPr>
        <w:rFonts w:ascii="Times New Roman" w:hAnsi="Times New Roman" w:cs="Times New Roman"/>
        <w:sz w:val="20"/>
        <w:szCs w:val="20"/>
      </w:rPr>
    </w:pPr>
  </w:p>
  <w:p w14:paraId="6A190106" w14:textId="21A39EA0" w:rsidR="00702409" w:rsidRPr="0042645D" w:rsidRDefault="0070240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92B0E">
      <w:rPr>
        <w:rFonts w:ascii="Times New Roman" w:hAnsi="Times New Roman" w:cs="Times New Roman"/>
        <w:noProof/>
        <w:sz w:val="20"/>
        <w:szCs w:val="20"/>
      </w:rPr>
      <w:t>0102</w:t>
    </w:r>
    <w:r>
      <w:rPr>
        <w:rFonts w:ascii="Times New Roman" w:hAnsi="Times New Roman" w:cs="Times New Roman"/>
        <w:noProof/>
        <w:sz w:val="20"/>
        <w:szCs w:val="20"/>
      </w:rPr>
      <w:t>19_FITL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1C5DB2A" w:rsidR="00702409" w:rsidRPr="0042645D" w:rsidRDefault="0070240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192B0E">
      <w:rPr>
        <w:rFonts w:ascii="Times New Roman" w:hAnsi="Times New Roman" w:cs="Times New Roman"/>
        <w:noProof/>
        <w:sz w:val="20"/>
        <w:szCs w:val="20"/>
      </w:rPr>
      <w:t>0102</w:t>
    </w:r>
    <w:r>
      <w:rPr>
        <w:rFonts w:ascii="Times New Roman" w:hAnsi="Times New Roman" w:cs="Times New Roman"/>
        <w:noProof/>
        <w:sz w:val="20"/>
        <w:szCs w:val="20"/>
      </w:rPr>
      <w:t>19_FITL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7CB95" w14:textId="77777777" w:rsidR="00702409" w:rsidRDefault="00702409" w:rsidP="004D15A9">
      <w:pPr>
        <w:spacing w:after="0" w:line="240" w:lineRule="auto"/>
      </w:pPr>
      <w:r>
        <w:separator/>
      </w:r>
    </w:p>
  </w:footnote>
  <w:footnote w:type="continuationSeparator" w:id="0">
    <w:p w14:paraId="7D11C93D" w14:textId="77777777" w:rsidR="00702409" w:rsidRDefault="00702409" w:rsidP="004D15A9">
      <w:pPr>
        <w:spacing w:after="0" w:line="240" w:lineRule="auto"/>
      </w:pPr>
      <w:r>
        <w:continuationSeparator/>
      </w:r>
    </w:p>
  </w:footnote>
  <w:footnote w:type="continuationNotice" w:id="1">
    <w:p w14:paraId="04EB3CC8" w14:textId="77777777" w:rsidR="00702409" w:rsidRDefault="0070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702409" w:rsidRPr="004D15A9" w:rsidRDefault="0070240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16</w:t>
        </w:r>
        <w:r w:rsidRPr="004D15A9">
          <w:rPr>
            <w:rFonts w:ascii="Times New Roman" w:hAnsi="Times New Roman" w:cs="Times New Roman"/>
            <w:sz w:val="24"/>
            <w:szCs w:val="24"/>
          </w:rPr>
          <w:fldChar w:fldCharType="end"/>
        </w:r>
      </w:p>
    </w:sdtContent>
  </w:sdt>
  <w:p w14:paraId="2E7D154D" w14:textId="77777777" w:rsidR="00702409" w:rsidRDefault="0070240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2DF9"/>
    <w:multiLevelType w:val="multilevel"/>
    <w:tmpl w:val="EDFED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1526F6"/>
    <w:multiLevelType w:val="hybridMultilevel"/>
    <w:tmpl w:val="F18C4F74"/>
    <w:lvl w:ilvl="0" w:tplc="5AC0D604">
      <w:start w:val="1"/>
      <w:numFmt w:val="decimal"/>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1C2"/>
    <w:rsid w:val="00003E85"/>
    <w:rsid w:val="000146DF"/>
    <w:rsid w:val="0001792B"/>
    <w:rsid w:val="00026897"/>
    <w:rsid w:val="00031256"/>
    <w:rsid w:val="00031DA0"/>
    <w:rsid w:val="0003429F"/>
    <w:rsid w:val="000356A7"/>
    <w:rsid w:val="000437CF"/>
    <w:rsid w:val="000449AC"/>
    <w:rsid w:val="00050485"/>
    <w:rsid w:val="00052720"/>
    <w:rsid w:val="00052DF6"/>
    <w:rsid w:val="0005362A"/>
    <w:rsid w:val="0006071D"/>
    <w:rsid w:val="00063AB4"/>
    <w:rsid w:val="0006465E"/>
    <w:rsid w:val="00064ED4"/>
    <w:rsid w:val="0007048A"/>
    <w:rsid w:val="00071E16"/>
    <w:rsid w:val="00072CA6"/>
    <w:rsid w:val="00084207"/>
    <w:rsid w:val="00090E38"/>
    <w:rsid w:val="000979C0"/>
    <w:rsid w:val="000A2B1F"/>
    <w:rsid w:val="000A3A26"/>
    <w:rsid w:val="000B1D33"/>
    <w:rsid w:val="000B24C4"/>
    <w:rsid w:val="000C5D73"/>
    <w:rsid w:val="000C62AB"/>
    <w:rsid w:val="000C6A21"/>
    <w:rsid w:val="000C76C5"/>
    <w:rsid w:val="000D0EE4"/>
    <w:rsid w:val="000D2C40"/>
    <w:rsid w:val="000D3CD0"/>
    <w:rsid w:val="000D6605"/>
    <w:rsid w:val="000E0746"/>
    <w:rsid w:val="000E2963"/>
    <w:rsid w:val="000E3461"/>
    <w:rsid w:val="000E42FD"/>
    <w:rsid w:val="000E43A9"/>
    <w:rsid w:val="000E5400"/>
    <w:rsid w:val="000F2BEF"/>
    <w:rsid w:val="000F59FE"/>
    <w:rsid w:val="00101CD5"/>
    <w:rsid w:val="00101ED0"/>
    <w:rsid w:val="001032D1"/>
    <w:rsid w:val="001173D3"/>
    <w:rsid w:val="00131B00"/>
    <w:rsid w:val="0013226A"/>
    <w:rsid w:val="00132ABC"/>
    <w:rsid w:val="0013321C"/>
    <w:rsid w:val="001354FB"/>
    <w:rsid w:val="001373E6"/>
    <w:rsid w:val="00144C3A"/>
    <w:rsid w:val="0015263A"/>
    <w:rsid w:val="00153766"/>
    <w:rsid w:val="00153774"/>
    <w:rsid w:val="001556F7"/>
    <w:rsid w:val="00156AA9"/>
    <w:rsid w:val="0016574C"/>
    <w:rsid w:val="00165C6A"/>
    <w:rsid w:val="0016651E"/>
    <w:rsid w:val="0017177C"/>
    <w:rsid w:val="001739D7"/>
    <w:rsid w:val="0018317E"/>
    <w:rsid w:val="00192B0E"/>
    <w:rsid w:val="00193A2D"/>
    <w:rsid w:val="00193C06"/>
    <w:rsid w:val="001966EA"/>
    <w:rsid w:val="00196BBF"/>
    <w:rsid w:val="001A1DE0"/>
    <w:rsid w:val="001A1FB6"/>
    <w:rsid w:val="001A3A5D"/>
    <w:rsid w:val="001A4B83"/>
    <w:rsid w:val="001A5434"/>
    <w:rsid w:val="001B6311"/>
    <w:rsid w:val="001B6351"/>
    <w:rsid w:val="001C51E5"/>
    <w:rsid w:val="001C5969"/>
    <w:rsid w:val="001E0D65"/>
    <w:rsid w:val="001E138D"/>
    <w:rsid w:val="001E3E3B"/>
    <w:rsid w:val="001E64A9"/>
    <w:rsid w:val="001F1D26"/>
    <w:rsid w:val="001F257B"/>
    <w:rsid w:val="001F2D0E"/>
    <w:rsid w:val="001F4922"/>
    <w:rsid w:val="001F4D3C"/>
    <w:rsid w:val="001F68D7"/>
    <w:rsid w:val="001F7C55"/>
    <w:rsid w:val="00204C29"/>
    <w:rsid w:val="00207B01"/>
    <w:rsid w:val="00216180"/>
    <w:rsid w:val="00220682"/>
    <w:rsid w:val="00225A6F"/>
    <w:rsid w:val="002279F0"/>
    <w:rsid w:val="00242A8D"/>
    <w:rsid w:val="00253071"/>
    <w:rsid w:val="00264B18"/>
    <w:rsid w:val="00265ECB"/>
    <w:rsid w:val="00266046"/>
    <w:rsid w:val="00270B2B"/>
    <w:rsid w:val="00273E91"/>
    <w:rsid w:val="0027620B"/>
    <w:rsid w:val="002778E8"/>
    <w:rsid w:val="00282F7D"/>
    <w:rsid w:val="00284F26"/>
    <w:rsid w:val="002866D4"/>
    <w:rsid w:val="00290466"/>
    <w:rsid w:val="002927C5"/>
    <w:rsid w:val="0029322C"/>
    <w:rsid w:val="00293ACB"/>
    <w:rsid w:val="002941D8"/>
    <w:rsid w:val="002A0237"/>
    <w:rsid w:val="002A280D"/>
    <w:rsid w:val="002A5867"/>
    <w:rsid w:val="002B5D8D"/>
    <w:rsid w:val="002C3755"/>
    <w:rsid w:val="002C4A1B"/>
    <w:rsid w:val="002D6454"/>
    <w:rsid w:val="002D6AFB"/>
    <w:rsid w:val="002E2EF0"/>
    <w:rsid w:val="002E3174"/>
    <w:rsid w:val="002F7339"/>
    <w:rsid w:val="003065DE"/>
    <w:rsid w:val="00312490"/>
    <w:rsid w:val="00312898"/>
    <w:rsid w:val="00313E2C"/>
    <w:rsid w:val="00314202"/>
    <w:rsid w:val="00315E7A"/>
    <w:rsid w:val="003166FC"/>
    <w:rsid w:val="00316A1F"/>
    <w:rsid w:val="00321720"/>
    <w:rsid w:val="00322A62"/>
    <w:rsid w:val="003317F7"/>
    <w:rsid w:val="003323DB"/>
    <w:rsid w:val="00333F7B"/>
    <w:rsid w:val="00334ABB"/>
    <w:rsid w:val="00337D85"/>
    <w:rsid w:val="003444D3"/>
    <w:rsid w:val="0034559C"/>
    <w:rsid w:val="00353AFA"/>
    <w:rsid w:val="003552AF"/>
    <w:rsid w:val="0035659A"/>
    <w:rsid w:val="00361E56"/>
    <w:rsid w:val="00363609"/>
    <w:rsid w:val="003661B4"/>
    <w:rsid w:val="00366CB9"/>
    <w:rsid w:val="003779AA"/>
    <w:rsid w:val="003803BC"/>
    <w:rsid w:val="00383A95"/>
    <w:rsid w:val="003842CF"/>
    <w:rsid w:val="0038510C"/>
    <w:rsid w:val="00391718"/>
    <w:rsid w:val="003922B0"/>
    <w:rsid w:val="003937A1"/>
    <w:rsid w:val="003A2A0B"/>
    <w:rsid w:val="003A41E8"/>
    <w:rsid w:val="003A5206"/>
    <w:rsid w:val="003A558C"/>
    <w:rsid w:val="003A5CA3"/>
    <w:rsid w:val="003B2359"/>
    <w:rsid w:val="003B6B3E"/>
    <w:rsid w:val="003C170D"/>
    <w:rsid w:val="003C61BD"/>
    <w:rsid w:val="003C6E65"/>
    <w:rsid w:val="003D18C9"/>
    <w:rsid w:val="003D200F"/>
    <w:rsid w:val="003D2767"/>
    <w:rsid w:val="003E18D3"/>
    <w:rsid w:val="003E752C"/>
    <w:rsid w:val="003E7B8F"/>
    <w:rsid w:val="003E7D54"/>
    <w:rsid w:val="003F55DC"/>
    <w:rsid w:val="003F5E08"/>
    <w:rsid w:val="003F69C2"/>
    <w:rsid w:val="003F6DA2"/>
    <w:rsid w:val="00401BD5"/>
    <w:rsid w:val="00403CC4"/>
    <w:rsid w:val="00404D01"/>
    <w:rsid w:val="004070F5"/>
    <w:rsid w:val="00410612"/>
    <w:rsid w:val="00415104"/>
    <w:rsid w:val="00422B60"/>
    <w:rsid w:val="004263E7"/>
    <w:rsid w:val="0042645D"/>
    <w:rsid w:val="0043541A"/>
    <w:rsid w:val="00435EBE"/>
    <w:rsid w:val="004375DC"/>
    <w:rsid w:val="00443949"/>
    <w:rsid w:val="00455067"/>
    <w:rsid w:val="0045670D"/>
    <w:rsid w:val="00461275"/>
    <w:rsid w:val="00461444"/>
    <w:rsid w:val="00473CA2"/>
    <w:rsid w:val="00484FCC"/>
    <w:rsid w:val="00487593"/>
    <w:rsid w:val="00487D95"/>
    <w:rsid w:val="004900F9"/>
    <w:rsid w:val="00494EDC"/>
    <w:rsid w:val="004A0889"/>
    <w:rsid w:val="004A4EFC"/>
    <w:rsid w:val="004B4A97"/>
    <w:rsid w:val="004C0090"/>
    <w:rsid w:val="004C37BA"/>
    <w:rsid w:val="004C3B12"/>
    <w:rsid w:val="004C7B02"/>
    <w:rsid w:val="004C7FF9"/>
    <w:rsid w:val="004D15A9"/>
    <w:rsid w:val="004D20F0"/>
    <w:rsid w:val="004E1263"/>
    <w:rsid w:val="004E2AA7"/>
    <w:rsid w:val="004F1B4D"/>
    <w:rsid w:val="004F2115"/>
    <w:rsid w:val="004F3296"/>
    <w:rsid w:val="004F5C4E"/>
    <w:rsid w:val="00513DD9"/>
    <w:rsid w:val="00515CEE"/>
    <w:rsid w:val="00521CB4"/>
    <w:rsid w:val="00522039"/>
    <w:rsid w:val="005239FE"/>
    <w:rsid w:val="00526DF3"/>
    <w:rsid w:val="0053181B"/>
    <w:rsid w:val="005343A8"/>
    <w:rsid w:val="0055294A"/>
    <w:rsid w:val="005560A8"/>
    <w:rsid w:val="005621E1"/>
    <w:rsid w:val="005643FA"/>
    <w:rsid w:val="0056459F"/>
    <w:rsid w:val="00565982"/>
    <w:rsid w:val="0056645A"/>
    <w:rsid w:val="00567AC4"/>
    <w:rsid w:val="00571865"/>
    <w:rsid w:val="005817FD"/>
    <w:rsid w:val="005839C8"/>
    <w:rsid w:val="00586AE8"/>
    <w:rsid w:val="0059057E"/>
    <w:rsid w:val="005953BD"/>
    <w:rsid w:val="0059750C"/>
    <w:rsid w:val="005978E5"/>
    <w:rsid w:val="005B1841"/>
    <w:rsid w:val="005B2B09"/>
    <w:rsid w:val="005B372A"/>
    <w:rsid w:val="005B4838"/>
    <w:rsid w:val="005B7142"/>
    <w:rsid w:val="005C0266"/>
    <w:rsid w:val="005C4CD7"/>
    <w:rsid w:val="005C6A88"/>
    <w:rsid w:val="005D4E8A"/>
    <w:rsid w:val="005E4D47"/>
    <w:rsid w:val="005E50B2"/>
    <w:rsid w:val="005E6583"/>
    <w:rsid w:val="005F0729"/>
    <w:rsid w:val="006042EE"/>
    <w:rsid w:val="00604809"/>
    <w:rsid w:val="00612A92"/>
    <w:rsid w:val="006147E6"/>
    <w:rsid w:val="00616762"/>
    <w:rsid w:val="006261D7"/>
    <w:rsid w:val="00626899"/>
    <w:rsid w:val="00627FEA"/>
    <w:rsid w:val="00637BF2"/>
    <w:rsid w:val="00641CC8"/>
    <w:rsid w:val="006439DF"/>
    <w:rsid w:val="00651565"/>
    <w:rsid w:val="00651D78"/>
    <w:rsid w:val="00657500"/>
    <w:rsid w:val="0065790C"/>
    <w:rsid w:val="006641E1"/>
    <w:rsid w:val="00664E00"/>
    <w:rsid w:val="00666F4D"/>
    <w:rsid w:val="0067183F"/>
    <w:rsid w:val="006746E7"/>
    <w:rsid w:val="00684057"/>
    <w:rsid w:val="00684A8B"/>
    <w:rsid w:val="006879C0"/>
    <w:rsid w:val="00687E59"/>
    <w:rsid w:val="00690CE0"/>
    <w:rsid w:val="00691420"/>
    <w:rsid w:val="006914CD"/>
    <w:rsid w:val="0069536B"/>
    <w:rsid w:val="006A1A97"/>
    <w:rsid w:val="006B117A"/>
    <w:rsid w:val="006C440E"/>
    <w:rsid w:val="006C4B37"/>
    <w:rsid w:val="006C7052"/>
    <w:rsid w:val="006D1474"/>
    <w:rsid w:val="006D1824"/>
    <w:rsid w:val="006D7F6C"/>
    <w:rsid w:val="006E007A"/>
    <w:rsid w:val="006E1F2F"/>
    <w:rsid w:val="006E25DF"/>
    <w:rsid w:val="006E6ADA"/>
    <w:rsid w:val="006E6D2A"/>
    <w:rsid w:val="006F0FA8"/>
    <w:rsid w:val="006F1738"/>
    <w:rsid w:val="006F2B8C"/>
    <w:rsid w:val="006F69BA"/>
    <w:rsid w:val="00700530"/>
    <w:rsid w:val="00702409"/>
    <w:rsid w:val="007026A4"/>
    <w:rsid w:val="00702DBF"/>
    <w:rsid w:val="007047F3"/>
    <w:rsid w:val="00707C61"/>
    <w:rsid w:val="007128BA"/>
    <w:rsid w:val="00715506"/>
    <w:rsid w:val="00725ACB"/>
    <w:rsid w:val="00725C5E"/>
    <w:rsid w:val="00731578"/>
    <w:rsid w:val="00731970"/>
    <w:rsid w:val="0073425A"/>
    <w:rsid w:val="0073730D"/>
    <w:rsid w:val="0074013C"/>
    <w:rsid w:val="00746269"/>
    <w:rsid w:val="0075288B"/>
    <w:rsid w:val="00752F0F"/>
    <w:rsid w:val="00754520"/>
    <w:rsid w:val="0075497C"/>
    <w:rsid w:val="00757522"/>
    <w:rsid w:val="00761F67"/>
    <w:rsid w:val="00762781"/>
    <w:rsid w:val="0076406C"/>
    <w:rsid w:val="007706F1"/>
    <w:rsid w:val="007721C4"/>
    <w:rsid w:val="00774408"/>
    <w:rsid w:val="007770C4"/>
    <w:rsid w:val="00777212"/>
    <w:rsid w:val="00782AB0"/>
    <w:rsid w:val="00785751"/>
    <w:rsid w:val="00786809"/>
    <w:rsid w:val="00793E66"/>
    <w:rsid w:val="00794B68"/>
    <w:rsid w:val="00794C9B"/>
    <w:rsid w:val="00796D6E"/>
    <w:rsid w:val="007A1602"/>
    <w:rsid w:val="007A4144"/>
    <w:rsid w:val="007B289A"/>
    <w:rsid w:val="007B3374"/>
    <w:rsid w:val="007C1C5B"/>
    <w:rsid w:val="007C1D5B"/>
    <w:rsid w:val="007C2E40"/>
    <w:rsid w:val="007C4D2E"/>
    <w:rsid w:val="007C5D66"/>
    <w:rsid w:val="007C66CC"/>
    <w:rsid w:val="007C76FD"/>
    <w:rsid w:val="007C7CD2"/>
    <w:rsid w:val="007D2656"/>
    <w:rsid w:val="007E2200"/>
    <w:rsid w:val="007E3F61"/>
    <w:rsid w:val="007E48DC"/>
    <w:rsid w:val="007E4C6B"/>
    <w:rsid w:val="007F1490"/>
    <w:rsid w:val="007F375D"/>
    <w:rsid w:val="0081203F"/>
    <w:rsid w:val="00813485"/>
    <w:rsid w:val="0082443F"/>
    <w:rsid w:val="00824DB8"/>
    <w:rsid w:val="00826198"/>
    <w:rsid w:val="0083130F"/>
    <w:rsid w:val="00831D8D"/>
    <w:rsid w:val="00834CF7"/>
    <w:rsid w:val="00836093"/>
    <w:rsid w:val="00836AC4"/>
    <w:rsid w:val="008403AC"/>
    <w:rsid w:val="00840A5F"/>
    <w:rsid w:val="00841836"/>
    <w:rsid w:val="0084318E"/>
    <w:rsid w:val="008431A6"/>
    <w:rsid w:val="00844014"/>
    <w:rsid w:val="0085270D"/>
    <w:rsid w:val="00853483"/>
    <w:rsid w:val="0085549F"/>
    <w:rsid w:val="0086084E"/>
    <w:rsid w:val="00861724"/>
    <w:rsid w:val="008647AB"/>
    <w:rsid w:val="00867136"/>
    <w:rsid w:val="008714D4"/>
    <w:rsid w:val="008721B7"/>
    <w:rsid w:val="00872825"/>
    <w:rsid w:val="00873E7A"/>
    <w:rsid w:val="0087437F"/>
    <w:rsid w:val="00876484"/>
    <w:rsid w:val="00880BC2"/>
    <w:rsid w:val="008826E9"/>
    <w:rsid w:val="008837F0"/>
    <w:rsid w:val="008879DC"/>
    <w:rsid w:val="00897908"/>
    <w:rsid w:val="008A1537"/>
    <w:rsid w:val="008A3EF8"/>
    <w:rsid w:val="008A4DD7"/>
    <w:rsid w:val="008A55F6"/>
    <w:rsid w:val="008A5A72"/>
    <w:rsid w:val="008B04CC"/>
    <w:rsid w:val="008B10D4"/>
    <w:rsid w:val="008B27A0"/>
    <w:rsid w:val="008B5449"/>
    <w:rsid w:val="008C6E2A"/>
    <w:rsid w:val="008D0E01"/>
    <w:rsid w:val="008D2647"/>
    <w:rsid w:val="008D548A"/>
    <w:rsid w:val="008D783E"/>
    <w:rsid w:val="008E4E93"/>
    <w:rsid w:val="008E78B2"/>
    <w:rsid w:val="008F21F6"/>
    <w:rsid w:val="008F602D"/>
    <w:rsid w:val="00901D0A"/>
    <w:rsid w:val="00904ED2"/>
    <w:rsid w:val="00907B5B"/>
    <w:rsid w:val="0091011E"/>
    <w:rsid w:val="00913AFF"/>
    <w:rsid w:val="009209D8"/>
    <w:rsid w:val="00924ED2"/>
    <w:rsid w:val="00934C87"/>
    <w:rsid w:val="00944B5E"/>
    <w:rsid w:val="00964ACC"/>
    <w:rsid w:val="00964EA7"/>
    <w:rsid w:val="009669BA"/>
    <w:rsid w:val="00971151"/>
    <w:rsid w:val="00974FAB"/>
    <w:rsid w:val="0097690A"/>
    <w:rsid w:val="00983B4A"/>
    <w:rsid w:val="00993A6B"/>
    <w:rsid w:val="00997954"/>
    <w:rsid w:val="009A63F9"/>
    <w:rsid w:val="009A6EF5"/>
    <w:rsid w:val="009B03BF"/>
    <w:rsid w:val="009B6A57"/>
    <w:rsid w:val="009C65D1"/>
    <w:rsid w:val="009C6F9D"/>
    <w:rsid w:val="009D0F74"/>
    <w:rsid w:val="009D60E2"/>
    <w:rsid w:val="009D6762"/>
    <w:rsid w:val="009E165A"/>
    <w:rsid w:val="009E2029"/>
    <w:rsid w:val="009E7B84"/>
    <w:rsid w:val="009F14B6"/>
    <w:rsid w:val="009F5082"/>
    <w:rsid w:val="00A06071"/>
    <w:rsid w:val="00A108BA"/>
    <w:rsid w:val="00A1156F"/>
    <w:rsid w:val="00A11FE6"/>
    <w:rsid w:val="00A12D40"/>
    <w:rsid w:val="00A1552F"/>
    <w:rsid w:val="00A168B6"/>
    <w:rsid w:val="00A16F24"/>
    <w:rsid w:val="00A2123D"/>
    <w:rsid w:val="00A2503B"/>
    <w:rsid w:val="00A25254"/>
    <w:rsid w:val="00A274AD"/>
    <w:rsid w:val="00A3187F"/>
    <w:rsid w:val="00A42721"/>
    <w:rsid w:val="00A42F06"/>
    <w:rsid w:val="00A4667F"/>
    <w:rsid w:val="00A505F5"/>
    <w:rsid w:val="00A507CF"/>
    <w:rsid w:val="00A61AF5"/>
    <w:rsid w:val="00A62860"/>
    <w:rsid w:val="00A6361A"/>
    <w:rsid w:val="00A64D23"/>
    <w:rsid w:val="00A67728"/>
    <w:rsid w:val="00A80FBE"/>
    <w:rsid w:val="00A855AA"/>
    <w:rsid w:val="00A87EC9"/>
    <w:rsid w:val="00A9732A"/>
    <w:rsid w:val="00AA1388"/>
    <w:rsid w:val="00AB0D8B"/>
    <w:rsid w:val="00AB51F6"/>
    <w:rsid w:val="00AB6562"/>
    <w:rsid w:val="00AC5DF8"/>
    <w:rsid w:val="00AC6149"/>
    <w:rsid w:val="00AD27B8"/>
    <w:rsid w:val="00AD3CC4"/>
    <w:rsid w:val="00AE272B"/>
    <w:rsid w:val="00AE3A91"/>
    <w:rsid w:val="00AE6270"/>
    <w:rsid w:val="00B0305F"/>
    <w:rsid w:val="00B05560"/>
    <w:rsid w:val="00B061C2"/>
    <w:rsid w:val="00B103C5"/>
    <w:rsid w:val="00B13108"/>
    <w:rsid w:val="00B239B2"/>
    <w:rsid w:val="00B244D0"/>
    <w:rsid w:val="00B24B2E"/>
    <w:rsid w:val="00B31618"/>
    <w:rsid w:val="00B34367"/>
    <w:rsid w:val="00B358FD"/>
    <w:rsid w:val="00B44DFD"/>
    <w:rsid w:val="00B47BB6"/>
    <w:rsid w:val="00B57625"/>
    <w:rsid w:val="00B57BEE"/>
    <w:rsid w:val="00B6562F"/>
    <w:rsid w:val="00B72C9E"/>
    <w:rsid w:val="00B816D1"/>
    <w:rsid w:val="00B81C6E"/>
    <w:rsid w:val="00B83C87"/>
    <w:rsid w:val="00B963E4"/>
    <w:rsid w:val="00BA09D8"/>
    <w:rsid w:val="00BA7305"/>
    <w:rsid w:val="00BB0E46"/>
    <w:rsid w:val="00BB1F46"/>
    <w:rsid w:val="00BB3438"/>
    <w:rsid w:val="00BC2563"/>
    <w:rsid w:val="00BC2633"/>
    <w:rsid w:val="00BE0B33"/>
    <w:rsid w:val="00BE3125"/>
    <w:rsid w:val="00BE3EA3"/>
    <w:rsid w:val="00BF1078"/>
    <w:rsid w:val="00BF1D0F"/>
    <w:rsid w:val="00BF327D"/>
    <w:rsid w:val="00BF3A34"/>
    <w:rsid w:val="00C0467C"/>
    <w:rsid w:val="00C05F91"/>
    <w:rsid w:val="00C11335"/>
    <w:rsid w:val="00C13D57"/>
    <w:rsid w:val="00C22140"/>
    <w:rsid w:val="00C2218D"/>
    <w:rsid w:val="00C23BBD"/>
    <w:rsid w:val="00C26239"/>
    <w:rsid w:val="00C30310"/>
    <w:rsid w:val="00C31C20"/>
    <w:rsid w:val="00C3229B"/>
    <w:rsid w:val="00C329B3"/>
    <w:rsid w:val="00C34B83"/>
    <w:rsid w:val="00C36CFD"/>
    <w:rsid w:val="00C4605B"/>
    <w:rsid w:val="00C55D05"/>
    <w:rsid w:val="00C5600D"/>
    <w:rsid w:val="00C66E63"/>
    <w:rsid w:val="00C70318"/>
    <w:rsid w:val="00C74788"/>
    <w:rsid w:val="00C85166"/>
    <w:rsid w:val="00C86F7E"/>
    <w:rsid w:val="00C91643"/>
    <w:rsid w:val="00C92378"/>
    <w:rsid w:val="00C92FFA"/>
    <w:rsid w:val="00C9366C"/>
    <w:rsid w:val="00C95161"/>
    <w:rsid w:val="00CA7041"/>
    <w:rsid w:val="00CB4D0B"/>
    <w:rsid w:val="00CB676F"/>
    <w:rsid w:val="00CB731C"/>
    <w:rsid w:val="00CB7A6E"/>
    <w:rsid w:val="00CC428F"/>
    <w:rsid w:val="00CE0693"/>
    <w:rsid w:val="00CF0EA2"/>
    <w:rsid w:val="00CF69CA"/>
    <w:rsid w:val="00CF6D34"/>
    <w:rsid w:val="00CF7904"/>
    <w:rsid w:val="00CF7FD4"/>
    <w:rsid w:val="00D0170B"/>
    <w:rsid w:val="00D025D1"/>
    <w:rsid w:val="00D04C33"/>
    <w:rsid w:val="00D05F14"/>
    <w:rsid w:val="00D1107A"/>
    <w:rsid w:val="00D123FF"/>
    <w:rsid w:val="00D12B67"/>
    <w:rsid w:val="00D16B0E"/>
    <w:rsid w:val="00D2698B"/>
    <w:rsid w:val="00D313D5"/>
    <w:rsid w:val="00D33F13"/>
    <w:rsid w:val="00D359CA"/>
    <w:rsid w:val="00D36B07"/>
    <w:rsid w:val="00D36B28"/>
    <w:rsid w:val="00D373BB"/>
    <w:rsid w:val="00D4050F"/>
    <w:rsid w:val="00D43D86"/>
    <w:rsid w:val="00D51361"/>
    <w:rsid w:val="00D55E72"/>
    <w:rsid w:val="00D61E0D"/>
    <w:rsid w:val="00D64B17"/>
    <w:rsid w:val="00D66D49"/>
    <w:rsid w:val="00D837FC"/>
    <w:rsid w:val="00D86014"/>
    <w:rsid w:val="00D8798B"/>
    <w:rsid w:val="00D908B5"/>
    <w:rsid w:val="00D939F0"/>
    <w:rsid w:val="00D97387"/>
    <w:rsid w:val="00DA3126"/>
    <w:rsid w:val="00DA326E"/>
    <w:rsid w:val="00DA52AC"/>
    <w:rsid w:val="00DA596D"/>
    <w:rsid w:val="00DA61E1"/>
    <w:rsid w:val="00DB70B1"/>
    <w:rsid w:val="00DB79D4"/>
    <w:rsid w:val="00DD2CCF"/>
    <w:rsid w:val="00DE4330"/>
    <w:rsid w:val="00DE553A"/>
    <w:rsid w:val="00DE5932"/>
    <w:rsid w:val="00DE78C6"/>
    <w:rsid w:val="00DF159B"/>
    <w:rsid w:val="00DF21B5"/>
    <w:rsid w:val="00DF2B60"/>
    <w:rsid w:val="00E05AA6"/>
    <w:rsid w:val="00E1379B"/>
    <w:rsid w:val="00E13DC2"/>
    <w:rsid w:val="00E23292"/>
    <w:rsid w:val="00E2335D"/>
    <w:rsid w:val="00E24967"/>
    <w:rsid w:val="00E32EB8"/>
    <w:rsid w:val="00E3326D"/>
    <w:rsid w:val="00E37834"/>
    <w:rsid w:val="00E43386"/>
    <w:rsid w:val="00E44C94"/>
    <w:rsid w:val="00E529C6"/>
    <w:rsid w:val="00E5555E"/>
    <w:rsid w:val="00E557CC"/>
    <w:rsid w:val="00E5586E"/>
    <w:rsid w:val="00E61BE5"/>
    <w:rsid w:val="00E629CB"/>
    <w:rsid w:val="00E67149"/>
    <w:rsid w:val="00E73903"/>
    <w:rsid w:val="00E75240"/>
    <w:rsid w:val="00E806AE"/>
    <w:rsid w:val="00E8257F"/>
    <w:rsid w:val="00E83201"/>
    <w:rsid w:val="00E84B85"/>
    <w:rsid w:val="00E8622A"/>
    <w:rsid w:val="00E870D7"/>
    <w:rsid w:val="00E9126A"/>
    <w:rsid w:val="00E9181C"/>
    <w:rsid w:val="00E973B0"/>
    <w:rsid w:val="00EA01D2"/>
    <w:rsid w:val="00EB4318"/>
    <w:rsid w:val="00EB75B9"/>
    <w:rsid w:val="00EBE697"/>
    <w:rsid w:val="00EC0226"/>
    <w:rsid w:val="00EC2332"/>
    <w:rsid w:val="00EC2DA3"/>
    <w:rsid w:val="00EC3EE2"/>
    <w:rsid w:val="00EC502F"/>
    <w:rsid w:val="00ED0FE5"/>
    <w:rsid w:val="00ED3F09"/>
    <w:rsid w:val="00ED573E"/>
    <w:rsid w:val="00ED5A6E"/>
    <w:rsid w:val="00ED79F1"/>
    <w:rsid w:val="00EF652F"/>
    <w:rsid w:val="00EF7667"/>
    <w:rsid w:val="00EF7B4B"/>
    <w:rsid w:val="00F00244"/>
    <w:rsid w:val="00F00609"/>
    <w:rsid w:val="00F03526"/>
    <w:rsid w:val="00F04C12"/>
    <w:rsid w:val="00F138AA"/>
    <w:rsid w:val="00F13BF3"/>
    <w:rsid w:val="00F13E2B"/>
    <w:rsid w:val="00F1551F"/>
    <w:rsid w:val="00F21CFB"/>
    <w:rsid w:val="00F2375D"/>
    <w:rsid w:val="00F32BB4"/>
    <w:rsid w:val="00F37099"/>
    <w:rsid w:val="00F42766"/>
    <w:rsid w:val="00F44902"/>
    <w:rsid w:val="00F46AA0"/>
    <w:rsid w:val="00F50CE9"/>
    <w:rsid w:val="00F51CE6"/>
    <w:rsid w:val="00F574EA"/>
    <w:rsid w:val="00F60FA4"/>
    <w:rsid w:val="00F64E5A"/>
    <w:rsid w:val="00F72AC6"/>
    <w:rsid w:val="00F73D16"/>
    <w:rsid w:val="00F768EA"/>
    <w:rsid w:val="00F81FF6"/>
    <w:rsid w:val="00F85AA6"/>
    <w:rsid w:val="00F86942"/>
    <w:rsid w:val="00F91583"/>
    <w:rsid w:val="00FA259D"/>
    <w:rsid w:val="00FA2A06"/>
    <w:rsid w:val="00FA5740"/>
    <w:rsid w:val="00FA7947"/>
    <w:rsid w:val="00FB2959"/>
    <w:rsid w:val="00FB2E62"/>
    <w:rsid w:val="00FB3AB1"/>
    <w:rsid w:val="00FB41B8"/>
    <w:rsid w:val="00FB4955"/>
    <w:rsid w:val="00FB6858"/>
    <w:rsid w:val="00FB7065"/>
    <w:rsid w:val="00FC0EEB"/>
    <w:rsid w:val="00FD0B13"/>
    <w:rsid w:val="00FE301E"/>
    <w:rsid w:val="00FE3642"/>
    <w:rsid w:val="00FE5CD5"/>
    <w:rsid w:val="00FF263A"/>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paragraph" w:customStyle="1" w:styleId="tv213">
    <w:name w:val="tv213"/>
    <w:basedOn w:val="Parasts"/>
    <w:rsid w:val="006F0F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ststmeklis">
    <w:name w:val="Normal (Web)"/>
    <w:basedOn w:val="Parasts"/>
    <w:uiPriority w:val="99"/>
    <w:semiHidden/>
    <w:unhideWhenUsed/>
    <w:rsid w:val="00C23B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Parasts"/>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913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art">
    <w:name w:val="ti-art"/>
    <w:basedOn w:val="Parasts"/>
    <w:rsid w:val="00132A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581716591">
      <w:bodyDiv w:val="1"/>
      <w:marLeft w:val="0"/>
      <w:marRight w:val="0"/>
      <w:marTop w:val="0"/>
      <w:marBottom w:val="0"/>
      <w:divBdr>
        <w:top w:val="none" w:sz="0" w:space="0" w:color="auto"/>
        <w:left w:val="none" w:sz="0" w:space="0" w:color="auto"/>
        <w:bottom w:val="none" w:sz="0" w:space="0" w:color="auto"/>
        <w:right w:val="none" w:sz="0" w:space="0" w:color="auto"/>
      </w:divBdr>
    </w:div>
    <w:div w:id="699431433">
      <w:bodyDiv w:val="1"/>
      <w:marLeft w:val="0"/>
      <w:marRight w:val="0"/>
      <w:marTop w:val="0"/>
      <w:marBottom w:val="0"/>
      <w:divBdr>
        <w:top w:val="none" w:sz="0" w:space="0" w:color="auto"/>
        <w:left w:val="none" w:sz="0" w:space="0" w:color="auto"/>
        <w:bottom w:val="none" w:sz="0" w:space="0" w:color="auto"/>
        <w:right w:val="none" w:sz="0" w:space="0" w:color="auto"/>
      </w:divBdr>
    </w:div>
    <w:div w:id="1429039009">
      <w:bodyDiv w:val="1"/>
      <w:marLeft w:val="0"/>
      <w:marRight w:val="0"/>
      <w:marTop w:val="0"/>
      <w:marBottom w:val="0"/>
      <w:divBdr>
        <w:top w:val="none" w:sz="0" w:space="0" w:color="auto"/>
        <w:left w:val="none" w:sz="0" w:space="0" w:color="auto"/>
        <w:bottom w:val="none" w:sz="0" w:space="0" w:color="auto"/>
        <w:right w:val="none" w:sz="0" w:space="0" w:color="auto"/>
      </w:divBdr>
    </w:div>
    <w:div w:id="1448622682">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cg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s://nasdaqcsd.com/services/services-to-account-operators/list-of-account-operator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8406-5639-4282-A1C0-C58B10EC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59887</Words>
  <Characters>34136</Characters>
  <Application>Microsoft Office Word</Application>
  <DocSecurity>4</DocSecurity>
  <Lines>284</Lines>
  <Paragraphs>187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Finanšu instrumentu tirgus likumā" sākotnējās ietekmes novērtējuma ziņojums (anotācija)</vt:lpstr>
      <vt:lpstr>Likumprojekta "Grozījumi Finanšu instrumentu tirgus likumā" sākotnējās ietekmes novērtējuma ziņojums (anotācija)</vt:lpstr>
    </vt:vector>
  </TitlesOfParts>
  <Company>Tieslietu ministrija</Company>
  <LinksUpToDate>false</LinksUpToDate>
  <CharactersWithSpaces>93836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Finanšu instrumentu tirgus likumā" sākotnējās ietekmes novērtējuma ziņojums (anotācija)</dc:title>
  <dc:subject>Anotācija</dc:subject>
  <dc:creator>Aivars Latkovskis, Kaspars Vecozols</dc:creator>
  <dc:description>67036953, Aivars.Latkovskis@tm.gov.lv
67774941, Kaspars.Vecozols@fktk.lv</dc:description>
  <cp:lastModifiedBy>Aivars Latkovskis</cp:lastModifiedBy>
  <cp:revision>2</cp:revision>
  <cp:lastPrinted>2018-12-07T09:57:00Z</cp:lastPrinted>
  <dcterms:created xsi:type="dcterms:W3CDTF">2019-02-01T06:00:00Z</dcterms:created>
  <dcterms:modified xsi:type="dcterms:W3CDTF">2019-02-01T06:00:00Z</dcterms:modified>
</cp:coreProperties>
</file>