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9EB8" w14:textId="05F5E16F" w:rsidR="00482B6E" w:rsidRPr="00E22518" w:rsidRDefault="007559D4" w:rsidP="00E22518">
      <w:pPr>
        <w:shd w:val="clear" w:color="auto" w:fill="FFFFFF" w:themeFill="background1"/>
        <w:jc w:val="center"/>
        <w:rPr>
          <w:b/>
          <w:color w:val="000000"/>
        </w:rPr>
      </w:pPr>
      <w:r w:rsidRPr="00E22518">
        <w:rPr>
          <w:b/>
          <w:color w:val="000000"/>
        </w:rPr>
        <w:t>Ministru kabineta noteikumu projekta "</w:t>
      </w:r>
      <w:r w:rsidR="00D946BC" w:rsidRPr="00E22518">
        <w:rPr>
          <w:b/>
          <w:color w:val="000000"/>
        </w:rPr>
        <w:t>Grozījumi Ministru kabineta 2015. gada 27. janvāra noteikumos Nr. 42 "Noteikumi par kritērijiem un kārtību valsts budžeta dotācijas piešķiršanai pašvaldībām Eiropas Savienības struktūrfondu un Kohēzijas fonda 2014.–2020. gada plānošanas periodā līdzfinansēto projektu īstenošanai"</w:t>
      </w:r>
      <w:r w:rsidRPr="00E22518">
        <w:rPr>
          <w:b/>
          <w:color w:val="000000"/>
        </w:rPr>
        <w:t>" sākotnējās ietekmes novērtējuma ziņojums (anotācija)</w:t>
      </w:r>
    </w:p>
    <w:p w14:paraId="15DBFCA5" w14:textId="77777777" w:rsidR="00953559" w:rsidRPr="00E22518" w:rsidRDefault="00953559" w:rsidP="00E22518">
      <w:pPr>
        <w:shd w:val="clear" w:color="auto" w:fill="FFFFFF" w:themeFill="background1"/>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E22518" w14:paraId="1F93ADEC" w14:textId="77777777" w:rsidTr="00FA45DC">
        <w:tc>
          <w:tcPr>
            <w:tcW w:w="5000" w:type="pct"/>
            <w:gridSpan w:val="2"/>
            <w:hideMark/>
          </w:tcPr>
          <w:p w14:paraId="33780CE6" w14:textId="77777777" w:rsidR="00953559" w:rsidRPr="00E22518" w:rsidRDefault="007559D4" w:rsidP="00E22518">
            <w:pPr>
              <w:shd w:val="clear" w:color="auto" w:fill="FFFFFF" w:themeFill="background1"/>
              <w:jc w:val="center"/>
              <w:rPr>
                <w:b/>
                <w:bCs/>
                <w:color w:val="000000"/>
              </w:rPr>
            </w:pPr>
            <w:r w:rsidRPr="00E22518">
              <w:rPr>
                <w:b/>
                <w:bCs/>
                <w:color w:val="000000"/>
              </w:rPr>
              <w:t>Tiesību akta projekta anotācijas kopsavilkums</w:t>
            </w:r>
          </w:p>
        </w:tc>
      </w:tr>
      <w:tr w:rsidR="00C71FAA" w:rsidRPr="00E22518" w14:paraId="10DBB7FF" w14:textId="77777777" w:rsidTr="002C4100">
        <w:tc>
          <w:tcPr>
            <w:tcW w:w="1584" w:type="pct"/>
            <w:shd w:val="clear" w:color="auto" w:fill="FFFFFF" w:themeFill="background1"/>
            <w:hideMark/>
          </w:tcPr>
          <w:p w14:paraId="7F83EC74" w14:textId="77777777" w:rsidR="00953559" w:rsidRPr="00E22518" w:rsidRDefault="007559D4" w:rsidP="00E22518">
            <w:pPr>
              <w:shd w:val="clear" w:color="auto" w:fill="FFFFFF" w:themeFill="background1"/>
              <w:rPr>
                <w:iCs/>
                <w:color w:val="414142"/>
              </w:rPr>
            </w:pPr>
            <w:r w:rsidRPr="00E22518">
              <w:rPr>
                <w:iCs/>
              </w:rPr>
              <w:t>Mērķis, risinājums un projekta spēkā stāšanās laiks (nepārsniedzot 500 zīmes bez atstarpēm)</w:t>
            </w:r>
          </w:p>
        </w:tc>
        <w:tc>
          <w:tcPr>
            <w:tcW w:w="3416" w:type="pct"/>
            <w:shd w:val="clear" w:color="auto" w:fill="FFFFFF" w:themeFill="background1"/>
            <w:hideMark/>
          </w:tcPr>
          <w:p w14:paraId="67827550" w14:textId="4572E251" w:rsidR="00953559" w:rsidRPr="006130AB" w:rsidRDefault="00043A18" w:rsidP="00E22518">
            <w:pPr>
              <w:shd w:val="clear" w:color="auto" w:fill="FFFFFF" w:themeFill="background1"/>
              <w:ind w:right="142"/>
              <w:jc w:val="both"/>
            </w:pPr>
            <w:r w:rsidRPr="00E22518">
              <w:t>M</w:t>
            </w:r>
            <w:r w:rsidRPr="006130AB">
              <w:t>inistru kabineta noteikumu projekta "Grozījumi Ministru kabineta 2015. gada 27. janvāra noteikumos Nr. 42 "Noteikumi par kritērijiem un kārtību valsts budžeta dotācijas piešķiršanai pašvaldībām Eiropas Savienības struktūrfondu un Kohēzijas fonda 2014.–2020. gada plānošanas periodā līdzfinansēto projektu īstenošanai"" (turpmāk –</w:t>
            </w:r>
            <w:r w:rsidR="002C4100" w:rsidRPr="006130AB">
              <w:t xml:space="preserve"> </w:t>
            </w:r>
            <w:r w:rsidRPr="006130AB">
              <w:t>noteikumu projekts) mērķis ir mazināt Eiropas Savienības fondu projektu ietekmi uz valsts budžetu, nosakot jaunu aprēķina metodi valsts budžeta dotācijai</w:t>
            </w:r>
            <w:r w:rsidR="00B40D62" w:rsidRPr="006130AB">
              <w:t xml:space="preserve"> (turpmāk – VBD) - aprēķinu veicot no minimālā noteiktā nacionālā publiskā finansējuma attiecināmo izmaksu īpatsvara</w:t>
            </w:r>
            <w:r w:rsidR="00BB163B" w:rsidRPr="006130AB">
              <w:t>, vienlaikus izveidojot sasaisti ar</w:t>
            </w:r>
            <w:r w:rsidR="009C4B2C" w:rsidRPr="006130AB">
              <w:t xml:space="preserve"> konkrēta Eiropas Savienības fondu</w:t>
            </w:r>
            <w:r w:rsidR="00BB163B" w:rsidRPr="006130AB">
              <w:t xml:space="preserve"> projekta ietvaros pieejamo Eiropas Savienības fondu finansējuma apmēru</w:t>
            </w:r>
            <w:r w:rsidRPr="006130AB">
              <w:t>.</w:t>
            </w:r>
            <w:r w:rsidR="002C4100" w:rsidRPr="006130AB">
              <w:t xml:space="preserve"> Noteikumu projekt</w:t>
            </w:r>
            <w:r w:rsidR="00B40D62" w:rsidRPr="006130AB">
              <w:t>a</w:t>
            </w:r>
            <w:r w:rsidR="002C4100" w:rsidRPr="006130AB">
              <w:t xml:space="preserve"> </w:t>
            </w:r>
            <w:r w:rsidR="00CA37B1" w:rsidRPr="006130AB">
              <w:t>piemērošanas</w:t>
            </w:r>
            <w:r w:rsidR="00443D4E" w:rsidRPr="006130AB">
              <w:t xml:space="preserve"> kārtīb</w:t>
            </w:r>
            <w:r w:rsidR="009D183F" w:rsidRPr="006130AB">
              <w:t>a</w:t>
            </w:r>
            <w:r w:rsidR="002C4100" w:rsidRPr="006130AB">
              <w:t>:</w:t>
            </w:r>
          </w:p>
          <w:p w14:paraId="55B4FE0F" w14:textId="77777777" w:rsidR="00752794" w:rsidRPr="006130AB" w:rsidRDefault="00B40D62" w:rsidP="00E22518">
            <w:pPr>
              <w:pStyle w:val="ListParagraph"/>
              <w:numPr>
                <w:ilvl w:val="0"/>
                <w:numId w:val="20"/>
              </w:numPr>
              <w:shd w:val="clear" w:color="auto" w:fill="FFFFFF" w:themeFill="background1"/>
              <w:ind w:right="142"/>
              <w:jc w:val="both"/>
              <w:rPr>
                <w:rFonts w:eastAsia="Calibri"/>
                <w:sz w:val="24"/>
                <w:szCs w:val="24"/>
              </w:rPr>
            </w:pPr>
            <w:r w:rsidRPr="006130AB">
              <w:rPr>
                <w:rFonts w:eastAsia="Calibri"/>
                <w:sz w:val="24"/>
                <w:szCs w:val="24"/>
              </w:rPr>
              <w:t>minimālo nacionālā publiskā finansējuma attiecināmo izmaksu īpatsvaru piemēro</w:t>
            </w:r>
            <w:r w:rsidR="00752794" w:rsidRPr="006130AB">
              <w:rPr>
                <w:rFonts w:eastAsia="Calibri"/>
                <w:sz w:val="24"/>
                <w:szCs w:val="24"/>
              </w:rPr>
              <w:t>:</w:t>
            </w:r>
          </w:p>
          <w:p w14:paraId="652B95EA" w14:textId="2BF7B669" w:rsidR="00752794" w:rsidRPr="006130AB" w:rsidRDefault="00B40D62" w:rsidP="00752794">
            <w:pPr>
              <w:pStyle w:val="ListParagraph"/>
              <w:numPr>
                <w:ilvl w:val="0"/>
                <w:numId w:val="21"/>
              </w:numPr>
              <w:shd w:val="clear" w:color="auto" w:fill="FFFFFF" w:themeFill="background1"/>
              <w:ind w:right="142"/>
              <w:jc w:val="both"/>
              <w:rPr>
                <w:rFonts w:eastAsia="Calibri"/>
                <w:sz w:val="24"/>
                <w:szCs w:val="24"/>
              </w:rPr>
            </w:pPr>
            <w:r w:rsidRPr="006130AB">
              <w:rPr>
                <w:rFonts w:eastAsia="Calibri"/>
                <w:sz w:val="24"/>
                <w:szCs w:val="24"/>
              </w:rPr>
              <w:t xml:space="preserve">projektu iesniegumiem, kas iesniegti vērtēšanai Eiropas Savienības fondu vadībā iesaistītajā institūcijā pēc 2019. gada 1. </w:t>
            </w:r>
            <w:r w:rsidR="007C5D47" w:rsidRPr="006130AB">
              <w:rPr>
                <w:rFonts w:eastAsia="Calibri"/>
                <w:sz w:val="24"/>
                <w:szCs w:val="24"/>
              </w:rPr>
              <w:t>jūnija</w:t>
            </w:r>
            <w:r w:rsidR="009D183F" w:rsidRPr="006130AB">
              <w:rPr>
                <w:rFonts w:eastAsia="Calibri"/>
                <w:sz w:val="24"/>
                <w:szCs w:val="24"/>
              </w:rPr>
              <w:t>;</w:t>
            </w:r>
          </w:p>
          <w:p w14:paraId="7D2F0242" w14:textId="220C7506" w:rsidR="002C4100" w:rsidRPr="006130AB" w:rsidRDefault="00B40D62" w:rsidP="00752794">
            <w:pPr>
              <w:pStyle w:val="ListParagraph"/>
              <w:numPr>
                <w:ilvl w:val="0"/>
                <w:numId w:val="21"/>
              </w:numPr>
              <w:shd w:val="clear" w:color="auto" w:fill="FFFFFF" w:themeFill="background1"/>
              <w:ind w:right="142"/>
              <w:jc w:val="both"/>
              <w:rPr>
                <w:rFonts w:eastAsia="Calibri"/>
                <w:sz w:val="24"/>
                <w:szCs w:val="24"/>
              </w:rPr>
            </w:pPr>
            <w:r w:rsidRPr="006130AB">
              <w:rPr>
                <w:rFonts w:eastAsia="Calibri"/>
                <w:sz w:val="24"/>
                <w:szCs w:val="24"/>
              </w:rPr>
              <w:t xml:space="preserve">apstiprināto projektu grozījumiem, ar kuriem </w:t>
            </w:r>
            <w:r w:rsidR="009D183F" w:rsidRPr="006130AB">
              <w:rPr>
                <w:rFonts w:eastAsia="Calibri"/>
                <w:sz w:val="24"/>
                <w:szCs w:val="24"/>
              </w:rPr>
              <w:t xml:space="preserve">pēc noteikumu projekta stāšanās spēkā </w:t>
            </w:r>
            <w:r w:rsidR="007551CF" w:rsidRPr="006130AB">
              <w:rPr>
                <w:rFonts w:eastAsia="Calibri"/>
                <w:sz w:val="24"/>
                <w:szCs w:val="24"/>
              </w:rPr>
              <w:t xml:space="preserve">palielina </w:t>
            </w:r>
            <w:r w:rsidRPr="006130AB">
              <w:rPr>
                <w:rFonts w:eastAsia="Calibri"/>
                <w:sz w:val="24"/>
                <w:szCs w:val="24"/>
              </w:rPr>
              <w:t>jau piešķirto valsts budžeta dotāciju</w:t>
            </w:r>
            <w:r w:rsidR="002C4100" w:rsidRPr="006130AB">
              <w:rPr>
                <w:rFonts w:eastAsia="Calibri"/>
                <w:sz w:val="24"/>
                <w:szCs w:val="24"/>
              </w:rPr>
              <w:t>;</w:t>
            </w:r>
          </w:p>
          <w:p w14:paraId="59E277F6" w14:textId="611078ED" w:rsidR="00A91605" w:rsidRPr="006130AB" w:rsidRDefault="00B40D62" w:rsidP="00A91605">
            <w:pPr>
              <w:pStyle w:val="ListParagraph"/>
              <w:numPr>
                <w:ilvl w:val="0"/>
                <w:numId w:val="20"/>
              </w:numPr>
              <w:shd w:val="clear" w:color="auto" w:fill="FFFFFF" w:themeFill="background1"/>
              <w:ind w:right="142"/>
              <w:jc w:val="both"/>
              <w:rPr>
                <w:rFonts w:eastAsia="Calibri"/>
                <w:sz w:val="24"/>
                <w:szCs w:val="24"/>
              </w:rPr>
            </w:pPr>
            <w:r w:rsidRPr="006130AB">
              <w:rPr>
                <w:rFonts w:eastAsia="Calibri"/>
                <w:sz w:val="24"/>
                <w:szCs w:val="24"/>
              </w:rPr>
              <w:t xml:space="preserve">projektu iesniegumiem, kas iesniegti vērtēšanai Eiropas Savienības fondu vadībā iesaistītajā institūcijā līdz 2019. gada 1. </w:t>
            </w:r>
            <w:r w:rsidR="007C5D47" w:rsidRPr="006130AB">
              <w:rPr>
                <w:rFonts w:eastAsia="Calibri"/>
                <w:sz w:val="24"/>
                <w:szCs w:val="24"/>
              </w:rPr>
              <w:t>jūnijam</w:t>
            </w:r>
            <w:r w:rsidRPr="006130AB">
              <w:rPr>
                <w:rFonts w:eastAsia="Calibri"/>
                <w:sz w:val="24"/>
                <w:szCs w:val="24"/>
              </w:rPr>
              <w:t xml:space="preserve">, </w:t>
            </w:r>
            <w:r w:rsidR="001D78FB" w:rsidRPr="006130AB">
              <w:rPr>
                <w:rFonts w:eastAsia="Calibri"/>
                <w:sz w:val="24"/>
                <w:szCs w:val="24"/>
              </w:rPr>
              <w:t xml:space="preserve">VBD apjomu līdz 2019. gada 1. </w:t>
            </w:r>
            <w:r w:rsidR="007C5D47" w:rsidRPr="006130AB">
              <w:rPr>
                <w:rFonts w:eastAsia="Calibri"/>
                <w:sz w:val="24"/>
                <w:szCs w:val="24"/>
              </w:rPr>
              <w:t xml:space="preserve">jūnijam </w:t>
            </w:r>
            <w:r w:rsidR="001D78FB" w:rsidRPr="006130AB">
              <w:rPr>
                <w:rFonts w:eastAsia="Calibri"/>
                <w:sz w:val="24"/>
                <w:szCs w:val="24"/>
              </w:rPr>
              <w:t xml:space="preserve">aprēķina, piemērojot </w:t>
            </w:r>
            <w:r w:rsidR="00FB22F5" w:rsidRPr="006130AB">
              <w:rPr>
                <w:rFonts w:eastAsia="Calibri"/>
                <w:sz w:val="24"/>
                <w:szCs w:val="24"/>
              </w:rPr>
              <w:t>līdzšinējo kārtību</w:t>
            </w:r>
            <w:r w:rsidR="002C4100" w:rsidRPr="006130AB">
              <w:rPr>
                <w:rFonts w:eastAsia="Calibri"/>
                <w:sz w:val="24"/>
                <w:szCs w:val="24"/>
              </w:rPr>
              <w:t>.</w:t>
            </w:r>
          </w:p>
          <w:p w14:paraId="0313276A" w14:textId="0282A597" w:rsidR="002C4100" w:rsidRPr="00E22518" w:rsidRDefault="00D9294A" w:rsidP="00FB22F5">
            <w:pPr>
              <w:shd w:val="clear" w:color="auto" w:fill="FFFFFF" w:themeFill="background1"/>
              <w:ind w:right="142"/>
              <w:jc w:val="both"/>
            </w:pPr>
            <w:r w:rsidRPr="006130AB">
              <w:t xml:space="preserve">Prognozējams, ka noteikumu projekta rezultātā neveidosies papildu izmaksas no valsts budžeta 7-10 milj. </w:t>
            </w:r>
            <w:proofErr w:type="spellStart"/>
            <w:r w:rsidRPr="006130AB">
              <w:rPr>
                <w:i/>
              </w:rPr>
              <w:t>euro</w:t>
            </w:r>
            <w:proofErr w:type="spellEnd"/>
            <w:r w:rsidRPr="006130AB">
              <w:t xml:space="preserve"> apmērā</w:t>
            </w:r>
            <w:r w:rsidR="002C4100" w:rsidRPr="006130AB">
              <w:t>.</w:t>
            </w:r>
          </w:p>
        </w:tc>
      </w:tr>
    </w:tbl>
    <w:p w14:paraId="582E64BD" w14:textId="1B836583" w:rsidR="00EF0BD3" w:rsidRPr="00E22518" w:rsidRDefault="00EF0BD3" w:rsidP="00E22518">
      <w:pPr>
        <w:shd w:val="clear" w:color="auto" w:fill="FFFFFF" w:themeFill="background1"/>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E22518"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E22518" w:rsidRDefault="007559D4" w:rsidP="00E22518">
            <w:pPr>
              <w:pStyle w:val="ListParagraph"/>
              <w:shd w:val="clear" w:color="auto" w:fill="FFFFFF" w:themeFill="background1"/>
              <w:tabs>
                <w:tab w:val="left" w:pos="2268"/>
                <w:tab w:val="left" w:pos="2410"/>
              </w:tabs>
              <w:ind w:left="1080"/>
              <w:jc w:val="center"/>
              <w:rPr>
                <w:b/>
                <w:sz w:val="24"/>
                <w:szCs w:val="24"/>
                <w:lang w:eastAsia="en-US"/>
              </w:rPr>
            </w:pPr>
            <w:bookmarkStart w:id="0" w:name="_Hlk534891312"/>
            <w:r w:rsidRPr="00E22518">
              <w:rPr>
                <w:b/>
                <w:bCs/>
                <w:sz w:val="24"/>
                <w:szCs w:val="24"/>
              </w:rPr>
              <w:t>I. Tiesību akta projekta izstrādes nepieciešamība</w:t>
            </w:r>
          </w:p>
        </w:tc>
      </w:tr>
      <w:tr w:rsidR="00C71FAA" w:rsidRPr="00E22518" w14:paraId="6FEA8164"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E22518" w:rsidRDefault="007559D4" w:rsidP="00E22518">
            <w:pPr>
              <w:shd w:val="clear" w:color="auto" w:fill="FFFFFF" w:themeFill="background1"/>
              <w:spacing w:before="60" w:afterLines="60" w:after="144"/>
              <w:jc w:val="center"/>
              <w:rPr>
                <w:lang w:eastAsia="en-US"/>
              </w:rPr>
            </w:pPr>
            <w:r w:rsidRPr="00E22518">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E22518" w:rsidRDefault="007559D4" w:rsidP="00E22518">
            <w:pPr>
              <w:shd w:val="clear" w:color="auto" w:fill="FFFFFF" w:themeFill="background1"/>
              <w:tabs>
                <w:tab w:val="left" w:pos="1904"/>
              </w:tabs>
              <w:spacing w:before="60" w:afterLines="60" w:after="144"/>
              <w:rPr>
                <w:lang w:eastAsia="en-US"/>
              </w:rPr>
            </w:pPr>
            <w:r w:rsidRPr="00E22518">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152F6" w14:textId="174C7BCC" w:rsidR="00F10BEC" w:rsidRPr="00E22518" w:rsidRDefault="00137D81" w:rsidP="00E22518">
            <w:pPr>
              <w:shd w:val="clear" w:color="auto" w:fill="FFFFFF" w:themeFill="background1"/>
              <w:ind w:right="62"/>
              <w:jc w:val="both"/>
              <w:rPr>
                <w:spacing w:val="-2"/>
              </w:rPr>
            </w:pPr>
            <w:r>
              <w:rPr>
                <w:spacing w:val="-2"/>
              </w:rPr>
              <w:t xml:space="preserve">1. </w:t>
            </w:r>
            <w:r w:rsidR="00D946BC" w:rsidRPr="00E22518">
              <w:rPr>
                <w:spacing w:val="-2"/>
              </w:rPr>
              <w:t>Reģionālās attīstības likuma 14.</w:t>
            </w:r>
            <w:r w:rsidR="00065166" w:rsidRPr="00E22518">
              <w:rPr>
                <w:spacing w:val="-2"/>
              </w:rPr>
              <w:t xml:space="preserve"> </w:t>
            </w:r>
            <w:r w:rsidR="00D946BC" w:rsidRPr="00E22518">
              <w:rPr>
                <w:spacing w:val="-2"/>
              </w:rPr>
              <w:t>panta 6.</w:t>
            </w:r>
            <w:r w:rsidR="00065166" w:rsidRPr="00E22518">
              <w:rPr>
                <w:spacing w:val="-2"/>
              </w:rPr>
              <w:t xml:space="preserve"> </w:t>
            </w:r>
            <w:r w:rsidR="00D946BC" w:rsidRPr="00E22518">
              <w:rPr>
                <w:spacing w:val="-2"/>
              </w:rPr>
              <w:t xml:space="preserve">punkts paredz, ka Ministru kabinets (turpmāk – MK) nosaka kritērijus un kārtību </w:t>
            </w:r>
            <w:r w:rsidR="002C4100" w:rsidRPr="00E22518">
              <w:t xml:space="preserve">VBD </w:t>
            </w:r>
            <w:r w:rsidR="00D946BC" w:rsidRPr="00E22518">
              <w:rPr>
                <w:spacing w:val="-2"/>
              </w:rPr>
              <w:t>piešķiršanai pašvaldībām un plānošanas reģioniem Eiropas Savienības struktūrfondu un Kohēzijas fonda līdzfinansēto projektu īstenošanai.</w:t>
            </w:r>
          </w:p>
          <w:p w14:paraId="3C99B611" w14:textId="22816D0C" w:rsidR="00D946BC" w:rsidRPr="00E22518" w:rsidRDefault="00137D81">
            <w:pPr>
              <w:shd w:val="clear" w:color="auto" w:fill="FFFFFF" w:themeFill="background1"/>
              <w:ind w:right="62"/>
              <w:jc w:val="both"/>
              <w:rPr>
                <w:spacing w:val="-2"/>
              </w:rPr>
            </w:pPr>
            <w:r>
              <w:rPr>
                <w:spacing w:val="-2"/>
              </w:rPr>
              <w:t xml:space="preserve">2. </w:t>
            </w:r>
            <w:r w:rsidR="00D946BC" w:rsidRPr="00E22518">
              <w:rPr>
                <w:spacing w:val="-2"/>
              </w:rPr>
              <w:t>MK 2018. gada 18.</w:t>
            </w:r>
            <w:r w:rsidR="00065166" w:rsidRPr="00E22518">
              <w:rPr>
                <w:spacing w:val="-2"/>
              </w:rPr>
              <w:t xml:space="preserve"> </w:t>
            </w:r>
            <w:r w:rsidR="00D946BC" w:rsidRPr="00E22518">
              <w:rPr>
                <w:spacing w:val="-2"/>
              </w:rPr>
              <w:t>decembra sēdes protokol</w:t>
            </w:r>
            <w:r>
              <w:rPr>
                <w:spacing w:val="-2"/>
              </w:rPr>
              <w:t>ā</w:t>
            </w:r>
            <w:r w:rsidR="00D946BC" w:rsidRPr="00E22518">
              <w:rPr>
                <w:spacing w:val="-2"/>
              </w:rPr>
              <w:t xml:space="preserve"> Nr.</w:t>
            </w:r>
            <w:r w:rsidR="00065166" w:rsidRPr="00E22518">
              <w:rPr>
                <w:spacing w:val="-2"/>
              </w:rPr>
              <w:t xml:space="preserve"> </w:t>
            </w:r>
            <w:r w:rsidR="00D946BC" w:rsidRPr="00E22518">
              <w:rPr>
                <w:spacing w:val="-2"/>
              </w:rPr>
              <w:t xml:space="preserve">97 </w:t>
            </w:r>
            <w:r w:rsidR="00D946BC" w:rsidRPr="00E22518">
              <w:t xml:space="preserve">"Informatīvais ziņojums "Informatīvais ziņojums par valsts budžeta dotāciju pieejamību pašvaldību īstenotajos Eiropas Savienības struktūrfondu un Kohēzijas fonda 2014.-2020.gada plānošanas perioda projektos"" </w:t>
            </w:r>
            <w:r w:rsidR="007A50BF">
              <w:t xml:space="preserve">(turpmāk – FM Informatīvais ziņojums) </w:t>
            </w:r>
            <w:r w:rsidR="00D946BC" w:rsidRPr="00E22518">
              <w:t xml:space="preserve">uzdots līdz likumprojekta "Par valsts budžetu 2019. gadam" un likumprojekta "Par vidēja termiņa budžeta ietvaru 2019., 2020. un 2021. gadam" sagatavošanai Vides aizsardzības un reģionālās attīstības ministrijai </w:t>
            </w:r>
            <w:r>
              <w:t xml:space="preserve">(turpmāk – VARAM) </w:t>
            </w:r>
            <w:r w:rsidR="00D946BC" w:rsidRPr="00E22518">
              <w:t xml:space="preserve">kopīgi </w:t>
            </w:r>
            <w:r w:rsidR="00D946BC" w:rsidRPr="00E22518">
              <w:lastRenderedPageBreak/>
              <w:t xml:space="preserve">ar Finanšu ministriju, Latvijas Pašvaldību savienību un Latvijas Lielo pilsētu asociāciju vienoties par nepieciešamajiem grozījumiem </w:t>
            </w:r>
            <w:r w:rsidR="00C843F4" w:rsidRPr="00E22518">
              <w:t>Ministru kabineta 2015. gada 27. janvāra noteikumos Nr. 42 "Noteikumi par kritērijiem un kārtību valsts budžeta dotācijas piešķiršanai pašvaldībām Eiropas Savienības struktūrfondu un Kohēzijas fonda 2014.–2020. gada plānošanas periodā līdzfinansēto projektu īstenošanai"</w:t>
            </w:r>
            <w:r w:rsidR="00C843F4">
              <w:t xml:space="preserve"> (turpmāk - </w:t>
            </w:r>
            <w:r w:rsidR="001153BB" w:rsidRPr="00E22518">
              <w:t>MK</w:t>
            </w:r>
            <w:r w:rsidR="00D946BC" w:rsidRPr="00E22518">
              <w:t xml:space="preserve"> </w:t>
            </w:r>
            <w:r w:rsidR="00C843F4" w:rsidRPr="00E22518">
              <w:t>noteikum</w:t>
            </w:r>
            <w:r w:rsidR="00C843F4">
              <w:t>i</w:t>
            </w:r>
            <w:r w:rsidR="00C843F4" w:rsidRPr="00E22518">
              <w:t xml:space="preserve"> </w:t>
            </w:r>
            <w:r w:rsidR="00D946BC" w:rsidRPr="00E22518">
              <w:t>Nr. 42</w:t>
            </w:r>
            <w:r w:rsidR="00C843F4">
              <w:t>)</w:t>
            </w:r>
            <w:r w:rsidR="009D55EF" w:rsidRPr="00E22518">
              <w:t>.</w:t>
            </w:r>
          </w:p>
        </w:tc>
      </w:tr>
      <w:bookmarkEnd w:id="0"/>
      <w:tr w:rsidR="00C71FAA" w:rsidRPr="00E22518" w14:paraId="449F934A"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77777777" w:rsidR="00750FB6" w:rsidRPr="00E22518" w:rsidRDefault="007559D4" w:rsidP="00E22518">
            <w:pPr>
              <w:shd w:val="clear" w:color="auto" w:fill="FFFFFF" w:themeFill="background1"/>
              <w:spacing w:before="60" w:afterLines="60" w:after="144"/>
              <w:jc w:val="center"/>
              <w:rPr>
                <w:lang w:eastAsia="en-US"/>
              </w:rPr>
            </w:pPr>
            <w:r w:rsidRPr="00E22518">
              <w:lastRenderedPageBreak/>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7C8ADEA" w14:textId="77777777" w:rsidR="004A300C" w:rsidRPr="00E22518" w:rsidRDefault="007559D4" w:rsidP="00E22518">
            <w:pPr>
              <w:shd w:val="clear" w:color="auto" w:fill="FFFFFF" w:themeFill="background1"/>
              <w:spacing w:before="60" w:afterLines="60" w:after="144"/>
              <w:jc w:val="both"/>
              <w:rPr>
                <w:lang w:eastAsia="en-US"/>
              </w:rPr>
            </w:pPr>
            <w:r w:rsidRPr="00E22518">
              <w:t>Pašreizējā situācija un problēmas, kuru risināšanai tiesību akta projekts izstrādāts, tiesiskā regulējuma mērķis un būtība</w:t>
            </w:r>
          </w:p>
          <w:p w14:paraId="48C4D874" w14:textId="77777777" w:rsidR="004A300C" w:rsidRPr="00E22518" w:rsidRDefault="004A300C" w:rsidP="00E22518">
            <w:pPr>
              <w:shd w:val="clear" w:color="auto" w:fill="FFFFFF" w:themeFill="background1"/>
              <w:rPr>
                <w:lang w:eastAsia="en-US"/>
              </w:rPr>
            </w:pPr>
          </w:p>
          <w:p w14:paraId="42B0A9F0" w14:textId="77777777" w:rsidR="004A300C" w:rsidRPr="00E22518" w:rsidRDefault="004A300C" w:rsidP="00E22518">
            <w:pPr>
              <w:shd w:val="clear" w:color="auto" w:fill="FFFFFF" w:themeFill="background1"/>
              <w:rPr>
                <w:lang w:eastAsia="en-US"/>
              </w:rPr>
            </w:pPr>
          </w:p>
          <w:p w14:paraId="0E744730" w14:textId="77777777" w:rsidR="004A300C" w:rsidRPr="00E22518" w:rsidRDefault="004A300C" w:rsidP="00E22518">
            <w:pPr>
              <w:shd w:val="clear" w:color="auto" w:fill="FFFFFF" w:themeFill="background1"/>
              <w:rPr>
                <w:lang w:eastAsia="en-US"/>
              </w:rPr>
            </w:pPr>
          </w:p>
          <w:p w14:paraId="1DDBBE9A" w14:textId="77777777" w:rsidR="004A300C" w:rsidRPr="00E22518" w:rsidRDefault="004A300C" w:rsidP="00E22518">
            <w:pPr>
              <w:shd w:val="clear" w:color="auto" w:fill="FFFFFF" w:themeFill="background1"/>
              <w:rPr>
                <w:lang w:eastAsia="en-US"/>
              </w:rPr>
            </w:pPr>
          </w:p>
          <w:p w14:paraId="122BDC56" w14:textId="77777777" w:rsidR="004A300C" w:rsidRPr="00E22518" w:rsidRDefault="004A300C" w:rsidP="00E22518">
            <w:pPr>
              <w:shd w:val="clear" w:color="auto" w:fill="FFFFFF" w:themeFill="background1"/>
              <w:rPr>
                <w:lang w:eastAsia="en-US"/>
              </w:rPr>
            </w:pPr>
          </w:p>
          <w:p w14:paraId="37B0802C" w14:textId="77777777" w:rsidR="004A300C" w:rsidRPr="00E22518" w:rsidRDefault="004A300C" w:rsidP="00E22518">
            <w:pPr>
              <w:shd w:val="clear" w:color="auto" w:fill="FFFFFF" w:themeFill="background1"/>
              <w:rPr>
                <w:lang w:eastAsia="en-US"/>
              </w:rPr>
            </w:pPr>
          </w:p>
          <w:p w14:paraId="0931E2EB" w14:textId="77777777" w:rsidR="004A300C" w:rsidRPr="00E22518" w:rsidRDefault="004A300C" w:rsidP="00E22518">
            <w:pPr>
              <w:shd w:val="clear" w:color="auto" w:fill="FFFFFF" w:themeFill="background1"/>
              <w:rPr>
                <w:lang w:eastAsia="en-US"/>
              </w:rPr>
            </w:pPr>
          </w:p>
          <w:p w14:paraId="59DAF70F" w14:textId="77777777" w:rsidR="004A300C" w:rsidRPr="00E22518" w:rsidRDefault="004A300C" w:rsidP="00E22518">
            <w:pPr>
              <w:shd w:val="clear" w:color="auto" w:fill="FFFFFF" w:themeFill="background1"/>
              <w:rPr>
                <w:lang w:eastAsia="en-US"/>
              </w:rPr>
            </w:pPr>
          </w:p>
          <w:p w14:paraId="4044E24D" w14:textId="77777777" w:rsidR="004A300C" w:rsidRPr="00E22518" w:rsidRDefault="004A300C" w:rsidP="00E22518">
            <w:pPr>
              <w:shd w:val="clear" w:color="auto" w:fill="FFFFFF" w:themeFill="background1"/>
              <w:rPr>
                <w:lang w:eastAsia="en-US"/>
              </w:rPr>
            </w:pPr>
          </w:p>
          <w:p w14:paraId="2DAA745F" w14:textId="77777777" w:rsidR="004A300C" w:rsidRPr="00E22518" w:rsidRDefault="004A300C" w:rsidP="00E22518">
            <w:pPr>
              <w:shd w:val="clear" w:color="auto" w:fill="FFFFFF" w:themeFill="background1"/>
              <w:rPr>
                <w:lang w:eastAsia="en-US"/>
              </w:rPr>
            </w:pPr>
          </w:p>
          <w:p w14:paraId="7F3F3687" w14:textId="77777777" w:rsidR="004A300C" w:rsidRPr="00E22518" w:rsidRDefault="004A300C" w:rsidP="00E22518">
            <w:pPr>
              <w:shd w:val="clear" w:color="auto" w:fill="FFFFFF" w:themeFill="background1"/>
              <w:rPr>
                <w:lang w:eastAsia="en-US"/>
              </w:rPr>
            </w:pPr>
          </w:p>
          <w:p w14:paraId="371BC6F7" w14:textId="77777777" w:rsidR="004A300C" w:rsidRPr="00E22518" w:rsidRDefault="004A300C" w:rsidP="00E22518">
            <w:pPr>
              <w:shd w:val="clear" w:color="auto" w:fill="FFFFFF" w:themeFill="background1"/>
              <w:rPr>
                <w:lang w:eastAsia="en-US"/>
              </w:rPr>
            </w:pPr>
          </w:p>
          <w:p w14:paraId="3FACB730" w14:textId="77777777" w:rsidR="004A300C" w:rsidRPr="00E22518" w:rsidRDefault="004A300C" w:rsidP="00E22518">
            <w:pPr>
              <w:shd w:val="clear" w:color="auto" w:fill="FFFFFF" w:themeFill="background1"/>
              <w:rPr>
                <w:lang w:eastAsia="en-US"/>
              </w:rPr>
            </w:pPr>
          </w:p>
          <w:p w14:paraId="5FFC94E3" w14:textId="77777777" w:rsidR="004A300C" w:rsidRPr="00E22518" w:rsidRDefault="004A300C" w:rsidP="00E22518">
            <w:pPr>
              <w:shd w:val="clear" w:color="auto" w:fill="FFFFFF" w:themeFill="background1"/>
              <w:rPr>
                <w:lang w:eastAsia="en-US"/>
              </w:rPr>
            </w:pPr>
          </w:p>
          <w:p w14:paraId="77E8AA3E" w14:textId="77777777" w:rsidR="004A300C" w:rsidRPr="00E22518" w:rsidRDefault="004A300C" w:rsidP="00E22518">
            <w:pPr>
              <w:shd w:val="clear" w:color="auto" w:fill="FFFFFF" w:themeFill="background1"/>
              <w:rPr>
                <w:lang w:eastAsia="en-US"/>
              </w:rPr>
            </w:pPr>
          </w:p>
          <w:p w14:paraId="33D80E4D" w14:textId="77777777" w:rsidR="004A300C" w:rsidRPr="00E22518" w:rsidRDefault="004A300C" w:rsidP="00E22518">
            <w:pPr>
              <w:shd w:val="clear" w:color="auto" w:fill="FFFFFF" w:themeFill="background1"/>
              <w:rPr>
                <w:lang w:eastAsia="en-US"/>
              </w:rPr>
            </w:pPr>
          </w:p>
          <w:p w14:paraId="02A96A88" w14:textId="77777777" w:rsidR="004A300C" w:rsidRPr="00E22518" w:rsidRDefault="004A300C" w:rsidP="00E22518">
            <w:pPr>
              <w:shd w:val="clear" w:color="auto" w:fill="FFFFFF" w:themeFill="background1"/>
              <w:rPr>
                <w:lang w:eastAsia="en-US"/>
              </w:rPr>
            </w:pPr>
          </w:p>
          <w:p w14:paraId="38688C9E" w14:textId="77777777" w:rsidR="004A300C" w:rsidRPr="00E22518" w:rsidRDefault="004A300C" w:rsidP="00E22518">
            <w:pPr>
              <w:shd w:val="clear" w:color="auto" w:fill="FFFFFF" w:themeFill="background1"/>
              <w:rPr>
                <w:lang w:eastAsia="en-US"/>
              </w:rPr>
            </w:pPr>
          </w:p>
          <w:p w14:paraId="1DE75F7F" w14:textId="77777777" w:rsidR="004A300C" w:rsidRPr="00E22518" w:rsidRDefault="004A300C" w:rsidP="00E22518">
            <w:pPr>
              <w:shd w:val="clear" w:color="auto" w:fill="FFFFFF" w:themeFill="background1"/>
              <w:rPr>
                <w:lang w:eastAsia="en-US"/>
              </w:rPr>
            </w:pPr>
          </w:p>
          <w:p w14:paraId="50474A4D" w14:textId="77777777" w:rsidR="00750FB6" w:rsidRPr="00E22518" w:rsidRDefault="00750FB6" w:rsidP="00E22518">
            <w:pPr>
              <w:shd w:val="clear" w:color="auto" w:fill="FFFFFF" w:themeFill="background1"/>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429040F" w14:textId="245B5198" w:rsidR="007165BC" w:rsidRPr="007E0B47" w:rsidRDefault="001153BB" w:rsidP="00E22518">
            <w:pPr>
              <w:shd w:val="clear" w:color="auto" w:fill="FFFFFF" w:themeFill="background1"/>
              <w:jc w:val="both"/>
            </w:pPr>
            <w:r w:rsidRPr="007E0B47">
              <w:t>MK noteikumu Nr.</w:t>
            </w:r>
            <w:r w:rsidR="00065166" w:rsidRPr="007E0B47">
              <w:t xml:space="preserve"> </w:t>
            </w:r>
            <w:r w:rsidRPr="007E0B47">
              <w:t>42 8.</w:t>
            </w:r>
            <w:r w:rsidR="00065166" w:rsidRPr="007E0B47">
              <w:t xml:space="preserve"> </w:t>
            </w:r>
            <w:r w:rsidRPr="007E0B47">
              <w:t xml:space="preserve">punktā paredzēts, ka Eiropas Savienības fondu projektos </w:t>
            </w:r>
            <w:r w:rsidR="002C4100" w:rsidRPr="007E0B47">
              <w:t xml:space="preserve">VBD </w:t>
            </w:r>
            <w:r w:rsidRPr="007E0B47">
              <w:t xml:space="preserve">aprēķina no nacionālā publiskā </w:t>
            </w:r>
            <w:r w:rsidRPr="006130AB">
              <w:t>finansējuma attiecināmo izmaksu īpatsvara.</w:t>
            </w:r>
            <w:r w:rsidR="00BB163B" w:rsidRPr="006130AB">
              <w:t xml:space="preserve"> </w:t>
            </w:r>
            <w:r w:rsidR="009C4B2C" w:rsidRPr="006130AB">
              <w:t xml:space="preserve">Ar noteikumu projektu </w:t>
            </w:r>
            <w:r w:rsidR="00BB163B" w:rsidRPr="006130AB">
              <w:t>tiek salāgota MK noteikumu Nr. 42 2.punkta un 8.punkta redakcija, nosakot, ka VBD aprēķinā ņem vērā nevis kopējās projekta attiecināmās izmaksas, bet gan projektam paredzēto Eiropas Savienības fonda finansējuma apmēru</w:t>
            </w:r>
            <w:r w:rsidR="00384C72" w:rsidRPr="006130AB">
              <w:t xml:space="preserve"> un minimālo nacionālo publisko finansējumu, ko iegulda pašvaldība</w:t>
            </w:r>
            <w:r w:rsidR="00BB163B" w:rsidRPr="006130AB">
              <w:t xml:space="preserve">, nodrošinot, ka VBD apjoms un līdz ar to arī ietekme uz valsts budžetu būs precīzi prognozējama. </w:t>
            </w:r>
            <w:r w:rsidR="00F038C2" w:rsidRPr="006130AB">
              <w:t>MK noteikumu Nr.</w:t>
            </w:r>
            <w:r w:rsidR="00065166" w:rsidRPr="006130AB">
              <w:t xml:space="preserve"> </w:t>
            </w:r>
            <w:r w:rsidR="00F038C2" w:rsidRPr="006130AB">
              <w:t>42 anotācij</w:t>
            </w:r>
            <w:r w:rsidR="00B45C2D" w:rsidRPr="006130AB">
              <w:t xml:space="preserve">as III. sadaļas </w:t>
            </w:r>
            <w:r w:rsidR="00F2049D" w:rsidRPr="006130AB">
              <w:t>"</w:t>
            </w:r>
            <w:r w:rsidR="00B45C2D" w:rsidRPr="006130AB">
              <w:t>Tiesību akta projekta ietekme uz valsts budžetu un pašvaldību budžetiem</w:t>
            </w:r>
            <w:r w:rsidR="00F2049D" w:rsidRPr="006130AB">
              <w:t>"</w:t>
            </w:r>
            <w:r w:rsidR="007165BC" w:rsidRPr="006130AB">
              <w:t xml:space="preserve"> </w:t>
            </w:r>
            <w:r w:rsidR="00B45C2D" w:rsidRPr="006130AB">
              <w:t>8.</w:t>
            </w:r>
            <w:r w:rsidR="00ED2619" w:rsidRPr="006130AB">
              <w:t xml:space="preserve"> </w:t>
            </w:r>
            <w:r w:rsidR="00B45C2D" w:rsidRPr="006130AB">
              <w:t xml:space="preserve">punktā </w:t>
            </w:r>
            <w:r w:rsidR="00F2049D" w:rsidRPr="006130AB">
              <w:t>"</w:t>
            </w:r>
            <w:r w:rsidR="00C60ED2" w:rsidRPr="006130AB">
              <w:t>Cit</w:t>
            </w:r>
            <w:r w:rsidR="009D6445" w:rsidRPr="006130AB">
              <w:t>a</w:t>
            </w:r>
            <w:r w:rsidR="00C60ED2" w:rsidRPr="006130AB">
              <w:t xml:space="preserve"> informācija</w:t>
            </w:r>
            <w:r w:rsidR="00F2049D" w:rsidRPr="006130AB">
              <w:t>"</w:t>
            </w:r>
            <w:r w:rsidR="00C60ED2" w:rsidRPr="006130AB">
              <w:t xml:space="preserve"> </w:t>
            </w:r>
            <w:r w:rsidR="007165BC" w:rsidRPr="006130AB">
              <w:t>ir minēts, ka prognozējamais VBD apmērs 2014</w:t>
            </w:r>
            <w:r w:rsidR="00065166" w:rsidRPr="006130AB">
              <w:t>.</w:t>
            </w:r>
            <w:r w:rsidR="007165BC" w:rsidRPr="006130AB">
              <w:t>-.2020.</w:t>
            </w:r>
            <w:r w:rsidR="00065166" w:rsidRPr="006130AB">
              <w:t xml:space="preserve"> </w:t>
            </w:r>
            <w:r w:rsidR="007165BC" w:rsidRPr="006130AB">
              <w:t xml:space="preserve">gada plānošanas periodā būs 29,6 milj. </w:t>
            </w:r>
            <w:proofErr w:type="spellStart"/>
            <w:r w:rsidR="002C4100" w:rsidRPr="006130AB">
              <w:rPr>
                <w:i/>
              </w:rPr>
              <w:t>euro</w:t>
            </w:r>
            <w:proofErr w:type="spellEnd"/>
            <w:r w:rsidR="007165BC" w:rsidRPr="006130AB">
              <w:rPr>
                <w:i/>
              </w:rPr>
              <w:t xml:space="preserve">, </w:t>
            </w:r>
            <w:r w:rsidR="00D922BC" w:rsidRPr="006130AB">
              <w:t>kas</w:t>
            </w:r>
            <w:r w:rsidR="00D922BC" w:rsidRPr="006130AB">
              <w:rPr>
                <w:i/>
              </w:rPr>
              <w:t xml:space="preserve"> </w:t>
            </w:r>
            <w:r w:rsidR="007165BC" w:rsidRPr="006130AB">
              <w:t>tiks izmaksāts no 2016.gada līdz 2022.</w:t>
            </w:r>
            <w:r w:rsidR="00ED2619" w:rsidRPr="006130AB">
              <w:t xml:space="preserve"> </w:t>
            </w:r>
            <w:r w:rsidR="007165BC" w:rsidRPr="006130AB">
              <w:t>gadam (</w:t>
            </w:r>
            <w:r w:rsidR="00065166" w:rsidRPr="006130AB">
              <w:t>septiņus</w:t>
            </w:r>
            <w:r w:rsidR="007165BC" w:rsidRPr="006130AB">
              <w:t xml:space="preserve"> gadus). Vienlaikus</w:t>
            </w:r>
            <w:r w:rsidR="007165BC" w:rsidRPr="007E0B47">
              <w:t xml:space="preserve"> MK noteikumu Nr.</w:t>
            </w:r>
            <w:r w:rsidR="00065166" w:rsidRPr="007E0B47">
              <w:t xml:space="preserve"> </w:t>
            </w:r>
            <w:r w:rsidR="007165BC" w:rsidRPr="007E0B47">
              <w:t>42 anotācijā ir minēts, ka MK noteikumi Nr.</w:t>
            </w:r>
            <w:r w:rsidR="00065166" w:rsidRPr="007E0B47">
              <w:t xml:space="preserve"> </w:t>
            </w:r>
            <w:r w:rsidR="007165BC" w:rsidRPr="007E0B47">
              <w:t xml:space="preserve">42 nosaka tikai kritērijus </w:t>
            </w:r>
            <w:r w:rsidR="002C4100" w:rsidRPr="007E0B47">
              <w:t>VBD</w:t>
            </w:r>
            <w:r w:rsidR="007165BC" w:rsidRPr="007E0B47">
              <w:t xml:space="preserve"> piešķiršanai pašvaldībām Eiropas Savienības fondu 2014.–2020.</w:t>
            </w:r>
            <w:r w:rsidR="00065166" w:rsidRPr="007E0B47">
              <w:t xml:space="preserve"> </w:t>
            </w:r>
            <w:r w:rsidR="007165BC" w:rsidRPr="007E0B47">
              <w:t>gada plānošanas perioda līdzfinansēto projekt</w:t>
            </w:r>
            <w:r w:rsidR="00E422CD" w:rsidRPr="007E0B47">
              <w:t>u</w:t>
            </w:r>
            <w:r w:rsidR="007165BC" w:rsidRPr="007E0B47">
              <w:t xml:space="preserve"> īstenošanai</w:t>
            </w:r>
            <w:r w:rsidR="00E422CD" w:rsidRPr="007E0B47">
              <w:t>.</w:t>
            </w:r>
            <w:r w:rsidR="007165BC" w:rsidRPr="007E0B47">
              <w:t xml:space="preserve"> </w:t>
            </w:r>
            <w:r w:rsidR="00E422CD" w:rsidRPr="007E0B47">
              <w:t>N</w:t>
            </w:r>
            <w:r w:rsidR="007165BC" w:rsidRPr="007E0B47">
              <w:t>oteikumu projekts tieši neietekmē valsts un pašvaldību budžetu. Ietekm</w:t>
            </w:r>
            <w:r w:rsidR="00E422CD" w:rsidRPr="007E0B47">
              <w:t>i</w:t>
            </w:r>
            <w:r w:rsidR="007165BC" w:rsidRPr="007E0B47">
              <w:t xml:space="preserve"> uz budžetu radīs tie MK notei</w:t>
            </w:r>
            <w:bookmarkStart w:id="1" w:name="_GoBack"/>
            <w:bookmarkEnd w:id="1"/>
            <w:r w:rsidR="007165BC" w:rsidRPr="007E0B47">
              <w:t xml:space="preserve">kumi, kas paredzēs kārtību, kādā piešķir un administrē Eiropas Savienības un valsts budžeta finansējumu specifiskajos atbalsta mērķos, jo ar šiem noteikumiem tiks apstiprināts arī finansējums, no kura būs atkarīgs </w:t>
            </w:r>
            <w:r w:rsidR="002C4100" w:rsidRPr="007E0B47">
              <w:t xml:space="preserve">VBD </w:t>
            </w:r>
            <w:r w:rsidR="007165BC" w:rsidRPr="007E0B47">
              <w:t>apmērs.</w:t>
            </w:r>
          </w:p>
          <w:p w14:paraId="2493BDCB" w14:textId="5E55F7A7" w:rsidR="007165BC" w:rsidRPr="007E0B47" w:rsidRDefault="007165BC" w:rsidP="00E22518">
            <w:pPr>
              <w:shd w:val="clear" w:color="auto" w:fill="FFFFFF" w:themeFill="background1"/>
              <w:jc w:val="both"/>
            </w:pPr>
            <w:r w:rsidRPr="007E0B47">
              <w:t xml:space="preserve">Tomēr faktiskie apstākļi </w:t>
            </w:r>
            <w:r w:rsidR="00C60ED2" w:rsidRPr="007E0B47">
              <w:t xml:space="preserve">un FM Informatīvajā ziņojumā sniegta informācija </w:t>
            </w:r>
            <w:r w:rsidRPr="007E0B47">
              <w:t>liecina, ka MK noteikumos, kas paredz kārtību, kādā piešķir un administrē Eiropas Savienības un valsts budžeta finansējumu specifiskajos atbalsta mērķos, nav precīzi izvērtēta ietekme uz valsts budžetu, un atsevišķos darbības progra</w:t>
            </w:r>
            <w:r w:rsidR="002C7BC4" w:rsidRPr="007E0B47">
              <w:t>mmas “Izaugsme un nodarbinātība” specifiskajos atbalsta mērķos VBD apmērs vairākkārt pārsniedz to vidējo VBD apmēru, kas sākotnēji tika prognozēts</w:t>
            </w:r>
            <w:r w:rsidR="00656827" w:rsidRPr="007E0B47">
              <w:t xml:space="preserve"> </w:t>
            </w:r>
            <w:r w:rsidR="00043A18" w:rsidRPr="007E0B47">
              <w:t>(Tabula)</w:t>
            </w:r>
            <w:r w:rsidR="00603572" w:rsidRPr="007E0B47">
              <w:t xml:space="preserve">. </w:t>
            </w:r>
            <w:r w:rsidR="00603572" w:rsidRPr="006130AB">
              <w:t>VBD</w:t>
            </w:r>
            <w:r w:rsidR="00BA7368" w:rsidRPr="006130AB">
              <w:t xml:space="preserve"> Eiropas Savienības projektu finansēšanai pašvaldībās ir radījusi negatīvu ietekmi uz vispārējās valdības budžeta bilanci </w:t>
            </w:r>
            <w:r w:rsidR="00EF56B4" w:rsidRPr="006130AB">
              <w:t>VBD</w:t>
            </w:r>
            <w:r w:rsidR="00BA7368" w:rsidRPr="006130AB">
              <w:t xml:space="preserve"> izmaksāšanas gados (no 2016.</w:t>
            </w:r>
            <w:r w:rsidR="00ED2619" w:rsidRPr="006130AB">
              <w:t xml:space="preserve"> </w:t>
            </w:r>
            <w:r w:rsidR="00BA7368" w:rsidRPr="006130AB">
              <w:t>gada līdz 2018.</w:t>
            </w:r>
            <w:r w:rsidR="00ED2619" w:rsidRPr="006130AB">
              <w:t xml:space="preserve"> </w:t>
            </w:r>
            <w:r w:rsidR="00BA7368" w:rsidRPr="006130AB">
              <w:t xml:space="preserve">gadam) provizoriski par 31,4 milj. </w:t>
            </w:r>
            <w:proofErr w:type="spellStart"/>
            <w:r w:rsidR="00BA7368" w:rsidRPr="006130AB">
              <w:rPr>
                <w:i/>
              </w:rPr>
              <w:t>euro</w:t>
            </w:r>
            <w:proofErr w:type="spellEnd"/>
            <w:r w:rsidR="00BA7368" w:rsidRPr="006130AB">
              <w:t xml:space="preserve">. Ja grozījumi netiktu veikti, </w:t>
            </w:r>
            <w:r w:rsidR="00EF56B4" w:rsidRPr="006130AB">
              <w:t>VBD</w:t>
            </w:r>
            <w:r w:rsidR="00BA7368" w:rsidRPr="006130AB">
              <w:t xml:space="preserve"> palielinājuma nepieciešamība samazinātu valsts budžeta fiskālo telpu no 2019. līdz 2022.</w:t>
            </w:r>
            <w:r w:rsidR="00ED2619" w:rsidRPr="006130AB">
              <w:t xml:space="preserve"> </w:t>
            </w:r>
            <w:r w:rsidR="00BA7368" w:rsidRPr="006130AB">
              <w:t>gadam</w:t>
            </w:r>
            <w:r w:rsidR="00656827" w:rsidRPr="006130AB">
              <w:t xml:space="preserve">. </w:t>
            </w:r>
            <w:r w:rsidR="00043A18" w:rsidRPr="006130AB">
              <w:t>T</w:t>
            </w:r>
            <w:r w:rsidR="00656827" w:rsidRPr="006130AB">
              <w:t>abulā redzams</w:t>
            </w:r>
            <w:r w:rsidR="00837850" w:rsidRPr="006130AB">
              <w:t xml:space="preserve"> (informācija apkopota</w:t>
            </w:r>
            <w:r w:rsidR="00213B54" w:rsidRPr="006130AB">
              <w:t xml:space="preserve"> 2019. gada</w:t>
            </w:r>
            <w:r w:rsidR="00837850" w:rsidRPr="006130AB">
              <w:t xml:space="preserve"> 4.</w:t>
            </w:r>
            <w:r w:rsidR="00065166" w:rsidRPr="006130AB">
              <w:t xml:space="preserve"> </w:t>
            </w:r>
            <w:r w:rsidR="00837850" w:rsidRPr="006130AB">
              <w:t>janvārī</w:t>
            </w:r>
            <w:r w:rsidR="00837850" w:rsidRPr="007E0B47">
              <w:t>)</w:t>
            </w:r>
            <w:r w:rsidR="00656827" w:rsidRPr="007E0B47">
              <w:t>, ka</w:t>
            </w:r>
            <w:r w:rsidR="00B37F37" w:rsidRPr="007E0B47">
              <w:t xml:space="preserve"> kopumā tajos specifiskajos atbalsta mērķos, kuros paredzēt</w:t>
            </w:r>
            <w:r w:rsidR="009C4B2C" w:rsidRPr="007E0B47">
              <w:t>a</w:t>
            </w:r>
            <w:r w:rsidR="00B37F37" w:rsidRPr="007E0B47">
              <w:t xml:space="preserve"> VBD, projektos VBD naudas izteiksmē ir izmantota par </w:t>
            </w:r>
            <w:r w:rsidR="00296784" w:rsidRPr="007E0B47">
              <w:rPr>
                <w:b/>
              </w:rPr>
              <w:t>117</w:t>
            </w:r>
            <w:r w:rsidR="00B37F37" w:rsidRPr="007E0B47">
              <w:rPr>
                <w:b/>
              </w:rPr>
              <w:t>%</w:t>
            </w:r>
            <w:r w:rsidR="00B37F37" w:rsidRPr="007E0B47">
              <w:t xml:space="preserve"> vairāk, nekā tā būtu izmantot</w:t>
            </w:r>
            <w:r w:rsidR="00837850" w:rsidRPr="007E0B47">
              <w:t>a</w:t>
            </w:r>
            <w:r w:rsidR="00B37F37" w:rsidRPr="007E0B47">
              <w:t xml:space="preserve"> pie 2007.-2013. gada plānošanas perioda nosacījumiem. Atsevišķos specifiskajos atbalsta mērķos VBD izmantošanas intensitāte ir </w:t>
            </w:r>
            <w:r w:rsidR="00B37F37" w:rsidRPr="007E0B47">
              <w:lastRenderedPageBreak/>
              <w:t>divas līdz četras reizes lielāka, nekā 2007.-2013. gada plānošanas periodā.</w:t>
            </w:r>
          </w:p>
          <w:p w14:paraId="4ECC63EA" w14:textId="06D67D64" w:rsidR="00656827" w:rsidRPr="007E0B47" w:rsidRDefault="00043A18" w:rsidP="00E22518">
            <w:pPr>
              <w:pStyle w:val="ListParagraph"/>
              <w:shd w:val="clear" w:color="auto" w:fill="FFFFFF" w:themeFill="background1"/>
              <w:spacing w:after="120"/>
              <w:ind w:left="0" w:right="62"/>
              <w:contextualSpacing w:val="0"/>
              <w:jc w:val="right"/>
            </w:pPr>
            <w:r w:rsidRPr="007E0B47">
              <w:t>T</w:t>
            </w:r>
            <w:r w:rsidR="00656827" w:rsidRPr="007E0B47">
              <w:t>abula</w:t>
            </w:r>
          </w:p>
          <w:p w14:paraId="21C4496D" w14:textId="1E488C63" w:rsidR="00656827" w:rsidRPr="007E0B47" w:rsidRDefault="002C4100" w:rsidP="00E22518">
            <w:pPr>
              <w:pStyle w:val="ListParagraph"/>
              <w:shd w:val="clear" w:color="auto" w:fill="FFFFFF" w:themeFill="background1"/>
              <w:spacing w:after="120"/>
              <w:ind w:left="0" w:right="62"/>
              <w:contextualSpacing w:val="0"/>
              <w:jc w:val="center"/>
              <w:rPr>
                <w:b/>
              </w:rPr>
            </w:pPr>
            <w:r w:rsidRPr="007E0B47">
              <w:rPr>
                <w:b/>
              </w:rPr>
              <w:t>VBD</w:t>
            </w:r>
            <w:r w:rsidR="00B37F37" w:rsidRPr="007E0B47">
              <w:rPr>
                <w:b/>
              </w:rPr>
              <w:t xml:space="preserve"> izmantošanas intensitāte</w:t>
            </w:r>
          </w:p>
          <w:tbl>
            <w:tblPr>
              <w:tblStyle w:val="TableGrid"/>
              <w:tblW w:w="0" w:type="auto"/>
              <w:tblLook w:val="04A0" w:firstRow="1" w:lastRow="0" w:firstColumn="1" w:lastColumn="0" w:noHBand="0" w:noVBand="1"/>
            </w:tblPr>
            <w:tblGrid>
              <w:gridCol w:w="1065"/>
              <w:gridCol w:w="1398"/>
              <w:gridCol w:w="1711"/>
              <w:gridCol w:w="1215"/>
              <w:gridCol w:w="764"/>
            </w:tblGrid>
            <w:tr w:rsidR="0060222A" w:rsidRPr="007E0B47" w14:paraId="6E3CA281" w14:textId="7C7F5D41" w:rsidTr="00837850">
              <w:trPr>
                <w:trHeight w:val="966"/>
              </w:trPr>
              <w:tc>
                <w:tcPr>
                  <w:tcW w:w="1065" w:type="dxa"/>
                  <w:vMerge w:val="restart"/>
                  <w:tcMar>
                    <w:left w:w="28" w:type="dxa"/>
                    <w:right w:w="28" w:type="dxa"/>
                  </w:tcMar>
                  <w:vAlign w:val="center"/>
                </w:tcPr>
                <w:p w14:paraId="2D569988" w14:textId="66C3467C" w:rsidR="0060222A" w:rsidRPr="007E0B47" w:rsidRDefault="0060222A" w:rsidP="00E22518">
                  <w:pPr>
                    <w:pStyle w:val="ListParagraph"/>
                    <w:shd w:val="clear" w:color="auto" w:fill="FFFFFF" w:themeFill="background1"/>
                    <w:ind w:left="0" w:right="62"/>
                    <w:contextualSpacing w:val="0"/>
                    <w:jc w:val="center"/>
                    <w:rPr>
                      <w:sz w:val="24"/>
                      <w:szCs w:val="24"/>
                    </w:rPr>
                  </w:pPr>
                  <w:r w:rsidRPr="007E0B47">
                    <w:rPr>
                      <w:sz w:val="24"/>
                      <w:szCs w:val="24"/>
                    </w:rPr>
                    <w:t>SAM/ pasākums</w:t>
                  </w:r>
                </w:p>
              </w:tc>
              <w:tc>
                <w:tcPr>
                  <w:tcW w:w="1398" w:type="dxa"/>
                  <w:vMerge w:val="restart"/>
                  <w:tcMar>
                    <w:left w:w="28" w:type="dxa"/>
                    <w:right w:w="28" w:type="dxa"/>
                  </w:tcMar>
                  <w:vAlign w:val="center"/>
                </w:tcPr>
                <w:p w14:paraId="6E4CC3A8" w14:textId="34486E22" w:rsidR="0060222A" w:rsidRPr="007E0B47" w:rsidRDefault="0060222A" w:rsidP="00E22518">
                  <w:pPr>
                    <w:pStyle w:val="ListParagraph"/>
                    <w:shd w:val="clear" w:color="auto" w:fill="FFFFFF" w:themeFill="background1"/>
                    <w:ind w:left="0" w:right="62"/>
                    <w:contextualSpacing w:val="0"/>
                    <w:jc w:val="center"/>
                    <w:rPr>
                      <w:sz w:val="24"/>
                      <w:szCs w:val="24"/>
                    </w:rPr>
                  </w:pPr>
                  <w:r w:rsidRPr="007E0B47">
                    <w:rPr>
                      <w:sz w:val="24"/>
                      <w:szCs w:val="24"/>
                    </w:rPr>
                    <w:t xml:space="preserve">VBD jau iesniegtajiem projektiem, </w:t>
                  </w:r>
                  <w:proofErr w:type="spellStart"/>
                  <w:r w:rsidR="002C4100" w:rsidRPr="007E0B47">
                    <w:rPr>
                      <w:i/>
                      <w:sz w:val="24"/>
                      <w:szCs w:val="24"/>
                    </w:rPr>
                    <w:t>euro</w:t>
                  </w:r>
                  <w:proofErr w:type="spellEnd"/>
                </w:p>
              </w:tc>
              <w:tc>
                <w:tcPr>
                  <w:tcW w:w="1678" w:type="dxa"/>
                  <w:vMerge w:val="restart"/>
                  <w:tcMar>
                    <w:left w:w="28" w:type="dxa"/>
                    <w:right w:w="28" w:type="dxa"/>
                  </w:tcMar>
                  <w:vAlign w:val="center"/>
                </w:tcPr>
                <w:p w14:paraId="11FAE84A" w14:textId="7B80A765" w:rsidR="0060222A" w:rsidRPr="007E0B47" w:rsidRDefault="002C4100" w:rsidP="00E22518">
                  <w:pPr>
                    <w:pStyle w:val="ListParagraph"/>
                    <w:shd w:val="clear" w:color="auto" w:fill="FFFFFF" w:themeFill="background1"/>
                    <w:ind w:left="0" w:right="62"/>
                    <w:jc w:val="center"/>
                    <w:rPr>
                      <w:sz w:val="24"/>
                      <w:szCs w:val="24"/>
                    </w:rPr>
                  </w:pPr>
                  <w:r w:rsidRPr="007E0B47">
                    <w:rPr>
                      <w:sz w:val="24"/>
                      <w:szCs w:val="24"/>
                    </w:rPr>
                    <w:t>VBD</w:t>
                  </w:r>
                  <w:r w:rsidR="00296784" w:rsidRPr="007E0B47">
                    <w:rPr>
                      <w:sz w:val="24"/>
                      <w:szCs w:val="24"/>
                    </w:rPr>
                    <w:t xml:space="preserve"> pieprasījums projektos, ja to aprēķinātu no minimālā līdzfinansējuma, EUR</w:t>
                  </w:r>
                </w:p>
              </w:tc>
              <w:tc>
                <w:tcPr>
                  <w:tcW w:w="2012" w:type="dxa"/>
                  <w:gridSpan w:val="2"/>
                  <w:tcMar>
                    <w:left w:w="28" w:type="dxa"/>
                    <w:right w:w="28" w:type="dxa"/>
                  </w:tcMar>
                  <w:vAlign w:val="center"/>
                </w:tcPr>
                <w:p w14:paraId="3D297356" w14:textId="7C675156" w:rsidR="0060222A" w:rsidRPr="007E0B47" w:rsidRDefault="0060222A" w:rsidP="00E22518">
                  <w:pPr>
                    <w:pStyle w:val="ListParagraph"/>
                    <w:shd w:val="clear" w:color="auto" w:fill="FFFFFF" w:themeFill="background1"/>
                    <w:ind w:left="0" w:right="62"/>
                    <w:contextualSpacing w:val="0"/>
                    <w:jc w:val="center"/>
                    <w:rPr>
                      <w:sz w:val="24"/>
                      <w:szCs w:val="24"/>
                    </w:rPr>
                  </w:pPr>
                  <w:r w:rsidRPr="007E0B47">
                    <w:rPr>
                      <w:sz w:val="24"/>
                      <w:szCs w:val="24"/>
                    </w:rPr>
                    <w:t>Starpība</w:t>
                  </w:r>
                </w:p>
              </w:tc>
            </w:tr>
            <w:tr w:rsidR="00CA4E4B" w:rsidRPr="007E0B47" w14:paraId="3887EF30" w14:textId="77777777" w:rsidTr="00837850">
              <w:trPr>
                <w:trHeight w:val="966"/>
              </w:trPr>
              <w:tc>
                <w:tcPr>
                  <w:tcW w:w="1065" w:type="dxa"/>
                  <w:vMerge/>
                  <w:tcMar>
                    <w:left w:w="28" w:type="dxa"/>
                    <w:right w:w="28" w:type="dxa"/>
                  </w:tcMar>
                  <w:vAlign w:val="center"/>
                </w:tcPr>
                <w:p w14:paraId="7DEA0D62" w14:textId="77777777" w:rsidR="00CA4E4B" w:rsidRPr="007E0B47" w:rsidRDefault="00CA4E4B" w:rsidP="00E22518">
                  <w:pPr>
                    <w:pStyle w:val="ListParagraph"/>
                    <w:shd w:val="clear" w:color="auto" w:fill="FFFFFF" w:themeFill="background1"/>
                    <w:ind w:left="0" w:right="62"/>
                    <w:contextualSpacing w:val="0"/>
                    <w:jc w:val="center"/>
                    <w:rPr>
                      <w:sz w:val="24"/>
                      <w:szCs w:val="24"/>
                    </w:rPr>
                  </w:pPr>
                </w:p>
              </w:tc>
              <w:tc>
                <w:tcPr>
                  <w:tcW w:w="1398" w:type="dxa"/>
                  <w:vMerge/>
                  <w:tcMar>
                    <w:left w:w="28" w:type="dxa"/>
                    <w:right w:w="28" w:type="dxa"/>
                  </w:tcMar>
                  <w:vAlign w:val="center"/>
                </w:tcPr>
                <w:p w14:paraId="1710643C" w14:textId="77777777" w:rsidR="00CA4E4B" w:rsidRPr="007E0B47" w:rsidRDefault="00CA4E4B" w:rsidP="00E22518">
                  <w:pPr>
                    <w:pStyle w:val="ListParagraph"/>
                    <w:shd w:val="clear" w:color="auto" w:fill="FFFFFF" w:themeFill="background1"/>
                    <w:ind w:left="0" w:right="62"/>
                    <w:contextualSpacing w:val="0"/>
                    <w:jc w:val="center"/>
                    <w:rPr>
                      <w:sz w:val="24"/>
                      <w:szCs w:val="24"/>
                    </w:rPr>
                  </w:pPr>
                </w:p>
              </w:tc>
              <w:tc>
                <w:tcPr>
                  <w:tcW w:w="1678" w:type="dxa"/>
                  <w:vMerge/>
                  <w:tcMar>
                    <w:left w:w="28" w:type="dxa"/>
                    <w:right w:w="28" w:type="dxa"/>
                  </w:tcMar>
                  <w:vAlign w:val="center"/>
                </w:tcPr>
                <w:p w14:paraId="6AE2208B" w14:textId="77777777" w:rsidR="00CA4E4B" w:rsidRPr="007E0B47" w:rsidRDefault="00CA4E4B" w:rsidP="00E22518">
                  <w:pPr>
                    <w:pStyle w:val="ListParagraph"/>
                    <w:shd w:val="clear" w:color="auto" w:fill="FFFFFF" w:themeFill="background1"/>
                    <w:ind w:left="0" w:right="62"/>
                    <w:contextualSpacing w:val="0"/>
                    <w:jc w:val="center"/>
                    <w:rPr>
                      <w:sz w:val="24"/>
                      <w:szCs w:val="24"/>
                    </w:rPr>
                  </w:pPr>
                </w:p>
              </w:tc>
              <w:tc>
                <w:tcPr>
                  <w:tcW w:w="1242" w:type="dxa"/>
                  <w:tcMar>
                    <w:left w:w="28" w:type="dxa"/>
                    <w:right w:w="28" w:type="dxa"/>
                  </w:tcMar>
                  <w:vAlign w:val="center"/>
                </w:tcPr>
                <w:p w14:paraId="19485025" w14:textId="31D8E5A4" w:rsidR="00CA4E4B" w:rsidRPr="007E0B47" w:rsidRDefault="002C4100" w:rsidP="00E22518">
                  <w:pPr>
                    <w:pStyle w:val="ListParagraph"/>
                    <w:shd w:val="clear" w:color="auto" w:fill="FFFFFF" w:themeFill="background1"/>
                    <w:ind w:left="0" w:right="62"/>
                    <w:contextualSpacing w:val="0"/>
                    <w:jc w:val="center"/>
                    <w:rPr>
                      <w:sz w:val="24"/>
                      <w:szCs w:val="24"/>
                    </w:rPr>
                  </w:pPr>
                  <w:proofErr w:type="spellStart"/>
                  <w:r w:rsidRPr="007E0B47">
                    <w:rPr>
                      <w:i/>
                      <w:sz w:val="24"/>
                      <w:szCs w:val="24"/>
                    </w:rPr>
                    <w:t>euro</w:t>
                  </w:r>
                  <w:proofErr w:type="spellEnd"/>
                </w:p>
              </w:tc>
              <w:tc>
                <w:tcPr>
                  <w:tcW w:w="770" w:type="dxa"/>
                  <w:vAlign w:val="center"/>
                </w:tcPr>
                <w:p w14:paraId="00077108" w14:textId="455C7BCB" w:rsidR="00CA4E4B" w:rsidRPr="007E0B47" w:rsidRDefault="00CA4E4B" w:rsidP="00E22518">
                  <w:pPr>
                    <w:pStyle w:val="ListParagraph"/>
                    <w:shd w:val="clear" w:color="auto" w:fill="FFFFFF" w:themeFill="background1"/>
                    <w:ind w:left="0" w:right="62"/>
                    <w:contextualSpacing w:val="0"/>
                    <w:jc w:val="center"/>
                    <w:rPr>
                      <w:sz w:val="24"/>
                      <w:szCs w:val="24"/>
                    </w:rPr>
                  </w:pPr>
                  <w:r w:rsidRPr="007E0B47">
                    <w:rPr>
                      <w:sz w:val="24"/>
                      <w:szCs w:val="24"/>
                    </w:rPr>
                    <w:t>%</w:t>
                  </w:r>
                </w:p>
              </w:tc>
            </w:tr>
            <w:tr w:rsidR="00296784" w:rsidRPr="007E0B47" w14:paraId="1F74E686" w14:textId="78581B00" w:rsidTr="00443D4E">
              <w:trPr>
                <w:trHeight w:val="297"/>
              </w:trPr>
              <w:tc>
                <w:tcPr>
                  <w:tcW w:w="1065" w:type="dxa"/>
                  <w:vAlign w:val="center"/>
                </w:tcPr>
                <w:p w14:paraId="273328EC" w14:textId="410D8FB3"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2.2.1.1.</w:t>
                  </w:r>
                </w:p>
              </w:tc>
              <w:tc>
                <w:tcPr>
                  <w:tcW w:w="1398" w:type="dxa"/>
                  <w:tcMar>
                    <w:left w:w="28" w:type="dxa"/>
                    <w:right w:w="28" w:type="dxa"/>
                  </w:tcMar>
                  <w:vAlign w:val="center"/>
                </w:tcPr>
                <w:p w14:paraId="70B5BB86" w14:textId="29453D53"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185 140</w:t>
                  </w:r>
                </w:p>
              </w:tc>
              <w:tc>
                <w:tcPr>
                  <w:tcW w:w="1678" w:type="dxa"/>
                  <w:tcMar>
                    <w:left w:w="28" w:type="dxa"/>
                    <w:right w:w="28" w:type="dxa"/>
                  </w:tcMar>
                  <w:vAlign w:val="center"/>
                </w:tcPr>
                <w:p w14:paraId="06E80310" w14:textId="0738A3DB" w:rsidR="00296784" w:rsidRPr="007E0B47" w:rsidRDefault="00296784" w:rsidP="00E22518">
                  <w:pPr>
                    <w:pStyle w:val="ListParagraph"/>
                    <w:shd w:val="clear" w:color="auto" w:fill="FFFFFF" w:themeFill="background1"/>
                    <w:ind w:left="0" w:right="62"/>
                    <w:contextualSpacing w:val="0"/>
                    <w:jc w:val="right"/>
                  </w:pPr>
                  <w:r w:rsidRPr="007E0B47">
                    <w:t>185 140</w:t>
                  </w:r>
                </w:p>
              </w:tc>
              <w:tc>
                <w:tcPr>
                  <w:tcW w:w="1242" w:type="dxa"/>
                  <w:tcMar>
                    <w:left w:w="28" w:type="dxa"/>
                    <w:right w:w="28" w:type="dxa"/>
                  </w:tcMar>
                  <w:vAlign w:val="bottom"/>
                </w:tcPr>
                <w:p w14:paraId="0DCA2833" w14:textId="7BBC00D1"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0</w:t>
                  </w:r>
                </w:p>
              </w:tc>
              <w:tc>
                <w:tcPr>
                  <w:tcW w:w="770" w:type="dxa"/>
                  <w:vAlign w:val="bottom"/>
                </w:tcPr>
                <w:p w14:paraId="6710CA54" w14:textId="45198448"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6D81AEA9" w14:textId="396A5E38" w:rsidTr="00443D4E">
              <w:trPr>
                <w:trHeight w:val="284"/>
              </w:trPr>
              <w:tc>
                <w:tcPr>
                  <w:tcW w:w="1065" w:type="dxa"/>
                  <w:vAlign w:val="center"/>
                </w:tcPr>
                <w:p w14:paraId="62BC6CC8" w14:textId="23F03278"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3.3.1.</w:t>
                  </w:r>
                </w:p>
              </w:tc>
              <w:tc>
                <w:tcPr>
                  <w:tcW w:w="1398" w:type="dxa"/>
                  <w:tcMar>
                    <w:left w:w="28" w:type="dxa"/>
                    <w:right w:w="28" w:type="dxa"/>
                  </w:tcMar>
                  <w:vAlign w:val="center"/>
                </w:tcPr>
                <w:p w14:paraId="71A62725" w14:textId="3AA182D6"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4 450 063</w:t>
                  </w:r>
                </w:p>
              </w:tc>
              <w:tc>
                <w:tcPr>
                  <w:tcW w:w="1678" w:type="dxa"/>
                  <w:tcMar>
                    <w:left w:w="28" w:type="dxa"/>
                    <w:right w:w="28" w:type="dxa"/>
                  </w:tcMar>
                  <w:vAlign w:val="center"/>
                </w:tcPr>
                <w:p w14:paraId="0E38A544" w14:textId="532A8DB4" w:rsidR="00296784" w:rsidRPr="007E0B47" w:rsidRDefault="00296784" w:rsidP="00E22518">
                  <w:pPr>
                    <w:pStyle w:val="ListParagraph"/>
                    <w:shd w:val="clear" w:color="auto" w:fill="FFFFFF" w:themeFill="background1"/>
                    <w:ind w:left="0" w:right="62"/>
                    <w:contextualSpacing w:val="0"/>
                    <w:jc w:val="right"/>
                  </w:pPr>
                  <w:r w:rsidRPr="007E0B47">
                    <w:t>2 311 908</w:t>
                  </w:r>
                </w:p>
              </w:tc>
              <w:tc>
                <w:tcPr>
                  <w:tcW w:w="1242" w:type="dxa"/>
                  <w:tcMar>
                    <w:left w:w="28" w:type="dxa"/>
                    <w:right w:w="28" w:type="dxa"/>
                  </w:tcMar>
                  <w:vAlign w:val="bottom"/>
                </w:tcPr>
                <w:p w14:paraId="2E28C7B1" w14:textId="0060F443"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2 138 155</w:t>
                  </w:r>
                </w:p>
              </w:tc>
              <w:tc>
                <w:tcPr>
                  <w:tcW w:w="770" w:type="dxa"/>
                  <w:vAlign w:val="bottom"/>
                </w:tcPr>
                <w:p w14:paraId="40AD5592" w14:textId="7EF4AAE0"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92</w:t>
                  </w:r>
                </w:p>
              </w:tc>
            </w:tr>
            <w:tr w:rsidR="00296784" w:rsidRPr="007E0B47" w14:paraId="3CA06E24" w14:textId="5370D0FA" w:rsidTr="00443D4E">
              <w:trPr>
                <w:trHeight w:val="284"/>
              </w:trPr>
              <w:tc>
                <w:tcPr>
                  <w:tcW w:w="1065" w:type="dxa"/>
                  <w:vAlign w:val="center"/>
                </w:tcPr>
                <w:p w14:paraId="23166FAC" w14:textId="5F6265AE"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4.2.2.</w:t>
                  </w:r>
                </w:p>
              </w:tc>
              <w:tc>
                <w:tcPr>
                  <w:tcW w:w="1398" w:type="dxa"/>
                  <w:tcMar>
                    <w:left w:w="28" w:type="dxa"/>
                    <w:right w:w="28" w:type="dxa"/>
                  </w:tcMar>
                  <w:vAlign w:val="center"/>
                </w:tcPr>
                <w:p w14:paraId="2EC6F114" w14:textId="692276AB"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4 605 996</w:t>
                  </w:r>
                </w:p>
              </w:tc>
              <w:tc>
                <w:tcPr>
                  <w:tcW w:w="1678" w:type="dxa"/>
                  <w:tcMar>
                    <w:left w:w="28" w:type="dxa"/>
                    <w:right w:w="28" w:type="dxa"/>
                  </w:tcMar>
                  <w:vAlign w:val="center"/>
                </w:tcPr>
                <w:p w14:paraId="211B4CB5" w14:textId="4AC5CC17" w:rsidR="00296784" w:rsidRPr="007E0B47" w:rsidRDefault="00296784" w:rsidP="00E22518">
                  <w:pPr>
                    <w:pStyle w:val="ListParagraph"/>
                    <w:shd w:val="clear" w:color="auto" w:fill="FFFFFF" w:themeFill="background1"/>
                    <w:ind w:left="0" w:right="62"/>
                    <w:contextualSpacing w:val="0"/>
                    <w:jc w:val="right"/>
                  </w:pPr>
                  <w:r w:rsidRPr="007E0B47">
                    <w:t>1 738 386</w:t>
                  </w:r>
                </w:p>
              </w:tc>
              <w:tc>
                <w:tcPr>
                  <w:tcW w:w="1242" w:type="dxa"/>
                  <w:tcMar>
                    <w:left w:w="28" w:type="dxa"/>
                    <w:right w:w="28" w:type="dxa"/>
                  </w:tcMar>
                  <w:vAlign w:val="bottom"/>
                </w:tcPr>
                <w:p w14:paraId="2F5A7753" w14:textId="3BB283C7"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2 867 610</w:t>
                  </w:r>
                </w:p>
              </w:tc>
              <w:tc>
                <w:tcPr>
                  <w:tcW w:w="770" w:type="dxa"/>
                  <w:vAlign w:val="bottom"/>
                </w:tcPr>
                <w:p w14:paraId="2A0DF51E" w14:textId="0B4C42B9"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165</w:t>
                  </w:r>
                </w:p>
              </w:tc>
            </w:tr>
            <w:tr w:rsidR="00296784" w:rsidRPr="007E0B47" w14:paraId="006FE5B1" w14:textId="1BA32E69" w:rsidTr="00443D4E">
              <w:trPr>
                <w:trHeight w:val="241"/>
              </w:trPr>
              <w:tc>
                <w:tcPr>
                  <w:tcW w:w="1065" w:type="dxa"/>
                  <w:vAlign w:val="center"/>
                </w:tcPr>
                <w:p w14:paraId="71AE1D63" w14:textId="279CD792"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4.5.1.1.</w:t>
                  </w:r>
                </w:p>
              </w:tc>
              <w:tc>
                <w:tcPr>
                  <w:tcW w:w="1398" w:type="dxa"/>
                  <w:tcMar>
                    <w:left w:w="28" w:type="dxa"/>
                    <w:right w:w="28" w:type="dxa"/>
                  </w:tcMar>
                  <w:vAlign w:val="center"/>
                </w:tcPr>
                <w:p w14:paraId="3FAA55A7" w14:textId="3A5EAFB7"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1 261 765</w:t>
                  </w:r>
                </w:p>
              </w:tc>
              <w:tc>
                <w:tcPr>
                  <w:tcW w:w="1678" w:type="dxa"/>
                  <w:tcMar>
                    <w:left w:w="28" w:type="dxa"/>
                    <w:right w:w="28" w:type="dxa"/>
                  </w:tcMar>
                  <w:vAlign w:val="center"/>
                </w:tcPr>
                <w:p w14:paraId="04A4B6B9" w14:textId="4AFAA5CE" w:rsidR="00296784" w:rsidRPr="007E0B47" w:rsidRDefault="00296784" w:rsidP="00E22518">
                  <w:pPr>
                    <w:pStyle w:val="ListParagraph"/>
                    <w:shd w:val="clear" w:color="auto" w:fill="FFFFFF" w:themeFill="background1"/>
                    <w:ind w:left="0" w:right="62"/>
                    <w:contextualSpacing w:val="0"/>
                    <w:jc w:val="right"/>
                  </w:pPr>
                  <w:r w:rsidRPr="007E0B47">
                    <w:t>1 261 765</w:t>
                  </w:r>
                </w:p>
              </w:tc>
              <w:tc>
                <w:tcPr>
                  <w:tcW w:w="1242" w:type="dxa"/>
                  <w:tcMar>
                    <w:left w:w="28" w:type="dxa"/>
                    <w:right w:w="28" w:type="dxa"/>
                  </w:tcMar>
                  <w:vAlign w:val="bottom"/>
                </w:tcPr>
                <w:p w14:paraId="3E027C86" w14:textId="33931CB3"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0</w:t>
                  </w:r>
                </w:p>
              </w:tc>
              <w:tc>
                <w:tcPr>
                  <w:tcW w:w="770" w:type="dxa"/>
                  <w:vAlign w:val="bottom"/>
                </w:tcPr>
                <w:p w14:paraId="5E382325" w14:textId="07A863B0"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556F2F90" w14:textId="13E0D904" w:rsidTr="00443D4E">
              <w:trPr>
                <w:trHeight w:val="284"/>
              </w:trPr>
              <w:tc>
                <w:tcPr>
                  <w:tcW w:w="1065" w:type="dxa"/>
                  <w:vAlign w:val="center"/>
                </w:tcPr>
                <w:p w14:paraId="5FCB75F0" w14:textId="6AF7998A"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4.5.1.2.</w:t>
                  </w:r>
                </w:p>
              </w:tc>
              <w:tc>
                <w:tcPr>
                  <w:tcW w:w="1398" w:type="dxa"/>
                  <w:tcMar>
                    <w:left w:w="28" w:type="dxa"/>
                    <w:right w:w="28" w:type="dxa"/>
                  </w:tcMar>
                  <w:vAlign w:val="center"/>
                </w:tcPr>
                <w:p w14:paraId="1B7872B3" w14:textId="3D056EDA"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128 753</w:t>
                  </w:r>
                </w:p>
              </w:tc>
              <w:tc>
                <w:tcPr>
                  <w:tcW w:w="1678" w:type="dxa"/>
                  <w:tcMar>
                    <w:left w:w="28" w:type="dxa"/>
                    <w:right w:w="28" w:type="dxa"/>
                  </w:tcMar>
                  <w:vAlign w:val="center"/>
                </w:tcPr>
                <w:p w14:paraId="76D4FB4A" w14:textId="7A997EAD" w:rsidR="00296784" w:rsidRPr="007E0B47" w:rsidRDefault="00296784" w:rsidP="00E22518">
                  <w:pPr>
                    <w:pStyle w:val="ListParagraph"/>
                    <w:shd w:val="clear" w:color="auto" w:fill="FFFFFF" w:themeFill="background1"/>
                    <w:ind w:left="0" w:right="62"/>
                    <w:contextualSpacing w:val="0"/>
                    <w:jc w:val="right"/>
                  </w:pPr>
                  <w:r w:rsidRPr="007E0B47">
                    <w:t>128 753</w:t>
                  </w:r>
                </w:p>
              </w:tc>
              <w:tc>
                <w:tcPr>
                  <w:tcW w:w="1242" w:type="dxa"/>
                  <w:tcMar>
                    <w:left w:w="28" w:type="dxa"/>
                    <w:right w:w="28" w:type="dxa"/>
                  </w:tcMar>
                  <w:vAlign w:val="bottom"/>
                </w:tcPr>
                <w:p w14:paraId="63B943E9" w14:textId="5A2A0FDF"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0</w:t>
                  </w:r>
                </w:p>
              </w:tc>
              <w:tc>
                <w:tcPr>
                  <w:tcW w:w="770" w:type="dxa"/>
                  <w:vAlign w:val="bottom"/>
                </w:tcPr>
                <w:p w14:paraId="33F23B55" w14:textId="62051E6B"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02BD81BB" w14:textId="01A209FE" w:rsidTr="00443D4E">
              <w:trPr>
                <w:trHeight w:val="284"/>
              </w:trPr>
              <w:tc>
                <w:tcPr>
                  <w:tcW w:w="1065" w:type="dxa"/>
                  <w:vAlign w:val="center"/>
                </w:tcPr>
                <w:p w14:paraId="25809310" w14:textId="62F98945"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5.1.1.</w:t>
                  </w:r>
                </w:p>
              </w:tc>
              <w:tc>
                <w:tcPr>
                  <w:tcW w:w="1398" w:type="dxa"/>
                  <w:tcMar>
                    <w:left w:w="28" w:type="dxa"/>
                    <w:right w:w="28" w:type="dxa"/>
                  </w:tcMar>
                  <w:vAlign w:val="center"/>
                </w:tcPr>
                <w:p w14:paraId="509687EE" w14:textId="3B24EA8D"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1 242 080</w:t>
                  </w:r>
                </w:p>
              </w:tc>
              <w:tc>
                <w:tcPr>
                  <w:tcW w:w="1678" w:type="dxa"/>
                  <w:tcMar>
                    <w:left w:w="28" w:type="dxa"/>
                    <w:right w:w="28" w:type="dxa"/>
                  </w:tcMar>
                  <w:vAlign w:val="center"/>
                </w:tcPr>
                <w:p w14:paraId="39E99B5D" w14:textId="534FE979" w:rsidR="00296784" w:rsidRPr="007E0B47" w:rsidRDefault="00296784" w:rsidP="00E22518">
                  <w:pPr>
                    <w:pStyle w:val="ListParagraph"/>
                    <w:shd w:val="clear" w:color="auto" w:fill="FFFFFF" w:themeFill="background1"/>
                    <w:ind w:left="0" w:right="62"/>
                    <w:contextualSpacing w:val="0"/>
                    <w:jc w:val="right"/>
                  </w:pPr>
                  <w:r w:rsidRPr="007E0B47">
                    <w:t>1 072 797</w:t>
                  </w:r>
                </w:p>
              </w:tc>
              <w:tc>
                <w:tcPr>
                  <w:tcW w:w="1242" w:type="dxa"/>
                  <w:tcMar>
                    <w:left w:w="28" w:type="dxa"/>
                    <w:right w:w="28" w:type="dxa"/>
                  </w:tcMar>
                  <w:vAlign w:val="bottom"/>
                </w:tcPr>
                <w:p w14:paraId="51FA19D2" w14:textId="63C52580"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169 283</w:t>
                  </w:r>
                </w:p>
              </w:tc>
              <w:tc>
                <w:tcPr>
                  <w:tcW w:w="770" w:type="dxa"/>
                  <w:vAlign w:val="bottom"/>
                </w:tcPr>
                <w:p w14:paraId="4065F618" w14:textId="796CD3A5"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16</w:t>
                  </w:r>
                </w:p>
              </w:tc>
            </w:tr>
            <w:tr w:rsidR="00296784" w:rsidRPr="007E0B47" w14:paraId="1C1E6EDA" w14:textId="51BF3113" w:rsidTr="00443D4E">
              <w:trPr>
                <w:trHeight w:val="284"/>
              </w:trPr>
              <w:tc>
                <w:tcPr>
                  <w:tcW w:w="1065" w:type="dxa"/>
                  <w:vAlign w:val="center"/>
                </w:tcPr>
                <w:p w14:paraId="3B26A0C0" w14:textId="0CF29E41"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5.4.1.1.</w:t>
                  </w:r>
                </w:p>
              </w:tc>
              <w:tc>
                <w:tcPr>
                  <w:tcW w:w="1398" w:type="dxa"/>
                  <w:tcMar>
                    <w:left w:w="28" w:type="dxa"/>
                    <w:right w:w="28" w:type="dxa"/>
                  </w:tcMar>
                  <w:vAlign w:val="center"/>
                </w:tcPr>
                <w:p w14:paraId="53F1B9F9" w14:textId="4994F2E8"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184 980</w:t>
                  </w:r>
                </w:p>
              </w:tc>
              <w:tc>
                <w:tcPr>
                  <w:tcW w:w="1678" w:type="dxa"/>
                  <w:tcMar>
                    <w:left w:w="28" w:type="dxa"/>
                    <w:right w:w="28" w:type="dxa"/>
                  </w:tcMar>
                  <w:vAlign w:val="center"/>
                </w:tcPr>
                <w:p w14:paraId="7B78563A" w14:textId="4EFB7D93" w:rsidR="00296784" w:rsidRPr="007E0B47" w:rsidRDefault="00296784" w:rsidP="00E22518">
                  <w:pPr>
                    <w:pStyle w:val="ListParagraph"/>
                    <w:shd w:val="clear" w:color="auto" w:fill="FFFFFF" w:themeFill="background1"/>
                    <w:ind w:left="0" w:right="62"/>
                    <w:contextualSpacing w:val="0"/>
                    <w:jc w:val="right"/>
                  </w:pPr>
                  <w:r w:rsidRPr="007E0B47">
                    <w:t>148 161</w:t>
                  </w:r>
                </w:p>
              </w:tc>
              <w:tc>
                <w:tcPr>
                  <w:tcW w:w="1242" w:type="dxa"/>
                  <w:tcMar>
                    <w:left w:w="28" w:type="dxa"/>
                    <w:right w:w="28" w:type="dxa"/>
                  </w:tcMar>
                  <w:vAlign w:val="bottom"/>
                </w:tcPr>
                <w:p w14:paraId="5290E7EE" w14:textId="38409FA7"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36 819</w:t>
                  </w:r>
                </w:p>
              </w:tc>
              <w:tc>
                <w:tcPr>
                  <w:tcW w:w="770" w:type="dxa"/>
                  <w:vAlign w:val="bottom"/>
                </w:tcPr>
                <w:p w14:paraId="2ECA81D7" w14:textId="5F006CE8"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25</w:t>
                  </w:r>
                </w:p>
              </w:tc>
            </w:tr>
            <w:tr w:rsidR="00296784" w:rsidRPr="007E0B47" w14:paraId="319932C2" w14:textId="01E0EFFE" w:rsidTr="00443D4E">
              <w:trPr>
                <w:trHeight w:val="284"/>
              </w:trPr>
              <w:tc>
                <w:tcPr>
                  <w:tcW w:w="1065" w:type="dxa"/>
                  <w:vAlign w:val="center"/>
                </w:tcPr>
                <w:p w14:paraId="4C203DC6" w14:textId="74D61FDB"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5.5.1.</w:t>
                  </w:r>
                </w:p>
              </w:tc>
              <w:tc>
                <w:tcPr>
                  <w:tcW w:w="1398" w:type="dxa"/>
                  <w:tcMar>
                    <w:left w:w="28" w:type="dxa"/>
                    <w:right w:w="28" w:type="dxa"/>
                  </w:tcMar>
                  <w:vAlign w:val="center"/>
                </w:tcPr>
                <w:p w14:paraId="0BEEBC8F" w14:textId="55C19234"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3 740 004</w:t>
                  </w:r>
                </w:p>
              </w:tc>
              <w:tc>
                <w:tcPr>
                  <w:tcW w:w="1678" w:type="dxa"/>
                  <w:tcMar>
                    <w:left w:w="28" w:type="dxa"/>
                    <w:right w:w="28" w:type="dxa"/>
                  </w:tcMar>
                  <w:vAlign w:val="center"/>
                </w:tcPr>
                <w:p w14:paraId="60C47571" w14:textId="14EEC952" w:rsidR="00296784" w:rsidRPr="007E0B47" w:rsidRDefault="00296784" w:rsidP="00E22518">
                  <w:pPr>
                    <w:pStyle w:val="ListParagraph"/>
                    <w:shd w:val="clear" w:color="auto" w:fill="FFFFFF" w:themeFill="background1"/>
                    <w:ind w:left="0" w:right="62"/>
                    <w:contextualSpacing w:val="0"/>
                    <w:jc w:val="right"/>
                  </w:pPr>
                  <w:r w:rsidRPr="007E0B47">
                    <w:t>1 694 444</w:t>
                  </w:r>
                </w:p>
              </w:tc>
              <w:tc>
                <w:tcPr>
                  <w:tcW w:w="1242" w:type="dxa"/>
                  <w:tcMar>
                    <w:left w:w="28" w:type="dxa"/>
                    <w:right w:w="28" w:type="dxa"/>
                  </w:tcMar>
                  <w:vAlign w:val="bottom"/>
                </w:tcPr>
                <w:p w14:paraId="6BDA526E" w14:textId="6D8C2F9D"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2 045 56</w:t>
                  </w:r>
                  <w:r w:rsidR="00B45C2D" w:rsidRPr="007E0B47">
                    <w:rPr>
                      <w:b/>
                      <w:color w:val="000000"/>
                    </w:rPr>
                    <w:t>0</w:t>
                  </w:r>
                </w:p>
              </w:tc>
              <w:tc>
                <w:tcPr>
                  <w:tcW w:w="770" w:type="dxa"/>
                  <w:vAlign w:val="bottom"/>
                </w:tcPr>
                <w:p w14:paraId="2D639926" w14:textId="2E5EE5CF"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121</w:t>
                  </w:r>
                </w:p>
              </w:tc>
            </w:tr>
            <w:tr w:rsidR="00296784" w:rsidRPr="007E0B47" w14:paraId="72DF111E" w14:textId="3421AC23" w:rsidTr="00443D4E">
              <w:trPr>
                <w:trHeight w:val="284"/>
              </w:trPr>
              <w:tc>
                <w:tcPr>
                  <w:tcW w:w="1065" w:type="dxa"/>
                  <w:vAlign w:val="center"/>
                </w:tcPr>
                <w:p w14:paraId="5D3D0C6C" w14:textId="3A68E811"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5.6.2.</w:t>
                  </w:r>
                </w:p>
              </w:tc>
              <w:tc>
                <w:tcPr>
                  <w:tcW w:w="1398" w:type="dxa"/>
                  <w:tcMar>
                    <w:left w:w="28" w:type="dxa"/>
                    <w:right w:w="28" w:type="dxa"/>
                  </w:tcMar>
                  <w:vAlign w:val="center"/>
                </w:tcPr>
                <w:p w14:paraId="0A12842C" w14:textId="2DC04DDE"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14 537 799</w:t>
                  </w:r>
                </w:p>
              </w:tc>
              <w:tc>
                <w:tcPr>
                  <w:tcW w:w="1678" w:type="dxa"/>
                  <w:tcMar>
                    <w:left w:w="28" w:type="dxa"/>
                    <w:right w:w="28" w:type="dxa"/>
                  </w:tcMar>
                  <w:vAlign w:val="center"/>
                </w:tcPr>
                <w:p w14:paraId="036545E8" w14:textId="5AE72D5F" w:rsidR="00296784" w:rsidRPr="007E0B47" w:rsidRDefault="00296784" w:rsidP="00E22518">
                  <w:pPr>
                    <w:pStyle w:val="ListParagraph"/>
                    <w:shd w:val="clear" w:color="auto" w:fill="FFFFFF" w:themeFill="background1"/>
                    <w:ind w:left="0" w:right="62"/>
                    <w:contextualSpacing w:val="0"/>
                    <w:jc w:val="right"/>
                  </w:pPr>
                  <w:r w:rsidRPr="007E0B47">
                    <w:t>7 124 590</w:t>
                  </w:r>
                </w:p>
              </w:tc>
              <w:tc>
                <w:tcPr>
                  <w:tcW w:w="1242" w:type="dxa"/>
                  <w:tcMar>
                    <w:left w:w="28" w:type="dxa"/>
                    <w:right w:w="28" w:type="dxa"/>
                  </w:tcMar>
                  <w:vAlign w:val="bottom"/>
                </w:tcPr>
                <w:p w14:paraId="5F37986A" w14:textId="360B937F"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7 413 20</w:t>
                  </w:r>
                  <w:r w:rsidR="00B45C2D" w:rsidRPr="007E0B47">
                    <w:rPr>
                      <w:b/>
                      <w:color w:val="000000"/>
                    </w:rPr>
                    <w:t>9</w:t>
                  </w:r>
                </w:p>
              </w:tc>
              <w:tc>
                <w:tcPr>
                  <w:tcW w:w="770" w:type="dxa"/>
                  <w:vAlign w:val="bottom"/>
                </w:tcPr>
                <w:p w14:paraId="0AD589B2" w14:textId="09A314C3"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104</w:t>
                  </w:r>
                </w:p>
              </w:tc>
            </w:tr>
            <w:tr w:rsidR="00296784" w:rsidRPr="007E0B47" w14:paraId="2CF6EDC5" w14:textId="42712327" w:rsidTr="00443D4E">
              <w:trPr>
                <w:trHeight w:val="284"/>
              </w:trPr>
              <w:tc>
                <w:tcPr>
                  <w:tcW w:w="1065" w:type="dxa"/>
                  <w:vAlign w:val="center"/>
                </w:tcPr>
                <w:p w14:paraId="72A09A57" w14:textId="1FB4C989"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6.1.3.1.</w:t>
                  </w:r>
                </w:p>
              </w:tc>
              <w:tc>
                <w:tcPr>
                  <w:tcW w:w="1398" w:type="dxa"/>
                  <w:tcMar>
                    <w:left w:w="28" w:type="dxa"/>
                    <w:right w:w="28" w:type="dxa"/>
                  </w:tcMar>
                  <w:vAlign w:val="center"/>
                </w:tcPr>
                <w:p w14:paraId="164DF1EC" w14:textId="26951CD9"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1 873 505</w:t>
                  </w:r>
                </w:p>
              </w:tc>
              <w:tc>
                <w:tcPr>
                  <w:tcW w:w="1678" w:type="dxa"/>
                  <w:tcMar>
                    <w:left w:w="28" w:type="dxa"/>
                    <w:right w:w="28" w:type="dxa"/>
                  </w:tcMar>
                  <w:vAlign w:val="center"/>
                </w:tcPr>
                <w:p w14:paraId="47469704" w14:textId="1AF8BE74" w:rsidR="00296784" w:rsidRPr="007E0B47" w:rsidRDefault="00296784" w:rsidP="00E22518">
                  <w:pPr>
                    <w:pStyle w:val="ListParagraph"/>
                    <w:shd w:val="clear" w:color="auto" w:fill="FFFFFF" w:themeFill="background1"/>
                    <w:ind w:left="0" w:right="62"/>
                    <w:contextualSpacing w:val="0"/>
                    <w:jc w:val="right"/>
                  </w:pPr>
                  <w:r w:rsidRPr="007E0B47">
                    <w:t>1 873 505</w:t>
                  </w:r>
                </w:p>
              </w:tc>
              <w:tc>
                <w:tcPr>
                  <w:tcW w:w="1242" w:type="dxa"/>
                  <w:tcMar>
                    <w:left w:w="28" w:type="dxa"/>
                    <w:right w:w="28" w:type="dxa"/>
                  </w:tcMar>
                  <w:vAlign w:val="bottom"/>
                </w:tcPr>
                <w:p w14:paraId="7A1C5BB3" w14:textId="42DDF5A1"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0</w:t>
                  </w:r>
                </w:p>
              </w:tc>
              <w:tc>
                <w:tcPr>
                  <w:tcW w:w="770" w:type="dxa"/>
                  <w:vAlign w:val="bottom"/>
                </w:tcPr>
                <w:p w14:paraId="095E6351" w14:textId="50603928"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4AD259CF" w14:textId="77777777" w:rsidTr="00443D4E">
              <w:trPr>
                <w:trHeight w:val="284"/>
              </w:trPr>
              <w:tc>
                <w:tcPr>
                  <w:tcW w:w="1065" w:type="dxa"/>
                  <w:vAlign w:val="center"/>
                </w:tcPr>
                <w:p w14:paraId="009B4A72" w14:textId="75A43F1E" w:rsidR="00296784" w:rsidRPr="007E0B47" w:rsidRDefault="00296784" w:rsidP="00E22518">
                  <w:pPr>
                    <w:pStyle w:val="ListParagraph"/>
                    <w:shd w:val="clear" w:color="auto" w:fill="FFFFFF" w:themeFill="background1"/>
                    <w:ind w:left="0" w:right="62"/>
                    <w:contextualSpacing w:val="0"/>
                    <w:rPr>
                      <w:color w:val="000000"/>
                    </w:rPr>
                  </w:pPr>
                  <w:r w:rsidRPr="007E0B47">
                    <w:rPr>
                      <w:color w:val="000000"/>
                    </w:rPr>
                    <w:t>6.1.3.2.</w:t>
                  </w:r>
                </w:p>
              </w:tc>
              <w:tc>
                <w:tcPr>
                  <w:tcW w:w="1398" w:type="dxa"/>
                  <w:tcMar>
                    <w:left w:w="28" w:type="dxa"/>
                    <w:right w:w="28" w:type="dxa"/>
                  </w:tcMar>
                  <w:vAlign w:val="center"/>
                </w:tcPr>
                <w:p w14:paraId="6083A318" w14:textId="418083A1" w:rsidR="00296784" w:rsidRPr="007E0B47" w:rsidRDefault="00296784" w:rsidP="00E22518">
                  <w:pPr>
                    <w:pStyle w:val="ListParagraph"/>
                    <w:shd w:val="clear" w:color="auto" w:fill="FFFFFF" w:themeFill="background1"/>
                    <w:ind w:left="0" w:right="62"/>
                    <w:contextualSpacing w:val="0"/>
                    <w:jc w:val="right"/>
                    <w:rPr>
                      <w:color w:val="000000"/>
                    </w:rPr>
                  </w:pPr>
                  <w:r w:rsidRPr="007E0B47">
                    <w:rPr>
                      <w:color w:val="000000"/>
                    </w:rPr>
                    <w:t>741 762</w:t>
                  </w:r>
                </w:p>
              </w:tc>
              <w:tc>
                <w:tcPr>
                  <w:tcW w:w="1678" w:type="dxa"/>
                  <w:tcMar>
                    <w:left w:w="28" w:type="dxa"/>
                    <w:right w:w="28" w:type="dxa"/>
                  </w:tcMar>
                  <w:vAlign w:val="center"/>
                </w:tcPr>
                <w:p w14:paraId="3514CBF4" w14:textId="7FAC4F1A" w:rsidR="00296784" w:rsidRPr="007E0B47" w:rsidRDefault="00296784" w:rsidP="00E22518">
                  <w:pPr>
                    <w:pStyle w:val="ListParagraph"/>
                    <w:shd w:val="clear" w:color="auto" w:fill="FFFFFF" w:themeFill="background1"/>
                    <w:ind w:left="0" w:right="62"/>
                    <w:contextualSpacing w:val="0"/>
                    <w:jc w:val="right"/>
                  </w:pPr>
                  <w:r w:rsidRPr="007E0B47">
                    <w:t>293 581</w:t>
                  </w:r>
                </w:p>
              </w:tc>
              <w:tc>
                <w:tcPr>
                  <w:tcW w:w="1242" w:type="dxa"/>
                  <w:tcMar>
                    <w:left w:w="28" w:type="dxa"/>
                    <w:right w:w="28" w:type="dxa"/>
                  </w:tcMar>
                  <w:vAlign w:val="bottom"/>
                </w:tcPr>
                <w:p w14:paraId="79E114B9" w14:textId="1E828EEA"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448 181</w:t>
                  </w:r>
                </w:p>
              </w:tc>
              <w:tc>
                <w:tcPr>
                  <w:tcW w:w="770" w:type="dxa"/>
                  <w:vAlign w:val="bottom"/>
                </w:tcPr>
                <w:p w14:paraId="4AE4E92E" w14:textId="167D95D7"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153</w:t>
                  </w:r>
                </w:p>
              </w:tc>
            </w:tr>
            <w:tr w:rsidR="00296784" w:rsidRPr="007E0B47" w14:paraId="1F4DD097" w14:textId="710D093A" w:rsidTr="00443D4E">
              <w:trPr>
                <w:trHeight w:val="284"/>
              </w:trPr>
              <w:tc>
                <w:tcPr>
                  <w:tcW w:w="1065" w:type="dxa"/>
                  <w:vAlign w:val="center"/>
                </w:tcPr>
                <w:p w14:paraId="180C6F44" w14:textId="2B1A4D0E"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6.1.4.1.</w:t>
                  </w:r>
                </w:p>
              </w:tc>
              <w:tc>
                <w:tcPr>
                  <w:tcW w:w="1398" w:type="dxa"/>
                  <w:tcMar>
                    <w:left w:w="28" w:type="dxa"/>
                    <w:right w:w="28" w:type="dxa"/>
                  </w:tcMar>
                  <w:vAlign w:val="center"/>
                </w:tcPr>
                <w:p w14:paraId="30154F3B" w14:textId="7E9B8832"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847 059</w:t>
                  </w:r>
                </w:p>
              </w:tc>
              <w:tc>
                <w:tcPr>
                  <w:tcW w:w="1678" w:type="dxa"/>
                  <w:tcMar>
                    <w:left w:w="28" w:type="dxa"/>
                    <w:right w:w="28" w:type="dxa"/>
                  </w:tcMar>
                  <w:vAlign w:val="center"/>
                </w:tcPr>
                <w:p w14:paraId="3C8D67DF" w14:textId="5703B423" w:rsidR="00296784" w:rsidRPr="007E0B47" w:rsidRDefault="00296784" w:rsidP="00E22518">
                  <w:pPr>
                    <w:pStyle w:val="ListParagraph"/>
                    <w:shd w:val="clear" w:color="auto" w:fill="FFFFFF" w:themeFill="background1"/>
                    <w:ind w:left="0" w:right="62"/>
                    <w:contextualSpacing w:val="0"/>
                    <w:jc w:val="right"/>
                  </w:pPr>
                  <w:r w:rsidRPr="007E0B47">
                    <w:t>847 059</w:t>
                  </w:r>
                </w:p>
              </w:tc>
              <w:tc>
                <w:tcPr>
                  <w:tcW w:w="1242" w:type="dxa"/>
                  <w:tcMar>
                    <w:left w:w="28" w:type="dxa"/>
                    <w:right w:w="28" w:type="dxa"/>
                  </w:tcMar>
                  <w:vAlign w:val="bottom"/>
                </w:tcPr>
                <w:p w14:paraId="17D69CE6" w14:textId="5C8FD137"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0</w:t>
                  </w:r>
                </w:p>
              </w:tc>
              <w:tc>
                <w:tcPr>
                  <w:tcW w:w="770" w:type="dxa"/>
                  <w:vAlign w:val="bottom"/>
                </w:tcPr>
                <w:p w14:paraId="1C27E74A" w14:textId="6AEA1891"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5F712D32" w14:textId="39B57C4E" w:rsidTr="00443D4E">
              <w:trPr>
                <w:trHeight w:val="284"/>
              </w:trPr>
              <w:tc>
                <w:tcPr>
                  <w:tcW w:w="1065" w:type="dxa"/>
                  <w:vAlign w:val="center"/>
                </w:tcPr>
                <w:p w14:paraId="0747EAB4" w14:textId="5B7FE67C"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6.1.4.2.</w:t>
                  </w:r>
                </w:p>
              </w:tc>
              <w:tc>
                <w:tcPr>
                  <w:tcW w:w="1398" w:type="dxa"/>
                  <w:tcMar>
                    <w:left w:w="28" w:type="dxa"/>
                    <w:right w:w="28" w:type="dxa"/>
                  </w:tcMar>
                  <w:vAlign w:val="center"/>
                </w:tcPr>
                <w:p w14:paraId="6D03B78E" w14:textId="2E848462"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3 071 316</w:t>
                  </w:r>
                </w:p>
              </w:tc>
              <w:tc>
                <w:tcPr>
                  <w:tcW w:w="1678" w:type="dxa"/>
                  <w:tcMar>
                    <w:left w:w="28" w:type="dxa"/>
                    <w:right w:w="28" w:type="dxa"/>
                  </w:tcMar>
                  <w:vAlign w:val="center"/>
                </w:tcPr>
                <w:p w14:paraId="42A5BD52" w14:textId="7D38E0EA" w:rsidR="00296784" w:rsidRPr="007E0B47" w:rsidRDefault="00296784" w:rsidP="00E22518">
                  <w:pPr>
                    <w:pStyle w:val="ListParagraph"/>
                    <w:shd w:val="clear" w:color="auto" w:fill="FFFFFF" w:themeFill="background1"/>
                    <w:ind w:left="0" w:right="62"/>
                    <w:contextualSpacing w:val="0"/>
                    <w:jc w:val="right"/>
                  </w:pPr>
                  <w:r w:rsidRPr="007E0B47">
                    <w:t>1 739 421</w:t>
                  </w:r>
                </w:p>
              </w:tc>
              <w:tc>
                <w:tcPr>
                  <w:tcW w:w="1242" w:type="dxa"/>
                  <w:tcMar>
                    <w:left w:w="28" w:type="dxa"/>
                    <w:right w:w="28" w:type="dxa"/>
                  </w:tcMar>
                  <w:vAlign w:val="bottom"/>
                </w:tcPr>
                <w:p w14:paraId="6B5CBAA5" w14:textId="7526338B"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1 331 89</w:t>
                  </w:r>
                  <w:r w:rsidR="00B45C2D" w:rsidRPr="007E0B47">
                    <w:rPr>
                      <w:b/>
                      <w:color w:val="000000"/>
                    </w:rPr>
                    <w:t>5</w:t>
                  </w:r>
                </w:p>
              </w:tc>
              <w:tc>
                <w:tcPr>
                  <w:tcW w:w="770" w:type="dxa"/>
                  <w:vAlign w:val="bottom"/>
                </w:tcPr>
                <w:p w14:paraId="026E9641" w14:textId="31BD6D1C"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77</w:t>
                  </w:r>
                </w:p>
              </w:tc>
            </w:tr>
            <w:tr w:rsidR="00296784" w:rsidRPr="007E0B47" w14:paraId="53985DA3" w14:textId="2E0CB9B0" w:rsidTr="00443D4E">
              <w:trPr>
                <w:trHeight w:val="292"/>
              </w:trPr>
              <w:tc>
                <w:tcPr>
                  <w:tcW w:w="1065" w:type="dxa"/>
                  <w:vAlign w:val="center"/>
                </w:tcPr>
                <w:p w14:paraId="13DFCEAD" w14:textId="02351374"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8.1.2.</w:t>
                  </w:r>
                </w:p>
              </w:tc>
              <w:tc>
                <w:tcPr>
                  <w:tcW w:w="1398" w:type="dxa"/>
                  <w:tcMar>
                    <w:left w:w="28" w:type="dxa"/>
                    <w:right w:w="28" w:type="dxa"/>
                  </w:tcMar>
                  <w:vAlign w:val="center"/>
                </w:tcPr>
                <w:p w14:paraId="0C0891D3" w14:textId="5D5C7E9E"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20 614 115</w:t>
                  </w:r>
                </w:p>
              </w:tc>
              <w:tc>
                <w:tcPr>
                  <w:tcW w:w="1678" w:type="dxa"/>
                  <w:tcMar>
                    <w:left w:w="28" w:type="dxa"/>
                    <w:right w:w="28" w:type="dxa"/>
                  </w:tcMar>
                  <w:vAlign w:val="center"/>
                </w:tcPr>
                <w:p w14:paraId="3FCF105D" w14:textId="0BF6A381" w:rsidR="00296784" w:rsidRPr="007E0B47" w:rsidRDefault="00296784" w:rsidP="00E22518">
                  <w:pPr>
                    <w:pStyle w:val="ListParagraph"/>
                    <w:shd w:val="clear" w:color="auto" w:fill="FFFFFF" w:themeFill="background1"/>
                    <w:ind w:left="0" w:right="62"/>
                    <w:contextualSpacing w:val="0"/>
                    <w:jc w:val="right"/>
                  </w:pPr>
                  <w:r w:rsidRPr="007E0B47">
                    <w:t>5 630 801</w:t>
                  </w:r>
                </w:p>
              </w:tc>
              <w:tc>
                <w:tcPr>
                  <w:tcW w:w="1242" w:type="dxa"/>
                  <w:tcMar>
                    <w:left w:w="28" w:type="dxa"/>
                    <w:right w:w="28" w:type="dxa"/>
                  </w:tcMar>
                  <w:vAlign w:val="bottom"/>
                </w:tcPr>
                <w:p w14:paraId="05B388EB" w14:textId="724FD2B9"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14 983 314</w:t>
                  </w:r>
                </w:p>
              </w:tc>
              <w:tc>
                <w:tcPr>
                  <w:tcW w:w="770" w:type="dxa"/>
                  <w:vAlign w:val="bottom"/>
                </w:tcPr>
                <w:p w14:paraId="393C541A" w14:textId="4B0F9D85"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266</w:t>
                  </w:r>
                </w:p>
              </w:tc>
            </w:tr>
            <w:tr w:rsidR="00296784" w:rsidRPr="007E0B47" w14:paraId="3733D063" w14:textId="77777777" w:rsidTr="00443D4E">
              <w:trPr>
                <w:trHeight w:val="292"/>
              </w:trPr>
              <w:tc>
                <w:tcPr>
                  <w:tcW w:w="1065" w:type="dxa"/>
                  <w:vAlign w:val="bottom"/>
                </w:tcPr>
                <w:p w14:paraId="197687B1" w14:textId="05169D3D"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8.1.3.</w:t>
                  </w:r>
                </w:p>
              </w:tc>
              <w:tc>
                <w:tcPr>
                  <w:tcW w:w="1398" w:type="dxa"/>
                  <w:tcMar>
                    <w:left w:w="28" w:type="dxa"/>
                    <w:right w:w="28" w:type="dxa"/>
                  </w:tcMar>
                  <w:vAlign w:val="center"/>
                </w:tcPr>
                <w:p w14:paraId="734054E2" w14:textId="7B99D3DF" w:rsidR="00296784" w:rsidRPr="007E0B47" w:rsidRDefault="00296784" w:rsidP="00E22518">
                  <w:pPr>
                    <w:pStyle w:val="ListParagraph"/>
                    <w:shd w:val="clear" w:color="auto" w:fill="FFFFFF" w:themeFill="background1"/>
                    <w:ind w:left="0" w:right="62"/>
                    <w:contextualSpacing w:val="0"/>
                    <w:jc w:val="right"/>
                    <w:rPr>
                      <w:color w:val="000000"/>
                    </w:rPr>
                  </w:pPr>
                  <w:r w:rsidRPr="007E0B47">
                    <w:rPr>
                      <w:color w:val="000000"/>
                    </w:rPr>
                    <w:t>304 943</w:t>
                  </w:r>
                </w:p>
              </w:tc>
              <w:tc>
                <w:tcPr>
                  <w:tcW w:w="1678" w:type="dxa"/>
                  <w:tcMar>
                    <w:left w:w="28" w:type="dxa"/>
                    <w:right w:w="28" w:type="dxa"/>
                  </w:tcMar>
                  <w:vAlign w:val="center"/>
                </w:tcPr>
                <w:p w14:paraId="06055C2A" w14:textId="5011D0F5" w:rsidR="00296784" w:rsidRPr="007E0B47" w:rsidRDefault="00296784" w:rsidP="00E22518">
                  <w:pPr>
                    <w:pStyle w:val="ListParagraph"/>
                    <w:shd w:val="clear" w:color="auto" w:fill="FFFFFF" w:themeFill="background1"/>
                    <w:ind w:left="0" w:right="62"/>
                    <w:contextualSpacing w:val="0"/>
                    <w:jc w:val="right"/>
                  </w:pPr>
                  <w:r w:rsidRPr="007E0B47">
                    <w:t>304 943</w:t>
                  </w:r>
                </w:p>
              </w:tc>
              <w:tc>
                <w:tcPr>
                  <w:tcW w:w="1242" w:type="dxa"/>
                  <w:tcMar>
                    <w:left w:w="28" w:type="dxa"/>
                    <w:right w:w="28" w:type="dxa"/>
                  </w:tcMar>
                  <w:vAlign w:val="bottom"/>
                </w:tcPr>
                <w:p w14:paraId="16AD66B1" w14:textId="23F60B1F"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c>
                <w:tcPr>
                  <w:tcW w:w="770" w:type="dxa"/>
                  <w:vAlign w:val="bottom"/>
                </w:tcPr>
                <w:p w14:paraId="154946F5" w14:textId="311AC2B2"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403BBD6E" w14:textId="36CC554E" w:rsidTr="00443D4E">
              <w:trPr>
                <w:trHeight w:val="284"/>
              </w:trPr>
              <w:tc>
                <w:tcPr>
                  <w:tcW w:w="1065" w:type="dxa"/>
                  <w:vAlign w:val="bottom"/>
                </w:tcPr>
                <w:p w14:paraId="174D0DE2" w14:textId="043298AF" w:rsidR="00296784" w:rsidRPr="007E0B47" w:rsidRDefault="00296784" w:rsidP="00E22518">
                  <w:pPr>
                    <w:pStyle w:val="ListParagraph"/>
                    <w:shd w:val="clear" w:color="auto" w:fill="FFFFFF" w:themeFill="background1"/>
                    <w:ind w:left="0" w:right="62"/>
                    <w:contextualSpacing w:val="0"/>
                    <w:rPr>
                      <w:sz w:val="24"/>
                      <w:szCs w:val="24"/>
                    </w:rPr>
                  </w:pPr>
                  <w:r w:rsidRPr="007E0B47">
                    <w:rPr>
                      <w:color w:val="000000"/>
                    </w:rPr>
                    <w:t>9.3.1.1.</w:t>
                  </w:r>
                </w:p>
              </w:tc>
              <w:tc>
                <w:tcPr>
                  <w:tcW w:w="1398" w:type="dxa"/>
                  <w:tcMar>
                    <w:left w:w="28" w:type="dxa"/>
                    <w:right w:w="28" w:type="dxa"/>
                  </w:tcMar>
                  <w:vAlign w:val="center"/>
                </w:tcPr>
                <w:p w14:paraId="021A5E83" w14:textId="69672E08"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400 258</w:t>
                  </w:r>
                </w:p>
              </w:tc>
              <w:tc>
                <w:tcPr>
                  <w:tcW w:w="1678" w:type="dxa"/>
                  <w:tcMar>
                    <w:left w:w="28" w:type="dxa"/>
                    <w:right w:w="28" w:type="dxa"/>
                  </w:tcMar>
                  <w:vAlign w:val="center"/>
                </w:tcPr>
                <w:p w14:paraId="48A87F09" w14:textId="0BAAB530" w:rsidR="00296784" w:rsidRPr="007E0B47" w:rsidRDefault="00296784" w:rsidP="00E22518">
                  <w:pPr>
                    <w:pStyle w:val="ListParagraph"/>
                    <w:shd w:val="clear" w:color="auto" w:fill="FFFFFF" w:themeFill="background1"/>
                    <w:ind w:left="0" w:right="62"/>
                    <w:contextualSpacing w:val="0"/>
                    <w:jc w:val="right"/>
                  </w:pPr>
                  <w:r w:rsidRPr="007E0B47">
                    <w:t>400 258</w:t>
                  </w:r>
                </w:p>
              </w:tc>
              <w:tc>
                <w:tcPr>
                  <w:tcW w:w="1242" w:type="dxa"/>
                  <w:tcMar>
                    <w:left w:w="28" w:type="dxa"/>
                    <w:right w:w="28" w:type="dxa"/>
                  </w:tcMar>
                  <w:vAlign w:val="bottom"/>
                </w:tcPr>
                <w:p w14:paraId="031E6600" w14:textId="1B9176CD" w:rsidR="00296784" w:rsidRPr="007E0B47" w:rsidRDefault="00296784" w:rsidP="00E22518">
                  <w:pPr>
                    <w:pStyle w:val="ListParagraph"/>
                    <w:shd w:val="clear" w:color="auto" w:fill="FFFFFF" w:themeFill="background1"/>
                    <w:ind w:left="0" w:right="62"/>
                    <w:contextualSpacing w:val="0"/>
                    <w:jc w:val="right"/>
                    <w:rPr>
                      <w:sz w:val="24"/>
                      <w:szCs w:val="24"/>
                    </w:rPr>
                  </w:pPr>
                  <w:r w:rsidRPr="007E0B47">
                    <w:rPr>
                      <w:color w:val="000000"/>
                    </w:rPr>
                    <w:t>0</w:t>
                  </w:r>
                </w:p>
              </w:tc>
              <w:tc>
                <w:tcPr>
                  <w:tcW w:w="770" w:type="dxa"/>
                  <w:vAlign w:val="bottom"/>
                </w:tcPr>
                <w:p w14:paraId="57F150CD" w14:textId="6AABF629" w:rsidR="00296784" w:rsidRPr="007E0B47" w:rsidRDefault="00296784" w:rsidP="00E22518">
                  <w:pPr>
                    <w:pStyle w:val="ListParagraph"/>
                    <w:shd w:val="clear" w:color="auto" w:fill="FFFFFF" w:themeFill="background1"/>
                    <w:ind w:left="0" w:right="62"/>
                    <w:contextualSpacing w:val="0"/>
                    <w:jc w:val="right"/>
                    <w:rPr>
                      <w:rFonts w:ascii="Calibri" w:hAnsi="Calibri" w:cs="Calibri"/>
                    </w:rPr>
                  </w:pPr>
                  <w:r w:rsidRPr="007E0B47">
                    <w:rPr>
                      <w:color w:val="000000"/>
                    </w:rPr>
                    <w:t>0</w:t>
                  </w:r>
                </w:p>
              </w:tc>
            </w:tr>
            <w:tr w:rsidR="00296784" w:rsidRPr="007E0B47" w14:paraId="7BB4B8CA" w14:textId="12C8341C" w:rsidTr="00443D4E">
              <w:trPr>
                <w:trHeight w:val="284"/>
              </w:trPr>
              <w:tc>
                <w:tcPr>
                  <w:tcW w:w="1065" w:type="dxa"/>
                  <w:tcMar>
                    <w:left w:w="28" w:type="dxa"/>
                    <w:right w:w="28" w:type="dxa"/>
                  </w:tcMar>
                  <w:vAlign w:val="center"/>
                </w:tcPr>
                <w:p w14:paraId="22632C41" w14:textId="642B94E9" w:rsidR="00296784" w:rsidRPr="007E0B47" w:rsidRDefault="00296784" w:rsidP="00E22518">
                  <w:pPr>
                    <w:pStyle w:val="ListParagraph"/>
                    <w:shd w:val="clear" w:color="auto" w:fill="FFFFFF" w:themeFill="background1"/>
                    <w:ind w:left="0" w:right="62"/>
                    <w:contextualSpacing w:val="0"/>
                    <w:rPr>
                      <w:b/>
                      <w:sz w:val="24"/>
                      <w:szCs w:val="24"/>
                    </w:rPr>
                  </w:pPr>
                  <w:r w:rsidRPr="007E0B47">
                    <w:rPr>
                      <w:b/>
                      <w:sz w:val="24"/>
                      <w:szCs w:val="24"/>
                    </w:rPr>
                    <w:t>KOPĀ</w:t>
                  </w:r>
                </w:p>
              </w:tc>
              <w:tc>
                <w:tcPr>
                  <w:tcW w:w="1398" w:type="dxa"/>
                  <w:tcMar>
                    <w:left w:w="28" w:type="dxa"/>
                    <w:right w:w="28" w:type="dxa"/>
                  </w:tcMar>
                  <w:vAlign w:val="center"/>
                </w:tcPr>
                <w:p w14:paraId="51A58C09" w14:textId="4954E4E8" w:rsidR="00296784" w:rsidRPr="007E0B47" w:rsidRDefault="00296784" w:rsidP="00E22518">
                  <w:pPr>
                    <w:shd w:val="clear" w:color="auto" w:fill="FFFFFF" w:themeFill="background1"/>
                    <w:jc w:val="right"/>
                    <w:rPr>
                      <w:rFonts w:eastAsia="Times New Roman"/>
                      <w:b/>
                      <w:bCs/>
                      <w:color w:val="000000"/>
                      <w:sz w:val="22"/>
                      <w:szCs w:val="22"/>
                    </w:rPr>
                  </w:pPr>
                  <w:r w:rsidRPr="007E0B47">
                    <w:rPr>
                      <w:b/>
                      <w:bCs/>
                      <w:color w:val="000000"/>
                      <w:sz w:val="22"/>
                      <w:szCs w:val="22"/>
                    </w:rPr>
                    <w:t>58 189 538</w:t>
                  </w:r>
                </w:p>
              </w:tc>
              <w:tc>
                <w:tcPr>
                  <w:tcW w:w="1678" w:type="dxa"/>
                  <w:tcMar>
                    <w:left w:w="28" w:type="dxa"/>
                    <w:right w:w="28" w:type="dxa"/>
                  </w:tcMar>
                  <w:vAlign w:val="center"/>
                </w:tcPr>
                <w:p w14:paraId="56FA079D" w14:textId="5594557A" w:rsidR="00296784" w:rsidRPr="007E0B47" w:rsidRDefault="00296784" w:rsidP="00E22518">
                  <w:pPr>
                    <w:pStyle w:val="ListParagraph"/>
                    <w:shd w:val="clear" w:color="auto" w:fill="FFFFFF" w:themeFill="background1"/>
                    <w:ind w:left="0" w:right="62"/>
                    <w:contextualSpacing w:val="0"/>
                    <w:jc w:val="right"/>
                    <w:rPr>
                      <w:b/>
                      <w:sz w:val="24"/>
                      <w:szCs w:val="24"/>
                    </w:rPr>
                  </w:pPr>
                  <w:r w:rsidRPr="007E0B47">
                    <w:rPr>
                      <w:b/>
                      <w:bCs/>
                    </w:rPr>
                    <w:t>26 755 51</w:t>
                  </w:r>
                  <w:r w:rsidR="00B45C2D" w:rsidRPr="007E0B47">
                    <w:rPr>
                      <w:b/>
                      <w:bCs/>
                    </w:rPr>
                    <w:t>2</w:t>
                  </w:r>
                </w:p>
              </w:tc>
              <w:tc>
                <w:tcPr>
                  <w:tcW w:w="1242" w:type="dxa"/>
                  <w:tcMar>
                    <w:left w:w="28" w:type="dxa"/>
                    <w:right w:w="28" w:type="dxa"/>
                  </w:tcMar>
                  <w:vAlign w:val="bottom"/>
                </w:tcPr>
                <w:p w14:paraId="510303C7" w14:textId="36A01E6F" w:rsidR="00296784" w:rsidRPr="007E0B47" w:rsidRDefault="00296784" w:rsidP="00E22518">
                  <w:pPr>
                    <w:pStyle w:val="ListParagraph"/>
                    <w:shd w:val="clear" w:color="auto" w:fill="FFFFFF" w:themeFill="background1"/>
                    <w:ind w:left="0" w:right="62"/>
                    <w:contextualSpacing w:val="0"/>
                    <w:jc w:val="right"/>
                    <w:rPr>
                      <w:b/>
                      <w:sz w:val="24"/>
                      <w:szCs w:val="24"/>
                    </w:rPr>
                  </w:pPr>
                  <w:r w:rsidRPr="007E0B47">
                    <w:rPr>
                      <w:b/>
                      <w:color w:val="000000"/>
                    </w:rPr>
                    <w:t>31 434 02</w:t>
                  </w:r>
                  <w:r w:rsidR="00B45C2D" w:rsidRPr="007E0B47">
                    <w:rPr>
                      <w:b/>
                      <w:color w:val="000000"/>
                    </w:rPr>
                    <w:t>6</w:t>
                  </w:r>
                </w:p>
              </w:tc>
              <w:tc>
                <w:tcPr>
                  <w:tcW w:w="770" w:type="dxa"/>
                  <w:tcMar>
                    <w:left w:w="28" w:type="dxa"/>
                    <w:right w:w="28" w:type="dxa"/>
                  </w:tcMar>
                  <w:vAlign w:val="bottom"/>
                </w:tcPr>
                <w:p w14:paraId="2583C78D" w14:textId="620F7861" w:rsidR="00296784" w:rsidRPr="007E0B47" w:rsidRDefault="00296784" w:rsidP="00E22518">
                  <w:pPr>
                    <w:pStyle w:val="ListParagraph"/>
                    <w:shd w:val="clear" w:color="auto" w:fill="FFFFFF" w:themeFill="background1"/>
                    <w:ind w:left="0" w:right="62"/>
                    <w:contextualSpacing w:val="0"/>
                    <w:jc w:val="right"/>
                    <w:rPr>
                      <w:b/>
                      <w:sz w:val="24"/>
                      <w:szCs w:val="24"/>
                    </w:rPr>
                  </w:pPr>
                  <w:r w:rsidRPr="007E0B47">
                    <w:rPr>
                      <w:b/>
                      <w:color w:val="000000"/>
                    </w:rPr>
                    <w:t>117</w:t>
                  </w:r>
                </w:p>
              </w:tc>
            </w:tr>
          </w:tbl>
          <w:p w14:paraId="0D59F9C9" w14:textId="4FD053DC" w:rsidR="00817DCD" w:rsidRPr="007E0B47" w:rsidRDefault="00817DCD" w:rsidP="00E22518">
            <w:pPr>
              <w:shd w:val="clear" w:color="auto" w:fill="FFFFFF" w:themeFill="background1"/>
              <w:spacing w:after="120"/>
              <w:ind w:right="62"/>
              <w:jc w:val="both"/>
            </w:pPr>
          </w:p>
          <w:p w14:paraId="678D95E0" w14:textId="37BC5E7E" w:rsidR="002C4100" w:rsidRPr="007E0B47" w:rsidRDefault="002C4100" w:rsidP="00E22518">
            <w:pPr>
              <w:pStyle w:val="ListParagraph"/>
              <w:shd w:val="clear" w:color="auto" w:fill="FFFFFF" w:themeFill="background1"/>
              <w:spacing w:after="120"/>
              <w:ind w:left="0" w:right="62"/>
              <w:contextualSpacing w:val="0"/>
              <w:jc w:val="both"/>
              <w:rPr>
                <w:sz w:val="24"/>
                <w:szCs w:val="24"/>
              </w:rPr>
            </w:pPr>
            <w:r w:rsidRPr="007E0B47">
              <w:rPr>
                <w:sz w:val="24"/>
                <w:szCs w:val="24"/>
              </w:rPr>
              <w:t>Tā kā sākotnējā VBD prognoze būtiski atšķiras no esošās prognozes</w:t>
            </w:r>
            <w:r w:rsidR="00C60ED2" w:rsidRPr="007E0B47">
              <w:rPr>
                <w:sz w:val="24"/>
                <w:szCs w:val="24"/>
              </w:rPr>
              <w:t>, kā arī ņemot vērā FM Informatīv</w:t>
            </w:r>
            <w:r w:rsidR="00EF56B4" w:rsidRPr="007E0B47">
              <w:rPr>
                <w:sz w:val="24"/>
                <w:szCs w:val="24"/>
              </w:rPr>
              <w:t>ajā</w:t>
            </w:r>
            <w:r w:rsidR="00C60ED2" w:rsidRPr="007E0B47">
              <w:rPr>
                <w:sz w:val="24"/>
                <w:szCs w:val="24"/>
              </w:rPr>
              <w:t xml:space="preserve"> ziņojumā sniegtos argumentus un MK 2018.gada 18.decembra sēdes protokola Nr.60 97§ 2.punktu</w:t>
            </w:r>
            <w:r w:rsidRPr="007E0B47">
              <w:rPr>
                <w:sz w:val="24"/>
                <w:szCs w:val="24"/>
              </w:rPr>
              <w:t xml:space="preserve">, </w:t>
            </w:r>
            <w:r w:rsidR="00C60ED2" w:rsidRPr="007E0B47">
              <w:rPr>
                <w:sz w:val="24"/>
                <w:szCs w:val="24"/>
              </w:rPr>
              <w:t xml:space="preserve">ir </w:t>
            </w:r>
            <w:r w:rsidRPr="007E0B47">
              <w:rPr>
                <w:sz w:val="24"/>
                <w:szCs w:val="24"/>
              </w:rPr>
              <w:t>nepieciešami grozījumi MK noteikumos Nr.42., lai mazinātu ietekmi uz valsts budžetu</w:t>
            </w:r>
            <w:r w:rsidR="00DC3D43" w:rsidRPr="007E0B47">
              <w:rPr>
                <w:sz w:val="24"/>
                <w:szCs w:val="24"/>
              </w:rPr>
              <w:t>, paredzot šādus</w:t>
            </w:r>
            <w:r w:rsidR="00C60ED2" w:rsidRPr="007E0B47">
              <w:rPr>
                <w:sz w:val="24"/>
                <w:szCs w:val="24"/>
              </w:rPr>
              <w:t xml:space="preserve"> </w:t>
            </w:r>
            <w:r w:rsidR="000D0B0C" w:rsidRPr="007E0B47">
              <w:rPr>
                <w:sz w:val="24"/>
                <w:szCs w:val="24"/>
              </w:rPr>
              <w:t>nosacījum</w:t>
            </w:r>
            <w:r w:rsidR="00C60ED2" w:rsidRPr="007E0B47">
              <w:rPr>
                <w:sz w:val="24"/>
                <w:szCs w:val="24"/>
              </w:rPr>
              <w:t>us</w:t>
            </w:r>
            <w:r w:rsidR="000D0B0C" w:rsidRPr="007E0B47">
              <w:rPr>
                <w:sz w:val="24"/>
                <w:szCs w:val="24"/>
              </w:rPr>
              <w:t>:</w:t>
            </w:r>
          </w:p>
          <w:p w14:paraId="6400F1F9" w14:textId="64C163AC" w:rsidR="002C4100" w:rsidRPr="007E0B47" w:rsidRDefault="002C4100" w:rsidP="00E22518">
            <w:pPr>
              <w:pStyle w:val="ListParagraph"/>
              <w:numPr>
                <w:ilvl w:val="0"/>
                <w:numId w:val="18"/>
              </w:numPr>
              <w:shd w:val="clear" w:color="auto" w:fill="FFFFFF" w:themeFill="background1"/>
              <w:spacing w:after="120"/>
              <w:ind w:right="62"/>
              <w:jc w:val="both"/>
              <w:rPr>
                <w:sz w:val="24"/>
                <w:szCs w:val="24"/>
              </w:rPr>
            </w:pPr>
            <w:r w:rsidRPr="007E0B47">
              <w:rPr>
                <w:sz w:val="24"/>
                <w:szCs w:val="24"/>
              </w:rPr>
              <w:t xml:space="preserve">VBD turpmāk būtu jāaprēķina nevis no projekta iesniedzēja līdzfinansējuma publiskajām attiecināmajām izmaksām, bet gan no projekta iesniedzēja publisko </w:t>
            </w:r>
            <w:r w:rsidRPr="006130AB">
              <w:rPr>
                <w:sz w:val="24"/>
                <w:szCs w:val="24"/>
              </w:rPr>
              <w:t>attiecināmo izmaksu minimālā līdzfinansējuma (tāpat kā 2007.-2013. gada plānošanas periodā)</w:t>
            </w:r>
            <w:r w:rsidR="00BB163B" w:rsidRPr="006130AB">
              <w:rPr>
                <w:sz w:val="24"/>
                <w:szCs w:val="24"/>
              </w:rPr>
              <w:t xml:space="preserve"> un projektam paredzētā Eiropas Savienības fonda finansējuma apjoma</w:t>
            </w:r>
            <w:r w:rsidR="00A8571F" w:rsidRPr="006130AB">
              <w:rPr>
                <w:sz w:val="24"/>
                <w:szCs w:val="24"/>
              </w:rPr>
              <w:t xml:space="preserve"> kopsummas</w:t>
            </w:r>
            <w:r w:rsidRPr="007E0B47">
              <w:rPr>
                <w:sz w:val="24"/>
                <w:szCs w:val="24"/>
              </w:rPr>
              <w:t>.</w:t>
            </w:r>
          </w:p>
          <w:p w14:paraId="134FBA4C" w14:textId="77777777" w:rsidR="002C4100" w:rsidRPr="007E0B47" w:rsidRDefault="002C4100" w:rsidP="00E22518">
            <w:pPr>
              <w:pStyle w:val="ListParagraph"/>
              <w:numPr>
                <w:ilvl w:val="0"/>
                <w:numId w:val="18"/>
              </w:numPr>
              <w:shd w:val="clear" w:color="auto" w:fill="FFFFFF" w:themeFill="background1"/>
              <w:spacing w:after="120"/>
              <w:ind w:right="62"/>
              <w:jc w:val="both"/>
              <w:rPr>
                <w:sz w:val="24"/>
                <w:szCs w:val="24"/>
              </w:rPr>
            </w:pPr>
            <w:r w:rsidRPr="007E0B47">
              <w:rPr>
                <w:sz w:val="24"/>
                <w:szCs w:val="24"/>
              </w:rPr>
              <w:t xml:space="preserve">šo nosacījumu piemēro attiecībā uz: </w:t>
            </w:r>
          </w:p>
          <w:p w14:paraId="7F899C01" w14:textId="4FFC1601" w:rsidR="00D73BA6" w:rsidRPr="006130AB" w:rsidRDefault="00347614" w:rsidP="00347614">
            <w:pPr>
              <w:pStyle w:val="ListParagraph"/>
              <w:numPr>
                <w:ilvl w:val="1"/>
                <w:numId w:val="18"/>
              </w:numPr>
              <w:shd w:val="clear" w:color="auto" w:fill="FFFFFF" w:themeFill="background1"/>
              <w:spacing w:after="120"/>
              <w:ind w:right="62"/>
              <w:jc w:val="both"/>
              <w:rPr>
                <w:sz w:val="24"/>
                <w:szCs w:val="24"/>
              </w:rPr>
            </w:pPr>
            <w:r w:rsidRPr="007E0B47">
              <w:rPr>
                <w:sz w:val="24"/>
                <w:szCs w:val="24"/>
              </w:rPr>
              <w:t xml:space="preserve">projektu iesniegumiem, kas iesniegti vērtēšanai Eiropas Savienības fondu vadībā iesaistītajā </w:t>
            </w:r>
            <w:r w:rsidRPr="006130AB">
              <w:rPr>
                <w:sz w:val="24"/>
                <w:szCs w:val="24"/>
              </w:rPr>
              <w:t xml:space="preserve">institūcijā pēc 2019. gada 1. </w:t>
            </w:r>
            <w:r w:rsidR="007C5D47" w:rsidRPr="006130AB">
              <w:rPr>
                <w:sz w:val="24"/>
                <w:szCs w:val="24"/>
              </w:rPr>
              <w:t>jūnija</w:t>
            </w:r>
            <w:r w:rsidR="00D73BA6" w:rsidRPr="006130AB">
              <w:rPr>
                <w:sz w:val="24"/>
                <w:szCs w:val="24"/>
              </w:rPr>
              <w:t>;</w:t>
            </w:r>
            <w:r w:rsidRPr="006130AB">
              <w:rPr>
                <w:sz w:val="24"/>
                <w:szCs w:val="24"/>
              </w:rPr>
              <w:t xml:space="preserve"> </w:t>
            </w:r>
          </w:p>
          <w:p w14:paraId="1E0A07EE" w14:textId="17E3B991" w:rsidR="00347614" w:rsidRPr="006130AB" w:rsidRDefault="00347614" w:rsidP="00347614">
            <w:pPr>
              <w:pStyle w:val="ListParagraph"/>
              <w:numPr>
                <w:ilvl w:val="1"/>
                <w:numId w:val="18"/>
              </w:numPr>
              <w:shd w:val="clear" w:color="auto" w:fill="FFFFFF" w:themeFill="background1"/>
              <w:spacing w:after="120"/>
              <w:ind w:right="62"/>
              <w:jc w:val="both"/>
              <w:rPr>
                <w:sz w:val="24"/>
                <w:szCs w:val="24"/>
              </w:rPr>
            </w:pPr>
            <w:r w:rsidRPr="006130AB">
              <w:rPr>
                <w:sz w:val="24"/>
                <w:szCs w:val="24"/>
              </w:rPr>
              <w:t xml:space="preserve">apstiprināto projektu grozījumiem, ar kuriem </w:t>
            </w:r>
            <w:r w:rsidR="002C4DF1" w:rsidRPr="006130AB">
              <w:rPr>
                <w:sz w:val="24"/>
                <w:szCs w:val="24"/>
              </w:rPr>
              <w:t xml:space="preserve">palielina </w:t>
            </w:r>
            <w:r w:rsidRPr="006130AB">
              <w:rPr>
                <w:sz w:val="24"/>
                <w:szCs w:val="24"/>
              </w:rPr>
              <w:t>jau piešķirto valsts budžeta dotāciju</w:t>
            </w:r>
            <w:r w:rsidR="002C4DF1" w:rsidRPr="006130AB">
              <w:rPr>
                <w:sz w:val="24"/>
                <w:szCs w:val="24"/>
              </w:rPr>
              <w:t xml:space="preserve">. </w:t>
            </w:r>
            <w:r w:rsidR="00C36A44" w:rsidRPr="006130AB">
              <w:rPr>
                <w:sz w:val="24"/>
                <w:szCs w:val="24"/>
              </w:rPr>
              <w:lastRenderedPageBreak/>
              <w:t>N</w:t>
            </w:r>
            <w:r w:rsidR="002C4DF1" w:rsidRPr="006130AB">
              <w:rPr>
                <w:sz w:val="24"/>
                <w:szCs w:val="24"/>
              </w:rPr>
              <w:t xml:space="preserve">oteikumu projekts atļauj saglabāt </w:t>
            </w:r>
            <w:r w:rsidR="00EA1770" w:rsidRPr="006130AB">
              <w:rPr>
                <w:sz w:val="24"/>
                <w:szCs w:val="24"/>
              </w:rPr>
              <w:t>apstiprināto projektu</w:t>
            </w:r>
            <w:r w:rsidR="002C4DF1" w:rsidRPr="006130AB">
              <w:rPr>
                <w:sz w:val="24"/>
                <w:szCs w:val="24"/>
              </w:rPr>
              <w:t xml:space="preserve"> </w:t>
            </w:r>
            <w:r w:rsidR="00C36A44" w:rsidRPr="006130AB">
              <w:rPr>
                <w:sz w:val="24"/>
                <w:szCs w:val="24"/>
              </w:rPr>
              <w:t>VBD</w:t>
            </w:r>
            <w:r w:rsidR="002C4DF1" w:rsidRPr="006130AB">
              <w:rPr>
                <w:sz w:val="24"/>
                <w:szCs w:val="24"/>
              </w:rPr>
              <w:t xml:space="preserve"> apjomu, kuru nepieciešamības gadījumā var samazināt, bet nevar palielināt, piemēram, ja projekta īstenošanas rezultātā ir radusies ekonomija, tad, veicot projekta grozījumus, proporcionāli tiek samazināts ne tikai E</w:t>
            </w:r>
            <w:r w:rsidR="00AA40A3" w:rsidRPr="006130AB">
              <w:rPr>
                <w:sz w:val="24"/>
                <w:szCs w:val="24"/>
              </w:rPr>
              <w:t>iropas Savienības</w:t>
            </w:r>
            <w:r w:rsidR="002C4DF1" w:rsidRPr="006130AB">
              <w:rPr>
                <w:sz w:val="24"/>
                <w:szCs w:val="24"/>
              </w:rPr>
              <w:t xml:space="preserve"> fond</w:t>
            </w:r>
            <w:r w:rsidR="00AA40A3" w:rsidRPr="006130AB">
              <w:rPr>
                <w:sz w:val="24"/>
                <w:szCs w:val="24"/>
              </w:rPr>
              <w:t>a</w:t>
            </w:r>
            <w:r w:rsidR="002C4DF1" w:rsidRPr="006130AB">
              <w:rPr>
                <w:sz w:val="24"/>
                <w:szCs w:val="24"/>
              </w:rPr>
              <w:t xml:space="preserve"> finansējums, bet arī VBD apjoms. Savukārt, ja </w:t>
            </w:r>
            <w:r w:rsidR="00EA1770" w:rsidRPr="006130AB">
              <w:rPr>
                <w:sz w:val="24"/>
                <w:szCs w:val="24"/>
              </w:rPr>
              <w:t>finansējuma saņēmējs</w:t>
            </w:r>
            <w:r w:rsidR="002C4DF1" w:rsidRPr="006130AB">
              <w:rPr>
                <w:sz w:val="24"/>
                <w:szCs w:val="24"/>
              </w:rPr>
              <w:t xml:space="preserve"> pēc noteikumu projekta stāšanās spēkā </w:t>
            </w:r>
            <w:r w:rsidR="00AA40A3" w:rsidRPr="006130AB">
              <w:rPr>
                <w:sz w:val="24"/>
                <w:szCs w:val="24"/>
              </w:rPr>
              <w:t>ierosina</w:t>
            </w:r>
            <w:r w:rsidR="002C4DF1" w:rsidRPr="006130AB">
              <w:rPr>
                <w:sz w:val="24"/>
                <w:szCs w:val="24"/>
              </w:rPr>
              <w:t xml:space="preserve"> grozījumus projektā, kas paredz palielināt VBD</w:t>
            </w:r>
            <w:r w:rsidR="00AA40A3" w:rsidRPr="006130AB">
              <w:rPr>
                <w:sz w:val="24"/>
                <w:szCs w:val="24"/>
              </w:rPr>
              <w:t xml:space="preserve"> apjomu, tiek piemērota noteikumu projektā noteiktā kārtība, kas paredz, ka VBD aprēķina no projekta iesniedzēja publisko attiecināmo izmaksu minimālā līdzfinansējuma un projektam paredzētā Eiropas Savienības fonda finansējuma apjoma kopsummas</w:t>
            </w:r>
            <w:r w:rsidRPr="006130AB">
              <w:rPr>
                <w:sz w:val="24"/>
                <w:szCs w:val="24"/>
              </w:rPr>
              <w:t>;</w:t>
            </w:r>
          </w:p>
          <w:p w14:paraId="6F57C6EF" w14:textId="3EF5C657" w:rsidR="00B15D9B" w:rsidRPr="006130AB" w:rsidRDefault="00347614" w:rsidP="00347614">
            <w:pPr>
              <w:pStyle w:val="ListParagraph"/>
              <w:numPr>
                <w:ilvl w:val="1"/>
                <w:numId w:val="18"/>
              </w:numPr>
              <w:shd w:val="clear" w:color="auto" w:fill="FFFFFF" w:themeFill="background1"/>
              <w:spacing w:after="120"/>
              <w:ind w:right="62"/>
              <w:jc w:val="both"/>
              <w:rPr>
                <w:sz w:val="24"/>
                <w:szCs w:val="24"/>
              </w:rPr>
            </w:pPr>
            <w:r w:rsidRPr="006130AB">
              <w:rPr>
                <w:sz w:val="24"/>
                <w:szCs w:val="24"/>
              </w:rPr>
              <w:t xml:space="preserve">projektu iesniegumiem, kas iesniegti vērtēšanai Eiropas Savienības fondu vadībā iesaistītajā institūcijā līdz 2019. gada 1. </w:t>
            </w:r>
            <w:r w:rsidR="007C5D47" w:rsidRPr="006130AB">
              <w:rPr>
                <w:sz w:val="24"/>
                <w:szCs w:val="24"/>
              </w:rPr>
              <w:t>jūnijam</w:t>
            </w:r>
            <w:r w:rsidRPr="006130AB">
              <w:rPr>
                <w:sz w:val="24"/>
                <w:szCs w:val="24"/>
              </w:rPr>
              <w:t xml:space="preserve">, </w:t>
            </w:r>
            <w:r w:rsidR="00443D4E" w:rsidRPr="006130AB">
              <w:rPr>
                <w:sz w:val="24"/>
                <w:szCs w:val="24"/>
              </w:rPr>
              <w:t xml:space="preserve">un kuros </w:t>
            </w:r>
            <w:r w:rsidR="001D78FB" w:rsidRPr="006130AB">
              <w:rPr>
                <w:sz w:val="24"/>
                <w:szCs w:val="24"/>
              </w:rPr>
              <w:t>VBD apjomu aprēķina pēc 2019.</w:t>
            </w:r>
            <w:r w:rsidR="007551CF" w:rsidRPr="006130AB">
              <w:rPr>
                <w:sz w:val="24"/>
                <w:szCs w:val="24"/>
              </w:rPr>
              <w:t> </w:t>
            </w:r>
            <w:r w:rsidR="001D78FB" w:rsidRPr="006130AB">
              <w:rPr>
                <w:sz w:val="24"/>
                <w:szCs w:val="24"/>
              </w:rPr>
              <w:t>gada 1.</w:t>
            </w:r>
            <w:r w:rsidR="007551CF" w:rsidRPr="006130AB">
              <w:rPr>
                <w:sz w:val="24"/>
                <w:szCs w:val="24"/>
              </w:rPr>
              <w:t> </w:t>
            </w:r>
            <w:r w:rsidR="007C5D47" w:rsidRPr="006130AB">
              <w:rPr>
                <w:sz w:val="24"/>
                <w:szCs w:val="24"/>
              </w:rPr>
              <w:t>jūnija</w:t>
            </w:r>
            <w:r w:rsidR="001D78FB" w:rsidRPr="006130AB">
              <w:rPr>
                <w:sz w:val="24"/>
                <w:szCs w:val="24"/>
              </w:rPr>
              <w:t>. MK noteikumu projekts pēc 2019.</w:t>
            </w:r>
            <w:r w:rsidR="007551CF" w:rsidRPr="006130AB">
              <w:rPr>
                <w:sz w:val="24"/>
                <w:szCs w:val="24"/>
              </w:rPr>
              <w:t> </w:t>
            </w:r>
            <w:r w:rsidR="001D78FB" w:rsidRPr="006130AB">
              <w:rPr>
                <w:sz w:val="24"/>
                <w:szCs w:val="24"/>
              </w:rPr>
              <w:t>gada 1.</w:t>
            </w:r>
            <w:r w:rsidR="007551CF" w:rsidRPr="006130AB">
              <w:rPr>
                <w:sz w:val="24"/>
                <w:szCs w:val="24"/>
              </w:rPr>
              <w:t> </w:t>
            </w:r>
            <w:r w:rsidR="007C5D47" w:rsidRPr="006130AB">
              <w:rPr>
                <w:sz w:val="24"/>
                <w:szCs w:val="24"/>
              </w:rPr>
              <w:t xml:space="preserve">jūnija </w:t>
            </w:r>
            <w:r w:rsidR="001D78FB" w:rsidRPr="006130AB">
              <w:rPr>
                <w:sz w:val="24"/>
                <w:szCs w:val="24"/>
              </w:rPr>
              <w:t>atļauj pabeigt līdz 2019.</w:t>
            </w:r>
            <w:r w:rsidR="007551CF" w:rsidRPr="006130AB">
              <w:rPr>
                <w:sz w:val="24"/>
                <w:szCs w:val="24"/>
              </w:rPr>
              <w:t> </w:t>
            </w:r>
            <w:r w:rsidR="001D78FB" w:rsidRPr="006130AB">
              <w:rPr>
                <w:sz w:val="24"/>
                <w:szCs w:val="24"/>
              </w:rPr>
              <w:t>gada 1.</w:t>
            </w:r>
            <w:r w:rsidR="007551CF" w:rsidRPr="006130AB">
              <w:rPr>
                <w:sz w:val="24"/>
                <w:szCs w:val="24"/>
              </w:rPr>
              <w:t> </w:t>
            </w:r>
            <w:r w:rsidR="007C5D47" w:rsidRPr="006130AB">
              <w:rPr>
                <w:sz w:val="24"/>
                <w:szCs w:val="24"/>
              </w:rPr>
              <w:t xml:space="preserve">jūnijam </w:t>
            </w:r>
            <w:r w:rsidR="001D78FB" w:rsidRPr="006130AB">
              <w:rPr>
                <w:sz w:val="24"/>
                <w:szCs w:val="24"/>
              </w:rPr>
              <w:t>iesniegto projektu iesniegumu vērtēšanu, saglabājot līdz 2019.</w:t>
            </w:r>
            <w:r w:rsidR="007551CF" w:rsidRPr="006130AB">
              <w:rPr>
                <w:sz w:val="24"/>
                <w:szCs w:val="24"/>
              </w:rPr>
              <w:t> </w:t>
            </w:r>
            <w:r w:rsidR="001D78FB" w:rsidRPr="006130AB">
              <w:rPr>
                <w:sz w:val="24"/>
                <w:szCs w:val="24"/>
              </w:rPr>
              <w:t>gada 1.</w:t>
            </w:r>
            <w:r w:rsidR="007551CF" w:rsidRPr="006130AB">
              <w:rPr>
                <w:sz w:val="24"/>
                <w:szCs w:val="24"/>
              </w:rPr>
              <w:t> </w:t>
            </w:r>
            <w:r w:rsidR="007C5D47" w:rsidRPr="006130AB">
              <w:rPr>
                <w:sz w:val="24"/>
                <w:szCs w:val="24"/>
              </w:rPr>
              <w:t xml:space="preserve">jūnijam </w:t>
            </w:r>
            <w:r w:rsidR="001D78FB" w:rsidRPr="006130AB">
              <w:rPr>
                <w:sz w:val="24"/>
                <w:szCs w:val="24"/>
              </w:rPr>
              <w:t>aprēķināto VBD apjomu</w:t>
            </w:r>
            <w:r w:rsidR="008E41B1" w:rsidRPr="006130AB">
              <w:rPr>
                <w:sz w:val="24"/>
                <w:szCs w:val="24"/>
              </w:rPr>
              <w:t xml:space="preserve">, kuru nepieciešamības gadījumā </w:t>
            </w:r>
            <w:r w:rsidR="004F76E0" w:rsidRPr="006130AB">
              <w:rPr>
                <w:sz w:val="24"/>
                <w:szCs w:val="24"/>
              </w:rPr>
              <w:t xml:space="preserve">vērtēšanas procesa laikā </w:t>
            </w:r>
            <w:r w:rsidR="008E41B1" w:rsidRPr="006130AB">
              <w:rPr>
                <w:sz w:val="24"/>
                <w:szCs w:val="24"/>
              </w:rPr>
              <w:t>var samazināt</w:t>
            </w:r>
            <w:r w:rsidR="004F76E0" w:rsidRPr="006130AB">
              <w:rPr>
                <w:sz w:val="24"/>
                <w:szCs w:val="24"/>
              </w:rPr>
              <w:t>, bet nevar palielināt</w:t>
            </w:r>
            <w:r w:rsidR="00443D4E" w:rsidRPr="006130AB">
              <w:rPr>
                <w:sz w:val="24"/>
                <w:szCs w:val="24"/>
              </w:rPr>
              <w:t xml:space="preserve">. </w:t>
            </w:r>
          </w:p>
          <w:p w14:paraId="75AEFBB7" w14:textId="6BB9FC57" w:rsidR="00642D3F" w:rsidRPr="006130AB" w:rsidRDefault="009C4B2C" w:rsidP="00642D3F">
            <w:pPr>
              <w:shd w:val="clear" w:color="auto" w:fill="FFFFFF" w:themeFill="background1"/>
              <w:spacing w:after="120"/>
              <w:ind w:right="62"/>
              <w:jc w:val="both"/>
            </w:pPr>
            <w:r w:rsidRPr="006130AB">
              <w:t>VBD</w:t>
            </w:r>
            <w:r w:rsidR="00642D3F" w:rsidRPr="006130AB">
              <w:t xml:space="preserve"> par snieguma rezerves </w:t>
            </w:r>
            <w:proofErr w:type="spellStart"/>
            <w:r w:rsidR="00642D3F" w:rsidRPr="006130AB">
              <w:t>priekšfinansējumu</w:t>
            </w:r>
            <w:proofErr w:type="spellEnd"/>
            <w:r w:rsidR="00642D3F" w:rsidRPr="006130AB">
              <w:t xml:space="preserve"> neaprēķina, jo saskaņā ar MK noteikum</w:t>
            </w:r>
            <w:r w:rsidR="00EF6A39" w:rsidRPr="006130AB">
              <w:t>u</w:t>
            </w:r>
            <w:r w:rsidR="00642D3F" w:rsidRPr="006130AB">
              <w:t xml:space="preserve"> Nr. 42 2.</w:t>
            </w:r>
            <w:r w:rsidR="00ED2619" w:rsidRPr="006130AB">
              <w:t xml:space="preserve"> </w:t>
            </w:r>
            <w:r w:rsidR="00642D3F" w:rsidRPr="006130AB">
              <w:t xml:space="preserve">punktu </w:t>
            </w:r>
            <w:r w:rsidRPr="006130AB">
              <w:t>VBD</w:t>
            </w:r>
            <w:r w:rsidR="00642D3F" w:rsidRPr="006130AB">
              <w:t xml:space="preserve"> aprēķina no normatīvajos aktos par Eiropas Savienības fonda specifiskā atbalsta mērķa īstenošanu noteiktās nacionālā publiskā finansējuma attiecināmo izmaksu daļas, ko iegulda pašvaldība un kas netiek segta no projekta pašfinansēšanas rezultātā iegūtajiem līdzekļiem. Savukārt snieguma rezerve var tikt segta no Eiropas Reģionālās attīstības fonda (turpmāk – ERAF) līdzekļiem, līdz ar to tā nav attiecināmo izmaksu daļa, ko iegulda pašvaldība, bet gan pašvaldības finansējums, kas potenciāli tikai uz laiku aizstāj ERAF finansējumu.</w:t>
            </w:r>
          </w:p>
          <w:p w14:paraId="0D4C5683" w14:textId="37C246B1" w:rsidR="00A8571F" w:rsidRPr="007E0B47" w:rsidRDefault="00A8571F" w:rsidP="00642D3F">
            <w:pPr>
              <w:shd w:val="clear" w:color="auto" w:fill="FFFFFF" w:themeFill="background1"/>
              <w:spacing w:after="120"/>
              <w:ind w:right="62"/>
              <w:jc w:val="both"/>
            </w:pPr>
            <w:r w:rsidRPr="006130AB">
              <w:t xml:space="preserve">Papildus tiek veikts redakcionāls precizējums MK noteikumu Nr.42 9.punktā, lai, pēc izmaiņu ieviešanas 8.punktā, saglabātu projekta iesnieguma pašvaldības līdzfinansējuma aprēķina formulas būtību atbilstoši MK noteikumu Nr.42 9.punktā sākotnēji paredzētajai (tiek mainīts tikai </w:t>
            </w:r>
            <w:r w:rsidR="00B24811" w:rsidRPr="006130AB">
              <w:t>apzīmējums</w:t>
            </w:r>
            <w:r w:rsidRPr="006130AB">
              <w:t xml:space="preserve"> </w:t>
            </w:r>
            <w:r w:rsidR="00F2049D" w:rsidRPr="006130AB">
              <w:t>"</w:t>
            </w:r>
            <w:r w:rsidRPr="006130AB">
              <w:t>B</w:t>
            </w:r>
            <w:r w:rsidR="00F2049D" w:rsidRPr="006130AB">
              <w:t>"</w:t>
            </w:r>
            <w:r w:rsidRPr="006130AB">
              <w:t xml:space="preserve">, aizstājot to ar </w:t>
            </w:r>
            <w:r w:rsidR="00B24811" w:rsidRPr="006130AB">
              <w:t>apzīmējumu</w:t>
            </w:r>
            <w:r w:rsidRPr="006130AB">
              <w:t xml:space="preserve"> </w:t>
            </w:r>
            <w:r w:rsidR="00F2049D" w:rsidRPr="006130AB">
              <w:t>"</w:t>
            </w:r>
            <w:r w:rsidRPr="006130AB">
              <w:t>G</w:t>
            </w:r>
            <w:r w:rsidR="00F2049D" w:rsidRPr="006130AB">
              <w:t>"</w:t>
            </w:r>
            <w:r w:rsidRPr="006130AB">
              <w:t xml:space="preserve">, bet nemainot apzīmējuma saturu, t.i. </w:t>
            </w:r>
            <w:r w:rsidR="00F2049D" w:rsidRPr="006130AB">
              <w:t>"</w:t>
            </w:r>
            <w:r w:rsidRPr="006130AB">
              <w:t xml:space="preserve">G – projekta iesnieguma kopējais attiecināmo izmaksu apmērs, </w:t>
            </w:r>
            <w:proofErr w:type="spellStart"/>
            <w:r w:rsidRPr="006130AB">
              <w:rPr>
                <w:i/>
              </w:rPr>
              <w:t>euro</w:t>
            </w:r>
            <w:proofErr w:type="spellEnd"/>
            <w:r w:rsidR="00F2049D" w:rsidRPr="006130AB">
              <w:t>"</w:t>
            </w:r>
            <w:r w:rsidRPr="006130AB">
              <w:t>.</w:t>
            </w:r>
            <w:r w:rsidR="00F2049D" w:rsidRPr="007E0B47">
              <w:rPr>
                <w:b/>
              </w:rPr>
              <w:t xml:space="preserve"> </w:t>
            </w:r>
          </w:p>
        </w:tc>
      </w:tr>
      <w:tr w:rsidR="00C71FAA" w:rsidRPr="00E22518" w14:paraId="7149BCAE"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77777777" w:rsidR="00750FB6" w:rsidRPr="00E22518" w:rsidRDefault="007559D4" w:rsidP="00E22518">
            <w:pPr>
              <w:shd w:val="clear" w:color="auto" w:fill="FFFFFF" w:themeFill="background1"/>
              <w:spacing w:before="60" w:afterLines="60" w:after="144"/>
              <w:jc w:val="center"/>
              <w:rPr>
                <w:lang w:eastAsia="en-US"/>
              </w:rPr>
            </w:pPr>
            <w:r w:rsidRPr="00E22518">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41065D7B" w:rsidR="00750FB6" w:rsidRPr="00E22518" w:rsidRDefault="007559D4" w:rsidP="00E22518">
            <w:pPr>
              <w:shd w:val="clear" w:color="auto" w:fill="FFFFFF" w:themeFill="background1"/>
              <w:spacing w:before="60" w:afterLines="60" w:after="144"/>
              <w:rPr>
                <w:lang w:eastAsia="en-US"/>
              </w:rPr>
            </w:pPr>
            <w:r w:rsidRPr="00E22518">
              <w:t>Projekta izstrādē iesaistītās institūcijas</w:t>
            </w:r>
            <w:r w:rsidR="00E914E9">
              <w:t xml:space="preserve"> </w:t>
            </w:r>
            <w:r w:rsidR="00E914E9" w:rsidRPr="00E914E9">
              <w:t xml:space="preserve">un publiskas </w:t>
            </w:r>
            <w:r w:rsidR="00E914E9" w:rsidRPr="00E914E9">
              <w:lastRenderedPageBreak/>
              <w:t>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0D2EB43A" w:rsidR="00750FB6" w:rsidRPr="00E22518" w:rsidRDefault="007559D4" w:rsidP="00E22518">
            <w:pPr>
              <w:shd w:val="clear" w:color="auto" w:fill="FFFFFF" w:themeFill="background1"/>
              <w:spacing w:before="60" w:afterLines="60" w:after="144"/>
              <w:jc w:val="both"/>
              <w:rPr>
                <w:b/>
              </w:rPr>
            </w:pPr>
            <w:r w:rsidRPr="00E22518">
              <w:lastRenderedPageBreak/>
              <w:t xml:space="preserve">VARAM, </w:t>
            </w:r>
            <w:r w:rsidR="000A147A" w:rsidRPr="00E22518">
              <w:t xml:space="preserve">Finanšu ministrija, Latvijas Pašvaldību savienība </w:t>
            </w:r>
            <w:r w:rsidR="00404B7A">
              <w:t>un</w:t>
            </w:r>
            <w:r w:rsidR="000A147A" w:rsidRPr="00E22518">
              <w:t xml:space="preserve"> </w:t>
            </w:r>
            <w:r w:rsidR="001C1C28" w:rsidRPr="00E22518">
              <w:t>Lat</w:t>
            </w:r>
            <w:r w:rsidR="00717100" w:rsidRPr="00E22518">
              <w:t>vijas Lielo pilsētu asociācija</w:t>
            </w:r>
            <w:r w:rsidR="000A147A" w:rsidRPr="00E22518">
              <w:t>.</w:t>
            </w:r>
          </w:p>
        </w:tc>
      </w:tr>
      <w:tr w:rsidR="007319A5" w:rsidRPr="00E22518" w14:paraId="21C2B56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319A5" w:rsidRPr="00E22518" w:rsidRDefault="007319A5" w:rsidP="007319A5">
            <w:pPr>
              <w:shd w:val="clear" w:color="auto" w:fill="FFFFFF" w:themeFill="background1"/>
              <w:spacing w:before="60" w:afterLines="60" w:after="144"/>
              <w:jc w:val="center"/>
              <w:rPr>
                <w:lang w:eastAsia="en-US"/>
              </w:rPr>
            </w:pPr>
            <w:r w:rsidRPr="00E22518">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319A5" w:rsidRPr="00E22518" w:rsidRDefault="007319A5" w:rsidP="007319A5">
            <w:pPr>
              <w:shd w:val="clear" w:color="auto" w:fill="FFFFFF" w:themeFill="background1"/>
              <w:spacing w:before="60" w:afterLines="60" w:after="144"/>
              <w:rPr>
                <w:lang w:eastAsia="en-US"/>
              </w:rPr>
            </w:pPr>
            <w:r w:rsidRPr="00E22518">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4D3488CE" w14:textId="77777777" w:rsidR="007319A5" w:rsidRPr="006130AB" w:rsidRDefault="007319A5" w:rsidP="00396074">
            <w:pPr>
              <w:pStyle w:val="Footer"/>
              <w:tabs>
                <w:tab w:val="left" w:pos="720"/>
              </w:tabs>
              <w:spacing w:before="120" w:after="120"/>
              <w:ind w:right="112"/>
              <w:jc w:val="both"/>
              <w:rPr>
                <w:rFonts w:eastAsia="Times New Roman"/>
                <w:lang w:val="sv-SE"/>
              </w:rPr>
            </w:pPr>
            <w:r w:rsidRPr="006130AB">
              <w:rPr>
                <w:bCs/>
              </w:rPr>
              <w:t>VBD</w:t>
            </w:r>
            <w:r w:rsidRPr="006130AB">
              <w:rPr>
                <w:lang w:val="sv-SE"/>
              </w:rPr>
              <w:t xml:space="preserve"> </w:t>
            </w:r>
            <w:r w:rsidRPr="006130AB">
              <w:t>pašvaldībai aprēķināšanas formulas izmantošanas piemēri:</w:t>
            </w:r>
          </w:p>
          <w:p w14:paraId="71540C94" w14:textId="79C02BF8" w:rsidR="007C70D1" w:rsidRPr="006130AB" w:rsidRDefault="00D57D84" w:rsidP="00D57D84">
            <w:pPr>
              <w:shd w:val="clear" w:color="auto" w:fill="FFFFFF" w:themeFill="background1"/>
              <w:spacing w:before="60" w:afterLines="60" w:after="144"/>
              <w:jc w:val="both"/>
            </w:pPr>
            <w:r w:rsidRPr="006130AB">
              <w:t xml:space="preserve">1.piemērs. </w:t>
            </w:r>
            <w:r w:rsidR="007C70D1" w:rsidRPr="006130AB">
              <w:t xml:space="preserve">VBD pašvaldībai aprēķināšanas formulas izmantošanas piemērs, ja pašvaldības līdzfinansējums projektā ir vienāds ar normatīvajos aktos par Eiropas Savienības fonda specifiskā atbalsta mērķa īstenošanu noteikto minimālo nacionālā publiskā finansējuma attiecināmo izmaksu daļu, ko iegulda pašvaldība un kas netiek segta no projekta pašfinansēšanas rezultātā iegūtajiem līdzekļiem (15 procenti): </w:t>
            </w:r>
          </w:p>
          <w:p w14:paraId="40738F83" w14:textId="4A96893B" w:rsidR="007C70D1" w:rsidRPr="006130AB" w:rsidRDefault="007C70D1" w:rsidP="00D57D84">
            <w:pPr>
              <w:shd w:val="clear" w:color="auto" w:fill="FFFFFF" w:themeFill="background1"/>
              <w:spacing w:before="60" w:afterLines="60" w:after="144"/>
              <w:jc w:val="both"/>
            </w:pPr>
            <w:r w:rsidRPr="006130AB">
              <w:t xml:space="preserve">Projekta kopējās attiecināmās izmaksas ir 1 000 000 </w:t>
            </w:r>
            <w:proofErr w:type="spellStart"/>
            <w:r w:rsidRPr="006130AB">
              <w:rPr>
                <w:i/>
              </w:rPr>
              <w:t>euro</w:t>
            </w:r>
            <w:proofErr w:type="spellEnd"/>
            <w:r w:rsidRPr="006130AB">
              <w:t xml:space="preserve">. Projektā ERAF finansējums ir 850 000 </w:t>
            </w:r>
            <w:proofErr w:type="spellStart"/>
            <w:r w:rsidRPr="006130AB">
              <w:rPr>
                <w:i/>
              </w:rPr>
              <w:t>e</w:t>
            </w:r>
            <w:r w:rsidR="00D57D84" w:rsidRPr="006130AB">
              <w:rPr>
                <w:i/>
              </w:rPr>
              <w:t>uro</w:t>
            </w:r>
            <w:proofErr w:type="spellEnd"/>
            <w:r w:rsidRPr="006130AB">
              <w:t xml:space="preserve"> jeb </w:t>
            </w:r>
            <w:r w:rsidR="0038669B" w:rsidRPr="006130AB">
              <w:t>8</w:t>
            </w:r>
            <w:r w:rsidRPr="006130AB">
              <w:t xml:space="preserve">5 procenti no projekta kopējām attiecināmajām izmaksām un pašvaldības līdzfinansējums ir 150 000 </w:t>
            </w:r>
            <w:proofErr w:type="spellStart"/>
            <w:r w:rsidR="00D57D84" w:rsidRPr="006130AB">
              <w:rPr>
                <w:i/>
              </w:rPr>
              <w:t>euro</w:t>
            </w:r>
            <w:proofErr w:type="spellEnd"/>
            <w:r w:rsidRPr="006130AB">
              <w:t xml:space="preserve"> jeb 15 procenti no projekta kopējām attiecināmajām izmaksām. VBD īpatsvars pašvaldībai ir 25 procenti no projekta iesniedzēja finansējuma attiecināmo izmaksu daļas.  </w:t>
            </w:r>
          </w:p>
          <w:p w14:paraId="2C557746" w14:textId="77777777" w:rsidR="007C70D1" w:rsidRPr="006130AB" w:rsidRDefault="007C70D1" w:rsidP="00D57D84">
            <w:pPr>
              <w:shd w:val="clear" w:color="auto" w:fill="FFFFFF" w:themeFill="background1"/>
              <w:spacing w:before="60" w:afterLines="60" w:after="144"/>
              <w:jc w:val="both"/>
            </w:pPr>
            <w:r w:rsidRPr="006130AB">
              <w:t>Piemērs ar spēkā esošo MK noteikumu Nr.42 regulējumu:</w:t>
            </w:r>
          </w:p>
          <w:p w14:paraId="65CD745F" w14:textId="6C6D6E05" w:rsidR="007C70D1" w:rsidRPr="006130AB" w:rsidRDefault="007C70D1" w:rsidP="00D57D84">
            <w:pPr>
              <w:shd w:val="clear" w:color="auto" w:fill="FFFFFF" w:themeFill="background1"/>
              <w:spacing w:before="60" w:afterLines="60" w:after="144"/>
              <w:jc w:val="both"/>
            </w:pPr>
            <w:r w:rsidRPr="006130AB">
              <w:t xml:space="preserve">VBD = 1 000 000 x 0,15 x 25% = 150 000 x 0,25 = 37 500 </w:t>
            </w:r>
            <w:proofErr w:type="spellStart"/>
            <w:r w:rsidR="00D57D84" w:rsidRPr="006130AB">
              <w:rPr>
                <w:i/>
              </w:rPr>
              <w:t>euro</w:t>
            </w:r>
            <w:proofErr w:type="spellEnd"/>
            <w:r w:rsidRPr="006130AB">
              <w:t>.</w:t>
            </w:r>
          </w:p>
          <w:p w14:paraId="15F64658" w14:textId="331EB7BD" w:rsidR="007C70D1" w:rsidRPr="006130AB" w:rsidRDefault="007C70D1" w:rsidP="00D57D84">
            <w:pPr>
              <w:shd w:val="clear" w:color="auto" w:fill="FFFFFF" w:themeFill="background1"/>
              <w:spacing w:before="60" w:afterLines="60" w:after="144"/>
              <w:jc w:val="both"/>
            </w:pPr>
            <w:r w:rsidRPr="006130AB">
              <w:t>Piemērs tam pašam projektam saskaņā ar noteikumu projektā ierosinātajiem grozījumiem:</w:t>
            </w:r>
          </w:p>
          <w:p w14:paraId="6867E41F" w14:textId="7790F0DA" w:rsidR="007319A5" w:rsidRPr="006130AB" w:rsidRDefault="007C70D1" w:rsidP="00D57D84">
            <w:pPr>
              <w:shd w:val="clear" w:color="auto" w:fill="FFFFFF" w:themeFill="background1"/>
              <w:spacing w:before="60" w:afterLines="60" w:after="144"/>
              <w:jc w:val="both"/>
            </w:pPr>
            <w:r w:rsidRPr="006130AB">
              <w:t xml:space="preserve">VBD = (850 000+150 000) x 0,15 x 25% = 150 000 x 0,25 = </w:t>
            </w:r>
            <w:r w:rsidR="00D57D84" w:rsidRPr="006130AB">
              <w:br/>
            </w:r>
            <w:r w:rsidRPr="006130AB">
              <w:t xml:space="preserve">37 500 </w:t>
            </w:r>
            <w:proofErr w:type="spellStart"/>
            <w:r w:rsidR="00D57D84" w:rsidRPr="006130AB">
              <w:rPr>
                <w:i/>
              </w:rPr>
              <w:t>euro</w:t>
            </w:r>
            <w:proofErr w:type="spellEnd"/>
            <w:r w:rsidRPr="006130AB">
              <w:t>.</w:t>
            </w:r>
          </w:p>
          <w:p w14:paraId="2F00DBFE" w14:textId="77777777" w:rsidR="00D57D84" w:rsidRPr="006130AB" w:rsidRDefault="00D57D84" w:rsidP="00D57D84">
            <w:pPr>
              <w:shd w:val="clear" w:color="auto" w:fill="FFFFFF" w:themeFill="background1"/>
              <w:spacing w:before="60" w:afterLines="60" w:after="144"/>
              <w:jc w:val="both"/>
            </w:pPr>
            <w:r w:rsidRPr="006130AB">
              <w:t xml:space="preserve">2.piemērs. VBD pašvaldībai aprēķināšanas formulas izmantošanas piemērs, ja pašvaldības līdzfinansējums projektā ir lielāks par normatīvajos aktos par Eiropas Savienības fonda specifiskā atbalsta mērķa īstenošanu noteikto minimālo nacionālā publiskā finansējuma attiecināmo izmaksu daļu, ko iegulda pašvaldība un kas netiek segta no projekta pašfinansēšanas rezultātā iegūtajiem līdzekļiem: </w:t>
            </w:r>
          </w:p>
          <w:p w14:paraId="4F045D04" w14:textId="3C7B936B" w:rsidR="00D57D84" w:rsidRPr="006130AB" w:rsidRDefault="00D57D84" w:rsidP="00D57D84">
            <w:pPr>
              <w:shd w:val="clear" w:color="auto" w:fill="FFFFFF" w:themeFill="background1"/>
              <w:spacing w:before="60" w:afterLines="60" w:after="144"/>
              <w:jc w:val="both"/>
            </w:pPr>
            <w:r w:rsidRPr="006130AB">
              <w:t xml:space="preserve">Projekta kopējās attiecināmās izmaksas ir 1 700 000 </w:t>
            </w:r>
            <w:proofErr w:type="spellStart"/>
            <w:r w:rsidRPr="006130AB">
              <w:rPr>
                <w:i/>
              </w:rPr>
              <w:t>euro</w:t>
            </w:r>
            <w:proofErr w:type="spellEnd"/>
            <w:r w:rsidRPr="006130AB">
              <w:t xml:space="preserve">. Projektā ERAF finansējums ir 850 000 </w:t>
            </w:r>
            <w:proofErr w:type="spellStart"/>
            <w:r w:rsidRPr="006130AB">
              <w:rPr>
                <w:i/>
              </w:rPr>
              <w:t>euro</w:t>
            </w:r>
            <w:proofErr w:type="spellEnd"/>
            <w:r w:rsidRPr="006130AB">
              <w:t xml:space="preserve"> jeb 50 procenti no projekta kopējām attiecināmajām izmaksām un pašvaldības līdzfinansējums ir 850 000 </w:t>
            </w:r>
            <w:proofErr w:type="spellStart"/>
            <w:r w:rsidRPr="006130AB">
              <w:rPr>
                <w:i/>
              </w:rPr>
              <w:t>euro</w:t>
            </w:r>
            <w:proofErr w:type="spellEnd"/>
            <w:r w:rsidRPr="006130AB">
              <w:t xml:space="preserve"> jeb 50 procenti no projekta kopējām attiecināmajām izmaksām, lai gan normatīvajos aktos par Eiropas Savienības fonda specifiskā atbalsta mērķa īstenošanu noteiktā minimālā nacionālā publiskā finansējuma attiecināmo izmaksu daļa, ko iegulda pašvaldība un kas netiek segta no projekta pašfinansēšanas rezultātā iegūtajiem līdzekļiem, ir 150 000 </w:t>
            </w:r>
            <w:proofErr w:type="spellStart"/>
            <w:r w:rsidRPr="006130AB">
              <w:rPr>
                <w:i/>
              </w:rPr>
              <w:t>euro</w:t>
            </w:r>
            <w:proofErr w:type="spellEnd"/>
            <w:r w:rsidR="00494976" w:rsidRPr="006130AB">
              <w:t xml:space="preserve"> (850 000 / 85% x 15%)</w:t>
            </w:r>
            <w:r w:rsidRPr="006130AB">
              <w:t xml:space="preserve">. VBD īpatsvars pašvaldībai ir 25 </w:t>
            </w:r>
            <w:r w:rsidR="009C4B2C" w:rsidRPr="006130AB">
              <w:t xml:space="preserve">% </w:t>
            </w:r>
            <w:r w:rsidRPr="006130AB">
              <w:t>no projekta iesniedzēja finansējuma attiecināmo izmaksu daļas.</w:t>
            </w:r>
          </w:p>
          <w:p w14:paraId="75712FB4" w14:textId="77777777" w:rsidR="00D57D84" w:rsidRPr="006130AB" w:rsidRDefault="00D57D84" w:rsidP="00D57D84">
            <w:pPr>
              <w:shd w:val="clear" w:color="auto" w:fill="FFFFFF" w:themeFill="background1"/>
              <w:spacing w:before="60" w:afterLines="60" w:after="144"/>
              <w:jc w:val="both"/>
            </w:pPr>
            <w:r w:rsidRPr="006130AB">
              <w:t>Piemērs ar spēkā esošo MK noteikumu Nr.42 regulējumu:</w:t>
            </w:r>
          </w:p>
          <w:p w14:paraId="123FF0A6" w14:textId="383D6279" w:rsidR="00D57D84" w:rsidRPr="006130AB" w:rsidRDefault="00D57D84" w:rsidP="00D57D84">
            <w:pPr>
              <w:shd w:val="clear" w:color="auto" w:fill="FFFFFF" w:themeFill="background1"/>
              <w:spacing w:before="60" w:afterLines="60" w:after="144"/>
              <w:jc w:val="both"/>
            </w:pPr>
            <w:r w:rsidRPr="006130AB">
              <w:t xml:space="preserve">VBD = </w:t>
            </w:r>
            <w:r w:rsidR="00622A66" w:rsidRPr="006130AB">
              <w:t xml:space="preserve">1 700 000 x 0,50 x 25% = 255 000 x 0,25 = 212 500 </w:t>
            </w:r>
            <w:proofErr w:type="spellStart"/>
            <w:r w:rsidRPr="006130AB">
              <w:rPr>
                <w:i/>
              </w:rPr>
              <w:t>euro</w:t>
            </w:r>
            <w:proofErr w:type="spellEnd"/>
            <w:r w:rsidRPr="006130AB">
              <w:rPr>
                <w:i/>
              </w:rPr>
              <w:t>.</w:t>
            </w:r>
          </w:p>
          <w:p w14:paraId="39FFC548" w14:textId="6BD34DD4" w:rsidR="00D57D84" w:rsidRPr="006130AB" w:rsidRDefault="00D57D84" w:rsidP="00D57D84">
            <w:pPr>
              <w:shd w:val="clear" w:color="auto" w:fill="FFFFFF" w:themeFill="background1"/>
              <w:spacing w:before="60" w:afterLines="60" w:after="144"/>
              <w:jc w:val="both"/>
            </w:pPr>
            <w:r w:rsidRPr="006130AB">
              <w:lastRenderedPageBreak/>
              <w:t>Piemērs tam pašam projektam saskaņā ar noteikumu projektā ierosinātajiem grozījumiem:</w:t>
            </w:r>
          </w:p>
          <w:p w14:paraId="69C2C375" w14:textId="281B4C23" w:rsidR="00D57D84" w:rsidRPr="006130AB" w:rsidRDefault="00D57D84" w:rsidP="00D57D84">
            <w:pPr>
              <w:shd w:val="clear" w:color="auto" w:fill="FFFFFF" w:themeFill="background1"/>
              <w:spacing w:before="60" w:afterLines="60" w:after="144"/>
              <w:jc w:val="both"/>
            </w:pPr>
            <w:r w:rsidRPr="006130AB">
              <w:t xml:space="preserve">VBD = (850 000+150 000) x 0,15 x 25% = 150 000 x 0,25 = </w:t>
            </w:r>
            <w:r w:rsidRPr="006130AB">
              <w:br/>
              <w:t xml:space="preserve">37 500 </w:t>
            </w:r>
            <w:proofErr w:type="spellStart"/>
            <w:r w:rsidRPr="006130AB">
              <w:rPr>
                <w:i/>
              </w:rPr>
              <w:t>euro</w:t>
            </w:r>
            <w:proofErr w:type="spellEnd"/>
            <w:r w:rsidRPr="006130AB">
              <w:t>.</w:t>
            </w:r>
          </w:p>
          <w:p w14:paraId="5C1B6370" w14:textId="07C9EBCE" w:rsidR="00D57D84" w:rsidRPr="007319A5" w:rsidRDefault="00D57D84" w:rsidP="007C70D1">
            <w:pPr>
              <w:shd w:val="clear" w:color="auto" w:fill="FFFFFF" w:themeFill="background1"/>
              <w:spacing w:before="60" w:afterLines="60" w:after="144"/>
              <w:rPr>
                <w:b/>
              </w:rPr>
            </w:pPr>
          </w:p>
        </w:tc>
      </w:tr>
    </w:tbl>
    <w:p w14:paraId="45B5F19B" w14:textId="77777777" w:rsidR="00750FB6" w:rsidRPr="00E22518" w:rsidRDefault="00750FB6" w:rsidP="00E22518">
      <w:pPr>
        <w:shd w:val="clear" w:color="auto" w:fill="FFFFFF" w:themeFill="background1"/>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E22518"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E22518" w:rsidRDefault="007559D4" w:rsidP="00E22518">
            <w:pPr>
              <w:pStyle w:val="ListParagraph"/>
              <w:shd w:val="clear" w:color="auto" w:fill="FFFFFF" w:themeFill="background1"/>
              <w:tabs>
                <w:tab w:val="left" w:pos="2268"/>
                <w:tab w:val="left" w:pos="2410"/>
              </w:tabs>
              <w:ind w:left="1080"/>
              <w:jc w:val="center"/>
              <w:rPr>
                <w:b/>
                <w:sz w:val="24"/>
                <w:szCs w:val="24"/>
                <w:lang w:eastAsia="en-US"/>
              </w:rPr>
            </w:pPr>
            <w:r w:rsidRPr="00E22518">
              <w:rPr>
                <w:b/>
                <w:bCs/>
                <w:sz w:val="24"/>
                <w:szCs w:val="24"/>
              </w:rPr>
              <w:t>II. Tiesību akta projekta ietekme uz sabiedrību, tautsaimniecības attīstību un administratīvo slogu</w:t>
            </w:r>
          </w:p>
        </w:tc>
      </w:tr>
      <w:tr w:rsidR="00C71FAA" w:rsidRPr="00E22518"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750FB6" w:rsidRPr="00E22518" w:rsidRDefault="007559D4" w:rsidP="00E22518">
            <w:pPr>
              <w:shd w:val="clear" w:color="auto" w:fill="FFFFFF" w:themeFill="background1"/>
              <w:jc w:val="center"/>
              <w:rPr>
                <w:lang w:eastAsia="en-US"/>
              </w:rPr>
            </w:pPr>
            <w:r w:rsidRPr="00E2251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750FB6" w:rsidRPr="00E22518" w:rsidRDefault="007559D4" w:rsidP="00E22518">
            <w:pPr>
              <w:shd w:val="clear" w:color="auto" w:fill="FFFFFF" w:themeFill="background1"/>
              <w:rPr>
                <w:lang w:eastAsia="en-US"/>
              </w:rPr>
            </w:pPr>
            <w:r w:rsidRPr="00E22518">
              <w:t xml:space="preserve">Sabiedrības </w:t>
            </w:r>
            <w:proofErr w:type="spellStart"/>
            <w:r w:rsidRPr="00E22518">
              <w:t>mērķgrupas</w:t>
            </w:r>
            <w:proofErr w:type="spellEnd"/>
            <w:r w:rsidRPr="00E22518">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412A6914" w:rsidR="00750FB6" w:rsidRPr="00E22518" w:rsidRDefault="000A147A" w:rsidP="00E22518">
            <w:pPr>
              <w:shd w:val="clear" w:color="auto" w:fill="FFFFFF" w:themeFill="background1"/>
              <w:jc w:val="both"/>
            </w:pPr>
            <w:r w:rsidRPr="00E22518">
              <w:t>P</w:t>
            </w:r>
            <w:r w:rsidR="00E334A0" w:rsidRPr="00E22518">
              <w:t>ašvaldība</w:t>
            </w:r>
            <w:r w:rsidRPr="00E22518">
              <w:t>s, kuras īsteno Eiropas Savienības fondu projektus.</w:t>
            </w:r>
          </w:p>
        </w:tc>
      </w:tr>
      <w:tr w:rsidR="00C71FAA" w:rsidRPr="00E22518" w14:paraId="244282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750FB6" w:rsidRPr="00E22518" w:rsidRDefault="007559D4" w:rsidP="00E22518">
            <w:pPr>
              <w:shd w:val="clear" w:color="auto" w:fill="FFFFFF" w:themeFill="background1"/>
              <w:jc w:val="center"/>
            </w:pPr>
            <w:r w:rsidRPr="00E22518">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750FB6" w:rsidRPr="00E22518" w:rsidRDefault="007559D4" w:rsidP="00E22518">
            <w:pPr>
              <w:shd w:val="clear" w:color="auto" w:fill="FFFFFF" w:themeFill="background1"/>
              <w:rPr>
                <w:rFonts w:ascii="Arial" w:hAnsi="Arial" w:cs="Arial"/>
                <w:sz w:val="20"/>
                <w:szCs w:val="20"/>
              </w:rPr>
            </w:pPr>
            <w:r w:rsidRPr="00E22518">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CF4BEA5" w14:textId="3A0F8AD6" w:rsidR="00750FB6" w:rsidRPr="00E22518" w:rsidRDefault="007559D4">
            <w:pPr>
              <w:pStyle w:val="ListParagraph"/>
              <w:shd w:val="clear" w:color="auto" w:fill="FFFFFF" w:themeFill="background1"/>
              <w:tabs>
                <w:tab w:val="left" w:pos="317"/>
              </w:tabs>
              <w:spacing w:before="60"/>
              <w:ind w:left="34"/>
              <w:jc w:val="both"/>
              <w:rPr>
                <w:bCs/>
                <w:sz w:val="24"/>
                <w:szCs w:val="24"/>
                <w:lang w:eastAsia="en-US"/>
              </w:rPr>
            </w:pPr>
            <w:r w:rsidRPr="00E22518">
              <w:rPr>
                <w:sz w:val="24"/>
                <w:szCs w:val="24"/>
              </w:rPr>
              <w:t xml:space="preserve">Vērtējot </w:t>
            </w:r>
            <w:r w:rsidR="00DA316E" w:rsidRPr="00E22518">
              <w:rPr>
                <w:sz w:val="24"/>
                <w:szCs w:val="24"/>
              </w:rPr>
              <w:t>noteikumu projekta</w:t>
            </w:r>
            <w:r w:rsidRPr="00E22518">
              <w:rPr>
                <w:sz w:val="24"/>
                <w:szCs w:val="24"/>
              </w:rPr>
              <w:t xml:space="preserve"> īstenošanas ietekmi uz administratīvajām procedūrām un to izmaksām, nav identificēts administratīvā sloga</w:t>
            </w:r>
            <w:r w:rsidR="00DA316E" w:rsidRPr="00E22518">
              <w:rPr>
                <w:sz w:val="24"/>
                <w:szCs w:val="24"/>
              </w:rPr>
              <w:t xml:space="preserve"> palielinājums ne potenciālajam finansējuma saņēmēja</w:t>
            </w:r>
            <w:r w:rsidRPr="00E22518">
              <w:rPr>
                <w:sz w:val="24"/>
                <w:szCs w:val="24"/>
              </w:rPr>
              <w:t xml:space="preserve">m, ne </w:t>
            </w:r>
            <w:r w:rsidR="00377F78" w:rsidRPr="00E22518">
              <w:rPr>
                <w:sz w:val="24"/>
                <w:szCs w:val="24"/>
              </w:rPr>
              <w:t xml:space="preserve">Eiropas Savienības </w:t>
            </w:r>
            <w:r w:rsidRPr="00E22518">
              <w:rPr>
                <w:sz w:val="24"/>
                <w:szCs w:val="24"/>
              </w:rPr>
              <w:t xml:space="preserve">fondu vadībā iesaistītajām institūcijām, jo noteikumu projekts paredz </w:t>
            </w:r>
            <w:r w:rsidR="000A147A" w:rsidRPr="00E22518">
              <w:rPr>
                <w:sz w:val="24"/>
                <w:szCs w:val="24"/>
              </w:rPr>
              <w:t>tikai VBD aprēķinu formulas izmaiņas</w:t>
            </w:r>
            <w:r w:rsidRPr="00E22518">
              <w:rPr>
                <w:sz w:val="24"/>
                <w:szCs w:val="24"/>
              </w:rPr>
              <w:t>.</w:t>
            </w:r>
          </w:p>
        </w:tc>
      </w:tr>
      <w:tr w:rsidR="00C71FAA" w:rsidRPr="00E22518" w14:paraId="636F5DF6"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750FB6" w:rsidRPr="00E22518" w:rsidRDefault="007559D4" w:rsidP="00E22518">
            <w:pPr>
              <w:shd w:val="clear" w:color="auto" w:fill="FFFFFF" w:themeFill="background1"/>
              <w:jc w:val="center"/>
            </w:pPr>
            <w:r w:rsidRPr="00E22518">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750FB6" w:rsidRPr="00E22518" w:rsidRDefault="007559D4" w:rsidP="00E22518">
            <w:pPr>
              <w:shd w:val="clear" w:color="auto" w:fill="FFFFFF" w:themeFill="background1"/>
              <w:rPr>
                <w:rFonts w:ascii="Arial" w:hAnsi="Arial" w:cs="Arial"/>
                <w:sz w:val="20"/>
                <w:szCs w:val="20"/>
              </w:rPr>
            </w:pPr>
            <w:r w:rsidRPr="00E22518">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3859ADDA" w14:textId="77777777" w:rsidR="00992AC4" w:rsidRPr="00E22518" w:rsidRDefault="00992AC4" w:rsidP="00E22518">
            <w:pPr>
              <w:pStyle w:val="ListParagraph"/>
              <w:shd w:val="clear" w:color="auto" w:fill="FFFFFF" w:themeFill="background1"/>
              <w:tabs>
                <w:tab w:val="left" w:pos="317"/>
              </w:tabs>
              <w:spacing w:before="60"/>
              <w:ind w:left="34"/>
              <w:jc w:val="both"/>
              <w:rPr>
                <w:bCs/>
                <w:sz w:val="24"/>
                <w:szCs w:val="24"/>
                <w:lang w:eastAsia="en-US"/>
              </w:rPr>
            </w:pPr>
            <w:r w:rsidRPr="00E22518">
              <w:rPr>
                <w:sz w:val="24"/>
                <w:szCs w:val="24"/>
              </w:rPr>
              <w:t>Projekts šo jomu neskar</w:t>
            </w:r>
          </w:p>
        </w:tc>
      </w:tr>
      <w:tr w:rsidR="00426FCD" w:rsidRPr="00E22518" w14:paraId="6381599F" w14:textId="77777777" w:rsidTr="00426FCD">
        <w:tc>
          <w:tcPr>
            <w:tcW w:w="675" w:type="dxa"/>
            <w:tcBorders>
              <w:top w:val="single" w:sz="4" w:space="0" w:color="auto"/>
              <w:left w:val="single" w:sz="4" w:space="0" w:color="auto"/>
              <w:bottom w:val="single" w:sz="4" w:space="0" w:color="auto"/>
              <w:right w:val="single" w:sz="4" w:space="0" w:color="auto"/>
            </w:tcBorders>
            <w:shd w:val="clear" w:color="auto" w:fill="auto"/>
          </w:tcPr>
          <w:p w14:paraId="22A81184" w14:textId="6D8AD790" w:rsidR="00426FCD" w:rsidRPr="00E22518" w:rsidRDefault="00426FCD" w:rsidP="00426FCD">
            <w:pPr>
              <w:shd w:val="clear" w:color="auto" w:fill="FFFFFF" w:themeFill="background1"/>
              <w:jc w:val="center"/>
            </w:pPr>
            <w:r w:rsidRPr="008F4590">
              <w:rPr>
                <w:rFonts w:eastAsia="Times New Roman"/>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B4B89E" w14:textId="027CA747" w:rsidR="00426FCD" w:rsidRPr="00E22518" w:rsidRDefault="00426FCD" w:rsidP="00426FCD">
            <w:pPr>
              <w:shd w:val="clear" w:color="auto" w:fill="FFFFFF" w:themeFill="background1"/>
            </w:pPr>
            <w:r w:rsidRPr="008F4590">
              <w:rPr>
                <w:rFonts w:eastAsia="Times New Roman"/>
              </w:rPr>
              <w:t>Atbilstības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41B39B3" w14:textId="572DA80A" w:rsidR="00426FCD" w:rsidRPr="00E22518" w:rsidRDefault="00426FCD" w:rsidP="00426FCD">
            <w:pPr>
              <w:pStyle w:val="ListParagraph"/>
              <w:shd w:val="clear" w:color="auto" w:fill="FFFFFF" w:themeFill="background1"/>
              <w:tabs>
                <w:tab w:val="left" w:pos="317"/>
              </w:tabs>
              <w:spacing w:before="60"/>
              <w:ind w:left="34"/>
              <w:jc w:val="both"/>
              <w:rPr>
                <w:sz w:val="24"/>
                <w:szCs w:val="24"/>
              </w:rPr>
            </w:pPr>
            <w:r>
              <w:rPr>
                <w:sz w:val="24"/>
                <w:szCs w:val="24"/>
              </w:rPr>
              <w:t>P</w:t>
            </w:r>
            <w:r w:rsidRPr="00DD2FAE">
              <w:rPr>
                <w:sz w:val="24"/>
                <w:szCs w:val="24"/>
              </w:rPr>
              <w:t>rojekts šo jomu neskar</w:t>
            </w:r>
            <w:r>
              <w:rPr>
                <w:sz w:val="24"/>
                <w:szCs w:val="24"/>
              </w:rPr>
              <w:t>.</w:t>
            </w:r>
          </w:p>
        </w:tc>
      </w:tr>
      <w:tr w:rsidR="00426FCD" w:rsidRPr="00E22518"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30535DAC" w:rsidR="00426FCD" w:rsidRPr="00E22518" w:rsidRDefault="00426FCD" w:rsidP="00426FCD">
            <w:pPr>
              <w:shd w:val="clear" w:color="auto" w:fill="FFFFFF" w:themeFill="background1"/>
              <w:jc w:val="center"/>
            </w:pPr>
            <w:r>
              <w:t>5</w:t>
            </w:r>
            <w:r w:rsidRPr="00E22518">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426FCD" w:rsidRPr="00E22518" w:rsidRDefault="00426FCD" w:rsidP="00426FCD">
            <w:pPr>
              <w:shd w:val="clear" w:color="auto" w:fill="FFFFFF" w:themeFill="background1"/>
              <w:rPr>
                <w:rFonts w:ascii="Arial" w:hAnsi="Arial" w:cs="Arial"/>
                <w:sz w:val="20"/>
                <w:szCs w:val="20"/>
              </w:rPr>
            </w:pPr>
            <w:r w:rsidRPr="00E22518">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77777777" w:rsidR="00426FCD" w:rsidRPr="00E22518" w:rsidRDefault="00426FCD" w:rsidP="00426FCD">
            <w:pPr>
              <w:shd w:val="clear" w:color="auto" w:fill="FFFFFF" w:themeFill="background1"/>
              <w:ind w:left="57" w:right="113"/>
              <w:rPr>
                <w:spacing w:val="-2"/>
              </w:rPr>
            </w:pPr>
            <w:r w:rsidRPr="00E22518">
              <w:rPr>
                <w:spacing w:val="-2"/>
              </w:rPr>
              <w:t>Nav</w:t>
            </w:r>
          </w:p>
        </w:tc>
      </w:tr>
    </w:tbl>
    <w:p w14:paraId="121EA2CA" w14:textId="07B744DE" w:rsidR="00750FB6" w:rsidRDefault="00750FB6" w:rsidP="00E22518">
      <w:pPr>
        <w:shd w:val="clear" w:color="auto" w:fill="FFFFFF" w:themeFill="background1"/>
        <w:jc w:val="both"/>
      </w:pPr>
    </w:p>
    <w:tbl>
      <w:tblPr>
        <w:tblStyle w:val="TableGrid"/>
        <w:tblW w:w="9356" w:type="dxa"/>
        <w:tblInd w:w="-5"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1624"/>
        <w:gridCol w:w="1084"/>
        <w:gridCol w:w="1034"/>
        <w:gridCol w:w="1024"/>
        <w:gridCol w:w="1033"/>
        <w:gridCol w:w="1023"/>
        <w:gridCol w:w="912"/>
        <w:gridCol w:w="1622"/>
      </w:tblGrid>
      <w:tr w:rsidR="00D9294A" w14:paraId="238D2A6E" w14:textId="77777777" w:rsidTr="00DF23C5">
        <w:tc>
          <w:tcPr>
            <w:tcW w:w="9356"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12F6A6" w14:textId="77777777" w:rsidR="00D9294A" w:rsidRDefault="00D9294A">
            <w:pPr>
              <w:shd w:val="clear" w:color="auto" w:fill="FFFFFF" w:themeFill="background1"/>
              <w:spacing w:before="120" w:after="120"/>
              <w:jc w:val="center"/>
              <w:rPr>
                <w:lang w:eastAsia="en-US"/>
              </w:rPr>
            </w:pPr>
            <w:r>
              <w:rPr>
                <w:rFonts w:eastAsia="Times New Roman"/>
                <w:b/>
                <w:lang w:eastAsia="en-US"/>
              </w:rPr>
              <w:t>III. Tiesību akta projekta ietekme uz valsts budžetu un pašvaldību budžetiem</w:t>
            </w:r>
          </w:p>
        </w:tc>
      </w:tr>
      <w:tr w:rsidR="00D9294A" w14:paraId="4BAC0DCF" w14:textId="77777777" w:rsidTr="00DF23C5">
        <w:tc>
          <w:tcPr>
            <w:tcW w:w="162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A1758E" w14:textId="77777777" w:rsidR="00D9294A" w:rsidRDefault="00D9294A">
            <w:pPr>
              <w:shd w:val="clear" w:color="auto" w:fill="FFFFFF" w:themeFill="background1"/>
              <w:jc w:val="center"/>
              <w:rPr>
                <w:rFonts w:eastAsia="Times New Roman"/>
                <w:b/>
                <w:lang w:eastAsia="en-US"/>
              </w:rPr>
            </w:pPr>
            <w:r>
              <w:rPr>
                <w:rFonts w:eastAsia="Times New Roman"/>
                <w:b/>
                <w:lang w:eastAsia="en-US"/>
              </w:rPr>
              <w:t>Rādītāji</w:t>
            </w:r>
          </w:p>
        </w:tc>
        <w:tc>
          <w:tcPr>
            <w:tcW w:w="211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27C03F" w14:textId="77777777" w:rsidR="00D9294A" w:rsidRDefault="00D9294A">
            <w:pPr>
              <w:shd w:val="clear" w:color="auto" w:fill="FFFFFF" w:themeFill="background1"/>
              <w:spacing w:before="120" w:after="120"/>
              <w:jc w:val="center"/>
              <w:rPr>
                <w:b/>
                <w:lang w:eastAsia="en-US"/>
              </w:rPr>
            </w:pPr>
            <w:r>
              <w:rPr>
                <w:rFonts w:eastAsia="Times New Roman"/>
                <w:b/>
                <w:lang w:eastAsia="en-US"/>
              </w:rPr>
              <w:t>2019</w:t>
            </w:r>
          </w:p>
        </w:tc>
        <w:tc>
          <w:tcPr>
            <w:tcW w:w="561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A070DE0" w14:textId="77777777" w:rsidR="00D9294A" w:rsidRDefault="00D9294A">
            <w:pPr>
              <w:shd w:val="clear" w:color="auto" w:fill="FFFFFF" w:themeFill="background1"/>
              <w:tabs>
                <w:tab w:val="left" w:pos="1792"/>
              </w:tabs>
              <w:spacing w:before="120" w:after="120"/>
              <w:rPr>
                <w:lang w:eastAsia="en-US"/>
              </w:rPr>
            </w:pPr>
            <w:r>
              <w:rPr>
                <w:lang w:eastAsia="en-US"/>
              </w:rPr>
              <w:tab/>
            </w:r>
            <w:r>
              <w:rPr>
                <w:rFonts w:eastAsia="Times New Roman"/>
                <w:b/>
                <w:lang w:eastAsia="en-US"/>
              </w:rPr>
              <w:t>Turpmākie trīs gadi (</w:t>
            </w:r>
            <w:proofErr w:type="spellStart"/>
            <w:r>
              <w:rPr>
                <w:rFonts w:eastAsia="Times New Roman"/>
                <w:b/>
                <w:i/>
                <w:lang w:eastAsia="en-US"/>
              </w:rPr>
              <w:t>euro</w:t>
            </w:r>
            <w:proofErr w:type="spellEnd"/>
            <w:r>
              <w:rPr>
                <w:rFonts w:eastAsia="Times New Roman"/>
                <w:b/>
                <w:lang w:eastAsia="en-US"/>
              </w:rPr>
              <w:t>)</w:t>
            </w:r>
          </w:p>
        </w:tc>
      </w:tr>
      <w:tr w:rsidR="00D9294A" w14:paraId="5065D36F" w14:textId="77777777" w:rsidTr="00DF23C5">
        <w:tc>
          <w:tcPr>
            <w:tcW w:w="1624" w:type="dxa"/>
            <w:vMerge/>
            <w:tcBorders>
              <w:top w:val="single" w:sz="4" w:space="0" w:color="auto"/>
              <w:left w:val="single" w:sz="4" w:space="0" w:color="auto"/>
              <w:bottom w:val="single" w:sz="4" w:space="0" w:color="auto"/>
              <w:right w:val="single" w:sz="4" w:space="0" w:color="auto"/>
            </w:tcBorders>
            <w:vAlign w:val="center"/>
            <w:hideMark/>
          </w:tcPr>
          <w:p w14:paraId="229AAA53" w14:textId="77777777" w:rsidR="00D9294A" w:rsidRDefault="00D9294A">
            <w:pPr>
              <w:rPr>
                <w:rFonts w:eastAsia="Times New Roman"/>
                <w:b/>
                <w:lang w:eastAsia="en-US"/>
              </w:rPr>
            </w:pPr>
          </w:p>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14:paraId="2284E9C0" w14:textId="77777777" w:rsidR="00D9294A" w:rsidRDefault="00D9294A">
            <w:pPr>
              <w:rPr>
                <w:b/>
                <w:lang w:eastAsia="en-US"/>
              </w:rPr>
            </w:pPr>
          </w:p>
        </w:tc>
        <w:tc>
          <w:tcPr>
            <w:tcW w:w="205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0083C0C" w14:textId="77777777" w:rsidR="00D9294A" w:rsidRDefault="00D9294A">
            <w:pPr>
              <w:shd w:val="clear" w:color="auto" w:fill="FFFFFF" w:themeFill="background1"/>
              <w:spacing w:before="120" w:after="120"/>
              <w:jc w:val="center"/>
              <w:rPr>
                <w:b/>
                <w:lang w:eastAsia="en-US"/>
              </w:rPr>
            </w:pPr>
            <w:r>
              <w:rPr>
                <w:b/>
                <w:lang w:eastAsia="en-US"/>
              </w:rPr>
              <w:t>2020</w:t>
            </w:r>
          </w:p>
        </w:tc>
        <w:tc>
          <w:tcPr>
            <w:tcW w:w="19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F47545" w14:textId="77777777" w:rsidR="00D9294A" w:rsidRDefault="00D9294A">
            <w:pPr>
              <w:shd w:val="clear" w:color="auto" w:fill="FFFFFF" w:themeFill="background1"/>
              <w:spacing w:before="120" w:after="120"/>
              <w:jc w:val="center"/>
              <w:rPr>
                <w:b/>
                <w:lang w:eastAsia="en-US"/>
              </w:rPr>
            </w:pPr>
            <w:r>
              <w:rPr>
                <w:b/>
                <w:lang w:eastAsia="en-US"/>
              </w:rPr>
              <w:t>2021</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43BAE5" w14:textId="77777777" w:rsidR="00D9294A" w:rsidRDefault="00D9294A">
            <w:pPr>
              <w:shd w:val="clear" w:color="auto" w:fill="FFFFFF" w:themeFill="background1"/>
              <w:spacing w:before="120" w:after="120"/>
              <w:jc w:val="center"/>
              <w:rPr>
                <w:b/>
                <w:lang w:eastAsia="en-US"/>
              </w:rPr>
            </w:pPr>
            <w:r>
              <w:rPr>
                <w:b/>
                <w:lang w:eastAsia="en-US"/>
              </w:rPr>
              <w:t>2022</w:t>
            </w:r>
          </w:p>
        </w:tc>
      </w:tr>
      <w:tr w:rsidR="00D9294A" w14:paraId="7459E277" w14:textId="77777777" w:rsidTr="00DF23C5">
        <w:tc>
          <w:tcPr>
            <w:tcW w:w="1624" w:type="dxa"/>
            <w:vMerge/>
            <w:tcBorders>
              <w:top w:val="single" w:sz="4" w:space="0" w:color="auto"/>
              <w:left w:val="single" w:sz="4" w:space="0" w:color="auto"/>
              <w:bottom w:val="single" w:sz="4" w:space="0" w:color="auto"/>
              <w:right w:val="single" w:sz="4" w:space="0" w:color="auto"/>
            </w:tcBorders>
            <w:vAlign w:val="center"/>
            <w:hideMark/>
          </w:tcPr>
          <w:p w14:paraId="6D6D26E8" w14:textId="77777777" w:rsidR="00D9294A" w:rsidRDefault="00D9294A">
            <w:pPr>
              <w:rPr>
                <w:rFonts w:eastAsia="Times New Roman"/>
                <w:b/>
                <w:lang w:eastAsia="en-US"/>
              </w:rPr>
            </w:pP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F7A8D77" w14:textId="77777777" w:rsidR="00D9294A" w:rsidRDefault="00D9294A">
            <w:pPr>
              <w:shd w:val="clear" w:color="auto" w:fill="FFFFFF" w:themeFill="background1"/>
              <w:jc w:val="center"/>
              <w:rPr>
                <w:sz w:val="20"/>
                <w:szCs w:val="20"/>
                <w:lang w:eastAsia="en-US"/>
              </w:rPr>
            </w:pPr>
            <w:r>
              <w:rPr>
                <w:rFonts w:eastAsia="Times New Roman"/>
                <w:sz w:val="20"/>
                <w:szCs w:val="20"/>
                <w:lang w:eastAsia="en-US"/>
              </w:rPr>
              <w:t>saskaņā ar valsts budžetu kārtējam gadam</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91D962" w14:textId="77777777" w:rsidR="00D9294A" w:rsidRDefault="00D9294A">
            <w:pPr>
              <w:shd w:val="clear" w:color="auto" w:fill="FFFFFF" w:themeFill="background1"/>
              <w:jc w:val="center"/>
              <w:rPr>
                <w:sz w:val="20"/>
                <w:szCs w:val="20"/>
                <w:lang w:eastAsia="en-US"/>
              </w:rPr>
            </w:pPr>
            <w:r>
              <w:rPr>
                <w:rFonts w:eastAsia="Times New Roman"/>
                <w:sz w:val="20"/>
                <w:szCs w:val="20"/>
                <w:lang w:eastAsia="en-US"/>
              </w:rPr>
              <w:t>izmaiņas kārtējā gadā, salīdzinot ar valsts budžetu kārtējam gadam</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4D658F" w14:textId="77777777" w:rsidR="00D9294A" w:rsidRDefault="00D9294A">
            <w:pPr>
              <w:shd w:val="clear" w:color="auto" w:fill="FFFFFF" w:themeFill="background1"/>
              <w:jc w:val="center"/>
              <w:rPr>
                <w:sz w:val="20"/>
                <w:szCs w:val="20"/>
                <w:lang w:eastAsia="en-US"/>
              </w:rPr>
            </w:pPr>
            <w:r>
              <w:rPr>
                <w:rFonts w:eastAsia="Times New Roman"/>
                <w:sz w:val="20"/>
                <w:szCs w:val="20"/>
                <w:lang w:eastAsia="en-US"/>
              </w:rPr>
              <w:t>saskaņā ar vidēja termiņa budžeta ietvaru</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3DFA97" w14:textId="77777777" w:rsidR="00D9294A" w:rsidRDefault="00D9294A">
            <w:pPr>
              <w:shd w:val="clear" w:color="auto" w:fill="FFFFFF" w:themeFill="background1"/>
              <w:jc w:val="center"/>
              <w:rPr>
                <w:sz w:val="20"/>
                <w:szCs w:val="20"/>
                <w:lang w:eastAsia="en-US"/>
              </w:rPr>
            </w:pPr>
            <w:r>
              <w:rPr>
                <w:sz w:val="20"/>
                <w:szCs w:val="20"/>
                <w:lang w:eastAsia="en-US"/>
              </w:rPr>
              <w:t>izmaiņas, salīdzinot ar vidēja termiņa budžeta ietvaru 2020. gadam</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C32BF4" w14:textId="77777777" w:rsidR="00D9294A" w:rsidRDefault="00D9294A">
            <w:pPr>
              <w:shd w:val="clear" w:color="auto" w:fill="FFFFFF" w:themeFill="background1"/>
              <w:jc w:val="center"/>
              <w:rPr>
                <w:sz w:val="20"/>
                <w:szCs w:val="20"/>
                <w:lang w:eastAsia="en-US"/>
              </w:rPr>
            </w:pPr>
            <w:r>
              <w:rPr>
                <w:rFonts w:eastAsia="Times New Roman"/>
                <w:sz w:val="20"/>
                <w:szCs w:val="20"/>
                <w:lang w:eastAsia="en-US"/>
              </w:rPr>
              <w:t>saskaņā ar vidēja termiņa budžeta ietvaru</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79F2DA" w14:textId="77777777" w:rsidR="00D9294A" w:rsidRDefault="00D9294A">
            <w:pPr>
              <w:shd w:val="clear" w:color="auto" w:fill="FFFFFF" w:themeFill="background1"/>
              <w:jc w:val="center"/>
              <w:rPr>
                <w:sz w:val="20"/>
                <w:szCs w:val="20"/>
                <w:lang w:eastAsia="en-US"/>
              </w:rPr>
            </w:pPr>
            <w:r>
              <w:rPr>
                <w:sz w:val="20"/>
                <w:szCs w:val="20"/>
                <w:lang w:eastAsia="en-US"/>
              </w:rPr>
              <w:t>izmaiņas, salīdzinot ar vidēja termiņa budžeta ietvaru 2021. gadam</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666C6B" w14:textId="77777777" w:rsidR="00D9294A" w:rsidRDefault="00D9294A">
            <w:pPr>
              <w:shd w:val="clear" w:color="auto" w:fill="FFFFFF" w:themeFill="background1"/>
              <w:jc w:val="center"/>
              <w:rPr>
                <w:sz w:val="20"/>
                <w:szCs w:val="20"/>
                <w:lang w:eastAsia="en-US"/>
              </w:rPr>
            </w:pPr>
            <w:r>
              <w:rPr>
                <w:rFonts w:eastAsia="Times New Roman"/>
                <w:sz w:val="20"/>
                <w:szCs w:val="20"/>
                <w:lang w:eastAsia="en-US"/>
              </w:rPr>
              <w:t>izmaiņas, salīdzinot ar vidēja termiņa budžeta ietvaru 2021. gadam</w:t>
            </w:r>
          </w:p>
        </w:tc>
      </w:tr>
      <w:tr w:rsidR="00D9294A" w14:paraId="656DF6D8"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51E5C5" w14:textId="77777777" w:rsidR="00D9294A" w:rsidRDefault="00D9294A">
            <w:pPr>
              <w:shd w:val="clear" w:color="auto" w:fill="FFFFFF" w:themeFill="background1"/>
              <w:jc w:val="center"/>
              <w:rPr>
                <w:lang w:eastAsia="en-US"/>
              </w:rPr>
            </w:pPr>
            <w:r>
              <w:rPr>
                <w:lang w:eastAsia="en-US"/>
              </w:rPr>
              <w:t>1</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E88610" w14:textId="77777777" w:rsidR="00D9294A" w:rsidRDefault="00D9294A">
            <w:pPr>
              <w:shd w:val="clear" w:color="auto" w:fill="FFFFFF" w:themeFill="background1"/>
              <w:jc w:val="center"/>
              <w:rPr>
                <w:lang w:eastAsia="en-US"/>
              </w:rPr>
            </w:pPr>
            <w:r>
              <w:rPr>
                <w:lang w:eastAsia="en-US"/>
              </w:rPr>
              <w:t>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6C094E" w14:textId="77777777" w:rsidR="00D9294A" w:rsidRDefault="00D9294A">
            <w:pPr>
              <w:shd w:val="clear" w:color="auto" w:fill="FFFFFF" w:themeFill="background1"/>
              <w:jc w:val="center"/>
              <w:rPr>
                <w:lang w:eastAsia="en-US"/>
              </w:rPr>
            </w:pPr>
            <w:r>
              <w:rPr>
                <w:lang w:eastAsia="en-US"/>
              </w:rPr>
              <w:t>3</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ADA19F" w14:textId="77777777" w:rsidR="00D9294A" w:rsidRDefault="00D9294A">
            <w:pPr>
              <w:shd w:val="clear" w:color="auto" w:fill="FFFFFF" w:themeFill="background1"/>
              <w:jc w:val="center"/>
              <w:rPr>
                <w:lang w:eastAsia="en-US"/>
              </w:rPr>
            </w:pPr>
            <w:r>
              <w:rPr>
                <w:lang w:eastAsia="en-US"/>
              </w:rPr>
              <w:t>4</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1E11A6" w14:textId="77777777" w:rsidR="00D9294A" w:rsidRDefault="00D9294A">
            <w:pPr>
              <w:shd w:val="clear" w:color="auto" w:fill="FFFFFF" w:themeFill="background1"/>
              <w:jc w:val="center"/>
              <w:rPr>
                <w:lang w:eastAsia="en-US"/>
              </w:rPr>
            </w:pPr>
            <w:r>
              <w:rPr>
                <w:lang w:eastAsia="en-US"/>
              </w:rPr>
              <w:t>5</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9809AE" w14:textId="77777777" w:rsidR="00D9294A" w:rsidRDefault="00D9294A">
            <w:pPr>
              <w:shd w:val="clear" w:color="auto" w:fill="FFFFFF" w:themeFill="background1"/>
              <w:jc w:val="center"/>
              <w:rPr>
                <w:lang w:eastAsia="en-US"/>
              </w:rPr>
            </w:pPr>
            <w:r>
              <w:rPr>
                <w:lang w:eastAsia="en-US"/>
              </w:rPr>
              <w:t>6</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8B810A2" w14:textId="77777777" w:rsidR="00D9294A" w:rsidRDefault="00D9294A">
            <w:pPr>
              <w:shd w:val="clear" w:color="auto" w:fill="FFFFFF" w:themeFill="background1"/>
              <w:jc w:val="center"/>
              <w:rPr>
                <w:lang w:eastAsia="en-US"/>
              </w:rPr>
            </w:pPr>
            <w:r>
              <w:rPr>
                <w:lang w:eastAsia="en-US"/>
              </w:rPr>
              <w:t>7</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62E813" w14:textId="77777777" w:rsidR="00D9294A" w:rsidRDefault="00D9294A">
            <w:pPr>
              <w:shd w:val="clear" w:color="auto" w:fill="FFFFFF" w:themeFill="background1"/>
              <w:jc w:val="center"/>
              <w:rPr>
                <w:lang w:eastAsia="en-US"/>
              </w:rPr>
            </w:pPr>
            <w:r>
              <w:rPr>
                <w:lang w:eastAsia="en-US"/>
              </w:rPr>
              <w:t>8</w:t>
            </w:r>
          </w:p>
        </w:tc>
      </w:tr>
      <w:tr w:rsidR="00CC7D99" w14:paraId="49FD749E"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A3A36C" w14:textId="77777777" w:rsidR="00CC7D99" w:rsidRDefault="00CC7D99" w:rsidP="00CC7D99">
            <w:pPr>
              <w:shd w:val="clear" w:color="auto" w:fill="FFFFFF" w:themeFill="background1"/>
              <w:rPr>
                <w:sz w:val="20"/>
                <w:szCs w:val="20"/>
                <w:lang w:eastAsia="en-US"/>
              </w:rPr>
            </w:pPr>
            <w:r>
              <w:rPr>
                <w:rFonts w:eastAsia="Times New Roman"/>
                <w:sz w:val="20"/>
                <w:szCs w:val="20"/>
                <w:lang w:eastAsia="en-US"/>
              </w:rPr>
              <w:t>1. Budžeta ieņēmumi: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C12FBE" w14:textId="56A81813"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5146C5" w14:textId="093D6A00"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14B6A0" w14:textId="141845AA"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AF07C4" w14:textId="02353F10"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C9DCC5" w14:textId="4FC0F40C"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274111" w14:textId="385F42C9"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F7F84D" w14:textId="3991DC02"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r>
      <w:tr w:rsidR="00CC7D99" w14:paraId="62833C01"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6FB8A7" w14:textId="77777777" w:rsidR="00CC7D99" w:rsidRDefault="00CC7D99" w:rsidP="00CC7D99">
            <w:pPr>
              <w:shd w:val="clear" w:color="auto" w:fill="FFFFFF" w:themeFill="background1"/>
              <w:rPr>
                <w:sz w:val="20"/>
                <w:szCs w:val="20"/>
                <w:lang w:eastAsia="en-US"/>
              </w:rPr>
            </w:pPr>
            <w:r>
              <w:rPr>
                <w:sz w:val="20"/>
                <w:szCs w:val="20"/>
                <w:lang w:eastAsia="en-US"/>
              </w:rPr>
              <w:t>1.1. valsts pamatbudžets, tai skaitā ieņēmumi no maksas pakalpojumiem un citi pašu ieņēmumi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0B9DAF" w14:textId="2BB1FB0A"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0AD1332" w14:textId="65F87EF4"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C65016" w14:textId="092B4C0F"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FB3D8C" w14:textId="5D1180C3"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7510E1" w14:textId="0385A437"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156C98" w14:textId="38F9909F"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F3C96D" w14:textId="592DF7E8"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r>
      <w:tr w:rsidR="00CC7D99" w14:paraId="59DBFB40"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A1D14C" w14:textId="77777777" w:rsidR="00CC7D99" w:rsidRDefault="00CC7D99" w:rsidP="00CC7D99">
            <w:pPr>
              <w:shd w:val="clear" w:color="auto" w:fill="FFFFFF" w:themeFill="background1"/>
              <w:rPr>
                <w:sz w:val="20"/>
                <w:szCs w:val="20"/>
                <w:lang w:eastAsia="en-US"/>
              </w:rPr>
            </w:pPr>
            <w:r>
              <w:rPr>
                <w:sz w:val="20"/>
                <w:szCs w:val="20"/>
                <w:lang w:eastAsia="en-US"/>
              </w:rPr>
              <w:t>1.2. valsts speciālais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E72FC4" w14:textId="538C5872"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206645" w14:textId="4A29ED19"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002668" w14:textId="4579B033"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FCE263F" w14:textId="68695F61"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9DF6C8" w14:textId="2D7CF7B0"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1143D4" w14:textId="2E36E08C"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63E884" w14:textId="0A512AE3"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r>
      <w:tr w:rsidR="00CC7D99" w14:paraId="4E3865D9"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42A448" w14:textId="77777777" w:rsidR="00CC7D99" w:rsidRDefault="00CC7D99" w:rsidP="00CC7D99">
            <w:pPr>
              <w:shd w:val="clear" w:color="auto" w:fill="FFFFFF" w:themeFill="background1"/>
              <w:rPr>
                <w:sz w:val="20"/>
                <w:szCs w:val="20"/>
                <w:lang w:eastAsia="en-US"/>
              </w:rPr>
            </w:pPr>
            <w:r>
              <w:rPr>
                <w:sz w:val="20"/>
                <w:szCs w:val="20"/>
                <w:lang w:eastAsia="en-US"/>
              </w:rPr>
              <w:t>1.3. pašvaldību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A55CCA" w14:textId="66E6F9A4"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E563D0" w14:textId="4603E4BD"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32DF69" w14:textId="1E6B1089"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B17624" w14:textId="0C662480"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0E295A" w14:textId="4592F5FA"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555F94" w14:textId="31F3497E"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406A3B" w14:textId="5D574029"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r>
      <w:tr w:rsidR="00CC7D99" w14:paraId="39CBBE39"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A81EF4" w14:textId="77777777" w:rsidR="00CC7D99" w:rsidRDefault="00CC7D99" w:rsidP="00CC7D99">
            <w:pPr>
              <w:shd w:val="clear" w:color="auto" w:fill="FFFFFF" w:themeFill="background1"/>
              <w:rPr>
                <w:sz w:val="20"/>
                <w:szCs w:val="20"/>
                <w:lang w:eastAsia="en-US"/>
              </w:rPr>
            </w:pPr>
            <w:r>
              <w:rPr>
                <w:sz w:val="20"/>
                <w:szCs w:val="20"/>
                <w:lang w:eastAsia="en-US"/>
              </w:rPr>
              <w:lastRenderedPageBreak/>
              <w:t>2. Budžeta izdevumi: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B870C7" w14:textId="7745597B" w:rsidR="00CC7D99" w:rsidRPr="006130AB" w:rsidRDefault="00CC7D99" w:rsidP="00CC7D99">
            <w:pPr>
              <w:shd w:val="clear" w:color="auto" w:fill="FFFFFF" w:themeFill="background1"/>
              <w:jc w:val="center"/>
              <w:rPr>
                <w:rFonts w:eastAsia="Times New Roman"/>
                <w:sz w:val="20"/>
                <w:szCs w:val="20"/>
                <w:lang w:eastAsia="en-US"/>
              </w:rPr>
            </w:pPr>
            <w:r w:rsidRPr="006130AB">
              <w:rPr>
                <w:rFonts w:eastAsia="Times New Roman"/>
                <w:sz w:val="20"/>
                <w:szCs w:val="20"/>
                <w:lang w:eastAsia="en-US"/>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CB389D" w14:textId="3A86B5CD"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47D353" w14:textId="5CF94586"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82ED66" w14:textId="61ED0D87"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DA1826" w14:textId="7C38B6DA"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DD6F8D" w14:textId="26CBB71E"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0D56E8" w14:textId="703CBF5B"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r>
      <w:tr w:rsidR="00CC7D99" w14:paraId="04A8D655"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84D7689" w14:textId="77777777" w:rsidR="00CC7D99" w:rsidRDefault="00CC7D99" w:rsidP="00CC7D99">
            <w:pPr>
              <w:shd w:val="clear" w:color="auto" w:fill="FFFFFF" w:themeFill="background1"/>
              <w:rPr>
                <w:sz w:val="20"/>
                <w:szCs w:val="20"/>
                <w:lang w:eastAsia="en-US"/>
              </w:rPr>
            </w:pPr>
            <w:r>
              <w:rPr>
                <w:sz w:val="20"/>
                <w:szCs w:val="20"/>
                <w:lang w:eastAsia="en-US"/>
              </w:rPr>
              <w:t>2.1. valsts pamatbudžets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C939D7" w14:textId="6585EE82" w:rsidR="00CC7D99" w:rsidRPr="006130AB" w:rsidRDefault="00CC7D99" w:rsidP="00CC7D99">
            <w:pPr>
              <w:shd w:val="clear" w:color="auto" w:fill="FFFFFF" w:themeFill="background1"/>
              <w:jc w:val="center"/>
              <w:rPr>
                <w:rFonts w:eastAsia="Times New Roman"/>
                <w:sz w:val="20"/>
                <w:szCs w:val="20"/>
                <w:lang w:eastAsia="en-US"/>
              </w:rPr>
            </w:pPr>
            <w:r w:rsidRPr="006130AB">
              <w:rPr>
                <w:rFonts w:eastAsia="Times New Roman"/>
                <w:sz w:val="20"/>
                <w:szCs w:val="20"/>
                <w:lang w:eastAsia="en-US"/>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BCBF4C" w14:textId="5E1BD328"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03D0C6" w14:textId="1AF6366A"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6D3A09" w14:textId="7236AA4C"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5839B9" w14:textId="36301388"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AB2881" w14:textId="6D6A0DDD"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3D9C7B" w14:textId="18A2BFBD"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r>
      <w:tr w:rsidR="00CC7D99" w14:paraId="10C9F28C"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331E78" w14:textId="77777777" w:rsidR="00CC7D99" w:rsidRDefault="00CC7D99" w:rsidP="00CC7D99">
            <w:pPr>
              <w:shd w:val="clear" w:color="auto" w:fill="FFFFFF" w:themeFill="background1"/>
              <w:rPr>
                <w:sz w:val="20"/>
                <w:szCs w:val="20"/>
                <w:lang w:eastAsia="en-US"/>
              </w:rPr>
            </w:pPr>
            <w:r>
              <w:rPr>
                <w:sz w:val="20"/>
                <w:szCs w:val="20"/>
                <w:lang w:eastAsia="en-US"/>
              </w:rPr>
              <w:t>2.2. valsts speciālais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24C626" w14:textId="21C726E5" w:rsidR="00CC7D99" w:rsidRPr="006130AB" w:rsidRDefault="009D183F"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D27081" w14:textId="10DEA76C"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32D064" w14:textId="48C99C8C"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7169C5" w14:textId="7987772E"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6F34B15" w14:textId="5CF4151F"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945E63" w14:textId="1ADB3861"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F5E7C9" w14:textId="670EAD37" w:rsidR="00CC7D99" w:rsidRPr="006130AB" w:rsidRDefault="00CC7D99" w:rsidP="00CC7D99">
            <w:pPr>
              <w:shd w:val="clear" w:color="auto" w:fill="FFFFFF" w:themeFill="background1"/>
              <w:jc w:val="center"/>
              <w:rPr>
                <w:rFonts w:eastAsia="Times New Roman"/>
                <w:lang w:eastAsia="en-US"/>
              </w:rPr>
            </w:pPr>
            <w:r w:rsidRPr="006130AB">
              <w:rPr>
                <w:rFonts w:eastAsia="Times New Roman"/>
                <w:lang w:eastAsia="en-US"/>
              </w:rPr>
              <w:t>0</w:t>
            </w:r>
          </w:p>
        </w:tc>
      </w:tr>
      <w:tr w:rsidR="00CC7D99" w14:paraId="5FB9C447"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6AA73F" w14:textId="77777777" w:rsidR="00CC7D99" w:rsidRDefault="00CC7D99" w:rsidP="00CC7D99">
            <w:pPr>
              <w:shd w:val="clear" w:color="auto" w:fill="FFFFFF" w:themeFill="background1"/>
              <w:rPr>
                <w:sz w:val="20"/>
                <w:szCs w:val="20"/>
                <w:lang w:eastAsia="en-US"/>
              </w:rPr>
            </w:pPr>
            <w:r>
              <w:rPr>
                <w:sz w:val="20"/>
                <w:szCs w:val="20"/>
                <w:lang w:eastAsia="en-US"/>
              </w:rPr>
              <w:t>2.3. pašvaldību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9EF32E" w14:textId="3917F7DD" w:rsidR="00CC7D99" w:rsidRPr="006130AB" w:rsidRDefault="00CC7D99" w:rsidP="00CC7D99">
            <w:pPr>
              <w:shd w:val="clear" w:color="auto" w:fill="FFFFFF" w:themeFill="background1"/>
              <w:jc w:val="center"/>
              <w:rPr>
                <w:rFonts w:eastAsia="Times New Roman"/>
                <w:sz w:val="20"/>
                <w:szCs w:val="20"/>
                <w:lang w:eastAsia="en-US"/>
              </w:rPr>
            </w:pPr>
            <w:r w:rsidRPr="006130AB">
              <w:rPr>
                <w:rFonts w:eastAsia="Times New Roman"/>
                <w:sz w:val="20"/>
                <w:szCs w:val="20"/>
                <w:lang w:eastAsia="en-US"/>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E3F6A5" w14:textId="678CADCD"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79BDA2" w14:textId="1AF48D7B"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6CB157" w14:textId="01137CD5"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DC2701" w14:textId="63A8B09F"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D12762" w14:textId="598CBB46"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E0A228" w14:textId="06F946DF"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r>
      <w:tr w:rsidR="00CC7D99" w14:paraId="08A1FDAC"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ABB946" w14:textId="77777777" w:rsidR="00CC7D99" w:rsidRDefault="00CC7D99" w:rsidP="00CC7D99">
            <w:pPr>
              <w:shd w:val="clear" w:color="auto" w:fill="FFFFFF" w:themeFill="background1"/>
              <w:rPr>
                <w:sz w:val="20"/>
                <w:szCs w:val="20"/>
                <w:lang w:eastAsia="en-US"/>
              </w:rPr>
            </w:pPr>
            <w:r>
              <w:rPr>
                <w:sz w:val="20"/>
                <w:szCs w:val="20"/>
                <w:lang w:eastAsia="en-US"/>
              </w:rPr>
              <w:t>3. Finansiālā ietekme:</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EF9854" w14:textId="242095B5" w:rsidR="00CC7D99" w:rsidRPr="006130AB" w:rsidRDefault="00CC7D99" w:rsidP="00CC7D99">
            <w:pPr>
              <w:shd w:val="clear" w:color="auto" w:fill="FFFFFF" w:themeFill="background1"/>
              <w:jc w:val="center"/>
              <w:rPr>
                <w:rFonts w:eastAsia="Times New Roman"/>
                <w:sz w:val="20"/>
                <w:szCs w:val="20"/>
                <w:lang w:eastAsia="en-US"/>
              </w:rPr>
            </w:pPr>
            <w:r w:rsidRPr="006130AB">
              <w:rPr>
                <w:rFonts w:eastAsia="Times New Roman"/>
                <w:sz w:val="20"/>
                <w:szCs w:val="20"/>
                <w:lang w:eastAsia="en-US"/>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4B3CFEA" w14:textId="79330491"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13C3886" w14:textId="35432AFC"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E513177" w14:textId="6CD4C635"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E37255" w14:textId="39C4D617"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A5E105" w14:textId="4F560D7E"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B67B39" w14:textId="33506C26"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r>
      <w:tr w:rsidR="00CC7D99" w14:paraId="662BC537"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8D594B" w14:textId="77777777" w:rsidR="00CC7D99" w:rsidRDefault="00CC7D99" w:rsidP="00CC7D99">
            <w:pPr>
              <w:shd w:val="clear" w:color="auto" w:fill="FFFFFF" w:themeFill="background1"/>
              <w:rPr>
                <w:sz w:val="20"/>
                <w:szCs w:val="20"/>
                <w:lang w:eastAsia="en-US"/>
              </w:rPr>
            </w:pPr>
            <w:r>
              <w:rPr>
                <w:sz w:val="20"/>
                <w:szCs w:val="20"/>
                <w:lang w:eastAsia="en-US"/>
              </w:rPr>
              <w:t>3.1. valsts pamatbudžets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EA779B9" w14:textId="2F51AB52" w:rsidR="00CC7D99" w:rsidRPr="006130AB" w:rsidRDefault="00CC7D99" w:rsidP="00CC7D99">
            <w:pPr>
              <w:shd w:val="clear" w:color="auto" w:fill="FFFFFF" w:themeFill="background1"/>
              <w:jc w:val="center"/>
              <w:rPr>
                <w:rFonts w:eastAsia="Times New Roman"/>
                <w:sz w:val="20"/>
                <w:szCs w:val="20"/>
                <w:lang w:eastAsia="en-US"/>
              </w:rPr>
            </w:pPr>
            <w:r w:rsidRPr="006130AB">
              <w:rPr>
                <w:rFonts w:eastAsia="Times New Roman"/>
                <w:sz w:val="20"/>
                <w:szCs w:val="20"/>
                <w:lang w:eastAsia="en-US"/>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F58221" w14:textId="3691C3C1"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8DF040" w14:textId="110F9D41"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68CEF" w14:textId="1F108DCC"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9983D2" w14:textId="591C9403"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62BE59" w14:textId="38672D2D"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2D1282" w14:textId="693CFB60" w:rsidR="00CC7D99" w:rsidRPr="006130AB" w:rsidRDefault="00CC7D99" w:rsidP="00CC7D99">
            <w:pPr>
              <w:shd w:val="clear" w:color="auto" w:fill="FFFFFF" w:themeFill="background1"/>
              <w:jc w:val="center"/>
              <w:rPr>
                <w:rFonts w:eastAsia="Times New Roman"/>
                <w:lang w:eastAsia="en-US"/>
              </w:rPr>
            </w:pPr>
            <w:r w:rsidRPr="006130AB">
              <w:rPr>
                <w:rFonts w:eastAsia="Times New Roman"/>
                <w:sz w:val="20"/>
                <w:szCs w:val="20"/>
                <w:lang w:eastAsia="en-US"/>
              </w:rPr>
              <w:t>nav precīzi aprēķināms</w:t>
            </w:r>
          </w:p>
        </w:tc>
      </w:tr>
      <w:tr w:rsidR="00CC7D99" w14:paraId="7640C7F5"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39AD77" w14:textId="77777777" w:rsidR="00CC7D99" w:rsidRDefault="00CC7D99" w:rsidP="00CC7D99">
            <w:pPr>
              <w:shd w:val="clear" w:color="auto" w:fill="FFFFFF" w:themeFill="background1"/>
              <w:rPr>
                <w:sz w:val="20"/>
                <w:szCs w:val="20"/>
                <w:lang w:eastAsia="en-US"/>
              </w:rPr>
            </w:pPr>
            <w:r>
              <w:rPr>
                <w:sz w:val="20"/>
                <w:szCs w:val="20"/>
                <w:lang w:eastAsia="en-US"/>
              </w:rPr>
              <w:t>3.2. speciālais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7C089F2" w14:textId="702BE459" w:rsidR="00CC7D99" w:rsidRPr="006130AB" w:rsidRDefault="009D183F" w:rsidP="00CC7D99">
            <w:pPr>
              <w:shd w:val="clear" w:color="auto" w:fill="FFFFFF" w:themeFill="background1"/>
              <w:jc w:val="center"/>
              <w:rPr>
                <w:lang w:eastAsia="en-US"/>
              </w:rPr>
            </w:pPr>
            <w:r w:rsidRPr="006130AB">
              <w:rPr>
                <w:rFonts w:eastAsia="Times New Roman"/>
                <w:lang w:eastAsia="en-US"/>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78C8FA" w14:textId="6CF69CB0"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C30446" w14:textId="4BE60D1D"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87C906" w14:textId="5391F111"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37AB9E" w14:textId="20DA09B8"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BFAE54" w14:textId="67B3AAF0"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8FB5DD" w14:textId="72B1A3E2"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r>
      <w:tr w:rsidR="00CC7D99" w14:paraId="5EE339A0"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43F8C4" w14:textId="77777777" w:rsidR="00CC7D99" w:rsidRDefault="00CC7D99" w:rsidP="00CC7D99">
            <w:pPr>
              <w:shd w:val="clear" w:color="auto" w:fill="FFFFFF" w:themeFill="background1"/>
              <w:rPr>
                <w:sz w:val="20"/>
                <w:szCs w:val="20"/>
                <w:lang w:eastAsia="en-US"/>
              </w:rPr>
            </w:pPr>
            <w:r>
              <w:rPr>
                <w:sz w:val="20"/>
                <w:szCs w:val="20"/>
                <w:lang w:eastAsia="en-US"/>
              </w:rPr>
              <w:t>3.3. pašvaldību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AB4D4D" w14:textId="23E9081E" w:rsidR="00CC7D99" w:rsidRPr="006130AB" w:rsidRDefault="00CC7D99" w:rsidP="00CC7D99">
            <w:pPr>
              <w:shd w:val="clear" w:color="auto" w:fill="FFFFFF" w:themeFill="background1"/>
              <w:jc w:val="center"/>
              <w:rPr>
                <w:sz w:val="20"/>
                <w:szCs w:val="20"/>
                <w:lang w:eastAsia="en-US"/>
              </w:rPr>
            </w:pPr>
            <w:r w:rsidRPr="006130AB">
              <w:rPr>
                <w:rFonts w:eastAsia="Times New Roman"/>
                <w:sz w:val="20"/>
                <w:szCs w:val="20"/>
                <w:lang w:eastAsia="en-US"/>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C12B22" w14:textId="3DE939D8"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A09EFA" w14:textId="375CF03B"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FFCA24" w14:textId="0378DC55"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FAA183" w14:textId="4EA954A3"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132801" w14:textId="5120CE0D"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F2B3AA" w14:textId="3EEFDC7E"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r>
      <w:tr w:rsidR="00CC7D99" w14:paraId="4E18CF92"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26AA28" w14:textId="77777777" w:rsidR="00CC7D99" w:rsidRDefault="00CC7D99" w:rsidP="00CC7D99">
            <w:pPr>
              <w:shd w:val="clear" w:color="auto" w:fill="FFFFFF" w:themeFill="background1"/>
              <w:rPr>
                <w:sz w:val="20"/>
                <w:szCs w:val="20"/>
                <w:lang w:eastAsia="en-US"/>
              </w:rPr>
            </w:pPr>
            <w:r>
              <w:rPr>
                <w:sz w:val="20"/>
                <w:szCs w:val="20"/>
                <w:lang w:eastAsia="en-US"/>
              </w:rPr>
              <w:t>4. Finanšu līdzekļi papildu izdevumu finansēšanai (kompensējošu izdevumu samazinājumu norāda ar "+" zīmi)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5AA41D" w14:textId="12EAAB10" w:rsidR="00CC7D99" w:rsidRPr="006130AB" w:rsidRDefault="00CC7D99" w:rsidP="00CC7D99">
            <w:pPr>
              <w:shd w:val="clear" w:color="auto" w:fill="FFFFFF" w:themeFill="background1"/>
              <w:jc w:val="center"/>
              <w:rPr>
                <w:lang w:eastAsia="en-US"/>
              </w:rPr>
            </w:pPr>
            <w:r w:rsidRPr="006130AB">
              <w:rPr>
                <w:rFonts w:eastAsia="Times New Roman"/>
                <w:lang w:eastAsia="en-US"/>
              </w:rPr>
              <w:t>X</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C56AF5E" w14:textId="4FB13DC2"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92AA40" w14:textId="5D9B171D"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9A31E4" w14:textId="21D292FF"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78CD19" w14:textId="265E03D9"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6106B0" w14:textId="7FC6730C"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4A2FCF" w14:textId="7B387DAE" w:rsidR="00CC7D99" w:rsidRPr="006130AB" w:rsidRDefault="00CC7D99" w:rsidP="00CC7D99">
            <w:pPr>
              <w:shd w:val="clear" w:color="auto" w:fill="FFFFFF" w:themeFill="background1"/>
              <w:jc w:val="center"/>
              <w:rPr>
                <w:lang w:eastAsia="en-US"/>
              </w:rPr>
            </w:pPr>
            <w:r w:rsidRPr="006130AB">
              <w:rPr>
                <w:rFonts w:eastAsia="Times New Roman"/>
                <w:lang w:eastAsia="en-US"/>
              </w:rPr>
              <w:t>0</w:t>
            </w:r>
          </w:p>
        </w:tc>
      </w:tr>
      <w:tr w:rsidR="00CC7D99" w14:paraId="474372C3"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DFF6CC" w14:textId="77777777" w:rsidR="00CC7D99" w:rsidRDefault="00CC7D99" w:rsidP="00CC7D99">
            <w:pPr>
              <w:shd w:val="clear" w:color="auto" w:fill="FFFFFF" w:themeFill="background1"/>
              <w:rPr>
                <w:sz w:val="20"/>
                <w:szCs w:val="20"/>
                <w:lang w:eastAsia="en-US"/>
              </w:rPr>
            </w:pPr>
            <w:r>
              <w:rPr>
                <w:sz w:val="20"/>
                <w:szCs w:val="20"/>
                <w:lang w:eastAsia="en-US"/>
              </w:rPr>
              <w:t>5. Precizēta finansiālā ietekme:</w:t>
            </w:r>
          </w:p>
        </w:tc>
        <w:tc>
          <w:tcPr>
            <w:tcW w:w="10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0BB305" w14:textId="413A72D3" w:rsidR="00CC7D99" w:rsidRPr="006130AB" w:rsidRDefault="00CC7D99" w:rsidP="00CC7D99">
            <w:pPr>
              <w:shd w:val="clear" w:color="auto" w:fill="FFFFFF" w:themeFill="background1"/>
              <w:jc w:val="center"/>
              <w:rPr>
                <w:lang w:eastAsia="en-US"/>
              </w:rPr>
            </w:pPr>
            <w:r w:rsidRPr="006130AB">
              <w:rPr>
                <w:rFonts w:eastAsia="Times New Roman"/>
                <w:lang w:eastAsia="en-US"/>
              </w:rPr>
              <w:t>X</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2DFA885" w14:textId="7A53D0CE"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50F120" w14:textId="7C7E6BF6" w:rsidR="00CC7D99" w:rsidRPr="006130AB" w:rsidRDefault="00CC7D99" w:rsidP="00CC7D99">
            <w:pPr>
              <w:shd w:val="clear" w:color="auto" w:fill="FFFFFF" w:themeFill="background1"/>
              <w:jc w:val="center"/>
              <w:rPr>
                <w:lang w:eastAsia="en-US"/>
              </w:rPr>
            </w:pPr>
            <w:r w:rsidRPr="006130AB">
              <w:rPr>
                <w:lang w:eastAsia="en-US"/>
              </w:rPr>
              <w:t>X</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3F274C" w14:textId="4E48E806"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D3842D" w14:textId="5DFA1222" w:rsidR="00CC7D99" w:rsidRPr="006130AB" w:rsidRDefault="00CC7D99" w:rsidP="00CC7D99">
            <w:pPr>
              <w:shd w:val="clear" w:color="auto" w:fill="FFFFFF" w:themeFill="background1"/>
              <w:jc w:val="center"/>
              <w:rPr>
                <w:lang w:eastAsia="en-US"/>
              </w:rPr>
            </w:pPr>
            <w:r w:rsidRPr="006130AB">
              <w:rPr>
                <w:lang w:eastAsia="en-US"/>
              </w:rPr>
              <w:t>X</w:t>
            </w: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8265AD" w14:textId="5D968807"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836196" w14:textId="17B09713"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r>
      <w:tr w:rsidR="00CC7D99" w14:paraId="0387BCAF"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967052" w14:textId="77777777" w:rsidR="00CC7D99" w:rsidRDefault="00CC7D99" w:rsidP="00CC7D99">
            <w:pPr>
              <w:shd w:val="clear" w:color="auto" w:fill="FFFFFF" w:themeFill="background1"/>
              <w:rPr>
                <w:sz w:val="20"/>
                <w:szCs w:val="20"/>
                <w:lang w:eastAsia="en-US"/>
              </w:rPr>
            </w:pPr>
            <w:r>
              <w:rPr>
                <w:sz w:val="20"/>
                <w:szCs w:val="20"/>
                <w:lang w:eastAsia="en-US"/>
              </w:rPr>
              <w:t>5.1. valsts pamatbudžets</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035FA63A" w14:textId="77777777" w:rsidR="00CC7D99" w:rsidRPr="006130AB" w:rsidRDefault="00CC7D99" w:rsidP="00CC7D99">
            <w:pPr>
              <w:rPr>
                <w:lang w:eastAsia="en-US"/>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78A789" w14:textId="6CA070AB"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ABFF50A" w14:textId="77777777" w:rsidR="00CC7D99" w:rsidRPr="006130AB" w:rsidRDefault="00CC7D99" w:rsidP="00CC7D99">
            <w:pPr>
              <w:rPr>
                <w:lang w:eastAsia="en-US"/>
              </w:rPr>
            </w:pP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285907" w14:textId="620F35DF"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3EC5023" w14:textId="77777777" w:rsidR="00CC7D99" w:rsidRPr="006130AB" w:rsidRDefault="00CC7D99" w:rsidP="00CC7D99">
            <w:pPr>
              <w:rPr>
                <w:lang w:eastAsia="en-US"/>
              </w:rPr>
            </w:pP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CB2C74" w14:textId="7C929F9F"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751A89" w14:textId="2002A162"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r>
      <w:tr w:rsidR="00CC7D99" w14:paraId="49DB642F"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5E40EC" w14:textId="77777777" w:rsidR="00CC7D99" w:rsidRDefault="00CC7D99" w:rsidP="00CC7D99">
            <w:pPr>
              <w:shd w:val="clear" w:color="auto" w:fill="FFFFFF" w:themeFill="background1"/>
              <w:rPr>
                <w:sz w:val="20"/>
                <w:szCs w:val="20"/>
                <w:lang w:eastAsia="en-US"/>
              </w:rPr>
            </w:pPr>
            <w:r>
              <w:rPr>
                <w:sz w:val="20"/>
                <w:szCs w:val="20"/>
                <w:lang w:eastAsia="en-US"/>
              </w:rPr>
              <w:t>5.2. speciālais budžets</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7FED4BD0" w14:textId="77777777" w:rsidR="00CC7D99" w:rsidRPr="006130AB" w:rsidRDefault="00CC7D99" w:rsidP="00CC7D99">
            <w:pPr>
              <w:rPr>
                <w:lang w:eastAsia="en-US"/>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825F9A" w14:textId="1FF5E194" w:rsidR="00CC7D99" w:rsidRPr="006130AB" w:rsidRDefault="00CC7D99" w:rsidP="00CC7D99">
            <w:pPr>
              <w:shd w:val="clear" w:color="auto" w:fill="FFFFFF" w:themeFill="background1"/>
              <w:jc w:val="center"/>
              <w:rPr>
                <w:lang w:eastAsia="en-US"/>
              </w:rPr>
            </w:pPr>
            <w:r w:rsidRPr="006130AB">
              <w:rPr>
                <w:lang w:eastAsia="en-US"/>
              </w:rPr>
              <w:t>0</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1D9A664C" w14:textId="77777777" w:rsidR="00CC7D99" w:rsidRPr="006130AB" w:rsidRDefault="00CC7D99" w:rsidP="00CC7D99">
            <w:pPr>
              <w:rPr>
                <w:lang w:eastAsia="en-US"/>
              </w:rPr>
            </w:pP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5332CC" w14:textId="36DBAE5A" w:rsidR="00CC7D99" w:rsidRPr="006130AB" w:rsidRDefault="00CC7D99" w:rsidP="00CC7D99">
            <w:pPr>
              <w:shd w:val="clear" w:color="auto" w:fill="FFFFFF" w:themeFill="background1"/>
              <w:jc w:val="center"/>
              <w:rPr>
                <w:lang w:eastAsia="en-US"/>
              </w:rPr>
            </w:pPr>
            <w:r w:rsidRPr="006130AB">
              <w:rPr>
                <w:lang w:eastAsia="en-US"/>
              </w:rPr>
              <w:t>0</w:t>
            </w: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5DD096FF" w14:textId="77777777" w:rsidR="00CC7D99" w:rsidRPr="006130AB" w:rsidRDefault="00CC7D99" w:rsidP="00CC7D99">
            <w:pPr>
              <w:rPr>
                <w:lang w:eastAsia="en-US"/>
              </w:rPr>
            </w:pP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63D9B24" w14:textId="24BC8664" w:rsidR="00CC7D99" w:rsidRPr="006130AB" w:rsidRDefault="00CC7D99" w:rsidP="00CC7D99">
            <w:pPr>
              <w:shd w:val="clear" w:color="auto" w:fill="FFFFFF" w:themeFill="background1"/>
              <w:jc w:val="center"/>
              <w:rPr>
                <w:lang w:eastAsia="en-US"/>
              </w:rPr>
            </w:pPr>
            <w:r w:rsidRPr="006130AB">
              <w:rPr>
                <w:lang w:eastAsia="en-US"/>
              </w:rPr>
              <w:t>0</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757A23" w14:textId="6F7C800B" w:rsidR="00CC7D99" w:rsidRPr="006130AB" w:rsidRDefault="00CC7D99" w:rsidP="00CC7D99">
            <w:pPr>
              <w:shd w:val="clear" w:color="auto" w:fill="FFFFFF" w:themeFill="background1"/>
              <w:jc w:val="center"/>
              <w:rPr>
                <w:lang w:eastAsia="en-US"/>
              </w:rPr>
            </w:pPr>
            <w:r w:rsidRPr="006130AB">
              <w:rPr>
                <w:lang w:eastAsia="en-US"/>
              </w:rPr>
              <w:t>0</w:t>
            </w:r>
          </w:p>
        </w:tc>
      </w:tr>
      <w:tr w:rsidR="00CC7D99" w14:paraId="100F4A1A"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9F4641" w14:textId="77777777" w:rsidR="00CC7D99" w:rsidRDefault="00CC7D99" w:rsidP="00CC7D99">
            <w:pPr>
              <w:shd w:val="clear" w:color="auto" w:fill="FFFFFF" w:themeFill="background1"/>
              <w:rPr>
                <w:sz w:val="20"/>
                <w:szCs w:val="20"/>
                <w:lang w:eastAsia="en-US"/>
              </w:rPr>
            </w:pPr>
            <w:r>
              <w:rPr>
                <w:sz w:val="20"/>
                <w:szCs w:val="20"/>
                <w:lang w:eastAsia="en-US"/>
              </w:rPr>
              <w:t>5.3. pašvaldību budžets</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7956E3A8" w14:textId="77777777" w:rsidR="00CC7D99" w:rsidRPr="006130AB" w:rsidRDefault="00CC7D99" w:rsidP="00CC7D99">
            <w:pPr>
              <w:rPr>
                <w:lang w:eastAsia="en-US"/>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689F24" w14:textId="16491E69"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69ADF7E0" w14:textId="77777777" w:rsidR="00CC7D99" w:rsidRPr="006130AB" w:rsidRDefault="00CC7D99" w:rsidP="00CC7D99">
            <w:pPr>
              <w:rPr>
                <w:lang w:eastAsia="en-US"/>
              </w:rPr>
            </w:pP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0B375F" w14:textId="0E2051BA"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358200A" w14:textId="77777777" w:rsidR="00CC7D99" w:rsidRPr="006130AB" w:rsidRDefault="00CC7D99" w:rsidP="00CC7D99">
            <w:pPr>
              <w:rPr>
                <w:lang w:eastAsia="en-US"/>
              </w:rPr>
            </w:pPr>
          </w:p>
        </w:tc>
        <w:tc>
          <w:tcPr>
            <w:tcW w:w="9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6D1E205" w14:textId="08EC0D2A"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c>
          <w:tcPr>
            <w:tcW w:w="1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D8B11C" w14:textId="62C1A766" w:rsidR="00CC7D99" w:rsidRPr="006130AB" w:rsidRDefault="00CC7D99" w:rsidP="00CC7D99">
            <w:pPr>
              <w:shd w:val="clear" w:color="auto" w:fill="FFFFFF" w:themeFill="background1"/>
              <w:jc w:val="center"/>
              <w:rPr>
                <w:lang w:eastAsia="en-US"/>
              </w:rPr>
            </w:pPr>
            <w:r w:rsidRPr="006130AB">
              <w:rPr>
                <w:rFonts w:eastAsia="Times New Roman"/>
                <w:sz w:val="20"/>
                <w:szCs w:val="20"/>
                <w:lang w:eastAsia="en-US"/>
              </w:rPr>
              <w:t>nav precīzi aprēķināms</w:t>
            </w:r>
          </w:p>
        </w:tc>
      </w:tr>
      <w:tr w:rsidR="00D9294A" w14:paraId="152AF850"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9A9380" w14:textId="77777777" w:rsidR="00D9294A" w:rsidRDefault="00D9294A">
            <w:pPr>
              <w:shd w:val="clear" w:color="auto" w:fill="FFFFFF" w:themeFill="background1"/>
              <w:rPr>
                <w:sz w:val="20"/>
                <w:szCs w:val="20"/>
                <w:lang w:eastAsia="en-US"/>
              </w:rPr>
            </w:pPr>
            <w:r>
              <w:rPr>
                <w:sz w:val="20"/>
                <w:szCs w:val="20"/>
                <w:lang w:eastAsia="en-US"/>
              </w:rPr>
              <w:t>6. Detalizēts ieņēmumu un izdevumu aprēķins (ja nepie</w:t>
            </w:r>
            <w:r>
              <w:rPr>
                <w:sz w:val="20"/>
                <w:szCs w:val="20"/>
                <w:lang w:eastAsia="en-US"/>
              </w:rPr>
              <w:softHyphen/>
              <w:t>ciešams, detalizētu ieņēmumu un izdevumu aprēķinu var pie</w:t>
            </w:r>
            <w:r>
              <w:rPr>
                <w:sz w:val="20"/>
                <w:szCs w:val="20"/>
                <w:lang w:eastAsia="en-US"/>
              </w:rPr>
              <w:softHyphen/>
              <w:t>vienot anotācijas pielikumā):</w:t>
            </w:r>
          </w:p>
        </w:tc>
        <w:tc>
          <w:tcPr>
            <w:tcW w:w="7732" w:type="dxa"/>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61956FE" w14:textId="77777777" w:rsidR="00D9294A" w:rsidRDefault="00D9294A">
            <w:pPr>
              <w:shd w:val="clear" w:color="auto" w:fill="FFFFFF" w:themeFill="background1"/>
              <w:jc w:val="both"/>
              <w:rPr>
                <w:lang w:eastAsia="en-US"/>
              </w:rPr>
            </w:pPr>
            <w:r>
              <w:rPr>
                <w:rFonts w:eastAsia="Times New Roman"/>
                <w:lang w:eastAsia="en-US"/>
              </w:rPr>
              <w:t>Nav precīzi aprēķināms</w:t>
            </w:r>
          </w:p>
        </w:tc>
      </w:tr>
      <w:tr w:rsidR="00D9294A" w14:paraId="2B12CACE"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84C4B8" w14:textId="77777777" w:rsidR="00D9294A" w:rsidRDefault="00D9294A">
            <w:pPr>
              <w:shd w:val="clear" w:color="auto" w:fill="FFFFFF" w:themeFill="background1"/>
              <w:rPr>
                <w:sz w:val="20"/>
                <w:szCs w:val="20"/>
                <w:lang w:eastAsia="en-US"/>
              </w:rPr>
            </w:pPr>
            <w:r>
              <w:rPr>
                <w:sz w:val="20"/>
                <w:szCs w:val="20"/>
                <w:lang w:eastAsia="en-US"/>
              </w:rPr>
              <w:t>6.1. detalizēts ieņēmumu aprēķins</w:t>
            </w:r>
          </w:p>
        </w:tc>
        <w:tc>
          <w:tcPr>
            <w:tcW w:w="7732" w:type="dxa"/>
            <w:gridSpan w:val="7"/>
            <w:vMerge/>
            <w:tcBorders>
              <w:top w:val="single" w:sz="4" w:space="0" w:color="auto"/>
              <w:left w:val="single" w:sz="4" w:space="0" w:color="auto"/>
              <w:bottom w:val="single" w:sz="4" w:space="0" w:color="auto"/>
              <w:right w:val="single" w:sz="4" w:space="0" w:color="auto"/>
            </w:tcBorders>
            <w:vAlign w:val="center"/>
            <w:hideMark/>
          </w:tcPr>
          <w:p w14:paraId="7C7B8E66" w14:textId="77777777" w:rsidR="00D9294A" w:rsidRDefault="00D9294A">
            <w:pPr>
              <w:rPr>
                <w:lang w:eastAsia="en-US"/>
              </w:rPr>
            </w:pPr>
          </w:p>
        </w:tc>
      </w:tr>
      <w:tr w:rsidR="00D9294A" w14:paraId="5F887450"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FAFC1C" w14:textId="77777777" w:rsidR="00D9294A" w:rsidRDefault="00D9294A">
            <w:pPr>
              <w:shd w:val="clear" w:color="auto" w:fill="FFFFFF" w:themeFill="background1"/>
              <w:rPr>
                <w:sz w:val="20"/>
                <w:szCs w:val="20"/>
                <w:lang w:eastAsia="en-US"/>
              </w:rPr>
            </w:pPr>
            <w:r>
              <w:rPr>
                <w:sz w:val="20"/>
                <w:szCs w:val="20"/>
                <w:lang w:eastAsia="en-US"/>
              </w:rPr>
              <w:t>6.2. detalizēts izdevumu aprēķins</w:t>
            </w:r>
          </w:p>
        </w:tc>
        <w:tc>
          <w:tcPr>
            <w:tcW w:w="7732" w:type="dxa"/>
            <w:gridSpan w:val="7"/>
            <w:vMerge/>
            <w:tcBorders>
              <w:top w:val="single" w:sz="4" w:space="0" w:color="auto"/>
              <w:left w:val="single" w:sz="4" w:space="0" w:color="auto"/>
              <w:bottom w:val="single" w:sz="4" w:space="0" w:color="auto"/>
              <w:right w:val="single" w:sz="4" w:space="0" w:color="auto"/>
            </w:tcBorders>
            <w:vAlign w:val="center"/>
            <w:hideMark/>
          </w:tcPr>
          <w:p w14:paraId="59A66549" w14:textId="77777777" w:rsidR="00D9294A" w:rsidRDefault="00D9294A">
            <w:pPr>
              <w:rPr>
                <w:lang w:eastAsia="en-US"/>
              </w:rPr>
            </w:pPr>
          </w:p>
        </w:tc>
      </w:tr>
      <w:tr w:rsidR="00D9294A" w14:paraId="1B061157"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E31641" w14:textId="77777777" w:rsidR="00D9294A" w:rsidRDefault="00D9294A">
            <w:pPr>
              <w:shd w:val="clear" w:color="auto" w:fill="FFFFFF" w:themeFill="background1"/>
              <w:rPr>
                <w:sz w:val="20"/>
                <w:szCs w:val="20"/>
                <w:lang w:eastAsia="en-US"/>
              </w:rPr>
            </w:pPr>
            <w:r>
              <w:rPr>
                <w:sz w:val="20"/>
                <w:szCs w:val="20"/>
                <w:lang w:eastAsia="en-US"/>
              </w:rPr>
              <w:t>7. Amata vietu skaita izmaiņas</w:t>
            </w:r>
          </w:p>
        </w:tc>
        <w:tc>
          <w:tcPr>
            <w:tcW w:w="7732"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2D97262" w14:textId="014DF72F" w:rsidR="00D9294A" w:rsidRDefault="009C4B2C">
            <w:pPr>
              <w:shd w:val="clear" w:color="auto" w:fill="FFFFFF" w:themeFill="background1"/>
              <w:rPr>
                <w:lang w:eastAsia="en-US"/>
              </w:rPr>
            </w:pPr>
            <w:r>
              <w:rPr>
                <w:lang w:eastAsia="en-US"/>
              </w:rPr>
              <w:t>Noteikumu p</w:t>
            </w:r>
            <w:r w:rsidR="00D9294A">
              <w:rPr>
                <w:lang w:eastAsia="en-US"/>
              </w:rPr>
              <w:t>rojekts šo jomu neskar</w:t>
            </w:r>
          </w:p>
        </w:tc>
      </w:tr>
      <w:tr w:rsidR="00D9294A" w14:paraId="2F0AD196" w14:textId="77777777" w:rsidTr="00DF23C5">
        <w:tc>
          <w:tcPr>
            <w:tcW w:w="16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2D3F445" w14:textId="77777777" w:rsidR="00D9294A" w:rsidRDefault="00D9294A">
            <w:pPr>
              <w:shd w:val="clear" w:color="auto" w:fill="FFFFFF" w:themeFill="background1"/>
              <w:rPr>
                <w:sz w:val="20"/>
                <w:szCs w:val="20"/>
                <w:lang w:eastAsia="en-US"/>
              </w:rPr>
            </w:pPr>
            <w:r>
              <w:rPr>
                <w:sz w:val="20"/>
                <w:szCs w:val="20"/>
                <w:lang w:eastAsia="en-US"/>
              </w:rPr>
              <w:t>8. Cita informācija</w:t>
            </w:r>
          </w:p>
        </w:tc>
        <w:tc>
          <w:tcPr>
            <w:tcW w:w="7732"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84EE7B7" w14:textId="77777777" w:rsidR="00D9294A" w:rsidRDefault="00D9294A">
            <w:pPr>
              <w:pStyle w:val="ListParagraph"/>
              <w:shd w:val="clear" w:color="auto" w:fill="FFFFFF" w:themeFill="background1"/>
              <w:spacing w:after="120"/>
              <w:ind w:left="0" w:right="62"/>
              <w:jc w:val="both"/>
              <w:rPr>
                <w:sz w:val="24"/>
                <w:szCs w:val="24"/>
                <w:lang w:eastAsia="en-US"/>
              </w:rPr>
            </w:pPr>
            <w:r>
              <w:rPr>
                <w:sz w:val="24"/>
                <w:szCs w:val="24"/>
                <w:lang w:eastAsia="en-US"/>
              </w:rPr>
              <w:t xml:space="preserve">Zinot VBD </w:t>
            </w:r>
            <w:r w:rsidRPr="00D201BF">
              <w:rPr>
                <w:sz w:val="24"/>
                <w:szCs w:val="24"/>
                <w:lang w:eastAsia="en-US"/>
              </w:rPr>
              <w:t xml:space="preserve">pieprasījumu (58,19 milj. </w:t>
            </w:r>
            <w:proofErr w:type="spellStart"/>
            <w:r w:rsidRPr="00D201BF">
              <w:rPr>
                <w:i/>
                <w:sz w:val="24"/>
                <w:szCs w:val="24"/>
                <w:lang w:eastAsia="en-US"/>
              </w:rPr>
              <w:t>euro</w:t>
            </w:r>
            <w:proofErr w:type="spellEnd"/>
            <w:r w:rsidRPr="00D201BF">
              <w:rPr>
                <w:sz w:val="24"/>
                <w:szCs w:val="24"/>
                <w:lang w:eastAsia="en-US"/>
              </w:rPr>
              <w:t xml:space="preserve">) jau iesniegtajiem projektiem, kuros paredzēta VBD (850,71 milj. </w:t>
            </w:r>
            <w:proofErr w:type="spellStart"/>
            <w:r w:rsidRPr="00D201BF">
              <w:rPr>
                <w:i/>
                <w:sz w:val="24"/>
                <w:szCs w:val="24"/>
                <w:lang w:eastAsia="en-US"/>
              </w:rPr>
              <w:t>euro</w:t>
            </w:r>
            <w:proofErr w:type="spellEnd"/>
            <w:r w:rsidRPr="00D201BF">
              <w:rPr>
                <w:sz w:val="24"/>
                <w:szCs w:val="24"/>
                <w:lang w:eastAsia="en-US"/>
              </w:rPr>
              <w:t xml:space="preserve"> ERAF finansējums), var prognozēt VBD pieprasījumu vēl neiesniegtajiem projektiem (skat. anotācijas pielikumu). Ņemot vērā katra specifiskā atbalsta mērķa īpatnējo VBD īpatsvaru, prognozējams, ka </w:t>
            </w:r>
            <w:r w:rsidRPr="00D201BF">
              <w:rPr>
                <w:sz w:val="24"/>
                <w:szCs w:val="24"/>
                <w:lang w:eastAsia="en-US"/>
              </w:rPr>
              <w:lastRenderedPageBreak/>
              <w:t xml:space="preserve">vēl neiesniegtajiem projektiem VBD būtu nepieciešama 18,42 milj. </w:t>
            </w:r>
            <w:proofErr w:type="spellStart"/>
            <w:r w:rsidRPr="00D201BF">
              <w:rPr>
                <w:i/>
                <w:sz w:val="24"/>
                <w:szCs w:val="24"/>
                <w:lang w:eastAsia="en-US"/>
              </w:rPr>
              <w:t>euro</w:t>
            </w:r>
            <w:proofErr w:type="spellEnd"/>
            <w:r w:rsidRPr="00D201BF">
              <w:rPr>
                <w:sz w:val="24"/>
                <w:szCs w:val="24"/>
                <w:lang w:eastAsia="en-US"/>
              </w:rPr>
              <w:t xml:space="preserve"> apmērā, kas nozīmē, ka kopumā 2014.-2020.gada plānošanas periodā VBD kopumā būtu nepieciešama 76,61 milj. </w:t>
            </w:r>
            <w:proofErr w:type="spellStart"/>
            <w:r w:rsidRPr="00D201BF">
              <w:rPr>
                <w:i/>
                <w:sz w:val="24"/>
                <w:szCs w:val="24"/>
                <w:lang w:eastAsia="en-US"/>
              </w:rPr>
              <w:t>euro</w:t>
            </w:r>
            <w:proofErr w:type="spellEnd"/>
            <w:r w:rsidRPr="00D201BF">
              <w:rPr>
                <w:sz w:val="24"/>
                <w:szCs w:val="24"/>
                <w:lang w:eastAsia="en-US"/>
              </w:rPr>
              <w:t xml:space="preserve"> apmērā.</w:t>
            </w:r>
          </w:p>
          <w:p w14:paraId="761C197D" w14:textId="75C6C8E6" w:rsidR="00D9294A" w:rsidRDefault="00D9294A" w:rsidP="007C5D47">
            <w:pPr>
              <w:shd w:val="clear" w:color="auto" w:fill="FFFFFF" w:themeFill="background1"/>
              <w:spacing w:after="120"/>
              <w:ind w:right="62"/>
              <w:jc w:val="both"/>
              <w:rPr>
                <w:lang w:eastAsia="en-US"/>
              </w:rPr>
            </w:pPr>
            <w:r>
              <w:rPr>
                <w:lang w:eastAsia="en-US"/>
              </w:rPr>
              <w:t>Veicot šādus grozījumus MK noteikumos Nr.42 un piemērojot tos visiem projektiem projektu iesniegumu grozījumiem, kas iesniegti Eiropas Savienības fondu vadībā iesaistītajā institūcijā no šo noteikumu</w:t>
            </w:r>
            <w:r w:rsidR="009C4B2C">
              <w:rPr>
                <w:lang w:eastAsia="en-US"/>
              </w:rPr>
              <w:t xml:space="preserve"> projekta</w:t>
            </w:r>
            <w:r>
              <w:rPr>
                <w:lang w:eastAsia="en-US"/>
              </w:rPr>
              <w:t xml:space="preserve"> spēkā stāšanās brīža </w:t>
            </w:r>
            <w:r w:rsidRPr="006130AB">
              <w:rPr>
                <w:lang w:eastAsia="en-US"/>
              </w:rPr>
              <w:t xml:space="preserve">nekavējoties, prognozējams, ka neveidosies papildu izmaksas no valsts budžeta 8,27 milj. </w:t>
            </w:r>
            <w:proofErr w:type="spellStart"/>
            <w:r w:rsidRPr="006130AB">
              <w:rPr>
                <w:i/>
                <w:lang w:eastAsia="en-US"/>
              </w:rPr>
              <w:t>euro</w:t>
            </w:r>
            <w:proofErr w:type="spellEnd"/>
            <w:r w:rsidRPr="006130AB">
              <w:rPr>
                <w:lang w:eastAsia="en-US"/>
              </w:rPr>
              <w:t xml:space="preserve"> (no 18,42 milj. </w:t>
            </w:r>
            <w:proofErr w:type="spellStart"/>
            <w:r w:rsidRPr="006130AB">
              <w:rPr>
                <w:i/>
                <w:lang w:eastAsia="en-US"/>
              </w:rPr>
              <w:t>euro</w:t>
            </w:r>
            <w:proofErr w:type="spellEnd"/>
            <w:r w:rsidRPr="006130AB">
              <w:rPr>
                <w:lang w:eastAsia="en-US"/>
              </w:rPr>
              <w:t xml:space="preserve"> atņemot 10,14 milj. </w:t>
            </w:r>
            <w:proofErr w:type="spellStart"/>
            <w:r w:rsidRPr="006130AB">
              <w:rPr>
                <w:i/>
                <w:lang w:eastAsia="en-US"/>
              </w:rPr>
              <w:t>euro</w:t>
            </w:r>
            <w:proofErr w:type="spellEnd"/>
            <w:r w:rsidRPr="006130AB">
              <w:rPr>
                <w:lang w:eastAsia="en-US"/>
              </w:rPr>
              <w:t>) 2014.-2020.gada plānošanas periodā. Tā kā daļa no šobrīd iesniegtajiem, bet neapstiprinātajiem projektiem netiktu apstiprināti, savukārt daļa no neiesniegtajiem projektiem līdz 2019.gada 1.</w:t>
            </w:r>
            <w:r w:rsidR="007C5D47" w:rsidRPr="006130AB">
              <w:rPr>
                <w:lang w:eastAsia="en-US"/>
              </w:rPr>
              <w:t xml:space="preserve"> jūnijam </w:t>
            </w:r>
            <w:r w:rsidRPr="006130AB">
              <w:rPr>
                <w:lang w:eastAsia="en-US"/>
              </w:rPr>
              <w:t>tiktu iesniegti, var pieņemt, ka noteikumu projekta rezultātā neveidosies papildu izmaksas no valsts budžeta aptuveni 7-10 milj</w:t>
            </w:r>
            <w:r w:rsidR="003A7565" w:rsidRPr="006130AB">
              <w:rPr>
                <w:i/>
                <w:lang w:eastAsia="en-US"/>
              </w:rPr>
              <w:t xml:space="preserve">. </w:t>
            </w:r>
            <w:proofErr w:type="spellStart"/>
            <w:r w:rsidR="003A7565" w:rsidRPr="006130AB">
              <w:rPr>
                <w:i/>
                <w:lang w:eastAsia="en-US"/>
              </w:rPr>
              <w:t>e</w:t>
            </w:r>
            <w:r w:rsidRPr="006130AB">
              <w:rPr>
                <w:i/>
                <w:lang w:eastAsia="en-US"/>
              </w:rPr>
              <w:t>uro</w:t>
            </w:r>
            <w:proofErr w:type="spellEnd"/>
            <w:r w:rsidRPr="006130AB">
              <w:rPr>
                <w:lang w:eastAsia="en-US"/>
              </w:rPr>
              <w:t xml:space="preserve"> apmērā.</w:t>
            </w:r>
          </w:p>
        </w:tc>
      </w:tr>
    </w:tbl>
    <w:p w14:paraId="5051705E" w14:textId="2697EBF1" w:rsidR="00A3378D" w:rsidRPr="00E22518" w:rsidRDefault="00D9294A" w:rsidP="00E22518">
      <w:pPr>
        <w:shd w:val="clear" w:color="auto" w:fill="FFFFFF" w:themeFill="background1"/>
        <w:jc w:val="both"/>
      </w:pPr>
      <w:r w:rsidRPr="00E22518" w:rsidDel="00D9294A">
        <w:rPr>
          <w:rFonts w:eastAsia="Times New Roman"/>
          <w:b/>
        </w:rPr>
        <w:lastRenderedPageBreak/>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E22518" w14:paraId="1C9C4140" w14:textId="77777777" w:rsidTr="00FA45DC">
        <w:trPr>
          <w:trHeight w:val="421"/>
        </w:trPr>
        <w:tc>
          <w:tcPr>
            <w:tcW w:w="9356" w:type="dxa"/>
            <w:vAlign w:val="center"/>
          </w:tcPr>
          <w:p w14:paraId="45BA7160" w14:textId="77777777" w:rsidR="00750FB6" w:rsidRPr="00E22518" w:rsidRDefault="007559D4" w:rsidP="00E22518">
            <w:pPr>
              <w:shd w:val="clear" w:color="auto" w:fill="FFFFFF" w:themeFill="background1"/>
              <w:ind w:left="57" w:right="57"/>
              <w:jc w:val="center"/>
              <w:rPr>
                <w:rFonts w:eastAsia="Times New Roman"/>
              </w:rPr>
            </w:pPr>
            <w:r w:rsidRPr="00E22518">
              <w:rPr>
                <w:rFonts w:eastAsia="Times New Roman"/>
                <w:b/>
              </w:rPr>
              <w:t xml:space="preserve">IV. Tiesību akta projekta ietekme uz spēkā esošo tiesību normu sistēmu </w:t>
            </w:r>
          </w:p>
        </w:tc>
      </w:tr>
      <w:tr w:rsidR="00065166" w:rsidRPr="00E22518" w14:paraId="773A66F6" w14:textId="77777777" w:rsidTr="00065166">
        <w:trPr>
          <w:trHeight w:val="345"/>
        </w:trPr>
        <w:tc>
          <w:tcPr>
            <w:tcW w:w="9356" w:type="dxa"/>
            <w:vAlign w:val="center"/>
          </w:tcPr>
          <w:p w14:paraId="56438461" w14:textId="3328608C" w:rsidR="00065166" w:rsidRPr="00E22518" w:rsidRDefault="00065166" w:rsidP="00E22518">
            <w:pPr>
              <w:shd w:val="clear" w:color="auto" w:fill="FFFFFF" w:themeFill="background1"/>
              <w:ind w:left="57" w:right="57"/>
              <w:jc w:val="center"/>
              <w:rPr>
                <w:rFonts w:eastAsia="Times New Roman"/>
                <w:b/>
              </w:rPr>
            </w:pPr>
            <w:r w:rsidRPr="00E22518">
              <w:rPr>
                <w:lang w:eastAsia="en-US"/>
              </w:rPr>
              <w:t>Projekts šo jomu neskar</w:t>
            </w:r>
          </w:p>
        </w:tc>
      </w:tr>
    </w:tbl>
    <w:p w14:paraId="6A65284D" w14:textId="77777777" w:rsidR="00334386" w:rsidRPr="00E22518" w:rsidRDefault="00334386" w:rsidP="00E22518">
      <w:pPr>
        <w:shd w:val="clear" w:color="auto" w:fill="FFFFFF" w:themeFill="background1"/>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A14926" w:rsidRPr="00E22518" w14:paraId="23A98771" w14:textId="77777777" w:rsidTr="006112BA">
        <w:trPr>
          <w:trHeight w:val="393"/>
        </w:trPr>
        <w:tc>
          <w:tcPr>
            <w:tcW w:w="9356" w:type="dxa"/>
          </w:tcPr>
          <w:p w14:paraId="45C7F908" w14:textId="77777777" w:rsidR="00A14926" w:rsidRPr="00E22518" w:rsidRDefault="00A14926" w:rsidP="00E22518">
            <w:pPr>
              <w:shd w:val="clear" w:color="auto" w:fill="FFFFFF" w:themeFill="background1"/>
              <w:ind w:left="57" w:right="113"/>
              <w:jc w:val="center"/>
            </w:pPr>
            <w:r w:rsidRPr="00E22518">
              <w:rPr>
                <w:b/>
                <w:lang w:eastAsia="en-US"/>
              </w:rPr>
              <w:t>V. Tiesību akta projekta atbilstība Latvijas Republikas starptautiskajām saistībām</w:t>
            </w:r>
          </w:p>
        </w:tc>
      </w:tr>
      <w:tr w:rsidR="006112BA" w:rsidRPr="00E22518" w14:paraId="680B04AC" w14:textId="77777777" w:rsidTr="006112BA">
        <w:trPr>
          <w:trHeight w:val="303"/>
        </w:trPr>
        <w:tc>
          <w:tcPr>
            <w:tcW w:w="9356" w:type="dxa"/>
          </w:tcPr>
          <w:p w14:paraId="54EECBBD" w14:textId="46280121" w:rsidR="006112BA" w:rsidRPr="00E22518" w:rsidRDefault="006112BA" w:rsidP="00E22518">
            <w:pPr>
              <w:shd w:val="clear" w:color="auto" w:fill="FFFFFF" w:themeFill="background1"/>
              <w:ind w:left="57" w:right="113"/>
              <w:jc w:val="center"/>
              <w:rPr>
                <w:bCs/>
                <w:color w:val="000000"/>
              </w:rPr>
            </w:pPr>
            <w:r w:rsidRPr="00E22518">
              <w:rPr>
                <w:lang w:eastAsia="en-US"/>
              </w:rPr>
              <w:t>Projekts šo jomu neskar</w:t>
            </w:r>
          </w:p>
        </w:tc>
      </w:tr>
    </w:tbl>
    <w:p w14:paraId="53163B91" w14:textId="77777777" w:rsidR="00FB2116" w:rsidRPr="00E22518" w:rsidRDefault="00FB2116" w:rsidP="00E22518">
      <w:pPr>
        <w:shd w:val="clear" w:color="auto" w:fill="FFFFFF" w:themeFill="background1"/>
        <w:jc w:val="center"/>
        <w:rPr>
          <w:lang w:eastAsia="en-US"/>
        </w:rPr>
      </w:pPr>
    </w:p>
    <w:p w14:paraId="16F8040B" w14:textId="77777777" w:rsidR="005024ED" w:rsidRPr="00E22518" w:rsidRDefault="005024ED" w:rsidP="00E22518">
      <w:pPr>
        <w:shd w:val="clear" w:color="auto" w:fill="FFFFFF" w:themeFill="background1"/>
        <w:jc w:val="cente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E22518" w14:paraId="3090A8C0" w14:textId="77777777" w:rsidTr="00FA45DC">
        <w:trPr>
          <w:trHeight w:val="421"/>
        </w:trPr>
        <w:tc>
          <w:tcPr>
            <w:tcW w:w="9356" w:type="dxa"/>
            <w:gridSpan w:val="3"/>
            <w:vAlign w:val="center"/>
          </w:tcPr>
          <w:p w14:paraId="43BFCFB8" w14:textId="77777777" w:rsidR="00750FB6" w:rsidRPr="00E22518" w:rsidRDefault="007559D4" w:rsidP="00E22518">
            <w:pPr>
              <w:pStyle w:val="naisnod"/>
              <w:shd w:val="clear" w:color="auto" w:fill="FFFFFF" w:themeFill="background1"/>
              <w:spacing w:before="0" w:beforeAutospacing="0" w:after="0" w:afterAutospacing="0"/>
              <w:ind w:left="57" w:right="57"/>
              <w:jc w:val="center"/>
            </w:pPr>
            <w:r w:rsidRPr="00E22518">
              <w:rPr>
                <w:lang w:eastAsia="en-US"/>
              </w:rPr>
              <w:br w:type="page"/>
            </w:r>
            <w:r w:rsidR="001C1C28" w:rsidRPr="00E22518">
              <w:rPr>
                <w:b/>
              </w:rPr>
              <w:t>VI. Sabiedrības līdzdalība un komunikācijas aktivitātes</w:t>
            </w:r>
          </w:p>
        </w:tc>
      </w:tr>
      <w:tr w:rsidR="00C71FAA" w:rsidRPr="00E22518" w14:paraId="4E0BE14B" w14:textId="77777777" w:rsidTr="00FA45DC">
        <w:trPr>
          <w:trHeight w:val="553"/>
        </w:trPr>
        <w:tc>
          <w:tcPr>
            <w:tcW w:w="426" w:type="dxa"/>
          </w:tcPr>
          <w:p w14:paraId="38A69E99" w14:textId="77777777" w:rsidR="00750FB6" w:rsidRPr="00E22518" w:rsidRDefault="007559D4" w:rsidP="00E22518">
            <w:pPr>
              <w:shd w:val="clear" w:color="auto" w:fill="FFFFFF" w:themeFill="background1"/>
              <w:ind w:left="57" w:right="57"/>
              <w:jc w:val="both"/>
              <w:rPr>
                <w:bCs/>
              </w:rPr>
            </w:pPr>
            <w:r w:rsidRPr="00E22518">
              <w:rPr>
                <w:bCs/>
              </w:rPr>
              <w:t>1.</w:t>
            </w:r>
          </w:p>
        </w:tc>
        <w:tc>
          <w:tcPr>
            <w:tcW w:w="2608" w:type="dxa"/>
          </w:tcPr>
          <w:p w14:paraId="6B1F2D0B" w14:textId="77777777" w:rsidR="00750FB6" w:rsidRPr="00E22518" w:rsidRDefault="007559D4" w:rsidP="00E22518">
            <w:pPr>
              <w:shd w:val="clear" w:color="auto" w:fill="FFFFFF" w:themeFill="background1"/>
              <w:tabs>
                <w:tab w:val="left" w:pos="170"/>
              </w:tabs>
              <w:ind w:left="57" w:right="57"/>
            </w:pPr>
            <w:r w:rsidRPr="00E22518">
              <w:t>Plānotās sabiedrības līdzdalības un komunikācijas aktivitātes saistībā ar projektu</w:t>
            </w:r>
          </w:p>
        </w:tc>
        <w:tc>
          <w:tcPr>
            <w:tcW w:w="6322" w:type="dxa"/>
          </w:tcPr>
          <w:p w14:paraId="260FFA8E" w14:textId="2AFD4663" w:rsidR="00AD6AE4" w:rsidRPr="00E22518" w:rsidRDefault="007559D4" w:rsidP="005C09FB">
            <w:pPr>
              <w:shd w:val="clear" w:color="auto" w:fill="FFFFFF" w:themeFill="background1"/>
              <w:ind w:left="57" w:right="113"/>
              <w:jc w:val="both"/>
              <w:rPr>
                <w:bCs/>
                <w:color w:val="000000"/>
              </w:rPr>
            </w:pPr>
            <w:r w:rsidRPr="00E22518">
              <w:rPr>
                <w:bCs/>
                <w:color w:val="000000"/>
              </w:rPr>
              <w:t>Ņemot vērā, ka noteikumu projekts</w:t>
            </w:r>
            <w:r w:rsidR="00915533" w:rsidRPr="00E22518">
              <w:rPr>
                <w:bCs/>
                <w:color w:val="000000"/>
              </w:rPr>
              <w:t xml:space="preserve"> </w:t>
            </w:r>
            <w:r w:rsidR="00C02E90" w:rsidRPr="00E22518">
              <w:rPr>
                <w:bCs/>
                <w:color w:val="000000"/>
              </w:rPr>
              <w:t xml:space="preserve">tiešā veidā ietekmē </w:t>
            </w:r>
            <w:r w:rsidRPr="00E22518">
              <w:rPr>
                <w:bCs/>
                <w:color w:val="000000"/>
              </w:rPr>
              <w:t>pašvald</w:t>
            </w:r>
            <w:r w:rsidR="00C02E90" w:rsidRPr="00E22518">
              <w:rPr>
                <w:bCs/>
                <w:color w:val="000000"/>
              </w:rPr>
              <w:t>ību</w:t>
            </w:r>
            <w:r w:rsidR="00160300" w:rsidRPr="00E22518">
              <w:rPr>
                <w:bCs/>
                <w:color w:val="000000"/>
              </w:rPr>
              <w:t xml:space="preserve"> administrācijas</w:t>
            </w:r>
            <w:r w:rsidR="00B85F42" w:rsidRPr="00E22518">
              <w:rPr>
                <w:bCs/>
                <w:color w:val="000000"/>
              </w:rPr>
              <w:t xml:space="preserve">, </w:t>
            </w:r>
            <w:r w:rsidRPr="00E22518">
              <w:rPr>
                <w:bCs/>
                <w:color w:val="000000"/>
              </w:rPr>
              <w:t>un</w:t>
            </w:r>
            <w:r w:rsidR="00160300" w:rsidRPr="00E22518">
              <w:rPr>
                <w:bCs/>
                <w:color w:val="000000"/>
              </w:rPr>
              <w:t xml:space="preserve"> noteikumu projekts </w:t>
            </w:r>
            <w:r w:rsidRPr="00E22518">
              <w:rPr>
                <w:bCs/>
                <w:color w:val="000000"/>
              </w:rPr>
              <w:t xml:space="preserve">ir </w:t>
            </w:r>
            <w:r w:rsidR="00160300" w:rsidRPr="00E22518">
              <w:rPr>
                <w:bCs/>
                <w:color w:val="000000"/>
              </w:rPr>
              <w:t xml:space="preserve">saskaņots ar </w:t>
            </w:r>
            <w:r w:rsidR="005C09FB" w:rsidRPr="00E22518">
              <w:t>Latvijas Pašvaldību savienību</w:t>
            </w:r>
            <w:r w:rsidR="00160300" w:rsidRPr="00E22518">
              <w:rPr>
                <w:bCs/>
                <w:color w:val="000000"/>
              </w:rPr>
              <w:t xml:space="preserve"> un</w:t>
            </w:r>
            <w:r w:rsidRPr="00E22518">
              <w:rPr>
                <w:bCs/>
                <w:color w:val="000000"/>
              </w:rPr>
              <w:t xml:space="preserve"> </w:t>
            </w:r>
            <w:r w:rsidR="005C09FB" w:rsidRPr="00E22518">
              <w:t>Latvijas Lielo pilsētu asociāciju</w:t>
            </w:r>
            <w:r w:rsidRPr="00E22518">
              <w:rPr>
                <w:bCs/>
                <w:color w:val="000000"/>
              </w:rPr>
              <w:t xml:space="preserve">, </w:t>
            </w:r>
            <w:r w:rsidR="00915533" w:rsidRPr="00E22518">
              <w:rPr>
                <w:bCs/>
                <w:color w:val="000000"/>
              </w:rPr>
              <w:t>papildu sabiedrības līdzdalības un komunikācijas aktivitātes netiek veiktas.</w:t>
            </w:r>
            <w:r w:rsidRPr="00E22518">
              <w:rPr>
                <w:bCs/>
                <w:color w:val="000000"/>
              </w:rPr>
              <w:t xml:space="preserve"> </w:t>
            </w:r>
          </w:p>
        </w:tc>
      </w:tr>
      <w:tr w:rsidR="00C71FAA" w:rsidRPr="00E22518" w14:paraId="3F1B4E8A" w14:textId="77777777" w:rsidTr="00FA45DC">
        <w:trPr>
          <w:trHeight w:val="339"/>
        </w:trPr>
        <w:tc>
          <w:tcPr>
            <w:tcW w:w="426" w:type="dxa"/>
          </w:tcPr>
          <w:p w14:paraId="38CECD91" w14:textId="77777777" w:rsidR="00750FB6" w:rsidRPr="00E22518" w:rsidRDefault="007559D4" w:rsidP="00E22518">
            <w:pPr>
              <w:shd w:val="clear" w:color="auto" w:fill="FFFFFF" w:themeFill="background1"/>
              <w:ind w:left="57" w:right="57"/>
              <w:jc w:val="both"/>
              <w:rPr>
                <w:bCs/>
              </w:rPr>
            </w:pPr>
            <w:r w:rsidRPr="00E22518">
              <w:rPr>
                <w:bCs/>
              </w:rPr>
              <w:t>2.</w:t>
            </w:r>
          </w:p>
        </w:tc>
        <w:tc>
          <w:tcPr>
            <w:tcW w:w="2608" w:type="dxa"/>
          </w:tcPr>
          <w:p w14:paraId="70B10CEA" w14:textId="77777777" w:rsidR="00750FB6" w:rsidRPr="00E22518" w:rsidRDefault="007559D4" w:rsidP="00E22518">
            <w:pPr>
              <w:shd w:val="clear" w:color="auto" w:fill="FFFFFF" w:themeFill="background1"/>
              <w:ind w:left="57" w:right="57"/>
            </w:pPr>
            <w:r w:rsidRPr="00E22518">
              <w:t>Sabiedrības līdzdalība projekta izstrādē</w:t>
            </w:r>
          </w:p>
        </w:tc>
        <w:tc>
          <w:tcPr>
            <w:tcW w:w="6322" w:type="dxa"/>
          </w:tcPr>
          <w:p w14:paraId="534953A9" w14:textId="51820933" w:rsidR="00750FB6" w:rsidRPr="00E22518" w:rsidRDefault="005C09FB" w:rsidP="00E22518">
            <w:pPr>
              <w:shd w:val="clear" w:color="auto" w:fill="FFFFFF" w:themeFill="background1"/>
              <w:ind w:right="113"/>
              <w:jc w:val="both"/>
              <w:rPr>
                <w:kern w:val="24"/>
              </w:rPr>
            </w:pPr>
            <w:r>
              <w:t>Noteikumu p</w:t>
            </w:r>
            <w:r w:rsidR="00160300" w:rsidRPr="00E22518">
              <w:t>rojekts šo jomu neskar</w:t>
            </w:r>
            <w:r>
              <w:t>.</w:t>
            </w:r>
          </w:p>
        </w:tc>
      </w:tr>
      <w:tr w:rsidR="00C71FAA" w:rsidRPr="00E22518" w14:paraId="724847A3" w14:textId="77777777" w:rsidTr="00FA45DC">
        <w:trPr>
          <w:trHeight w:val="476"/>
        </w:trPr>
        <w:tc>
          <w:tcPr>
            <w:tcW w:w="426" w:type="dxa"/>
          </w:tcPr>
          <w:p w14:paraId="15A0DD4D" w14:textId="77777777" w:rsidR="00750FB6" w:rsidRPr="00E22518" w:rsidRDefault="007559D4" w:rsidP="00E22518">
            <w:pPr>
              <w:shd w:val="clear" w:color="auto" w:fill="FFFFFF" w:themeFill="background1"/>
              <w:ind w:left="57" w:right="57"/>
              <w:jc w:val="both"/>
              <w:rPr>
                <w:bCs/>
              </w:rPr>
            </w:pPr>
            <w:r w:rsidRPr="00E22518">
              <w:rPr>
                <w:bCs/>
              </w:rPr>
              <w:t>3.</w:t>
            </w:r>
          </w:p>
        </w:tc>
        <w:tc>
          <w:tcPr>
            <w:tcW w:w="2608" w:type="dxa"/>
          </w:tcPr>
          <w:p w14:paraId="57568C4B" w14:textId="77777777" w:rsidR="00750FB6" w:rsidRPr="00E22518" w:rsidRDefault="007559D4" w:rsidP="00E22518">
            <w:pPr>
              <w:shd w:val="clear" w:color="auto" w:fill="FFFFFF" w:themeFill="background1"/>
              <w:ind w:left="57" w:right="57"/>
            </w:pPr>
            <w:r w:rsidRPr="00E22518">
              <w:t>Sabiedrības līdzdalības rezultāti</w:t>
            </w:r>
          </w:p>
        </w:tc>
        <w:tc>
          <w:tcPr>
            <w:tcW w:w="6322" w:type="dxa"/>
          </w:tcPr>
          <w:p w14:paraId="2E50F15D" w14:textId="04A7BD14" w:rsidR="00750FB6" w:rsidRPr="00E22518" w:rsidRDefault="005C09FB" w:rsidP="00E22518">
            <w:pPr>
              <w:shd w:val="clear" w:color="auto" w:fill="FFFFFF" w:themeFill="background1"/>
              <w:ind w:right="113"/>
              <w:jc w:val="both"/>
            </w:pPr>
            <w:r>
              <w:t>Noteikumu p</w:t>
            </w:r>
            <w:r w:rsidR="00B85F42" w:rsidRPr="00E22518">
              <w:t>rojekts šo jomu neskar</w:t>
            </w:r>
            <w:r>
              <w:t>.</w:t>
            </w:r>
          </w:p>
        </w:tc>
      </w:tr>
      <w:tr w:rsidR="00C71FAA" w:rsidRPr="00E22518" w14:paraId="5B21F94E" w14:textId="77777777" w:rsidTr="00FA45DC">
        <w:trPr>
          <w:trHeight w:val="357"/>
        </w:trPr>
        <w:tc>
          <w:tcPr>
            <w:tcW w:w="426" w:type="dxa"/>
          </w:tcPr>
          <w:p w14:paraId="59F123A9" w14:textId="77777777" w:rsidR="00750FB6" w:rsidRPr="00E22518" w:rsidRDefault="007559D4" w:rsidP="00E22518">
            <w:pPr>
              <w:shd w:val="clear" w:color="auto" w:fill="FFFFFF" w:themeFill="background1"/>
              <w:ind w:left="57" w:right="57"/>
              <w:jc w:val="both"/>
              <w:rPr>
                <w:bCs/>
              </w:rPr>
            </w:pPr>
            <w:r w:rsidRPr="00E22518">
              <w:rPr>
                <w:bCs/>
              </w:rPr>
              <w:t>4.</w:t>
            </w:r>
          </w:p>
        </w:tc>
        <w:tc>
          <w:tcPr>
            <w:tcW w:w="2608" w:type="dxa"/>
          </w:tcPr>
          <w:p w14:paraId="12F1F685" w14:textId="77777777" w:rsidR="00750FB6" w:rsidRPr="00E22518" w:rsidRDefault="007559D4" w:rsidP="00E22518">
            <w:pPr>
              <w:shd w:val="clear" w:color="auto" w:fill="FFFFFF" w:themeFill="background1"/>
              <w:ind w:left="57" w:right="57"/>
            </w:pPr>
            <w:r w:rsidRPr="00E22518">
              <w:t>Cita informācija</w:t>
            </w:r>
          </w:p>
        </w:tc>
        <w:tc>
          <w:tcPr>
            <w:tcW w:w="6322" w:type="dxa"/>
          </w:tcPr>
          <w:p w14:paraId="678B03E9" w14:textId="77777777" w:rsidR="00750FB6" w:rsidRPr="00E22518" w:rsidRDefault="007559D4" w:rsidP="00E22518">
            <w:pPr>
              <w:shd w:val="clear" w:color="auto" w:fill="FFFFFF" w:themeFill="background1"/>
              <w:ind w:left="57" w:right="113"/>
              <w:jc w:val="both"/>
            </w:pPr>
            <w:r w:rsidRPr="00E22518">
              <w:t>Nav</w:t>
            </w:r>
          </w:p>
        </w:tc>
      </w:tr>
    </w:tbl>
    <w:p w14:paraId="4166023F" w14:textId="77777777" w:rsidR="00EF0BD3" w:rsidRPr="00E22518" w:rsidRDefault="00EF0BD3" w:rsidP="00E22518">
      <w:pPr>
        <w:shd w:val="clear" w:color="auto" w:fill="FFFFFF" w:themeFill="background1"/>
        <w:spacing w:after="200"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E22518" w14:paraId="692815B9" w14:textId="77777777" w:rsidTr="005E7287">
        <w:trPr>
          <w:trHeight w:val="421"/>
        </w:trPr>
        <w:tc>
          <w:tcPr>
            <w:tcW w:w="9356" w:type="dxa"/>
            <w:gridSpan w:val="3"/>
            <w:vAlign w:val="center"/>
          </w:tcPr>
          <w:p w14:paraId="01710DB9" w14:textId="77777777" w:rsidR="00750FB6" w:rsidRPr="00E22518" w:rsidRDefault="007559D4" w:rsidP="00E22518">
            <w:pPr>
              <w:pStyle w:val="naisnod"/>
              <w:shd w:val="clear" w:color="auto" w:fill="FFFFFF" w:themeFill="background1"/>
              <w:spacing w:before="0" w:beforeAutospacing="0" w:after="0" w:afterAutospacing="0"/>
              <w:ind w:left="57" w:right="57"/>
              <w:jc w:val="center"/>
            </w:pPr>
            <w:r w:rsidRPr="00E22518">
              <w:rPr>
                <w:b/>
              </w:rPr>
              <w:t>VII. Tiesību akta projekta izpildes nodrošināšana un tās ietekme uz institūcijām</w:t>
            </w:r>
          </w:p>
        </w:tc>
      </w:tr>
      <w:tr w:rsidR="00C71FAA" w:rsidRPr="00E22518" w14:paraId="7AE6933E" w14:textId="77777777" w:rsidTr="005E7287">
        <w:trPr>
          <w:trHeight w:val="553"/>
        </w:trPr>
        <w:tc>
          <w:tcPr>
            <w:tcW w:w="426" w:type="dxa"/>
          </w:tcPr>
          <w:p w14:paraId="41D637CB" w14:textId="77777777" w:rsidR="0021740C" w:rsidRPr="00E22518" w:rsidRDefault="007559D4" w:rsidP="00E22518">
            <w:pPr>
              <w:shd w:val="clear" w:color="auto" w:fill="FFFFFF" w:themeFill="background1"/>
              <w:ind w:left="57" w:right="57"/>
              <w:jc w:val="both"/>
              <w:rPr>
                <w:bCs/>
              </w:rPr>
            </w:pPr>
            <w:r w:rsidRPr="00E22518">
              <w:rPr>
                <w:bCs/>
              </w:rPr>
              <w:t>1.</w:t>
            </w:r>
          </w:p>
        </w:tc>
        <w:tc>
          <w:tcPr>
            <w:tcW w:w="2613" w:type="dxa"/>
          </w:tcPr>
          <w:p w14:paraId="52274707" w14:textId="77777777" w:rsidR="0021740C" w:rsidRPr="00E22518" w:rsidRDefault="007559D4" w:rsidP="00E22518">
            <w:pPr>
              <w:shd w:val="clear" w:color="auto" w:fill="FFFFFF" w:themeFill="background1"/>
              <w:ind w:left="57" w:right="57"/>
            </w:pPr>
            <w:r w:rsidRPr="00E22518">
              <w:t>Projekta izpildē iesaistītās institūcijas</w:t>
            </w:r>
          </w:p>
        </w:tc>
        <w:tc>
          <w:tcPr>
            <w:tcW w:w="6317" w:type="dxa"/>
          </w:tcPr>
          <w:p w14:paraId="47DCC10B" w14:textId="34FD4055" w:rsidR="0021740C" w:rsidRPr="00E22518" w:rsidRDefault="007559D4">
            <w:pPr>
              <w:shd w:val="clear" w:color="auto" w:fill="FFFFFF" w:themeFill="background1"/>
              <w:ind w:left="57" w:right="113"/>
              <w:jc w:val="both"/>
            </w:pPr>
            <w:r w:rsidRPr="00E22518">
              <w:rPr>
                <w:rFonts w:eastAsia="Times New Roman"/>
                <w:spacing w:val="-4"/>
              </w:rPr>
              <w:t xml:space="preserve">VARAM, </w:t>
            </w:r>
            <w:r w:rsidR="00160300" w:rsidRPr="00E22518">
              <w:rPr>
                <w:rFonts w:eastAsia="Times New Roman"/>
                <w:spacing w:val="-4"/>
              </w:rPr>
              <w:t>Finanšu ministrija, pašvaldības un</w:t>
            </w:r>
            <w:r w:rsidR="00DA56D3">
              <w:rPr>
                <w:rFonts w:eastAsia="Times New Roman"/>
                <w:spacing w:val="-4"/>
              </w:rPr>
              <w:t xml:space="preserve"> Centrālā finanšu un līgumu aģentūra</w:t>
            </w:r>
            <w:r w:rsidRPr="00E22518">
              <w:rPr>
                <w:rFonts w:eastAsia="Times New Roman"/>
                <w:spacing w:val="-4"/>
              </w:rPr>
              <w:t>.</w:t>
            </w:r>
          </w:p>
        </w:tc>
      </w:tr>
      <w:tr w:rsidR="00C71FAA" w:rsidRPr="00E22518" w14:paraId="3139E565" w14:textId="77777777" w:rsidTr="005E7287">
        <w:trPr>
          <w:trHeight w:val="339"/>
        </w:trPr>
        <w:tc>
          <w:tcPr>
            <w:tcW w:w="426" w:type="dxa"/>
          </w:tcPr>
          <w:p w14:paraId="7AAB9FF7" w14:textId="77777777" w:rsidR="0021740C" w:rsidRPr="00E22518" w:rsidRDefault="007559D4" w:rsidP="00E22518">
            <w:pPr>
              <w:shd w:val="clear" w:color="auto" w:fill="FFFFFF" w:themeFill="background1"/>
              <w:ind w:left="57" w:right="57"/>
              <w:jc w:val="both"/>
              <w:rPr>
                <w:bCs/>
              </w:rPr>
            </w:pPr>
            <w:r w:rsidRPr="00E22518">
              <w:rPr>
                <w:bCs/>
              </w:rPr>
              <w:t>2.</w:t>
            </w:r>
          </w:p>
        </w:tc>
        <w:tc>
          <w:tcPr>
            <w:tcW w:w="2613" w:type="dxa"/>
          </w:tcPr>
          <w:p w14:paraId="2524BD0B" w14:textId="77777777" w:rsidR="0021740C" w:rsidRPr="00E22518" w:rsidRDefault="007559D4" w:rsidP="00E22518">
            <w:pPr>
              <w:shd w:val="clear" w:color="auto" w:fill="FFFFFF" w:themeFill="background1"/>
              <w:ind w:left="57" w:right="57"/>
            </w:pPr>
            <w:r w:rsidRPr="00E22518">
              <w:t xml:space="preserve">Projekta izpildes ietekme uz pārvaldes funkcijām un institucionālo struktūru. </w:t>
            </w:r>
          </w:p>
          <w:p w14:paraId="0D7521A5" w14:textId="77777777" w:rsidR="0021740C" w:rsidRPr="00E22518" w:rsidRDefault="007559D4" w:rsidP="00E22518">
            <w:pPr>
              <w:shd w:val="clear" w:color="auto" w:fill="FFFFFF" w:themeFill="background1"/>
              <w:ind w:left="57" w:right="57"/>
            </w:pPr>
            <w:r w:rsidRPr="00E22518">
              <w:t>Jaunu institūciju izveide, esošu institūciju likvidācija vai reorganizācija, to ietekme uz institūcijas cilvēkresursiem</w:t>
            </w:r>
          </w:p>
        </w:tc>
        <w:tc>
          <w:tcPr>
            <w:tcW w:w="6317" w:type="dxa"/>
          </w:tcPr>
          <w:p w14:paraId="619877D4" w14:textId="42D098DD" w:rsidR="0021740C" w:rsidRPr="00E22518" w:rsidRDefault="005C09FB">
            <w:pPr>
              <w:shd w:val="clear" w:color="auto" w:fill="FFFFFF" w:themeFill="background1"/>
              <w:ind w:left="57" w:right="113"/>
              <w:jc w:val="both"/>
              <w:rPr>
                <w:kern w:val="24"/>
              </w:rPr>
            </w:pPr>
            <w:r>
              <w:rPr>
                <w:spacing w:val="-4"/>
              </w:rPr>
              <w:t>N</w:t>
            </w:r>
            <w:r w:rsidR="007559D4" w:rsidRPr="00E22518">
              <w:rPr>
                <w:spacing w:val="-4"/>
              </w:rPr>
              <w:t xml:space="preserve">oteikumu </w:t>
            </w:r>
            <w:r w:rsidR="007559D4" w:rsidRPr="00E22518">
              <w:rPr>
                <w:bCs/>
                <w:iCs/>
              </w:rPr>
              <w:t xml:space="preserve">projekta īstenošana tiks veikta esošo cilvēkresursu ietvaros. Saistībā ar </w:t>
            </w:r>
            <w:r>
              <w:rPr>
                <w:bCs/>
                <w:iCs/>
              </w:rPr>
              <w:t>N</w:t>
            </w:r>
            <w:r w:rsidR="007559D4" w:rsidRPr="00E22518">
              <w:rPr>
                <w:bCs/>
                <w:iCs/>
              </w:rPr>
              <w:t>oteikumu projekta izpildi nebūs nepieciešams veidot jaunas institūcijas vai likvidēt, reorganizēt esošās.</w:t>
            </w:r>
          </w:p>
        </w:tc>
      </w:tr>
      <w:tr w:rsidR="00C71FAA" w:rsidRPr="00E22518" w14:paraId="44D7D651" w14:textId="77777777" w:rsidTr="005E7287">
        <w:trPr>
          <w:trHeight w:val="351"/>
        </w:trPr>
        <w:tc>
          <w:tcPr>
            <w:tcW w:w="426" w:type="dxa"/>
          </w:tcPr>
          <w:p w14:paraId="15222451" w14:textId="77777777" w:rsidR="0021740C" w:rsidRPr="00E22518" w:rsidRDefault="007559D4" w:rsidP="00E22518">
            <w:pPr>
              <w:shd w:val="clear" w:color="auto" w:fill="FFFFFF" w:themeFill="background1"/>
              <w:ind w:left="57" w:right="57"/>
              <w:jc w:val="both"/>
              <w:rPr>
                <w:bCs/>
              </w:rPr>
            </w:pPr>
            <w:r w:rsidRPr="00E22518">
              <w:rPr>
                <w:bCs/>
              </w:rPr>
              <w:lastRenderedPageBreak/>
              <w:t>3.</w:t>
            </w:r>
          </w:p>
        </w:tc>
        <w:tc>
          <w:tcPr>
            <w:tcW w:w="2613" w:type="dxa"/>
          </w:tcPr>
          <w:p w14:paraId="59D7FBFC" w14:textId="77777777" w:rsidR="0021740C" w:rsidRPr="00E22518" w:rsidRDefault="007559D4" w:rsidP="00E22518">
            <w:pPr>
              <w:shd w:val="clear" w:color="auto" w:fill="FFFFFF" w:themeFill="background1"/>
              <w:ind w:left="57" w:right="57"/>
            </w:pPr>
            <w:r w:rsidRPr="00E22518">
              <w:t>Cita informācija</w:t>
            </w:r>
          </w:p>
        </w:tc>
        <w:tc>
          <w:tcPr>
            <w:tcW w:w="6317" w:type="dxa"/>
          </w:tcPr>
          <w:p w14:paraId="4DEAD41A" w14:textId="77777777" w:rsidR="0021740C" w:rsidRPr="00E22518" w:rsidRDefault="007559D4" w:rsidP="00E22518">
            <w:pPr>
              <w:shd w:val="clear" w:color="auto" w:fill="FFFFFF" w:themeFill="background1"/>
              <w:ind w:left="57" w:right="113"/>
              <w:jc w:val="both"/>
            </w:pPr>
            <w:r w:rsidRPr="00E22518">
              <w:t>Nav</w:t>
            </w:r>
          </w:p>
        </w:tc>
      </w:tr>
    </w:tbl>
    <w:p w14:paraId="2745B858" w14:textId="77777777" w:rsidR="00750FB6" w:rsidRPr="00E22518" w:rsidRDefault="00750FB6" w:rsidP="00E22518">
      <w:pPr>
        <w:shd w:val="clear" w:color="auto" w:fill="FFFFFF" w:themeFill="background1"/>
        <w:jc w:val="both"/>
      </w:pPr>
    </w:p>
    <w:p w14:paraId="38BDD66B" w14:textId="77777777" w:rsidR="00424A71" w:rsidRPr="00E22518" w:rsidRDefault="00424A71" w:rsidP="00E22518">
      <w:pPr>
        <w:pStyle w:val="Header"/>
        <w:shd w:val="clear" w:color="auto" w:fill="FFFFFF" w:themeFill="background1"/>
        <w:rPr>
          <w:szCs w:val="20"/>
          <w:lang w:val="lv-LV"/>
        </w:rPr>
      </w:pPr>
    </w:p>
    <w:p w14:paraId="65D7A787" w14:textId="08ACCAA7" w:rsidR="0008236A" w:rsidRPr="00E22518" w:rsidRDefault="007559D4" w:rsidP="00E22518">
      <w:pPr>
        <w:pStyle w:val="Header"/>
        <w:shd w:val="clear" w:color="auto" w:fill="FFFFFF" w:themeFill="background1"/>
        <w:rPr>
          <w:szCs w:val="20"/>
          <w:lang w:val="lv-LV"/>
        </w:rPr>
      </w:pPr>
      <w:r w:rsidRPr="00E22518">
        <w:rPr>
          <w:szCs w:val="20"/>
          <w:lang w:val="lv-LV"/>
        </w:rPr>
        <w:t xml:space="preserve">Vides aizsardzības un reģionālās attīstības </w:t>
      </w:r>
      <w:r w:rsidR="0042012D" w:rsidRPr="00E22518">
        <w:rPr>
          <w:szCs w:val="20"/>
          <w:lang w:val="lv-LV"/>
        </w:rPr>
        <w:t>ministrs</w:t>
      </w:r>
      <w:r w:rsidR="0042012D" w:rsidRPr="00E22518">
        <w:rPr>
          <w:szCs w:val="20"/>
          <w:lang w:val="lv-LV"/>
        </w:rPr>
        <w:tab/>
      </w:r>
      <w:r w:rsidR="00CC7D99">
        <w:rPr>
          <w:szCs w:val="20"/>
          <w:lang w:val="lv-LV"/>
        </w:rPr>
        <w:t>Juris Pūce</w:t>
      </w:r>
    </w:p>
    <w:p w14:paraId="1D42CC06" w14:textId="77777777" w:rsidR="0008236A" w:rsidRPr="00E22518" w:rsidRDefault="0008236A" w:rsidP="00E22518">
      <w:pPr>
        <w:pStyle w:val="Header"/>
        <w:shd w:val="clear" w:color="auto" w:fill="FFFFFF" w:themeFill="background1"/>
        <w:rPr>
          <w:szCs w:val="20"/>
          <w:lang w:val="lv-LV"/>
        </w:rPr>
      </w:pPr>
    </w:p>
    <w:p w14:paraId="2699BDD3" w14:textId="77777777" w:rsidR="00377F78" w:rsidRPr="00E22518" w:rsidRDefault="00377F78" w:rsidP="00E22518">
      <w:pPr>
        <w:pStyle w:val="Header"/>
        <w:shd w:val="clear" w:color="auto" w:fill="FFFFFF" w:themeFill="background1"/>
        <w:rPr>
          <w:szCs w:val="20"/>
          <w:lang w:val="lv-LV"/>
        </w:rPr>
      </w:pPr>
    </w:p>
    <w:p w14:paraId="5479FC9B" w14:textId="77777777" w:rsidR="00625146" w:rsidRPr="00AB4400" w:rsidRDefault="00625146" w:rsidP="00625146">
      <w:pPr>
        <w:rPr>
          <w:color w:val="000000"/>
          <w:sz w:val="20"/>
        </w:rPr>
      </w:pPr>
      <w:bookmarkStart w:id="2" w:name="_Hlk534924954"/>
      <w:r>
        <w:rPr>
          <w:color w:val="000000"/>
          <w:sz w:val="20"/>
        </w:rPr>
        <w:t xml:space="preserve">Dorbe </w:t>
      </w:r>
      <w:r w:rsidRPr="00AB4400">
        <w:rPr>
          <w:color w:val="000000"/>
          <w:sz w:val="20"/>
        </w:rPr>
        <w:t xml:space="preserve"> 66016</w:t>
      </w:r>
      <w:r>
        <w:rPr>
          <w:color w:val="000000"/>
          <w:sz w:val="20"/>
        </w:rPr>
        <w:t>767</w:t>
      </w:r>
    </w:p>
    <w:p w14:paraId="63F44BDC" w14:textId="3F66CE23" w:rsidR="00750FB6" w:rsidRPr="00625146" w:rsidRDefault="00FF7769" w:rsidP="00625146">
      <w:pPr>
        <w:rPr>
          <w:sz w:val="20"/>
        </w:rPr>
      </w:pPr>
      <w:hyperlink r:id="rId8" w:history="1">
        <w:r w:rsidR="00625146" w:rsidRPr="00F850EA">
          <w:rPr>
            <w:rStyle w:val="Hyperlink"/>
            <w:sz w:val="20"/>
          </w:rPr>
          <w:t>liene.dorbe@varam.gov.lv</w:t>
        </w:r>
      </w:hyperlink>
      <w:bookmarkEnd w:id="2"/>
    </w:p>
    <w:sectPr w:rsidR="00750FB6" w:rsidRPr="00625146" w:rsidSect="00EF0BD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1D84" w14:textId="77777777" w:rsidR="002349CE" w:rsidRDefault="002349CE">
      <w:r>
        <w:separator/>
      </w:r>
    </w:p>
  </w:endnote>
  <w:endnote w:type="continuationSeparator" w:id="0">
    <w:p w14:paraId="556E0633" w14:textId="77777777" w:rsidR="002349CE" w:rsidRDefault="002349CE">
      <w:r>
        <w:continuationSeparator/>
      </w:r>
    </w:p>
  </w:endnote>
  <w:endnote w:type="continuationNotice" w:id="1">
    <w:p w14:paraId="4450A0FA" w14:textId="77777777" w:rsidR="002349CE" w:rsidRDefault="00234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CA37B1" w:rsidRPr="00186C21" w:rsidRDefault="00CA37B1"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2F45" w14:textId="2BAC3A87" w:rsidR="00CA37B1" w:rsidRPr="00347614" w:rsidRDefault="00CA37B1" w:rsidP="00347614">
    <w:pPr>
      <w:pStyle w:val="BodyText2"/>
      <w:spacing w:line="240" w:lineRule="auto"/>
      <w:jc w:val="both"/>
      <w:rPr>
        <w:b w:val="0"/>
        <w:bCs w:val="0"/>
        <w:sz w:val="20"/>
        <w:szCs w:val="20"/>
        <w:lang w:val="lv-LV"/>
      </w:rPr>
    </w:pPr>
    <w:r w:rsidRPr="002F3C33">
      <w:rPr>
        <w:b w:val="0"/>
        <w:sz w:val="20"/>
        <w:szCs w:val="20"/>
        <w:lang w:val="lv-LV" w:eastAsia="lv-LV"/>
      </w:rPr>
      <w:t>VARAMAnot_</w:t>
    </w:r>
    <w:r w:rsidR="00FF7769">
      <w:rPr>
        <w:b w:val="0"/>
        <w:sz w:val="20"/>
        <w:szCs w:val="20"/>
        <w:lang w:val="lv-LV" w:eastAsia="lv-LV"/>
      </w:rPr>
      <w:t>22</w:t>
    </w:r>
    <w:r w:rsidR="00F2049D">
      <w:rPr>
        <w:b w:val="0"/>
        <w:sz w:val="20"/>
        <w:szCs w:val="20"/>
        <w:lang w:val="lv-LV" w:eastAsia="lv-LV"/>
      </w:rPr>
      <w:t>02</w:t>
    </w:r>
    <w:r>
      <w:rPr>
        <w:b w:val="0"/>
        <w:sz w:val="20"/>
        <w:szCs w:val="20"/>
        <w:lang w:val="lv-LV" w:eastAsia="lv-LV"/>
      </w:rPr>
      <w:t>19</w:t>
    </w:r>
    <w:r w:rsidRPr="002F3C33">
      <w:rPr>
        <w:b w:val="0"/>
        <w:sz w:val="20"/>
        <w:szCs w:val="20"/>
        <w:lang w:val="lv-LV" w:eastAsia="lv-LV"/>
      </w:rPr>
      <w:t>_groz</w:t>
    </w:r>
    <w:r>
      <w:rPr>
        <w:b w:val="0"/>
        <w:sz w:val="20"/>
        <w:szCs w:val="20"/>
        <w:lang w:val="lv-LV" w:eastAsia="lv-LV"/>
      </w:rPr>
      <w:t>VBD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6F283EB5" w:rsidR="00CA37B1" w:rsidRPr="00330635" w:rsidRDefault="00CA37B1"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FF7769">
      <w:rPr>
        <w:b w:val="0"/>
        <w:sz w:val="20"/>
        <w:szCs w:val="20"/>
        <w:lang w:val="lv-LV" w:eastAsia="lv-LV"/>
      </w:rPr>
      <w:t>22</w:t>
    </w:r>
    <w:r w:rsidR="00F2049D">
      <w:rPr>
        <w:b w:val="0"/>
        <w:sz w:val="20"/>
        <w:szCs w:val="20"/>
        <w:lang w:val="lv-LV" w:eastAsia="lv-LV"/>
      </w:rPr>
      <w:t>02</w:t>
    </w:r>
    <w:r>
      <w:rPr>
        <w:b w:val="0"/>
        <w:sz w:val="20"/>
        <w:szCs w:val="20"/>
        <w:lang w:val="lv-LV" w:eastAsia="lv-LV"/>
      </w:rPr>
      <w:t>19</w:t>
    </w:r>
    <w:r w:rsidRPr="002F3C33">
      <w:rPr>
        <w:b w:val="0"/>
        <w:sz w:val="20"/>
        <w:szCs w:val="20"/>
        <w:lang w:val="lv-LV" w:eastAsia="lv-LV"/>
      </w:rPr>
      <w:t>_groz</w:t>
    </w:r>
    <w:r>
      <w:rPr>
        <w:b w:val="0"/>
        <w:sz w:val="20"/>
        <w:szCs w:val="20"/>
        <w:lang w:val="lv-LV" w:eastAsia="lv-LV"/>
      </w:rPr>
      <w:t>VBD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DB286" w14:textId="77777777" w:rsidR="002349CE" w:rsidRDefault="002349CE">
      <w:r>
        <w:separator/>
      </w:r>
    </w:p>
  </w:footnote>
  <w:footnote w:type="continuationSeparator" w:id="0">
    <w:p w14:paraId="7AFE3C53" w14:textId="77777777" w:rsidR="002349CE" w:rsidRDefault="002349CE">
      <w:r>
        <w:continuationSeparator/>
      </w:r>
    </w:p>
  </w:footnote>
  <w:footnote w:type="continuationNotice" w:id="1">
    <w:p w14:paraId="42E3F52B" w14:textId="77777777" w:rsidR="002349CE" w:rsidRDefault="00234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670DD4A6" w:rsidR="00CA37B1" w:rsidRDefault="00CA37B1"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FF7769">
      <w:rPr>
        <w:rStyle w:val="PageNumber"/>
        <w:noProof/>
      </w:rPr>
      <w:t>9</w:t>
    </w:r>
    <w:r w:rsidRPr="00EF0BD3">
      <w:rPr>
        <w:rStyle w:val="PageNumber"/>
      </w:rPr>
      <w:fldChar w:fldCharType="end"/>
    </w:r>
  </w:p>
  <w:p w14:paraId="37A59962" w14:textId="77777777" w:rsidR="00CA37B1" w:rsidRDefault="00CA3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CA37B1" w:rsidRDefault="00CA37B1"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0">
    <w:nsid w:val="022E3B47"/>
    <w:multiLevelType w:val="hybridMultilevel"/>
    <w:tmpl w:val="FEA807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3"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4"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5"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6"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7"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8"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9"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0"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1"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2"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13"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14"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15"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16" w15:restartNumberingAfterBreak="0">
    <w:nsid w:val="660C2A30"/>
    <w:multiLevelType w:val="hybridMultilevel"/>
    <w:tmpl w:val="EB9A3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18" w15:restartNumberingAfterBreak="0">
    <w:nsid w:val="68FA008E"/>
    <w:multiLevelType w:val="hybridMultilevel"/>
    <w:tmpl w:val="04C2F166"/>
    <w:lvl w:ilvl="0" w:tplc="002C00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20" w15:restartNumberingAfterBreak="0">
    <w:nsid w:val="6FF605C5"/>
    <w:multiLevelType w:val="hybridMultilevel"/>
    <w:tmpl w:val="F8E2A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D64E71"/>
    <w:multiLevelType w:val="hybridMultilevel"/>
    <w:tmpl w:val="F09AD716"/>
    <w:lvl w:ilvl="0" w:tplc="1E26104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9"/>
  </w:num>
  <w:num w:numId="3">
    <w:abstractNumId w:val="3"/>
  </w:num>
  <w:num w:numId="4">
    <w:abstractNumId w:val="2"/>
  </w:num>
  <w:num w:numId="5">
    <w:abstractNumId w:val="4"/>
  </w:num>
  <w:num w:numId="6">
    <w:abstractNumId w:val="12"/>
  </w:num>
  <w:num w:numId="7">
    <w:abstractNumId w:val="6"/>
  </w:num>
  <w:num w:numId="8">
    <w:abstractNumId w:val="14"/>
  </w:num>
  <w:num w:numId="9">
    <w:abstractNumId w:val="15"/>
  </w:num>
  <w:num w:numId="10">
    <w:abstractNumId w:val="8"/>
  </w:num>
  <w:num w:numId="11">
    <w:abstractNumId w:val="11"/>
  </w:num>
  <w:num w:numId="12">
    <w:abstractNumId w:val="7"/>
  </w:num>
  <w:num w:numId="13">
    <w:abstractNumId w:val="5"/>
  </w:num>
  <w:num w:numId="14">
    <w:abstractNumId w:val="10"/>
  </w:num>
  <w:num w:numId="15">
    <w:abstractNumId w:val="13"/>
  </w:num>
  <w:num w:numId="16">
    <w:abstractNumId w:val="9"/>
  </w:num>
  <w:num w:numId="17">
    <w:abstractNumId w:val="17"/>
  </w:num>
  <w:num w:numId="18">
    <w:abstractNumId w:val="1"/>
  </w:num>
  <w:num w:numId="19">
    <w:abstractNumId w:val="18"/>
  </w:num>
  <w:num w:numId="20">
    <w:abstractNumId w:val="20"/>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438"/>
    <w:rsid w:val="000218E8"/>
    <w:rsid w:val="00025C4C"/>
    <w:rsid w:val="00027929"/>
    <w:rsid w:val="00031B1A"/>
    <w:rsid w:val="0003294D"/>
    <w:rsid w:val="00034B7E"/>
    <w:rsid w:val="00037E41"/>
    <w:rsid w:val="00043A18"/>
    <w:rsid w:val="00055CD6"/>
    <w:rsid w:val="00065166"/>
    <w:rsid w:val="00066BAC"/>
    <w:rsid w:val="00071C5D"/>
    <w:rsid w:val="0008236A"/>
    <w:rsid w:val="0008532D"/>
    <w:rsid w:val="000909DE"/>
    <w:rsid w:val="00090B81"/>
    <w:rsid w:val="00091ECE"/>
    <w:rsid w:val="000932A0"/>
    <w:rsid w:val="000A147A"/>
    <w:rsid w:val="000A2574"/>
    <w:rsid w:val="000B2338"/>
    <w:rsid w:val="000B7D8C"/>
    <w:rsid w:val="000C0D33"/>
    <w:rsid w:val="000C4BF2"/>
    <w:rsid w:val="000D0B0C"/>
    <w:rsid w:val="000D14B1"/>
    <w:rsid w:val="000D19FD"/>
    <w:rsid w:val="000D606F"/>
    <w:rsid w:val="000D7720"/>
    <w:rsid w:val="000E2374"/>
    <w:rsid w:val="000E3ED8"/>
    <w:rsid w:val="000F076A"/>
    <w:rsid w:val="000F59AE"/>
    <w:rsid w:val="000F73C9"/>
    <w:rsid w:val="001040A7"/>
    <w:rsid w:val="0010568B"/>
    <w:rsid w:val="001153BB"/>
    <w:rsid w:val="001221A1"/>
    <w:rsid w:val="001238F4"/>
    <w:rsid w:val="00137D81"/>
    <w:rsid w:val="00141614"/>
    <w:rsid w:val="001417E6"/>
    <w:rsid w:val="00155F66"/>
    <w:rsid w:val="00160300"/>
    <w:rsid w:val="00170C88"/>
    <w:rsid w:val="00172C32"/>
    <w:rsid w:val="001810AB"/>
    <w:rsid w:val="00186C21"/>
    <w:rsid w:val="00191010"/>
    <w:rsid w:val="00193168"/>
    <w:rsid w:val="001A6C2C"/>
    <w:rsid w:val="001C1C28"/>
    <w:rsid w:val="001C35E3"/>
    <w:rsid w:val="001C48FF"/>
    <w:rsid w:val="001D00AE"/>
    <w:rsid w:val="001D1391"/>
    <w:rsid w:val="001D40C1"/>
    <w:rsid w:val="001D4BD4"/>
    <w:rsid w:val="001D4CCA"/>
    <w:rsid w:val="001D5729"/>
    <w:rsid w:val="001D5A20"/>
    <w:rsid w:val="001D6AF4"/>
    <w:rsid w:val="001D6B9F"/>
    <w:rsid w:val="001D78FB"/>
    <w:rsid w:val="001E5FE2"/>
    <w:rsid w:val="001F278A"/>
    <w:rsid w:val="00210EEE"/>
    <w:rsid w:val="00213B54"/>
    <w:rsid w:val="0021740C"/>
    <w:rsid w:val="00225991"/>
    <w:rsid w:val="002349CE"/>
    <w:rsid w:val="00235F10"/>
    <w:rsid w:val="00246694"/>
    <w:rsid w:val="00250B3C"/>
    <w:rsid w:val="00250C43"/>
    <w:rsid w:val="00250F24"/>
    <w:rsid w:val="002555FC"/>
    <w:rsid w:val="00263A7A"/>
    <w:rsid w:val="00267378"/>
    <w:rsid w:val="00271A17"/>
    <w:rsid w:val="00277B89"/>
    <w:rsid w:val="00285E00"/>
    <w:rsid w:val="00286AF0"/>
    <w:rsid w:val="00287F3F"/>
    <w:rsid w:val="002902E4"/>
    <w:rsid w:val="002919FD"/>
    <w:rsid w:val="00295A2D"/>
    <w:rsid w:val="00296784"/>
    <w:rsid w:val="002B566D"/>
    <w:rsid w:val="002B57AB"/>
    <w:rsid w:val="002C0BF7"/>
    <w:rsid w:val="002C4100"/>
    <w:rsid w:val="002C4B38"/>
    <w:rsid w:val="002C4DF1"/>
    <w:rsid w:val="002C7BC4"/>
    <w:rsid w:val="002D3245"/>
    <w:rsid w:val="002D6159"/>
    <w:rsid w:val="002E1057"/>
    <w:rsid w:val="002E311E"/>
    <w:rsid w:val="002E79BF"/>
    <w:rsid w:val="002F3C33"/>
    <w:rsid w:val="002F3D0B"/>
    <w:rsid w:val="002F7B75"/>
    <w:rsid w:val="00301510"/>
    <w:rsid w:val="00307D9B"/>
    <w:rsid w:val="00315337"/>
    <w:rsid w:val="003158BE"/>
    <w:rsid w:val="0031645E"/>
    <w:rsid w:val="00316738"/>
    <w:rsid w:val="00321AA7"/>
    <w:rsid w:val="0032436E"/>
    <w:rsid w:val="00330635"/>
    <w:rsid w:val="00333028"/>
    <w:rsid w:val="00334386"/>
    <w:rsid w:val="00335B5F"/>
    <w:rsid w:val="003416EF"/>
    <w:rsid w:val="00342537"/>
    <w:rsid w:val="00344C82"/>
    <w:rsid w:val="00347614"/>
    <w:rsid w:val="00361F09"/>
    <w:rsid w:val="00363B0E"/>
    <w:rsid w:val="00377F78"/>
    <w:rsid w:val="00380F98"/>
    <w:rsid w:val="00382F25"/>
    <w:rsid w:val="00384C72"/>
    <w:rsid w:val="0038669B"/>
    <w:rsid w:val="003876E1"/>
    <w:rsid w:val="00390E01"/>
    <w:rsid w:val="00396074"/>
    <w:rsid w:val="003A41B8"/>
    <w:rsid w:val="003A7565"/>
    <w:rsid w:val="003B50A1"/>
    <w:rsid w:val="003B5763"/>
    <w:rsid w:val="003B7AFF"/>
    <w:rsid w:val="003C15BB"/>
    <w:rsid w:val="003C531C"/>
    <w:rsid w:val="003C62FB"/>
    <w:rsid w:val="003D2BF8"/>
    <w:rsid w:val="003F0BCD"/>
    <w:rsid w:val="003F43F4"/>
    <w:rsid w:val="003F7EE8"/>
    <w:rsid w:val="00401381"/>
    <w:rsid w:val="00404407"/>
    <w:rsid w:val="00404B7A"/>
    <w:rsid w:val="00405C90"/>
    <w:rsid w:val="00412E20"/>
    <w:rsid w:val="00417D46"/>
    <w:rsid w:val="0042012D"/>
    <w:rsid w:val="0042480C"/>
    <w:rsid w:val="00424A71"/>
    <w:rsid w:val="00426FCD"/>
    <w:rsid w:val="00443D4E"/>
    <w:rsid w:val="00453B41"/>
    <w:rsid w:val="00456B0D"/>
    <w:rsid w:val="00457959"/>
    <w:rsid w:val="00471591"/>
    <w:rsid w:val="00482B6E"/>
    <w:rsid w:val="00494976"/>
    <w:rsid w:val="004A1126"/>
    <w:rsid w:val="004A1802"/>
    <w:rsid w:val="004A188F"/>
    <w:rsid w:val="004A300C"/>
    <w:rsid w:val="004A71BC"/>
    <w:rsid w:val="004B1BAF"/>
    <w:rsid w:val="004B462E"/>
    <w:rsid w:val="004B60FC"/>
    <w:rsid w:val="004B631E"/>
    <w:rsid w:val="004C0397"/>
    <w:rsid w:val="004C0B22"/>
    <w:rsid w:val="004D28D0"/>
    <w:rsid w:val="004D5003"/>
    <w:rsid w:val="004D64C1"/>
    <w:rsid w:val="004E01E6"/>
    <w:rsid w:val="004E13BE"/>
    <w:rsid w:val="004E1E2D"/>
    <w:rsid w:val="004F0706"/>
    <w:rsid w:val="004F35C4"/>
    <w:rsid w:val="004F4DB3"/>
    <w:rsid w:val="004F5D7B"/>
    <w:rsid w:val="004F76E0"/>
    <w:rsid w:val="005024ED"/>
    <w:rsid w:val="00502B8A"/>
    <w:rsid w:val="00503090"/>
    <w:rsid w:val="00507301"/>
    <w:rsid w:val="0051229F"/>
    <w:rsid w:val="0051233B"/>
    <w:rsid w:val="005145A9"/>
    <w:rsid w:val="00515468"/>
    <w:rsid w:val="00520AC8"/>
    <w:rsid w:val="00523E74"/>
    <w:rsid w:val="00525E3E"/>
    <w:rsid w:val="00526101"/>
    <w:rsid w:val="005273BC"/>
    <w:rsid w:val="00527931"/>
    <w:rsid w:val="00531B3E"/>
    <w:rsid w:val="005355D4"/>
    <w:rsid w:val="00535F79"/>
    <w:rsid w:val="00540FF4"/>
    <w:rsid w:val="0054186C"/>
    <w:rsid w:val="00544CDA"/>
    <w:rsid w:val="00546E14"/>
    <w:rsid w:val="00551858"/>
    <w:rsid w:val="005532B1"/>
    <w:rsid w:val="0056744D"/>
    <w:rsid w:val="005705B0"/>
    <w:rsid w:val="00571BFF"/>
    <w:rsid w:val="00577A74"/>
    <w:rsid w:val="005928BE"/>
    <w:rsid w:val="00593B6B"/>
    <w:rsid w:val="00594E54"/>
    <w:rsid w:val="00596974"/>
    <w:rsid w:val="005A0CDD"/>
    <w:rsid w:val="005A5ED2"/>
    <w:rsid w:val="005A7548"/>
    <w:rsid w:val="005B1B80"/>
    <w:rsid w:val="005B2E80"/>
    <w:rsid w:val="005B36DA"/>
    <w:rsid w:val="005B4F69"/>
    <w:rsid w:val="005C09FB"/>
    <w:rsid w:val="005C60F3"/>
    <w:rsid w:val="005C7B67"/>
    <w:rsid w:val="005E7287"/>
    <w:rsid w:val="005E7430"/>
    <w:rsid w:val="005F0051"/>
    <w:rsid w:val="005F38A5"/>
    <w:rsid w:val="005F38DB"/>
    <w:rsid w:val="00600190"/>
    <w:rsid w:val="0060101B"/>
    <w:rsid w:val="0060222A"/>
    <w:rsid w:val="00603572"/>
    <w:rsid w:val="00607E8A"/>
    <w:rsid w:val="006112BA"/>
    <w:rsid w:val="00612400"/>
    <w:rsid w:val="006130AB"/>
    <w:rsid w:val="00622A66"/>
    <w:rsid w:val="00625146"/>
    <w:rsid w:val="00634116"/>
    <w:rsid w:val="00635631"/>
    <w:rsid w:val="00636E17"/>
    <w:rsid w:val="00637F06"/>
    <w:rsid w:val="00640614"/>
    <w:rsid w:val="006424A7"/>
    <w:rsid w:val="00642D3F"/>
    <w:rsid w:val="006546EA"/>
    <w:rsid w:val="00655773"/>
    <w:rsid w:val="00656827"/>
    <w:rsid w:val="006641FD"/>
    <w:rsid w:val="0066513A"/>
    <w:rsid w:val="00671A71"/>
    <w:rsid w:val="00677217"/>
    <w:rsid w:val="006A06F6"/>
    <w:rsid w:val="006A1F5F"/>
    <w:rsid w:val="006A39ED"/>
    <w:rsid w:val="006A43FF"/>
    <w:rsid w:val="006A44C2"/>
    <w:rsid w:val="006A5142"/>
    <w:rsid w:val="006A5FD6"/>
    <w:rsid w:val="006B76A6"/>
    <w:rsid w:val="006C0CE5"/>
    <w:rsid w:val="006C3EB9"/>
    <w:rsid w:val="006C69B8"/>
    <w:rsid w:val="006C7913"/>
    <w:rsid w:val="006E3F47"/>
    <w:rsid w:val="006E7D09"/>
    <w:rsid w:val="006F3D88"/>
    <w:rsid w:val="006F69F0"/>
    <w:rsid w:val="0070022C"/>
    <w:rsid w:val="0070523B"/>
    <w:rsid w:val="00710CAA"/>
    <w:rsid w:val="00711AEC"/>
    <w:rsid w:val="00715082"/>
    <w:rsid w:val="007165BC"/>
    <w:rsid w:val="00717100"/>
    <w:rsid w:val="00724342"/>
    <w:rsid w:val="007263A9"/>
    <w:rsid w:val="007319A5"/>
    <w:rsid w:val="00735289"/>
    <w:rsid w:val="00737957"/>
    <w:rsid w:val="00746CA4"/>
    <w:rsid w:val="00747630"/>
    <w:rsid w:val="00750DEC"/>
    <w:rsid w:val="00750FB6"/>
    <w:rsid w:val="00751CAD"/>
    <w:rsid w:val="00752794"/>
    <w:rsid w:val="00753212"/>
    <w:rsid w:val="00753980"/>
    <w:rsid w:val="00753BB3"/>
    <w:rsid w:val="007551CF"/>
    <w:rsid w:val="007559D4"/>
    <w:rsid w:val="00756B3E"/>
    <w:rsid w:val="007745F3"/>
    <w:rsid w:val="00787D85"/>
    <w:rsid w:val="007A50BF"/>
    <w:rsid w:val="007B0570"/>
    <w:rsid w:val="007B666B"/>
    <w:rsid w:val="007C071A"/>
    <w:rsid w:val="007C2DF6"/>
    <w:rsid w:val="007C4127"/>
    <w:rsid w:val="007C5D47"/>
    <w:rsid w:val="007C6201"/>
    <w:rsid w:val="007C70D1"/>
    <w:rsid w:val="007D5061"/>
    <w:rsid w:val="007D6E58"/>
    <w:rsid w:val="007E0B47"/>
    <w:rsid w:val="007E4C6E"/>
    <w:rsid w:val="007F1308"/>
    <w:rsid w:val="007F7E59"/>
    <w:rsid w:val="00802C8A"/>
    <w:rsid w:val="00804795"/>
    <w:rsid w:val="00806409"/>
    <w:rsid w:val="008078B3"/>
    <w:rsid w:val="00807EFD"/>
    <w:rsid w:val="008128B2"/>
    <w:rsid w:val="00814ED6"/>
    <w:rsid w:val="00817182"/>
    <w:rsid w:val="00817DCD"/>
    <w:rsid w:val="00823AB3"/>
    <w:rsid w:val="008361B2"/>
    <w:rsid w:val="00837850"/>
    <w:rsid w:val="008428B5"/>
    <w:rsid w:val="00845DF8"/>
    <w:rsid w:val="0084688A"/>
    <w:rsid w:val="00851EBA"/>
    <w:rsid w:val="00855327"/>
    <w:rsid w:val="008645EC"/>
    <w:rsid w:val="00871582"/>
    <w:rsid w:val="00877A18"/>
    <w:rsid w:val="00892854"/>
    <w:rsid w:val="008953DB"/>
    <w:rsid w:val="008A35E0"/>
    <w:rsid w:val="008A3A36"/>
    <w:rsid w:val="008C1DFB"/>
    <w:rsid w:val="008D3CF4"/>
    <w:rsid w:val="008E41B1"/>
    <w:rsid w:val="008E58D5"/>
    <w:rsid w:val="008E5951"/>
    <w:rsid w:val="0090769B"/>
    <w:rsid w:val="0091205B"/>
    <w:rsid w:val="00914404"/>
    <w:rsid w:val="00914FD3"/>
    <w:rsid w:val="00915533"/>
    <w:rsid w:val="00917D33"/>
    <w:rsid w:val="00922DB1"/>
    <w:rsid w:val="00930B29"/>
    <w:rsid w:val="009354B1"/>
    <w:rsid w:val="00935D29"/>
    <w:rsid w:val="00942A9D"/>
    <w:rsid w:val="00945006"/>
    <w:rsid w:val="0094745A"/>
    <w:rsid w:val="00947EF8"/>
    <w:rsid w:val="00953559"/>
    <w:rsid w:val="009624BD"/>
    <w:rsid w:val="00967CE2"/>
    <w:rsid w:val="009753FC"/>
    <w:rsid w:val="00977A2B"/>
    <w:rsid w:val="0098022B"/>
    <w:rsid w:val="00981797"/>
    <w:rsid w:val="00984693"/>
    <w:rsid w:val="009874E0"/>
    <w:rsid w:val="00991532"/>
    <w:rsid w:val="00992AC4"/>
    <w:rsid w:val="00994806"/>
    <w:rsid w:val="009A2AC3"/>
    <w:rsid w:val="009A40F5"/>
    <w:rsid w:val="009A4DD9"/>
    <w:rsid w:val="009B1B2A"/>
    <w:rsid w:val="009C21F5"/>
    <w:rsid w:val="009C2D7A"/>
    <w:rsid w:val="009C4B2C"/>
    <w:rsid w:val="009D183F"/>
    <w:rsid w:val="009D3AD8"/>
    <w:rsid w:val="009D4DDF"/>
    <w:rsid w:val="009D55EF"/>
    <w:rsid w:val="009D6445"/>
    <w:rsid w:val="009D6D04"/>
    <w:rsid w:val="009E38D3"/>
    <w:rsid w:val="009F0BFD"/>
    <w:rsid w:val="00A01E5E"/>
    <w:rsid w:val="00A0404B"/>
    <w:rsid w:val="00A045CD"/>
    <w:rsid w:val="00A14926"/>
    <w:rsid w:val="00A21D4A"/>
    <w:rsid w:val="00A26EC4"/>
    <w:rsid w:val="00A3378D"/>
    <w:rsid w:val="00A4483E"/>
    <w:rsid w:val="00A46C00"/>
    <w:rsid w:val="00A52C76"/>
    <w:rsid w:val="00A569D3"/>
    <w:rsid w:val="00A57F6F"/>
    <w:rsid w:val="00A6084B"/>
    <w:rsid w:val="00A656ED"/>
    <w:rsid w:val="00A659CD"/>
    <w:rsid w:val="00A65E15"/>
    <w:rsid w:val="00A737FF"/>
    <w:rsid w:val="00A777BE"/>
    <w:rsid w:val="00A83460"/>
    <w:rsid w:val="00A8571F"/>
    <w:rsid w:val="00A87374"/>
    <w:rsid w:val="00A90749"/>
    <w:rsid w:val="00A91605"/>
    <w:rsid w:val="00AA40A3"/>
    <w:rsid w:val="00AA54A5"/>
    <w:rsid w:val="00AA7369"/>
    <w:rsid w:val="00AB0571"/>
    <w:rsid w:val="00AB4200"/>
    <w:rsid w:val="00AB43C0"/>
    <w:rsid w:val="00AB5618"/>
    <w:rsid w:val="00AC2FF8"/>
    <w:rsid w:val="00AD6AE4"/>
    <w:rsid w:val="00AE04FB"/>
    <w:rsid w:val="00AE07DC"/>
    <w:rsid w:val="00AE3714"/>
    <w:rsid w:val="00AF2BE1"/>
    <w:rsid w:val="00AF6C6A"/>
    <w:rsid w:val="00AF7100"/>
    <w:rsid w:val="00B00946"/>
    <w:rsid w:val="00B014C0"/>
    <w:rsid w:val="00B07F18"/>
    <w:rsid w:val="00B11E3B"/>
    <w:rsid w:val="00B15C48"/>
    <w:rsid w:val="00B15D9B"/>
    <w:rsid w:val="00B17ECD"/>
    <w:rsid w:val="00B216B5"/>
    <w:rsid w:val="00B2375A"/>
    <w:rsid w:val="00B24811"/>
    <w:rsid w:val="00B264A3"/>
    <w:rsid w:val="00B2683A"/>
    <w:rsid w:val="00B30F83"/>
    <w:rsid w:val="00B36A68"/>
    <w:rsid w:val="00B37F37"/>
    <w:rsid w:val="00B40D62"/>
    <w:rsid w:val="00B45C2D"/>
    <w:rsid w:val="00B559B4"/>
    <w:rsid w:val="00B60897"/>
    <w:rsid w:val="00B62B79"/>
    <w:rsid w:val="00B62F27"/>
    <w:rsid w:val="00B65B1E"/>
    <w:rsid w:val="00B85F42"/>
    <w:rsid w:val="00B936C0"/>
    <w:rsid w:val="00BA635F"/>
    <w:rsid w:val="00BA7368"/>
    <w:rsid w:val="00BB0F06"/>
    <w:rsid w:val="00BB163B"/>
    <w:rsid w:val="00BB2B26"/>
    <w:rsid w:val="00BB79F8"/>
    <w:rsid w:val="00BC3A3C"/>
    <w:rsid w:val="00BC4CB6"/>
    <w:rsid w:val="00BD1048"/>
    <w:rsid w:val="00BD560D"/>
    <w:rsid w:val="00BE29C3"/>
    <w:rsid w:val="00BE481F"/>
    <w:rsid w:val="00BE664B"/>
    <w:rsid w:val="00BE7257"/>
    <w:rsid w:val="00BE7E65"/>
    <w:rsid w:val="00BF3F2B"/>
    <w:rsid w:val="00BF4F9C"/>
    <w:rsid w:val="00BF6E32"/>
    <w:rsid w:val="00C02E90"/>
    <w:rsid w:val="00C13CCD"/>
    <w:rsid w:val="00C32248"/>
    <w:rsid w:val="00C3594C"/>
    <w:rsid w:val="00C36A44"/>
    <w:rsid w:val="00C37DFE"/>
    <w:rsid w:val="00C42B55"/>
    <w:rsid w:val="00C473DC"/>
    <w:rsid w:val="00C523DC"/>
    <w:rsid w:val="00C60ED2"/>
    <w:rsid w:val="00C71FAA"/>
    <w:rsid w:val="00C76EF6"/>
    <w:rsid w:val="00C775C5"/>
    <w:rsid w:val="00C843F4"/>
    <w:rsid w:val="00C85419"/>
    <w:rsid w:val="00C93A40"/>
    <w:rsid w:val="00C95173"/>
    <w:rsid w:val="00C961A0"/>
    <w:rsid w:val="00CA37B1"/>
    <w:rsid w:val="00CA4E4B"/>
    <w:rsid w:val="00CB15EE"/>
    <w:rsid w:val="00CB2F77"/>
    <w:rsid w:val="00CB5C9C"/>
    <w:rsid w:val="00CC7D99"/>
    <w:rsid w:val="00CD1599"/>
    <w:rsid w:val="00CD4793"/>
    <w:rsid w:val="00CE0FDD"/>
    <w:rsid w:val="00CE394A"/>
    <w:rsid w:val="00CE4E1E"/>
    <w:rsid w:val="00CE4EB0"/>
    <w:rsid w:val="00CE7583"/>
    <w:rsid w:val="00CF04CD"/>
    <w:rsid w:val="00CF1040"/>
    <w:rsid w:val="00CF312D"/>
    <w:rsid w:val="00CF50D0"/>
    <w:rsid w:val="00D0170B"/>
    <w:rsid w:val="00D022C3"/>
    <w:rsid w:val="00D06875"/>
    <w:rsid w:val="00D06E4E"/>
    <w:rsid w:val="00D133F0"/>
    <w:rsid w:val="00D201BF"/>
    <w:rsid w:val="00D2058D"/>
    <w:rsid w:val="00D505C0"/>
    <w:rsid w:val="00D521C3"/>
    <w:rsid w:val="00D54034"/>
    <w:rsid w:val="00D55FD9"/>
    <w:rsid w:val="00D5714A"/>
    <w:rsid w:val="00D57D84"/>
    <w:rsid w:val="00D66270"/>
    <w:rsid w:val="00D72C9B"/>
    <w:rsid w:val="00D73BA6"/>
    <w:rsid w:val="00D7436B"/>
    <w:rsid w:val="00D8075B"/>
    <w:rsid w:val="00D922BC"/>
    <w:rsid w:val="00D9294A"/>
    <w:rsid w:val="00D9431A"/>
    <w:rsid w:val="00D946BC"/>
    <w:rsid w:val="00DA316E"/>
    <w:rsid w:val="00DA56D3"/>
    <w:rsid w:val="00DA5E1D"/>
    <w:rsid w:val="00DB4A61"/>
    <w:rsid w:val="00DB5A76"/>
    <w:rsid w:val="00DC00BC"/>
    <w:rsid w:val="00DC01F6"/>
    <w:rsid w:val="00DC3D43"/>
    <w:rsid w:val="00DD0B49"/>
    <w:rsid w:val="00DD1235"/>
    <w:rsid w:val="00DE0BEB"/>
    <w:rsid w:val="00DE28C5"/>
    <w:rsid w:val="00DE716B"/>
    <w:rsid w:val="00DE7CA8"/>
    <w:rsid w:val="00DF2298"/>
    <w:rsid w:val="00DF23C5"/>
    <w:rsid w:val="00DF611E"/>
    <w:rsid w:val="00E00088"/>
    <w:rsid w:val="00E1109B"/>
    <w:rsid w:val="00E21A78"/>
    <w:rsid w:val="00E22518"/>
    <w:rsid w:val="00E334A0"/>
    <w:rsid w:val="00E34182"/>
    <w:rsid w:val="00E422CD"/>
    <w:rsid w:val="00E425E8"/>
    <w:rsid w:val="00E43AA3"/>
    <w:rsid w:val="00E470FF"/>
    <w:rsid w:val="00E516F8"/>
    <w:rsid w:val="00E76285"/>
    <w:rsid w:val="00E76E9B"/>
    <w:rsid w:val="00E914E9"/>
    <w:rsid w:val="00E91CD2"/>
    <w:rsid w:val="00EA1770"/>
    <w:rsid w:val="00EA6081"/>
    <w:rsid w:val="00EB19CD"/>
    <w:rsid w:val="00EC0D23"/>
    <w:rsid w:val="00EC25F6"/>
    <w:rsid w:val="00EC3BFF"/>
    <w:rsid w:val="00EC5887"/>
    <w:rsid w:val="00ED04AF"/>
    <w:rsid w:val="00ED05B6"/>
    <w:rsid w:val="00ED2619"/>
    <w:rsid w:val="00ED321B"/>
    <w:rsid w:val="00ED3932"/>
    <w:rsid w:val="00ED45ED"/>
    <w:rsid w:val="00EE1DEC"/>
    <w:rsid w:val="00EE4330"/>
    <w:rsid w:val="00EE7818"/>
    <w:rsid w:val="00EF0BD3"/>
    <w:rsid w:val="00EF56B4"/>
    <w:rsid w:val="00EF6A39"/>
    <w:rsid w:val="00EF6CB3"/>
    <w:rsid w:val="00EF6FF1"/>
    <w:rsid w:val="00F01A3E"/>
    <w:rsid w:val="00F038C2"/>
    <w:rsid w:val="00F0436C"/>
    <w:rsid w:val="00F04A57"/>
    <w:rsid w:val="00F10BEC"/>
    <w:rsid w:val="00F15565"/>
    <w:rsid w:val="00F2049D"/>
    <w:rsid w:val="00F20F77"/>
    <w:rsid w:val="00F21A42"/>
    <w:rsid w:val="00F26C67"/>
    <w:rsid w:val="00F3008F"/>
    <w:rsid w:val="00F3030D"/>
    <w:rsid w:val="00F3664E"/>
    <w:rsid w:val="00F47025"/>
    <w:rsid w:val="00F6238B"/>
    <w:rsid w:val="00F768AC"/>
    <w:rsid w:val="00F8785D"/>
    <w:rsid w:val="00F9091E"/>
    <w:rsid w:val="00F916B5"/>
    <w:rsid w:val="00FA14E3"/>
    <w:rsid w:val="00FA4102"/>
    <w:rsid w:val="00FA45DC"/>
    <w:rsid w:val="00FB1ACE"/>
    <w:rsid w:val="00FB2116"/>
    <w:rsid w:val="00FB22F5"/>
    <w:rsid w:val="00FC61DB"/>
    <w:rsid w:val="00FD0451"/>
    <w:rsid w:val="00FD4904"/>
    <w:rsid w:val="00FE7FC3"/>
    <w:rsid w:val="00FF7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uiPriority w:val="99"/>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paragraph" w:customStyle="1" w:styleId="naisf">
    <w:name w:val="naisf"/>
    <w:basedOn w:val="Normal"/>
    <w:uiPriority w:val="99"/>
    <w:rsid w:val="00A3378D"/>
    <w:pPr>
      <w:spacing w:before="75" w:after="75"/>
      <w:ind w:firstLine="375"/>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0050">
      <w:bodyDiv w:val="1"/>
      <w:marLeft w:val="0"/>
      <w:marRight w:val="0"/>
      <w:marTop w:val="0"/>
      <w:marBottom w:val="0"/>
      <w:divBdr>
        <w:top w:val="none" w:sz="0" w:space="0" w:color="auto"/>
        <w:left w:val="none" w:sz="0" w:space="0" w:color="auto"/>
        <w:bottom w:val="none" w:sz="0" w:space="0" w:color="auto"/>
        <w:right w:val="none" w:sz="0" w:space="0" w:color="auto"/>
      </w:divBdr>
    </w:div>
    <w:div w:id="499807765">
      <w:bodyDiv w:val="1"/>
      <w:marLeft w:val="0"/>
      <w:marRight w:val="0"/>
      <w:marTop w:val="0"/>
      <w:marBottom w:val="0"/>
      <w:divBdr>
        <w:top w:val="none" w:sz="0" w:space="0" w:color="auto"/>
        <w:left w:val="none" w:sz="0" w:space="0" w:color="auto"/>
        <w:bottom w:val="none" w:sz="0" w:space="0" w:color="auto"/>
        <w:right w:val="none" w:sz="0" w:space="0" w:color="auto"/>
      </w:divBdr>
    </w:div>
    <w:div w:id="646202253">
      <w:bodyDiv w:val="1"/>
      <w:marLeft w:val="0"/>
      <w:marRight w:val="0"/>
      <w:marTop w:val="0"/>
      <w:marBottom w:val="0"/>
      <w:divBdr>
        <w:top w:val="none" w:sz="0" w:space="0" w:color="auto"/>
        <w:left w:val="none" w:sz="0" w:space="0" w:color="auto"/>
        <w:bottom w:val="none" w:sz="0" w:space="0" w:color="auto"/>
        <w:right w:val="none" w:sz="0" w:space="0" w:color="auto"/>
      </w:divBdr>
    </w:div>
    <w:div w:id="987054297">
      <w:bodyDiv w:val="1"/>
      <w:marLeft w:val="0"/>
      <w:marRight w:val="0"/>
      <w:marTop w:val="0"/>
      <w:marBottom w:val="0"/>
      <w:divBdr>
        <w:top w:val="none" w:sz="0" w:space="0" w:color="auto"/>
        <w:left w:val="none" w:sz="0" w:space="0" w:color="auto"/>
        <w:bottom w:val="none" w:sz="0" w:space="0" w:color="auto"/>
        <w:right w:val="none" w:sz="0" w:space="0" w:color="auto"/>
      </w:divBdr>
    </w:div>
    <w:div w:id="1077244353">
      <w:bodyDiv w:val="1"/>
      <w:marLeft w:val="0"/>
      <w:marRight w:val="0"/>
      <w:marTop w:val="0"/>
      <w:marBottom w:val="0"/>
      <w:divBdr>
        <w:top w:val="none" w:sz="0" w:space="0" w:color="auto"/>
        <w:left w:val="none" w:sz="0" w:space="0" w:color="auto"/>
        <w:bottom w:val="none" w:sz="0" w:space="0" w:color="auto"/>
        <w:right w:val="none" w:sz="0" w:space="0" w:color="auto"/>
      </w:divBdr>
    </w:div>
    <w:div w:id="1130787706">
      <w:bodyDiv w:val="1"/>
      <w:marLeft w:val="0"/>
      <w:marRight w:val="0"/>
      <w:marTop w:val="0"/>
      <w:marBottom w:val="0"/>
      <w:divBdr>
        <w:top w:val="none" w:sz="0" w:space="0" w:color="auto"/>
        <w:left w:val="none" w:sz="0" w:space="0" w:color="auto"/>
        <w:bottom w:val="none" w:sz="0" w:space="0" w:color="auto"/>
        <w:right w:val="none" w:sz="0" w:space="0" w:color="auto"/>
      </w:divBdr>
    </w:div>
    <w:div w:id="1471706405">
      <w:bodyDiv w:val="1"/>
      <w:marLeft w:val="0"/>
      <w:marRight w:val="0"/>
      <w:marTop w:val="0"/>
      <w:marBottom w:val="0"/>
      <w:divBdr>
        <w:top w:val="none" w:sz="0" w:space="0" w:color="auto"/>
        <w:left w:val="none" w:sz="0" w:space="0" w:color="auto"/>
        <w:bottom w:val="none" w:sz="0" w:space="0" w:color="auto"/>
        <w:right w:val="none" w:sz="0" w:space="0" w:color="auto"/>
      </w:divBdr>
    </w:div>
    <w:div w:id="1677806283">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1937862404">
      <w:bodyDiv w:val="1"/>
      <w:marLeft w:val="0"/>
      <w:marRight w:val="0"/>
      <w:marTop w:val="0"/>
      <w:marBottom w:val="0"/>
      <w:divBdr>
        <w:top w:val="none" w:sz="0" w:space="0" w:color="auto"/>
        <w:left w:val="none" w:sz="0" w:space="0" w:color="auto"/>
        <w:bottom w:val="none" w:sz="0" w:space="0" w:color="auto"/>
        <w:right w:val="none" w:sz="0" w:space="0" w:color="auto"/>
      </w:divBdr>
    </w:div>
    <w:div w:id="1938058533">
      <w:bodyDiv w:val="1"/>
      <w:marLeft w:val="0"/>
      <w:marRight w:val="0"/>
      <w:marTop w:val="0"/>
      <w:marBottom w:val="0"/>
      <w:divBdr>
        <w:top w:val="none" w:sz="0" w:space="0" w:color="auto"/>
        <w:left w:val="none" w:sz="0" w:space="0" w:color="auto"/>
        <w:bottom w:val="none" w:sz="0" w:space="0" w:color="auto"/>
        <w:right w:val="none" w:sz="0" w:space="0" w:color="auto"/>
      </w:divBdr>
    </w:div>
    <w:div w:id="2110080176">
      <w:bodyDiv w:val="1"/>
      <w:marLeft w:val="0"/>
      <w:marRight w:val="0"/>
      <w:marTop w:val="0"/>
      <w:marBottom w:val="0"/>
      <w:divBdr>
        <w:top w:val="none" w:sz="0" w:space="0" w:color="auto"/>
        <w:left w:val="none" w:sz="0" w:space="0" w:color="auto"/>
        <w:bottom w:val="none" w:sz="0" w:space="0" w:color="auto"/>
        <w:right w:val="none" w:sz="0" w:space="0" w:color="auto"/>
      </w:divBdr>
    </w:div>
    <w:div w:id="21179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524C-FA9A-4AC3-ACD4-5E07C43B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12174</Words>
  <Characters>6940</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noteikumu projektam "Grozījumi Ministru kabineta 2015. gada 27. janvāra noteikumos Nr. 42 "Noteikumi par kritērijiem un kārtību valsts budžeta dotācijas piešķiršanai pašvaldībām Eiropas Savienības struktūrfondu un Kohēzijas fonda 2014.–2020. </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27. janvāra noteikumos Nr. 42 "Noteikumi par kritērijiem un kārtību valsts budžeta dotācijas piešķiršanai pašvaldībām Eiropas Savienības struktūrfondu un Kohēzijas fonda 2014.–2020. gada plānošanas periodā līdzfinansēto projektu īstenošanai""</dc:title>
  <dc:subject>Anotācijas projekts</dc:subject>
  <dc:creator>"Ritvars Timermanis" &lt;Ritvars.Timermanis@zm.gov.lv&gt;</dc:creator>
  <dc:description>66016767,_x000d_
liene.dorbe@varam.gov.lv</dc:description>
  <cp:lastModifiedBy>Liene Dorbe</cp:lastModifiedBy>
  <cp:revision>15</cp:revision>
  <dcterms:created xsi:type="dcterms:W3CDTF">2019-02-04T10:35:00Z</dcterms:created>
  <dcterms:modified xsi:type="dcterms:W3CDTF">2019-02-22T08:03:00Z</dcterms:modified>
</cp:coreProperties>
</file>