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8832" w14:textId="6C1467C8" w:rsidR="003303C5" w:rsidRPr="003303C5" w:rsidRDefault="006E5FF7" w:rsidP="003303C5">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2018.gada ___.</w:t>
      </w:r>
      <w:r w:rsidR="003303C5" w:rsidRPr="003303C5">
        <w:rPr>
          <w:rFonts w:ascii="Times New Roman" w:eastAsia="Times New Roman" w:hAnsi="Times New Roman" w:cs="Times New Roman"/>
          <w:sz w:val="28"/>
          <w:szCs w:val="28"/>
        </w:rPr>
        <w:t xml:space="preserve"> _________ </w:t>
      </w:r>
      <w:r w:rsidR="003303C5" w:rsidRPr="003303C5">
        <w:rPr>
          <w:rFonts w:ascii="Times New Roman" w:eastAsia="Times New Roman" w:hAnsi="Times New Roman" w:cs="Times New Roman"/>
          <w:sz w:val="28"/>
          <w:szCs w:val="28"/>
        </w:rPr>
        <w:tab/>
      </w:r>
      <w:r w:rsidR="003303C5" w:rsidRPr="003303C5">
        <w:rPr>
          <w:rFonts w:ascii="Times New Roman" w:eastAsia="Times New Roman" w:hAnsi="Times New Roman" w:cs="Times New Roman"/>
          <w:sz w:val="28"/>
          <w:szCs w:val="28"/>
        </w:rPr>
        <w:tab/>
      </w:r>
      <w:r w:rsidR="003303C5" w:rsidRPr="003303C5">
        <w:rPr>
          <w:rFonts w:ascii="Times New Roman" w:eastAsia="Times New Roman" w:hAnsi="Times New Roman" w:cs="Times New Roman"/>
          <w:sz w:val="28"/>
          <w:szCs w:val="28"/>
        </w:rPr>
        <w:tab/>
      </w:r>
      <w:r w:rsidR="003303C5" w:rsidRPr="003303C5">
        <w:rPr>
          <w:rFonts w:ascii="Times New Roman" w:eastAsia="Times New Roman" w:hAnsi="Times New Roman" w:cs="Times New Roman"/>
          <w:sz w:val="28"/>
          <w:szCs w:val="28"/>
        </w:rPr>
        <w:tab/>
      </w:r>
      <w:r w:rsidR="00A913D2">
        <w:rPr>
          <w:rFonts w:ascii="Times New Roman" w:eastAsia="Times New Roman" w:hAnsi="Times New Roman" w:cs="Times New Roman"/>
          <w:sz w:val="28"/>
          <w:szCs w:val="28"/>
        </w:rPr>
        <w:t xml:space="preserve">       </w:t>
      </w:r>
      <w:r w:rsidR="003303C5" w:rsidRPr="003303C5">
        <w:rPr>
          <w:rFonts w:ascii="Times New Roman" w:eastAsia="Times New Roman" w:hAnsi="Times New Roman" w:cs="Times New Roman"/>
          <w:sz w:val="28"/>
          <w:szCs w:val="28"/>
        </w:rPr>
        <w:t>Noteikumi Nr.___</w:t>
      </w:r>
    </w:p>
    <w:p w14:paraId="3AA9A0D5" w14:textId="792E3602" w:rsidR="003303C5" w:rsidRPr="003303C5" w:rsidRDefault="003303C5" w:rsidP="003303C5">
      <w:pPr>
        <w:spacing w:after="120" w:line="240" w:lineRule="auto"/>
        <w:rPr>
          <w:rFonts w:ascii="Times New Roman" w:eastAsia="Times New Roman" w:hAnsi="Times New Roman" w:cs="Times New Roman"/>
          <w:sz w:val="28"/>
          <w:szCs w:val="28"/>
        </w:rPr>
      </w:pPr>
      <w:r w:rsidRPr="003303C5">
        <w:rPr>
          <w:rFonts w:ascii="Times New Roman" w:eastAsia="Times New Roman" w:hAnsi="Times New Roman" w:cs="Times New Roman"/>
          <w:sz w:val="28"/>
          <w:szCs w:val="28"/>
        </w:rPr>
        <w:t>Rīgā</w:t>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Pr="003303C5">
        <w:rPr>
          <w:rFonts w:ascii="Times New Roman" w:eastAsia="Times New Roman" w:hAnsi="Times New Roman" w:cs="Times New Roman"/>
          <w:sz w:val="28"/>
          <w:szCs w:val="28"/>
        </w:rPr>
        <w:tab/>
      </w:r>
      <w:r w:rsidR="00A913D2">
        <w:rPr>
          <w:rFonts w:ascii="Times New Roman" w:eastAsia="Times New Roman" w:hAnsi="Times New Roman" w:cs="Times New Roman"/>
          <w:sz w:val="28"/>
          <w:szCs w:val="28"/>
        </w:rPr>
        <w:t xml:space="preserve">      </w:t>
      </w:r>
      <w:r w:rsidRPr="003303C5">
        <w:rPr>
          <w:rFonts w:ascii="Times New Roman" w:eastAsia="Times New Roman" w:hAnsi="Times New Roman" w:cs="Times New Roman"/>
          <w:sz w:val="28"/>
          <w:szCs w:val="28"/>
        </w:rPr>
        <w:t xml:space="preserve"> (prot. Nr.__ __ § )</w:t>
      </w:r>
    </w:p>
    <w:p w14:paraId="6589A9D8" w14:textId="77777777" w:rsidR="00E310AA" w:rsidRDefault="00E310AA" w:rsidP="008F02AE">
      <w:pPr>
        <w:jc w:val="center"/>
        <w:rPr>
          <w:rFonts w:ascii="Times New Roman" w:hAnsi="Times New Roman" w:cs="Times New Roman"/>
          <w:b/>
          <w:sz w:val="28"/>
          <w:szCs w:val="28"/>
        </w:rPr>
      </w:pPr>
      <w:bookmarkStart w:id="0" w:name="_Hlk523990946"/>
    </w:p>
    <w:p w14:paraId="4F30E62F" w14:textId="6D45A94B" w:rsidR="008F02AE" w:rsidRDefault="008F02AE" w:rsidP="008F02AE">
      <w:pPr>
        <w:jc w:val="center"/>
        <w:rPr>
          <w:rFonts w:ascii="Times New Roman" w:hAnsi="Times New Roman" w:cs="Times New Roman"/>
          <w:b/>
          <w:sz w:val="28"/>
          <w:szCs w:val="28"/>
        </w:rPr>
      </w:pPr>
      <w:r w:rsidRPr="00A913D2">
        <w:rPr>
          <w:rFonts w:ascii="Times New Roman" w:hAnsi="Times New Roman" w:cs="Times New Roman"/>
          <w:b/>
          <w:sz w:val="28"/>
          <w:szCs w:val="28"/>
        </w:rPr>
        <w:t>Grozījum</w:t>
      </w:r>
      <w:r w:rsidR="00E47714">
        <w:rPr>
          <w:rFonts w:ascii="Times New Roman" w:hAnsi="Times New Roman" w:cs="Times New Roman"/>
          <w:b/>
          <w:sz w:val="28"/>
          <w:szCs w:val="28"/>
        </w:rPr>
        <w:t>i</w:t>
      </w:r>
      <w:r w:rsidRPr="00A913D2">
        <w:rPr>
          <w:rFonts w:ascii="Times New Roman" w:hAnsi="Times New Roman" w:cs="Times New Roman"/>
          <w:b/>
          <w:sz w:val="28"/>
          <w:szCs w:val="28"/>
        </w:rPr>
        <w:t xml:space="preserve"> Ministru kabineta 2005. gada 8. marta noteikumos Nr. 175 “Recepšu veidlapu izgatavošanas un uzglabāšanas, kā arī recepšu izrakstīšanas un uzglabāšanas noteikumi”</w:t>
      </w:r>
      <w:bookmarkEnd w:id="0"/>
    </w:p>
    <w:p w14:paraId="247C9CAE" w14:textId="77777777" w:rsidR="00E310AA" w:rsidRPr="00A913D2" w:rsidRDefault="00E310AA" w:rsidP="008F02AE">
      <w:pPr>
        <w:jc w:val="center"/>
        <w:rPr>
          <w:rFonts w:ascii="Times New Roman" w:hAnsi="Times New Roman" w:cs="Times New Roman"/>
          <w:b/>
          <w:sz w:val="28"/>
          <w:szCs w:val="28"/>
        </w:rPr>
      </w:pPr>
    </w:p>
    <w:p w14:paraId="21FB8739" w14:textId="77777777" w:rsidR="008F02AE" w:rsidRPr="00A31608" w:rsidRDefault="008F02AE" w:rsidP="008F02AE">
      <w:pPr>
        <w:pStyle w:val="NoSpacing"/>
        <w:jc w:val="right"/>
        <w:rPr>
          <w:rFonts w:ascii="Times New Roman" w:hAnsi="Times New Roman" w:cs="Times New Roman"/>
          <w:i/>
          <w:sz w:val="28"/>
          <w:szCs w:val="28"/>
        </w:rPr>
      </w:pPr>
      <w:bookmarkStart w:id="1" w:name="_Hlk523990429"/>
      <w:r w:rsidRPr="00A31608">
        <w:rPr>
          <w:rFonts w:ascii="Times New Roman" w:hAnsi="Times New Roman" w:cs="Times New Roman"/>
          <w:i/>
          <w:sz w:val="28"/>
          <w:szCs w:val="28"/>
        </w:rPr>
        <w:t xml:space="preserve">Izdoti saskaņā ar </w:t>
      </w:r>
      <w:hyperlink r:id="rId7" w:tgtFrame="_blank" w:history="1">
        <w:r w:rsidRPr="00A31608">
          <w:rPr>
            <w:rStyle w:val="Hyperlink"/>
            <w:rFonts w:ascii="Times New Roman" w:hAnsi="Times New Roman" w:cs="Times New Roman"/>
            <w:i/>
            <w:color w:val="auto"/>
            <w:sz w:val="28"/>
            <w:szCs w:val="28"/>
            <w:u w:val="none"/>
          </w:rPr>
          <w:t>Ārstniecības likuma</w:t>
        </w:r>
      </w:hyperlink>
      <w:r w:rsidRPr="00A31608">
        <w:rPr>
          <w:rFonts w:ascii="Times New Roman" w:hAnsi="Times New Roman" w:cs="Times New Roman"/>
          <w:i/>
          <w:sz w:val="28"/>
          <w:szCs w:val="28"/>
        </w:rPr>
        <w:t xml:space="preserve"> </w:t>
      </w:r>
      <w:hyperlink r:id="rId8" w:anchor="p60" w:tgtFrame="_blank" w:history="1">
        <w:r w:rsidRPr="00A31608">
          <w:rPr>
            <w:rStyle w:val="Hyperlink"/>
            <w:rFonts w:ascii="Times New Roman" w:hAnsi="Times New Roman" w:cs="Times New Roman"/>
            <w:i/>
            <w:color w:val="auto"/>
            <w:sz w:val="28"/>
            <w:szCs w:val="28"/>
            <w:u w:val="none"/>
          </w:rPr>
          <w:t>60. pantu</w:t>
        </w:r>
      </w:hyperlink>
    </w:p>
    <w:p w14:paraId="497F49A2" w14:textId="77777777" w:rsidR="008F02AE" w:rsidRPr="00A31608" w:rsidRDefault="008F02AE" w:rsidP="008F02AE">
      <w:pPr>
        <w:pStyle w:val="NoSpacing"/>
        <w:jc w:val="right"/>
        <w:rPr>
          <w:rStyle w:val="Hyperlink"/>
          <w:rFonts w:ascii="Times New Roman" w:hAnsi="Times New Roman" w:cs="Times New Roman"/>
          <w:i/>
          <w:color w:val="auto"/>
          <w:sz w:val="28"/>
          <w:szCs w:val="28"/>
          <w:u w:val="none"/>
        </w:rPr>
      </w:pPr>
      <w:r w:rsidRPr="00A31608">
        <w:rPr>
          <w:rFonts w:ascii="Times New Roman" w:hAnsi="Times New Roman" w:cs="Times New Roman"/>
          <w:i/>
          <w:sz w:val="28"/>
          <w:szCs w:val="28"/>
        </w:rPr>
        <w:t>un likuma "</w:t>
      </w:r>
      <w:r w:rsidRPr="00A31608">
        <w:rPr>
          <w:rFonts w:ascii="Times New Roman" w:hAnsi="Times New Roman" w:cs="Times New Roman"/>
          <w:i/>
          <w:sz w:val="28"/>
          <w:szCs w:val="28"/>
        </w:rPr>
        <w:fldChar w:fldCharType="begin"/>
      </w:r>
      <w:r w:rsidRPr="00A31608">
        <w:rPr>
          <w:rFonts w:ascii="Times New Roman" w:hAnsi="Times New Roman" w:cs="Times New Roman"/>
          <w:i/>
          <w:sz w:val="28"/>
          <w:szCs w:val="28"/>
        </w:rPr>
        <w:instrText xml:space="preserve"> HYPERLINK "https://likumi.lv/ta/id/40283-par-narkotisko-un-psihotropo-vielu-un-zalu-likumigas-aprites-kartibu" \t "_blank" </w:instrText>
      </w:r>
      <w:r w:rsidRPr="00A31608">
        <w:rPr>
          <w:rFonts w:ascii="Times New Roman" w:hAnsi="Times New Roman" w:cs="Times New Roman"/>
          <w:i/>
          <w:sz w:val="28"/>
          <w:szCs w:val="28"/>
        </w:rPr>
        <w:fldChar w:fldCharType="separate"/>
      </w:r>
      <w:r w:rsidRPr="00A31608">
        <w:rPr>
          <w:rStyle w:val="Hyperlink"/>
          <w:rFonts w:ascii="Times New Roman" w:hAnsi="Times New Roman" w:cs="Times New Roman"/>
          <w:i/>
          <w:color w:val="auto"/>
          <w:sz w:val="28"/>
          <w:szCs w:val="28"/>
          <w:u w:val="none"/>
        </w:rPr>
        <w:t>Par narkotisko un psihotropo vielu un zāļu</w:t>
      </w:r>
    </w:p>
    <w:p w14:paraId="3338A0F9" w14:textId="77777777" w:rsidR="008F02AE" w:rsidRPr="00A31608" w:rsidRDefault="008F02AE" w:rsidP="008F02AE">
      <w:pPr>
        <w:pStyle w:val="NoSpacing"/>
        <w:jc w:val="right"/>
        <w:rPr>
          <w:rFonts w:ascii="Times New Roman" w:hAnsi="Times New Roman" w:cs="Times New Roman"/>
          <w:i/>
          <w:sz w:val="28"/>
          <w:szCs w:val="28"/>
        </w:rPr>
      </w:pPr>
      <w:r w:rsidRPr="00A31608">
        <w:rPr>
          <w:rStyle w:val="Hyperlink"/>
          <w:rFonts w:ascii="Times New Roman" w:hAnsi="Times New Roman" w:cs="Times New Roman"/>
          <w:i/>
          <w:color w:val="auto"/>
          <w:sz w:val="28"/>
          <w:szCs w:val="28"/>
          <w:u w:val="none"/>
        </w:rPr>
        <w:t>likumīgās aprites kārtību</w:t>
      </w:r>
      <w:r w:rsidRPr="00A31608">
        <w:rPr>
          <w:rFonts w:ascii="Times New Roman" w:hAnsi="Times New Roman" w:cs="Times New Roman"/>
          <w:i/>
          <w:sz w:val="28"/>
          <w:szCs w:val="28"/>
        </w:rPr>
        <w:fldChar w:fldCharType="end"/>
      </w:r>
      <w:r w:rsidRPr="00A31608">
        <w:rPr>
          <w:rFonts w:ascii="Times New Roman" w:hAnsi="Times New Roman" w:cs="Times New Roman"/>
          <w:i/>
          <w:sz w:val="28"/>
          <w:szCs w:val="28"/>
        </w:rPr>
        <w:t xml:space="preserve">" </w:t>
      </w:r>
      <w:hyperlink r:id="rId9" w:anchor="p36" w:tgtFrame="_blank" w:history="1">
        <w:r w:rsidRPr="00A31608">
          <w:rPr>
            <w:rStyle w:val="Hyperlink"/>
            <w:rFonts w:ascii="Times New Roman" w:hAnsi="Times New Roman" w:cs="Times New Roman"/>
            <w:i/>
            <w:color w:val="auto"/>
            <w:sz w:val="28"/>
            <w:szCs w:val="28"/>
            <w:u w:val="none"/>
          </w:rPr>
          <w:t>36. panta</w:t>
        </w:r>
      </w:hyperlink>
      <w:r w:rsidRPr="00A31608">
        <w:rPr>
          <w:rFonts w:ascii="Times New Roman" w:hAnsi="Times New Roman" w:cs="Times New Roman"/>
          <w:i/>
          <w:sz w:val="28"/>
          <w:szCs w:val="28"/>
        </w:rPr>
        <w:t xml:space="preserve"> pirmo daļu</w:t>
      </w:r>
    </w:p>
    <w:bookmarkEnd w:id="1"/>
    <w:p w14:paraId="1E84311F" w14:textId="77777777" w:rsidR="008F02AE" w:rsidRPr="003303C5" w:rsidRDefault="008F02AE" w:rsidP="00A913D2">
      <w:pPr>
        <w:rPr>
          <w:rFonts w:ascii="Times New Roman" w:hAnsi="Times New Roman" w:cs="Times New Roman"/>
          <w:sz w:val="28"/>
          <w:szCs w:val="28"/>
        </w:rPr>
      </w:pPr>
    </w:p>
    <w:p w14:paraId="2020ECF2" w14:textId="77777777" w:rsidR="00C0421E" w:rsidRDefault="00C0421E" w:rsidP="00C0421E">
      <w:pPr>
        <w:ind w:firstLine="720"/>
        <w:jc w:val="both"/>
        <w:rPr>
          <w:rFonts w:ascii="Times New Roman" w:hAnsi="Times New Roman" w:cs="Times New Roman"/>
          <w:sz w:val="28"/>
          <w:szCs w:val="28"/>
        </w:rPr>
      </w:pPr>
      <w:r w:rsidRPr="003303C5">
        <w:rPr>
          <w:rFonts w:ascii="Times New Roman" w:hAnsi="Times New Roman" w:cs="Times New Roman"/>
          <w:sz w:val="28"/>
          <w:szCs w:val="28"/>
        </w:rPr>
        <w:t xml:space="preserve">Izdarīt Ministru kabineta </w:t>
      </w:r>
      <w:r>
        <w:rPr>
          <w:rFonts w:ascii="Times New Roman" w:hAnsi="Times New Roman" w:cs="Times New Roman"/>
          <w:sz w:val="28"/>
          <w:szCs w:val="28"/>
        </w:rPr>
        <w:t>2005.gada 8.marta noteikumos Nr.</w:t>
      </w:r>
      <w:r w:rsidRPr="003303C5">
        <w:rPr>
          <w:rFonts w:ascii="Times New Roman" w:hAnsi="Times New Roman" w:cs="Times New Roman"/>
          <w:sz w:val="28"/>
          <w:szCs w:val="28"/>
        </w:rPr>
        <w:t xml:space="preserve">175 “Recepšu veidlapu izgatavošanas un uzglabāšanas, kā arī recepšu izrakstīšanas un uzglabāšanas noteikumi” (Latvijas Vēstnesis, 2005, 48. nr.; 2007, 104. nr.; 2008, 22., 87. nr.; 2011, 60. nr.; 2013, 208. nr.; 2016, 9., 233. nr.; 2017, 171. nr.) </w:t>
      </w:r>
      <w:r>
        <w:rPr>
          <w:rFonts w:ascii="Times New Roman" w:hAnsi="Times New Roman" w:cs="Times New Roman"/>
          <w:sz w:val="28"/>
          <w:szCs w:val="28"/>
        </w:rPr>
        <w:t xml:space="preserve">šādus </w:t>
      </w:r>
      <w:r w:rsidRPr="003303C5">
        <w:rPr>
          <w:rFonts w:ascii="Times New Roman" w:hAnsi="Times New Roman" w:cs="Times New Roman"/>
          <w:sz w:val="28"/>
          <w:szCs w:val="28"/>
        </w:rPr>
        <w:t>grozījumu</w:t>
      </w:r>
      <w:r>
        <w:rPr>
          <w:rFonts w:ascii="Times New Roman" w:hAnsi="Times New Roman" w:cs="Times New Roman"/>
          <w:sz w:val="28"/>
          <w:szCs w:val="28"/>
        </w:rPr>
        <w:t>s:</w:t>
      </w:r>
    </w:p>
    <w:p w14:paraId="2A2ED004" w14:textId="77777777" w:rsidR="00C0421E" w:rsidRDefault="00C0421E" w:rsidP="00C0421E">
      <w:pPr>
        <w:ind w:firstLine="720"/>
        <w:jc w:val="both"/>
        <w:rPr>
          <w:rFonts w:ascii="Times New Roman" w:hAnsi="Times New Roman" w:cs="Times New Roman"/>
          <w:sz w:val="28"/>
          <w:szCs w:val="28"/>
        </w:rPr>
      </w:pPr>
      <w:r>
        <w:rPr>
          <w:rFonts w:ascii="Times New Roman" w:hAnsi="Times New Roman" w:cs="Times New Roman"/>
          <w:sz w:val="28"/>
          <w:szCs w:val="28"/>
        </w:rPr>
        <w:t>1. papildināt 33.punktu ar trešo teikumu šādā redakcijā:</w:t>
      </w:r>
    </w:p>
    <w:p w14:paraId="60EEE399" w14:textId="586A45AD" w:rsidR="00C0421E" w:rsidRPr="009619ED" w:rsidRDefault="00C0421E" w:rsidP="00C0421E">
      <w:pPr>
        <w:ind w:firstLine="720"/>
        <w:jc w:val="both"/>
        <w:rPr>
          <w:rFonts w:ascii="Times New Roman" w:hAnsi="Times New Roman" w:cs="Times New Roman"/>
          <w:sz w:val="28"/>
          <w:szCs w:val="28"/>
        </w:rPr>
      </w:pPr>
      <w:r>
        <w:rPr>
          <w:rFonts w:ascii="Times New Roman" w:hAnsi="Times New Roman" w:cs="Times New Roman"/>
          <w:sz w:val="28"/>
          <w:szCs w:val="28"/>
        </w:rPr>
        <w:t>“</w:t>
      </w:r>
      <w:r w:rsidRPr="009619ED">
        <w:rPr>
          <w:rFonts w:ascii="Times New Roman" w:hAnsi="Times New Roman" w:cs="Times New Roman"/>
          <w:sz w:val="28"/>
          <w:szCs w:val="28"/>
        </w:rPr>
        <w:t>Tiesības izrakstīt zāles un medicīniskās ierīces, kuru iegādes izdevumus pacientam daļēji vai pilnībā sedz no zāļu iegādes izdevumu kompensācijai piešķirtajiem līdzekļiem atbilstoši kompensācijas kārtībai, ir arī ģimenes ārsta praksē nodarbinātam ārsta palīgam (feldšerim) un ārsta palīgam (feldšerim), kurš strādā ieslodzījuma vietu ārstniecības iestādes ārstu komandā, ievērojot šādus nosacījumus:</w:t>
      </w:r>
    </w:p>
    <w:p w14:paraId="479E3C9F" w14:textId="77777777" w:rsidR="00C0421E" w:rsidRPr="009619ED" w:rsidRDefault="00C0421E" w:rsidP="00C0421E">
      <w:pPr>
        <w:ind w:firstLine="720"/>
        <w:jc w:val="both"/>
        <w:rPr>
          <w:rFonts w:ascii="Times New Roman" w:hAnsi="Times New Roman" w:cs="Times New Roman"/>
          <w:sz w:val="28"/>
          <w:szCs w:val="28"/>
        </w:rPr>
      </w:pPr>
      <w:r>
        <w:rPr>
          <w:rFonts w:ascii="Times New Roman" w:hAnsi="Times New Roman" w:cs="Times New Roman"/>
          <w:sz w:val="28"/>
          <w:szCs w:val="28"/>
        </w:rPr>
        <w:t>33.1.</w:t>
      </w:r>
      <w:r w:rsidRPr="009619ED">
        <w:rPr>
          <w:rFonts w:ascii="Times New Roman" w:hAnsi="Times New Roman" w:cs="Times New Roman"/>
          <w:sz w:val="28"/>
          <w:szCs w:val="28"/>
        </w:rPr>
        <w:t xml:space="preserve"> šīs tiesības ir noteiktas starp dienestu un ārstniecības iestādi noslēgtajā līgumā par veselības aprūpes pakalpojumu sniegšanu un apmaksu no valsts budžeta līdzekļiem vai sadarbības vienošanās, kas noslēgta starp dienestu un Ieslodzījuma vietu pārvaldi;</w:t>
      </w:r>
    </w:p>
    <w:p w14:paraId="1C888A03" w14:textId="5A85C7C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 xml:space="preserve">33.2. </w:t>
      </w:r>
      <w:r w:rsidR="0062131E">
        <w:rPr>
          <w:rFonts w:ascii="Times New Roman" w:hAnsi="Times New Roman" w:cs="Times New Roman"/>
          <w:sz w:val="28"/>
          <w:szCs w:val="28"/>
        </w:rPr>
        <w:t>recepte tiek izrakstīta sadarbībā</w:t>
      </w:r>
      <w:r w:rsidRPr="00CB385D">
        <w:rPr>
          <w:rFonts w:ascii="Times New Roman" w:hAnsi="Times New Roman" w:cs="Times New Roman"/>
          <w:sz w:val="28"/>
          <w:szCs w:val="28"/>
        </w:rPr>
        <w:t xml:space="preserve"> ar ģimenes ārstu vai ieslodzījuma vietu ārstējošo ārstu;</w:t>
      </w:r>
    </w:p>
    <w:p w14:paraId="3D235E4C"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33.3. ģimenes ārsts vai ieslodzījuma vietas ārstējošais ārsts atbild par zāļu un medicīnisko ierīču, kuru iegādes izdevumus pacientam daļēji vai pilnībā sedz no zāļu iegādes izdevumu kompensācijai piešķirtajiem līdzekļiem atbilstoši kompensācijas kārtībai nepieciešamību.</w:t>
      </w:r>
    </w:p>
    <w:p w14:paraId="10E54ED9" w14:textId="594DFA0E"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lastRenderedPageBreak/>
        <w:t xml:space="preserve">33.4. ārsta palīgs (feldšeris) atbild par receptes noformēšanu atbilstoši šo noteikumu prasībām un ar ģimenes ārstu vai ieslodzījuma vietas ārstu </w:t>
      </w:r>
      <w:r w:rsidR="0062131E">
        <w:rPr>
          <w:rFonts w:ascii="Times New Roman" w:hAnsi="Times New Roman" w:cs="Times New Roman"/>
          <w:sz w:val="28"/>
          <w:szCs w:val="28"/>
        </w:rPr>
        <w:t>sadarbības ietvarā veiktās darbības</w:t>
      </w:r>
      <w:r w:rsidRPr="00CB385D">
        <w:rPr>
          <w:rFonts w:ascii="Times New Roman" w:hAnsi="Times New Roman" w:cs="Times New Roman"/>
          <w:sz w:val="28"/>
          <w:szCs w:val="28"/>
        </w:rPr>
        <w:t xml:space="preserve"> precīzu izpildi.”</w:t>
      </w:r>
    </w:p>
    <w:p w14:paraId="480E8803"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2.Papildināt  III</w:t>
      </w:r>
      <w:r w:rsidRPr="00CB385D">
        <w:rPr>
          <w:rFonts w:ascii="Times New Roman" w:hAnsi="Times New Roman" w:cs="Times New Roman"/>
          <w:sz w:val="28"/>
          <w:szCs w:val="28"/>
          <w:vertAlign w:val="superscript"/>
        </w:rPr>
        <w:t xml:space="preserve">1 </w:t>
      </w:r>
      <w:r w:rsidRPr="00CB385D">
        <w:rPr>
          <w:rFonts w:ascii="Times New Roman" w:hAnsi="Times New Roman" w:cs="Times New Roman"/>
          <w:sz w:val="28"/>
          <w:szCs w:val="28"/>
        </w:rPr>
        <w:t xml:space="preserve">. nodaļu ar </w:t>
      </w:r>
      <w:bookmarkStart w:id="2" w:name="_Hlk768967"/>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bookmarkEnd w:id="2"/>
      <w:r w:rsidRPr="00CB385D">
        <w:rPr>
          <w:rFonts w:ascii="Times New Roman" w:hAnsi="Times New Roman" w:cs="Times New Roman"/>
          <w:sz w:val="28"/>
          <w:szCs w:val="28"/>
          <w:vertAlign w:val="superscript"/>
        </w:rPr>
        <w:t xml:space="preserve"> </w:t>
      </w:r>
      <w:r w:rsidRPr="00CB385D">
        <w:rPr>
          <w:rFonts w:ascii="Times New Roman" w:hAnsi="Times New Roman" w:cs="Times New Roman"/>
          <w:sz w:val="28"/>
          <w:szCs w:val="28"/>
        </w:rPr>
        <w:t>punktu šādā redakcijā:</w:t>
      </w:r>
    </w:p>
    <w:p w14:paraId="7084C93B"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Ģimenes ārsta praksē nodarbinātai māsai (medicīnas māsai) ir tiesības tehniski izrakstīt īpašo elektronisko recepti zālēm un medicīniskām ierīcēm, kuru iegādes izdevumus pacientam daļēji vai pilnībā sedz no zāļu iegādes izdevumu kompensācijai piešķirtajiem līdzekļiem, ja šīs tiesības ir noteiktas starp dienestu un ārstniecības iestādi noslēgtajā līgumā par veselības aprūpes pakalpojumu sniegšanu un apmaksu no valsts budžeta līdzekļiem, un parasto elektronisko recepti, ievērojot šādus nosacījums: </w:t>
      </w:r>
    </w:p>
    <w:p w14:paraId="3128DD16"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1. elektroniskā recepte tiek izrakstīta atbilstoši ģimenes ārsta pirmreizēji izrakstītajai elektroniskajai receptei, ja ģimenes ārsts devis šādu uzdevumu un nozīmētajā terapijā nav nepieciešamas izmaiņas;</w:t>
      </w:r>
    </w:p>
    <w:p w14:paraId="07B66A30"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2. ģimenes ārsts atbild par elektroniskās receptes izrakstīšanas nepieciešamību un </w:t>
      </w:r>
      <w:bookmarkStart w:id="3" w:name="_Hlk768815"/>
      <w:r w:rsidRPr="00CB385D">
        <w:rPr>
          <w:rFonts w:ascii="Times New Roman" w:hAnsi="Times New Roman" w:cs="Times New Roman"/>
          <w:sz w:val="28"/>
          <w:szCs w:val="28"/>
        </w:rPr>
        <w:t>nozīmētās zāļu terapijas pamatotību</w:t>
      </w:r>
      <w:bookmarkEnd w:id="3"/>
      <w:r w:rsidRPr="00CB385D">
        <w:rPr>
          <w:rFonts w:ascii="Times New Roman" w:hAnsi="Times New Roman" w:cs="Times New Roman"/>
          <w:sz w:val="28"/>
          <w:szCs w:val="28"/>
        </w:rPr>
        <w:t>;</w:t>
      </w:r>
    </w:p>
    <w:p w14:paraId="7C147B11" w14:textId="7FFFE29F"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48.</w:t>
      </w:r>
      <w:r w:rsidRPr="00CB385D">
        <w:rPr>
          <w:rFonts w:ascii="Times New Roman" w:hAnsi="Times New Roman" w:cs="Times New Roman"/>
          <w:sz w:val="28"/>
          <w:szCs w:val="28"/>
          <w:vertAlign w:val="superscript"/>
        </w:rPr>
        <w:t>8</w:t>
      </w:r>
      <w:r w:rsidRPr="00CB385D">
        <w:rPr>
          <w:rFonts w:ascii="Times New Roman" w:hAnsi="Times New Roman" w:cs="Times New Roman"/>
          <w:sz w:val="28"/>
          <w:szCs w:val="28"/>
        </w:rPr>
        <w:t xml:space="preserve"> 3. māsa (medicīnas māsa) atbild par elektroniskās </w:t>
      </w:r>
      <w:bookmarkStart w:id="4" w:name="_GoBack"/>
      <w:bookmarkEnd w:id="4"/>
      <w:r w:rsidRPr="00CB385D">
        <w:rPr>
          <w:rFonts w:ascii="Times New Roman" w:hAnsi="Times New Roman" w:cs="Times New Roman"/>
          <w:sz w:val="28"/>
          <w:szCs w:val="28"/>
        </w:rPr>
        <w:t>receptes noformēšanu atbilstoši šo noteikumu prasībām un nozīmētās terapijas nemainīgumu atbilstoši pirmreizēji ģimenes ārsta izrakstītai elektroniskajai receptei.”</w:t>
      </w:r>
    </w:p>
    <w:p w14:paraId="38C22DE4"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3.Izteikt 3.pielikuma 2.2.apakšpunkta pirmo teikumu šādā redakcijā:</w:t>
      </w:r>
    </w:p>
    <w:p w14:paraId="0C676144" w14:textId="4BC1BA16" w:rsidR="00C0421E"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“pacienta vārdu, uzvārdu (norāda pilnu vārdu, neizmantojot iniciāļus), personas kodu (E vai S veidlapas uzrādītājam – identifikācijas numuru), dzimšanas datumu, ja personas kods to nesatur, adresi vai tālruni.”</w:t>
      </w:r>
    </w:p>
    <w:p w14:paraId="620CCADC" w14:textId="77777777" w:rsidR="00C0421E" w:rsidRPr="00C0421E" w:rsidRDefault="00C0421E" w:rsidP="00C0421E">
      <w:pPr>
        <w:ind w:firstLine="720"/>
        <w:jc w:val="both"/>
        <w:rPr>
          <w:rFonts w:ascii="Times New Roman" w:hAnsi="Times New Roman" w:cs="Times New Roman"/>
          <w:sz w:val="16"/>
          <w:szCs w:val="16"/>
        </w:rPr>
      </w:pPr>
    </w:p>
    <w:p w14:paraId="750B3495" w14:textId="77777777" w:rsidR="00C0421E" w:rsidRPr="00CB385D" w:rsidRDefault="00C0421E" w:rsidP="00C0421E">
      <w:pPr>
        <w:ind w:firstLine="720"/>
        <w:jc w:val="both"/>
        <w:rPr>
          <w:rFonts w:ascii="Times New Roman" w:hAnsi="Times New Roman" w:cs="Times New Roman"/>
          <w:sz w:val="28"/>
          <w:szCs w:val="28"/>
        </w:rPr>
      </w:pPr>
      <w:r w:rsidRPr="00CB385D">
        <w:rPr>
          <w:rFonts w:ascii="Times New Roman" w:hAnsi="Times New Roman" w:cs="Times New Roman"/>
          <w:sz w:val="28"/>
          <w:szCs w:val="28"/>
        </w:rPr>
        <w:t>4. papildināt 7.pielikumu ar 6.punktu šādā redakcijā:</w:t>
      </w:r>
    </w:p>
    <w:p w14:paraId="49ED31E3" w14:textId="257C28A0" w:rsidR="00C0421E" w:rsidRDefault="00C0421E" w:rsidP="00C0421E">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03D69">
        <w:rPr>
          <w:rFonts w:ascii="Times New Roman" w:hAnsi="Times New Roman" w:cs="Times New Roman"/>
          <w:sz w:val="28"/>
          <w:szCs w:val="28"/>
        </w:rPr>
        <w:t>“</w:t>
      </w:r>
      <w:r>
        <w:rPr>
          <w:rFonts w:ascii="Times New Roman" w:hAnsi="Times New Roman" w:cs="Times New Roman"/>
          <w:sz w:val="28"/>
          <w:szCs w:val="28"/>
        </w:rPr>
        <w:t xml:space="preserve">6. </w:t>
      </w:r>
      <w:proofErr w:type="spellStart"/>
      <w:r w:rsidRPr="00603D69">
        <w:rPr>
          <w:rFonts w:ascii="Times New Roman" w:hAnsi="Times New Roman" w:cs="Times New Roman"/>
          <w:sz w:val="28"/>
          <w:szCs w:val="28"/>
        </w:rPr>
        <w:t>Valproātam</w:t>
      </w:r>
      <w:proofErr w:type="spellEnd"/>
      <w:r w:rsidRPr="00603D69">
        <w:rPr>
          <w:rFonts w:ascii="Times New Roman" w:hAnsi="Times New Roman" w:cs="Times New Roman"/>
          <w:sz w:val="28"/>
          <w:szCs w:val="28"/>
        </w:rPr>
        <w:t xml:space="preserve"> radniecīgas vielas”.</w:t>
      </w:r>
    </w:p>
    <w:p w14:paraId="272F3976" w14:textId="77777777" w:rsidR="00C0421E" w:rsidRPr="00603D69" w:rsidRDefault="00C0421E" w:rsidP="00C0421E">
      <w:pPr>
        <w:ind w:firstLine="720"/>
        <w:jc w:val="both"/>
        <w:rPr>
          <w:rFonts w:ascii="Times New Roman" w:hAnsi="Times New Roman" w:cs="Times New Roman"/>
          <w:sz w:val="28"/>
          <w:szCs w:val="28"/>
        </w:rPr>
      </w:pPr>
    </w:p>
    <w:p w14:paraId="065CD25D" w14:textId="77777777" w:rsidR="009619ED" w:rsidRPr="007D6256" w:rsidRDefault="009619ED" w:rsidP="009619ED">
      <w:pPr>
        <w:tabs>
          <w:tab w:val="right" w:pos="7088"/>
        </w:tabs>
        <w:ind w:right="-766"/>
        <w:rPr>
          <w:rFonts w:ascii="Times New Roman" w:eastAsia="Calibri" w:hAnsi="Times New Roman" w:cs="Times New Roman"/>
          <w:sz w:val="28"/>
          <w:szCs w:val="28"/>
        </w:rPr>
      </w:pPr>
      <w:r w:rsidRPr="007D6256">
        <w:rPr>
          <w:rFonts w:ascii="Times New Roman" w:eastAsia="Calibri" w:hAnsi="Times New Roman" w:cs="Times New Roman"/>
          <w:sz w:val="28"/>
          <w:szCs w:val="28"/>
        </w:rPr>
        <w:t>Ministru prezidents</w:t>
      </w:r>
      <w:r>
        <w:rPr>
          <w:rFonts w:ascii="Times New Roman" w:eastAsia="Calibri" w:hAnsi="Times New Roman" w:cs="Times New Roman"/>
          <w:sz w:val="28"/>
          <w:szCs w:val="28"/>
        </w:rPr>
        <w:t xml:space="preserve">                                                             </w:t>
      </w:r>
      <w:r w:rsidRPr="007D6256">
        <w:rPr>
          <w:rFonts w:ascii="Times New Roman" w:eastAsia="Calibri" w:hAnsi="Times New Roman" w:cs="Times New Roman"/>
          <w:sz w:val="28"/>
          <w:szCs w:val="28"/>
        </w:rPr>
        <w:tab/>
      </w:r>
      <w:r>
        <w:rPr>
          <w:rFonts w:ascii="Times New Roman" w:eastAsia="Calibri" w:hAnsi="Times New Roman" w:cs="Times New Roman"/>
          <w:sz w:val="28"/>
          <w:szCs w:val="28"/>
        </w:rPr>
        <w:t xml:space="preserve">Arturs Krišjānis Kariņš </w:t>
      </w:r>
    </w:p>
    <w:p w14:paraId="31FEFF78" w14:textId="77777777" w:rsidR="009619ED" w:rsidRPr="007D6256" w:rsidRDefault="009619ED" w:rsidP="009619ED">
      <w:pPr>
        <w:tabs>
          <w:tab w:val="left" w:pos="7230"/>
          <w:tab w:val="right" w:pos="9072"/>
        </w:tabs>
        <w:ind w:right="-765"/>
        <w:contextualSpacing/>
        <w:rPr>
          <w:rFonts w:ascii="Times New Roman" w:eastAsia="Calibri" w:hAnsi="Times New Roman" w:cs="Times New Roman"/>
          <w:sz w:val="28"/>
          <w:szCs w:val="28"/>
        </w:rPr>
      </w:pPr>
      <w:r w:rsidRPr="007D6256">
        <w:rPr>
          <w:rFonts w:ascii="Times New Roman" w:eastAsia="Calibri" w:hAnsi="Times New Roman" w:cs="Times New Roman"/>
          <w:sz w:val="28"/>
          <w:szCs w:val="28"/>
        </w:rPr>
        <w:t xml:space="preserve">Veselības ministre </w:t>
      </w:r>
      <w:r w:rsidRPr="007D6256">
        <w:rPr>
          <w:rFonts w:ascii="Times New Roman" w:eastAsia="Calibri" w:hAnsi="Times New Roman" w:cs="Times New Roman"/>
          <w:sz w:val="28"/>
          <w:szCs w:val="28"/>
        </w:rPr>
        <w:tab/>
        <w:t xml:space="preserve">      </w:t>
      </w:r>
      <w:bookmarkStart w:id="5" w:name="_Hlk536785188"/>
      <w:r>
        <w:rPr>
          <w:rFonts w:ascii="Times New Roman" w:eastAsia="Calibri" w:hAnsi="Times New Roman" w:cs="Times New Roman"/>
          <w:sz w:val="28"/>
          <w:szCs w:val="28"/>
        </w:rPr>
        <w:t>Ilze Viņķele</w:t>
      </w:r>
      <w:r w:rsidRPr="007D6256">
        <w:rPr>
          <w:rFonts w:ascii="Times New Roman" w:eastAsia="Calibri" w:hAnsi="Times New Roman" w:cs="Times New Roman"/>
          <w:sz w:val="28"/>
          <w:szCs w:val="28"/>
        </w:rPr>
        <w:t xml:space="preserve"> </w:t>
      </w:r>
      <w:bookmarkEnd w:id="5"/>
      <w:r w:rsidRPr="007D6256">
        <w:rPr>
          <w:rFonts w:ascii="Times New Roman" w:eastAsia="Calibri" w:hAnsi="Times New Roman" w:cs="Times New Roman"/>
          <w:sz w:val="28"/>
          <w:szCs w:val="28"/>
        </w:rPr>
        <w:tab/>
      </w:r>
    </w:p>
    <w:p w14:paraId="1E9B7596" w14:textId="77777777" w:rsidR="009619ED" w:rsidRPr="007D6256" w:rsidRDefault="009619ED" w:rsidP="009619ED">
      <w:pPr>
        <w:tabs>
          <w:tab w:val="right" w:pos="9072"/>
        </w:tabs>
        <w:ind w:right="-765"/>
        <w:contextualSpacing/>
        <w:rPr>
          <w:rFonts w:ascii="Times New Roman" w:eastAsia="Calibri" w:hAnsi="Times New Roman" w:cs="Times New Roman"/>
          <w:sz w:val="28"/>
          <w:szCs w:val="28"/>
        </w:rPr>
      </w:pPr>
    </w:p>
    <w:p w14:paraId="4CFAD0E9" w14:textId="59BC2FF5" w:rsidR="009619ED" w:rsidRDefault="009619ED" w:rsidP="009619ED">
      <w:pPr>
        <w:tabs>
          <w:tab w:val="left" w:pos="7230"/>
          <w:tab w:val="right" w:pos="9072"/>
        </w:tabs>
        <w:ind w:right="-765"/>
        <w:rPr>
          <w:rFonts w:ascii="Times New Roman" w:eastAsia="Calibri" w:hAnsi="Times New Roman" w:cs="Times New Roman"/>
          <w:sz w:val="28"/>
          <w:szCs w:val="28"/>
        </w:rPr>
      </w:pPr>
      <w:r w:rsidRPr="007D6256">
        <w:rPr>
          <w:rFonts w:ascii="Times New Roman" w:eastAsia="Calibri" w:hAnsi="Times New Roman" w:cs="Times New Roman"/>
          <w:sz w:val="28"/>
          <w:szCs w:val="28"/>
        </w:rPr>
        <w:t>Iesniedzējs: Veselības ministre</w:t>
      </w:r>
      <w:r w:rsidRPr="007D6256">
        <w:rPr>
          <w:rFonts w:ascii="Times New Roman" w:eastAsia="Calibri" w:hAnsi="Times New Roman" w:cs="Times New Roman"/>
          <w:sz w:val="28"/>
          <w:szCs w:val="28"/>
        </w:rPr>
        <w:tab/>
        <w:t xml:space="preserve">      </w:t>
      </w:r>
      <w:r w:rsidRPr="00C71E43">
        <w:rPr>
          <w:rFonts w:ascii="Times New Roman" w:eastAsia="Calibri" w:hAnsi="Times New Roman" w:cs="Times New Roman"/>
          <w:sz w:val="28"/>
          <w:szCs w:val="28"/>
        </w:rPr>
        <w:t xml:space="preserve">Ilze Viņķele </w:t>
      </w:r>
    </w:p>
    <w:p w14:paraId="6BFAF583" w14:textId="7651CE43" w:rsidR="003303C5" w:rsidRPr="00C0421E" w:rsidRDefault="009619ED" w:rsidP="00C0421E">
      <w:pPr>
        <w:tabs>
          <w:tab w:val="left" w:pos="7230"/>
          <w:tab w:val="right" w:pos="9072"/>
        </w:tabs>
        <w:ind w:right="-765"/>
      </w:pPr>
      <w:r w:rsidRPr="007D6256">
        <w:rPr>
          <w:rFonts w:ascii="Times New Roman" w:eastAsia="Calibri" w:hAnsi="Times New Roman" w:cs="Times New Roman"/>
          <w:sz w:val="28"/>
          <w:szCs w:val="28"/>
        </w:rPr>
        <w:t>Vīza: Valsts sekretār</w:t>
      </w:r>
      <w:r w:rsidR="00FA2DE2">
        <w:rPr>
          <w:rFonts w:ascii="Times New Roman" w:eastAsia="Calibri" w:hAnsi="Times New Roman" w:cs="Times New Roman"/>
          <w:sz w:val="28"/>
          <w:szCs w:val="28"/>
        </w:rPr>
        <w:t>e</w:t>
      </w:r>
      <w:r w:rsidRPr="007D6256">
        <w:rPr>
          <w:rFonts w:ascii="Times New Roman" w:eastAsia="Calibri" w:hAnsi="Times New Roman" w:cs="Times New Roman"/>
          <w:sz w:val="28"/>
          <w:szCs w:val="28"/>
        </w:rPr>
        <w:t xml:space="preserve">   </w:t>
      </w:r>
      <w:r w:rsidR="00FA2DE2">
        <w:rPr>
          <w:rFonts w:ascii="Times New Roman" w:eastAsia="Calibri" w:hAnsi="Times New Roman" w:cs="Times New Roman"/>
          <w:sz w:val="28"/>
          <w:szCs w:val="28"/>
        </w:rPr>
        <w:t xml:space="preserve">     </w:t>
      </w:r>
      <w:r w:rsidRPr="007D6256">
        <w:rPr>
          <w:rFonts w:ascii="Times New Roman" w:eastAsia="Calibri" w:hAnsi="Times New Roman" w:cs="Times New Roman"/>
          <w:sz w:val="28"/>
          <w:szCs w:val="28"/>
        </w:rPr>
        <w:t xml:space="preserve">                                          Daina Mūrmane-Umbraško</w:t>
      </w:r>
    </w:p>
    <w:sectPr w:rsidR="003303C5" w:rsidRPr="00C0421E" w:rsidSect="00E310AA">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C6E4" w14:textId="77777777" w:rsidR="008C1A7F" w:rsidRDefault="008C1A7F" w:rsidP="00911679">
      <w:pPr>
        <w:spacing w:after="0" w:line="240" w:lineRule="auto"/>
      </w:pPr>
      <w:r>
        <w:separator/>
      </w:r>
    </w:p>
  </w:endnote>
  <w:endnote w:type="continuationSeparator" w:id="0">
    <w:p w14:paraId="64BC1E87" w14:textId="77777777" w:rsidR="008C1A7F" w:rsidRDefault="008C1A7F" w:rsidP="0091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B838" w14:textId="5C97D24E" w:rsidR="00911679" w:rsidRDefault="00911679">
    <w:pPr>
      <w:pStyle w:val="Footer"/>
    </w:pPr>
    <w:r w:rsidRPr="00911679">
      <w:t>VMnot_</w:t>
    </w:r>
    <w:r w:rsidR="00A31608">
      <w:t>01</w:t>
    </w:r>
    <w:r w:rsidR="00A31608" w:rsidRPr="00911679">
      <w:t>0</w:t>
    </w:r>
    <w:r w:rsidR="00A31608">
      <w:t>3</w:t>
    </w:r>
    <w:r w:rsidR="00A31608" w:rsidRPr="00911679">
      <w:t>19</w:t>
    </w:r>
    <w:r w:rsidRPr="00911679">
      <w:t>_groz_MK</w:t>
    </w:r>
    <w:r>
      <w:t>175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DA12" w14:textId="77777777" w:rsidR="008C1A7F" w:rsidRDefault="008C1A7F" w:rsidP="00911679">
      <w:pPr>
        <w:spacing w:after="0" w:line="240" w:lineRule="auto"/>
      </w:pPr>
      <w:r>
        <w:separator/>
      </w:r>
    </w:p>
  </w:footnote>
  <w:footnote w:type="continuationSeparator" w:id="0">
    <w:p w14:paraId="1E9C853D" w14:textId="77777777" w:rsidR="008C1A7F" w:rsidRDefault="008C1A7F" w:rsidP="0091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1B78"/>
    <w:multiLevelType w:val="hybridMultilevel"/>
    <w:tmpl w:val="0A70C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A6652F"/>
    <w:multiLevelType w:val="multilevel"/>
    <w:tmpl w:val="0B120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A3"/>
    <w:rsid w:val="000153ED"/>
    <w:rsid w:val="00031BE5"/>
    <w:rsid w:val="00035D33"/>
    <w:rsid w:val="000454BA"/>
    <w:rsid w:val="0006643F"/>
    <w:rsid w:val="00086AC0"/>
    <w:rsid w:val="000A1515"/>
    <w:rsid w:val="000A67FB"/>
    <w:rsid w:val="001028A3"/>
    <w:rsid w:val="00104E2C"/>
    <w:rsid w:val="00137660"/>
    <w:rsid w:val="001E500F"/>
    <w:rsid w:val="00201D8B"/>
    <w:rsid w:val="00290DBF"/>
    <w:rsid w:val="002C4FA3"/>
    <w:rsid w:val="002E5FC3"/>
    <w:rsid w:val="002E6EF9"/>
    <w:rsid w:val="002F111E"/>
    <w:rsid w:val="00310535"/>
    <w:rsid w:val="00314C6F"/>
    <w:rsid w:val="003303C5"/>
    <w:rsid w:val="00353919"/>
    <w:rsid w:val="003602B5"/>
    <w:rsid w:val="003C1C40"/>
    <w:rsid w:val="003C2126"/>
    <w:rsid w:val="00446FA4"/>
    <w:rsid w:val="004F5DE4"/>
    <w:rsid w:val="00513741"/>
    <w:rsid w:val="00521C10"/>
    <w:rsid w:val="005923D6"/>
    <w:rsid w:val="005A5C15"/>
    <w:rsid w:val="005D26E9"/>
    <w:rsid w:val="00603D69"/>
    <w:rsid w:val="0062131E"/>
    <w:rsid w:val="006417AD"/>
    <w:rsid w:val="006448B9"/>
    <w:rsid w:val="00645726"/>
    <w:rsid w:val="006C6811"/>
    <w:rsid w:val="006D3345"/>
    <w:rsid w:val="006E3619"/>
    <w:rsid w:val="006E4871"/>
    <w:rsid w:val="006E5FF7"/>
    <w:rsid w:val="007538FF"/>
    <w:rsid w:val="00794284"/>
    <w:rsid w:val="007E5337"/>
    <w:rsid w:val="00810F92"/>
    <w:rsid w:val="008868C8"/>
    <w:rsid w:val="008C1A7F"/>
    <w:rsid w:val="008F02AE"/>
    <w:rsid w:val="0090535A"/>
    <w:rsid w:val="00911679"/>
    <w:rsid w:val="009317DC"/>
    <w:rsid w:val="009553D4"/>
    <w:rsid w:val="009619ED"/>
    <w:rsid w:val="00A314C2"/>
    <w:rsid w:val="00A31608"/>
    <w:rsid w:val="00A55035"/>
    <w:rsid w:val="00A913D2"/>
    <w:rsid w:val="00AD1AA4"/>
    <w:rsid w:val="00B0474A"/>
    <w:rsid w:val="00B22C10"/>
    <w:rsid w:val="00B44DC2"/>
    <w:rsid w:val="00BE27B6"/>
    <w:rsid w:val="00C0421E"/>
    <w:rsid w:val="00C12D31"/>
    <w:rsid w:val="00C30A40"/>
    <w:rsid w:val="00C41BAF"/>
    <w:rsid w:val="00C95B0F"/>
    <w:rsid w:val="00CB49A2"/>
    <w:rsid w:val="00D372D5"/>
    <w:rsid w:val="00D46616"/>
    <w:rsid w:val="00D6362B"/>
    <w:rsid w:val="00DF1827"/>
    <w:rsid w:val="00E310AA"/>
    <w:rsid w:val="00E47714"/>
    <w:rsid w:val="00EB11AC"/>
    <w:rsid w:val="00EE6948"/>
    <w:rsid w:val="00EF1132"/>
    <w:rsid w:val="00F72001"/>
    <w:rsid w:val="00F85B7E"/>
    <w:rsid w:val="00FA2DE2"/>
    <w:rsid w:val="00FC5259"/>
    <w:rsid w:val="00FD42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FB9C"/>
  <w15:docId w15:val="{2C91DFBC-A6A5-4437-A093-DBC62E0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AE"/>
    <w:rPr>
      <w:color w:val="0563C1" w:themeColor="hyperlink"/>
      <w:u w:val="single"/>
    </w:rPr>
  </w:style>
  <w:style w:type="paragraph" w:styleId="NoSpacing">
    <w:name w:val="No Spacing"/>
    <w:uiPriority w:val="1"/>
    <w:qFormat/>
    <w:rsid w:val="008F02AE"/>
    <w:pPr>
      <w:spacing w:after="0" w:line="240" w:lineRule="auto"/>
    </w:pPr>
  </w:style>
  <w:style w:type="paragraph" w:styleId="ListParagraph">
    <w:name w:val="List Paragraph"/>
    <w:basedOn w:val="Normal"/>
    <w:uiPriority w:val="34"/>
    <w:qFormat/>
    <w:rsid w:val="008F02AE"/>
    <w:pPr>
      <w:ind w:left="720"/>
      <w:contextualSpacing/>
    </w:pPr>
  </w:style>
  <w:style w:type="paragraph" w:styleId="BalloonText">
    <w:name w:val="Balloon Text"/>
    <w:basedOn w:val="Normal"/>
    <w:link w:val="BalloonTextChar"/>
    <w:uiPriority w:val="99"/>
    <w:semiHidden/>
    <w:unhideWhenUsed/>
    <w:rsid w:val="00F7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01"/>
    <w:rPr>
      <w:rFonts w:ascii="Segoe UI" w:hAnsi="Segoe UI" w:cs="Segoe UI"/>
      <w:sz w:val="18"/>
      <w:szCs w:val="18"/>
    </w:rPr>
  </w:style>
  <w:style w:type="character" w:styleId="CommentReference">
    <w:name w:val="annotation reference"/>
    <w:basedOn w:val="DefaultParagraphFont"/>
    <w:uiPriority w:val="99"/>
    <w:semiHidden/>
    <w:unhideWhenUsed/>
    <w:rsid w:val="002F111E"/>
    <w:rPr>
      <w:sz w:val="16"/>
      <w:szCs w:val="16"/>
    </w:rPr>
  </w:style>
  <w:style w:type="paragraph" w:styleId="CommentText">
    <w:name w:val="annotation text"/>
    <w:basedOn w:val="Normal"/>
    <w:link w:val="CommentTextChar"/>
    <w:uiPriority w:val="99"/>
    <w:semiHidden/>
    <w:unhideWhenUsed/>
    <w:rsid w:val="002F111E"/>
    <w:pPr>
      <w:spacing w:line="240" w:lineRule="auto"/>
    </w:pPr>
    <w:rPr>
      <w:sz w:val="20"/>
      <w:szCs w:val="20"/>
    </w:rPr>
  </w:style>
  <w:style w:type="character" w:customStyle="1" w:styleId="CommentTextChar">
    <w:name w:val="Comment Text Char"/>
    <w:basedOn w:val="DefaultParagraphFont"/>
    <w:link w:val="CommentText"/>
    <w:uiPriority w:val="99"/>
    <w:semiHidden/>
    <w:rsid w:val="002F111E"/>
    <w:rPr>
      <w:sz w:val="20"/>
      <w:szCs w:val="20"/>
    </w:rPr>
  </w:style>
  <w:style w:type="paragraph" w:styleId="CommentSubject">
    <w:name w:val="annotation subject"/>
    <w:basedOn w:val="CommentText"/>
    <w:next w:val="CommentText"/>
    <w:link w:val="CommentSubjectChar"/>
    <w:uiPriority w:val="99"/>
    <w:semiHidden/>
    <w:unhideWhenUsed/>
    <w:rsid w:val="002F111E"/>
    <w:rPr>
      <w:b/>
      <w:bCs/>
    </w:rPr>
  </w:style>
  <w:style w:type="character" w:customStyle="1" w:styleId="CommentSubjectChar">
    <w:name w:val="Comment Subject Char"/>
    <w:basedOn w:val="CommentTextChar"/>
    <w:link w:val="CommentSubject"/>
    <w:uiPriority w:val="99"/>
    <w:semiHidden/>
    <w:rsid w:val="002F111E"/>
    <w:rPr>
      <w:b/>
      <w:bCs/>
      <w:sz w:val="20"/>
      <w:szCs w:val="20"/>
    </w:rPr>
  </w:style>
  <w:style w:type="character" w:styleId="UnresolvedMention">
    <w:name w:val="Unresolved Mention"/>
    <w:basedOn w:val="DefaultParagraphFont"/>
    <w:uiPriority w:val="99"/>
    <w:semiHidden/>
    <w:unhideWhenUsed/>
    <w:rsid w:val="00603D69"/>
    <w:rPr>
      <w:color w:val="808080"/>
      <w:shd w:val="clear" w:color="auto" w:fill="E6E6E6"/>
    </w:rPr>
  </w:style>
  <w:style w:type="paragraph" w:styleId="Header">
    <w:name w:val="header"/>
    <w:basedOn w:val="Normal"/>
    <w:link w:val="HeaderChar"/>
    <w:uiPriority w:val="99"/>
    <w:unhideWhenUsed/>
    <w:rsid w:val="009116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1679"/>
  </w:style>
  <w:style w:type="paragraph" w:styleId="Footer">
    <w:name w:val="footer"/>
    <w:basedOn w:val="Normal"/>
    <w:link w:val="FooterChar"/>
    <w:uiPriority w:val="99"/>
    <w:unhideWhenUsed/>
    <w:rsid w:val="009116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108-arstniecibas-likums" TargetMode="External"/><Relationship Id="rId3" Type="http://schemas.openxmlformats.org/officeDocument/2006/relationships/settings" Target="settings.xml"/><Relationship Id="rId7" Type="http://schemas.openxmlformats.org/officeDocument/2006/relationships/hyperlink" Target="https://likumi.lv/ta/id/44108-arstniecib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40283-par-narkotisko-un-psihotropo-vielu-un-zalu-likumigas-aprites-kar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2705</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2005. gada 8. marta noteikumos Nr. 175 “Recepšu veidlapu izgatavošanas un uzglabāšanas, kā arī recepšu izrakstīšanas un uzglabāšanas noteikumi”</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8. marta noteikumos Nr. 175 “Recepšu veidlapu izgatavošanas un uzglabāšanas, kā arī recepšu izrakstīšanas un uzglabāšanas noteikumi”</dc:title>
  <dc:subject/>
  <dc:creator>Artūrs Grīgs</dc:creator>
  <cp:keywords/>
  <dc:description>Grīgs,  67876116_x000d_
Arturs.Grigs@vm.gov.lv</dc:description>
  <cp:lastModifiedBy>Artūrs Grīgs</cp:lastModifiedBy>
  <cp:revision>5</cp:revision>
  <cp:lastPrinted>2018-09-11T06:00:00Z</cp:lastPrinted>
  <dcterms:created xsi:type="dcterms:W3CDTF">2019-03-01T08:51:00Z</dcterms:created>
  <dcterms:modified xsi:type="dcterms:W3CDTF">2019-03-04T05:52:00Z</dcterms:modified>
</cp:coreProperties>
</file>