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Default="00422589" w:rsidP="00760B61">
      <w:pPr>
        <w:spacing w:after="0" w:line="240" w:lineRule="auto"/>
        <w:jc w:val="center"/>
        <w:rPr>
          <w:rFonts w:ascii="Times New Roman" w:hAnsi="Times New Roman"/>
          <w:b/>
          <w:sz w:val="28"/>
          <w:szCs w:val="28"/>
        </w:rPr>
      </w:pPr>
      <w:bookmarkStart w:id="0" w:name="OLE_LINK1"/>
      <w:bookmarkStart w:id="1" w:name="OLE_LINK2"/>
      <w:r w:rsidRPr="000179E0">
        <w:rPr>
          <w:rFonts w:ascii="Times New Roman" w:hAnsi="Times New Roman"/>
          <w:b/>
          <w:sz w:val="28"/>
          <w:szCs w:val="28"/>
        </w:rPr>
        <w:t xml:space="preserve">Ministru kabineta noteikumu projekts </w:t>
      </w:r>
      <w:r w:rsidR="00CC0F36" w:rsidRPr="000179E0">
        <w:rPr>
          <w:rFonts w:ascii="Times New Roman" w:hAnsi="Times New Roman"/>
          <w:b/>
          <w:sz w:val="28"/>
          <w:szCs w:val="28"/>
        </w:rPr>
        <w:t xml:space="preserve">„Grozījumi Ministru kabineta </w:t>
      </w:r>
      <w:proofErr w:type="gramStart"/>
      <w:r w:rsidR="00CC0F36" w:rsidRPr="000179E0">
        <w:rPr>
          <w:rFonts w:ascii="Times New Roman" w:hAnsi="Times New Roman"/>
          <w:b/>
          <w:sz w:val="28"/>
          <w:szCs w:val="28"/>
        </w:rPr>
        <w:t>2013.gada</w:t>
      </w:r>
      <w:proofErr w:type="gramEnd"/>
      <w:r w:rsidR="00CC0F36" w:rsidRPr="000179E0">
        <w:rPr>
          <w:rFonts w:ascii="Times New Roman" w:hAnsi="Times New Roman"/>
          <w:b/>
          <w:sz w:val="28"/>
          <w:szCs w:val="28"/>
        </w:rPr>
        <w:t xml:space="preserve"> 17.decembra noteikumos Nr.1524 </w:t>
      </w:r>
      <w:r w:rsidRPr="000179E0">
        <w:rPr>
          <w:rFonts w:ascii="Times New Roman" w:hAnsi="Times New Roman"/>
          <w:b/>
          <w:sz w:val="28"/>
          <w:szCs w:val="28"/>
        </w:rPr>
        <w:t>„Noteikumi par valsts atbalstu lauksaimniecībai”</w:t>
      </w:r>
      <w:r w:rsidR="00CC0F36" w:rsidRPr="000179E0">
        <w:rPr>
          <w:rFonts w:ascii="Times New Roman" w:hAnsi="Times New Roman"/>
          <w:b/>
          <w:sz w:val="28"/>
          <w:szCs w:val="28"/>
        </w:rPr>
        <w:t>”</w:t>
      </w:r>
      <w:r w:rsidRPr="000179E0">
        <w:rPr>
          <w:rFonts w:ascii="Times New Roman" w:hAnsi="Times New Roman"/>
          <w:b/>
          <w:sz w:val="28"/>
          <w:szCs w:val="28"/>
        </w:rPr>
        <w:t xml:space="preserve"> </w:t>
      </w:r>
      <w:r w:rsidRPr="000179E0">
        <w:rPr>
          <w:rFonts w:ascii="Times New Roman" w:hAnsi="Times New Roman"/>
          <w:b/>
          <w:bCs/>
          <w:sz w:val="28"/>
          <w:szCs w:val="28"/>
        </w:rPr>
        <w:t>sākotnējās ietekmes novērtējuma ziņojums</w:t>
      </w:r>
      <w:r w:rsidRPr="000179E0">
        <w:rPr>
          <w:rFonts w:ascii="Times New Roman" w:hAnsi="Times New Roman"/>
          <w:b/>
          <w:sz w:val="28"/>
          <w:szCs w:val="28"/>
        </w:rPr>
        <w:t xml:space="preserve"> (anotācija)</w:t>
      </w:r>
      <w:bookmarkEnd w:id="0"/>
      <w:bookmarkEnd w:id="1"/>
    </w:p>
    <w:p w:rsidR="000179E0" w:rsidRPr="000179E0" w:rsidRDefault="000179E0" w:rsidP="00760B61">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B91A42"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B91A42" w:rsidRPr="0073509D" w:rsidRDefault="00B91A42" w:rsidP="00B91A42">
            <w:pPr>
              <w:spacing w:after="0" w:line="240" w:lineRule="auto"/>
              <w:jc w:val="center"/>
              <w:rPr>
                <w:rFonts w:ascii="Times New Roman" w:hAnsi="Times New Roman" w:cs="Times New Roman"/>
                <w:b/>
                <w:bCs/>
                <w:sz w:val="24"/>
                <w:szCs w:val="24"/>
              </w:rPr>
            </w:pPr>
            <w:r w:rsidRPr="0073509D">
              <w:rPr>
                <w:rFonts w:ascii="Times New Roman" w:hAnsi="Times New Roman" w:cs="Times New Roman"/>
                <w:b/>
                <w:bCs/>
                <w:sz w:val="24"/>
                <w:szCs w:val="24"/>
              </w:rPr>
              <w:t>Tiesību akta projekta anotācijas kopsavilkums</w:t>
            </w:r>
          </w:p>
        </w:tc>
      </w:tr>
      <w:tr w:rsidR="00B91A42" w:rsidRPr="00B91A42" w:rsidTr="00B91A42">
        <w:tc>
          <w:tcPr>
            <w:tcW w:w="1647" w:type="pct"/>
            <w:tcBorders>
              <w:top w:val="outset" w:sz="6" w:space="0" w:color="414142"/>
              <w:left w:val="outset" w:sz="6" w:space="0" w:color="414142"/>
              <w:bottom w:val="outset" w:sz="6" w:space="0" w:color="414142"/>
              <w:right w:val="outset" w:sz="6" w:space="0" w:color="414142"/>
            </w:tcBorders>
            <w:hideMark/>
          </w:tcPr>
          <w:p w:rsidR="00B91A42" w:rsidRPr="0073509D" w:rsidRDefault="00B91A42" w:rsidP="0073509D">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rsidR="00B91A42" w:rsidRDefault="0073509D" w:rsidP="00A12344">
            <w:pPr>
              <w:spacing w:after="0" w:line="240" w:lineRule="auto"/>
              <w:jc w:val="both"/>
              <w:rPr>
                <w:rFonts w:ascii="Times New Roman" w:eastAsia="Calibri" w:hAnsi="Times New Roman" w:cs="Times New Roman"/>
                <w:sz w:val="24"/>
                <w:szCs w:val="24"/>
                <w:lang w:eastAsia="en-US"/>
              </w:rPr>
            </w:pPr>
            <w:r w:rsidRPr="0073509D">
              <w:rPr>
                <w:rFonts w:ascii="Times New Roman" w:hAnsi="Times New Roman" w:cs="Times New Roman"/>
                <w:sz w:val="24"/>
                <w:szCs w:val="24"/>
              </w:rPr>
              <w:t>Ministru kabineta noteikumu projekt</w:t>
            </w:r>
            <w:r>
              <w:rPr>
                <w:rFonts w:ascii="Times New Roman" w:hAnsi="Times New Roman" w:cs="Times New Roman"/>
                <w:sz w:val="24"/>
                <w:szCs w:val="24"/>
              </w:rPr>
              <w:t>a</w:t>
            </w:r>
            <w:r w:rsidRPr="0073509D">
              <w:rPr>
                <w:rFonts w:ascii="Times New Roman" w:hAnsi="Times New Roman" w:cs="Times New Roman"/>
                <w:sz w:val="24"/>
                <w:szCs w:val="24"/>
              </w:rPr>
              <w:t xml:space="preserve"> „Grozījumi Ministru kabineta 2013.gada 17.decembra noteikumos Nr.1524 „Noteikumi par valsts atbalstu lauksaimniecībai””</w:t>
            </w:r>
            <w:r>
              <w:rPr>
                <w:rFonts w:ascii="Times New Roman" w:hAnsi="Times New Roman" w:cs="Times New Roman"/>
                <w:sz w:val="24"/>
                <w:szCs w:val="24"/>
              </w:rPr>
              <w:t xml:space="preserve"> mērķis ir sadalīt 201</w:t>
            </w:r>
            <w:r w:rsidR="00BC6DF0">
              <w:rPr>
                <w:rFonts w:ascii="Times New Roman" w:hAnsi="Times New Roman" w:cs="Times New Roman"/>
                <w:sz w:val="24"/>
                <w:szCs w:val="24"/>
              </w:rPr>
              <w:t>9</w:t>
            </w:r>
            <w:r>
              <w:rPr>
                <w:rFonts w:ascii="Times New Roman" w:hAnsi="Times New Roman" w:cs="Times New Roman"/>
                <w:sz w:val="24"/>
                <w:szCs w:val="24"/>
              </w:rPr>
              <w:t xml:space="preserve">.gada </w:t>
            </w:r>
            <w:r w:rsidRPr="0073509D">
              <w:rPr>
                <w:rFonts w:ascii="Times New Roman" w:hAnsi="Times New Roman" w:cs="Times New Roman"/>
                <w:bCs/>
                <w:sz w:val="24"/>
                <w:szCs w:val="24"/>
              </w:rPr>
              <w:t>finansējum</w:t>
            </w:r>
            <w:r>
              <w:rPr>
                <w:rFonts w:ascii="Times New Roman" w:hAnsi="Times New Roman" w:cs="Times New Roman"/>
                <w:bCs/>
                <w:sz w:val="24"/>
                <w:szCs w:val="24"/>
              </w:rPr>
              <w:t>u</w:t>
            </w:r>
            <w:r w:rsidRPr="0073509D">
              <w:rPr>
                <w:rFonts w:ascii="Times New Roman" w:hAnsi="Times New Roman" w:cs="Times New Roman"/>
                <w:bCs/>
                <w:sz w:val="24"/>
                <w:szCs w:val="24"/>
              </w:rPr>
              <w:t xml:space="preserve"> 8 720 490 </w:t>
            </w:r>
            <w:r w:rsidRPr="0073509D">
              <w:rPr>
                <w:rFonts w:ascii="Times New Roman" w:hAnsi="Times New Roman" w:cs="Times New Roman"/>
                <w:bCs/>
                <w:i/>
                <w:sz w:val="24"/>
                <w:szCs w:val="24"/>
              </w:rPr>
              <w:t>euro</w:t>
            </w:r>
            <w:r>
              <w:rPr>
                <w:rFonts w:ascii="Times New Roman" w:hAnsi="Times New Roman" w:cs="Times New Roman"/>
                <w:sz w:val="24"/>
                <w:szCs w:val="24"/>
              </w:rPr>
              <w:t xml:space="preserve">. Noteikumu projektā plānotais finansējums ir paredzēts lopkopības un augkopības attīstībai, </w:t>
            </w:r>
            <w:r w:rsidRPr="0073509D">
              <w:rPr>
                <w:rFonts w:ascii="Times New Roman" w:hAnsi="Times New Roman" w:cs="Times New Roman"/>
                <w:sz w:val="24"/>
                <w:szCs w:val="24"/>
              </w:rPr>
              <w:t>starptauti</w:t>
            </w:r>
            <w:r>
              <w:rPr>
                <w:rFonts w:ascii="Times New Roman" w:hAnsi="Times New Roman" w:cs="Times New Roman"/>
                <w:sz w:val="24"/>
                <w:szCs w:val="24"/>
              </w:rPr>
              <w:t xml:space="preserve">skai un savstarpējai sadarbībai, tirgus veicināšanai, dalībai </w:t>
            </w:r>
            <w:r w:rsidRPr="00726B5C">
              <w:rPr>
                <w:rFonts w:ascii="Times New Roman" w:eastAsia="Calibri" w:hAnsi="Times New Roman" w:cs="Times New Roman"/>
                <w:sz w:val="24"/>
                <w:szCs w:val="24"/>
                <w:lang w:eastAsia="en-US"/>
              </w:rPr>
              <w:t>naci</w:t>
            </w:r>
            <w:r w:rsidR="00A12344">
              <w:rPr>
                <w:rFonts w:ascii="Times New Roman" w:eastAsia="Calibri" w:hAnsi="Times New Roman" w:cs="Times New Roman"/>
                <w:sz w:val="24"/>
                <w:szCs w:val="24"/>
                <w:lang w:eastAsia="en-US"/>
              </w:rPr>
              <w:t xml:space="preserve">onālās pārtikas kvalitātes shēmās un </w:t>
            </w:r>
            <w:r w:rsidR="00A12344" w:rsidRPr="00726B5C">
              <w:rPr>
                <w:rFonts w:ascii="Times New Roman" w:eastAsia="Calibri" w:hAnsi="Times New Roman" w:cs="Times New Roman"/>
                <w:sz w:val="24"/>
                <w:szCs w:val="24"/>
                <w:lang w:eastAsia="en-US"/>
              </w:rPr>
              <w:t>iepriekšējā gadā uzsākto atbalsta pasākumu izpildes finansēšanai</w:t>
            </w:r>
            <w:r w:rsidR="00A12344">
              <w:rPr>
                <w:rFonts w:ascii="Times New Roman" w:eastAsia="Calibri" w:hAnsi="Times New Roman" w:cs="Times New Roman"/>
                <w:sz w:val="24"/>
                <w:szCs w:val="24"/>
                <w:lang w:eastAsia="en-US"/>
              </w:rPr>
              <w:t>.</w:t>
            </w:r>
          </w:p>
          <w:p w:rsidR="00A12344" w:rsidRPr="0073509D" w:rsidRDefault="00A12344" w:rsidP="00BC6DF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Noteikum</w:t>
            </w:r>
            <w:r w:rsidR="00CF7196">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projekta spēkā stāšanās laiks plānots līdz 201</w:t>
            </w:r>
            <w:r w:rsidR="00BC6DF0">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.gada 5.februārim.</w:t>
            </w:r>
          </w:p>
        </w:tc>
      </w:tr>
    </w:tbl>
    <w:p w:rsidR="00472586" w:rsidRPr="008D575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DD49B6" w:rsidTr="00002603">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002603">
        <w:trPr>
          <w:trHeight w:val="415"/>
        </w:trPr>
        <w:tc>
          <w:tcPr>
            <w:tcW w:w="226" w:type="pct"/>
          </w:tcPr>
          <w:p w:rsidR="000330A2" w:rsidRPr="00DD49B6" w:rsidRDefault="000330A2" w:rsidP="00B84678">
            <w:pPr>
              <w:pStyle w:val="naiskr"/>
              <w:spacing w:before="0" w:beforeAutospacing="0" w:after="0" w:afterAutospacing="0"/>
              <w:ind w:left="57" w:right="57"/>
              <w:jc w:val="center"/>
            </w:pPr>
            <w:r w:rsidRPr="00DD49B6">
              <w:t>1.</w:t>
            </w:r>
          </w:p>
        </w:tc>
        <w:tc>
          <w:tcPr>
            <w:tcW w:w="1257" w:type="pct"/>
          </w:tcPr>
          <w:p w:rsidR="000330A2" w:rsidRPr="00DD49B6" w:rsidRDefault="000330A2" w:rsidP="00B84678">
            <w:pPr>
              <w:pStyle w:val="naiskr"/>
              <w:spacing w:before="0" w:beforeAutospacing="0" w:after="0" w:afterAutospacing="0"/>
              <w:ind w:left="57" w:right="57"/>
            </w:pPr>
            <w:r w:rsidRPr="00DD49B6">
              <w:t>Pamatojums</w:t>
            </w:r>
          </w:p>
        </w:tc>
        <w:tc>
          <w:tcPr>
            <w:tcW w:w="3517" w:type="pct"/>
          </w:tcPr>
          <w:p w:rsidR="000330A2" w:rsidRPr="00DD49B6" w:rsidRDefault="00726B5C" w:rsidP="00F936EB">
            <w:pPr>
              <w:spacing w:after="0" w:line="240" w:lineRule="auto"/>
              <w:ind w:left="57" w:right="57"/>
              <w:jc w:val="both"/>
              <w:rPr>
                <w:rFonts w:ascii="Times New Roman" w:hAnsi="Times New Roman" w:cs="Times New Roman"/>
                <w:sz w:val="24"/>
                <w:szCs w:val="24"/>
                <w:shd w:val="clear" w:color="auto" w:fill="FFFFFF"/>
              </w:rPr>
            </w:pPr>
            <w:r w:rsidRPr="00726B5C">
              <w:rPr>
                <w:rFonts w:ascii="Times New Roman" w:eastAsia="Times New Roman" w:hAnsi="Times New Roman" w:cs="Times New Roman"/>
                <w:sz w:val="24"/>
                <w:szCs w:val="24"/>
              </w:rPr>
              <w:t>Lauksaimniecības un lauku attīstības likuma 5.panta 3.</w:t>
            </w:r>
            <w:r w:rsidRPr="00726B5C">
              <w:rPr>
                <w:rFonts w:ascii="Times New Roman" w:eastAsia="Times New Roman" w:hAnsi="Times New Roman" w:cs="Times New Roman"/>
                <w:sz w:val="24"/>
                <w:szCs w:val="24"/>
                <w:vertAlign w:val="superscript"/>
              </w:rPr>
              <w:t>1</w:t>
            </w:r>
            <w:r w:rsidRPr="00726B5C">
              <w:rPr>
                <w:rFonts w:ascii="Times New Roman" w:eastAsia="Times New Roman" w:hAnsi="Times New Roman" w:cs="Times New Roman"/>
                <w:sz w:val="24"/>
                <w:szCs w:val="24"/>
              </w:rPr>
              <w:t xml:space="preserve"> un ceturt</w:t>
            </w:r>
            <w:r w:rsidR="006C485A">
              <w:rPr>
                <w:rFonts w:ascii="Times New Roman" w:eastAsia="Times New Roman" w:hAnsi="Times New Roman" w:cs="Times New Roman"/>
                <w:sz w:val="24"/>
                <w:szCs w:val="24"/>
              </w:rPr>
              <w:t>ā</w:t>
            </w:r>
            <w:r w:rsidRPr="00726B5C">
              <w:rPr>
                <w:rFonts w:ascii="Times New Roman" w:eastAsia="Times New Roman" w:hAnsi="Times New Roman" w:cs="Times New Roman"/>
                <w:sz w:val="24"/>
                <w:szCs w:val="24"/>
              </w:rPr>
              <w:t xml:space="preserve"> daļa un</w:t>
            </w:r>
            <w:r w:rsidR="00BC6DF0" w:rsidRPr="00BC6DF0">
              <w:rPr>
                <w:rFonts w:ascii="Times New Roman" w:eastAsia="Calibri" w:hAnsi="Times New Roman" w:cs="Times New Roman"/>
                <w:sz w:val="24"/>
                <w:szCs w:val="24"/>
                <w:lang w:eastAsia="en-US"/>
              </w:rPr>
              <w:t xml:space="preserve"> </w:t>
            </w:r>
            <w:r w:rsidR="00BC6DF0" w:rsidRPr="00BC6DF0">
              <w:rPr>
                <w:rFonts w:ascii="Times New Roman" w:eastAsia="Times New Roman" w:hAnsi="Times New Roman" w:cs="Times New Roman"/>
                <w:sz w:val="24"/>
                <w:szCs w:val="24"/>
              </w:rPr>
              <w:t>Finanšu ministrijas 2018. gada 18. decembra rīkojum</w:t>
            </w:r>
            <w:r w:rsidR="00BC6DF0">
              <w:rPr>
                <w:rFonts w:ascii="Times New Roman" w:eastAsia="Times New Roman" w:hAnsi="Times New Roman" w:cs="Times New Roman"/>
                <w:sz w:val="24"/>
                <w:szCs w:val="24"/>
              </w:rPr>
              <w:t>s</w:t>
            </w:r>
            <w:r w:rsidR="00BC6DF0" w:rsidRPr="00BC6DF0">
              <w:rPr>
                <w:rFonts w:ascii="Times New Roman" w:eastAsia="Times New Roman" w:hAnsi="Times New Roman" w:cs="Times New Roman"/>
                <w:sz w:val="24"/>
                <w:szCs w:val="24"/>
              </w:rPr>
              <w:t xml:space="preserve"> Nr.488 “Par valsts pagaidu budžetu 2019. gadam”</w:t>
            </w:r>
            <w:r w:rsidR="00BC6DF0">
              <w:rPr>
                <w:rFonts w:ascii="Times New Roman" w:eastAsia="Times New Roman" w:hAnsi="Times New Roman" w:cs="Times New Roman"/>
                <w:sz w:val="24"/>
                <w:szCs w:val="24"/>
              </w:rPr>
              <w:t>.</w:t>
            </w:r>
          </w:p>
        </w:tc>
      </w:tr>
      <w:tr w:rsidR="000330A2" w:rsidRPr="00DD49B6" w:rsidTr="00002603">
        <w:trPr>
          <w:trHeight w:val="472"/>
        </w:trPr>
        <w:tc>
          <w:tcPr>
            <w:tcW w:w="226" w:type="pct"/>
          </w:tcPr>
          <w:p w:rsidR="000330A2" w:rsidRPr="00DD49B6" w:rsidRDefault="000330A2" w:rsidP="00B84678">
            <w:pPr>
              <w:pStyle w:val="naiskr"/>
              <w:spacing w:before="0" w:beforeAutospacing="0" w:after="0" w:afterAutospacing="0"/>
              <w:ind w:left="57" w:right="57"/>
              <w:jc w:val="center"/>
            </w:pPr>
            <w:r w:rsidRPr="00DD49B6">
              <w:t>2.</w:t>
            </w:r>
          </w:p>
        </w:tc>
        <w:tc>
          <w:tcPr>
            <w:tcW w:w="1257" w:type="pct"/>
          </w:tcPr>
          <w:p w:rsidR="000330A2" w:rsidRPr="007F2196" w:rsidRDefault="00726B5C" w:rsidP="00726B5C">
            <w:pPr>
              <w:spacing w:line="240" w:lineRule="auto"/>
            </w:pPr>
            <w:r w:rsidRPr="00726B5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rsidR="00726B5C" w:rsidRPr="00726B5C" w:rsidRDefault="00726B5C" w:rsidP="00726B5C">
            <w:pPr>
              <w:spacing w:after="0" w:line="240" w:lineRule="auto"/>
              <w:ind w:firstLine="156"/>
              <w:jc w:val="both"/>
              <w:rPr>
                <w:rFonts w:ascii="Times New Roman" w:eastAsia="Calibri" w:hAnsi="Times New Roman" w:cs="Times New Roman"/>
                <w:sz w:val="24"/>
                <w:lang w:eastAsia="en-US"/>
              </w:rPr>
            </w:pPr>
            <w:r w:rsidRPr="00726B5C">
              <w:rPr>
                <w:rFonts w:ascii="Times New Roman" w:eastAsia="Calibri" w:hAnsi="Times New Roman" w:cs="Times New Roman"/>
                <w:sz w:val="24"/>
                <w:lang w:eastAsia="en-US"/>
              </w:rPr>
              <w:t xml:space="preserve">Sagatavotais </w:t>
            </w:r>
            <w:r w:rsidR="00A12344" w:rsidRPr="0073509D">
              <w:rPr>
                <w:rFonts w:ascii="Times New Roman" w:hAnsi="Times New Roman" w:cs="Times New Roman"/>
                <w:sz w:val="24"/>
                <w:szCs w:val="24"/>
              </w:rPr>
              <w:t>Ministru kabineta noteikumu projekt</w:t>
            </w:r>
            <w:r w:rsidR="006C485A">
              <w:rPr>
                <w:rFonts w:ascii="Times New Roman" w:hAnsi="Times New Roman" w:cs="Times New Roman"/>
                <w:sz w:val="24"/>
                <w:szCs w:val="24"/>
              </w:rPr>
              <w:t>s</w:t>
            </w:r>
            <w:r w:rsidR="00A12344" w:rsidRPr="0073509D">
              <w:rPr>
                <w:rFonts w:ascii="Times New Roman" w:hAnsi="Times New Roman" w:cs="Times New Roman"/>
                <w:sz w:val="24"/>
                <w:szCs w:val="24"/>
              </w:rPr>
              <w:t xml:space="preserve"> „Grozījumi Ministru kabineta 2013.gada 17.decembra noteikumos Nr.1524 „Noteikumi par valsts atbalstu lauksaimniecībai””</w:t>
            </w:r>
            <w:r w:rsidR="00A12344">
              <w:rPr>
                <w:rFonts w:ascii="Times New Roman" w:hAnsi="Times New Roman" w:cs="Times New Roman"/>
                <w:sz w:val="24"/>
                <w:szCs w:val="24"/>
              </w:rPr>
              <w:t xml:space="preserve"> (turpmāk –   </w:t>
            </w:r>
            <w:r w:rsidRPr="00726B5C">
              <w:rPr>
                <w:rFonts w:ascii="Times New Roman" w:eastAsia="Calibri" w:hAnsi="Times New Roman" w:cs="Times New Roman"/>
                <w:sz w:val="24"/>
                <w:lang w:eastAsia="en-US"/>
              </w:rPr>
              <w:t>noteikumu projekts</w:t>
            </w:r>
            <w:r w:rsidR="00A12344">
              <w:rPr>
                <w:rFonts w:ascii="Times New Roman" w:eastAsia="Calibri" w:hAnsi="Times New Roman" w:cs="Times New Roman"/>
                <w:sz w:val="24"/>
                <w:lang w:eastAsia="en-US"/>
              </w:rPr>
              <w:t>)</w:t>
            </w:r>
            <w:r w:rsidRPr="00726B5C">
              <w:rPr>
                <w:rFonts w:ascii="Times New Roman" w:eastAsia="Calibri" w:hAnsi="Times New Roman" w:cs="Times New Roman"/>
                <w:sz w:val="24"/>
                <w:lang w:eastAsia="en-US"/>
              </w:rPr>
              <w:t xml:space="preserve"> attiecas uz dabas resursu, lauksaimnieciskās ražošanas un pārstrādes politikas jomu.</w:t>
            </w:r>
          </w:p>
          <w:p w:rsidR="00726B5C" w:rsidRPr="00726B5C" w:rsidRDefault="00726B5C" w:rsidP="00726B5C">
            <w:pPr>
              <w:spacing w:after="0" w:line="240" w:lineRule="auto"/>
              <w:ind w:firstLine="156"/>
              <w:jc w:val="both"/>
              <w:rPr>
                <w:rFonts w:ascii="Times New Roman" w:eastAsia="Calibri" w:hAnsi="Times New Roman" w:cs="Times New Roman"/>
                <w:sz w:val="24"/>
                <w:lang w:eastAsia="en-US"/>
              </w:rPr>
            </w:pPr>
            <w:r w:rsidRPr="00726B5C">
              <w:rPr>
                <w:rFonts w:ascii="Times New Roman" w:eastAsia="Calibri" w:hAnsi="Times New Roman" w:cs="Times New Roman"/>
                <w:sz w:val="24"/>
                <w:lang w:eastAsia="en-US"/>
              </w:rPr>
              <w:t>Pašlaik spēkā ir Ministru kabineta 2013.gada 17.decembra noteikumi Nr.1524 „Noteikumi par valsts atbalstu lauksaimniecībai” (turpmāk – noteikumi Nr.1524).</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201</w:t>
            </w:r>
            <w:r w:rsidR="00F936EB">
              <w:rPr>
                <w:rFonts w:ascii="Times New Roman" w:eastAsia="Calibri" w:hAnsi="Times New Roman" w:cs="Times New Roman"/>
                <w:sz w:val="24"/>
                <w:szCs w:val="24"/>
                <w:lang w:eastAsia="en-US"/>
              </w:rPr>
              <w:t>9</w:t>
            </w:r>
            <w:r w:rsidRPr="00726B5C">
              <w:rPr>
                <w:rFonts w:ascii="Times New Roman" w:eastAsia="Calibri" w:hAnsi="Times New Roman" w:cs="Times New Roman"/>
                <w:sz w:val="24"/>
                <w:szCs w:val="24"/>
                <w:lang w:eastAsia="en-US"/>
              </w:rPr>
              <w:t xml:space="preserve">.gadam Zemkopības ministrijas budžeta </w:t>
            </w:r>
            <w:r w:rsidRPr="00726B5C">
              <w:rPr>
                <w:rFonts w:ascii="Times New Roman" w:eastAsia="Calibri" w:hAnsi="Times New Roman" w:cs="Times New Roman"/>
                <w:bCs/>
                <w:color w:val="000000"/>
                <w:sz w:val="24"/>
                <w:szCs w:val="24"/>
              </w:rPr>
              <w:t xml:space="preserve">apakšprogrammā </w:t>
            </w:r>
            <w:r w:rsidRPr="00726B5C">
              <w:rPr>
                <w:rFonts w:ascii="Times New Roman" w:eastAsia="Calibri" w:hAnsi="Times New Roman" w:cs="Times New Roman"/>
                <w:sz w:val="24"/>
                <w:szCs w:val="24"/>
                <w:lang w:eastAsia="en-US"/>
              </w:rPr>
              <w:t>21.01.00 „Valsts atbalsts lauksaimniecībai un lauku attīstībai”</w:t>
            </w:r>
            <w:r w:rsidRPr="00726B5C">
              <w:rPr>
                <w:rFonts w:ascii="Times New Roman" w:eastAsia="Calibri" w:hAnsi="Times New Roman" w:cs="Times New Roman"/>
                <w:bCs/>
                <w:color w:val="000000"/>
                <w:sz w:val="24"/>
                <w:szCs w:val="24"/>
              </w:rPr>
              <w:t xml:space="preserve"> valsts atbalstam subsīdiju veidā paredzētais finansējums ir 8</w:t>
            </w:r>
            <w:r w:rsidR="006C485A">
              <w:rPr>
                <w:rFonts w:ascii="Times New Roman" w:eastAsia="Calibri" w:hAnsi="Times New Roman" w:cs="Times New Roman"/>
                <w:bCs/>
                <w:color w:val="000000"/>
                <w:sz w:val="24"/>
                <w:szCs w:val="24"/>
              </w:rPr>
              <w:t> </w:t>
            </w:r>
            <w:r w:rsidRPr="00726B5C">
              <w:rPr>
                <w:rFonts w:ascii="Times New Roman" w:eastAsia="Calibri" w:hAnsi="Times New Roman" w:cs="Times New Roman"/>
                <w:bCs/>
                <w:color w:val="000000"/>
                <w:sz w:val="24"/>
                <w:szCs w:val="24"/>
              </w:rPr>
              <w:t>720</w:t>
            </w:r>
            <w:r w:rsidR="006C485A">
              <w:rPr>
                <w:rFonts w:ascii="Times New Roman" w:eastAsia="Calibri" w:hAnsi="Times New Roman" w:cs="Times New Roman"/>
                <w:bCs/>
                <w:color w:val="000000"/>
                <w:sz w:val="24"/>
                <w:szCs w:val="24"/>
              </w:rPr>
              <w:t> </w:t>
            </w:r>
            <w:r w:rsidRPr="00726B5C">
              <w:rPr>
                <w:rFonts w:ascii="Times New Roman" w:eastAsia="Calibri" w:hAnsi="Times New Roman" w:cs="Times New Roman"/>
                <w:bCs/>
                <w:color w:val="000000"/>
                <w:sz w:val="24"/>
                <w:szCs w:val="24"/>
              </w:rPr>
              <w:t xml:space="preserve">490 </w:t>
            </w:r>
            <w:r w:rsidRPr="00726B5C">
              <w:rPr>
                <w:rFonts w:ascii="Times New Roman" w:eastAsia="Calibri" w:hAnsi="Times New Roman" w:cs="Times New Roman"/>
                <w:bCs/>
                <w:i/>
                <w:color w:val="000000"/>
                <w:sz w:val="24"/>
                <w:szCs w:val="24"/>
              </w:rPr>
              <w:t>euro</w:t>
            </w:r>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w:t>
            </w:r>
            <w:r w:rsidR="006C485A" w:rsidRPr="00726B5C">
              <w:rPr>
                <w:rFonts w:ascii="Times New Roman" w:eastAsia="Calibri" w:hAnsi="Times New Roman" w:cs="Times New Roman"/>
                <w:sz w:val="24"/>
                <w:szCs w:val="24"/>
                <w:lang w:eastAsia="en-US"/>
              </w:rPr>
              <w:t xml:space="preserve">valsts atbalsts </w:t>
            </w:r>
            <w:r w:rsidRPr="00726B5C">
              <w:rPr>
                <w:rFonts w:ascii="Times New Roman" w:eastAsia="Calibri" w:hAnsi="Times New Roman" w:cs="Times New Roman"/>
                <w:sz w:val="24"/>
                <w:szCs w:val="24"/>
                <w:lang w:eastAsia="en-US"/>
              </w:rPr>
              <w:t>ļoti būtisks ir jomās, kas stimulētu lauksaimnieka dzīvotspēju un konkurētspēju</w:t>
            </w:r>
            <w:r w:rsidR="006C485A">
              <w:rPr>
                <w:rFonts w:ascii="Times New Roman" w:eastAsia="Calibri" w:hAnsi="Times New Roman" w:cs="Times New Roman"/>
                <w:sz w:val="24"/>
                <w:szCs w:val="24"/>
                <w:lang w:eastAsia="en-US"/>
              </w:rPr>
              <w:t>,</w:t>
            </w:r>
            <w:r w:rsidRPr="00726B5C">
              <w:rPr>
                <w:rFonts w:ascii="Times New Roman" w:eastAsia="Calibri" w:hAnsi="Times New Roman" w:cs="Times New Roman"/>
                <w:sz w:val="24"/>
                <w:szCs w:val="24"/>
                <w:lang w:eastAsia="en-US"/>
              </w:rPr>
              <w:t xml:space="preserve"> </w:t>
            </w:r>
            <w:r w:rsidR="006C485A">
              <w:rPr>
                <w:rFonts w:ascii="Times New Roman" w:eastAsia="Calibri" w:hAnsi="Times New Roman" w:cs="Times New Roman"/>
                <w:sz w:val="24"/>
                <w:szCs w:val="24"/>
                <w:lang w:eastAsia="en-US"/>
              </w:rPr>
              <w:t>t</w:t>
            </w:r>
            <w:r w:rsidRPr="00726B5C">
              <w:rPr>
                <w:rFonts w:ascii="Times New Roman" w:eastAsia="Calibri" w:hAnsi="Times New Roman" w:cs="Times New Roman"/>
                <w:sz w:val="24"/>
                <w:szCs w:val="24"/>
                <w:lang w:eastAsia="en-US"/>
              </w:rPr>
              <w:t>āpēc saskaņā ar noteikumu projekta 1.punktu pieejamais finansējums galvenokārt novirzīts šādiem pasākumiem:</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1) lopkopības attīstībai – </w:t>
            </w:r>
            <w:r w:rsidR="00BB1C96">
              <w:rPr>
                <w:rFonts w:ascii="Times New Roman" w:eastAsia="Calibri" w:hAnsi="Times New Roman" w:cs="Times New Roman"/>
                <w:sz w:val="24"/>
                <w:szCs w:val="24"/>
                <w:lang w:eastAsia="en-US"/>
              </w:rPr>
              <w:t>6 107 195</w:t>
            </w:r>
            <w:r w:rsidRPr="00726B5C">
              <w:rPr>
                <w:rFonts w:ascii="Times New Roman" w:eastAsia="Calibri" w:hAnsi="Times New Roman" w:cs="Times New Roman"/>
                <w:sz w:val="24"/>
                <w:szCs w:val="24"/>
                <w:lang w:eastAsia="en-US"/>
              </w:rPr>
              <w:t xml:space="preserve"> </w:t>
            </w:r>
            <w:r w:rsidRPr="00726B5C">
              <w:rPr>
                <w:rFonts w:ascii="Times New Roman" w:eastAsia="Calibri" w:hAnsi="Times New Roman" w:cs="Times New Roman"/>
                <w:i/>
                <w:sz w:val="24"/>
                <w:szCs w:val="24"/>
                <w:lang w:eastAsia="en-US"/>
              </w:rPr>
              <w:t>euro</w:t>
            </w:r>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2) augkopības attīstībai – </w:t>
            </w:r>
            <w:r w:rsidR="00F936EB">
              <w:rPr>
                <w:rFonts w:ascii="Times New Roman" w:eastAsia="Calibri" w:hAnsi="Times New Roman" w:cs="Times New Roman"/>
                <w:sz w:val="24"/>
                <w:szCs w:val="24"/>
                <w:lang w:eastAsia="en-US"/>
              </w:rPr>
              <w:t>620 885</w:t>
            </w:r>
            <w:r w:rsidRPr="00726B5C">
              <w:rPr>
                <w:rFonts w:ascii="Times New Roman" w:eastAsia="Calibri" w:hAnsi="Times New Roman" w:cs="Times New Roman"/>
                <w:sz w:val="24"/>
                <w:szCs w:val="24"/>
                <w:lang w:eastAsia="en-US"/>
              </w:rPr>
              <w:t xml:space="preserve"> </w:t>
            </w:r>
            <w:r w:rsidRPr="00726B5C">
              <w:rPr>
                <w:rFonts w:ascii="Times New Roman" w:eastAsia="Calibri" w:hAnsi="Times New Roman" w:cs="Times New Roman"/>
                <w:i/>
                <w:sz w:val="24"/>
                <w:szCs w:val="24"/>
                <w:lang w:eastAsia="en-US"/>
              </w:rPr>
              <w:t>euro</w:t>
            </w:r>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3) starptautiskai un savstarpējai sadarbībai – </w:t>
            </w:r>
            <w:r w:rsidR="00F936EB">
              <w:rPr>
                <w:rFonts w:ascii="Times New Roman" w:eastAsia="Calibri" w:hAnsi="Times New Roman" w:cs="Times New Roman"/>
                <w:sz w:val="24"/>
                <w:szCs w:val="24"/>
                <w:lang w:eastAsia="en-US"/>
              </w:rPr>
              <w:t>614 718</w:t>
            </w:r>
            <w:r w:rsidRPr="00726B5C">
              <w:rPr>
                <w:rFonts w:ascii="Times New Roman" w:eastAsia="Calibri" w:hAnsi="Times New Roman" w:cs="Times New Roman"/>
                <w:sz w:val="24"/>
                <w:szCs w:val="24"/>
                <w:lang w:eastAsia="en-US"/>
              </w:rPr>
              <w:t xml:space="preserve"> </w:t>
            </w:r>
            <w:r w:rsidRPr="00726B5C">
              <w:rPr>
                <w:rFonts w:ascii="Times New Roman" w:eastAsia="Calibri" w:hAnsi="Times New Roman" w:cs="Times New Roman"/>
                <w:i/>
                <w:sz w:val="24"/>
                <w:szCs w:val="24"/>
                <w:lang w:eastAsia="en-US"/>
              </w:rPr>
              <w:t>euro</w:t>
            </w:r>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4) tirgus veicināšanai – </w:t>
            </w:r>
            <w:r w:rsidR="00F936EB">
              <w:rPr>
                <w:rFonts w:ascii="Times New Roman" w:eastAsia="Calibri" w:hAnsi="Times New Roman" w:cs="Times New Roman"/>
                <w:sz w:val="24"/>
                <w:szCs w:val="24"/>
                <w:lang w:eastAsia="en-US"/>
              </w:rPr>
              <w:t>384 782</w:t>
            </w:r>
            <w:r w:rsidRPr="00726B5C">
              <w:rPr>
                <w:rFonts w:ascii="Times New Roman" w:eastAsia="Calibri" w:hAnsi="Times New Roman" w:cs="Times New Roman"/>
                <w:sz w:val="24"/>
                <w:szCs w:val="24"/>
                <w:lang w:eastAsia="en-US"/>
              </w:rPr>
              <w:t xml:space="preserve"> </w:t>
            </w:r>
            <w:r w:rsidRPr="00726B5C">
              <w:rPr>
                <w:rFonts w:ascii="Times New Roman" w:eastAsia="Calibri" w:hAnsi="Times New Roman" w:cs="Times New Roman"/>
                <w:i/>
                <w:sz w:val="24"/>
                <w:szCs w:val="24"/>
                <w:lang w:eastAsia="en-US"/>
              </w:rPr>
              <w:t>euro</w:t>
            </w:r>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5) nacionālās pārtikas kvalitātes shēmas veicināšanai – 479 650 </w:t>
            </w:r>
            <w:r w:rsidRPr="00726B5C">
              <w:rPr>
                <w:rFonts w:ascii="Times New Roman" w:eastAsia="Calibri" w:hAnsi="Times New Roman" w:cs="Times New Roman"/>
                <w:i/>
                <w:sz w:val="24"/>
                <w:szCs w:val="24"/>
                <w:lang w:eastAsia="en-US"/>
              </w:rPr>
              <w:t>euro</w:t>
            </w:r>
            <w:r w:rsidRPr="00726B5C">
              <w:rPr>
                <w:rFonts w:ascii="Times New Roman" w:eastAsia="Calibri" w:hAnsi="Times New Roman" w:cs="Times New Roman"/>
                <w:sz w:val="24"/>
                <w:szCs w:val="24"/>
                <w:lang w:eastAsia="en-US"/>
              </w:rPr>
              <w:t>;</w:t>
            </w:r>
          </w:p>
          <w:p w:rsid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6) iepriekšējā gadā uzsākto atbalsta pasākumu izpildes finansēšanai – </w:t>
            </w:r>
            <w:r w:rsidR="00F936EB">
              <w:rPr>
                <w:rFonts w:ascii="Times New Roman" w:eastAsia="Calibri" w:hAnsi="Times New Roman" w:cs="Times New Roman"/>
                <w:sz w:val="24"/>
                <w:szCs w:val="24"/>
                <w:lang w:eastAsia="en-US"/>
              </w:rPr>
              <w:t>513 260</w:t>
            </w:r>
            <w:r w:rsidRPr="00726B5C">
              <w:rPr>
                <w:rFonts w:ascii="Times New Roman" w:eastAsia="Calibri" w:hAnsi="Times New Roman" w:cs="Times New Roman"/>
                <w:sz w:val="24"/>
                <w:szCs w:val="24"/>
                <w:lang w:eastAsia="en-US"/>
              </w:rPr>
              <w:t xml:space="preserve"> </w:t>
            </w:r>
            <w:r w:rsidRPr="00726B5C">
              <w:rPr>
                <w:rFonts w:ascii="Times New Roman" w:eastAsia="Calibri" w:hAnsi="Times New Roman" w:cs="Times New Roman"/>
                <w:i/>
                <w:sz w:val="24"/>
                <w:szCs w:val="24"/>
                <w:lang w:eastAsia="en-US"/>
              </w:rPr>
              <w:t>euro</w:t>
            </w:r>
            <w:r w:rsidRPr="00726B5C">
              <w:rPr>
                <w:rFonts w:ascii="Times New Roman" w:eastAsia="Calibri" w:hAnsi="Times New Roman" w:cs="Times New Roman"/>
                <w:sz w:val="24"/>
                <w:szCs w:val="24"/>
                <w:lang w:eastAsia="en-US"/>
              </w:rPr>
              <w:t>.</w:t>
            </w:r>
          </w:p>
          <w:p w:rsidR="00A629A7" w:rsidRDefault="00A629A7"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9</w:t>
            </w:r>
            <w:r w:rsidRPr="00726B5C">
              <w:rPr>
                <w:rFonts w:ascii="Times New Roman" w:eastAsia="Calibri" w:hAnsi="Times New Roman" w:cs="Times New Roman"/>
                <w:sz w:val="24"/>
                <w:szCs w:val="24"/>
                <w:lang w:eastAsia="en-US"/>
              </w:rPr>
              <w:t>.gadā uz atbalsta saņemšanu var pretendēt fiziska vai juridiska persona.</w:t>
            </w:r>
          </w:p>
          <w:p w:rsidR="005B36EC" w:rsidRDefault="002370D4" w:rsidP="00726B5C">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Kopš 2014.gada Latvijā ir konstatēts Āfrikas cūku mēris, kas sākotnēji negatīvi ietekmēja cūkkopības nozari. Pašlaik </w:t>
            </w:r>
            <w:r w:rsidR="005B36EC">
              <w:rPr>
                <w:rFonts w:ascii="Times New Roman" w:eastAsia="Calibri" w:hAnsi="Times New Roman" w:cs="Times New Roman"/>
                <w:sz w:val="24"/>
                <w:szCs w:val="24"/>
                <w:lang w:eastAsia="en-US"/>
              </w:rPr>
              <w:t xml:space="preserve">saimniecības, kuras minētā slimība bija skārusi līdz 2017.gadam, ir jau atjaunojušas savu darbību un 2018.gada beigās ir atjaunojušas savus vaislas sivēnmāšu </w:t>
            </w:r>
            <w:proofErr w:type="spellStart"/>
            <w:r w:rsidR="005B36EC">
              <w:rPr>
                <w:rFonts w:ascii="Times New Roman" w:eastAsia="Calibri" w:hAnsi="Times New Roman" w:cs="Times New Roman"/>
                <w:sz w:val="24"/>
                <w:szCs w:val="24"/>
                <w:lang w:eastAsia="en-US"/>
              </w:rPr>
              <w:t>ciltskodolus</w:t>
            </w:r>
            <w:proofErr w:type="spellEnd"/>
            <w:r w:rsidR="005B36EC">
              <w:rPr>
                <w:rFonts w:ascii="Times New Roman" w:eastAsia="Calibri" w:hAnsi="Times New Roman" w:cs="Times New Roman"/>
                <w:sz w:val="24"/>
                <w:szCs w:val="24"/>
                <w:lang w:eastAsia="en-US"/>
              </w:rPr>
              <w:t xml:space="preserve"> un piedalās cūkkopības nozares ciltsdarba programmas īstenošanā. Ņemot vērā minēto, ar noteikumu projekta 1. punktu izteiktajā noteikumu Nr.1524 2.1.1.3. apakšpunktā atbalsta summa ir palielināta par 29 898 </w:t>
            </w:r>
            <w:r w:rsidR="005B36EC" w:rsidRPr="005B36EC">
              <w:rPr>
                <w:rFonts w:ascii="Times New Roman" w:eastAsia="Calibri" w:hAnsi="Times New Roman" w:cs="Times New Roman"/>
                <w:i/>
                <w:sz w:val="24"/>
                <w:szCs w:val="24"/>
                <w:lang w:eastAsia="en-US"/>
              </w:rPr>
              <w:t>euro</w:t>
            </w:r>
            <w:r w:rsidR="005B36EC">
              <w:rPr>
                <w:rFonts w:ascii="Times New Roman" w:eastAsia="Calibri" w:hAnsi="Times New Roman" w:cs="Times New Roman"/>
                <w:sz w:val="24"/>
                <w:szCs w:val="24"/>
                <w:lang w:eastAsia="en-US"/>
              </w:rPr>
              <w:t>.</w:t>
            </w:r>
          </w:p>
          <w:p w:rsidR="005B36EC" w:rsidRDefault="00F14E9D" w:rsidP="00726B5C">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Tā kā 2019. gadam atsevišķām atbalsta programmām finansējums ir jūtami jāpalielina, ir samazināts finansējums pasākumam “Tehniskais atbalsts lauksaimniecības nozarē” par 87 202 </w:t>
            </w:r>
            <w:r w:rsidRPr="00F14E9D">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 xml:space="preserve">, jo minētais atbalsts </w:t>
            </w:r>
            <w:r w:rsidR="00CF7196">
              <w:rPr>
                <w:rFonts w:ascii="Times New Roman" w:eastAsia="Calibri" w:hAnsi="Times New Roman" w:cs="Times New Roman"/>
                <w:sz w:val="24"/>
                <w:szCs w:val="24"/>
                <w:lang w:eastAsia="en-US"/>
              </w:rPr>
              <w:t xml:space="preserve">ir </w:t>
            </w:r>
            <w:r>
              <w:rPr>
                <w:rFonts w:ascii="Times New Roman" w:eastAsia="Calibri" w:hAnsi="Times New Roman" w:cs="Times New Roman"/>
                <w:sz w:val="24"/>
                <w:szCs w:val="24"/>
                <w:lang w:eastAsia="en-US"/>
              </w:rPr>
              <w:t xml:space="preserve">saistīts </w:t>
            </w:r>
            <w:r w:rsidR="00CF7196">
              <w:rPr>
                <w:rFonts w:ascii="Times New Roman" w:eastAsia="Calibri" w:hAnsi="Times New Roman" w:cs="Times New Roman"/>
                <w:sz w:val="24"/>
                <w:szCs w:val="24"/>
                <w:lang w:eastAsia="en-US"/>
              </w:rPr>
              <w:t xml:space="preserve">nevis </w:t>
            </w:r>
            <w:r>
              <w:rPr>
                <w:rFonts w:ascii="Times New Roman" w:eastAsia="Calibri" w:hAnsi="Times New Roman" w:cs="Times New Roman"/>
                <w:sz w:val="24"/>
                <w:szCs w:val="24"/>
                <w:lang w:eastAsia="en-US"/>
              </w:rPr>
              <w:t>ar lauksaimniecisko ražošanu, bet</w:t>
            </w:r>
            <w:r w:rsidR="00CF7196">
              <w:rPr>
                <w:rFonts w:ascii="Times New Roman" w:eastAsia="Calibri" w:hAnsi="Times New Roman" w:cs="Times New Roman"/>
                <w:sz w:val="24"/>
                <w:szCs w:val="24"/>
                <w:lang w:eastAsia="en-US"/>
              </w:rPr>
              <w:t xml:space="preserve"> gan</w:t>
            </w:r>
            <w:r>
              <w:rPr>
                <w:rFonts w:ascii="Times New Roman" w:eastAsia="Calibri" w:hAnsi="Times New Roman" w:cs="Times New Roman"/>
                <w:sz w:val="24"/>
                <w:szCs w:val="24"/>
                <w:lang w:eastAsia="en-US"/>
              </w:rPr>
              <w:t xml:space="preserve"> pārsvarā ar </w:t>
            </w:r>
            <w:r w:rsidR="00CF7196">
              <w:rPr>
                <w:rFonts w:ascii="Times New Roman" w:eastAsia="Calibri" w:hAnsi="Times New Roman" w:cs="Times New Roman"/>
                <w:sz w:val="24"/>
                <w:szCs w:val="24"/>
                <w:lang w:eastAsia="en-US"/>
              </w:rPr>
              <w:t xml:space="preserve">to </w:t>
            </w:r>
            <w:r>
              <w:rPr>
                <w:rFonts w:ascii="Times New Roman" w:eastAsia="Calibri" w:hAnsi="Times New Roman" w:cs="Times New Roman"/>
                <w:sz w:val="24"/>
                <w:szCs w:val="24"/>
                <w:lang w:eastAsia="en-US"/>
              </w:rPr>
              <w:t xml:space="preserve">sadarbības pasākumu īstenošanu, kuriem ir pieejams finansējums arī citās atbalsta programmās. </w:t>
            </w:r>
          </w:p>
          <w:p w:rsidR="00EA6453" w:rsidRDefault="00BB1C96" w:rsidP="00726B5C">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Ar noteikumu projekta 1.punktu izteiktajā </w:t>
            </w:r>
            <w:r w:rsidR="00DB6E39">
              <w:rPr>
                <w:rFonts w:ascii="Times New Roman" w:eastAsia="Calibri" w:hAnsi="Times New Roman" w:cs="Times New Roman"/>
                <w:sz w:val="24"/>
                <w:szCs w:val="24"/>
                <w:lang w:eastAsia="en-US"/>
              </w:rPr>
              <w:t>noteikumu Nr.1524 2.6. apakšpunktā salīdzin</w:t>
            </w:r>
            <w:r w:rsidR="00CF7196">
              <w:rPr>
                <w:rFonts w:ascii="Times New Roman" w:eastAsia="Calibri" w:hAnsi="Times New Roman" w:cs="Times New Roman"/>
                <w:sz w:val="24"/>
                <w:szCs w:val="24"/>
                <w:lang w:eastAsia="en-US"/>
              </w:rPr>
              <w:t>ājumā</w:t>
            </w:r>
            <w:r w:rsidR="00DB6E39">
              <w:rPr>
                <w:rFonts w:ascii="Times New Roman" w:eastAsia="Calibri" w:hAnsi="Times New Roman" w:cs="Times New Roman"/>
                <w:sz w:val="24"/>
                <w:szCs w:val="24"/>
                <w:lang w:eastAsia="en-US"/>
              </w:rPr>
              <w:t xml:space="preserve"> ar 2018. gadu kopējais finansējums ir palielināts par 168 482 </w:t>
            </w:r>
            <w:r w:rsidR="00DB6E39" w:rsidRPr="00DB6E39">
              <w:rPr>
                <w:rFonts w:ascii="Times New Roman" w:eastAsia="Calibri" w:hAnsi="Times New Roman" w:cs="Times New Roman"/>
                <w:i/>
                <w:sz w:val="24"/>
                <w:szCs w:val="24"/>
                <w:lang w:eastAsia="en-US"/>
              </w:rPr>
              <w:t>euro</w:t>
            </w:r>
            <w:r w:rsidR="00DB6E39">
              <w:rPr>
                <w:rFonts w:ascii="Times New Roman" w:eastAsia="Calibri" w:hAnsi="Times New Roman" w:cs="Times New Roman"/>
                <w:sz w:val="24"/>
                <w:szCs w:val="24"/>
                <w:lang w:eastAsia="en-US"/>
              </w:rPr>
              <w:t xml:space="preserve">. </w:t>
            </w:r>
            <w:r w:rsidR="00EA6453">
              <w:rPr>
                <w:rFonts w:ascii="Times New Roman" w:eastAsia="Calibri" w:hAnsi="Times New Roman" w:cs="Times New Roman"/>
                <w:sz w:val="24"/>
                <w:szCs w:val="24"/>
                <w:lang w:eastAsia="en-US"/>
              </w:rPr>
              <w:t>Šī summa ir</w:t>
            </w:r>
            <w:r w:rsidR="00DB6E39">
              <w:rPr>
                <w:rFonts w:ascii="Times New Roman" w:eastAsia="Calibri" w:hAnsi="Times New Roman" w:cs="Times New Roman"/>
                <w:sz w:val="24"/>
                <w:szCs w:val="24"/>
                <w:lang w:eastAsia="en-US"/>
              </w:rPr>
              <w:t xml:space="preserve"> nepieciešam</w:t>
            </w:r>
            <w:r w:rsidR="00CF7196">
              <w:rPr>
                <w:rFonts w:ascii="Times New Roman" w:eastAsia="Calibri" w:hAnsi="Times New Roman" w:cs="Times New Roman"/>
                <w:sz w:val="24"/>
                <w:szCs w:val="24"/>
                <w:lang w:eastAsia="en-US"/>
              </w:rPr>
              <w:t>a</w:t>
            </w:r>
            <w:r w:rsidR="00DB6E39">
              <w:rPr>
                <w:rFonts w:ascii="Times New Roman" w:eastAsia="Calibri" w:hAnsi="Times New Roman" w:cs="Times New Roman"/>
                <w:sz w:val="24"/>
                <w:szCs w:val="24"/>
                <w:lang w:eastAsia="en-US"/>
              </w:rPr>
              <w:t>, lai segtu</w:t>
            </w:r>
            <w:r w:rsidR="00EA6453">
              <w:rPr>
                <w:rFonts w:ascii="Times New Roman" w:eastAsia="Calibri" w:hAnsi="Times New Roman" w:cs="Times New Roman"/>
                <w:sz w:val="24"/>
                <w:szCs w:val="24"/>
                <w:lang w:eastAsia="en-US"/>
              </w:rPr>
              <w:t xml:space="preserve"> pretendentu Lauku atbalsta dienestā</w:t>
            </w:r>
            <w:r w:rsidR="00DB6E39">
              <w:rPr>
                <w:rFonts w:ascii="Times New Roman" w:eastAsia="Calibri" w:hAnsi="Times New Roman" w:cs="Times New Roman"/>
                <w:sz w:val="24"/>
                <w:szCs w:val="24"/>
                <w:lang w:eastAsia="en-US"/>
              </w:rPr>
              <w:t xml:space="preserve"> iesniegtajos iesniegumos pieprasīto finansējumu par 2018.gada novembrī un decembrī zemniekiem sniegtajiem pakalpojumiem atbalsta pasākumā “Dzīvnieku līķu savākšana, transportēšana, pārstrāde un likvidēšana”</w:t>
            </w:r>
            <w:r w:rsidR="00CF7196">
              <w:rPr>
                <w:rFonts w:ascii="Times New Roman" w:eastAsia="Calibri" w:hAnsi="Times New Roman" w:cs="Times New Roman"/>
                <w:sz w:val="24"/>
                <w:szCs w:val="24"/>
                <w:lang w:eastAsia="en-US"/>
              </w:rPr>
              <w:t>.</w:t>
            </w:r>
            <w:r w:rsidR="00600996">
              <w:rPr>
                <w:rFonts w:ascii="Times New Roman" w:eastAsia="Calibri" w:hAnsi="Times New Roman" w:cs="Times New Roman"/>
                <w:sz w:val="24"/>
                <w:szCs w:val="24"/>
                <w:lang w:eastAsia="en-US"/>
              </w:rPr>
              <w:t xml:space="preserve"> 2018.gadā uzsākto atbalsta pasākumu izpildes plānoto finansējuma summu 513 260 </w:t>
            </w:r>
            <w:r w:rsidR="00600996" w:rsidRPr="00600996">
              <w:rPr>
                <w:rFonts w:ascii="Times New Roman" w:eastAsia="Calibri" w:hAnsi="Times New Roman" w:cs="Times New Roman"/>
                <w:i/>
                <w:sz w:val="24"/>
                <w:szCs w:val="24"/>
                <w:lang w:eastAsia="en-US"/>
              </w:rPr>
              <w:t>euro</w:t>
            </w:r>
            <w:r w:rsidR="00600996">
              <w:rPr>
                <w:rFonts w:ascii="Times New Roman" w:eastAsia="Calibri" w:hAnsi="Times New Roman" w:cs="Times New Roman"/>
                <w:sz w:val="24"/>
                <w:szCs w:val="24"/>
                <w:lang w:eastAsia="en-US"/>
              </w:rPr>
              <w:t xml:space="preserve"> veido atbalsta lopkopības attīstībai </w:t>
            </w:r>
            <w:r w:rsidR="00D363E4">
              <w:rPr>
                <w:rFonts w:ascii="Times New Roman" w:eastAsia="Calibri" w:hAnsi="Times New Roman" w:cs="Times New Roman"/>
                <w:sz w:val="24"/>
                <w:szCs w:val="24"/>
                <w:lang w:eastAsia="en-US"/>
              </w:rPr>
              <w:t>par</w:t>
            </w:r>
            <w:r w:rsidR="00600996">
              <w:rPr>
                <w:rFonts w:ascii="Times New Roman" w:eastAsia="Calibri" w:hAnsi="Times New Roman" w:cs="Times New Roman"/>
                <w:sz w:val="24"/>
                <w:szCs w:val="24"/>
                <w:lang w:eastAsia="en-US"/>
              </w:rPr>
              <w:t xml:space="preserve"> 2018.gada IV ceturkšņa iesniegumu kopsumma </w:t>
            </w:r>
            <w:r w:rsidR="00D363E4">
              <w:rPr>
                <w:rFonts w:ascii="Times New Roman" w:eastAsia="Calibri" w:hAnsi="Times New Roman" w:cs="Times New Roman"/>
                <w:sz w:val="24"/>
                <w:szCs w:val="24"/>
                <w:lang w:eastAsia="en-US"/>
              </w:rPr>
              <w:t>320 252</w:t>
            </w:r>
            <w:r w:rsidR="00600996">
              <w:rPr>
                <w:rFonts w:ascii="Times New Roman" w:eastAsia="Calibri" w:hAnsi="Times New Roman" w:cs="Times New Roman"/>
                <w:sz w:val="24"/>
                <w:szCs w:val="24"/>
                <w:lang w:eastAsia="en-US"/>
              </w:rPr>
              <w:t xml:space="preserve"> </w:t>
            </w:r>
            <w:r w:rsidR="00D363E4" w:rsidRPr="00D363E4">
              <w:rPr>
                <w:rFonts w:ascii="Times New Roman" w:eastAsia="Calibri" w:hAnsi="Times New Roman" w:cs="Times New Roman"/>
                <w:i/>
                <w:sz w:val="24"/>
                <w:szCs w:val="24"/>
                <w:lang w:eastAsia="en-US"/>
              </w:rPr>
              <w:t>euro</w:t>
            </w:r>
            <w:r w:rsidR="00D363E4">
              <w:rPr>
                <w:rFonts w:ascii="Times New Roman" w:eastAsia="Calibri" w:hAnsi="Times New Roman" w:cs="Times New Roman"/>
                <w:sz w:val="24"/>
                <w:szCs w:val="24"/>
                <w:lang w:eastAsia="en-US"/>
              </w:rPr>
              <w:t xml:space="preserve"> un</w:t>
            </w:r>
            <w:r w:rsidR="00D363E4" w:rsidRPr="00D363E4">
              <w:rPr>
                <w:rFonts w:ascii="Times New Roman" w:eastAsia="Calibri" w:hAnsi="Times New Roman" w:cs="Times New Roman"/>
                <w:sz w:val="24"/>
                <w:szCs w:val="24"/>
                <w:lang w:eastAsia="en-US"/>
              </w:rPr>
              <w:t xml:space="preserve"> atbalsta pasākumā “Dzīvnieku līķu savākšana, transportēšana, pārstrāde un likvidēšana”</w:t>
            </w:r>
            <w:r w:rsidR="00600996">
              <w:rPr>
                <w:rFonts w:ascii="Times New Roman" w:eastAsia="Calibri" w:hAnsi="Times New Roman" w:cs="Times New Roman"/>
                <w:sz w:val="24"/>
                <w:szCs w:val="24"/>
                <w:lang w:eastAsia="en-US"/>
              </w:rPr>
              <w:t xml:space="preserve"> </w:t>
            </w:r>
            <w:r w:rsidR="00D363E4">
              <w:rPr>
                <w:rFonts w:ascii="Times New Roman" w:eastAsia="Calibri" w:hAnsi="Times New Roman" w:cs="Times New Roman"/>
                <w:sz w:val="24"/>
                <w:szCs w:val="24"/>
                <w:lang w:eastAsia="en-US"/>
              </w:rPr>
              <w:t xml:space="preserve">par 2018.gada novembri un decembri pieprasītā summa 193 008 </w:t>
            </w:r>
            <w:r w:rsidR="00D363E4" w:rsidRPr="00D363E4">
              <w:rPr>
                <w:rFonts w:ascii="Times New Roman" w:eastAsia="Calibri" w:hAnsi="Times New Roman" w:cs="Times New Roman"/>
                <w:i/>
                <w:sz w:val="24"/>
                <w:szCs w:val="24"/>
                <w:lang w:eastAsia="en-US"/>
              </w:rPr>
              <w:t>euro</w:t>
            </w:r>
            <w:r w:rsidR="00D363E4">
              <w:rPr>
                <w:rFonts w:ascii="Times New Roman" w:eastAsia="Calibri" w:hAnsi="Times New Roman" w:cs="Times New Roman"/>
                <w:sz w:val="24"/>
                <w:szCs w:val="24"/>
                <w:lang w:eastAsia="en-US"/>
              </w:rPr>
              <w:t xml:space="preserve">. </w:t>
            </w:r>
          </w:p>
          <w:p w:rsidR="001671C6" w:rsidRDefault="00E81D76" w:rsidP="00726B5C">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Pr>
                <w:rFonts w:eastAsia="Calibri"/>
                <w:b w:val="0"/>
                <w:bCs w:val="0"/>
                <w:sz w:val="24"/>
                <w:szCs w:val="24"/>
                <w:lang w:eastAsia="en-US"/>
              </w:rPr>
              <w:t>Noteikumu projekta 2.punktā ir precizēta atsauce uz noteikumu Nr.1524 apakšpunktiem.</w:t>
            </w:r>
          </w:p>
          <w:p w:rsidR="00E81D76" w:rsidRDefault="00E81D76" w:rsidP="00726B5C">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Pr>
                <w:rFonts w:eastAsia="Calibri"/>
                <w:b w:val="0"/>
                <w:bCs w:val="0"/>
                <w:sz w:val="24"/>
                <w:szCs w:val="24"/>
                <w:lang w:eastAsia="en-US"/>
              </w:rPr>
              <w:t>Tā kā Saeima ir pieņēmusi jaunu Dzīvnieku audzēšanas un ciltsdarba likumu, kā arī Ministru kabinets ir apstiprinājis jaunus šķirnes lauksaimniecības dzīvnieku organizāciju atbilstības noteikumus, noteikumu projekta 3., 4. un 24.punktā ir precizētas atsauces uz spēkā esošajiem normatīvajiem aktiem.</w:t>
            </w:r>
          </w:p>
          <w:p w:rsidR="00E81D76" w:rsidRDefault="00E81D76" w:rsidP="00726B5C">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Pr>
                <w:rFonts w:eastAsia="Calibri"/>
                <w:b w:val="0"/>
                <w:bCs w:val="0"/>
                <w:sz w:val="24"/>
                <w:szCs w:val="24"/>
                <w:lang w:eastAsia="en-US"/>
              </w:rPr>
              <w:t xml:space="preserve">Pēdējā laikā valstī ir kāpušas energoresursu cenas, </w:t>
            </w:r>
            <w:r w:rsidR="00CE3ED7">
              <w:rPr>
                <w:rFonts w:eastAsia="Calibri"/>
                <w:b w:val="0"/>
                <w:bCs w:val="0"/>
                <w:sz w:val="24"/>
                <w:szCs w:val="24"/>
                <w:lang w:eastAsia="en-US"/>
              </w:rPr>
              <w:t>tāpēc</w:t>
            </w:r>
            <w:r w:rsidR="003A3A07">
              <w:rPr>
                <w:rFonts w:eastAsia="Calibri"/>
                <w:b w:val="0"/>
                <w:bCs w:val="0"/>
                <w:sz w:val="24"/>
                <w:szCs w:val="24"/>
                <w:lang w:eastAsia="en-US"/>
              </w:rPr>
              <w:t xml:space="preserve"> ir kļuvis dārgāks piena laboratoriju sniegtais piena pārraudzības analīžu pakalpojums. Lai piena laboratorijas turpinātu sniegt ganāmpulku īpašniekiem subsidētu pakalpojumu, noteikumu 5. un 6.punktā ir palielināt</w:t>
            </w:r>
            <w:r w:rsidR="00CE3ED7">
              <w:rPr>
                <w:rFonts w:eastAsia="Calibri"/>
                <w:b w:val="0"/>
                <w:bCs w:val="0"/>
                <w:sz w:val="24"/>
                <w:szCs w:val="24"/>
                <w:lang w:eastAsia="en-US"/>
              </w:rPr>
              <w:t>a</w:t>
            </w:r>
            <w:r w:rsidR="003A3A07">
              <w:rPr>
                <w:rFonts w:eastAsia="Calibri"/>
                <w:b w:val="0"/>
                <w:bCs w:val="0"/>
                <w:sz w:val="24"/>
                <w:szCs w:val="24"/>
                <w:lang w:eastAsia="en-US"/>
              </w:rPr>
              <w:t xml:space="preserve"> likme no 0,43 līdz 0,47 </w:t>
            </w:r>
            <w:r w:rsidR="003A3A07" w:rsidRPr="003A3A07">
              <w:rPr>
                <w:rFonts w:eastAsia="Calibri"/>
                <w:b w:val="0"/>
                <w:bCs w:val="0"/>
                <w:i/>
                <w:sz w:val="24"/>
                <w:szCs w:val="24"/>
                <w:lang w:eastAsia="en-US"/>
              </w:rPr>
              <w:t>euro</w:t>
            </w:r>
            <w:r w:rsidR="003A3A07">
              <w:rPr>
                <w:rFonts w:eastAsia="Calibri"/>
                <w:b w:val="0"/>
                <w:bCs w:val="0"/>
                <w:sz w:val="24"/>
                <w:szCs w:val="24"/>
                <w:lang w:eastAsia="en-US"/>
              </w:rPr>
              <w:t xml:space="preserve">, attiecīgi precizējot datu centram un laboratorijai noteikto likmi no 0,83  līdz 0,87 </w:t>
            </w:r>
            <w:r w:rsidR="003A3A07" w:rsidRPr="003A3A07">
              <w:rPr>
                <w:rFonts w:eastAsia="Calibri"/>
                <w:b w:val="0"/>
                <w:bCs w:val="0"/>
                <w:i/>
                <w:sz w:val="24"/>
                <w:szCs w:val="24"/>
                <w:lang w:eastAsia="en-US"/>
              </w:rPr>
              <w:t>euro</w:t>
            </w:r>
            <w:r w:rsidR="003A3A07">
              <w:rPr>
                <w:rFonts w:eastAsia="Calibri"/>
                <w:b w:val="0"/>
                <w:bCs w:val="0"/>
                <w:sz w:val="24"/>
                <w:szCs w:val="24"/>
                <w:lang w:eastAsia="en-US"/>
              </w:rPr>
              <w:t>.</w:t>
            </w:r>
            <w:r>
              <w:rPr>
                <w:rFonts w:eastAsia="Calibri"/>
                <w:b w:val="0"/>
                <w:bCs w:val="0"/>
                <w:sz w:val="24"/>
                <w:szCs w:val="24"/>
                <w:lang w:eastAsia="en-US"/>
              </w:rPr>
              <w:t xml:space="preserve"> </w:t>
            </w:r>
          </w:p>
          <w:p w:rsidR="00233632" w:rsidRDefault="003A3A07"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Atbalsta pasākumā “Atbalsts ciltsdarba pakalpojumiem liellopu gaļas ražošanas nozarē” atbalstu piešķir par sertificētu tīršķirnes vaislas bulli, ja ganāmpulkā ir vismaz 10 zīdītājgovis vai teles</w:t>
            </w:r>
            <w:r w:rsidR="00574750">
              <w:rPr>
                <w:b w:val="0"/>
                <w:sz w:val="24"/>
                <w:szCs w:val="24"/>
              </w:rPr>
              <w:t>, kas vecākas par 18 mēnešiem. Lai tiesību norma būtu skaidra un nepārprotama, noteikumu projekta 7. punktā ir precizēts noteikumu Nr.1524 32.3.apakšpunkts.</w:t>
            </w:r>
          </w:p>
          <w:p w:rsidR="00574750" w:rsidRDefault="00574750"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Lai pretendentam mazinātu administratīvo slogu, noteikumu projekta 8.punktā ir mainīts iesnieguma iesniegšanas termiņš no reizi mēnesī uz reizi ceturksnī.</w:t>
            </w:r>
          </w:p>
          <w:p w:rsidR="00574750" w:rsidRDefault="00574750"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Noteikumu projekta 9., 10. un 12.punktā ir precizētas tiesību normas, lai tās būtu skaidras un nepārprotamas gan pretendentam, gan administrējošai iestādei.</w:t>
            </w:r>
          </w:p>
          <w:p w:rsidR="00291CF5" w:rsidRDefault="00194CA8"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Pasaules tirgū (ādu izsolēs) no 2015. līdz 2018.gadam ūdeļādu cenas ir samazinājušās vairāk </w:t>
            </w:r>
            <w:r w:rsidR="00CE3ED7">
              <w:rPr>
                <w:b w:val="0"/>
                <w:sz w:val="24"/>
                <w:szCs w:val="24"/>
              </w:rPr>
              <w:t>ne</w:t>
            </w:r>
            <w:r>
              <w:rPr>
                <w:b w:val="0"/>
                <w:sz w:val="24"/>
                <w:szCs w:val="24"/>
              </w:rPr>
              <w:t xml:space="preserve">kā par 50 %, </w:t>
            </w:r>
            <w:r w:rsidR="00CE3ED7">
              <w:rPr>
                <w:b w:val="0"/>
                <w:sz w:val="24"/>
                <w:szCs w:val="24"/>
              </w:rPr>
              <w:t>tāpēc</w:t>
            </w:r>
            <w:r>
              <w:rPr>
                <w:b w:val="0"/>
                <w:sz w:val="24"/>
                <w:szCs w:val="24"/>
              </w:rPr>
              <w:t xml:space="preserve"> zvērkopības nozare cieš lielus zaudējumus.</w:t>
            </w:r>
            <w:r w:rsidR="004B5607">
              <w:rPr>
                <w:b w:val="0"/>
                <w:sz w:val="24"/>
                <w:szCs w:val="24"/>
              </w:rPr>
              <w:t xml:space="preserve"> Sākot ar 2020.gadu</w:t>
            </w:r>
            <w:r w:rsidR="00CE3ED7">
              <w:rPr>
                <w:b w:val="0"/>
                <w:sz w:val="24"/>
                <w:szCs w:val="24"/>
              </w:rPr>
              <w:t>,</w:t>
            </w:r>
            <w:r w:rsidR="004B5607">
              <w:rPr>
                <w:b w:val="0"/>
                <w:sz w:val="24"/>
                <w:szCs w:val="24"/>
              </w:rPr>
              <w:t xml:space="preserve"> izsoļu nami nepieņems realizācijā kažokādas no zvēru audzētavām, kas nebūs nokārtojušas </w:t>
            </w:r>
            <w:proofErr w:type="spellStart"/>
            <w:r w:rsidR="004B5607" w:rsidRPr="004B5607">
              <w:rPr>
                <w:b w:val="0"/>
                <w:i/>
                <w:sz w:val="24"/>
                <w:szCs w:val="24"/>
              </w:rPr>
              <w:t>WelFur</w:t>
            </w:r>
            <w:proofErr w:type="spellEnd"/>
            <w:r w:rsidR="004B5607">
              <w:rPr>
                <w:b w:val="0"/>
                <w:sz w:val="24"/>
                <w:szCs w:val="24"/>
              </w:rPr>
              <w:t xml:space="preserve"> starptautiskās atestācijas programmu. Lai zvēru audzētavas sekmīgi iegūtu </w:t>
            </w:r>
            <w:proofErr w:type="spellStart"/>
            <w:r w:rsidR="004B5607" w:rsidRPr="004B5607">
              <w:rPr>
                <w:b w:val="0"/>
                <w:i/>
                <w:sz w:val="24"/>
                <w:szCs w:val="24"/>
              </w:rPr>
              <w:t>WelFur</w:t>
            </w:r>
            <w:proofErr w:type="spellEnd"/>
            <w:r w:rsidR="004B5607">
              <w:rPr>
                <w:b w:val="0"/>
                <w:sz w:val="24"/>
                <w:szCs w:val="24"/>
              </w:rPr>
              <w:t xml:space="preserve"> atestātu, ir jāiegulda papildu investīcijas. Ņemot vērā minēto, noteikumu projekta 11.punktā ir palielināta atbalsta likme par ūdeles ģenētiskās kvalitātes un produktivitātes novērtēšanu no 1,60 līdz diviem </w:t>
            </w:r>
            <w:r w:rsidR="004B5607" w:rsidRPr="004B5607">
              <w:rPr>
                <w:b w:val="0"/>
                <w:i/>
                <w:sz w:val="24"/>
                <w:szCs w:val="24"/>
              </w:rPr>
              <w:t>euro</w:t>
            </w:r>
            <w:r w:rsidR="004B5607">
              <w:rPr>
                <w:b w:val="0"/>
                <w:sz w:val="24"/>
                <w:szCs w:val="24"/>
              </w:rPr>
              <w:t xml:space="preserve">. </w:t>
            </w:r>
            <w:r w:rsidR="00CE3ED7">
              <w:rPr>
                <w:b w:val="0"/>
                <w:sz w:val="24"/>
                <w:szCs w:val="24"/>
              </w:rPr>
              <w:t>S</w:t>
            </w:r>
            <w:r w:rsidR="00A63255">
              <w:rPr>
                <w:b w:val="0"/>
                <w:sz w:val="24"/>
                <w:szCs w:val="24"/>
              </w:rPr>
              <w:t xml:space="preserve">traujā </w:t>
            </w:r>
            <w:r w:rsidR="00C004F1">
              <w:rPr>
                <w:b w:val="0"/>
                <w:sz w:val="24"/>
                <w:szCs w:val="24"/>
              </w:rPr>
              <w:t xml:space="preserve">kažokādu cenu </w:t>
            </w:r>
            <w:r w:rsidR="00A63255">
              <w:rPr>
                <w:b w:val="0"/>
                <w:sz w:val="24"/>
                <w:szCs w:val="24"/>
              </w:rPr>
              <w:t xml:space="preserve">krituma </w:t>
            </w:r>
            <w:r w:rsidR="00CE3ED7">
              <w:rPr>
                <w:b w:val="0"/>
                <w:sz w:val="24"/>
                <w:szCs w:val="24"/>
              </w:rPr>
              <w:t xml:space="preserve">dēļ </w:t>
            </w:r>
            <w:r w:rsidR="00A63255">
              <w:rPr>
                <w:b w:val="0"/>
                <w:sz w:val="24"/>
                <w:szCs w:val="24"/>
              </w:rPr>
              <w:t>izsoļu namos</w:t>
            </w:r>
            <w:r w:rsidR="00C004F1">
              <w:rPr>
                <w:b w:val="0"/>
                <w:sz w:val="24"/>
                <w:szCs w:val="24"/>
              </w:rPr>
              <w:t xml:space="preserve"> </w:t>
            </w:r>
            <w:proofErr w:type="spellStart"/>
            <w:r w:rsidR="00C004F1">
              <w:rPr>
                <w:b w:val="0"/>
                <w:sz w:val="24"/>
                <w:szCs w:val="24"/>
              </w:rPr>
              <w:t>zvēraudzētāji</w:t>
            </w:r>
            <w:proofErr w:type="spellEnd"/>
            <w:r w:rsidR="00C004F1">
              <w:rPr>
                <w:b w:val="0"/>
                <w:sz w:val="24"/>
                <w:szCs w:val="24"/>
              </w:rPr>
              <w:t xml:space="preserve"> bija spiesti samazināt ūdeļu māšu skaitu savos ganāmpulkos</w:t>
            </w:r>
            <w:r w:rsidR="00291CF5">
              <w:rPr>
                <w:b w:val="0"/>
                <w:sz w:val="24"/>
                <w:szCs w:val="24"/>
              </w:rPr>
              <w:t>, tādēļ atbalsta likmes palielinājums neietekmē kopējo</w:t>
            </w:r>
            <w:r w:rsidR="00FD4277">
              <w:rPr>
                <w:b w:val="0"/>
                <w:sz w:val="24"/>
                <w:szCs w:val="24"/>
              </w:rPr>
              <w:t xml:space="preserve"> atbalsta pasākuma </w:t>
            </w:r>
            <w:r w:rsidR="00291CF5">
              <w:rPr>
                <w:b w:val="0"/>
                <w:sz w:val="24"/>
                <w:szCs w:val="24"/>
              </w:rPr>
              <w:t xml:space="preserve">summu </w:t>
            </w:r>
            <w:r w:rsidR="00CF7196">
              <w:rPr>
                <w:b w:val="0"/>
                <w:sz w:val="24"/>
                <w:szCs w:val="24"/>
              </w:rPr>
              <w:t>un tā</w:t>
            </w:r>
            <w:r w:rsidR="00291CF5">
              <w:rPr>
                <w:b w:val="0"/>
                <w:sz w:val="24"/>
                <w:szCs w:val="24"/>
              </w:rPr>
              <w:t xml:space="preserve"> ir paliku</w:t>
            </w:r>
            <w:r w:rsidR="00CE3ED7">
              <w:rPr>
                <w:b w:val="0"/>
                <w:sz w:val="24"/>
                <w:szCs w:val="24"/>
              </w:rPr>
              <w:t>si</w:t>
            </w:r>
            <w:r w:rsidR="00291CF5">
              <w:rPr>
                <w:b w:val="0"/>
                <w:sz w:val="24"/>
                <w:szCs w:val="24"/>
              </w:rPr>
              <w:t xml:space="preserve"> 2018.gada līmenī.</w:t>
            </w:r>
          </w:p>
          <w:p w:rsidR="002766C3" w:rsidRDefault="002766C3"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Uzņēmumiem, kas sniedz </w:t>
            </w:r>
            <w:r w:rsidRPr="002766C3">
              <w:rPr>
                <w:b w:val="0"/>
                <w:sz w:val="24"/>
                <w:szCs w:val="24"/>
              </w:rPr>
              <w:t>dzīvnieku līķu savākšan</w:t>
            </w:r>
            <w:r>
              <w:rPr>
                <w:b w:val="0"/>
                <w:sz w:val="24"/>
                <w:szCs w:val="24"/>
              </w:rPr>
              <w:t>as</w:t>
            </w:r>
            <w:r w:rsidRPr="002766C3">
              <w:rPr>
                <w:b w:val="0"/>
                <w:sz w:val="24"/>
                <w:szCs w:val="24"/>
              </w:rPr>
              <w:t>, transportēšan</w:t>
            </w:r>
            <w:r>
              <w:rPr>
                <w:b w:val="0"/>
                <w:sz w:val="24"/>
                <w:szCs w:val="24"/>
              </w:rPr>
              <w:t>as</w:t>
            </w:r>
            <w:r w:rsidRPr="002766C3">
              <w:rPr>
                <w:b w:val="0"/>
                <w:sz w:val="24"/>
                <w:szCs w:val="24"/>
              </w:rPr>
              <w:t>, pārstrādāšan</w:t>
            </w:r>
            <w:r>
              <w:rPr>
                <w:b w:val="0"/>
                <w:sz w:val="24"/>
                <w:szCs w:val="24"/>
              </w:rPr>
              <w:t>as</w:t>
            </w:r>
            <w:r w:rsidRPr="002766C3">
              <w:rPr>
                <w:b w:val="0"/>
                <w:sz w:val="24"/>
                <w:szCs w:val="24"/>
              </w:rPr>
              <w:t xml:space="preserve"> un likvidēšan</w:t>
            </w:r>
            <w:r>
              <w:rPr>
                <w:b w:val="0"/>
                <w:sz w:val="24"/>
                <w:szCs w:val="24"/>
              </w:rPr>
              <w:t xml:space="preserve">as pakalpojumu, pēdējo gadu laikā </w:t>
            </w:r>
            <w:r w:rsidR="00CE3ED7">
              <w:rPr>
                <w:b w:val="0"/>
                <w:sz w:val="24"/>
                <w:szCs w:val="24"/>
              </w:rPr>
              <w:t xml:space="preserve">apmēram par 30 % </w:t>
            </w:r>
            <w:r>
              <w:rPr>
                <w:b w:val="0"/>
                <w:sz w:val="24"/>
                <w:szCs w:val="24"/>
              </w:rPr>
              <w:t>ir pieauguš</w:t>
            </w:r>
            <w:r w:rsidR="00CE3ED7">
              <w:rPr>
                <w:b w:val="0"/>
                <w:sz w:val="24"/>
                <w:szCs w:val="24"/>
              </w:rPr>
              <w:t>i</w:t>
            </w:r>
            <w:r>
              <w:rPr>
                <w:b w:val="0"/>
                <w:sz w:val="24"/>
                <w:szCs w:val="24"/>
              </w:rPr>
              <w:t xml:space="preserve"> energoresursu un darbaspēka samaksas izdevumi</w:t>
            </w:r>
            <w:r w:rsidR="00CF7196">
              <w:rPr>
                <w:b w:val="0"/>
                <w:sz w:val="24"/>
                <w:szCs w:val="24"/>
              </w:rPr>
              <w:t>.</w:t>
            </w:r>
            <w:r>
              <w:rPr>
                <w:b w:val="0"/>
                <w:sz w:val="24"/>
                <w:szCs w:val="24"/>
              </w:rPr>
              <w:t xml:space="preserve"> </w:t>
            </w:r>
            <w:r w:rsidR="00E20F2E">
              <w:rPr>
                <w:b w:val="0"/>
                <w:sz w:val="24"/>
                <w:szCs w:val="24"/>
              </w:rPr>
              <w:t>Noteikumos Nr.1524 noteiktā atbalsta likme nav mainīta kopš 2014.gada.</w:t>
            </w:r>
          </w:p>
          <w:p w:rsidR="00E55A79" w:rsidRDefault="00FD4277"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Lai</w:t>
            </w:r>
            <w:r w:rsidR="002766C3">
              <w:rPr>
                <w:b w:val="0"/>
                <w:sz w:val="24"/>
                <w:szCs w:val="24"/>
              </w:rPr>
              <w:t> </w:t>
            </w:r>
            <w:r>
              <w:rPr>
                <w:b w:val="0"/>
                <w:sz w:val="24"/>
                <w:szCs w:val="24"/>
              </w:rPr>
              <w:t>Latvija nodrošinātu</w:t>
            </w:r>
            <w:r w:rsidR="002766C3" w:rsidRPr="00FD4277">
              <w:rPr>
                <w:b w:val="0"/>
                <w:sz w:val="24"/>
                <w:szCs w:val="24"/>
              </w:rPr>
              <w:t xml:space="preserve"> dzīvnieku </w:t>
            </w:r>
            <w:r w:rsidRPr="00FD4277">
              <w:rPr>
                <w:b w:val="0"/>
                <w:sz w:val="24"/>
                <w:szCs w:val="24"/>
              </w:rPr>
              <w:t xml:space="preserve">līķu savākšanu, transportēšanu, pārstrādāšanu un likvidēšanu atbilstoši </w:t>
            </w:r>
            <w:r w:rsidR="002766C3">
              <w:rPr>
                <w:b w:val="0"/>
                <w:sz w:val="24"/>
                <w:szCs w:val="24"/>
              </w:rPr>
              <w:t>Eiropas Savienības prasībām</w:t>
            </w:r>
            <w:r w:rsidRPr="00FD4277">
              <w:rPr>
                <w:b w:val="0"/>
                <w:sz w:val="24"/>
                <w:szCs w:val="24"/>
              </w:rPr>
              <w:t xml:space="preserve"> veselības aizsardzības noteikum</w:t>
            </w:r>
            <w:r w:rsidR="002766C3">
              <w:rPr>
                <w:b w:val="0"/>
                <w:sz w:val="24"/>
                <w:szCs w:val="24"/>
              </w:rPr>
              <w:t>os</w:t>
            </w:r>
            <w:r w:rsidRPr="00FD4277">
              <w:rPr>
                <w:b w:val="0"/>
                <w:sz w:val="24"/>
                <w:szCs w:val="24"/>
              </w:rPr>
              <w:t xml:space="preserve"> attiecībā uz dzīvnieku izcelsmes blakusproduktiem un atvasinātajiem produktiem, kuri nav paredzēti cilvēku patēriņam,</w:t>
            </w:r>
            <w:r w:rsidR="002766C3">
              <w:rPr>
                <w:b w:val="0"/>
                <w:sz w:val="24"/>
                <w:szCs w:val="24"/>
              </w:rPr>
              <w:t xml:space="preserve"> noteikumu projekta 13.punktā ir palielināta atbalsta likme</w:t>
            </w:r>
            <w:r w:rsidR="002766C3" w:rsidRPr="002766C3">
              <w:rPr>
                <w:rFonts w:ascii="Arial" w:eastAsiaTheme="minorEastAsia" w:hAnsi="Arial" w:cs="Arial"/>
                <w:b w:val="0"/>
                <w:bCs w:val="0"/>
                <w:sz w:val="22"/>
                <w:szCs w:val="22"/>
              </w:rPr>
              <w:t xml:space="preserve"> </w:t>
            </w:r>
            <w:r w:rsidR="002766C3" w:rsidRPr="002766C3">
              <w:rPr>
                <w:b w:val="0"/>
                <w:sz w:val="24"/>
                <w:szCs w:val="24"/>
              </w:rPr>
              <w:t xml:space="preserve">par jebkura vecuma liellopu, aitu un kazu līķu savākšanu, transportēšanu, pārstrādi un likvidēšanu </w:t>
            </w:r>
            <w:r w:rsidR="002766C3">
              <w:rPr>
                <w:b w:val="0"/>
                <w:sz w:val="24"/>
                <w:szCs w:val="24"/>
              </w:rPr>
              <w:t xml:space="preserve">no </w:t>
            </w:r>
            <w:r w:rsidR="002766C3" w:rsidRPr="002766C3">
              <w:rPr>
                <w:b w:val="0"/>
                <w:sz w:val="24"/>
                <w:szCs w:val="24"/>
              </w:rPr>
              <w:t xml:space="preserve">199,20 </w:t>
            </w:r>
            <w:r w:rsidR="002766C3">
              <w:rPr>
                <w:b w:val="0"/>
                <w:sz w:val="24"/>
                <w:szCs w:val="24"/>
              </w:rPr>
              <w:t xml:space="preserve">līdz 220 </w:t>
            </w:r>
            <w:r w:rsidR="002766C3" w:rsidRPr="002766C3">
              <w:rPr>
                <w:b w:val="0"/>
                <w:i/>
                <w:sz w:val="24"/>
                <w:szCs w:val="24"/>
              </w:rPr>
              <w:t>euro</w:t>
            </w:r>
            <w:r w:rsidR="002766C3">
              <w:rPr>
                <w:b w:val="0"/>
                <w:sz w:val="24"/>
                <w:szCs w:val="24"/>
              </w:rPr>
              <w:t xml:space="preserve"> </w:t>
            </w:r>
            <w:r w:rsidR="002766C3" w:rsidRPr="002766C3">
              <w:rPr>
                <w:b w:val="0"/>
                <w:sz w:val="24"/>
                <w:szCs w:val="24"/>
              </w:rPr>
              <w:t>par tonnu</w:t>
            </w:r>
            <w:r w:rsidR="003A3B82">
              <w:rPr>
                <w:b w:val="0"/>
                <w:sz w:val="24"/>
                <w:szCs w:val="24"/>
              </w:rPr>
              <w:t xml:space="preserve">, nepalielinot lauksaimnieka līdzdalības maksājumu 14,23 </w:t>
            </w:r>
            <w:r w:rsidR="003A3B82" w:rsidRPr="003A3B82">
              <w:rPr>
                <w:b w:val="0"/>
                <w:i/>
                <w:sz w:val="24"/>
                <w:szCs w:val="24"/>
              </w:rPr>
              <w:t>euro</w:t>
            </w:r>
            <w:r w:rsidR="003A3B82">
              <w:rPr>
                <w:b w:val="0"/>
                <w:sz w:val="24"/>
                <w:szCs w:val="24"/>
              </w:rPr>
              <w:t xml:space="preserve"> pa</w:t>
            </w:r>
            <w:r w:rsidR="00CF7196">
              <w:rPr>
                <w:b w:val="0"/>
                <w:sz w:val="24"/>
                <w:szCs w:val="24"/>
              </w:rPr>
              <w:t>r</w:t>
            </w:r>
            <w:r w:rsidR="003A3B82">
              <w:rPr>
                <w:b w:val="0"/>
                <w:sz w:val="24"/>
                <w:szCs w:val="24"/>
              </w:rPr>
              <w:t xml:space="preserve"> tonnu.</w:t>
            </w:r>
            <w:r w:rsidR="00E20F2E">
              <w:rPr>
                <w:b w:val="0"/>
                <w:sz w:val="24"/>
                <w:szCs w:val="24"/>
              </w:rPr>
              <w:t xml:space="preserve"> Attiecīgi noteikumu projekta 2.pun</w:t>
            </w:r>
            <w:r w:rsidR="00CE3ED7">
              <w:rPr>
                <w:b w:val="0"/>
                <w:sz w:val="24"/>
                <w:szCs w:val="24"/>
              </w:rPr>
              <w:t>k</w:t>
            </w:r>
            <w:r w:rsidR="00E20F2E">
              <w:rPr>
                <w:b w:val="0"/>
                <w:sz w:val="24"/>
                <w:szCs w:val="24"/>
              </w:rPr>
              <w:t xml:space="preserve">tā atbalsta pasākumam </w:t>
            </w:r>
            <w:r w:rsidR="00E20F2E" w:rsidRPr="00E20F2E">
              <w:rPr>
                <w:b w:val="0"/>
                <w:sz w:val="24"/>
                <w:szCs w:val="24"/>
              </w:rPr>
              <w:t>dzīvnieku līķu savākšanai, transportēšanai, pārstrādei un likvidēšanai</w:t>
            </w:r>
            <w:r w:rsidR="00E20F2E">
              <w:rPr>
                <w:b w:val="0"/>
                <w:sz w:val="24"/>
                <w:szCs w:val="24"/>
              </w:rPr>
              <w:t xml:space="preserve"> kopējais finansējums ir palielināts no 993 898 līdz </w:t>
            </w:r>
            <w:r w:rsidR="00E20F2E" w:rsidRPr="00E20F2E">
              <w:rPr>
                <w:b w:val="0"/>
                <w:sz w:val="24"/>
                <w:szCs w:val="24"/>
              </w:rPr>
              <w:t>1 113 440 </w:t>
            </w:r>
            <w:r w:rsidR="00E20F2E" w:rsidRPr="00E20F2E">
              <w:rPr>
                <w:b w:val="0"/>
                <w:i/>
                <w:sz w:val="24"/>
                <w:szCs w:val="24"/>
              </w:rPr>
              <w:t>euro</w:t>
            </w:r>
            <w:r w:rsidR="00E20F2E">
              <w:rPr>
                <w:b w:val="0"/>
                <w:sz w:val="24"/>
                <w:szCs w:val="24"/>
              </w:rPr>
              <w:t>.</w:t>
            </w:r>
          </w:p>
          <w:p w:rsidR="0099391A" w:rsidRDefault="00134BE6"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Sākot ar 2019.gadu</w:t>
            </w:r>
            <w:r w:rsidR="00CE3ED7">
              <w:rPr>
                <w:b w:val="0"/>
                <w:sz w:val="24"/>
                <w:szCs w:val="24"/>
              </w:rPr>
              <w:t>,</w:t>
            </w:r>
            <w:r w:rsidR="00E20F2E">
              <w:rPr>
                <w:b w:val="0"/>
                <w:sz w:val="24"/>
                <w:szCs w:val="24"/>
              </w:rPr>
              <w:t xml:space="preserve"> </w:t>
            </w:r>
            <w:r>
              <w:rPr>
                <w:b w:val="0"/>
                <w:sz w:val="24"/>
                <w:szCs w:val="24"/>
              </w:rPr>
              <w:t xml:space="preserve">kautuvēs un gaļas pārstrādes cehos radušos </w:t>
            </w:r>
            <w:r w:rsidR="00E20F2E">
              <w:rPr>
                <w:b w:val="0"/>
                <w:sz w:val="24"/>
                <w:szCs w:val="24"/>
              </w:rPr>
              <w:t>dzīvnieku izcelsmes blakusproduk</w:t>
            </w:r>
            <w:r>
              <w:rPr>
                <w:b w:val="0"/>
                <w:sz w:val="24"/>
                <w:szCs w:val="24"/>
              </w:rPr>
              <w:t>tus ir paredzēts ne tikai pārstrādāt, bet arī likvidēt (piemēram, aitu un kazu ādas), noteikumu projekta 15., 16., 17., 18. un 19.punktā ir atbilstoši precizēta tiesību</w:t>
            </w:r>
            <w:r w:rsidR="00CE3ED7">
              <w:rPr>
                <w:b w:val="0"/>
                <w:sz w:val="24"/>
                <w:szCs w:val="24"/>
              </w:rPr>
              <w:t xml:space="preserve"> norma</w:t>
            </w:r>
            <w:r>
              <w:rPr>
                <w:b w:val="0"/>
                <w:sz w:val="24"/>
                <w:szCs w:val="24"/>
              </w:rPr>
              <w:t xml:space="preserve">. Tā kā minētajam atbalsta pasākumam 2018.gadā ir palicis neizmantots finansējums, 2019.gadam piešķirtais finansējums ir samazināts no 100 000 līdz 70 000 </w:t>
            </w:r>
            <w:r w:rsidRPr="00BA033E">
              <w:rPr>
                <w:b w:val="0"/>
                <w:i/>
                <w:sz w:val="24"/>
                <w:szCs w:val="24"/>
              </w:rPr>
              <w:t>euro</w:t>
            </w:r>
            <w:r>
              <w:rPr>
                <w:b w:val="0"/>
                <w:sz w:val="24"/>
                <w:szCs w:val="24"/>
              </w:rPr>
              <w:t>.</w:t>
            </w:r>
          </w:p>
          <w:p w:rsidR="00451FA0" w:rsidRPr="00451FA0" w:rsidRDefault="0099391A" w:rsidP="003C5692">
            <w:pPr>
              <w:spacing w:after="0" w:line="240" w:lineRule="auto"/>
              <w:ind w:firstLine="138"/>
              <w:jc w:val="both"/>
              <w:rPr>
                <w:rFonts w:ascii="Times New Roman" w:eastAsia="Times New Roman" w:hAnsi="Times New Roman" w:cs="Times New Roman"/>
                <w:bCs/>
                <w:sz w:val="24"/>
                <w:szCs w:val="24"/>
              </w:rPr>
            </w:pPr>
            <w:r w:rsidRPr="00451FA0">
              <w:rPr>
                <w:rFonts w:ascii="Times New Roman" w:eastAsia="Times New Roman" w:hAnsi="Times New Roman" w:cs="Times New Roman"/>
                <w:bCs/>
                <w:sz w:val="24"/>
                <w:szCs w:val="24"/>
              </w:rPr>
              <w:t xml:space="preserve">Lai nepalielinātu lopkopības saimniecību īpašniekiem finansiālo slogu, noteikumu projekta 20.punktā ir palielināta atbalsta likme no 1,67 līdz trīs </w:t>
            </w:r>
            <w:r w:rsidRPr="00BA033E">
              <w:rPr>
                <w:rFonts w:ascii="Times New Roman" w:eastAsia="Times New Roman" w:hAnsi="Times New Roman" w:cs="Times New Roman"/>
                <w:bCs/>
                <w:i/>
                <w:sz w:val="24"/>
                <w:szCs w:val="24"/>
              </w:rPr>
              <w:t>euro</w:t>
            </w:r>
            <w:r w:rsidRPr="00451FA0">
              <w:rPr>
                <w:rFonts w:ascii="Times New Roman" w:eastAsia="Times New Roman" w:hAnsi="Times New Roman" w:cs="Times New Roman"/>
                <w:bCs/>
                <w:sz w:val="24"/>
                <w:szCs w:val="24"/>
              </w:rPr>
              <w:t>.</w:t>
            </w:r>
            <w:r w:rsidR="00A629A7" w:rsidRPr="00451FA0">
              <w:rPr>
                <w:rFonts w:ascii="Times New Roman" w:eastAsia="Times New Roman" w:hAnsi="Times New Roman" w:cs="Times New Roman"/>
                <w:bCs/>
                <w:sz w:val="24"/>
                <w:szCs w:val="24"/>
              </w:rPr>
              <w:t xml:space="preserve"> </w:t>
            </w:r>
            <w:r w:rsidR="00451FA0" w:rsidRPr="00451FA0">
              <w:rPr>
                <w:rFonts w:ascii="Times New Roman" w:eastAsia="Times New Roman" w:hAnsi="Times New Roman" w:cs="Times New Roman"/>
                <w:bCs/>
                <w:sz w:val="24"/>
                <w:szCs w:val="24"/>
              </w:rPr>
              <w:t>Veterinārās ekspertīzes funkciju veic 70 valsts pilnvaroti veterinārārsti. Šobrīd esoš</w:t>
            </w:r>
            <w:r w:rsidR="00451FA0">
              <w:rPr>
                <w:rFonts w:ascii="Times New Roman" w:eastAsia="Times New Roman" w:hAnsi="Times New Roman" w:cs="Times New Roman"/>
                <w:bCs/>
                <w:sz w:val="24"/>
                <w:szCs w:val="24"/>
              </w:rPr>
              <w:t>ā</w:t>
            </w:r>
            <w:r w:rsidR="00451FA0" w:rsidRPr="00451FA0">
              <w:rPr>
                <w:rFonts w:ascii="Times New Roman" w:eastAsia="Times New Roman" w:hAnsi="Times New Roman" w:cs="Times New Roman"/>
                <w:bCs/>
                <w:sz w:val="24"/>
                <w:szCs w:val="24"/>
              </w:rPr>
              <w:t xml:space="preserve"> </w:t>
            </w:r>
            <w:r w:rsidR="00451FA0">
              <w:rPr>
                <w:rFonts w:ascii="Times New Roman" w:eastAsia="Times New Roman" w:hAnsi="Times New Roman" w:cs="Times New Roman"/>
                <w:bCs/>
                <w:sz w:val="24"/>
                <w:szCs w:val="24"/>
              </w:rPr>
              <w:t>veterinārās ekspertīzes stundas likme</w:t>
            </w:r>
            <w:r w:rsidR="00451FA0" w:rsidRPr="00451FA0">
              <w:rPr>
                <w:rFonts w:ascii="Times New Roman" w:eastAsia="Times New Roman" w:hAnsi="Times New Roman" w:cs="Times New Roman"/>
                <w:bCs/>
                <w:sz w:val="24"/>
                <w:szCs w:val="24"/>
              </w:rPr>
              <w:t xml:space="preserve"> nav konkurētspējīg</w:t>
            </w:r>
            <w:r w:rsidR="00451FA0">
              <w:rPr>
                <w:rFonts w:ascii="Times New Roman" w:eastAsia="Times New Roman" w:hAnsi="Times New Roman" w:cs="Times New Roman"/>
                <w:bCs/>
                <w:sz w:val="24"/>
                <w:szCs w:val="24"/>
              </w:rPr>
              <w:t>a</w:t>
            </w:r>
            <w:r w:rsidR="00CF7196">
              <w:rPr>
                <w:rFonts w:ascii="Times New Roman" w:eastAsia="Times New Roman" w:hAnsi="Times New Roman" w:cs="Times New Roman"/>
                <w:bCs/>
                <w:sz w:val="24"/>
                <w:szCs w:val="24"/>
              </w:rPr>
              <w:t>,</w:t>
            </w:r>
            <w:r w:rsidR="00451FA0" w:rsidRPr="00451FA0">
              <w:rPr>
                <w:rFonts w:ascii="Times New Roman" w:eastAsia="Times New Roman" w:hAnsi="Times New Roman" w:cs="Times New Roman"/>
                <w:bCs/>
                <w:sz w:val="24"/>
                <w:szCs w:val="24"/>
              </w:rPr>
              <w:t xml:space="preserve"> </w:t>
            </w:r>
            <w:r w:rsidR="00451FA0">
              <w:rPr>
                <w:rFonts w:ascii="Times New Roman" w:eastAsia="Times New Roman" w:hAnsi="Times New Roman" w:cs="Times New Roman"/>
                <w:bCs/>
                <w:sz w:val="24"/>
                <w:szCs w:val="24"/>
              </w:rPr>
              <w:t>un</w:t>
            </w:r>
            <w:r w:rsidR="00CF7196">
              <w:rPr>
                <w:rFonts w:ascii="Times New Roman" w:eastAsia="Times New Roman" w:hAnsi="Times New Roman" w:cs="Times New Roman"/>
                <w:bCs/>
                <w:sz w:val="24"/>
                <w:szCs w:val="24"/>
              </w:rPr>
              <w:t>,</w:t>
            </w:r>
            <w:r w:rsidR="00451FA0">
              <w:rPr>
                <w:rFonts w:ascii="Times New Roman" w:eastAsia="Times New Roman" w:hAnsi="Times New Roman" w:cs="Times New Roman"/>
                <w:bCs/>
                <w:sz w:val="24"/>
                <w:szCs w:val="24"/>
              </w:rPr>
              <w:t xml:space="preserve"> nepalielinot valsts atbalstu, var izveidoties situācija, ka</w:t>
            </w:r>
            <w:r w:rsidR="00CF7196">
              <w:rPr>
                <w:rFonts w:ascii="Times New Roman" w:eastAsia="Times New Roman" w:hAnsi="Times New Roman" w:cs="Times New Roman"/>
                <w:bCs/>
                <w:sz w:val="24"/>
                <w:szCs w:val="24"/>
              </w:rPr>
              <w:t>d</w:t>
            </w:r>
            <w:r w:rsidR="00451FA0">
              <w:rPr>
                <w:rFonts w:ascii="Times New Roman" w:eastAsia="Times New Roman" w:hAnsi="Times New Roman" w:cs="Times New Roman"/>
                <w:bCs/>
                <w:sz w:val="24"/>
                <w:szCs w:val="24"/>
              </w:rPr>
              <w:t xml:space="preserve"> valsts uzraudzības institūcijā nav spējīga kautuvēs nodrošināt pilnvērtīgu veterināro ekspertīzi un cilvēku pārtikas ražošanā draudētu nonākt nepārbaudīta svaigā gaļa. Ņemot vērā minēto, atbalstam veterinārās ekspertīzes </w:t>
            </w:r>
            <w:r w:rsidR="003C5692">
              <w:rPr>
                <w:rFonts w:ascii="Times New Roman" w:eastAsia="Times New Roman" w:hAnsi="Times New Roman" w:cs="Times New Roman"/>
                <w:bCs/>
                <w:sz w:val="24"/>
                <w:szCs w:val="24"/>
              </w:rPr>
              <w:lastRenderedPageBreak/>
              <w:t xml:space="preserve">izmaksu daļējai segšanai 2019. gadā ir palielināts finansējums par 149 091 </w:t>
            </w:r>
            <w:r w:rsidR="003C5692" w:rsidRPr="003C5692">
              <w:rPr>
                <w:rFonts w:ascii="Times New Roman" w:eastAsia="Times New Roman" w:hAnsi="Times New Roman" w:cs="Times New Roman"/>
                <w:bCs/>
                <w:i/>
                <w:sz w:val="24"/>
                <w:szCs w:val="24"/>
              </w:rPr>
              <w:t>euro</w:t>
            </w:r>
            <w:r w:rsidR="003C5692">
              <w:rPr>
                <w:rFonts w:ascii="Times New Roman" w:eastAsia="Times New Roman" w:hAnsi="Times New Roman" w:cs="Times New Roman"/>
                <w:bCs/>
                <w:sz w:val="24"/>
                <w:szCs w:val="24"/>
              </w:rPr>
              <w:t>.</w:t>
            </w:r>
          </w:p>
          <w:p w:rsidR="00E55A79" w:rsidRPr="00605AEA" w:rsidRDefault="00CE3ED7" w:rsidP="003C5692">
            <w:pPr>
              <w:pStyle w:val="Virsraksts3"/>
              <w:shd w:val="clear" w:color="auto" w:fill="FFFFFF"/>
              <w:spacing w:before="0" w:beforeAutospacing="0" w:after="0" w:afterAutospacing="0"/>
              <w:ind w:firstLine="120"/>
              <w:jc w:val="both"/>
              <w:rPr>
                <w:b w:val="0"/>
                <w:sz w:val="24"/>
                <w:szCs w:val="24"/>
              </w:rPr>
            </w:pPr>
            <w:r>
              <w:rPr>
                <w:b w:val="0"/>
                <w:sz w:val="24"/>
                <w:szCs w:val="24"/>
              </w:rPr>
              <w:t>S</w:t>
            </w:r>
            <w:r w:rsidR="0099391A">
              <w:rPr>
                <w:b w:val="0"/>
                <w:sz w:val="24"/>
                <w:szCs w:val="24"/>
              </w:rPr>
              <w:t>niegto pakalpojumu izmaksu kāpuma</w:t>
            </w:r>
            <w:r>
              <w:rPr>
                <w:b w:val="0"/>
                <w:sz w:val="24"/>
                <w:szCs w:val="24"/>
              </w:rPr>
              <w:t xml:space="preserve"> dēļ</w:t>
            </w:r>
            <w:r w:rsidR="0099391A">
              <w:rPr>
                <w:b w:val="0"/>
                <w:sz w:val="24"/>
                <w:szCs w:val="24"/>
              </w:rPr>
              <w:t xml:space="preserve"> 2019.gadā ir nepieciešams palielināt </w:t>
            </w:r>
            <w:r w:rsidR="00DA2E37">
              <w:rPr>
                <w:b w:val="0"/>
                <w:sz w:val="24"/>
                <w:szCs w:val="24"/>
              </w:rPr>
              <w:t>finansējum</w:t>
            </w:r>
            <w:r>
              <w:rPr>
                <w:b w:val="0"/>
                <w:sz w:val="24"/>
                <w:szCs w:val="24"/>
              </w:rPr>
              <w:t>u</w:t>
            </w:r>
            <w:r w:rsidR="0099391A">
              <w:rPr>
                <w:b w:val="0"/>
                <w:sz w:val="24"/>
                <w:szCs w:val="24"/>
              </w:rPr>
              <w:t xml:space="preserve"> </w:t>
            </w:r>
            <w:r w:rsidR="00DA2E37">
              <w:rPr>
                <w:b w:val="0"/>
                <w:sz w:val="24"/>
                <w:szCs w:val="24"/>
              </w:rPr>
              <w:t>ciltsdarba pasākumiem piensaimniecības nozarē</w:t>
            </w:r>
            <w:r w:rsidR="003C5692">
              <w:rPr>
                <w:b w:val="0"/>
                <w:sz w:val="24"/>
                <w:szCs w:val="24"/>
              </w:rPr>
              <w:t xml:space="preserve"> par 46 993 </w:t>
            </w:r>
            <w:r w:rsidR="003C5692" w:rsidRPr="003C5692">
              <w:rPr>
                <w:b w:val="0"/>
                <w:i/>
                <w:sz w:val="24"/>
                <w:szCs w:val="24"/>
              </w:rPr>
              <w:t>euro</w:t>
            </w:r>
            <w:r w:rsidR="00CF7196">
              <w:rPr>
                <w:b w:val="0"/>
                <w:sz w:val="24"/>
                <w:szCs w:val="24"/>
              </w:rPr>
              <w:t xml:space="preserve"> un</w:t>
            </w:r>
            <w:r w:rsidR="00CD769F">
              <w:rPr>
                <w:b w:val="0"/>
                <w:sz w:val="24"/>
                <w:szCs w:val="24"/>
              </w:rPr>
              <w:t xml:space="preserve"> </w:t>
            </w:r>
            <w:r w:rsidR="00DA2E37" w:rsidRPr="00DA2E37">
              <w:rPr>
                <w:b w:val="0"/>
                <w:sz w:val="24"/>
                <w:szCs w:val="24"/>
              </w:rPr>
              <w:t>dzīvnieku līķu savākšanai, transportēšanai, pārstrādei un likvidēšanai</w:t>
            </w:r>
            <w:r w:rsidR="003C5692">
              <w:rPr>
                <w:b w:val="0"/>
                <w:sz w:val="24"/>
                <w:szCs w:val="24"/>
              </w:rPr>
              <w:t xml:space="preserve"> </w:t>
            </w:r>
            <w:r w:rsidR="00CF7196">
              <w:rPr>
                <w:b w:val="0"/>
                <w:sz w:val="24"/>
                <w:szCs w:val="24"/>
              </w:rPr>
              <w:t xml:space="preserve">– </w:t>
            </w:r>
            <w:r w:rsidR="003C5692">
              <w:rPr>
                <w:b w:val="0"/>
                <w:sz w:val="24"/>
                <w:szCs w:val="24"/>
              </w:rPr>
              <w:t xml:space="preserve">par 119 542 </w:t>
            </w:r>
            <w:r w:rsidR="003C5692" w:rsidRPr="003C5692">
              <w:rPr>
                <w:b w:val="0"/>
                <w:i/>
                <w:sz w:val="24"/>
                <w:szCs w:val="24"/>
              </w:rPr>
              <w:t>euro</w:t>
            </w:r>
            <w:r w:rsidR="00044E7F">
              <w:rPr>
                <w:b w:val="0"/>
                <w:sz w:val="24"/>
                <w:szCs w:val="24"/>
              </w:rPr>
              <w:t>.</w:t>
            </w:r>
            <w:r w:rsidR="00DA2E37">
              <w:rPr>
                <w:b w:val="0"/>
                <w:sz w:val="24"/>
                <w:szCs w:val="24"/>
              </w:rPr>
              <w:t xml:space="preserve"> </w:t>
            </w:r>
            <w:r w:rsidR="00200FC9">
              <w:rPr>
                <w:b w:val="0"/>
                <w:sz w:val="24"/>
                <w:szCs w:val="24"/>
              </w:rPr>
              <w:t>Minētais palielinājums ir iespējams</w:t>
            </w:r>
            <w:r>
              <w:rPr>
                <w:b w:val="0"/>
                <w:sz w:val="24"/>
                <w:szCs w:val="24"/>
              </w:rPr>
              <w:t>,</w:t>
            </w:r>
            <w:r w:rsidR="00200FC9">
              <w:rPr>
                <w:b w:val="0"/>
                <w:sz w:val="24"/>
                <w:szCs w:val="24"/>
              </w:rPr>
              <w:t xml:space="preserve"> samazinot valsts atbalstu biškopības nozares attīstībai par vienu bišu saimi no </w:t>
            </w:r>
            <w:r w:rsidR="00200FC9" w:rsidRPr="00CD769F">
              <w:rPr>
                <w:b w:val="0"/>
                <w:sz w:val="24"/>
                <w:szCs w:val="24"/>
              </w:rPr>
              <w:t xml:space="preserve">17,07 līdz 8,50 </w:t>
            </w:r>
            <w:r w:rsidR="00200FC9" w:rsidRPr="00CD769F">
              <w:rPr>
                <w:b w:val="0"/>
                <w:i/>
                <w:sz w:val="24"/>
                <w:szCs w:val="24"/>
              </w:rPr>
              <w:t>euro</w:t>
            </w:r>
            <w:r w:rsidR="00044E7F" w:rsidRPr="00CD769F">
              <w:rPr>
                <w:b w:val="0"/>
                <w:sz w:val="24"/>
                <w:szCs w:val="24"/>
              </w:rPr>
              <w:t xml:space="preserve"> vai kopumā</w:t>
            </w:r>
            <w:r w:rsidR="00044E7F">
              <w:rPr>
                <w:b w:val="0"/>
                <w:sz w:val="24"/>
                <w:szCs w:val="24"/>
              </w:rPr>
              <w:t xml:space="preserve"> par 398 347 </w:t>
            </w:r>
            <w:r w:rsidR="00044E7F" w:rsidRPr="00044E7F">
              <w:rPr>
                <w:b w:val="0"/>
                <w:i/>
                <w:sz w:val="24"/>
                <w:szCs w:val="24"/>
              </w:rPr>
              <w:t>euro</w:t>
            </w:r>
            <w:r w:rsidR="00CD769F">
              <w:rPr>
                <w:b w:val="0"/>
                <w:sz w:val="24"/>
                <w:szCs w:val="24"/>
              </w:rPr>
              <w:t xml:space="preserve"> </w:t>
            </w:r>
            <w:r w:rsidR="00CF7196">
              <w:rPr>
                <w:b w:val="0"/>
                <w:sz w:val="24"/>
                <w:szCs w:val="24"/>
              </w:rPr>
              <w:t>un to</w:t>
            </w:r>
            <w:r w:rsidR="00CD769F">
              <w:rPr>
                <w:b w:val="0"/>
                <w:sz w:val="24"/>
                <w:szCs w:val="24"/>
              </w:rPr>
              <w:t xml:space="preserve"> novirz</w:t>
            </w:r>
            <w:r w:rsidR="00CF7196">
              <w:rPr>
                <w:b w:val="0"/>
                <w:sz w:val="24"/>
                <w:szCs w:val="24"/>
              </w:rPr>
              <w:t>o</w:t>
            </w:r>
            <w:r w:rsidR="00CD769F">
              <w:rPr>
                <w:b w:val="0"/>
                <w:sz w:val="24"/>
                <w:szCs w:val="24"/>
              </w:rPr>
              <w:t xml:space="preserve">t veterinārās ekspertīzes daļējai segšanai, piensaimniecības nozarei, </w:t>
            </w:r>
            <w:r w:rsidR="00CD769F" w:rsidRPr="00CD769F">
              <w:rPr>
                <w:rFonts w:asciiTheme="minorHAnsi" w:eastAsiaTheme="minorEastAsia" w:hAnsiTheme="minorHAnsi" w:cstheme="minorBidi"/>
                <w:b w:val="0"/>
                <w:bCs w:val="0"/>
                <w:sz w:val="24"/>
                <w:szCs w:val="24"/>
              </w:rPr>
              <w:t xml:space="preserve"> </w:t>
            </w:r>
            <w:r w:rsidR="00CD769F" w:rsidRPr="00CD769F">
              <w:rPr>
                <w:b w:val="0"/>
                <w:sz w:val="24"/>
                <w:szCs w:val="24"/>
              </w:rPr>
              <w:t xml:space="preserve">dzīvnieku līķu savākšanai, transportēšanai, pārstrādei un </w:t>
            </w:r>
            <w:r w:rsidR="00CD769F" w:rsidRPr="00605AEA">
              <w:rPr>
                <w:b w:val="0"/>
                <w:sz w:val="24"/>
                <w:szCs w:val="24"/>
              </w:rPr>
              <w:t xml:space="preserve">likvidēšanai, </w:t>
            </w:r>
            <w:r w:rsidR="00605AEA" w:rsidRPr="00605AEA">
              <w:rPr>
                <w:b w:val="0"/>
                <w:sz w:val="24"/>
                <w:szCs w:val="24"/>
              </w:rPr>
              <w:t>kā arī</w:t>
            </w:r>
            <w:r w:rsidR="00605AEA">
              <w:rPr>
                <w:b w:val="0"/>
                <w:sz w:val="24"/>
                <w:szCs w:val="24"/>
              </w:rPr>
              <w:t xml:space="preserve"> cūkkopības nozarei – 29 898 </w:t>
            </w:r>
            <w:r w:rsidR="00605AEA" w:rsidRPr="00605AEA">
              <w:rPr>
                <w:b w:val="0"/>
                <w:i/>
                <w:sz w:val="24"/>
                <w:szCs w:val="24"/>
              </w:rPr>
              <w:t>euro</w:t>
            </w:r>
            <w:r w:rsidR="00605AEA">
              <w:rPr>
                <w:b w:val="0"/>
                <w:sz w:val="24"/>
                <w:szCs w:val="24"/>
              </w:rPr>
              <w:t>,</w:t>
            </w:r>
            <w:r w:rsidR="00605AEA" w:rsidRPr="00605AEA">
              <w:rPr>
                <w:b w:val="0"/>
                <w:sz w:val="24"/>
                <w:szCs w:val="24"/>
              </w:rPr>
              <w:t xml:space="preserve"> </w:t>
            </w:r>
            <w:r w:rsidR="00CD769F" w:rsidRPr="00605AEA">
              <w:rPr>
                <w:b w:val="0"/>
                <w:sz w:val="24"/>
                <w:szCs w:val="24"/>
              </w:rPr>
              <w:t>k</w:t>
            </w:r>
            <w:r w:rsidR="00CF7196">
              <w:rPr>
                <w:b w:val="0"/>
                <w:sz w:val="24"/>
                <w:szCs w:val="24"/>
              </w:rPr>
              <w:t>u</w:t>
            </w:r>
            <w:r w:rsidR="00CD769F" w:rsidRPr="00605AEA">
              <w:rPr>
                <w:b w:val="0"/>
                <w:sz w:val="24"/>
                <w:szCs w:val="24"/>
              </w:rPr>
              <w:t xml:space="preserve">ltūraugu genofonda saglabāšanai </w:t>
            </w:r>
            <w:r w:rsidR="00605AEA">
              <w:rPr>
                <w:b w:val="0"/>
                <w:sz w:val="24"/>
                <w:szCs w:val="24"/>
              </w:rPr>
              <w:t>–</w:t>
            </w:r>
            <w:r w:rsidR="00CD769F" w:rsidRPr="00605AEA">
              <w:rPr>
                <w:b w:val="0"/>
                <w:sz w:val="24"/>
                <w:szCs w:val="24"/>
              </w:rPr>
              <w:t xml:space="preserve"> 3 543 </w:t>
            </w:r>
            <w:r w:rsidR="00CD769F" w:rsidRPr="00605AEA">
              <w:rPr>
                <w:b w:val="0"/>
                <w:i/>
                <w:sz w:val="24"/>
                <w:szCs w:val="24"/>
              </w:rPr>
              <w:t>euro</w:t>
            </w:r>
            <w:r w:rsidR="00CD769F" w:rsidRPr="00605AEA">
              <w:rPr>
                <w:b w:val="0"/>
                <w:sz w:val="24"/>
                <w:szCs w:val="24"/>
              </w:rPr>
              <w:t xml:space="preserve"> </w:t>
            </w:r>
            <w:r w:rsidR="00605AEA">
              <w:rPr>
                <w:b w:val="0"/>
                <w:sz w:val="24"/>
                <w:szCs w:val="24"/>
              </w:rPr>
              <w:t>un</w:t>
            </w:r>
            <w:r w:rsidR="00CD769F" w:rsidRPr="00605AEA">
              <w:rPr>
                <w:b w:val="0"/>
                <w:sz w:val="24"/>
                <w:szCs w:val="24"/>
              </w:rPr>
              <w:t xml:space="preserve"> atliku</w:t>
            </w:r>
            <w:r w:rsidR="00CF7196">
              <w:rPr>
                <w:b w:val="0"/>
                <w:sz w:val="24"/>
                <w:szCs w:val="24"/>
              </w:rPr>
              <w:t>šo</w:t>
            </w:r>
            <w:r w:rsidR="00CD769F" w:rsidRPr="00605AEA">
              <w:rPr>
                <w:b w:val="0"/>
                <w:sz w:val="24"/>
                <w:szCs w:val="24"/>
              </w:rPr>
              <w:t xml:space="preserve"> finansējuma daļ</w:t>
            </w:r>
            <w:r w:rsidR="00CF7196">
              <w:rPr>
                <w:b w:val="0"/>
                <w:sz w:val="24"/>
                <w:szCs w:val="24"/>
              </w:rPr>
              <w:t>u</w:t>
            </w:r>
            <w:r w:rsidR="00CD769F" w:rsidRPr="00605AEA">
              <w:rPr>
                <w:b w:val="0"/>
                <w:sz w:val="24"/>
                <w:szCs w:val="24"/>
              </w:rPr>
              <w:t xml:space="preserve"> 49 280 </w:t>
            </w:r>
            <w:r w:rsidR="00CD769F" w:rsidRPr="00605AEA">
              <w:rPr>
                <w:b w:val="0"/>
                <w:i/>
                <w:sz w:val="24"/>
                <w:szCs w:val="24"/>
              </w:rPr>
              <w:t>euro</w:t>
            </w:r>
            <w:r w:rsidR="00CD769F" w:rsidRPr="00605AEA">
              <w:rPr>
                <w:b w:val="0"/>
                <w:sz w:val="24"/>
                <w:szCs w:val="24"/>
              </w:rPr>
              <w:t xml:space="preserve"> – 2018.gadā uzsākto atbalsta pasākumu izpildes finansēšanai. </w:t>
            </w:r>
          </w:p>
          <w:p w:rsidR="00393834" w:rsidRDefault="00200FC9" w:rsidP="00385344">
            <w:pPr>
              <w:pStyle w:val="Virsraksts3"/>
              <w:shd w:val="clear" w:color="auto" w:fill="FFFFFF"/>
              <w:spacing w:before="0" w:beforeAutospacing="0" w:after="0" w:afterAutospacing="0"/>
              <w:ind w:right="57" w:firstLine="120"/>
              <w:jc w:val="both"/>
              <w:rPr>
                <w:b w:val="0"/>
                <w:sz w:val="24"/>
                <w:szCs w:val="24"/>
              </w:rPr>
            </w:pPr>
            <w:r w:rsidRPr="00605AEA">
              <w:rPr>
                <w:b w:val="0"/>
                <w:sz w:val="24"/>
                <w:szCs w:val="24"/>
              </w:rPr>
              <w:t>Tā kā Lauku atbalsta dienestā</w:t>
            </w:r>
            <w:r>
              <w:rPr>
                <w:b w:val="0"/>
                <w:sz w:val="24"/>
                <w:szCs w:val="24"/>
              </w:rPr>
              <w:t xml:space="preserve"> iesniegumus pretendenti iesniedz elekt</w:t>
            </w:r>
            <w:r w:rsidR="00393834">
              <w:rPr>
                <w:b w:val="0"/>
                <w:sz w:val="24"/>
                <w:szCs w:val="24"/>
              </w:rPr>
              <w:t>r</w:t>
            </w:r>
            <w:r>
              <w:rPr>
                <w:b w:val="0"/>
                <w:sz w:val="24"/>
                <w:szCs w:val="24"/>
              </w:rPr>
              <w:t>o</w:t>
            </w:r>
            <w:r w:rsidR="00393834">
              <w:rPr>
                <w:b w:val="0"/>
                <w:sz w:val="24"/>
                <w:szCs w:val="24"/>
              </w:rPr>
              <w:t>niski, noteikumu projekta 22., 25. un 26.punktā ir precizēta iesniegumu iesniegšanas vieta.</w:t>
            </w:r>
          </w:p>
          <w:p w:rsidR="00393834" w:rsidRDefault="00393834"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23., 29. un 33.punktā ir aizstāta </w:t>
            </w:r>
            <w:r w:rsidR="00AA7BBD">
              <w:rPr>
                <w:b w:val="0"/>
                <w:sz w:val="24"/>
                <w:szCs w:val="24"/>
              </w:rPr>
              <w:t xml:space="preserve">atsauce </w:t>
            </w:r>
            <w:r>
              <w:rPr>
                <w:b w:val="0"/>
                <w:sz w:val="24"/>
                <w:szCs w:val="24"/>
              </w:rPr>
              <w:t>uz spēku zaudējušu normatīvo aktu ar spēkā esošu normatīvo aktu.</w:t>
            </w:r>
          </w:p>
          <w:p w:rsidR="00CB1455" w:rsidRDefault="00AA7BBD"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Atbalstu par dzīvnieku ģenētiskajiem resursiem piešķir par tādu dzīvnieku, </w:t>
            </w:r>
            <w:r w:rsidR="00CB1455">
              <w:rPr>
                <w:b w:val="0"/>
                <w:sz w:val="24"/>
                <w:szCs w:val="24"/>
              </w:rPr>
              <w:t>kam</w:t>
            </w:r>
            <w:r w:rsidRPr="00AA7BBD">
              <w:rPr>
                <w:b w:val="0"/>
                <w:sz w:val="24"/>
                <w:szCs w:val="24"/>
              </w:rPr>
              <w:t xml:space="preserve"> organizācija kārtējā gadā </w:t>
            </w:r>
            <w:r w:rsidR="00CB1455">
              <w:rPr>
                <w:b w:val="0"/>
                <w:sz w:val="24"/>
                <w:szCs w:val="24"/>
              </w:rPr>
              <w:t xml:space="preserve">ir izsniegusi </w:t>
            </w:r>
            <w:r w:rsidRPr="00AA7BBD">
              <w:rPr>
                <w:b w:val="0"/>
                <w:sz w:val="24"/>
                <w:szCs w:val="24"/>
              </w:rPr>
              <w:t>atzinumu par atbilstību lauksaimniecības dzīvnieku ģenētisko resursu saglabāšanas kritērijiem saskaņā ar lauksaimniecības dzīvnieku šķirnes saglabāšanas programmu.</w:t>
            </w:r>
            <w:r w:rsidR="00CB1455">
              <w:rPr>
                <w:b w:val="0"/>
                <w:sz w:val="24"/>
                <w:szCs w:val="24"/>
              </w:rPr>
              <w:t xml:space="preserve"> Noteikumu projekta 27.punktā ir noteikts</w:t>
            </w:r>
            <w:r w:rsidR="00CE3ED7">
              <w:rPr>
                <w:b w:val="0"/>
                <w:sz w:val="24"/>
                <w:szCs w:val="24"/>
              </w:rPr>
              <w:t>,</w:t>
            </w:r>
            <w:r w:rsidR="00CB1455">
              <w:rPr>
                <w:b w:val="0"/>
                <w:sz w:val="24"/>
                <w:szCs w:val="24"/>
              </w:rPr>
              <w:t xml:space="preserve"> k</w:t>
            </w:r>
            <w:r w:rsidR="00CF7196">
              <w:rPr>
                <w:b w:val="0"/>
                <w:sz w:val="24"/>
                <w:szCs w:val="24"/>
              </w:rPr>
              <w:t>urā</w:t>
            </w:r>
            <w:r w:rsidR="00CB1455">
              <w:rPr>
                <w:b w:val="0"/>
                <w:sz w:val="24"/>
                <w:szCs w:val="24"/>
              </w:rPr>
              <w:t xml:space="preserve"> gadījumā atbalstu nepiešķir.</w:t>
            </w:r>
          </w:p>
          <w:p w:rsidR="00CB1455" w:rsidRDefault="00CB1455"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28.punktā ir precizētas atbalsta pasākuma nosaukums atbilstoši faktiskajai situācijai.</w:t>
            </w:r>
          </w:p>
          <w:p w:rsidR="00AA7BBD" w:rsidRPr="0015037C" w:rsidRDefault="00CB1455" w:rsidP="00385344">
            <w:pPr>
              <w:pStyle w:val="Virsraksts3"/>
              <w:shd w:val="clear" w:color="auto" w:fill="FFFFFF"/>
              <w:spacing w:before="0" w:beforeAutospacing="0" w:after="0" w:afterAutospacing="0"/>
              <w:ind w:right="57" w:firstLine="120"/>
              <w:jc w:val="both"/>
              <w:rPr>
                <w:b w:val="0"/>
                <w:sz w:val="24"/>
                <w:szCs w:val="24"/>
              </w:rPr>
            </w:pPr>
            <w:r w:rsidRPr="0015037C">
              <w:rPr>
                <w:b w:val="0"/>
                <w:sz w:val="24"/>
                <w:szCs w:val="24"/>
              </w:rPr>
              <w:t>Lai pretendents varētu sniegt kvalitatīvu subsidētu pakalpojumu gala labuma guvējam, noteikumu 30.punktā ir palielināta administratīvo izmaksu atbalsttiesīgā daļa no pieciem procentiem līdz 10 %.</w:t>
            </w:r>
            <w:r w:rsidR="00AA7BBD" w:rsidRPr="0015037C">
              <w:rPr>
                <w:b w:val="0"/>
                <w:sz w:val="24"/>
                <w:szCs w:val="24"/>
              </w:rPr>
              <w:t xml:space="preserve"> </w:t>
            </w:r>
            <w:r w:rsidR="0015037C">
              <w:rPr>
                <w:b w:val="0"/>
                <w:sz w:val="24"/>
                <w:szCs w:val="24"/>
              </w:rPr>
              <w:t>Tā kā pretendents</w:t>
            </w:r>
            <w:r w:rsidR="00605AEA" w:rsidRPr="0015037C">
              <w:rPr>
                <w:b w:val="0"/>
                <w:sz w:val="24"/>
                <w:szCs w:val="24"/>
              </w:rPr>
              <w:t xml:space="preserve"> </w:t>
            </w:r>
            <w:r w:rsidR="0015037C">
              <w:rPr>
                <w:b w:val="0"/>
                <w:sz w:val="24"/>
                <w:szCs w:val="24"/>
              </w:rPr>
              <w:t xml:space="preserve">ir augu aizsardzības dienests, kuram pirms sēklas sertifikāta izsniegšanas sēklas audzētājam ir jāapmeklē sēklaudzēšanas saimniecība vismaz divas reizes sezonā, </w:t>
            </w:r>
            <w:r w:rsidR="0015037C" w:rsidRPr="0015037C">
              <w:rPr>
                <w:b w:val="0"/>
                <w:sz w:val="24"/>
                <w:szCs w:val="24"/>
              </w:rPr>
              <w:t>augu aizsardz</w:t>
            </w:r>
            <w:r w:rsidR="0015037C">
              <w:rPr>
                <w:b w:val="0"/>
                <w:sz w:val="24"/>
                <w:szCs w:val="24"/>
              </w:rPr>
              <w:t>ības dienestam rodas transportizdevumi, k</w:t>
            </w:r>
            <w:r w:rsidR="00CF7196">
              <w:rPr>
                <w:b w:val="0"/>
                <w:sz w:val="24"/>
                <w:szCs w:val="24"/>
              </w:rPr>
              <w:t>o</w:t>
            </w:r>
            <w:r w:rsidR="0015037C">
              <w:rPr>
                <w:b w:val="0"/>
                <w:sz w:val="24"/>
                <w:szCs w:val="24"/>
              </w:rPr>
              <w:t xml:space="preserve"> tas nav spējīgs segt </w:t>
            </w:r>
            <w:r w:rsidR="00CF7196">
              <w:rPr>
                <w:b w:val="0"/>
                <w:sz w:val="24"/>
                <w:szCs w:val="24"/>
              </w:rPr>
              <w:t>par</w:t>
            </w:r>
            <w:r w:rsidR="0015037C">
              <w:rPr>
                <w:b w:val="0"/>
                <w:sz w:val="24"/>
                <w:szCs w:val="24"/>
              </w:rPr>
              <w:t xml:space="preserve"> saviem līdzekļiem. Lai nebūtu jāprasa samaksa no sēklu audzētāja, ir palielinātas administratīvās izmaksas augu aizsardzības dienestam. </w:t>
            </w:r>
            <w:r w:rsidR="00AA7BBD" w:rsidRPr="0015037C">
              <w:rPr>
                <w:b w:val="0"/>
                <w:sz w:val="24"/>
                <w:szCs w:val="24"/>
              </w:rPr>
              <w:t xml:space="preserve"> </w:t>
            </w:r>
          </w:p>
          <w:p w:rsidR="00393834" w:rsidRDefault="00CB1455"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31. un 32.punktā ir precizēts pasākuma norises gada skaitlis.</w:t>
            </w:r>
          </w:p>
          <w:p w:rsidR="00393834" w:rsidRDefault="00E25912"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Latvijā septiņi pārtikas uzņēmumi</w:t>
            </w:r>
            <w:r w:rsidR="00277757">
              <w:rPr>
                <w:b w:val="0"/>
                <w:sz w:val="24"/>
                <w:szCs w:val="24"/>
              </w:rPr>
              <w:t xml:space="preserve"> ražo ar </w:t>
            </w:r>
            <w:r>
              <w:rPr>
                <w:b w:val="0"/>
                <w:sz w:val="24"/>
                <w:szCs w:val="24"/>
              </w:rPr>
              <w:t>Eiropas Savienīb</w:t>
            </w:r>
            <w:r w:rsidR="00277757">
              <w:rPr>
                <w:b w:val="0"/>
                <w:sz w:val="24"/>
                <w:szCs w:val="24"/>
              </w:rPr>
              <w:t>ā</w:t>
            </w:r>
            <w:r>
              <w:rPr>
                <w:b w:val="0"/>
                <w:sz w:val="24"/>
                <w:szCs w:val="24"/>
              </w:rPr>
              <w:t xml:space="preserve"> </w:t>
            </w:r>
            <w:r w:rsidRPr="00E25912">
              <w:rPr>
                <w:b w:val="0"/>
                <w:sz w:val="24"/>
                <w:szCs w:val="24"/>
              </w:rPr>
              <w:t>aizsargāt</w:t>
            </w:r>
            <w:r w:rsidR="00277757">
              <w:rPr>
                <w:b w:val="0"/>
                <w:sz w:val="24"/>
                <w:szCs w:val="24"/>
              </w:rPr>
              <w:t>u ģeogrāfiskās izcelsmes norādi</w:t>
            </w:r>
            <w:r w:rsidRPr="00E25912">
              <w:rPr>
                <w:b w:val="0"/>
                <w:sz w:val="24"/>
                <w:szCs w:val="24"/>
              </w:rPr>
              <w:t xml:space="preserve"> </w:t>
            </w:r>
            <w:r w:rsidR="00277757">
              <w:rPr>
                <w:b w:val="0"/>
                <w:sz w:val="24"/>
                <w:szCs w:val="24"/>
              </w:rPr>
              <w:t>reģistrētus šādus produktus:</w:t>
            </w:r>
            <w:r w:rsidR="00277757">
              <w:t xml:space="preserve"> </w:t>
            </w:r>
            <w:r w:rsidR="00277757" w:rsidRPr="00277757">
              <w:rPr>
                <w:b w:val="0"/>
                <w:sz w:val="24"/>
                <w:szCs w:val="24"/>
              </w:rPr>
              <w:t>"Jāņu siers"</w:t>
            </w:r>
            <w:r w:rsidR="00277757">
              <w:rPr>
                <w:b w:val="0"/>
                <w:sz w:val="24"/>
                <w:szCs w:val="24"/>
              </w:rPr>
              <w:t xml:space="preserve">, </w:t>
            </w:r>
            <w:r w:rsidR="00277757" w:rsidRPr="00277757">
              <w:rPr>
                <w:b w:val="0"/>
                <w:sz w:val="24"/>
                <w:szCs w:val="24"/>
              </w:rPr>
              <w:t>„Latvijas lielie pelēkie zirņi”</w:t>
            </w:r>
            <w:r w:rsidR="00277757">
              <w:rPr>
                <w:b w:val="0"/>
                <w:sz w:val="24"/>
                <w:szCs w:val="24"/>
              </w:rPr>
              <w:t xml:space="preserve">, </w:t>
            </w:r>
            <w:r w:rsidR="00277757">
              <w:t xml:space="preserve"> </w:t>
            </w:r>
            <w:r w:rsidR="00277757" w:rsidRPr="00277757">
              <w:rPr>
                <w:b w:val="0"/>
                <w:sz w:val="24"/>
                <w:szCs w:val="24"/>
              </w:rPr>
              <w:t>„Carnikavas nēģi”</w:t>
            </w:r>
            <w:r w:rsidR="00277757">
              <w:rPr>
                <w:b w:val="0"/>
                <w:sz w:val="24"/>
                <w:szCs w:val="24"/>
              </w:rPr>
              <w:t xml:space="preserve">, </w:t>
            </w:r>
            <w:r w:rsidR="00277757" w:rsidRPr="00277757">
              <w:rPr>
                <w:b w:val="0"/>
                <w:sz w:val="24"/>
                <w:szCs w:val="24"/>
              </w:rPr>
              <w:t>„Sklandrausis”</w:t>
            </w:r>
            <w:r w:rsidR="00277757">
              <w:rPr>
                <w:b w:val="0"/>
                <w:sz w:val="24"/>
                <w:szCs w:val="24"/>
              </w:rPr>
              <w:t xml:space="preserve">, </w:t>
            </w:r>
            <w:r w:rsidR="00277757" w:rsidRPr="00277757">
              <w:rPr>
                <w:b w:val="0"/>
                <w:sz w:val="24"/>
                <w:szCs w:val="24"/>
              </w:rPr>
              <w:t>„</w:t>
            </w:r>
            <w:proofErr w:type="spellStart"/>
            <w:r w:rsidR="00277757" w:rsidRPr="00277757">
              <w:rPr>
                <w:b w:val="0"/>
                <w:sz w:val="24"/>
                <w:szCs w:val="24"/>
              </w:rPr>
              <w:t>Salinātā</w:t>
            </w:r>
            <w:proofErr w:type="spellEnd"/>
            <w:r w:rsidR="00277757" w:rsidRPr="00277757">
              <w:rPr>
                <w:b w:val="0"/>
                <w:sz w:val="24"/>
                <w:szCs w:val="24"/>
              </w:rPr>
              <w:t xml:space="preserve"> rudzu rupjmaize”</w:t>
            </w:r>
            <w:r w:rsidR="00277757">
              <w:rPr>
                <w:b w:val="0"/>
                <w:sz w:val="24"/>
                <w:szCs w:val="24"/>
              </w:rPr>
              <w:t xml:space="preserve"> un </w:t>
            </w:r>
            <w:r w:rsidR="00277757" w:rsidRPr="00277757">
              <w:rPr>
                <w:b w:val="0"/>
                <w:sz w:val="24"/>
                <w:szCs w:val="24"/>
              </w:rPr>
              <w:t>"Rucavas baltais sviests"</w:t>
            </w:r>
            <w:r w:rsidR="00277757">
              <w:rPr>
                <w:b w:val="0"/>
                <w:sz w:val="24"/>
                <w:szCs w:val="24"/>
              </w:rPr>
              <w:t xml:space="preserve">. Šie pārtikas ražošanas uzņēmumi ir dalībnieki arī nacionālās pārtikas kvalitātes shēmās un bioloģiskās lauksaimniecības shēmā. Lai mazinātu finansiālo slogu uzņēmumiem, kas ražo </w:t>
            </w:r>
            <w:r w:rsidR="0031781F">
              <w:rPr>
                <w:b w:val="0"/>
                <w:sz w:val="24"/>
                <w:szCs w:val="24"/>
              </w:rPr>
              <w:t>ar</w:t>
            </w:r>
            <w:r w:rsidR="0031781F" w:rsidRPr="0031781F">
              <w:rPr>
                <w:rFonts w:asciiTheme="minorHAnsi" w:eastAsiaTheme="minorEastAsia" w:hAnsiTheme="minorHAnsi" w:cstheme="minorBidi"/>
                <w:b w:val="0"/>
                <w:bCs w:val="0"/>
                <w:sz w:val="24"/>
                <w:szCs w:val="24"/>
              </w:rPr>
              <w:t xml:space="preserve"> </w:t>
            </w:r>
            <w:r w:rsidR="0031781F" w:rsidRPr="0031781F">
              <w:rPr>
                <w:b w:val="0"/>
                <w:sz w:val="24"/>
                <w:szCs w:val="24"/>
              </w:rPr>
              <w:t>aizsargātu ģeogrāfiskās izcelsmes norādi reģistrētus</w:t>
            </w:r>
            <w:r w:rsidR="0031781F" w:rsidRPr="0031781F">
              <w:rPr>
                <w:sz w:val="24"/>
                <w:szCs w:val="24"/>
              </w:rPr>
              <w:t xml:space="preserve"> </w:t>
            </w:r>
            <w:r w:rsidR="0031781F" w:rsidRPr="0031781F">
              <w:rPr>
                <w:b w:val="0"/>
                <w:sz w:val="24"/>
                <w:szCs w:val="24"/>
              </w:rPr>
              <w:t>produktus</w:t>
            </w:r>
            <w:r w:rsidR="0031781F">
              <w:rPr>
                <w:b w:val="0"/>
                <w:sz w:val="24"/>
                <w:szCs w:val="24"/>
              </w:rPr>
              <w:t>, noteikumu projekta 35.punktā šiem uzņēmumiem ir paredz</w:t>
            </w:r>
            <w:r w:rsidR="00CF7196">
              <w:rPr>
                <w:b w:val="0"/>
                <w:sz w:val="24"/>
                <w:szCs w:val="24"/>
              </w:rPr>
              <w:t>ēta</w:t>
            </w:r>
            <w:r w:rsidR="00277757">
              <w:rPr>
                <w:b w:val="0"/>
                <w:sz w:val="24"/>
                <w:szCs w:val="24"/>
              </w:rPr>
              <w:t xml:space="preserve"> </w:t>
            </w:r>
            <w:r w:rsidR="0031781F">
              <w:rPr>
                <w:b w:val="0"/>
                <w:sz w:val="24"/>
                <w:szCs w:val="24"/>
              </w:rPr>
              <w:t xml:space="preserve">iespēja saņemt atbalstu par dalību arī </w:t>
            </w:r>
            <w:r w:rsidR="0031781F" w:rsidRPr="0031781F">
              <w:rPr>
                <w:rFonts w:asciiTheme="minorHAnsi" w:eastAsiaTheme="minorEastAsia" w:hAnsiTheme="minorHAnsi" w:cstheme="minorBidi"/>
                <w:bCs w:val="0"/>
                <w:sz w:val="24"/>
                <w:szCs w:val="24"/>
              </w:rPr>
              <w:t xml:space="preserve"> </w:t>
            </w:r>
            <w:r w:rsidR="0031781F" w:rsidRPr="0031781F">
              <w:rPr>
                <w:b w:val="0"/>
                <w:sz w:val="24"/>
                <w:szCs w:val="24"/>
              </w:rPr>
              <w:lastRenderedPageBreak/>
              <w:t>nacionālās pārtikas kvalitātes shēmās un bioloģiskās lauksaimniecības shēmā</w:t>
            </w:r>
            <w:r w:rsidR="0031781F">
              <w:rPr>
                <w:b w:val="0"/>
                <w:sz w:val="24"/>
                <w:szCs w:val="24"/>
              </w:rPr>
              <w:t xml:space="preserve">. </w:t>
            </w:r>
          </w:p>
          <w:p w:rsidR="0031781F" w:rsidRDefault="0031781F"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34. un 36.punktā attiecīgi precizēta atsauce uz noteikumu Nr.1524 apakšpunktiem un noteikum</w:t>
            </w:r>
            <w:r w:rsidR="00CE3ED7">
              <w:rPr>
                <w:b w:val="0"/>
                <w:sz w:val="24"/>
                <w:szCs w:val="24"/>
              </w:rPr>
              <w:t>u</w:t>
            </w:r>
            <w:r>
              <w:rPr>
                <w:b w:val="0"/>
                <w:sz w:val="24"/>
                <w:szCs w:val="24"/>
              </w:rPr>
              <w:t xml:space="preserve"> projekta 35.punktā plānotajiem grozījumiem.</w:t>
            </w:r>
          </w:p>
          <w:p w:rsidR="00CC5F8A" w:rsidRDefault="0031781F"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Lai veicināt</w:t>
            </w:r>
            <w:r w:rsidR="00CE3ED7">
              <w:rPr>
                <w:b w:val="0"/>
                <w:sz w:val="24"/>
                <w:szCs w:val="24"/>
              </w:rPr>
              <w:t>u</w:t>
            </w:r>
            <w:r>
              <w:rPr>
                <w:b w:val="0"/>
                <w:sz w:val="24"/>
                <w:szCs w:val="24"/>
              </w:rPr>
              <w:t xml:space="preserve"> </w:t>
            </w:r>
            <w:r w:rsidRPr="0031781F">
              <w:rPr>
                <w:b w:val="0"/>
                <w:sz w:val="24"/>
                <w:szCs w:val="24"/>
              </w:rPr>
              <w:t>nacionālās pārtikas kvalitātes shēm</w:t>
            </w:r>
            <w:r>
              <w:rPr>
                <w:b w:val="0"/>
                <w:sz w:val="24"/>
                <w:szCs w:val="24"/>
              </w:rPr>
              <w:t>as</w:t>
            </w:r>
            <w:r w:rsidRPr="0031781F">
              <w:rPr>
                <w:b w:val="0"/>
                <w:sz w:val="24"/>
                <w:szCs w:val="24"/>
              </w:rPr>
              <w:t xml:space="preserve"> un bioloģiskās lauksaimniecības shēm</w:t>
            </w:r>
            <w:r>
              <w:rPr>
                <w:b w:val="0"/>
                <w:sz w:val="24"/>
                <w:szCs w:val="24"/>
              </w:rPr>
              <w:t>as produktu atpazīstamību, noteikumu 37., 38. un 39.punktā ir plānots piešķirt finansējumu arī bioloģiskās lauksaimniecības produktu atpazīstamības veicināšanai. Šim nolūkam atbalsta summa ir palielināta no 50</w:t>
            </w:r>
            <w:r w:rsidR="00CC5F8A">
              <w:rPr>
                <w:b w:val="0"/>
                <w:sz w:val="24"/>
                <w:szCs w:val="24"/>
              </w:rPr>
              <w:t> </w:t>
            </w:r>
            <w:r>
              <w:rPr>
                <w:b w:val="0"/>
                <w:sz w:val="24"/>
                <w:szCs w:val="24"/>
              </w:rPr>
              <w:t>000</w:t>
            </w:r>
            <w:r w:rsidR="00CC5F8A">
              <w:rPr>
                <w:b w:val="0"/>
                <w:sz w:val="24"/>
                <w:szCs w:val="24"/>
              </w:rPr>
              <w:t> </w:t>
            </w:r>
            <w:r>
              <w:rPr>
                <w:b w:val="0"/>
                <w:sz w:val="24"/>
                <w:szCs w:val="24"/>
              </w:rPr>
              <w:t xml:space="preserve"> līdz 60 000 </w:t>
            </w:r>
            <w:r w:rsidRPr="00CC5F8A">
              <w:rPr>
                <w:b w:val="0"/>
                <w:i/>
                <w:sz w:val="24"/>
                <w:szCs w:val="24"/>
              </w:rPr>
              <w:t>euro</w:t>
            </w:r>
            <w:r>
              <w:rPr>
                <w:b w:val="0"/>
                <w:sz w:val="24"/>
                <w:szCs w:val="24"/>
              </w:rPr>
              <w:t xml:space="preserve">. </w:t>
            </w:r>
          </w:p>
          <w:p w:rsidR="00D92777" w:rsidRDefault="00CC5F8A"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40.punktā ir mainīts iesnieguma iesniegšanas datums no 10.maija uz 1.martu, lai pretendentam būtu iespēja ātrāk saņemt finansējumu.</w:t>
            </w:r>
          </w:p>
          <w:p w:rsidR="00726B5C" w:rsidRDefault="00D92777"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41. punktā ir noteikts 2019.gadā iesniegumu iesniegšanas termiņš līdz 1.aprīlim.</w:t>
            </w:r>
            <w:r w:rsidR="00393834">
              <w:rPr>
                <w:b w:val="0"/>
                <w:sz w:val="24"/>
                <w:szCs w:val="24"/>
              </w:rPr>
              <w:t xml:space="preserve"> </w:t>
            </w:r>
            <w:r w:rsidR="00200FC9">
              <w:rPr>
                <w:b w:val="0"/>
                <w:sz w:val="24"/>
                <w:szCs w:val="24"/>
              </w:rPr>
              <w:t xml:space="preserve"> </w:t>
            </w:r>
            <w:r w:rsidR="00277757">
              <w:rPr>
                <w:b w:val="0"/>
                <w:sz w:val="24"/>
                <w:szCs w:val="24"/>
              </w:rPr>
              <w:t xml:space="preserve"> </w:t>
            </w:r>
          </w:p>
          <w:p w:rsidR="009F3C65" w:rsidRDefault="00A93BCE" w:rsidP="00D363E4">
            <w:pPr>
              <w:pStyle w:val="Virsraksts3"/>
              <w:shd w:val="clear" w:color="auto" w:fill="FFFFFF"/>
              <w:spacing w:before="0" w:beforeAutospacing="0" w:after="0" w:afterAutospacing="0"/>
              <w:ind w:firstLine="120"/>
              <w:jc w:val="both"/>
              <w:rPr>
                <w:b w:val="0"/>
                <w:sz w:val="24"/>
                <w:szCs w:val="24"/>
              </w:rPr>
            </w:pPr>
            <w:r>
              <w:rPr>
                <w:b w:val="0"/>
                <w:sz w:val="24"/>
                <w:szCs w:val="24"/>
              </w:rPr>
              <w:t>Lai administrēšanas procesu padarītu skaidrāku</w:t>
            </w:r>
            <w:r w:rsidR="00CE3ED7">
              <w:rPr>
                <w:b w:val="0"/>
                <w:sz w:val="24"/>
                <w:szCs w:val="24"/>
              </w:rPr>
              <w:t>,</w:t>
            </w:r>
            <w:r>
              <w:rPr>
                <w:b w:val="0"/>
                <w:sz w:val="24"/>
                <w:szCs w:val="24"/>
              </w:rPr>
              <w:t xml:space="preserve"> n</w:t>
            </w:r>
            <w:r w:rsidR="009F3C65">
              <w:rPr>
                <w:b w:val="0"/>
                <w:sz w:val="24"/>
                <w:szCs w:val="24"/>
              </w:rPr>
              <w:t xml:space="preserve">oteikumu projekta </w:t>
            </w:r>
            <w:r w:rsidR="00AB620C">
              <w:rPr>
                <w:b w:val="0"/>
                <w:sz w:val="24"/>
                <w:szCs w:val="24"/>
              </w:rPr>
              <w:t>42</w:t>
            </w:r>
            <w:r w:rsidR="009F3C65">
              <w:rPr>
                <w:b w:val="0"/>
                <w:sz w:val="24"/>
                <w:szCs w:val="24"/>
              </w:rPr>
              <w:t>.</w:t>
            </w:r>
            <w:r>
              <w:rPr>
                <w:b w:val="0"/>
                <w:sz w:val="24"/>
                <w:szCs w:val="24"/>
              </w:rPr>
              <w:t>, 43., 44., 45., 46., 47., 48., 49.</w:t>
            </w:r>
            <w:r w:rsidR="00D92777">
              <w:rPr>
                <w:b w:val="0"/>
                <w:sz w:val="24"/>
                <w:szCs w:val="24"/>
              </w:rPr>
              <w:t>, 50</w:t>
            </w:r>
            <w:r>
              <w:rPr>
                <w:b w:val="0"/>
                <w:sz w:val="24"/>
                <w:szCs w:val="24"/>
              </w:rPr>
              <w:t xml:space="preserve"> </w:t>
            </w:r>
            <w:r w:rsidR="00D92777">
              <w:rPr>
                <w:b w:val="0"/>
                <w:sz w:val="24"/>
                <w:szCs w:val="24"/>
              </w:rPr>
              <w:t xml:space="preserve">un </w:t>
            </w:r>
            <w:r>
              <w:rPr>
                <w:b w:val="0"/>
                <w:sz w:val="24"/>
                <w:szCs w:val="24"/>
              </w:rPr>
              <w:t>51.</w:t>
            </w:r>
            <w:r w:rsidR="00D92777">
              <w:rPr>
                <w:b w:val="0"/>
                <w:sz w:val="24"/>
                <w:szCs w:val="24"/>
              </w:rPr>
              <w:t xml:space="preserve"> </w:t>
            </w:r>
            <w:r w:rsidR="009F3C65">
              <w:rPr>
                <w:b w:val="0"/>
                <w:sz w:val="24"/>
                <w:szCs w:val="24"/>
              </w:rPr>
              <w:t xml:space="preserve">punktā precizēti </w:t>
            </w:r>
            <w:r>
              <w:rPr>
                <w:b w:val="0"/>
                <w:sz w:val="24"/>
                <w:szCs w:val="24"/>
              </w:rPr>
              <w:t>noteikumu Nr.1524</w:t>
            </w:r>
            <w:r w:rsidR="009F3C65">
              <w:rPr>
                <w:b w:val="0"/>
                <w:sz w:val="24"/>
                <w:szCs w:val="24"/>
              </w:rPr>
              <w:t xml:space="preserve"> pielikumi.</w:t>
            </w:r>
          </w:p>
          <w:p w:rsidR="00A93BCE" w:rsidRPr="00A93BCE" w:rsidRDefault="00A93BCE" w:rsidP="00D363E4">
            <w:pPr>
              <w:pStyle w:val="Virsraksts3"/>
              <w:shd w:val="clear" w:color="auto" w:fill="FFFFFF"/>
              <w:spacing w:before="0" w:beforeAutospacing="0" w:after="0" w:afterAutospacing="0"/>
              <w:ind w:firstLine="120"/>
              <w:jc w:val="both"/>
              <w:rPr>
                <w:b w:val="0"/>
                <w:sz w:val="24"/>
                <w:szCs w:val="24"/>
              </w:rPr>
            </w:pPr>
            <w:r w:rsidRPr="00A93BCE">
              <w:rPr>
                <w:b w:val="0"/>
                <w:sz w:val="24"/>
                <w:szCs w:val="24"/>
              </w:rPr>
              <w:t>Latvija ir ratificējusi virkni starptautisku dokumentu (</w:t>
            </w:r>
            <w:r w:rsidR="009F4A12">
              <w:rPr>
                <w:b w:val="0"/>
                <w:sz w:val="24"/>
                <w:szCs w:val="24"/>
              </w:rPr>
              <w:t xml:space="preserve">piemēram, </w:t>
            </w:r>
            <w:r w:rsidRPr="00A93BCE">
              <w:rPr>
                <w:b w:val="0"/>
                <w:sz w:val="24"/>
                <w:szCs w:val="24"/>
              </w:rPr>
              <w:t xml:space="preserve">Bioloģiskās daudzveidības konvenciju, Starptautisko līgums par augu ģenētiskajiem resursiem pārtikai un lauksaimniecībai), kuri paredz, ka Latvijai kā vienai no līgumslēdzēja pusēm </w:t>
            </w:r>
            <w:r w:rsidR="009F4A12">
              <w:rPr>
                <w:b w:val="0"/>
                <w:sz w:val="24"/>
                <w:szCs w:val="24"/>
              </w:rPr>
              <w:t>ir</w:t>
            </w:r>
            <w:r w:rsidRPr="00A93BCE">
              <w:rPr>
                <w:b w:val="0"/>
                <w:sz w:val="24"/>
                <w:szCs w:val="24"/>
              </w:rPr>
              <w:t xml:space="preserve"> </w:t>
            </w:r>
            <w:r w:rsidR="009F4A12">
              <w:rPr>
                <w:b w:val="0"/>
                <w:sz w:val="24"/>
                <w:szCs w:val="24"/>
              </w:rPr>
              <w:t>jā</w:t>
            </w:r>
            <w:r w:rsidRPr="00A93BCE">
              <w:rPr>
                <w:b w:val="0"/>
                <w:sz w:val="24"/>
                <w:szCs w:val="24"/>
              </w:rPr>
              <w:t xml:space="preserve">izstrādā vai </w:t>
            </w:r>
            <w:r w:rsidR="009F4A12">
              <w:rPr>
                <w:b w:val="0"/>
                <w:sz w:val="24"/>
                <w:szCs w:val="24"/>
              </w:rPr>
              <w:t>jā</w:t>
            </w:r>
            <w:r w:rsidRPr="00A93BCE">
              <w:rPr>
                <w:b w:val="0"/>
                <w:sz w:val="24"/>
                <w:szCs w:val="24"/>
              </w:rPr>
              <w:t>pielāgo jau esošās valstiskās stratēģij</w:t>
            </w:r>
            <w:r w:rsidR="00CF7196">
              <w:rPr>
                <w:b w:val="0"/>
                <w:sz w:val="24"/>
                <w:szCs w:val="24"/>
              </w:rPr>
              <w:t>as</w:t>
            </w:r>
            <w:r w:rsidRPr="00A93BCE">
              <w:rPr>
                <w:b w:val="0"/>
                <w:sz w:val="24"/>
                <w:szCs w:val="24"/>
              </w:rPr>
              <w:t>, plān</w:t>
            </w:r>
            <w:r w:rsidR="00CE3ED7">
              <w:rPr>
                <w:b w:val="0"/>
                <w:sz w:val="24"/>
                <w:szCs w:val="24"/>
              </w:rPr>
              <w:t>i</w:t>
            </w:r>
            <w:r w:rsidRPr="00A93BCE">
              <w:rPr>
                <w:b w:val="0"/>
                <w:sz w:val="24"/>
                <w:szCs w:val="24"/>
              </w:rPr>
              <w:t xml:space="preserve"> vai programmas bioloģiskās daudzveidības saglabāšanai un tās ilgtspējīgai izmantošanai.</w:t>
            </w:r>
            <w:r w:rsidR="009F4A12">
              <w:rPr>
                <w:b w:val="0"/>
                <w:sz w:val="24"/>
                <w:szCs w:val="24"/>
              </w:rPr>
              <w:t> Latvija</w:t>
            </w:r>
            <w:r w:rsidR="00CE3ED7">
              <w:rPr>
                <w:b w:val="0"/>
                <w:sz w:val="24"/>
                <w:szCs w:val="24"/>
              </w:rPr>
              <w:t>i</w:t>
            </w:r>
            <w:r w:rsidR="009F4A12">
              <w:rPr>
                <w:b w:val="0"/>
                <w:sz w:val="24"/>
                <w:szCs w:val="24"/>
              </w:rPr>
              <w:t xml:space="preserve"> </w:t>
            </w:r>
            <w:r w:rsidR="009F4A12" w:rsidRPr="009F4A12">
              <w:rPr>
                <w:b w:val="0"/>
                <w:sz w:val="24"/>
                <w:szCs w:val="24"/>
              </w:rPr>
              <w:t>2018.gada 23.oktobrī ir noslēgts sadarbības līgums</w:t>
            </w:r>
            <w:r w:rsidR="00AA772A">
              <w:rPr>
                <w:b w:val="0"/>
                <w:sz w:val="24"/>
                <w:szCs w:val="24"/>
              </w:rPr>
              <w:t xml:space="preserve"> </w:t>
            </w:r>
            <w:r w:rsidR="00AA772A" w:rsidRPr="00AA772A">
              <w:rPr>
                <w:b w:val="0"/>
                <w:sz w:val="24"/>
                <w:szCs w:val="24"/>
              </w:rPr>
              <w:t>ar Norvēģijas Karalistes lauksaimniecības un pārtikas ministriju par sēklas noguldīšanu Svalbāras Globālajā sēklu glabātavā.</w:t>
            </w:r>
            <w:r w:rsidR="00AA772A">
              <w:rPr>
                <w:b w:val="0"/>
                <w:sz w:val="24"/>
                <w:szCs w:val="24"/>
              </w:rPr>
              <w:t xml:space="preserve"> </w:t>
            </w:r>
            <w:r w:rsidR="00AA772A" w:rsidRPr="00AA772A">
              <w:rPr>
                <w:b w:val="0"/>
                <w:sz w:val="24"/>
                <w:szCs w:val="24"/>
              </w:rPr>
              <w:t>Līgums ir spēkā desmit gadus</w:t>
            </w:r>
            <w:r w:rsidR="00CF7196">
              <w:rPr>
                <w:b w:val="0"/>
                <w:sz w:val="24"/>
                <w:szCs w:val="24"/>
              </w:rPr>
              <w:t>,</w:t>
            </w:r>
            <w:r w:rsidR="00AA772A" w:rsidRPr="00AA772A">
              <w:rPr>
                <w:b w:val="0"/>
                <w:sz w:val="24"/>
                <w:szCs w:val="24"/>
              </w:rPr>
              <w:t xml:space="preserve"> un tas tiek atjaunots automātiski uz nāk</w:t>
            </w:r>
            <w:r w:rsidR="00CF7196">
              <w:rPr>
                <w:b w:val="0"/>
                <w:sz w:val="24"/>
                <w:szCs w:val="24"/>
              </w:rPr>
              <w:t>am</w:t>
            </w:r>
            <w:r w:rsidR="00AA772A" w:rsidRPr="00AA772A">
              <w:rPr>
                <w:b w:val="0"/>
                <w:sz w:val="24"/>
                <w:szCs w:val="24"/>
              </w:rPr>
              <w:t>o desmit gadu periodu, ja vien kāda no pusēm otrai pusei vismaz sešus mēnešus pirms desmit gadu perioda beigām</w:t>
            </w:r>
            <w:r w:rsidR="00CF7196" w:rsidRPr="00AA772A">
              <w:rPr>
                <w:b w:val="0"/>
                <w:sz w:val="24"/>
                <w:szCs w:val="24"/>
              </w:rPr>
              <w:t xml:space="preserve"> neiesniedz rakstisku brīdinājumu</w:t>
            </w:r>
            <w:r w:rsidR="00AA772A" w:rsidRPr="00AA772A">
              <w:rPr>
                <w:b w:val="0"/>
                <w:sz w:val="24"/>
                <w:szCs w:val="24"/>
              </w:rPr>
              <w:t>, ka tā nevēlas pagarināt nolīguma darbību.</w:t>
            </w:r>
            <w:r w:rsidR="009F4A12" w:rsidRPr="009F4A12">
              <w:rPr>
                <w:b w:val="0"/>
                <w:sz w:val="24"/>
                <w:szCs w:val="24"/>
              </w:rPr>
              <w:t xml:space="preserve"> </w:t>
            </w:r>
            <w:r w:rsidR="009F4A12">
              <w:rPr>
                <w:b w:val="0"/>
                <w:sz w:val="24"/>
                <w:szCs w:val="24"/>
              </w:rPr>
              <w:t>P</w:t>
            </w:r>
            <w:r w:rsidR="009F4A12" w:rsidRPr="009F4A12">
              <w:rPr>
                <w:b w:val="0"/>
                <w:sz w:val="24"/>
                <w:szCs w:val="24"/>
              </w:rPr>
              <w:t xml:space="preserve">lānots, ka šajā glabātuvē turpmākajos gados varētu izvietot 180 vērtīgākos sēklu paraugus. Latvijas sēklu paraugus Globālajā sēklu glabātuvē Arktikā (Svalbārā) nepieciešams izvietot, lai Latvija būtu absolūti droša par to, ka valsts vērtīgākie sēklu paraugi neizzudīs. Latvijā ir kultūraugu gēnu banka, kuras saldētavās Salaspilī glabājas Latvijas sēklas. Taču </w:t>
            </w:r>
            <w:r w:rsidR="00CE3ED7">
              <w:rPr>
                <w:b w:val="0"/>
                <w:sz w:val="24"/>
                <w:szCs w:val="24"/>
              </w:rPr>
              <w:t>pēc</w:t>
            </w:r>
            <w:r w:rsidR="009F4A12" w:rsidRPr="009F4A12">
              <w:rPr>
                <w:b w:val="0"/>
                <w:sz w:val="24"/>
                <w:szCs w:val="24"/>
              </w:rPr>
              <w:t xml:space="preserve"> starptautiski pieņemt</w:t>
            </w:r>
            <w:r w:rsidR="00CE3ED7">
              <w:rPr>
                <w:b w:val="0"/>
                <w:sz w:val="24"/>
                <w:szCs w:val="24"/>
              </w:rPr>
              <w:t>as</w:t>
            </w:r>
            <w:r w:rsidR="009F4A12" w:rsidRPr="009F4A12">
              <w:rPr>
                <w:b w:val="0"/>
                <w:sz w:val="24"/>
                <w:szCs w:val="24"/>
              </w:rPr>
              <w:t xml:space="preserve"> praks</w:t>
            </w:r>
            <w:r w:rsidR="00CE3ED7">
              <w:rPr>
                <w:b w:val="0"/>
                <w:sz w:val="24"/>
                <w:szCs w:val="24"/>
              </w:rPr>
              <w:t>es</w:t>
            </w:r>
            <w:r w:rsidR="009F4A12" w:rsidRPr="009F4A12">
              <w:rPr>
                <w:b w:val="0"/>
                <w:sz w:val="24"/>
                <w:szCs w:val="24"/>
              </w:rPr>
              <w:t xml:space="preserve"> būtiskākajiem sēklu paraugiem </w:t>
            </w:r>
            <w:r w:rsidR="00CE3ED7" w:rsidRPr="009F4A12">
              <w:rPr>
                <w:b w:val="0"/>
                <w:sz w:val="24"/>
                <w:szCs w:val="24"/>
              </w:rPr>
              <w:t xml:space="preserve">vienmēr </w:t>
            </w:r>
            <w:r w:rsidR="009F4A12" w:rsidRPr="009F4A12">
              <w:rPr>
                <w:b w:val="0"/>
                <w:sz w:val="24"/>
                <w:szCs w:val="24"/>
              </w:rPr>
              <w:t>jābūt dublējošajām glabāt</w:t>
            </w:r>
            <w:r w:rsidR="00CE3ED7">
              <w:rPr>
                <w:b w:val="0"/>
                <w:sz w:val="24"/>
                <w:szCs w:val="24"/>
              </w:rPr>
              <w:t>avā</w:t>
            </w:r>
            <w:r w:rsidR="009F4A12" w:rsidRPr="009F4A12">
              <w:rPr>
                <w:b w:val="0"/>
                <w:sz w:val="24"/>
                <w:szCs w:val="24"/>
              </w:rPr>
              <w:t>m. Šī ir dublējošā drošības glabāt</w:t>
            </w:r>
            <w:r w:rsidR="00CE3ED7">
              <w:rPr>
                <w:b w:val="0"/>
                <w:sz w:val="24"/>
                <w:szCs w:val="24"/>
              </w:rPr>
              <w:t>ava</w:t>
            </w:r>
            <w:r w:rsidR="009F4A12" w:rsidRPr="009F4A12">
              <w:rPr>
                <w:b w:val="0"/>
                <w:sz w:val="24"/>
                <w:szCs w:val="24"/>
              </w:rPr>
              <w:t xml:space="preserve">. 163 no šiem paraugi ir vairāk </w:t>
            </w:r>
            <w:r w:rsidR="00CE3ED7">
              <w:rPr>
                <w:b w:val="0"/>
                <w:sz w:val="24"/>
                <w:szCs w:val="24"/>
              </w:rPr>
              <w:t>ne</w:t>
            </w:r>
            <w:r w:rsidR="009F4A12" w:rsidRPr="009F4A12">
              <w:rPr>
                <w:b w:val="0"/>
                <w:sz w:val="24"/>
                <w:szCs w:val="24"/>
              </w:rPr>
              <w:t>kā 10 gadus veci, tāpēc pirms nosūtīšanas uz Svalbāru</w:t>
            </w:r>
            <w:r w:rsidR="00CE3ED7" w:rsidRPr="009F4A12">
              <w:rPr>
                <w:b w:val="0"/>
                <w:sz w:val="24"/>
                <w:szCs w:val="24"/>
              </w:rPr>
              <w:t xml:space="preserve"> tos </w:t>
            </w:r>
            <w:r w:rsidR="009F4A12" w:rsidRPr="009F4A12">
              <w:rPr>
                <w:b w:val="0"/>
                <w:sz w:val="24"/>
                <w:szCs w:val="24"/>
              </w:rPr>
              <w:t>nepieciešams atjaunot.</w:t>
            </w:r>
            <w:r w:rsidR="009F4A12">
              <w:rPr>
                <w:b w:val="0"/>
                <w:sz w:val="24"/>
                <w:szCs w:val="24"/>
              </w:rPr>
              <w:t xml:space="preserve"> Ievērojot minēto, noteikumu projekta 50.punktā ir papildināts noteikumu Nr.1524 45.pielikums </w:t>
            </w:r>
            <w:r w:rsidR="00CE3ED7">
              <w:rPr>
                <w:b w:val="0"/>
                <w:sz w:val="24"/>
                <w:szCs w:val="24"/>
              </w:rPr>
              <w:t xml:space="preserve">par </w:t>
            </w:r>
            <w:r w:rsidR="009F4A12">
              <w:rPr>
                <w:b w:val="0"/>
                <w:sz w:val="24"/>
                <w:szCs w:val="24"/>
              </w:rPr>
              <w:t xml:space="preserve">sēklu paraugiem, kurus plānots </w:t>
            </w:r>
            <w:r w:rsidR="00E93350">
              <w:rPr>
                <w:b w:val="0"/>
                <w:sz w:val="24"/>
                <w:szCs w:val="24"/>
              </w:rPr>
              <w:t>nodot Svalbāras sēklu glabāt</w:t>
            </w:r>
            <w:r w:rsidR="00CE3ED7">
              <w:rPr>
                <w:b w:val="0"/>
                <w:sz w:val="24"/>
                <w:szCs w:val="24"/>
              </w:rPr>
              <w:t>avā</w:t>
            </w:r>
            <w:r w:rsidR="00E93350">
              <w:rPr>
                <w:b w:val="0"/>
                <w:sz w:val="24"/>
                <w:szCs w:val="24"/>
              </w:rPr>
              <w:t xml:space="preserve"> un atbalsta pasākumam “Kultūraugu genofonda saglabāšanai” ir palielināt</w:t>
            </w:r>
            <w:r w:rsidR="003A3B82">
              <w:rPr>
                <w:b w:val="0"/>
                <w:sz w:val="24"/>
                <w:szCs w:val="24"/>
              </w:rPr>
              <w:t xml:space="preserve">a atbalsta summa par </w:t>
            </w:r>
            <w:r w:rsidR="00E93350">
              <w:rPr>
                <w:b w:val="0"/>
                <w:sz w:val="24"/>
                <w:szCs w:val="24"/>
              </w:rPr>
              <w:t>3543</w:t>
            </w:r>
            <w:r w:rsidR="003A3B82">
              <w:rPr>
                <w:b w:val="0"/>
                <w:sz w:val="24"/>
                <w:szCs w:val="24"/>
              </w:rPr>
              <w:t xml:space="preserve"> </w:t>
            </w:r>
            <w:r w:rsidR="003A3B82" w:rsidRPr="003A3B82">
              <w:rPr>
                <w:b w:val="0"/>
                <w:i/>
                <w:sz w:val="24"/>
                <w:szCs w:val="24"/>
              </w:rPr>
              <w:t>euro</w:t>
            </w:r>
            <w:r w:rsidR="003A3B82">
              <w:rPr>
                <w:b w:val="0"/>
                <w:sz w:val="24"/>
                <w:szCs w:val="24"/>
              </w:rPr>
              <w:t>.</w:t>
            </w:r>
            <w:r w:rsidR="00D363E4">
              <w:rPr>
                <w:b w:val="0"/>
                <w:sz w:val="24"/>
                <w:szCs w:val="24"/>
              </w:rPr>
              <w:t xml:space="preserve"> Par minētā līguma darbību Latvija neuzņemas finansiālas saistības, tas ir bezmaksas. </w:t>
            </w:r>
            <w:r w:rsidR="00CF7196">
              <w:rPr>
                <w:b w:val="0"/>
                <w:sz w:val="24"/>
                <w:szCs w:val="24"/>
              </w:rPr>
              <w:t>Gala labuma guvēji no s</w:t>
            </w:r>
            <w:r w:rsidR="00D363E4">
              <w:rPr>
                <w:b w:val="0"/>
                <w:sz w:val="24"/>
                <w:szCs w:val="24"/>
              </w:rPr>
              <w:t>ēklas paraugu novietošan</w:t>
            </w:r>
            <w:r w:rsidR="003B619C">
              <w:rPr>
                <w:b w:val="0"/>
                <w:sz w:val="24"/>
                <w:szCs w:val="24"/>
              </w:rPr>
              <w:t>as</w:t>
            </w:r>
            <w:r w:rsidR="00D363E4">
              <w:rPr>
                <w:b w:val="0"/>
                <w:sz w:val="24"/>
                <w:szCs w:val="24"/>
              </w:rPr>
              <w:t xml:space="preserve"> </w:t>
            </w:r>
            <w:r w:rsidR="00D363E4" w:rsidRPr="00D363E4">
              <w:rPr>
                <w:b w:val="0"/>
                <w:sz w:val="24"/>
                <w:szCs w:val="24"/>
              </w:rPr>
              <w:t>Svalbāras sēklu glabātavā</w:t>
            </w:r>
            <w:r w:rsidR="003B619C">
              <w:rPr>
                <w:b w:val="0"/>
                <w:sz w:val="24"/>
                <w:szCs w:val="24"/>
              </w:rPr>
              <w:t xml:space="preserve"> ir</w:t>
            </w:r>
            <w:r w:rsidR="00D363E4">
              <w:rPr>
                <w:b w:val="0"/>
                <w:sz w:val="24"/>
                <w:szCs w:val="24"/>
              </w:rPr>
              <w:t xml:space="preserve"> </w:t>
            </w:r>
            <w:r w:rsidR="003B619C">
              <w:rPr>
                <w:b w:val="0"/>
                <w:sz w:val="24"/>
                <w:szCs w:val="24"/>
              </w:rPr>
              <w:t xml:space="preserve">Latvijas zemnieki, jo ar to ir izveidota dubulta drošība vēsturisko vietējo augu šķirņu saglabāšanai. Šīs šķirnes ir par pamatu jaunu, </w:t>
            </w:r>
            <w:r w:rsidR="003B619C">
              <w:rPr>
                <w:b w:val="0"/>
                <w:sz w:val="24"/>
                <w:szCs w:val="24"/>
              </w:rPr>
              <w:lastRenderedPageBreak/>
              <w:t>Latvijas apstākļiem piemērotu kultūraugu šķirņu selekcionēšanā</w:t>
            </w:r>
            <w:r w:rsidR="00CF7196">
              <w:rPr>
                <w:b w:val="0"/>
                <w:sz w:val="24"/>
                <w:szCs w:val="24"/>
              </w:rPr>
              <w:t>,</w:t>
            </w:r>
            <w:r w:rsidR="003B619C">
              <w:rPr>
                <w:b w:val="0"/>
                <w:sz w:val="24"/>
                <w:szCs w:val="24"/>
              </w:rPr>
              <w:t xml:space="preserve"> un globālas dabas katastrofas gadījumā zemniekiem būs iespēja iegūt sēkl</w:t>
            </w:r>
            <w:r w:rsidR="00CF7196">
              <w:rPr>
                <w:b w:val="0"/>
                <w:sz w:val="24"/>
                <w:szCs w:val="24"/>
              </w:rPr>
              <w:t>u</w:t>
            </w:r>
            <w:r w:rsidR="003B619C">
              <w:rPr>
                <w:b w:val="0"/>
                <w:sz w:val="24"/>
                <w:szCs w:val="24"/>
              </w:rPr>
              <w:t>, lai atjaunotu sējumus un ražošanu.</w:t>
            </w:r>
          </w:p>
          <w:p w:rsidR="00077EB0" w:rsidRPr="00DD49B6" w:rsidRDefault="00431E7C" w:rsidP="00B55AE9">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noteikumos Nr.1524 ļaus </w:t>
            </w:r>
            <w:r>
              <w:rPr>
                <w:b w:val="0"/>
                <w:sz w:val="24"/>
                <w:szCs w:val="24"/>
              </w:rPr>
              <w:t>p</w:t>
            </w:r>
            <w:r w:rsidRPr="00367875">
              <w:rPr>
                <w:b w:val="0"/>
                <w:sz w:val="24"/>
                <w:szCs w:val="24"/>
              </w:rPr>
              <w:t>lānveid</w:t>
            </w:r>
            <w:r>
              <w:rPr>
                <w:b w:val="0"/>
                <w:sz w:val="24"/>
                <w:szCs w:val="24"/>
              </w:rPr>
              <w:t>īgi</w:t>
            </w:r>
            <w:r w:rsidRPr="00367875">
              <w:rPr>
                <w:b w:val="0"/>
                <w:sz w:val="24"/>
                <w:szCs w:val="24"/>
              </w:rPr>
              <w:t xml:space="preserve"> </w:t>
            </w:r>
            <w:r w:rsidR="006C485A">
              <w:rPr>
                <w:b w:val="0"/>
                <w:sz w:val="24"/>
                <w:szCs w:val="24"/>
              </w:rPr>
              <w:t>izmantot</w:t>
            </w:r>
            <w:r w:rsidRPr="00367875">
              <w:rPr>
                <w:b w:val="0"/>
                <w:sz w:val="24"/>
                <w:szCs w:val="24"/>
              </w:rPr>
              <w:t xml:space="preserve"> valsts atbalstam piešķirtos finanšu līdzekļus </w:t>
            </w:r>
            <w:r w:rsidRPr="007B1F91">
              <w:rPr>
                <w:b w:val="0"/>
                <w:sz w:val="24"/>
                <w:szCs w:val="24"/>
              </w:rPr>
              <w:t>201</w:t>
            </w:r>
            <w:r w:rsidR="00B55AE9">
              <w:rPr>
                <w:b w:val="0"/>
                <w:sz w:val="24"/>
                <w:szCs w:val="24"/>
              </w:rPr>
              <w:t>9</w:t>
            </w:r>
            <w:r w:rsidRPr="007B1F91">
              <w:rPr>
                <w:b w:val="0"/>
                <w:sz w:val="24"/>
                <w:szCs w:val="24"/>
              </w:rPr>
              <w:t>.gadā</w:t>
            </w:r>
            <w:r>
              <w:rPr>
                <w:b w:val="0"/>
                <w:sz w:val="24"/>
                <w:szCs w:val="24"/>
              </w:rPr>
              <w:t>.</w:t>
            </w:r>
          </w:p>
        </w:tc>
      </w:tr>
      <w:tr w:rsidR="000330A2" w:rsidRPr="00DD49B6" w:rsidTr="00002603">
        <w:trPr>
          <w:trHeight w:val="476"/>
        </w:trPr>
        <w:tc>
          <w:tcPr>
            <w:tcW w:w="226"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257" w:type="pct"/>
          </w:tcPr>
          <w:p w:rsidR="000330A2" w:rsidRPr="00DD49B6" w:rsidRDefault="009F3688" w:rsidP="00B84678">
            <w:pPr>
              <w:pStyle w:val="naiskr"/>
              <w:spacing w:before="0" w:beforeAutospacing="0" w:after="0" w:afterAutospacing="0"/>
              <w:ind w:left="57" w:right="57"/>
            </w:pPr>
            <w:r w:rsidRPr="009F3688">
              <w:t>Projekta izstrādē iesaistītās institūcijas un publiskas personas kapitālsabiedrības</w:t>
            </w:r>
          </w:p>
        </w:tc>
        <w:tc>
          <w:tcPr>
            <w:tcW w:w="3517"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002603">
        <w:tc>
          <w:tcPr>
            <w:tcW w:w="226" w:type="pct"/>
          </w:tcPr>
          <w:p w:rsidR="000330A2" w:rsidRPr="00DD49B6" w:rsidRDefault="000330A2" w:rsidP="00B84678">
            <w:pPr>
              <w:pStyle w:val="naiskr"/>
              <w:spacing w:before="0" w:beforeAutospacing="0" w:after="0" w:afterAutospacing="0"/>
              <w:ind w:left="57" w:right="57"/>
              <w:jc w:val="center"/>
            </w:pPr>
            <w:r w:rsidRPr="00DD49B6">
              <w:t>4.</w:t>
            </w:r>
          </w:p>
        </w:tc>
        <w:tc>
          <w:tcPr>
            <w:tcW w:w="1257" w:type="pct"/>
          </w:tcPr>
          <w:p w:rsidR="000330A2" w:rsidRPr="00DD49B6" w:rsidRDefault="000330A2" w:rsidP="00B84678">
            <w:pPr>
              <w:pStyle w:val="naiskr"/>
              <w:spacing w:before="0" w:beforeAutospacing="0" w:after="0" w:afterAutospacing="0"/>
              <w:ind w:left="57" w:right="57"/>
            </w:pPr>
            <w:r w:rsidRPr="00DD49B6">
              <w:t>Cita informācija</w:t>
            </w:r>
          </w:p>
        </w:tc>
        <w:tc>
          <w:tcPr>
            <w:tcW w:w="3517"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0330A2" w:rsidRPr="00DD49B6" w:rsidRDefault="00E46804" w:rsidP="006C485A">
            <w:pPr>
              <w:spacing w:after="0" w:line="240" w:lineRule="auto"/>
              <w:ind w:firstLine="245"/>
              <w:jc w:val="both"/>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w:t>
            </w:r>
            <w:r w:rsidR="006C485A" w:rsidRPr="00852FAD">
              <w:rPr>
                <w:rFonts w:ascii="Times New Roman" w:eastAsia="Calibri" w:hAnsi="Times New Roman" w:cs="Times New Roman"/>
                <w:iCs/>
                <w:sz w:val="24"/>
                <w:szCs w:val="24"/>
                <w:lang w:eastAsia="en-US"/>
              </w:rPr>
              <w:t xml:space="preserve">100 % </w:t>
            </w:r>
            <w:r w:rsidRPr="00852FAD">
              <w:rPr>
                <w:rFonts w:ascii="Times New Roman" w:eastAsia="Calibri" w:hAnsi="Times New Roman" w:cs="Times New Roman"/>
                <w:iCs/>
                <w:sz w:val="24"/>
                <w:szCs w:val="24"/>
                <w:lang w:eastAsia="en-US"/>
              </w:rPr>
              <w:t xml:space="preserve">tiek maksāts no valsts budžeta līdzekļiem. Ar šiem normatīvajiem aktiem var iepazīties Zemkopības ministrijas </w:t>
            </w:r>
            <w:r w:rsidRPr="00CC61C0">
              <w:rPr>
                <w:rFonts w:ascii="Times New Roman" w:eastAsia="Calibri" w:hAnsi="Times New Roman" w:cs="Times New Roman"/>
                <w:iCs/>
                <w:sz w:val="24"/>
                <w:szCs w:val="24"/>
                <w:lang w:eastAsia="en-US"/>
              </w:rPr>
              <w:t>tīmekļvietnē http://www.zm.gov.lv sadaļ</w:t>
            </w:r>
            <w:r w:rsidR="00131F83" w:rsidRPr="00CC61C0">
              <w:rPr>
                <w:rFonts w:ascii="Times New Roman" w:eastAsia="Calibri" w:hAnsi="Times New Roman" w:cs="Times New Roman"/>
                <w:iCs/>
                <w:sz w:val="24"/>
                <w:szCs w:val="24"/>
                <w:lang w:eastAsia="en-US"/>
              </w:rPr>
              <w:t>ā</w:t>
            </w:r>
            <w:r w:rsidRPr="00CC61C0">
              <w:rPr>
                <w:rFonts w:ascii="Times New Roman" w:eastAsia="Calibri" w:hAnsi="Times New Roman" w:cs="Times New Roman"/>
                <w:iCs/>
                <w:sz w:val="24"/>
                <w:szCs w:val="24"/>
                <w:lang w:eastAsia="en-US"/>
              </w:rPr>
              <w:t xml:space="preserve"> </w:t>
            </w:r>
            <w:r w:rsidR="00131F83" w:rsidRPr="00CC61C0">
              <w:rPr>
                <w:rFonts w:ascii="Times New Roman" w:eastAsia="Calibri" w:hAnsi="Times New Roman" w:cs="Times New Roman"/>
                <w:iCs/>
                <w:sz w:val="24"/>
                <w:szCs w:val="24"/>
                <w:lang w:eastAsia="en-US"/>
              </w:rPr>
              <w:t>&gt;</w:t>
            </w:r>
            <w:hyperlink r:id="rId7" w:history="1">
              <w:r w:rsidRPr="00CC61C0">
                <w:rPr>
                  <w:rFonts w:ascii="Times New Roman" w:eastAsia="Calibri" w:hAnsi="Times New Roman" w:cs="Times New Roman"/>
                  <w:sz w:val="24"/>
                  <w:szCs w:val="24"/>
                  <w:lang w:eastAsia="en-US"/>
                </w:rPr>
                <w:t>Valsts atbalsts</w:t>
              </w:r>
            </w:hyperlink>
            <w:r w:rsidRPr="00CC61C0">
              <w:rPr>
                <w:rFonts w:ascii="Times New Roman" w:eastAsia="Calibri" w:hAnsi="Times New Roman" w:cs="Times New Roman"/>
                <w:b/>
                <w:bCs/>
                <w:sz w:val="24"/>
                <w:szCs w:val="24"/>
                <w:lang w:eastAsia="en-US"/>
              </w:rPr>
              <w:t xml:space="preserve"> </w:t>
            </w:r>
            <w:r w:rsidRPr="00CC61C0">
              <w:rPr>
                <w:rFonts w:ascii="Times New Roman" w:eastAsia="Calibri" w:hAnsi="Times New Roman" w:cs="Times New Roman"/>
                <w:bCs/>
                <w:sz w:val="24"/>
                <w:szCs w:val="24"/>
                <w:lang w:eastAsia="en-US"/>
              </w:rPr>
              <w:t xml:space="preserve">&gt; </w:t>
            </w:r>
            <w:r w:rsidR="00131F83" w:rsidRPr="00CC61C0">
              <w:rPr>
                <w:rFonts w:ascii="Times New Roman" w:eastAsia="Calibri" w:hAnsi="Times New Roman" w:cs="Times New Roman"/>
                <w:iCs/>
                <w:sz w:val="24"/>
                <w:szCs w:val="24"/>
                <w:lang w:eastAsia="en-US"/>
              </w:rPr>
              <w:t>Lauksaimniecība u</w:t>
            </w:r>
            <w:r w:rsidR="00131F83" w:rsidRPr="00131F83">
              <w:rPr>
                <w:rFonts w:ascii="Times New Roman" w:eastAsia="Calibri" w:hAnsi="Times New Roman" w:cs="Times New Roman"/>
                <w:iCs/>
                <w:sz w:val="24"/>
                <w:szCs w:val="24"/>
                <w:lang w:eastAsia="en-US"/>
              </w:rPr>
              <w:t>n</w:t>
            </w:r>
            <w:r w:rsidR="00131F83">
              <w:t xml:space="preserve"> </w:t>
            </w:r>
            <w:hyperlink r:id="rId8" w:history="1">
              <w:r w:rsidR="00131F83">
                <w:rPr>
                  <w:rFonts w:ascii="Times New Roman" w:eastAsia="Calibri" w:hAnsi="Times New Roman" w:cs="Times New Roman"/>
                  <w:sz w:val="24"/>
                  <w:szCs w:val="24"/>
                  <w:lang w:eastAsia="en-US"/>
                </w:rPr>
                <w:t>l</w:t>
              </w:r>
              <w:r w:rsidRPr="00852FAD">
                <w:rPr>
                  <w:rFonts w:ascii="Times New Roman" w:eastAsia="Calibri" w:hAnsi="Times New Roman" w:cs="Times New Roman"/>
                  <w:sz w:val="24"/>
                  <w:szCs w:val="24"/>
                  <w:lang w:eastAsia="en-US"/>
                </w:rPr>
                <w:t>auku attīstība</w:t>
              </w:r>
            </w:hyperlink>
            <w:r w:rsidRPr="00852FAD">
              <w:rPr>
                <w:rFonts w:ascii="Times New Roman" w:eastAsia="Calibri" w:hAnsi="Times New Roman" w:cs="Times New Roman"/>
                <w:bCs/>
                <w:sz w:val="24"/>
                <w:szCs w:val="24"/>
                <w:lang w:eastAsia="en-US"/>
              </w:rPr>
              <w:t xml:space="preserve"> &gt; </w:t>
            </w:r>
            <w:r w:rsidR="00131F83">
              <w:rPr>
                <w:rFonts w:ascii="Times New Roman" w:eastAsia="Calibri" w:hAnsi="Times New Roman" w:cs="Times New Roman"/>
                <w:bCs/>
                <w:sz w:val="24"/>
                <w:szCs w:val="24"/>
                <w:u w:val="single"/>
                <w:lang w:eastAsia="en-US"/>
              </w:rPr>
              <w:t>Nacionālās subsīdijas</w:t>
            </w:r>
            <w:r w:rsidRPr="00852FAD">
              <w:rPr>
                <w:rFonts w:ascii="Times New Roman" w:eastAsia="Calibri" w:hAnsi="Times New Roman" w:cs="Times New Roman"/>
                <w:bCs/>
                <w:sz w:val="24"/>
                <w:szCs w:val="24"/>
                <w:u w:val="single"/>
                <w:lang w:eastAsia="en-US"/>
              </w:rPr>
              <w:t>.</w:t>
            </w: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DD49B6" w:rsidTr="00472586">
        <w:trPr>
          <w:trHeight w:val="556"/>
        </w:trPr>
        <w:tc>
          <w:tcPr>
            <w:tcW w:w="9067" w:type="dxa"/>
            <w:gridSpan w:val="3"/>
            <w:vAlign w:val="center"/>
          </w:tcPr>
          <w:p w:rsidR="000330A2" w:rsidRPr="00DD49B6" w:rsidRDefault="009F3688" w:rsidP="00B84678">
            <w:pPr>
              <w:pStyle w:val="naisnod"/>
              <w:spacing w:before="0" w:beforeAutospacing="0" w:after="0" w:afterAutospacing="0"/>
              <w:ind w:left="57" w:right="57"/>
              <w:jc w:val="center"/>
              <w:rPr>
                <w:b/>
              </w:rPr>
            </w:pPr>
            <w:r w:rsidRPr="009F3688">
              <w:rPr>
                <w:b/>
                <w:bCs/>
              </w:rPr>
              <w:t>II. Tiesību akta projekta ietekme uz sabiedrību, tautsaimniecības attīstību un administratīvo slogu</w:t>
            </w:r>
          </w:p>
        </w:tc>
      </w:tr>
      <w:tr w:rsidR="000330A2" w:rsidRPr="00DD49B6" w:rsidTr="00472586">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9F3688" w:rsidP="00B84678">
            <w:pPr>
              <w:pStyle w:val="naiskr"/>
              <w:spacing w:before="0" w:beforeAutospacing="0" w:after="0" w:afterAutospacing="0"/>
              <w:ind w:left="57" w:right="57"/>
            </w:pPr>
            <w:r w:rsidRPr="009F3688">
              <w:t>Sabiedrības mērķgrupas, kuras tiesiskais regulējums ietekmē vai varētu ietekmēt</w:t>
            </w:r>
          </w:p>
        </w:tc>
        <w:tc>
          <w:tcPr>
            <w:tcW w:w="5660" w:type="dxa"/>
          </w:tcPr>
          <w:p w:rsidR="000330A2" w:rsidRPr="00DD49B6" w:rsidRDefault="00E46804" w:rsidP="00CC61C0">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Pr>
                <w:rFonts w:ascii="Times New Roman" w:hAnsi="Times New Roman"/>
                <w:sz w:val="24"/>
              </w:rPr>
              <w:t>45</w:t>
            </w:r>
            <w:r w:rsidRPr="00B232A4">
              <w:rPr>
                <w:rFonts w:ascii="Times New Roman" w:hAnsi="Times New Roman"/>
                <w:sz w:val="24"/>
              </w:rPr>
              <w:t>00 valsts atbalsta saņēmēj</w:t>
            </w:r>
            <w:r w:rsidR="00EF11FA">
              <w:rPr>
                <w:rFonts w:ascii="Times New Roman" w:hAnsi="Times New Roman"/>
                <w:sz w:val="24"/>
              </w:rPr>
              <w:t>u</w:t>
            </w:r>
            <w:r w:rsidRPr="00B232A4">
              <w:rPr>
                <w:rFonts w:ascii="Times New Roman" w:hAnsi="Times New Roman"/>
                <w:sz w:val="24"/>
              </w:rPr>
              <w:t xml:space="preserve">, </w:t>
            </w:r>
            <w:r w:rsidR="00CC61C0">
              <w:rPr>
                <w:rFonts w:ascii="Times New Roman" w:hAnsi="Times New Roman"/>
                <w:sz w:val="24"/>
              </w:rPr>
              <w:t>2</w:t>
            </w:r>
            <w:r w:rsidRPr="00B232A4">
              <w:rPr>
                <w:rFonts w:ascii="Times New Roman" w:hAnsi="Times New Roman"/>
                <w:sz w:val="24"/>
              </w:rPr>
              <w:t xml:space="preserve"> zinātniskā</w:t>
            </w:r>
            <w:r>
              <w:rPr>
                <w:rFonts w:ascii="Times New Roman" w:hAnsi="Times New Roman"/>
                <w:sz w:val="24"/>
              </w:rPr>
              <w:t>s</w:t>
            </w:r>
            <w:r w:rsidRPr="00B232A4">
              <w:rPr>
                <w:rFonts w:ascii="Times New Roman" w:hAnsi="Times New Roman"/>
                <w:sz w:val="24"/>
              </w:rPr>
              <w:t xml:space="preserve"> institūcija</w:t>
            </w:r>
            <w:r>
              <w:rPr>
                <w:rFonts w:ascii="Times New Roman" w:hAnsi="Times New Roman"/>
                <w:sz w:val="24"/>
              </w:rPr>
              <w:t>s</w:t>
            </w:r>
            <w:r w:rsidRPr="00B232A4">
              <w:rPr>
                <w:rFonts w:ascii="Times New Roman" w:hAnsi="Times New Roman"/>
                <w:sz w:val="24"/>
              </w:rPr>
              <w:t>, 1</w:t>
            </w:r>
            <w:r w:rsidR="00CC61C0">
              <w:rPr>
                <w:rFonts w:ascii="Times New Roman" w:hAnsi="Times New Roman"/>
                <w:sz w:val="24"/>
              </w:rPr>
              <w:t>5</w:t>
            </w:r>
            <w:r w:rsidRPr="00B232A4">
              <w:rPr>
                <w:rFonts w:ascii="Times New Roman" w:hAnsi="Times New Roman"/>
                <w:sz w:val="24"/>
              </w:rPr>
              <w:t> šķirnes dzīvnieku audzētāju organizācij</w:t>
            </w:r>
            <w:r w:rsidR="00EF11FA">
              <w:rPr>
                <w:rFonts w:ascii="Times New Roman" w:hAnsi="Times New Roman"/>
                <w:sz w:val="24"/>
              </w:rPr>
              <w:t>u</w:t>
            </w:r>
            <w:r>
              <w:rPr>
                <w:rFonts w:ascii="Times New Roman" w:hAnsi="Times New Roman"/>
                <w:sz w:val="24"/>
              </w:rPr>
              <w:t xml:space="preserve"> un 9 lauksaimnieku nevalstiskās organizācijas</w:t>
            </w:r>
            <w:r w:rsidRPr="00B232A4">
              <w:rPr>
                <w:rFonts w:ascii="Times New Roman" w:hAnsi="Times New Roman"/>
                <w:sz w:val="24"/>
              </w:rPr>
              <w:t>.</w:t>
            </w:r>
            <w:r w:rsidR="009F3688">
              <w:rPr>
                <w:rFonts w:ascii="Times New Roman" w:hAnsi="Times New Roman"/>
                <w:sz w:val="24"/>
              </w:rPr>
              <w:t xml:space="preserve"> </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9F3688" w:rsidP="00B84678">
            <w:pPr>
              <w:pStyle w:val="naiskr"/>
              <w:spacing w:before="0" w:beforeAutospacing="0" w:after="0" w:afterAutospacing="0"/>
              <w:ind w:left="57" w:right="57"/>
            </w:pPr>
            <w:r w:rsidRPr="009F3688">
              <w:t>Tiesiskā regulējuma ietekme uz tautsaimniecību un administratīvo slogu</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9F3688" w:rsidP="00B84678">
            <w:pPr>
              <w:pStyle w:val="naiskr"/>
              <w:spacing w:before="0" w:beforeAutospacing="0" w:after="0" w:afterAutospacing="0"/>
              <w:ind w:left="57" w:right="57"/>
            </w:pPr>
            <w:r w:rsidRPr="009F3688">
              <w:t>Administratīvo izmaksu monetārs novērtējums</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9F3688" w:rsidRPr="00DD49B6" w:rsidTr="00472586">
        <w:trPr>
          <w:trHeight w:val="523"/>
        </w:trPr>
        <w:tc>
          <w:tcPr>
            <w:tcW w:w="431" w:type="dxa"/>
          </w:tcPr>
          <w:p w:rsidR="009F3688" w:rsidRPr="00DD49B6" w:rsidRDefault="009F3688" w:rsidP="00B84678">
            <w:pPr>
              <w:pStyle w:val="naiskr"/>
              <w:spacing w:before="0" w:beforeAutospacing="0" w:after="0" w:afterAutospacing="0"/>
              <w:ind w:left="57" w:right="57"/>
              <w:jc w:val="both"/>
            </w:pPr>
            <w:r>
              <w:t>4.</w:t>
            </w:r>
          </w:p>
        </w:tc>
        <w:tc>
          <w:tcPr>
            <w:tcW w:w="2976" w:type="dxa"/>
          </w:tcPr>
          <w:p w:rsidR="009F3688" w:rsidRPr="009F3688" w:rsidRDefault="009F3688" w:rsidP="00B84678">
            <w:pPr>
              <w:pStyle w:val="naiskr"/>
              <w:spacing w:before="0" w:beforeAutospacing="0" w:after="0" w:afterAutospacing="0"/>
              <w:ind w:left="57" w:right="57"/>
            </w:pPr>
            <w:r w:rsidRPr="009F3688">
              <w:t>Atbilstības izmaksu monetārs novērtējums</w:t>
            </w:r>
          </w:p>
        </w:tc>
        <w:tc>
          <w:tcPr>
            <w:tcW w:w="5660" w:type="dxa"/>
          </w:tcPr>
          <w:p w:rsidR="009F3688" w:rsidRDefault="009F3688" w:rsidP="00B84678">
            <w:pPr>
              <w:shd w:val="clear" w:color="auto" w:fill="FFFFFF"/>
              <w:spacing w:after="0" w:line="240" w:lineRule="auto"/>
              <w:ind w:left="57" w:right="57"/>
              <w:rPr>
                <w:rFonts w:ascii="Times New Roman" w:hAnsi="Times New Roman"/>
                <w:sz w:val="24"/>
                <w:szCs w:val="24"/>
              </w:rPr>
            </w:pPr>
            <w:r w:rsidRPr="009F3688">
              <w:rPr>
                <w:rFonts w:ascii="Times New Roman" w:hAnsi="Times New Roman"/>
                <w:sz w:val="24"/>
                <w:szCs w:val="24"/>
              </w:rPr>
              <w:t>Projekts šo jomu neskar.</w:t>
            </w:r>
          </w:p>
        </w:tc>
      </w:tr>
      <w:tr w:rsidR="000330A2" w:rsidRPr="00DD49B6" w:rsidTr="00472586">
        <w:trPr>
          <w:trHeight w:val="357"/>
        </w:trPr>
        <w:tc>
          <w:tcPr>
            <w:tcW w:w="431" w:type="dxa"/>
          </w:tcPr>
          <w:p w:rsidR="000330A2" w:rsidRPr="00DD49B6" w:rsidRDefault="009F3688" w:rsidP="00B84678">
            <w:pPr>
              <w:pStyle w:val="naiskr"/>
              <w:spacing w:before="0" w:beforeAutospacing="0" w:after="0" w:afterAutospacing="0"/>
              <w:ind w:left="57" w:right="57"/>
              <w:jc w:val="both"/>
            </w:pPr>
            <w:r>
              <w:t>5</w:t>
            </w:r>
            <w:r w:rsidR="000330A2" w:rsidRPr="00DD49B6">
              <w:t>.</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5660"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472586" w:rsidRDefault="00472586" w:rsidP="000330A2">
      <w:pPr>
        <w:spacing w:after="0" w:line="240" w:lineRule="auto"/>
        <w:rPr>
          <w:rFonts w:ascii="Times New Roman" w:hAnsi="Times New Roman" w:cs="Times New Roman"/>
          <w:sz w:val="24"/>
          <w:szCs w:val="24"/>
        </w:rPr>
      </w:pPr>
    </w:p>
    <w:p w:rsidR="00CF2F13" w:rsidRPr="001B6397" w:rsidRDefault="00CF2F13" w:rsidP="000330A2">
      <w:pPr>
        <w:spacing w:after="0" w:line="240" w:lineRule="auto"/>
        <w:rPr>
          <w:rFonts w:ascii="Times New Roman" w:hAnsi="Times New Roman" w:cs="Times New Roman"/>
          <w:sz w:val="24"/>
          <w:szCs w:val="24"/>
        </w:rPr>
      </w:pPr>
    </w:p>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47"/>
        <w:gridCol w:w="1066"/>
        <w:gridCol w:w="1006"/>
        <w:gridCol w:w="1163"/>
        <w:gridCol w:w="1040"/>
        <w:gridCol w:w="1089"/>
        <w:gridCol w:w="1095"/>
        <w:gridCol w:w="15"/>
        <w:gridCol w:w="976"/>
        <w:gridCol w:w="15"/>
        <w:gridCol w:w="6"/>
        <w:gridCol w:w="17"/>
      </w:tblGrid>
      <w:tr w:rsidR="00AA772A" w:rsidRPr="00AA772A" w:rsidTr="00600996">
        <w:trPr>
          <w:cantSplit/>
        </w:trPr>
        <w:tc>
          <w:tcPr>
            <w:tcW w:w="9636" w:type="dxa"/>
            <w:gridSpan w:val="12"/>
            <w:shd w:val="clear" w:color="auto" w:fill="auto"/>
            <w:vAlign w:val="center"/>
            <w:hideMark/>
          </w:tcPr>
          <w:p w:rsidR="00AA772A" w:rsidRPr="00AA772A" w:rsidRDefault="00AA772A" w:rsidP="00AA772A">
            <w:pPr>
              <w:spacing w:after="0" w:line="240" w:lineRule="auto"/>
              <w:rPr>
                <w:rFonts w:ascii="Times New Roman" w:hAnsi="Times New Roman" w:cs="Times New Roman"/>
                <w:b/>
                <w:bCs/>
                <w:sz w:val="24"/>
                <w:szCs w:val="24"/>
              </w:rPr>
            </w:pPr>
            <w:r w:rsidRPr="00AA772A">
              <w:rPr>
                <w:rFonts w:ascii="Times New Roman" w:hAnsi="Times New Roman" w:cs="Times New Roman"/>
                <w:b/>
                <w:bCs/>
                <w:sz w:val="24"/>
                <w:szCs w:val="24"/>
              </w:rPr>
              <w:t>III. Tiesību akta projekta ietekme uz valsts budžetu un pašvaldību budžetiem</w:t>
            </w:r>
          </w:p>
        </w:tc>
      </w:tr>
      <w:tr w:rsidR="00AA772A" w:rsidRPr="00AA772A" w:rsidTr="00600996">
        <w:trPr>
          <w:gridAfter w:val="1"/>
          <w:wAfter w:w="12" w:type="dxa"/>
          <w:cantSplit/>
        </w:trPr>
        <w:tc>
          <w:tcPr>
            <w:tcW w:w="2147" w:type="dxa"/>
            <w:vMerge w:val="restart"/>
            <w:shd w:val="clear" w:color="auto" w:fill="FFFFFF"/>
            <w:vAlign w:val="center"/>
          </w:tcPr>
          <w:p w:rsidR="00AA772A" w:rsidRPr="00AA772A" w:rsidRDefault="00AA772A" w:rsidP="001B6397">
            <w:pPr>
              <w:spacing w:after="0" w:line="240" w:lineRule="auto"/>
              <w:jc w:val="center"/>
              <w:rPr>
                <w:rFonts w:ascii="Times New Roman" w:hAnsi="Times New Roman" w:cs="Times New Roman"/>
                <w:bCs/>
                <w:sz w:val="24"/>
                <w:szCs w:val="24"/>
              </w:rPr>
            </w:pPr>
            <w:r w:rsidRPr="00AA772A">
              <w:rPr>
                <w:rFonts w:ascii="Times New Roman" w:hAnsi="Times New Roman" w:cs="Times New Roman"/>
                <w:bCs/>
                <w:sz w:val="24"/>
                <w:szCs w:val="24"/>
              </w:rPr>
              <w:t>Rādītāji</w:t>
            </w:r>
          </w:p>
        </w:tc>
        <w:tc>
          <w:tcPr>
            <w:tcW w:w="2073" w:type="dxa"/>
            <w:gridSpan w:val="2"/>
            <w:vMerge w:val="restart"/>
            <w:shd w:val="clear" w:color="auto" w:fill="FFFFFF"/>
            <w:vAlign w:val="center"/>
            <w:hideMark/>
          </w:tcPr>
          <w:p w:rsidR="00AA772A" w:rsidRPr="00AA772A" w:rsidRDefault="001B6397" w:rsidP="001B63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w:t>
            </w:r>
            <w:r w:rsidR="00AA772A" w:rsidRPr="00AA772A">
              <w:rPr>
                <w:rFonts w:ascii="Times New Roman" w:hAnsi="Times New Roman" w:cs="Times New Roman"/>
                <w:bCs/>
                <w:sz w:val="24"/>
                <w:szCs w:val="24"/>
              </w:rPr>
              <w:t>gads</w:t>
            </w:r>
          </w:p>
        </w:tc>
        <w:tc>
          <w:tcPr>
            <w:tcW w:w="5404" w:type="dxa"/>
            <w:gridSpan w:val="8"/>
            <w:shd w:val="clear" w:color="auto" w:fill="FFFFFF"/>
            <w:vAlign w:val="center"/>
            <w:hideMark/>
          </w:tcPr>
          <w:p w:rsidR="00AA772A" w:rsidRPr="00AA772A" w:rsidRDefault="00AA772A" w:rsidP="001B6397">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Turpmākie trīs gadi (</w:t>
            </w:r>
            <w:r w:rsidRPr="00AA772A">
              <w:rPr>
                <w:rFonts w:ascii="Times New Roman" w:hAnsi="Times New Roman" w:cs="Times New Roman"/>
                <w:i/>
                <w:iCs/>
                <w:sz w:val="24"/>
                <w:szCs w:val="24"/>
              </w:rPr>
              <w:t>euro</w:t>
            </w:r>
            <w:r w:rsidRPr="00AA772A">
              <w:rPr>
                <w:rFonts w:ascii="Times New Roman" w:hAnsi="Times New Roman" w:cs="Times New Roman"/>
                <w:sz w:val="24"/>
                <w:szCs w:val="24"/>
              </w:rPr>
              <w:t>)</w:t>
            </w:r>
          </w:p>
        </w:tc>
      </w:tr>
      <w:tr w:rsidR="00AA772A" w:rsidRPr="00AA772A" w:rsidTr="00600996">
        <w:trPr>
          <w:gridAfter w:val="2"/>
          <w:wAfter w:w="18" w:type="dxa"/>
          <w:cantSplit/>
        </w:trPr>
        <w:tc>
          <w:tcPr>
            <w:tcW w:w="2147" w:type="dxa"/>
            <w:vMerge/>
            <w:shd w:val="clear" w:color="auto" w:fill="auto"/>
            <w:vAlign w:val="center"/>
            <w:hideMark/>
          </w:tcPr>
          <w:p w:rsidR="00AA772A" w:rsidRPr="00AA772A" w:rsidRDefault="00AA772A" w:rsidP="001B6397">
            <w:pPr>
              <w:spacing w:after="0" w:line="240" w:lineRule="auto"/>
              <w:jc w:val="center"/>
              <w:rPr>
                <w:rFonts w:ascii="Times New Roman" w:hAnsi="Times New Roman" w:cs="Times New Roman"/>
                <w:bCs/>
                <w:sz w:val="24"/>
                <w:szCs w:val="24"/>
              </w:rPr>
            </w:pPr>
          </w:p>
        </w:tc>
        <w:tc>
          <w:tcPr>
            <w:tcW w:w="2073" w:type="dxa"/>
            <w:gridSpan w:val="2"/>
            <w:vMerge/>
            <w:shd w:val="clear" w:color="auto" w:fill="auto"/>
            <w:vAlign w:val="center"/>
            <w:hideMark/>
          </w:tcPr>
          <w:p w:rsidR="00AA772A" w:rsidRPr="00AA772A" w:rsidRDefault="00AA772A" w:rsidP="001B6397">
            <w:pPr>
              <w:spacing w:after="0" w:line="240" w:lineRule="auto"/>
              <w:jc w:val="center"/>
              <w:rPr>
                <w:rFonts w:ascii="Times New Roman" w:hAnsi="Times New Roman" w:cs="Times New Roman"/>
                <w:bCs/>
                <w:sz w:val="24"/>
                <w:szCs w:val="24"/>
              </w:rPr>
            </w:pPr>
          </w:p>
        </w:tc>
        <w:tc>
          <w:tcPr>
            <w:tcW w:w="2205" w:type="dxa"/>
            <w:gridSpan w:val="2"/>
            <w:shd w:val="clear" w:color="auto" w:fill="FFFFFF"/>
            <w:vAlign w:val="center"/>
            <w:hideMark/>
          </w:tcPr>
          <w:p w:rsidR="00AA772A" w:rsidRPr="00AA772A" w:rsidRDefault="001B6397" w:rsidP="001B63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2201" w:type="dxa"/>
            <w:gridSpan w:val="3"/>
            <w:shd w:val="clear" w:color="auto" w:fill="FFFFFF"/>
            <w:vAlign w:val="center"/>
            <w:hideMark/>
          </w:tcPr>
          <w:p w:rsidR="00AA772A" w:rsidRPr="00AA772A" w:rsidRDefault="001B6397" w:rsidP="001B63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992" w:type="dxa"/>
            <w:gridSpan w:val="2"/>
            <w:shd w:val="clear" w:color="auto" w:fill="FFFFFF"/>
            <w:vAlign w:val="center"/>
            <w:hideMark/>
          </w:tcPr>
          <w:p w:rsidR="00AA772A" w:rsidRPr="00AA772A" w:rsidRDefault="001B6397" w:rsidP="001B63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w:t>
            </w:r>
          </w:p>
        </w:tc>
      </w:tr>
      <w:tr w:rsidR="00D8227E" w:rsidRPr="00AA772A" w:rsidTr="00600996">
        <w:trPr>
          <w:gridAfter w:val="3"/>
          <w:wAfter w:w="38" w:type="dxa"/>
          <w:cantSplit/>
        </w:trPr>
        <w:tc>
          <w:tcPr>
            <w:tcW w:w="2147" w:type="dxa"/>
            <w:vMerge/>
            <w:shd w:val="clear" w:color="auto" w:fill="auto"/>
            <w:vAlign w:val="center"/>
            <w:hideMark/>
          </w:tcPr>
          <w:p w:rsidR="00AA772A" w:rsidRPr="00AA772A" w:rsidRDefault="00AA772A" w:rsidP="001B6397">
            <w:pPr>
              <w:spacing w:after="0" w:line="240" w:lineRule="auto"/>
              <w:jc w:val="center"/>
              <w:rPr>
                <w:rFonts w:ascii="Times New Roman" w:hAnsi="Times New Roman" w:cs="Times New Roman"/>
                <w:b/>
                <w:bCs/>
                <w:sz w:val="24"/>
                <w:szCs w:val="24"/>
              </w:rPr>
            </w:pPr>
          </w:p>
        </w:tc>
        <w:tc>
          <w:tcPr>
            <w:tcW w:w="1066" w:type="dxa"/>
            <w:shd w:val="clear" w:color="auto" w:fill="FFFFFF"/>
            <w:vAlign w:val="center"/>
            <w:hideMark/>
          </w:tcPr>
          <w:p w:rsidR="00AA772A" w:rsidRPr="00AA772A" w:rsidRDefault="00AA772A" w:rsidP="001B6397">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saskaņā ar valsts budžetu kārtējam gadam</w:t>
            </w:r>
          </w:p>
        </w:tc>
        <w:tc>
          <w:tcPr>
            <w:tcW w:w="1007" w:type="dxa"/>
            <w:shd w:val="clear" w:color="auto" w:fill="FFFFFF"/>
            <w:vAlign w:val="center"/>
            <w:hideMark/>
          </w:tcPr>
          <w:p w:rsidR="00AA772A" w:rsidRPr="00AA772A" w:rsidRDefault="00AA772A" w:rsidP="001B6397">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izmaiņas kārtējā gadā, salīdzinot ar valsts budžetu kārtējam gadam</w:t>
            </w:r>
          </w:p>
        </w:tc>
        <w:tc>
          <w:tcPr>
            <w:tcW w:w="1164" w:type="dxa"/>
            <w:shd w:val="clear" w:color="auto" w:fill="FFFFFF"/>
            <w:vAlign w:val="center"/>
            <w:hideMark/>
          </w:tcPr>
          <w:p w:rsidR="00AA772A" w:rsidRPr="00AA772A" w:rsidRDefault="00AA772A" w:rsidP="001B6397">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saskaņā ar vidēja termiņa budžeta ietvaru</w:t>
            </w:r>
          </w:p>
        </w:tc>
        <w:tc>
          <w:tcPr>
            <w:tcW w:w="1036" w:type="dxa"/>
            <w:shd w:val="clear" w:color="auto" w:fill="FFFFFF"/>
            <w:vAlign w:val="center"/>
            <w:hideMark/>
          </w:tcPr>
          <w:p w:rsidR="00AA772A" w:rsidRPr="00AA772A" w:rsidRDefault="00AA772A" w:rsidP="00D8227E">
            <w:pPr>
              <w:spacing w:after="0" w:line="240" w:lineRule="auto"/>
              <w:ind w:right="-69"/>
              <w:jc w:val="center"/>
              <w:rPr>
                <w:rFonts w:ascii="Times New Roman" w:hAnsi="Times New Roman" w:cs="Times New Roman"/>
                <w:sz w:val="24"/>
                <w:szCs w:val="24"/>
              </w:rPr>
            </w:pPr>
            <w:r w:rsidRPr="00AA772A">
              <w:rPr>
                <w:rFonts w:ascii="Times New Roman" w:hAnsi="Times New Roman" w:cs="Times New Roman"/>
                <w:sz w:val="24"/>
                <w:szCs w:val="24"/>
              </w:rPr>
              <w:t xml:space="preserve">izmaiņas, salīdzinot ar vidēja termiņa budžeta ietvaru </w:t>
            </w:r>
            <w:r w:rsidR="001B6397">
              <w:rPr>
                <w:rFonts w:ascii="Times New Roman" w:hAnsi="Times New Roman" w:cs="Times New Roman"/>
                <w:sz w:val="24"/>
                <w:szCs w:val="24"/>
              </w:rPr>
              <w:t>2020</w:t>
            </w:r>
            <w:r w:rsidR="00D8227E">
              <w:rPr>
                <w:rFonts w:ascii="Times New Roman" w:hAnsi="Times New Roman" w:cs="Times New Roman"/>
                <w:sz w:val="24"/>
                <w:szCs w:val="24"/>
              </w:rPr>
              <w:t>.</w:t>
            </w:r>
            <w:r w:rsidRPr="00AA772A">
              <w:rPr>
                <w:rFonts w:ascii="Times New Roman" w:hAnsi="Times New Roman" w:cs="Times New Roman"/>
                <w:sz w:val="24"/>
                <w:szCs w:val="24"/>
              </w:rPr>
              <w:t xml:space="preserve"> gadam</w:t>
            </w:r>
          </w:p>
        </w:tc>
        <w:tc>
          <w:tcPr>
            <w:tcW w:w="1090" w:type="dxa"/>
            <w:shd w:val="clear" w:color="auto" w:fill="FFFFFF"/>
            <w:vAlign w:val="center"/>
            <w:hideMark/>
          </w:tcPr>
          <w:p w:rsidR="00AA772A" w:rsidRPr="00AA772A" w:rsidRDefault="00AA772A" w:rsidP="001B6397">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saskaņā ar vidēja termiņa budžeta ietvaru</w:t>
            </w:r>
          </w:p>
        </w:tc>
        <w:tc>
          <w:tcPr>
            <w:tcW w:w="1096" w:type="dxa"/>
            <w:shd w:val="clear" w:color="auto" w:fill="FFFFFF"/>
            <w:vAlign w:val="center"/>
            <w:hideMark/>
          </w:tcPr>
          <w:p w:rsidR="00AA772A" w:rsidRPr="00AA772A" w:rsidRDefault="00AA772A" w:rsidP="001B6397">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 xml:space="preserve">izmaiņas, salīdzinot ar vidēja termiņa budžeta ietvaru </w:t>
            </w:r>
            <w:r w:rsidR="001B6397">
              <w:rPr>
                <w:rFonts w:ascii="Times New Roman" w:hAnsi="Times New Roman" w:cs="Times New Roman"/>
                <w:sz w:val="24"/>
                <w:szCs w:val="24"/>
              </w:rPr>
              <w:t>2021</w:t>
            </w:r>
            <w:r w:rsidR="00D8227E">
              <w:rPr>
                <w:rFonts w:ascii="Times New Roman" w:hAnsi="Times New Roman" w:cs="Times New Roman"/>
                <w:sz w:val="24"/>
                <w:szCs w:val="24"/>
              </w:rPr>
              <w:t>.</w:t>
            </w:r>
            <w:r w:rsidRPr="00AA772A">
              <w:rPr>
                <w:rFonts w:ascii="Times New Roman" w:hAnsi="Times New Roman" w:cs="Times New Roman"/>
                <w:sz w:val="24"/>
                <w:szCs w:val="24"/>
              </w:rPr>
              <w:t xml:space="preserve"> gadam</w:t>
            </w:r>
          </w:p>
        </w:tc>
        <w:tc>
          <w:tcPr>
            <w:tcW w:w="992" w:type="dxa"/>
            <w:gridSpan w:val="2"/>
            <w:shd w:val="clear" w:color="auto" w:fill="FFFFFF"/>
            <w:vAlign w:val="center"/>
            <w:hideMark/>
          </w:tcPr>
          <w:p w:rsidR="00AA772A" w:rsidRPr="00AA772A" w:rsidRDefault="00AA772A" w:rsidP="00600996">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 xml:space="preserve">izmaiņas, salīdzinot ar vidēja termiņa budžeta ietvaru </w:t>
            </w:r>
            <w:r w:rsidRPr="00AA772A">
              <w:rPr>
                <w:rFonts w:ascii="Times New Roman" w:hAnsi="Times New Roman" w:cs="Times New Roman"/>
                <w:sz w:val="24"/>
                <w:szCs w:val="24"/>
              </w:rPr>
              <w:br/>
            </w:r>
            <w:r w:rsidR="001B6397">
              <w:rPr>
                <w:rFonts w:ascii="Times New Roman" w:hAnsi="Times New Roman" w:cs="Times New Roman"/>
                <w:sz w:val="24"/>
                <w:szCs w:val="24"/>
              </w:rPr>
              <w:t>202</w:t>
            </w:r>
            <w:r w:rsidR="00600996">
              <w:rPr>
                <w:rFonts w:ascii="Times New Roman" w:hAnsi="Times New Roman" w:cs="Times New Roman"/>
                <w:sz w:val="24"/>
                <w:szCs w:val="24"/>
              </w:rPr>
              <w:t>1</w:t>
            </w:r>
            <w:r w:rsidR="00D8227E">
              <w:rPr>
                <w:rFonts w:ascii="Times New Roman" w:hAnsi="Times New Roman" w:cs="Times New Roman"/>
                <w:sz w:val="24"/>
                <w:szCs w:val="24"/>
              </w:rPr>
              <w:t>.</w:t>
            </w:r>
            <w:r w:rsidRPr="00AA772A">
              <w:rPr>
                <w:rFonts w:ascii="Times New Roman" w:hAnsi="Times New Roman" w:cs="Times New Roman"/>
                <w:sz w:val="24"/>
                <w:szCs w:val="24"/>
              </w:rPr>
              <w:t xml:space="preserve"> gadam</w:t>
            </w:r>
          </w:p>
        </w:tc>
      </w:tr>
      <w:tr w:rsidR="00D8227E" w:rsidRPr="00AA772A" w:rsidTr="00600996">
        <w:trPr>
          <w:gridAfter w:val="3"/>
          <w:wAfter w:w="38" w:type="dxa"/>
          <w:cantSplit/>
        </w:trPr>
        <w:tc>
          <w:tcPr>
            <w:tcW w:w="2147"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1</w:t>
            </w:r>
          </w:p>
        </w:tc>
        <w:tc>
          <w:tcPr>
            <w:tcW w:w="1066"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2</w:t>
            </w:r>
          </w:p>
        </w:tc>
        <w:tc>
          <w:tcPr>
            <w:tcW w:w="1007"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3</w:t>
            </w:r>
          </w:p>
        </w:tc>
        <w:tc>
          <w:tcPr>
            <w:tcW w:w="1164"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4</w:t>
            </w:r>
          </w:p>
        </w:tc>
        <w:tc>
          <w:tcPr>
            <w:tcW w:w="1036"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5</w:t>
            </w:r>
          </w:p>
        </w:tc>
        <w:tc>
          <w:tcPr>
            <w:tcW w:w="1090"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6</w:t>
            </w:r>
          </w:p>
        </w:tc>
        <w:tc>
          <w:tcPr>
            <w:tcW w:w="1096" w:type="dxa"/>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7</w:t>
            </w:r>
          </w:p>
        </w:tc>
        <w:tc>
          <w:tcPr>
            <w:tcW w:w="992" w:type="dxa"/>
            <w:gridSpan w:val="2"/>
            <w:shd w:val="clear" w:color="auto" w:fill="FFFFFF"/>
            <w:vAlign w:val="center"/>
            <w:hideMark/>
          </w:tcPr>
          <w:p w:rsidR="00AA772A" w:rsidRPr="00AA772A" w:rsidRDefault="00AA772A" w:rsidP="00CF2F13">
            <w:pPr>
              <w:spacing w:after="0" w:line="240" w:lineRule="auto"/>
              <w:jc w:val="center"/>
              <w:rPr>
                <w:rFonts w:ascii="Times New Roman" w:hAnsi="Times New Roman" w:cs="Times New Roman"/>
                <w:sz w:val="24"/>
                <w:szCs w:val="24"/>
              </w:rPr>
            </w:pPr>
            <w:r w:rsidRPr="00AA772A">
              <w:rPr>
                <w:rFonts w:ascii="Times New Roman" w:hAnsi="Times New Roman" w:cs="Times New Roman"/>
                <w:sz w:val="24"/>
                <w:szCs w:val="24"/>
              </w:rPr>
              <w:t>8</w:t>
            </w:r>
          </w:p>
        </w:tc>
      </w:tr>
      <w:tr w:rsidR="00D8227E" w:rsidRPr="00AA772A" w:rsidTr="00600996">
        <w:trPr>
          <w:gridAfter w:val="3"/>
          <w:wAfter w:w="38" w:type="dxa"/>
          <w:cantSplit/>
        </w:trPr>
        <w:tc>
          <w:tcPr>
            <w:tcW w:w="2147" w:type="dxa"/>
            <w:shd w:val="clear" w:color="auto" w:fill="FFFFFF"/>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1. Budžeta ieņēmumi</w:t>
            </w:r>
          </w:p>
        </w:tc>
        <w:tc>
          <w:tcPr>
            <w:tcW w:w="1066" w:type="dxa"/>
            <w:shd w:val="clear" w:color="auto" w:fill="FFFFFF"/>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sidRPr="00AF5D17">
              <w:rPr>
                <w:rFonts w:ascii="Times New Roman" w:hAnsi="Times New Roman" w:cs="Times New Roman"/>
                <w:sz w:val="24"/>
                <w:szCs w:val="24"/>
              </w:rPr>
              <w:t>8 720 490</w:t>
            </w:r>
          </w:p>
        </w:tc>
        <w:tc>
          <w:tcPr>
            <w:tcW w:w="1007" w:type="dxa"/>
            <w:shd w:val="clear" w:color="auto" w:fill="FFFFFF"/>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FFFFFF"/>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36" w:type="dxa"/>
            <w:shd w:val="clear" w:color="auto" w:fill="FFFFFF"/>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FFFFFF"/>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96" w:type="dxa"/>
            <w:shd w:val="clear" w:color="auto" w:fill="FFFFFF"/>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FFFFFF"/>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1.1. valsts pamatbudžets, tai skaitā ieņēmumi no maksas pakalpojumiem un citi pašu ieņēmumi</w:t>
            </w:r>
          </w:p>
        </w:tc>
        <w:tc>
          <w:tcPr>
            <w:tcW w:w="1066" w:type="dxa"/>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sidRPr="00AF5D17">
              <w:rPr>
                <w:rFonts w:ascii="Times New Roman" w:hAnsi="Times New Roman" w:cs="Times New Roman"/>
                <w:sz w:val="24"/>
                <w:szCs w:val="24"/>
              </w:rPr>
              <w:t>8 720 490</w:t>
            </w:r>
          </w:p>
        </w:tc>
        <w:tc>
          <w:tcPr>
            <w:tcW w:w="1007" w:type="dxa"/>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36" w:type="dxa"/>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96" w:type="dxa"/>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1.2. valsts speciālais 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1.3. pašvaldību 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2. Budžeta izdevumi</w:t>
            </w:r>
          </w:p>
        </w:tc>
        <w:tc>
          <w:tcPr>
            <w:tcW w:w="1066" w:type="dxa"/>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sidRPr="00AF5D17">
              <w:rPr>
                <w:rFonts w:ascii="Times New Roman" w:hAnsi="Times New Roman" w:cs="Times New Roman"/>
                <w:sz w:val="24"/>
                <w:szCs w:val="24"/>
              </w:rPr>
              <w:t>8 720 490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2.1. valsts pamatbudžets</w:t>
            </w:r>
          </w:p>
        </w:tc>
        <w:tc>
          <w:tcPr>
            <w:tcW w:w="1066" w:type="dxa"/>
            <w:shd w:val="clear" w:color="auto" w:fill="auto"/>
            <w:vAlign w:val="center"/>
            <w:hideMark/>
          </w:tcPr>
          <w:p w:rsidR="00AA772A" w:rsidRPr="00AA772A" w:rsidRDefault="00AF5D17" w:rsidP="00CF2F13">
            <w:pPr>
              <w:spacing w:after="0" w:line="240" w:lineRule="auto"/>
              <w:jc w:val="center"/>
              <w:rPr>
                <w:rFonts w:ascii="Times New Roman" w:hAnsi="Times New Roman" w:cs="Times New Roman"/>
                <w:sz w:val="24"/>
                <w:szCs w:val="24"/>
              </w:rPr>
            </w:pPr>
            <w:r w:rsidRPr="00AF5D17">
              <w:rPr>
                <w:rFonts w:ascii="Times New Roman" w:hAnsi="Times New Roman" w:cs="Times New Roman"/>
                <w:sz w:val="24"/>
                <w:szCs w:val="24"/>
              </w:rPr>
              <w:t>8 720 490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600996" w:rsidP="00CF2F13">
            <w:pPr>
              <w:spacing w:after="0" w:line="240" w:lineRule="auto"/>
              <w:jc w:val="center"/>
              <w:rPr>
                <w:rFonts w:ascii="Times New Roman" w:hAnsi="Times New Roman" w:cs="Times New Roman"/>
                <w:sz w:val="24"/>
                <w:szCs w:val="24"/>
              </w:rPr>
            </w:pPr>
            <w:r w:rsidRPr="00600996">
              <w:rPr>
                <w:rFonts w:ascii="Times New Roman" w:hAnsi="Times New Roman" w:cs="Times New Roman"/>
                <w:sz w:val="24"/>
                <w:szCs w:val="24"/>
              </w:rPr>
              <w:t>8 720 490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2.2. valsts speciālais 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2.3. pašvaldību 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3. Finansiālā ietekme</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3.1. valsts pamatbudžets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3.2. speciālais 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3.3. pašvaldību budžets</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4. Finanšu līdzekļi papildu izdevumu finansēšanai (kompensējošu izdevumu samazinājumu norāda ar "+" zīmi)</w:t>
            </w:r>
          </w:p>
        </w:tc>
        <w:tc>
          <w:tcPr>
            <w:tcW w:w="106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5. Precizēta finansiālā ietekme</w:t>
            </w:r>
          </w:p>
        </w:tc>
        <w:tc>
          <w:tcPr>
            <w:tcW w:w="1066" w:type="dxa"/>
            <w:vMerge w:val="restart"/>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vMerge w:val="restart"/>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vMerge w:val="restart"/>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5.1. valsts pamatbudžets</w:t>
            </w:r>
          </w:p>
        </w:tc>
        <w:tc>
          <w:tcPr>
            <w:tcW w:w="1066"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5.2. speciālais budžets</w:t>
            </w:r>
          </w:p>
        </w:tc>
        <w:tc>
          <w:tcPr>
            <w:tcW w:w="1066"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gridAfter w:val="3"/>
          <w:wAfter w:w="38" w:type="dxa"/>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lastRenderedPageBreak/>
              <w:t>5.3. pašvaldību budžets</w:t>
            </w:r>
          </w:p>
        </w:tc>
        <w:tc>
          <w:tcPr>
            <w:tcW w:w="1066"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07"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4"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3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vMerge/>
            <w:shd w:val="clear" w:color="auto" w:fill="auto"/>
            <w:vAlign w:val="center"/>
            <w:hideMark/>
          </w:tcPr>
          <w:p w:rsidR="00AA772A" w:rsidRPr="00AA772A" w:rsidRDefault="00AA772A" w:rsidP="00CF2F13">
            <w:pPr>
              <w:spacing w:after="0" w:line="240" w:lineRule="auto"/>
              <w:jc w:val="center"/>
              <w:rPr>
                <w:rFonts w:ascii="Times New Roman" w:hAnsi="Times New Roman" w:cs="Times New Roman"/>
                <w:sz w:val="24"/>
                <w:szCs w:val="24"/>
              </w:rPr>
            </w:pPr>
          </w:p>
        </w:tc>
        <w:tc>
          <w:tcPr>
            <w:tcW w:w="1096" w:type="dxa"/>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shd w:val="clear" w:color="auto" w:fill="auto"/>
            <w:vAlign w:val="center"/>
            <w:hideMark/>
          </w:tcPr>
          <w:p w:rsidR="00AA772A" w:rsidRPr="00AA772A" w:rsidRDefault="00CF2F13" w:rsidP="00CF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772A" w:rsidRPr="00AA772A" w:rsidTr="00600996">
        <w:trPr>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89" w:type="dxa"/>
            <w:gridSpan w:val="11"/>
            <w:vMerge w:val="restart"/>
            <w:hideMark/>
          </w:tcPr>
          <w:p w:rsidR="00AA772A" w:rsidRPr="00D25E38" w:rsidRDefault="00AA772A" w:rsidP="00AA772A">
            <w:pPr>
              <w:spacing w:after="0" w:line="240" w:lineRule="auto"/>
              <w:jc w:val="both"/>
              <w:rPr>
                <w:rFonts w:ascii="Times New Roman" w:hAnsi="Times New Roman"/>
                <w:sz w:val="24"/>
                <w:szCs w:val="24"/>
              </w:rPr>
            </w:pPr>
            <w:r>
              <w:rPr>
                <w:rFonts w:ascii="Times New Roman" w:hAnsi="Times New Roman"/>
                <w:sz w:val="24"/>
                <w:szCs w:val="24"/>
              </w:rPr>
              <w:t>S</w:t>
            </w:r>
            <w:r w:rsidRPr="00CC232A">
              <w:rPr>
                <w:rFonts w:ascii="Times New Roman" w:hAnsi="Times New Roman"/>
                <w:sz w:val="24"/>
                <w:szCs w:val="24"/>
              </w:rPr>
              <w:t xml:space="preserve">askaņā ar </w:t>
            </w:r>
            <w:r w:rsidRPr="00B55AE9">
              <w:rPr>
                <w:rFonts w:ascii="Times New Roman" w:hAnsi="Times New Roman"/>
                <w:sz w:val="24"/>
                <w:szCs w:val="24"/>
              </w:rPr>
              <w:t>Finanšu ministrijas 2018. gada 18. decembra rīkojum</w:t>
            </w:r>
            <w:r w:rsidR="00CF7196">
              <w:rPr>
                <w:rFonts w:ascii="Times New Roman" w:hAnsi="Times New Roman"/>
                <w:sz w:val="24"/>
                <w:szCs w:val="24"/>
              </w:rPr>
              <w:t>u</w:t>
            </w:r>
            <w:r w:rsidRPr="00B55AE9">
              <w:rPr>
                <w:rFonts w:ascii="Times New Roman" w:hAnsi="Times New Roman"/>
                <w:sz w:val="24"/>
                <w:szCs w:val="24"/>
              </w:rPr>
              <w:t xml:space="preserve"> Nr.488 “Par valsts pagaidu budžetu 2019. gadam”</w:t>
            </w:r>
            <w:r w:rsidRPr="00CC232A">
              <w:rPr>
                <w:rFonts w:ascii="Times New Roman" w:hAnsi="Times New Roman"/>
                <w:sz w:val="24"/>
                <w:szCs w:val="24"/>
              </w:rPr>
              <w:t xml:space="preserve"> un likumu “Par vidēja termiņa budžeta ietvaru 201</w:t>
            </w:r>
            <w:r>
              <w:rPr>
                <w:rFonts w:ascii="Times New Roman" w:hAnsi="Times New Roman"/>
                <w:sz w:val="24"/>
                <w:szCs w:val="24"/>
              </w:rPr>
              <w:t>8</w:t>
            </w:r>
            <w:r w:rsidRPr="00CC232A">
              <w:rPr>
                <w:rFonts w:ascii="Times New Roman" w:hAnsi="Times New Roman"/>
                <w:sz w:val="24"/>
                <w:szCs w:val="24"/>
              </w:rPr>
              <w:t>., 201</w:t>
            </w:r>
            <w:r>
              <w:rPr>
                <w:rFonts w:ascii="Times New Roman" w:hAnsi="Times New Roman"/>
                <w:sz w:val="24"/>
                <w:szCs w:val="24"/>
              </w:rPr>
              <w:t>9</w:t>
            </w:r>
            <w:r w:rsidRPr="00CC232A">
              <w:rPr>
                <w:rFonts w:ascii="Times New Roman" w:hAnsi="Times New Roman"/>
                <w:sz w:val="24"/>
                <w:szCs w:val="24"/>
              </w:rPr>
              <w:t>. un 20</w:t>
            </w:r>
            <w:r>
              <w:rPr>
                <w:rFonts w:ascii="Times New Roman" w:hAnsi="Times New Roman"/>
                <w:sz w:val="24"/>
                <w:szCs w:val="24"/>
              </w:rPr>
              <w:t>20</w:t>
            </w:r>
            <w:r w:rsidRPr="00CC232A">
              <w:rPr>
                <w:rFonts w:ascii="Times New Roman" w:hAnsi="Times New Roman"/>
                <w:sz w:val="24"/>
                <w:szCs w:val="24"/>
              </w:rPr>
              <w:t>. gadam” Zemkopības ministrijas budžeta apakšprogrammā 21.01.00 “Valsts atbalsts lauksaimniecības un lauku attīstībai” 201</w:t>
            </w:r>
            <w:r>
              <w:rPr>
                <w:rFonts w:ascii="Times New Roman" w:hAnsi="Times New Roman"/>
                <w:sz w:val="24"/>
                <w:szCs w:val="24"/>
              </w:rPr>
              <w:t>9</w:t>
            </w:r>
            <w:r w:rsidRPr="00CC232A">
              <w:rPr>
                <w:rFonts w:ascii="Times New Roman" w:hAnsi="Times New Roman"/>
                <w:sz w:val="24"/>
                <w:szCs w:val="24"/>
              </w:rPr>
              <w:t>. gadam ir ieplānots finansējums 8 72</w:t>
            </w:r>
            <w:r>
              <w:rPr>
                <w:rFonts w:ascii="Times New Roman" w:hAnsi="Times New Roman"/>
                <w:sz w:val="24"/>
                <w:szCs w:val="24"/>
              </w:rPr>
              <w:t>0</w:t>
            </w:r>
            <w:r w:rsidRPr="00CC232A">
              <w:rPr>
                <w:rFonts w:ascii="Times New Roman" w:hAnsi="Times New Roman"/>
                <w:sz w:val="24"/>
                <w:szCs w:val="24"/>
              </w:rPr>
              <w:t xml:space="preserve"> 490 </w:t>
            </w:r>
            <w:r w:rsidRPr="00CC232A">
              <w:rPr>
                <w:rFonts w:ascii="Times New Roman" w:hAnsi="Times New Roman"/>
                <w:i/>
                <w:sz w:val="24"/>
                <w:szCs w:val="24"/>
              </w:rPr>
              <w:t>euro</w:t>
            </w:r>
            <w:r w:rsidRPr="00CC232A">
              <w:rPr>
                <w:rFonts w:ascii="Times New Roman" w:hAnsi="Times New Roman"/>
                <w:sz w:val="24"/>
                <w:szCs w:val="24"/>
              </w:rPr>
              <w:t xml:space="preserve"> </w:t>
            </w:r>
            <w:r>
              <w:rPr>
                <w:rFonts w:ascii="Times New Roman" w:hAnsi="Times New Roman"/>
                <w:sz w:val="24"/>
                <w:szCs w:val="24"/>
              </w:rPr>
              <w:t xml:space="preserve">un </w:t>
            </w:r>
            <w:r w:rsidRPr="00CC232A">
              <w:rPr>
                <w:rFonts w:ascii="Times New Roman" w:hAnsi="Times New Roman"/>
                <w:sz w:val="24"/>
                <w:szCs w:val="24"/>
              </w:rPr>
              <w:t>20</w:t>
            </w:r>
            <w:r>
              <w:rPr>
                <w:rFonts w:ascii="Times New Roman" w:hAnsi="Times New Roman"/>
                <w:sz w:val="24"/>
                <w:szCs w:val="24"/>
              </w:rPr>
              <w:t>20</w:t>
            </w:r>
            <w:r w:rsidRPr="00CC232A">
              <w:rPr>
                <w:rFonts w:ascii="Times New Roman" w:hAnsi="Times New Roman"/>
                <w:sz w:val="24"/>
                <w:szCs w:val="24"/>
              </w:rPr>
              <w:t xml:space="preserve">.gadam </w:t>
            </w:r>
            <w:r>
              <w:rPr>
                <w:rFonts w:ascii="Times New Roman" w:hAnsi="Times New Roman"/>
                <w:sz w:val="24"/>
                <w:szCs w:val="24"/>
              </w:rPr>
              <w:t xml:space="preserve">– </w:t>
            </w:r>
            <w:r w:rsidRPr="00CC232A">
              <w:rPr>
                <w:rFonts w:ascii="Times New Roman" w:hAnsi="Times New Roman"/>
                <w:sz w:val="24"/>
                <w:szCs w:val="24"/>
              </w:rPr>
              <w:t xml:space="preserve">8 720 490 </w:t>
            </w:r>
            <w:r w:rsidRPr="00CC232A">
              <w:rPr>
                <w:rFonts w:ascii="Times New Roman" w:hAnsi="Times New Roman"/>
                <w:i/>
                <w:sz w:val="24"/>
                <w:szCs w:val="24"/>
              </w:rPr>
              <w:t>euro</w:t>
            </w:r>
            <w:r w:rsidRPr="00CC232A">
              <w:rPr>
                <w:rFonts w:ascii="Times New Roman" w:hAnsi="Times New Roman"/>
                <w:sz w:val="24"/>
                <w:szCs w:val="24"/>
              </w:rPr>
              <w:t xml:space="preserve"> apmērā.</w:t>
            </w:r>
          </w:p>
        </w:tc>
      </w:tr>
      <w:tr w:rsidR="00AA772A" w:rsidRPr="00AA772A" w:rsidTr="00600996">
        <w:trPr>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6.1. detalizēts ieņēmumu aprēķins</w:t>
            </w:r>
          </w:p>
        </w:tc>
        <w:tc>
          <w:tcPr>
            <w:tcW w:w="7489" w:type="dxa"/>
            <w:gridSpan w:val="11"/>
            <w:vMerge/>
            <w:vAlign w:val="center"/>
            <w:hideMark/>
          </w:tcPr>
          <w:p w:rsidR="00AA772A" w:rsidRPr="00AA772A" w:rsidRDefault="00AA772A" w:rsidP="00AA772A">
            <w:pPr>
              <w:spacing w:after="0" w:line="240" w:lineRule="auto"/>
              <w:rPr>
                <w:rFonts w:ascii="Times New Roman" w:hAnsi="Times New Roman" w:cs="Times New Roman"/>
                <w:sz w:val="24"/>
                <w:szCs w:val="24"/>
              </w:rPr>
            </w:pPr>
          </w:p>
        </w:tc>
      </w:tr>
      <w:tr w:rsidR="00AA772A" w:rsidRPr="00AA772A" w:rsidTr="00600996">
        <w:trPr>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6.2. detalizēts izdevumu aprēķins</w:t>
            </w:r>
          </w:p>
        </w:tc>
        <w:tc>
          <w:tcPr>
            <w:tcW w:w="7489" w:type="dxa"/>
            <w:gridSpan w:val="11"/>
            <w:vMerge/>
            <w:vAlign w:val="center"/>
            <w:hideMark/>
          </w:tcPr>
          <w:p w:rsidR="00AA772A" w:rsidRPr="00AA772A" w:rsidRDefault="00AA772A" w:rsidP="00AA772A">
            <w:pPr>
              <w:spacing w:after="0" w:line="240" w:lineRule="auto"/>
              <w:rPr>
                <w:rFonts w:ascii="Times New Roman" w:hAnsi="Times New Roman" w:cs="Times New Roman"/>
                <w:sz w:val="24"/>
                <w:szCs w:val="24"/>
              </w:rPr>
            </w:pPr>
          </w:p>
        </w:tc>
      </w:tr>
      <w:tr w:rsidR="00AA772A" w:rsidRPr="00AA772A" w:rsidTr="00600996">
        <w:trPr>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7. Amata vietu skaita izmaiņas</w:t>
            </w:r>
          </w:p>
        </w:tc>
        <w:tc>
          <w:tcPr>
            <w:tcW w:w="7489" w:type="dxa"/>
            <w:gridSpan w:val="11"/>
            <w:vAlign w:val="center"/>
            <w:hideMark/>
          </w:tcPr>
          <w:p w:rsidR="00AA772A" w:rsidRPr="00800322" w:rsidRDefault="00AA772A" w:rsidP="00AA772A">
            <w:pPr>
              <w:pStyle w:val="naisf"/>
              <w:spacing w:before="0" w:beforeAutospacing="0" w:after="0" w:afterAutospacing="0"/>
              <w:rPr>
                <w:b/>
              </w:rPr>
            </w:pPr>
            <w:r w:rsidRPr="00800322">
              <w:t>Projekts šo jomu neskar</w:t>
            </w:r>
            <w:r>
              <w:t>.</w:t>
            </w:r>
          </w:p>
        </w:tc>
      </w:tr>
      <w:tr w:rsidR="00AA772A" w:rsidRPr="00AA772A" w:rsidTr="00600996">
        <w:trPr>
          <w:cantSplit/>
        </w:trPr>
        <w:tc>
          <w:tcPr>
            <w:tcW w:w="2147" w:type="dxa"/>
            <w:shd w:val="clear" w:color="auto" w:fill="auto"/>
            <w:hideMark/>
          </w:tcPr>
          <w:p w:rsidR="00AA772A" w:rsidRPr="00AA772A" w:rsidRDefault="00AA772A" w:rsidP="00AA772A">
            <w:pPr>
              <w:spacing w:after="0" w:line="240" w:lineRule="auto"/>
              <w:rPr>
                <w:rFonts w:ascii="Times New Roman" w:hAnsi="Times New Roman" w:cs="Times New Roman"/>
                <w:sz w:val="24"/>
                <w:szCs w:val="24"/>
              </w:rPr>
            </w:pPr>
            <w:r w:rsidRPr="00AA772A">
              <w:rPr>
                <w:rFonts w:ascii="Times New Roman" w:hAnsi="Times New Roman" w:cs="Times New Roman"/>
                <w:sz w:val="24"/>
                <w:szCs w:val="24"/>
              </w:rPr>
              <w:t>8. Cita informācija</w:t>
            </w:r>
          </w:p>
        </w:tc>
        <w:tc>
          <w:tcPr>
            <w:tcW w:w="7489" w:type="dxa"/>
            <w:gridSpan w:val="11"/>
            <w:hideMark/>
          </w:tcPr>
          <w:p w:rsidR="00AA772A" w:rsidRPr="00DE37D5" w:rsidRDefault="00AA772A" w:rsidP="00AA772A">
            <w:pPr>
              <w:spacing w:after="0" w:line="240" w:lineRule="auto"/>
              <w:ind w:firstLine="127"/>
              <w:jc w:val="both"/>
              <w:rPr>
                <w:rFonts w:ascii="Times New Roman" w:hAnsi="Times New Roman"/>
                <w:sz w:val="24"/>
                <w:szCs w:val="24"/>
              </w:rPr>
            </w:pPr>
            <w:r w:rsidRPr="00B232A4">
              <w:rPr>
                <w:rFonts w:ascii="Times New Roman" w:hAnsi="Times New Roman"/>
                <w:sz w:val="24"/>
                <w:szCs w:val="24"/>
              </w:rPr>
              <w:t>Noteikumu projekta īstenošana neietekmē valsts budžetu, jo nosaka kārtību, kādā tiek piešķirt</w:t>
            </w:r>
            <w:r>
              <w:rPr>
                <w:rFonts w:ascii="Times New Roman" w:hAnsi="Times New Roman"/>
                <w:sz w:val="24"/>
                <w:szCs w:val="24"/>
              </w:rPr>
              <w:t>s</w:t>
            </w:r>
            <w:r w:rsidRPr="00B232A4">
              <w:rPr>
                <w:rFonts w:ascii="Times New Roman" w:hAnsi="Times New Roman"/>
                <w:sz w:val="24"/>
                <w:szCs w:val="24"/>
              </w:rPr>
              <w:t xml:space="preserve"> </w:t>
            </w:r>
            <w:r>
              <w:rPr>
                <w:rFonts w:ascii="Times New Roman" w:hAnsi="Times New Roman"/>
                <w:sz w:val="24"/>
                <w:szCs w:val="24"/>
              </w:rPr>
              <w:t>Zemkopības ministrijas budžeta apakšprogrammā 21.01.00 „Valsts atbalsts lauksaimniecībai un lauku attīstībai” valsts atbalstam</w:t>
            </w:r>
            <w:r w:rsidRPr="00B232A4">
              <w:rPr>
                <w:rFonts w:ascii="Times New Roman" w:hAnsi="Times New Roman"/>
                <w:sz w:val="24"/>
                <w:szCs w:val="24"/>
              </w:rPr>
              <w:t xml:space="preserve"> </w:t>
            </w:r>
            <w:r>
              <w:rPr>
                <w:rFonts w:ascii="Times New Roman" w:hAnsi="Times New Roman"/>
                <w:sz w:val="24"/>
                <w:szCs w:val="24"/>
              </w:rPr>
              <w:t xml:space="preserve">apstiprinātais finansējums, kas 2019.gadā ir paredzēts 8 720 490 </w:t>
            </w:r>
            <w:r w:rsidRPr="003665A2">
              <w:rPr>
                <w:rFonts w:ascii="Times New Roman" w:hAnsi="Times New Roman"/>
                <w:i/>
                <w:sz w:val="24"/>
                <w:szCs w:val="24"/>
              </w:rPr>
              <w:t>euro</w:t>
            </w:r>
            <w:r>
              <w:rPr>
                <w:rFonts w:ascii="Times New Roman" w:hAnsi="Times New Roman"/>
                <w:sz w:val="24"/>
                <w:szCs w:val="24"/>
              </w:rPr>
              <w:t xml:space="preserve"> apmērā.</w:t>
            </w:r>
          </w:p>
        </w:tc>
      </w:tr>
    </w:tbl>
    <w:p w:rsidR="00AA772A" w:rsidRPr="00AA772A" w:rsidRDefault="00AA772A"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IV. Tiesību akta projekta ietekme uz spēkā esošo tiesību normu sistēmu</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V. Tiesību akta projekta atbilstība Latvijas Republikas starptautiskajām saistībām</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DD49B6" w:rsidTr="00472586">
        <w:trPr>
          <w:trHeight w:val="42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472586">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5749" w:type="dxa"/>
          </w:tcPr>
          <w:p w:rsidR="000330A2" w:rsidRPr="00DD49B6" w:rsidRDefault="008B4DF4" w:rsidP="006C485A">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w:t>
            </w:r>
            <w:r w:rsidR="006C485A">
              <w:rPr>
                <w:rFonts w:ascii="Times New Roman" w:hAnsi="Times New Roman"/>
                <w:iCs/>
                <w:sz w:val="24"/>
                <w:szCs w:val="24"/>
              </w:rPr>
              <w:t xml:space="preserve">tām </w:t>
            </w:r>
            <w:r w:rsidR="006C485A" w:rsidRPr="001F0D3D">
              <w:rPr>
                <w:rFonts w:ascii="Times New Roman" w:hAnsi="Times New Roman"/>
                <w:sz w:val="24"/>
                <w:szCs w:val="24"/>
              </w:rPr>
              <w:t>elektroniski</w:t>
            </w:r>
            <w:r w:rsidR="006C485A" w:rsidRPr="00B232A4">
              <w:rPr>
                <w:rFonts w:ascii="Times New Roman" w:hAnsi="Times New Roman"/>
                <w:iCs/>
                <w:sz w:val="24"/>
                <w:szCs w:val="24"/>
              </w:rPr>
              <w:t xml:space="preserve"> </w:t>
            </w:r>
            <w:r w:rsidRPr="00B232A4">
              <w:rPr>
                <w:rFonts w:ascii="Times New Roman" w:hAnsi="Times New Roman"/>
                <w:iCs/>
                <w:sz w:val="24"/>
                <w:szCs w:val="24"/>
              </w:rPr>
              <w:t xml:space="preserve">nosūtot noteikumu </w:t>
            </w:r>
            <w:r w:rsidRPr="001F0D3D">
              <w:rPr>
                <w:rFonts w:ascii="Times New Roman" w:hAnsi="Times New Roman"/>
                <w:iCs/>
                <w:sz w:val="24"/>
                <w:szCs w:val="24"/>
              </w:rPr>
              <w:t>projektu</w:t>
            </w:r>
            <w:r w:rsidR="009E4773">
              <w:rPr>
                <w:rFonts w:ascii="Times New Roman" w:hAnsi="Times New Roman"/>
                <w:sz w:val="24"/>
                <w:szCs w:val="24"/>
              </w:rPr>
              <w:t>.</w:t>
            </w:r>
          </w:p>
        </w:tc>
      </w:tr>
      <w:tr w:rsidR="000330A2" w:rsidRPr="00DD49B6" w:rsidTr="00472586">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5749" w:type="dxa"/>
          </w:tcPr>
          <w:p w:rsidR="000330A2" w:rsidRPr="00DD49B6" w:rsidRDefault="008B4DF4" w:rsidP="00002603">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sidR="00002603">
              <w:rPr>
                <w:rFonts w:ascii="Times New Roman" w:hAnsi="Times New Roman"/>
                <w:sz w:val="24"/>
                <w:szCs w:val="24"/>
              </w:rPr>
              <w:t>o</w:t>
            </w:r>
            <w:r w:rsidRPr="00B232A4">
              <w:rPr>
                <w:rFonts w:ascii="Times New Roman" w:hAnsi="Times New Roman"/>
                <w:sz w:val="24"/>
                <w:szCs w:val="24"/>
              </w:rPr>
              <w:t xml:space="preserve">rganizāciju sadarbības padome un šķirnes dzīvnieku audzētāju organizācijas – </w:t>
            </w:r>
            <w:r w:rsidRPr="00B232A4">
              <w:rPr>
                <w:rFonts w:ascii="Times New Roman" w:hAnsi="Times New Roman"/>
                <w:bCs/>
                <w:color w:val="000000"/>
                <w:sz w:val="24"/>
                <w:szCs w:val="24"/>
              </w:rPr>
              <w:t xml:space="preserve">Latvijas Zirgaudzētāju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r w:rsidR="006C485A">
              <w:rPr>
                <w:rFonts w:ascii="Times New Roman" w:hAnsi="Times New Roman"/>
                <w:bCs/>
                <w:color w:val="000000"/>
                <w:sz w:val="24"/>
                <w:szCs w:val="24"/>
              </w:rPr>
              <w:t>“</w:t>
            </w:r>
            <w:proofErr w:type="spellStart"/>
            <w:r w:rsidRPr="00B232A4">
              <w:rPr>
                <w:rFonts w:ascii="Times New Roman" w:hAnsi="Times New Roman"/>
                <w:bCs/>
                <w:color w:val="000000"/>
                <w:sz w:val="24"/>
                <w:szCs w:val="24"/>
              </w:rPr>
              <w:t>Agrosels</w:t>
            </w:r>
            <w:proofErr w:type="spellEnd"/>
            <w:r w:rsidR="006C485A">
              <w:rPr>
                <w:rFonts w:ascii="Times New Roman" w:hAnsi="Times New Roman"/>
                <w:bCs/>
                <w:color w:val="000000"/>
                <w:sz w:val="24"/>
                <w:szCs w:val="24"/>
              </w:rPr>
              <w:t>”</w:t>
            </w:r>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proofErr w:type="spellStart"/>
            <w:r>
              <w:rPr>
                <w:rFonts w:ascii="Times New Roman" w:hAnsi="Times New Roman"/>
                <w:bCs/>
                <w:color w:val="000000"/>
                <w:sz w:val="24"/>
                <w:szCs w:val="24"/>
              </w:rPr>
              <w:t>S</w:t>
            </w:r>
            <w:r w:rsidRPr="00B232A4">
              <w:rPr>
                <w:rFonts w:ascii="Times New Roman" w:hAnsi="Times New Roman"/>
                <w:bCs/>
                <w:color w:val="000000"/>
                <w:sz w:val="24"/>
                <w:szCs w:val="24"/>
              </w:rPr>
              <w:t>īkdzīvnieku</w:t>
            </w:r>
            <w:proofErr w:type="spellEnd"/>
            <w:r w:rsidRPr="00B232A4">
              <w:rPr>
                <w:rFonts w:ascii="Times New Roman" w:hAnsi="Times New Roman"/>
                <w:bCs/>
                <w:color w:val="000000"/>
                <w:sz w:val="24"/>
                <w:szCs w:val="24"/>
              </w:rPr>
              <w:t xml:space="preserve">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ķirnes trušu audzētāju asociācija</w:t>
            </w:r>
            <w:r w:rsidR="00CC61C0">
              <w:rPr>
                <w:rFonts w:ascii="Times New Roman" w:hAnsi="Times New Roman"/>
                <w:bCs/>
                <w:color w:val="000000"/>
                <w:sz w:val="24"/>
                <w:szCs w:val="24"/>
              </w:rPr>
              <w:t xml:space="preserve"> </w:t>
            </w:r>
            <w:r w:rsidR="00002603">
              <w:rPr>
                <w:rFonts w:ascii="Times New Roman" w:hAnsi="Times New Roman"/>
                <w:bCs/>
                <w:color w:val="000000"/>
                <w:sz w:val="24"/>
                <w:szCs w:val="24"/>
              </w:rPr>
              <w:t>un</w:t>
            </w:r>
            <w:r w:rsidR="00002603" w:rsidRPr="00B232A4">
              <w:rPr>
                <w:rFonts w:ascii="Times New Roman" w:hAnsi="Times New Roman"/>
                <w:bCs/>
                <w:color w:val="000000"/>
                <w:sz w:val="24"/>
                <w:szCs w:val="24"/>
              </w:rPr>
              <w:t xml:space="preserve"> </w:t>
            </w:r>
            <w:r w:rsidRPr="00B232A4">
              <w:rPr>
                <w:rFonts w:ascii="Times New Roman" w:hAnsi="Times New Roman"/>
                <w:bCs/>
                <w:color w:val="000000"/>
                <w:sz w:val="24"/>
                <w:szCs w:val="24"/>
              </w:rPr>
              <w:t xml:space="preserve">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sidRPr="00B232A4">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5749" w:type="dxa"/>
          </w:tcPr>
          <w:p w:rsidR="000330A2" w:rsidRPr="00DD49B6" w:rsidRDefault="009E4773" w:rsidP="00B55AE9">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Noteikumu projekts apspriests Zemkopības ministrijas un </w:t>
            </w:r>
            <w:r w:rsidR="00CC61C0">
              <w:rPr>
                <w:rFonts w:ascii="Times New Roman" w:hAnsi="Times New Roman"/>
                <w:sz w:val="24"/>
                <w:szCs w:val="24"/>
              </w:rPr>
              <w:t>lauksaimnie</w:t>
            </w:r>
            <w:r w:rsidR="00800322">
              <w:rPr>
                <w:rFonts w:ascii="Times New Roman" w:hAnsi="Times New Roman"/>
                <w:sz w:val="24"/>
                <w:szCs w:val="24"/>
              </w:rPr>
              <w:t>ku</w:t>
            </w:r>
            <w:r w:rsidR="00CC61C0">
              <w:rPr>
                <w:rFonts w:ascii="Times New Roman" w:hAnsi="Times New Roman"/>
                <w:sz w:val="24"/>
                <w:szCs w:val="24"/>
              </w:rPr>
              <w:t xml:space="preserve"> </w:t>
            </w:r>
            <w:r w:rsidR="00800322">
              <w:rPr>
                <w:rFonts w:ascii="Times New Roman" w:hAnsi="Times New Roman"/>
                <w:sz w:val="24"/>
                <w:szCs w:val="24"/>
              </w:rPr>
              <w:t>nevalstisko</w:t>
            </w:r>
            <w:r>
              <w:rPr>
                <w:rFonts w:ascii="Times New Roman" w:hAnsi="Times New Roman"/>
                <w:sz w:val="24"/>
                <w:szCs w:val="24"/>
              </w:rPr>
              <w:t xml:space="preserve"> organizāciju </w:t>
            </w:r>
            <w:r w:rsidR="00800322">
              <w:rPr>
                <w:rFonts w:ascii="Times New Roman" w:hAnsi="Times New Roman"/>
                <w:sz w:val="24"/>
                <w:szCs w:val="24"/>
              </w:rPr>
              <w:t xml:space="preserve">konsultatīvās padomes </w:t>
            </w:r>
            <w:r>
              <w:rPr>
                <w:rFonts w:ascii="Times New Roman" w:hAnsi="Times New Roman"/>
                <w:sz w:val="24"/>
                <w:szCs w:val="24"/>
              </w:rPr>
              <w:t>201</w:t>
            </w:r>
            <w:r w:rsidR="00B55AE9">
              <w:rPr>
                <w:rFonts w:ascii="Times New Roman" w:hAnsi="Times New Roman"/>
                <w:sz w:val="24"/>
                <w:szCs w:val="24"/>
              </w:rPr>
              <w:t>9</w:t>
            </w:r>
            <w:r>
              <w:rPr>
                <w:rFonts w:ascii="Times New Roman" w:hAnsi="Times New Roman"/>
                <w:sz w:val="24"/>
                <w:szCs w:val="24"/>
              </w:rPr>
              <w:t xml:space="preserve">.gada </w:t>
            </w:r>
            <w:r w:rsidR="00B55AE9">
              <w:rPr>
                <w:rFonts w:ascii="Times New Roman" w:hAnsi="Times New Roman"/>
                <w:sz w:val="24"/>
                <w:szCs w:val="24"/>
              </w:rPr>
              <w:t>11</w:t>
            </w:r>
            <w:r w:rsidR="00800322">
              <w:rPr>
                <w:rFonts w:ascii="Times New Roman" w:hAnsi="Times New Roman"/>
                <w:sz w:val="24"/>
                <w:szCs w:val="24"/>
              </w:rPr>
              <w:t>.janvāra</w:t>
            </w:r>
            <w:r w:rsidR="00375524">
              <w:rPr>
                <w:rFonts w:ascii="Times New Roman" w:hAnsi="Times New Roman"/>
                <w:sz w:val="24"/>
                <w:szCs w:val="24"/>
              </w:rPr>
              <w:t xml:space="preserve"> sanāksmē</w:t>
            </w:r>
            <w:r>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749"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B55AE9" w:rsidRDefault="00B55AE9" w:rsidP="000330A2">
      <w:pPr>
        <w:spacing w:after="0" w:line="240" w:lineRule="auto"/>
        <w:rPr>
          <w:rFonts w:ascii="Times New Roman" w:hAnsi="Times New Roman" w:cs="Times New Roman"/>
          <w:sz w:val="24"/>
          <w:szCs w:val="24"/>
        </w:rPr>
      </w:pPr>
    </w:p>
    <w:p w:rsidR="00472586" w:rsidRPr="00DD49B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DD49B6" w:rsidTr="00472586">
        <w:trPr>
          <w:trHeight w:val="38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472586">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015"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472586">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015" w:type="dxa"/>
          </w:tcPr>
          <w:p w:rsidR="00897834" w:rsidRPr="00E24A36" w:rsidRDefault="00897834" w:rsidP="00897834">
            <w:pPr>
              <w:pStyle w:val="naisnod"/>
              <w:spacing w:before="0" w:after="0"/>
              <w:ind w:left="57" w:right="57" w:hanging="57"/>
            </w:pPr>
            <w:r w:rsidRPr="00E24A36">
              <w:t xml:space="preserve">Projekts </w:t>
            </w:r>
            <w:r w:rsidR="008544EA" w:rsidRPr="008544EA">
              <w:t xml:space="preserve">neietekmē pārvaldes funkcijas un uzdevumus, </w:t>
            </w:r>
            <w:r w:rsidR="006C485A">
              <w:t>ne</w:t>
            </w:r>
            <w:r w:rsidR="008544EA" w:rsidRPr="008544EA">
              <w:t xml:space="preserve"> arī institucionālo struktūru</w:t>
            </w:r>
            <w:r w:rsidR="008544EA">
              <w:t>.</w:t>
            </w:r>
          </w:p>
        </w:tc>
      </w:tr>
      <w:tr w:rsidR="000330A2" w:rsidRPr="00DD49B6"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015"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C56B69" w:rsidRDefault="00C56B69" w:rsidP="00760B61">
      <w:pPr>
        <w:spacing w:after="0" w:line="240" w:lineRule="auto"/>
        <w:jc w:val="both"/>
        <w:rPr>
          <w:rFonts w:eastAsia="Calibri"/>
          <w:sz w:val="28"/>
          <w:szCs w:val="28"/>
          <w:lang w:eastAsia="en-US"/>
        </w:rPr>
      </w:pPr>
    </w:p>
    <w:p w:rsidR="00C744C6" w:rsidRDefault="00C744C6" w:rsidP="00760B61">
      <w:pPr>
        <w:spacing w:after="0" w:line="240" w:lineRule="auto"/>
        <w:jc w:val="both"/>
        <w:rPr>
          <w:rFonts w:eastAsia="Calibri"/>
          <w:sz w:val="28"/>
          <w:szCs w:val="28"/>
          <w:lang w:eastAsia="en-US"/>
        </w:rPr>
      </w:pPr>
    </w:p>
    <w:p w:rsidR="00D60CAE" w:rsidRDefault="00D60CAE" w:rsidP="00760B61">
      <w:pPr>
        <w:spacing w:after="0" w:line="240" w:lineRule="auto"/>
        <w:jc w:val="both"/>
        <w:rPr>
          <w:rFonts w:eastAsia="Calibri"/>
          <w:sz w:val="28"/>
          <w:szCs w:val="28"/>
          <w:lang w:eastAsia="en-US"/>
        </w:rPr>
      </w:pPr>
    </w:p>
    <w:p w:rsidR="00360EDE" w:rsidRPr="000179E0" w:rsidRDefault="000179E0" w:rsidP="00C56B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0EDE" w:rsidRPr="000179E0">
        <w:rPr>
          <w:rFonts w:ascii="Times New Roman" w:eastAsia="Times New Roman" w:hAnsi="Times New Roman" w:cs="Times New Roman"/>
          <w:sz w:val="28"/>
          <w:szCs w:val="28"/>
        </w:rPr>
        <w:t>Zemkopības ministr</w:t>
      </w:r>
      <w:r w:rsidR="00CF7196" w:rsidRPr="000179E0">
        <w:rPr>
          <w:rFonts w:ascii="Times New Roman" w:eastAsia="Times New Roman" w:hAnsi="Times New Roman" w:cs="Times New Roman"/>
          <w:sz w:val="28"/>
          <w:szCs w:val="28"/>
        </w:rPr>
        <w:t>s</w:t>
      </w:r>
      <w:r w:rsidR="00360EDE" w:rsidRPr="000179E0">
        <w:rPr>
          <w:rFonts w:ascii="Times New Roman" w:eastAsia="Times New Roman" w:hAnsi="Times New Roman" w:cs="Times New Roman"/>
          <w:sz w:val="28"/>
          <w:szCs w:val="28"/>
        </w:rPr>
        <w:t xml:space="preserve"> </w:t>
      </w:r>
      <w:r w:rsidR="005065C4" w:rsidRPr="000179E0">
        <w:rPr>
          <w:rFonts w:ascii="Times New Roman" w:eastAsia="Times New Roman" w:hAnsi="Times New Roman" w:cs="Times New Roman"/>
          <w:sz w:val="28"/>
          <w:szCs w:val="28"/>
        </w:rPr>
        <w:tab/>
      </w:r>
      <w:r w:rsidR="005065C4" w:rsidRPr="000179E0">
        <w:rPr>
          <w:rFonts w:ascii="Times New Roman" w:eastAsia="Times New Roman" w:hAnsi="Times New Roman" w:cs="Times New Roman"/>
          <w:sz w:val="28"/>
          <w:szCs w:val="28"/>
        </w:rPr>
        <w:tab/>
      </w:r>
      <w:r w:rsidR="005065C4" w:rsidRPr="000179E0">
        <w:rPr>
          <w:rFonts w:ascii="Times New Roman" w:eastAsia="Times New Roman" w:hAnsi="Times New Roman" w:cs="Times New Roman"/>
          <w:sz w:val="28"/>
          <w:szCs w:val="28"/>
        </w:rPr>
        <w:tab/>
      </w:r>
      <w:r w:rsidR="007F2196" w:rsidRPr="000179E0">
        <w:rPr>
          <w:rFonts w:ascii="Times New Roman" w:eastAsia="Times New Roman" w:hAnsi="Times New Roman" w:cs="Times New Roman"/>
          <w:sz w:val="28"/>
          <w:szCs w:val="28"/>
        </w:rPr>
        <w:tab/>
      </w:r>
      <w:r w:rsidR="007F2196" w:rsidRPr="000179E0">
        <w:rPr>
          <w:rFonts w:ascii="Times New Roman" w:eastAsia="Times New Roman" w:hAnsi="Times New Roman" w:cs="Times New Roman"/>
          <w:sz w:val="28"/>
          <w:szCs w:val="28"/>
        </w:rPr>
        <w:tab/>
      </w:r>
      <w:r w:rsidR="00BC4BC9" w:rsidRPr="000179E0">
        <w:rPr>
          <w:rFonts w:ascii="Times New Roman" w:eastAsia="Times New Roman" w:hAnsi="Times New Roman" w:cs="Times New Roman"/>
          <w:sz w:val="28"/>
          <w:szCs w:val="28"/>
        </w:rPr>
        <w:t>Kaspars Gerhards</w:t>
      </w: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bookmarkStart w:id="9" w:name="_GoBack"/>
      <w:bookmarkEnd w:id="9"/>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BC4BC9" w:rsidRDefault="00BC4BC9" w:rsidP="00760B61">
      <w:pPr>
        <w:spacing w:after="0" w:line="240" w:lineRule="auto"/>
        <w:rPr>
          <w:rFonts w:ascii="Times New Roman" w:hAnsi="Times New Roman" w:cs="Times New Roman"/>
          <w:sz w:val="20"/>
          <w:szCs w:val="20"/>
        </w:rPr>
      </w:pPr>
    </w:p>
    <w:p w:rsidR="000179E0" w:rsidRPr="000179E0" w:rsidRDefault="00760B61" w:rsidP="000179E0">
      <w:pPr>
        <w:spacing w:after="0" w:line="240" w:lineRule="auto"/>
        <w:rPr>
          <w:rFonts w:ascii="Times New Roman" w:hAnsi="Times New Roman" w:cs="Times New Roman"/>
          <w:sz w:val="24"/>
          <w:szCs w:val="24"/>
        </w:rPr>
      </w:pPr>
      <w:r w:rsidRPr="000179E0">
        <w:rPr>
          <w:rFonts w:ascii="Times New Roman" w:hAnsi="Times New Roman" w:cs="Times New Roman"/>
          <w:sz w:val="24"/>
          <w:szCs w:val="24"/>
        </w:rPr>
        <w:t>Ingiļāvičute</w:t>
      </w:r>
      <w:r w:rsidR="000179E0" w:rsidRPr="000179E0">
        <w:rPr>
          <w:rFonts w:ascii="Times New Roman" w:hAnsi="Times New Roman" w:cs="Times New Roman"/>
          <w:sz w:val="24"/>
          <w:szCs w:val="24"/>
        </w:rPr>
        <w:t xml:space="preserve"> 67027661</w:t>
      </w:r>
    </w:p>
    <w:p w:rsidR="000330A2" w:rsidRPr="000179E0" w:rsidRDefault="00760B61" w:rsidP="000179E0">
      <w:pPr>
        <w:spacing w:after="0" w:line="240" w:lineRule="auto"/>
        <w:rPr>
          <w:rFonts w:ascii="Times New Roman" w:hAnsi="Times New Roman" w:cs="Times New Roman"/>
          <w:sz w:val="24"/>
          <w:szCs w:val="24"/>
        </w:rPr>
      </w:pPr>
      <w:r w:rsidRPr="000179E0">
        <w:rPr>
          <w:rFonts w:ascii="Times New Roman" w:hAnsi="Times New Roman" w:cs="Times New Roman"/>
          <w:sz w:val="24"/>
          <w:szCs w:val="24"/>
        </w:rPr>
        <w:t>Biruta.Ingilavicute@zm.gov.lv</w:t>
      </w:r>
    </w:p>
    <w:sectPr w:rsidR="000330A2" w:rsidRPr="000179E0" w:rsidSect="000179E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99" w:rsidRDefault="00181799" w:rsidP="00B43E45">
      <w:pPr>
        <w:spacing w:after="0" w:line="240" w:lineRule="auto"/>
      </w:pPr>
      <w:r>
        <w:separator/>
      </w:r>
    </w:p>
  </w:endnote>
  <w:endnote w:type="continuationSeparator" w:id="0">
    <w:p w:rsidR="00181799" w:rsidRDefault="00181799"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EA" w:rsidRPr="0068244A" w:rsidRDefault="000179E0" w:rsidP="000179E0">
    <w:pPr>
      <w:pStyle w:val="Kjene"/>
      <w:rPr>
        <w:rFonts w:ascii="Times New Roman" w:hAnsi="Times New Roman" w:cs="Times New Roman"/>
        <w:sz w:val="20"/>
        <w:szCs w:val="20"/>
      </w:rPr>
    </w:pPr>
    <w:r w:rsidRPr="000179E0">
      <w:rPr>
        <w:rFonts w:ascii="Times New Roman" w:hAnsi="Times New Roman" w:cs="Times New Roman"/>
        <w:sz w:val="20"/>
        <w:szCs w:val="20"/>
      </w:rPr>
      <w:t>ZMAnot_140219_valstsatba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EA" w:rsidRPr="0068244A" w:rsidRDefault="000179E0" w:rsidP="000179E0">
    <w:pPr>
      <w:pStyle w:val="Kjene"/>
      <w:rPr>
        <w:rFonts w:ascii="Times New Roman" w:hAnsi="Times New Roman" w:cs="Times New Roman"/>
        <w:sz w:val="20"/>
        <w:szCs w:val="20"/>
      </w:rPr>
    </w:pPr>
    <w:r w:rsidRPr="000179E0">
      <w:rPr>
        <w:rFonts w:ascii="Times New Roman" w:hAnsi="Times New Roman" w:cs="Times New Roman"/>
        <w:sz w:val="20"/>
        <w:szCs w:val="20"/>
      </w:rPr>
      <w:t>ZMAnot_140219_valstsatba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99" w:rsidRDefault="00181799" w:rsidP="00B43E45">
      <w:pPr>
        <w:spacing w:after="0" w:line="240" w:lineRule="auto"/>
      </w:pPr>
      <w:r>
        <w:separator/>
      </w:r>
    </w:p>
  </w:footnote>
  <w:footnote w:type="continuationSeparator" w:id="0">
    <w:p w:rsidR="00181799" w:rsidRDefault="00181799"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605AEA" w:rsidRPr="00760B61" w:rsidRDefault="00605AEA">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0179E0">
          <w:rPr>
            <w:rFonts w:ascii="Times New Roman" w:hAnsi="Times New Roman" w:cs="Times New Roman"/>
            <w:noProof/>
            <w:sz w:val="24"/>
          </w:rPr>
          <w:t>8</w:t>
        </w:r>
        <w:r w:rsidRPr="00760B61">
          <w:rPr>
            <w:rFonts w:ascii="Times New Roman" w:hAnsi="Times New Roman" w:cs="Times New Roman"/>
            <w:sz w:val="24"/>
          </w:rPr>
          <w:fldChar w:fldCharType="end"/>
        </w:r>
      </w:p>
    </w:sdtContent>
  </w:sdt>
  <w:p w:rsidR="00605AEA" w:rsidRPr="00760B61" w:rsidRDefault="00605AEA">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02603"/>
    <w:rsid w:val="000179E0"/>
    <w:rsid w:val="0002122B"/>
    <w:rsid w:val="000304CB"/>
    <w:rsid w:val="000330A2"/>
    <w:rsid w:val="000368BB"/>
    <w:rsid w:val="00044E7F"/>
    <w:rsid w:val="00047B6E"/>
    <w:rsid w:val="00051F44"/>
    <w:rsid w:val="0005547A"/>
    <w:rsid w:val="00066361"/>
    <w:rsid w:val="0007195C"/>
    <w:rsid w:val="0007582E"/>
    <w:rsid w:val="00077EB0"/>
    <w:rsid w:val="00081898"/>
    <w:rsid w:val="000A5C43"/>
    <w:rsid w:val="000D320E"/>
    <w:rsid w:val="000E1DDA"/>
    <w:rsid w:val="000F173E"/>
    <w:rsid w:val="00100DBE"/>
    <w:rsid w:val="001022EF"/>
    <w:rsid w:val="0010345A"/>
    <w:rsid w:val="0010407A"/>
    <w:rsid w:val="0010792A"/>
    <w:rsid w:val="0011459C"/>
    <w:rsid w:val="00114A10"/>
    <w:rsid w:val="00123517"/>
    <w:rsid w:val="001266D5"/>
    <w:rsid w:val="00130FCE"/>
    <w:rsid w:val="00131F83"/>
    <w:rsid w:val="00134BE6"/>
    <w:rsid w:val="001357BB"/>
    <w:rsid w:val="00140A54"/>
    <w:rsid w:val="001469F7"/>
    <w:rsid w:val="0015037C"/>
    <w:rsid w:val="00156501"/>
    <w:rsid w:val="00156EE9"/>
    <w:rsid w:val="001577DA"/>
    <w:rsid w:val="0016492B"/>
    <w:rsid w:val="00166EFF"/>
    <w:rsid w:val="001671C6"/>
    <w:rsid w:val="00176AB8"/>
    <w:rsid w:val="001779A2"/>
    <w:rsid w:val="00181799"/>
    <w:rsid w:val="001866AA"/>
    <w:rsid w:val="00194CA8"/>
    <w:rsid w:val="001B1B67"/>
    <w:rsid w:val="001B6397"/>
    <w:rsid w:val="001B7BBB"/>
    <w:rsid w:val="001B7FD9"/>
    <w:rsid w:val="001C17CB"/>
    <w:rsid w:val="001C27D3"/>
    <w:rsid w:val="001C749C"/>
    <w:rsid w:val="001D2AEF"/>
    <w:rsid w:val="001D7E88"/>
    <w:rsid w:val="001F0487"/>
    <w:rsid w:val="001F0D3D"/>
    <w:rsid w:val="001F15ED"/>
    <w:rsid w:val="00200FC9"/>
    <w:rsid w:val="00204853"/>
    <w:rsid w:val="0021290C"/>
    <w:rsid w:val="00225DCD"/>
    <w:rsid w:val="00233632"/>
    <w:rsid w:val="002370D4"/>
    <w:rsid w:val="00242BED"/>
    <w:rsid w:val="00261B1D"/>
    <w:rsid w:val="0027190F"/>
    <w:rsid w:val="00272762"/>
    <w:rsid w:val="002766C3"/>
    <w:rsid w:val="00276757"/>
    <w:rsid w:val="00277757"/>
    <w:rsid w:val="00291CF5"/>
    <w:rsid w:val="002B08C5"/>
    <w:rsid w:val="002B1267"/>
    <w:rsid w:val="002E109D"/>
    <w:rsid w:val="002E5F72"/>
    <w:rsid w:val="002F2347"/>
    <w:rsid w:val="002F2BF5"/>
    <w:rsid w:val="002F3A45"/>
    <w:rsid w:val="002F6AAA"/>
    <w:rsid w:val="003021EA"/>
    <w:rsid w:val="00307596"/>
    <w:rsid w:val="0030796C"/>
    <w:rsid w:val="00312DC4"/>
    <w:rsid w:val="00316A48"/>
    <w:rsid w:val="0031781F"/>
    <w:rsid w:val="003201E3"/>
    <w:rsid w:val="0032029F"/>
    <w:rsid w:val="003204BA"/>
    <w:rsid w:val="00323AC7"/>
    <w:rsid w:val="00335CC6"/>
    <w:rsid w:val="00343905"/>
    <w:rsid w:val="003476C3"/>
    <w:rsid w:val="00351DA0"/>
    <w:rsid w:val="00360EDE"/>
    <w:rsid w:val="00362D35"/>
    <w:rsid w:val="003665A2"/>
    <w:rsid w:val="00367875"/>
    <w:rsid w:val="00374E0B"/>
    <w:rsid w:val="00375524"/>
    <w:rsid w:val="00377CDE"/>
    <w:rsid w:val="00385344"/>
    <w:rsid w:val="003857DB"/>
    <w:rsid w:val="00393834"/>
    <w:rsid w:val="003A2C89"/>
    <w:rsid w:val="003A3420"/>
    <w:rsid w:val="003A3A07"/>
    <w:rsid w:val="003A3B82"/>
    <w:rsid w:val="003B4EB6"/>
    <w:rsid w:val="003B619C"/>
    <w:rsid w:val="003C5692"/>
    <w:rsid w:val="003D01F4"/>
    <w:rsid w:val="003D42CB"/>
    <w:rsid w:val="003E064E"/>
    <w:rsid w:val="00402FEA"/>
    <w:rsid w:val="004122BC"/>
    <w:rsid w:val="00422589"/>
    <w:rsid w:val="004250D0"/>
    <w:rsid w:val="00431E7C"/>
    <w:rsid w:val="00445F16"/>
    <w:rsid w:val="004465D8"/>
    <w:rsid w:val="00451FA0"/>
    <w:rsid w:val="00455344"/>
    <w:rsid w:val="00456875"/>
    <w:rsid w:val="0046075E"/>
    <w:rsid w:val="00472586"/>
    <w:rsid w:val="004B5266"/>
    <w:rsid w:val="004B5607"/>
    <w:rsid w:val="004C70B3"/>
    <w:rsid w:val="004D0AA9"/>
    <w:rsid w:val="004D43F7"/>
    <w:rsid w:val="004E0136"/>
    <w:rsid w:val="004E1493"/>
    <w:rsid w:val="004E39AE"/>
    <w:rsid w:val="00504190"/>
    <w:rsid w:val="00506514"/>
    <w:rsid w:val="005065C4"/>
    <w:rsid w:val="0051477B"/>
    <w:rsid w:val="00515C1B"/>
    <w:rsid w:val="005206FF"/>
    <w:rsid w:val="00522DA8"/>
    <w:rsid w:val="00523895"/>
    <w:rsid w:val="00531E80"/>
    <w:rsid w:val="00532397"/>
    <w:rsid w:val="00546225"/>
    <w:rsid w:val="00574750"/>
    <w:rsid w:val="00583D4F"/>
    <w:rsid w:val="00591097"/>
    <w:rsid w:val="00596D2C"/>
    <w:rsid w:val="005A2113"/>
    <w:rsid w:val="005B36EC"/>
    <w:rsid w:val="005C496A"/>
    <w:rsid w:val="005E56C9"/>
    <w:rsid w:val="00600996"/>
    <w:rsid w:val="00601A77"/>
    <w:rsid w:val="00605AEA"/>
    <w:rsid w:val="00607C5B"/>
    <w:rsid w:val="00624D41"/>
    <w:rsid w:val="00633B2D"/>
    <w:rsid w:val="0064117C"/>
    <w:rsid w:val="0064407D"/>
    <w:rsid w:val="00645703"/>
    <w:rsid w:val="00655B18"/>
    <w:rsid w:val="0065721F"/>
    <w:rsid w:val="00665C0B"/>
    <w:rsid w:val="0067349C"/>
    <w:rsid w:val="0068244A"/>
    <w:rsid w:val="0068294F"/>
    <w:rsid w:val="00684952"/>
    <w:rsid w:val="0068772C"/>
    <w:rsid w:val="0069590E"/>
    <w:rsid w:val="006A4D02"/>
    <w:rsid w:val="006A5178"/>
    <w:rsid w:val="006C2BC1"/>
    <w:rsid w:val="006C485A"/>
    <w:rsid w:val="006D1591"/>
    <w:rsid w:val="006D41F8"/>
    <w:rsid w:val="006D439E"/>
    <w:rsid w:val="006D6341"/>
    <w:rsid w:val="006D6DBC"/>
    <w:rsid w:val="006F134D"/>
    <w:rsid w:val="006F14EA"/>
    <w:rsid w:val="006F5397"/>
    <w:rsid w:val="006F69C8"/>
    <w:rsid w:val="00703F24"/>
    <w:rsid w:val="00723E24"/>
    <w:rsid w:val="00726B5C"/>
    <w:rsid w:val="0073509D"/>
    <w:rsid w:val="00751CC0"/>
    <w:rsid w:val="00753F17"/>
    <w:rsid w:val="00760B61"/>
    <w:rsid w:val="0076284F"/>
    <w:rsid w:val="00766305"/>
    <w:rsid w:val="0077301B"/>
    <w:rsid w:val="007766D1"/>
    <w:rsid w:val="0077671A"/>
    <w:rsid w:val="007816A7"/>
    <w:rsid w:val="007826A8"/>
    <w:rsid w:val="007845F1"/>
    <w:rsid w:val="007B1F91"/>
    <w:rsid w:val="007C49C9"/>
    <w:rsid w:val="007C50E2"/>
    <w:rsid w:val="007C55A0"/>
    <w:rsid w:val="007D0225"/>
    <w:rsid w:val="007F0225"/>
    <w:rsid w:val="007F2196"/>
    <w:rsid w:val="007F71B9"/>
    <w:rsid w:val="00800322"/>
    <w:rsid w:val="00802476"/>
    <w:rsid w:val="008169A2"/>
    <w:rsid w:val="0082562F"/>
    <w:rsid w:val="008344F1"/>
    <w:rsid w:val="0085229A"/>
    <w:rsid w:val="00852FAD"/>
    <w:rsid w:val="008544EA"/>
    <w:rsid w:val="008553BF"/>
    <w:rsid w:val="00874BDB"/>
    <w:rsid w:val="0088353A"/>
    <w:rsid w:val="00883BBD"/>
    <w:rsid w:val="00883CE9"/>
    <w:rsid w:val="00890B7D"/>
    <w:rsid w:val="0089183A"/>
    <w:rsid w:val="00892C45"/>
    <w:rsid w:val="00897834"/>
    <w:rsid w:val="008A0A22"/>
    <w:rsid w:val="008A2B99"/>
    <w:rsid w:val="008B4DF4"/>
    <w:rsid w:val="008B784F"/>
    <w:rsid w:val="008D5756"/>
    <w:rsid w:val="008E5E00"/>
    <w:rsid w:val="008E730A"/>
    <w:rsid w:val="008E7993"/>
    <w:rsid w:val="008F6324"/>
    <w:rsid w:val="00906770"/>
    <w:rsid w:val="00907DCD"/>
    <w:rsid w:val="00910456"/>
    <w:rsid w:val="009114A5"/>
    <w:rsid w:val="009154FF"/>
    <w:rsid w:val="0092023D"/>
    <w:rsid w:val="00926510"/>
    <w:rsid w:val="009401C7"/>
    <w:rsid w:val="00945E3B"/>
    <w:rsid w:val="009704F7"/>
    <w:rsid w:val="00980384"/>
    <w:rsid w:val="009831EE"/>
    <w:rsid w:val="0098336F"/>
    <w:rsid w:val="0099391A"/>
    <w:rsid w:val="00996783"/>
    <w:rsid w:val="009975AA"/>
    <w:rsid w:val="009B24D0"/>
    <w:rsid w:val="009B7E48"/>
    <w:rsid w:val="009C4405"/>
    <w:rsid w:val="009D36DC"/>
    <w:rsid w:val="009E4773"/>
    <w:rsid w:val="009F3688"/>
    <w:rsid w:val="009F3C65"/>
    <w:rsid w:val="009F4A12"/>
    <w:rsid w:val="00A12344"/>
    <w:rsid w:val="00A20552"/>
    <w:rsid w:val="00A32C1B"/>
    <w:rsid w:val="00A406A0"/>
    <w:rsid w:val="00A44157"/>
    <w:rsid w:val="00A463F5"/>
    <w:rsid w:val="00A467D1"/>
    <w:rsid w:val="00A53F68"/>
    <w:rsid w:val="00A626C6"/>
    <w:rsid w:val="00A629A7"/>
    <w:rsid w:val="00A63255"/>
    <w:rsid w:val="00A72F0F"/>
    <w:rsid w:val="00A7472A"/>
    <w:rsid w:val="00A93BCE"/>
    <w:rsid w:val="00AA5504"/>
    <w:rsid w:val="00AA772A"/>
    <w:rsid w:val="00AA7BBD"/>
    <w:rsid w:val="00AB620C"/>
    <w:rsid w:val="00AD2186"/>
    <w:rsid w:val="00AD293B"/>
    <w:rsid w:val="00AF1AC7"/>
    <w:rsid w:val="00AF501E"/>
    <w:rsid w:val="00AF509A"/>
    <w:rsid w:val="00AF5D17"/>
    <w:rsid w:val="00B00DAC"/>
    <w:rsid w:val="00B12EC7"/>
    <w:rsid w:val="00B20472"/>
    <w:rsid w:val="00B223E3"/>
    <w:rsid w:val="00B36BEC"/>
    <w:rsid w:val="00B37D3B"/>
    <w:rsid w:val="00B43E45"/>
    <w:rsid w:val="00B469DE"/>
    <w:rsid w:val="00B50131"/>
    <w:rsid w:val="00B51075"/>
    <w:rsid w:val="00B515C9"/>
    <w:rsid w:val="00B55AE9"/>
    <w:rsid w:val="00B570D0"/>
    <w:rsid w:val="00B60291"/>
    <w:rsid w:val="00B65B44"/>
    <w:rsid w:val="00B675A1"/>
    <w:rsid w:val="00B84678"/>
    <w:rsid w:val="00B8765B"/>
    <w:rsid w:val="00B91A42"/>
    <w:rsid w:val="00B95608"/>
    <w:rsid w:val="00B97A44"/>
    <w:rsid w:val="00BA033E"/>
    <w:rsid w:val="00BB0EA1"/>
    <w:rsid w:val="00BB1C96"/>
    <w:rsid w:val="00BB699C"/>
    <w:rsid w:val="00BC4BC9"/>
    <w:rsid w:val="00BC5440"/>
    <w:rsid w:val="00BC6DF0"/>
    <w:rsid w:val="00BD1C20"/>
    <w:rsid w:val="00BD242A"/>
    <w:rsid w:val="00BD3C6F"/>
    <w:rsid w:val="00BD7262"/>
    <w:rsid w:val="00BE76E1"/>
    <w:rsid w:val="00BF23E4"/>
    <w:rsid w:val="00C004F1"/>
    <w:rsid w:val="00C0203F"/>
    <w:rsid w:val="00C360E3"/>
    <w:rsid w:val="00C54405"/>
    <w:rsid w:val="00C56B69"/>
    <w:rsid w:val="00C65C25"/>
    <w:rsid w:val="00C70E93"/>
    <w:rsid w:val="00C729F9"/>
    <w:rsid w:val="00C744C6"/>
    <w:rsid w:val="00C965C9"/>
    <w:rsid w:val="00CA0A47"/>
    <w:rsid w:val="00CA441C"/>
    <w:rsid w:val="00CA4C24"/>
    <w:rsid w:val="00CA79A8"/>
    <w:rsid w:val="00CB1455"/>
    <w:rsid w:val="00CB33C7"/>
    <w:rsid w:val="00CC0F36"/>
    <w:rsid w:val="00CC232A"/>
    <w:rsid w:val="00CC3BD8"/>
    <w:rsid w:val="00CC5644"/>
    <w:rsid w:val="00CC5F8A"/>
    <w:rsid w:val="00CC60AB"/>
    <w:rsid w:val="00CC61C0"/>
    <w:rsid w:val="00CD1AF2"/>
    <w:rsid w:val="00CD769F"/>
    <w:rsid w:val="00CE27F6"/>
    <w:rsid w:val="00CE3ED7"/>
    <w:rsid w:val="00CE64E7"/>
    <w:rsid w:val="00CE6EAF"/>
    <w:rsid w:val="00CF2F13"/>
    <w:rsid w:val="00CF7196"/>
    <w:rsid w:val="00D1129C"/>
    <w:rsid w:val="00D24EBD"/>
    <w:rsid w:val="00D26751"/>
    <w:rsid w:val="00D363E4"/>
    <w:rsid w:val="00D432BF"/>
    <w:rsid w:val="00D52FF0"/>
    <w:rsid w:val="00D60CAE"/>
    <w:rsid w:val="00D8227E"/>
    <w:rsid w:val="00D92777"/>
    <w:rsid w:val="00D96C7F"/>
    <w:rsid w:val="00D96F94"/>
    <w:rsid w:val="00DA04A3"/>
    <w:rsid w:val="00DA2E37"/>
    <w:rsid w:val="00DB40DF"/>
    <w:rsid w:val="00DB6E39"/>
    <w:rsid w:val="00DC0942"/>
    <w:rsid w:val="00DC16AB"/>
    <w:rsid w:val="00DC2734"/>
    <w:rsid w:val="00DD7622"/>
    <w:rsid w:val="00DE6537"/>
    <w:rsid w:val="00E01F43"/>
    <w:rsid w:val="00E0319C"/>
    <w:rsid w:val="00E20F2E"/>
    <w:rsid w:val="00E25912"/>
    <w:rsid w:val="00E323E5"/>
    <w:rsid w:val="00E35434"/>
    <w:rsid w:val="00E36CF7"/>
    <w:rsid w:val="00E46804"/>
    <w:rsid w:val="00E5143B"/>
    <w:rsid w:val="00E53A44"/>
    <w:rsid w:val="00E55A79"/>
    <w:rsid w:val="00E5607A"/>
    <w:rsid w:val="00E6531E"/>
    <w:rsid w:val="00E73C75"/>
    <w:rsid w:val="00E744DB"/>
    <w:rsid w:val="00E81D76"/>
    <w:rsid w:val="00E85767"/>
    <w:rsid w:val="00E93350"/>
    <w:rsid w:val="00E94A5C"/>
    <w:rsid w:val="00EA2C82"/>
    <w:rsid w:val="00EA2DBD"/>
    <w:rsid w:val="00EA3687"/>
    <w:rsid w:val="00EA39DF"/>
    <w:rsid w:val="00EA6453"/>
    <w:rsid w:val="00EC04DB"/>
    <w:rsid w:val="00ED1FB4"/>
    <w:rsid w:val="00ED42AE"/>
    <w:rsid w:val="00EE1762"/>
    <w:rsid w:val="00EE482F"/>
    <w:rsid w:val="00EE65BD"/>
    <w:rsid w:val="00EF11FA"/>
    <w:rsid w:val="00F0537F"/>
    <w:rsid w:val="00F07FF6"/>
    <w:rsid w:val="00F103CD"/>
    <w:rsid w:val="00F14E9D"/>
    <w:rsid w:val="00F21594"/>
    <w:rsid w:val="00F276B1"/>
    <w:rsid w:val="00F4672A"/>
    <w:rsid w:val="00F75F4A"/>
    <w:rsid w:val="00F8293B"/>
    <w:rsid w:val="00F91423"/>
    <w:rsid w:val="00F92F96"/>
    <w:rsid w:val="00F936EB"/>
    <w:rsid w:val="00FB3181"/>
    <w:rsid w:val="00FB389B"/>
    <w:rsid w:val="00FC1BA6"/>
    <w:rsid w:val="00FD4277"/>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sadal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9124-6A90-42D2-91EC-3324E525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13470</Words>
  <Characters>7679</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2013. gada 17. decembra noteikumos Nr. 1524 „Noteikumi par valsts atbalstu lauksaimniecībai””</dc:title>
  <dc:subject>Anotācija</dc:subject>
  <dc:creator>Biruta Ingilavicute</dc:creator>
  <dc:description>Ingiļāvičute 67027661_x000d_
Biruta.Ingilavicute@zm.gov.lv</dc:description>
  <cp:lastModifiedBy>Kristiāna Sebre</cp:lastModifiedBy>
  <cp:revision>4</cp:revision>
  <cp:lastPrinted>2013-12-16T07:43:00Z</cp:lastPrinted>
  <dcterms:created xsi:type="dcterms:W3CDTF">2019-02-14T10:21:00Z</dcterms:created>
  <dcterms:modified xsi:type="dcterms:W3CDTF">2019-02-14T11:38:00Z</dcterms:modified>
</cp:coreProperties>
</file>