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7F7E" w14:textId="77777777" w:rsidR="00894C55" w:rsidRPr="00B531F7" w:rsidRDefault="00537AFC" w:rsidP="004B2695">
      <w:pPr>
        <w:shd w:val="clear" w:color="auto" w:fill="FFFFFF"/>
        <w:spacing w:before="120" w:after="12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924DDC">
            <w:rPr>
              <w:rFonts w:ascii="Times New Roman" w:eastAsia="Times New Roman" w:hAnsi="Times New Roman" w:cs="Times New Roman"/>
              <w:b/>
              <w:bCs/>
              <w:sz w:val="28"/>
              <w:szCs w:val="24"/>
              <w:lang w:eastAsia="lv-LV"/>
            </w:rPr>
            <w:t>Likumprojekta “</w:t>
          </w:r>
          <w:r w:rsidR="00395D77">
            <w:rPr>
              <w:rFonts w:ascii="Times New Roman" w:eastAsia="Times New Roman" w:hAnsi="Times New Roman" w:cs="Times New Roman"/>
              <w:b/>
              <w:bCs/>
              <w:sz w:val="28"/>
              <w:szCs w:val="24"/>
              <w:lang w:eastAsia="lv-LV"/>
            </w:rPr>
            <w:t>Grozījumi Elektroenerģijas tirgus likumā</w:t>
          </w:r>
          <w:r w:rsidR="00924DDC">
            <w:rPr>
              <w:rFonts w:ascii="Times New Roman" w:eastAsia="Times New Roman" w:hAnsi="Times New Roman" w:cs="Times New Roman"/>
              <w:b/>
              <w:bCs/>
              <w:sz w:val="28"/>
              <w:szCs w:val="24"/>
              <w:lang w:eastAsia="lv-LV"/>
            </w:rPr>
            <w:t>”</w:t>
          </w:r>
        </w:sdtContent>
      </w:sdt>
      <w:r w:rsidR="00894C55" w:rsidRPr="00B531F7">
        <w:rPr>
          <w:rFonts w:ascii="Times New Roman" w:eastAsia="Times New Roman" w:hAnsi="Times New Roman" w:cs="Times New Roman"/>
          <w:b/>
          <w:bCs/>
          <w:sz w:val="28"/>
          <w:szCs w:val="24"/>
          <w:lang w:eastAsia="lv-LV"/>
        </w:rPr>
        <w:t xml:space="preserve"> </w:t>
      </w:r>
      <w:r w:rsidR="003B0BF9" w:rsidRPr="00B531F7">
        <w:rPr>
          <w:rFonts w:ascii="Times New Roman" w:eastAsia="Times New Roman" w:hAnsi="Times New Roman" w:cs="Times New Roman"/>
          <w:b/>
          <w:bCs/>
          <w:sz w:val="28"/>
          <w:szCs w:val="24"/>
          <w:lang w:eastAsia="lv-LV"/>
        </w:rPr>
        <w:br/>
      </w:r>
      <w:r w:rsidR="00894C55" w:rsidRPr="00B531F7">
        <w:rPr>
          <w:rFonts w:ascii="Times New Roman" w:eastAsia="Times New Roman" w:hAnsi="Times New Roman" w:cs="Times New Roman"/>
          <w:b/>
          <w:bCs/>
          <w:sz w:val="28"/>
          <w:szCs w:val="24"/>
          <w:lang w:eastAsia="lv-LV"/>
        </w:rPr>
        <w:t>sākotnējās ietekmes novērtējuma ziņojums (anotācija)</w:t>
      </w:r>
    </w:p>
    <w:p w14:paraId="7729B8C5" w14:textId="77777777" w:rsidR="00E5323B" w:rsidRPr="00B531F7" w:rsidRDefault="00E5323B" w:rsidP="004B2695">
      <w:pPr>
        <w:shd w:val="clear" w:color="auto" w:fill="FFFFFF"/>
        <w:spacing w:before="120" w:after="120" w:line="240" w:lineRule="auto"/>
        <w:jc w:val="center"/>
        <w:rPr>
          <w:rFonts w:ascii="Times New Roman" w:eastAsia="Times New Roman" w:hAnsi="Times New Roman" w:cs="Times New Roman"/>
          <w:b/>
          <w:bCs/>
          <w:sz w:val="28"/>
          <w:szCs w:val="24"/>
          <w:lang w:eastAsia="lv-LV"/>
        </w:rPr>
      </w:pPr>
    </w:p>
    <w:tbl>
      <w:tblPr>
        <w:tblW w:w="4927" w:type="pct"/>
        <w:tblCellSpacing w:w="15" w:type="dxa"/>
        <w:tblInd w:w="-2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6"/>
        <w:gridCol w:w="5347"/>
      </w:tblGrid>
      <w:tr w:rsidR="00B531F7" w:rsidRPr="00B531F7" w14:paraId="6E4A5C6E" w14:textId="77777777" w:rsidTr="00887D5A">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6A26005"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Tiesību akta projekta anotācijas kopsavilkums</w:t>
            </w:r>
          </w:p>
        </w:tc>
      </w:tr>
      <w:tr w:rsidR="00B531F7" w:rsidRPr="00B531F7" w14:paraId="520C1F18" w14:textId="77777777" w:rsidTr="00887D5A">
        <w:trPr>
          <w:tblCellSpacing w:w="15" w:type="dxa"/>
        </w:trPr>
        <w:tc>
          <w:tcPr>
            <w:tcW w:w="1985" w:type="pct"/>
            <w:tcBorders>
              <w:top w:val="outset" w:sz="6" w:space="0" w:color="auto"/>
              <w:left w:val="outset" w:sz="6" w:space="0" w:color="auto"/>
              <w:bottom w:val="outset" w:sz="6" w:space="0" w:color="auto"/>
              <w:right w:val="outset" w:sz="6" w:space="0" w:color="auto"/>
            </w:tcBorders>
            <w:hideMark/>
          </w:tcPr>
          <w:p w14:paraId="35C8E624"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Mērķis, risinājums un projekta spēkā stāšanās laiks (500 zīmes bez atstarpēm)</w:t>
            </w:r>
          </w:p>
        </w:tc>
        <w:tc>
          <w:tcPr>
            <w:tcW w:w="2965" w:type="pct"/>
            <w:tcBorders>
              <w:top w:val="outset" w:sz="6" w:space="0" w:color="auto"/>
              <w:left w:val="outset" w:sz="6" w:space="0" w:color="auto"/>
              <w:bottom w:val="outset" w:sz="6" w:space="0" w:color="auto"/>
              <w:right w:val="outset" w:sz="6" w:space="0" w:color="auto"/>
            </w:tcBorders>
            <w:hideMark/>
          </w:tcPr>
          <w:p w14:paraId="7731C86B" w14:textId="77777777" w:rsidR="00795E4D" w:rsidRDefault="00395D77"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1524D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“Grozījumi </w:t>
            </w:r>
            <w:r w:rsidR="00924DDC" w:rsidRPr="00924DDC">
              <w:rPr>
                <w:rFonts w:ascii="Times New Roman" w:eastAsia="Times New Roman" w:hAnsi="Times New Roman" w:cs="Times New Roman"/>
                <w:iCs/>
                <w:sz w:val="24"/>
                <w:szCs w:val="24"/>
                <w:lang w:eastAsia="lv-LV"/>
              </w:rPr>
              <w:t>Elektroenerģijas tirgus likumā”</w:t>
            </w:r>
            <w:r w:rsidR="009C6AFA">
              <w:rPr>
                <w:rFonts w:ascii="Times New Roman" w:eastAsia="Times New Roman" w:hAnsi="Times New Roman" w:cs="Times New Roman"/>
                <w:iCs/>
                <w:sz w:val="24"/>
                <w:szCs w:val="24"/>
                <w:lang w:eastAsia="lv-LV"/>
              </w:rPr>
              <w:t xml:space="preserve"> izstrādāts, lai</w:t>
            </w:r>
            <w:r w:rsidR="004A00A6">
              <w:rPr>
                <w:rFonts w:ascii="Times New Roman" w:eastAsia="Times New Roman" w:hAnsi="Times New Roman" w:cs="Times New Roman"/>
                <w:iCs/>
                <w:sz w:val="24"/>
                <w:szCs w:val="24"/>
                <w:lang w:eastAsia="lv-LV"/>
              </w:rPr>
              <w:t xml:space="preserve"> izpildīt</w:t>
            </w:r>
            <w:r w:rsidR="009C6AFA">
              <w:rPr>
                <w:rFonts w:ascii="Times New Roman" w:eastAsia="Times New Roman" w:hAnsi="Times New Roman" w:cs="Times New Roman"/>
                <w:iCs/>
                <w:sz w:val="24"/>
                <w:szCs w:val="24"/>
                <w:lang w:eastAsia="lv-LV"/>
              </w:rPr>
              <w:t>u</w:t>
            </w:r>
            <w:r w:rsidR="004A00A6">
              <w:rPr>
                <w:rFonts w:ascii="Times New Roman" w:eastAsia="Times New Roman" w:hAnsi="Times New Roman" w:cs="Times New Roman"/>
                <w:iCs/>
                <w:sz w:val="24"/>
                <w:szCs w:val="24"/>
                <w:lang w:eastAsia="lv-LV"/>
              </w:rPr>
              <w:t xml:space="preserve"> </w:t>
            </w:r>
            <w:r w:rsidR="009C6AFA">
              <w:rPr>
                <w:rFonts w:ascii="Times New Roman" w:eastAsia="Times New Roman" w:hAnsi="Times New Roman" w:cs="Times New Roman"/>
                <w:iCs/>
                <w:sz w:val="24"/>
                <w:szCs w:val="24"/>
                <w:lang w:eastAsia="lv-LV"/>
              </w:rPr>
              <w:t xml:space="preserve">ar Saeimas 2019.gada 10.janvāra paziņojumu Ekonomikas ministrijai uzdoto uzdevumu </w:t>
            </w:r>
            <w:r w:rsidR="009C6AFA" w:rsidRPr="00924DDC">
              <w:rPr>
                <w:rFonts w:ascii="Times New Roman" w:eastAsia="Times New Roman" w:hAnsi="Times New Roman" w:cs="Times New Roman"/>
                <w:iCs/>
                <w:sz w:val="24"/>
                <w:szCs w:val="24"/>
                <w:lang w:eastAsia="lv-LV"/>
              </w:rPr>
              <w:t>steidzami izstrādāt tiesību aktus obligātā iepirkuma komponentes atcelšanai no 2019.gada 31.marta</w:t>
            </w:r>
            <w:r w:rsidR="009C6AFA">
              <w:rPr>
                <w:rFonts w:ascii="Times New Roman" w:eastAsia="Times New Roman" w:hAnsi="Times New Roman" w:cs="Times New Roman"/>
                <w:iCs/>
                <w:sz w:val="24"/>
                <w:szCs w:val="24"/>
                <w:lang w:eastAsia="lv-LV"/>
              </w:rPr>
              <w:t xml:space="preserve"> ar</w:t>
            </w:r>
            <w:r w:rsidR="004A00A6">
              <w:rPr>
                <w:rFonts w:ascii="Times New Roman" w:eastAsia="Times New Roman" w:hAnsi="Times New Roman" w:cs="Times New Roman"/>
                <w:iCs/>
                <w:sz w:val="24"/>
                <w:szCs w:val="24"/>
                <w:lang w:eastAsia="lv-LV"/>
              </w:rPr>
              <w:t xml:space="preserve"> </w:t>
            </w:r>
            <w:r w:rsidR="00924DDC">
              <w:rPr>
                <w:rFonts w:ascii="Times New Roman" w:eastAsia="Times New Roman" w:hAnsi="Times New Roman" w:cs="Times New Roman"/>
                <w:iCs/>
                <w:sz w:val="24"/>
                <w:szCs w:val="24"/>
                <w:lang w:eastAsia="lv-LV"/>
              </w:rPr>
              <w:t xml:space="preserve">mērķi mazināt elektroenerģijas galalietotāju izdevumus par elektroenerģiju. Likumprojekts stājas spēkā </w:t>
            </w:r>
            <w:r w:rsidR="00795E4D">
              <w:rPr>
                <w:rFonts w:ascii="Times New Roman" w:eastAsia="Times New Roman" w:hAnsi="Times New Roman" w:cs="Times New Roman"/>
                <w:iCs/>
                <w:sz w:val="24"/>
                <w:szCs w:val="24"/>
                <w:lang w:eastAsia="lv-LV"/>
              </w:rPr>
              <w:t xml:space="preserve">2019.gada </w:t>
            </w:r>
            <w:r w:rsidR="00DC1B60">
              <w:rPr>
                <w:rFonts w:ascii="Times New Roman" w:eastAsia="Times New Roman" w:hAnsi="Times New Roman" w:cs="Times New Roman"/>
                <w:iCs/>
                <w:sz w:val="24"/>
                <w:szCs w:val="24"/>
                <w:lang w:eastAsia="lv-LV"/>
              </w:rPr>
              <w:t>1.aprīlī.</w:t>
            </w:r>
            <w:r w:rsidR="00795E4D">
              <w:rPr>
                <w:rFonts w:ascii="Times New Roman" w:eastAsia="Times New Roman" w:hAnsi="Times New Roman" w:cs="Times New Roman"/>
                <w:iCs/>
                <w:sz w:val="24"/>
                <w:szCs w:val="24"/>
                <w:lang w:eastAsia="lv-LV"/>
              </w:rPr>
              <w:t xml:space="preserve"> </w:t>
            </w:r>
          </w:p>
          <w:p w14:paraId="4BE2ACCD"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p>
        </w:tc>
      </w:tr>
    </w:tbl>
    <w:p w14:paraId="3611C7C4"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  </w:t>
      </w:r>
    </w:p>
    <w:tbl>
      <w:tblPr>
        <w:tblW w:w="5396"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5"/>
        <w:gridCol w:w="1711"/>
        <w:gridCol w:w="7496"/>
      </w:tblGrid>
      <w:tr w:rsidR="00B531F7" w:rsidRPr="00B531F7" w14:paraId="4A4E3095" w14:textId="77777777" w:rsidTr="00F25F2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3298131"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I. Tiesību akta projekta izstrādes nepieciešamība</w:t>
            </w:r>
          </w:p>
        </w:tc>
      </w:tr>
      <w:tr w:rsidR="00B531F7" w:rsidRPr="00B531F7" w14:paraId="730F58BE" w14:textId="77777777" w:rsidTr="00F25F2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4AAA0AB"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866" w:type="pct"/>
            <w:tcBorders>
              <w:top w:val="outset" w:sz="6" w:space="0" w:color="auto"/>
              <w:left w:val="outset" w:sz="6" w:space="0" w:color="auto"/>
              <w:bottom w:val="outset" w:sz="6" w:space="0" w:color="auto"/>
              <w:right w:val="outset" w:sz="6" w:space="0" w:color="auto"/>
            </w:tcBorders>
            <w:hideMark/>
          </w:tcPr>
          <w:p w14:paraId="10E2801D"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Pamatojums</w:t>
            </w:r>
          </w:p>
        </w:tc>
        <w:tc>
          <w:tcPr>
            <w:tcW w:w="3806" w:type="pct"/>
            <w:tcBorders>
              <w:top w:val="outset" w:sz="6" w:space="0" w:color="auto"/>
              <w:left w:val="outset" w:sz="6" w:space="0" w:color="auto"/>
              <w:bottom w:val="outset" w:sz="6" w:space="0" w:color="auto"/>
              <w:right w:val="outset" w:sz="6" w:space="0" w:color="auto"/>
            </w:tcBorders>
            <w:hideMark/>
          </w:tcPr>
          <w:p w14:paraId="5C5990A8" w14:textId="294E58DC" w:rsidR="00924DDC" w:rsidRPr="004A00A6" w:rsidRDefault="009C6AFA" w:rsidP="004B2695">
            <w:pPr>
              <w:spacing w:before="120" w:after="120" w:line="240" w:lineRule="auto"/>
              <w:jc w:val="both"/>
              <w:rPr>
                <w:rFonts w:ascii="Times New Roman" w:eastAsia="Times New Roman" w:hAnsi="Times New Roman" w:cs="Times New Roman"/>
                <w:iCs/>
                <w:color w:val="C00000"/>
                <w:sz w:val="24"/>
                <w:szCs w:val="24"/>
                <w:lang w:eastAsia="lv-LV"/>
              </w:rPr>
            </w:pPr>
            <w:r>
              <w:rPr>
                <w:rFonts w:ascii="Times New Roman" w:eastAsia="Times New Roman" w:hAnsi="Times New Roman" w:cs="Times New Roman"/>
                <w:iCs/>
                <w:sz w:val="24"/>
                <w:szCs w:val="24"/>
                <w:lang w:eastAsia="lv-LV"/>
              </w:rPr>
              <w:t xml:space="preserve">Likumprojekts “Grozījumi </w:t>
            </w:r>
            <w:r w:rsidRPr="00924DDC">
              <w:rPr>
                <w:rFonts w:ascii="Times New Roman" w:eastAsia="Times New Roman" w:hAnsi="Times New Roman" w:cs="Times New Roman"/>
                <w:iCs/>
                <w:sz w:val="24"/>
                <w:szCs w:val="24"/>
                <w:lang w:eastAsia="lv-LV"/>
              </w:rPr>
              <w:t>Elektroenerģijas tirgus likumā”</w:t>
            </w:r>
            <w:r>
              <w:rPr>
                <w:rFonts w:ascii="Times New Roman" w:eastAsia="Times New Roman" w:hAnsi="Times New Roman" w:cs="Times New Roman"/>
                <w:iCs/>
                <w:sz w:val="24"/>
                <w:szCs w:val="24"/>
                <w:lang w:eastAsia="lv-LV"/>
              </w:rPr>
              <w:t xml:space="preserve"> (turpmāk – Likumprojekts) </w:t>
            </w:r>
            <w:r w:rsidR="00924DDC">
              <w:rPr>
                <w:rFonts w:ascii="Times New Roman" w:eastAsia="Times New Roman" w:hAnsi="Times New Roman" w:cs="Times New Roman"/>
                <w:iCs/>
                <w:sz w:val="24"/>
                <w:szCs w:val="24"/>
                <w:lang w:eastAsia="lv-LV"/>
              </w:rPr>
              <w:t>izstrādāts, lai izpildītu ar Saeimas 2019.gada 10.janvāra paziņojum</w:t>
            </w:r>
            <w:r w:rsidR="00D153C3">
              <w:rPr>
                <w:rFonts w:ascii="Times New Roman" w:eastAsia="Times New Roman" w:hAnsi="Times New Roman" w:cs="Times New Roman"/>
                <w:iCs/>
                <w:sz w:val="24"/>
                <w:szCs w:val="24"/>
                <w:lang w:eastAsia="lv-LV"/>
              </w:rPr>
              <w:t>u</w:t>
            </w:r>
            <w:r w:rsidR="00924DDC">
              <w:rPr>
                <w:rFonts w:ascii="Times New Roman" w:eastAsia="Times New Roman" w:hAnsi="Times New Roman" w:cs="Times New Roman"/>
                <w:iCs/>
                <w:sz w:val="24"/>
                <w:szCs w:val="24"/>
                <w:lang w:eastAsia="lv-LV"/>
              </w:rPr>
              <w:t xml:space="preserve"> Ekonomikas ministrijai</w:t>
            </w:r>
            <w:r w:rsidR="00D153C3">
              <w:rPr>
                <w:rStyle w:val="FootnoteReference"/>
                <w:rFonts w:ascii="Times New Roman" w:eastAsia="Times New Roman" w:hAnsi="Times New Roman" w:cs="Times New Roman"/>
                <w:iCs/>
                <w:sz w:val="24"/>
                <w:szCs w:val="24"/>
                <w:lang w:eastAsia="lv-LV"/>
              </w:rPr>
              <w:footnoteReference w:id="1"/>
            </w:r>
            <w:r w:rsidR="00924DDC">
              <w:rPr>
                <w:rFonts w:ascii="Times New Roman" w:eastAsia="Times New Roman" w:hAnsi="Times New Roman" w:cs="Times New Roman"/>
                <w:iCs/>
                <w:sz w:val="24"/>
                <w:szCs w:val="24"/>
                <w:lang w:eastAsia="lv-LV"/>
              </w:rPr>
              <w:t xml:space="preserve"> uzdoto uzdevumu </w:t>
            </w:r>
            <w:r w:rsidR="00924DDC" w:rsidRPr="00924DDC">
              <w:rPr>
                <w:rFonts w:ascii="Times New Roman" w:eastAsia="Times New Roman" w:hAnsi="Times New Roman" w:cs="Times New Roman"/>
                <w:iCs/>
                <w:sz w:val="24"/>
                <w:szCs w:val="24"/>
                <w:lang w:eastAsia="lv-LV"/>
              </w:rPr>
              <w:t>steidzami izstrādāt tiesību aktus obligātā iepirkuma komponentes atcelšanai no 2019.gada 31.marta</w:t>
            </w:r>
            <w:r w:rsidR="00EB2088">
              <w:rPr>
                <w:rFonts w:ascii="Times New Roman" w:eastAsia="Times New Roman" w:hAnsi="Times New Roman" w:cs="Times New Roman"/>
                <w:iCs/>
                <w:sz w:val="24"/>
                <w:szCs w:val="24"/>
                <w:lang w:eastAsia="lv-LV"/>
              </w:rPr>
              <w:t xml:space="preserve"> (turpmāk – Saeimas 2019.gada 10.janvāra lēmums)</w:t>
            </w:r>
            <w:r>
              <w:rPr>
                <w:rFonts w:ascii="Times New Roman" w:eastAsia="Times New Roman" w:hAnsi="Times New Roman" w:cs="Times New Roman"/>
                <w:iCs/>
                <w:sz w:val="24"/>
                <w:szCs w:val="24"/>
                <w:lang w:eastAsia="lv-LV"/>
              </w:rPr>
              <w:t xml:space="preserve"> un </w:t>
            </w:r>
            <w:r w:rsidR="00854481" w:rsidRPr="00854481">
              <w:rPr>
                <w:rFonts w:ascii="Times New Roman" w:eastAsia="Times New Roman" w:hAnsi="Times New Roman" w:cs="Times New Roman"/>
                <w:iCs/>
                <w:sz w:val="24"/>
                <w:szCs w:val="24"/>
                <w:lang w:eastAsia="lv-LV"/>
              </w:rPr>
              <w:t>2019.gada 14.janvāra Ministru prezidenta Māra Kučinska rezolūciju Ministru prezidenta biedram, ekonomikas ministram Arvilam Ašeradenam Nr.12/2019-JUR-2, ar ko Ekonomikas ministrijai uzdots steidzami izstrādāt tiesību aktu projektus obligātā iepirkuma komponentes (turpmāk – OIK) atcelšanai no 2019.gada 31.marta – un līdz 2019.gada 1.martam iesniegt Ministru kabinetā.</w:t>
            </w:r>
          </w:p>
        </w:tc>
      </w:tr>
      <w:tr w:rsidR="00B531F7" w:rsidRPr="00B531F7" w14:paraId="2CF305EA" w14:textId="77777777" w:rsidTr="00F25F22">
        <w:tblPrEx>
          <w:tblCellMar>
            <w:left w:w="108" w:type="dxa"/>
            <w:right w:w="108" w:type="dxa"/>
          </w:tblCellMar>
        </w:tblPrEx>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ECC5774"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866" w:type="pct"/>
            <w:tcBorders>
              <w:top w:val="outset" w:sz="6" w:space="0" w:color="auto"/>
              <w:left w:val="outset" w:sz="6" w:space="0" w:color="auto"/>
              <w:bottom w:val="outset" w:sz="6" w:space="0" w:color="auto"/>
              <w:right w:val="outset" w:sz="6" w:space="0" w:color="auto"/>
            </w:tcBorders>
            <w:hideMark/>
          </w:tcPr>
          <w:p w14:paraId="7043BC4D"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806" w:type="pct"/>
            <w:tcBorders>
              <w:top w:val="outset" w:sz="6" w:space="0" w:color="auto"/>
              <w:left w:val="outset" w:sz="6" w:space="0" w:color="auto"/>
              <w:bottom w:val="outset" w:sz="6" w:space="0" w:color="auto"/>
              <w:right w:val="outset" w:sz="6" w:space="0" w:color="auto"/>
            </w:tcBorders>
            <w:hideMark/>
          </w:tcPr>
          <w:p w14:paraId="719BDAE5" w14:textId="77777777" w:rsidR="000D53B8" w:rsidRPr="00A20159" w:rsidRDefault="000E4E1F" w:rsidP="004B2695">
            <w:pPr>
              <w:spacing w:before="120" w:after="120" w:line="240" w:lineRule="auto"/>
              <w:jc w:val="both"/>
              <w:rPr>
                <w:rFonts w:ascii="Times New Roman" w:hAnsi="Times New Roman" w:cs="Times New Roman"/>
                <w:b/>
                <w:sz w:val="24"/>
                <w:szCs w:val="24"/>
                <w:shd w:val="clear" w:color="auto" w:fill="FFFFFF"/>
              </w:rPr>
            </w:pPr>
            <w:r w:rsidRPr="00A20159">
              <w:rPr>
                <w:rFonts w:ascii="Times New Roman" w:hAnsi="Times New Roman" w:cs="Times New Roman"/>
                <w:b/>
                <w:sz w:val="24"/>
                <w:szCs w:val="24"/>
                <w:shd w:val="clear" w:color="auto" w:fill="FFFFFF"/>
              </w:rPr>
              <w:t xml:space="preserve">I. </w:t>
            </w:r>
            <w:r w:rsidR="003A1B0C" w:rsidRPr="00A20159">
              <w:rPr>
                <w:rFonts w:ascii="Times New Roman" w:hAnsi="Times New Roman" w:cs="Times New Roman"/>
                <w:b/>
                <w:sz w:val="24"/>
                <w:szCs w:val="24"/>
                <w:shd w:val="clear" w:color="auto" w:fill="FFFFFF"/>
              </w:rPr>
              <w:t>SITUĀCIJAS RAKSTUROJUMS</w:t>
            </w:r>
          </w:p>
          <w:p w14:paraId="03296607" w14:textId="77777777" w:rsidR="00EF6EF0" w:rsidRPr="008C2175" w:rsidRDefault="00EF6EF0" w:rsidP="004B2695">
            <w:pPr>
              <w:spacing w:before="120" w:after="120" w:line="240" w:lineRule="auto"/>
              <w:jc w:val="both"/>
              <w:rPr>
                <w:rFonts w:ascii="Times New Roman" w:hAnsi="Times New Roman" w:cs="Times New Roman"/>
                <w:b/>
                <w:i/>
                <w:sz w:val="24"/>
                <w:szCs w:val="24"/>
                <w:u w:val="single"/>
                <w:shd w:val="clear" w:color="auto" w:fill="FFFFFF"/>
              </w:rPr>
            </w:pPr>
            <w:r w:rsidRPr="008C2175">
              <w:rPr>
                <w:rFonts w:ascii="Times New Roman" w:hAnsi="Times New Roman" w:cs="Times New Roman"/>
                <w:b/>
                <w:i/>
                <w:sz w:val="24"/>
                <w:szCs w:val="24"/>
                <w:u w:val="single"/>
                <w:shd w:val="clear" w:color="auto" w:fill="FFFFFF"/>
              </w:rPr>
              <w:t>1. Saeimas 2019.gada 10.janvāra lēmums</w:t>
            </w:r>
          </w:p>
          <w:p w14:paraId="663BBE22" w14:textId="08C61204" w:rsidR="00EB2088" w:rsidRPr="00A20159" w:rsidRDefault="00EB2088" w:rsidP="004B2695">
            <w:p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 xml:space="preserve">Saeima ar 2019.gada 10.janvāra lēmumu ir </w:t>
            </w:r>
            <w:r w:rsidR="00D44016" w:rsidRPr="00A20159">
              <w:rPr>
                <w:rFonts w:ascii="Times New Roman" w:hAnsi="Times New Roman" w:cs="Times New Roman"/>
                <w:sz w:val="24"/>
                <w:szCs w:val="24"/>
                <w:shd w:val="clear" w:color="auto" w:fill="FFFFFF"/>
              </w:rPr>
              <w:t>aicinājusi</w:t>
            </w:r>
            <w:r w:rsidRPr="00A20159">
              <w:rPr>
                <w:rFonts w:ascii="Times New Roman" w:hAnsi="Times New Roman" w:cs="Times New Roman"/>
                <w:sz w:val="24"/>
                <w:szCs w:val="24"/>
                <w:shd w:val="clear" w:color="auto" w:fill="FFFFFF"/>
              </w:rPr>
              <w:t xml:space="preserve"> Ekonomikas ministrij</w:t>
            </w:r>
            <w:r w:rsidR="00D44016" w:rsidRPr="00A20159">
              <w:rPr>
                <w:rFonts w:ascii="Times New Roman" w:hAnsi="Times New Roman" w:cs="Times New Roman"/>
                <w:sz w:val="24"/>
                <w:szCs w:val="24"/>
                <w:shd w:val="clear" w:color="auto" w:fill="FFFFFF"/>
              </w:rPr>
              <w:t>u</w:t>
            </w:r>
            <w:r w:rsidRPr="00A20159">
              <w:rPr>
                <w:rFonts w:ascii="Times New Roman" w:hAnsi="Times New Roman" w:cs="Times New Roman"/>
                <w:b/>
                <w:sz w:val="24"/>
                <w:szCs w:val="24"/>
                <w:shd w:val="clear" w:color="auto" w:fill="FFFFFF"/>
              </w:rPr>
              <w:t xml:space="preserve"> steidzami izstrādāt tiesību aktus obligātā iepirkuma komponentes atcelšanai no 2019.gada 31.marta</w:t>
            </w:r>
            <w:r w:rsidRPr="00A20159">
              <w:rPr>
                <w:rFonts w:ascii="Times New Roman" w:hAnsi="Times New Roman" w:cs="Times New Roman"/>
                <w:sz w:val="24"/>
                <w:szCs w:val="24"/>
                <w:shd w:val="clear" w:color="auto" w:fill="FFFFFF"/>
              </w:rPr>
              <w:t xml:space="preserve"> ar </w:t>
            </w:r>
            <w:r w:rsidRPr="00A20159">
              <w:rPr>
                <w:rFonts w:ascii="Times New Roman" w:hAnsi="Times New Roman" w:cs="Times New Roman"/>
                <w:b/>
                <w:sz w:val="24"/>
                <w:szCs w:val="24"/>
                <w:shd w:val="clear" w:color="auto" w:fill="FFFFFF"/>
              </w:rPr>
              <w:t>mērķi</w:t>
            </w:r>
            <w:r w:rsidRPr="00A20159">
              <w:rPr>
                <w:rFonts w:ascii="Times New Roman" w:hAnsi="Times New Roman" w:cs="Times New Roman"/>
                <w:sz w:val="24"/>
                <w:szCs w:val="24"/>
                <w:shd w:val="clear" w:color="auto" w:fill="FFFFFF"/>
              </w:rPr>
              <w:t xml:space="preserve"> samazināt elektroenerģijas izmaksas visiem Latvijas </w:t>
            </w:r>
            <w:r w:rsidR="00D153C3">
              <w:rPr>
                <w:rFonts w:ascii="Times New Roman" w:hAnsi="Times New Roman" w:cs="Times New Roman"/>
                <w:sz w:val="24"/>
                <w:szCs w:val="24"/>
                <w:shd w:val="clear" w:color="auto" w:fill="FFFFFF"/>
              </w:rPr>
              <w:t xml:space="preserve">elektroenerģijas </w:t>
            </w:r>
            <w:r w:rsidRPr="00A20159">
              <w:rPr>
                <w:rFonts w:ascii="Times New Roman" w:hAnsi="Times New Roman" w:cs="Times New Roman"/>
                <w:sz w:val="24"/>
                <w:szCs w:val="24"/>
                <w:shd w:val="clear" w:color="auto" w:fill="FFFFFF"/>
              </w:rPr>
              <w:t xml:space="preserve">patērētājiem. Minētā lēmuma izpildei Saeima ir </w:t>
            </w:r>
            <w:r w:rsidR="00D44016" w:rsidRPr="00A20159">
              <w:rPr>
                <w:rFonts w:ascii="Times New Roman" w:hAnsi="Times New Roman" w:cs="Times New Roman"/>
                <w:sz w:val="24"/>
                <w:szCs w:val="24"/>
                <w:shd w:val="clear" w:color="auto" w:fill="FFFFFF"/>
              </w:rPr>
              <w:t xml:space="preserve">aicinājusi Ekonomikas ministriju ievērot šādus </w:t>
            </w:r>
            <w:r w:rsidRPr="00A20159">
              <w:rPr>
                <w:rFonts w:ascii="Times New Roman" w:hAnsi="Times New Roman" w:cs="Times New Roman"/>
                <w:b/>
                <w:sz w:val="24"/>
                <w:szCs w:val="24"/>
                <w:shd w:val="clear" w:color="auto" w:fill="FFFFFF"/>
              </w:rPr>
              <w:t>nosacījumus</w:t>
            </w:r>
            <w:r w:rsidRPr="00A20159">
              <w:rPr>
                <w:rFonts w:ascii="Times New Roman" w:hAnsi="Times New Roman" w:cs="Times New Roman"/>
                <w:sz w:val="24"/>
                <w:szCs w:val="24"/>
                <w:shd w:val="clear" w:color="auto" w:fill="FFFFFF"/>
              </w:rPr>
              <w:t>:</w:t>
            </w:r>
          </w:p>
          <w:p w14:paraId="1CFA02E9" w14:textId="77777777" w:rsidR="00EB2088" w:rsidRPr="00A20159" w:rsidRDefault="00EB2088" w:rsidP="004B2695">
            <w:pPr>
              <w:pStyle w:val="ListParagraph"/>
              <w:numPr>
                <w:ilvl w:val="0"/>
                <w:numId w:val="16"/>
              </w:num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tiesiskuma principu ievērošana</w:t>
            </w:r>
            <w:r w:rsidR="00D44016" w:rsidRPr="00A20159">
              <w:rPr>
                <w:rFonts w:ascii="Times New Roman" w:hAnsi="Times New Roman" w:cs="Times New Roman"/>
                <w:sz w:val="24"/>
                <w:szCs w:val="24"/>
                <w:shd w:val="clear" w:color="auto" w:fill="FFFFFF"/>
              </w:rPr>
              <w:t>;</w:t>
            </w:r>
            <w:r w:rsidRPr="00A20159">
              <w:rPr>
                <w:rFonts w:ascii="Times New Roman" w:hAnsi="Times New Roman" w:cs="Times New Roman"/>
                <w:sz w:val="24"/>
                <w:szCs w:val="24"/>
                <w:shd w:val="clear" w:color="auto" w:fill="FFFFFF"/>
              </w:rPr>
              <w:t xml:space="preserve"> </w:t>
            </w:r>
          </w:p>
          <w:p w14:paraId="3E4E65FC" w14:textId="77777777" w:rsidR="00EB2088" w:rsidRPr="00A20159" w:rsidRDefault="00EB2088" w:rsidP="004B2695">
            <w:pPr>
              <w:pStyle w:val="ListParagraph"/>
              <w:numPr>
                <w:ilvl w:val="0"/>
                <w:numId w:val="16"/>
              </w:num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nepieļaut šo maksājumu veikšanu no citiem finanšu avotiem</w:t>
            </w:r>
            <w:r w:rsidR="00D44016" w:rsidRPr="00A20159">
              <w:rPr>
                <w:rFonts w:ascii="Times New Roman" w:hAnsi="Times New Roman" w:cs="Times New Roman"/>
                <w:sz w:val="24"/>
                <w:szCs w:val="24"/>
                <w:shd w:val="clear" w:color="auto" w:fill="FFFFFF"/>
              </w:rPr>
              <w:t>;</w:t>
            </w:r>
            <w:r w:rsidRPr="00A20159">
              <w:rPr>
                <w:rFonts w:ascii="Times New Roman" w:hAnsi="Times New Roman" w:cs="Times New Roman"/>
                <w:sz w:val="24"/>
                <w:szCs w:val="24"/>
                <w:shd w:val="clear" w:color="auto" w:fill="FFFFFF"/>
              </w:rPr>
              <w:t xml:space="preserve"> </w:t>
            </w:r>
          </w:p>
          <w:p w14:paraId="60AB3702" w14:textId="77777777" w:rsidR="00EB2088" w:rsidRPr="00A20159" w:rsidRDefault="00EB2088" w:rsidP="004B2695">
            <w:pPr>
              <w:pStyle w:val="ListParagraph"/>
              <w:numPr>
                <w:ilvl w:val="0"/>
                <w:numId w:val="16"/>
              </w:num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nepieļaut pārveidi par cita veida maksājumiem</w:t>
            </w:r>
            <w:r w:rsidR="00D44016" w:rsidRPr="00A20159">
              <w:rPr>
                <w:rFonts w:ascii="Times New Roman" w:hAnsi="Times New Roman" w:cs="Times New Roman"/>
                <w:sz w:val="24"/>
                <w:szCs w:val="24"/>
                <w:shd w:val="clear" w:color="auto" w:fill="FFFFFF"/>
              </w:rPr>
              <w:t>;</w:t>
            </w:r>
            <w:r w:rsidRPr="00A20159">
              <w:rPr>
                <w:rFonts w:ascii="Times New Roman" w:hAnsi="Times New Roman" w:cs="Times New Roman"/>
                <w:sz w:val="24"/>
                <w:szCs w:val="24"/>
                <w:shd w:val="clear" w:color="auto" w:fill="FFFFFF"/>
              </w:rPr>
              <w:t xml:space="preserve"> </w:t>
            </w:r>
          </w:p>
          <w:p w14:paraId="236A25FD" w14:textId="77777777" w:rsidR="00EB2088" w:rsidRPr="00A20159" w:rsidRDefault="00EB2088" w:rsidP="004B2695">
            <w:pPr>
              <w:pStyle w:val="ListParagraph"/>
              <w:numPr>
                <w:ilvl w:val="0"/>
                <w:numId w:val="16"/>
              </w:num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nepieļaut attiecīgo maksājumu nosaukumu maiņu.</w:t>
            </w:r>
          </w:p>
          <w:p w14:paraId="3A4021B8" w14:textId="77777777" w:rsidR="00035795" w:rsidRDefault="00372594" w:rsidP="004B2695">
            <w:p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lastRenderedPageBreak/>
              <w:t xml:space="preserve">Saeima 2019.gada 10.janvāra lēmumā ir arī aicinājusi Ekonomikas ministriju izbeigt Latvijas iedzīvotājiem netaisnīgu, uz atsevišķu personu interešu atbalstu vērstu režīmu. </w:t>
            </w:r>
          </w:p>
          <w:p w14:paraId="495A5C45" w14:textId="2C2DEBE2" w:rsidR="001413A7" w:rsidRPr="00035795" w:rsidRDefault="00DA7F39" w:rsidP="004B2695">
            <w:pPr>
              <w:spacing w:before="120" w:after="120" w:line="240" w:lineRule="auto"/>
              <w:jc w:val="both"/>
              <w:rPr>
                <w:rFonts w:ascii="Times New Roman" w:hAnsi="Times New Roman" w:cs="Times New Roman"/>
                <w:sz w:val="24"/>
                <w:szCs w:val="24"/>
                <w:shd w:val="clear" w:color="auto" w:fill="FFFFFF"/>
              </w:rPr>
            </w:pPr>
            <w:r w:rsidRPr="00A20159">
              <w:rPr>
                <w:rFonts w:ascii="Times New Roman" w:eastAsia="Times New Roman" w:hAnsi="Times New Roman" w:cs="Times New Roman"/>
                <w:iCs/>
                <w:sz w:val="24"/>
                <w:szCs w:val="24"/>
                <w:lang w:eastAsia="lv-LV"/>
              </w:rPr>
              <w:t xml:space="preserve">Saeima 2019.gada 10.janvāra lēmumā nav sniegusi atsauces uz konkrētiem normatīvajiem </w:t>
            </w:r>
            <w:r w:rsidR="00795E4D" w:rsidRPr="00A20159">
              <w:rPr>
                <w:rFonts w:ascii="Times New Roman" w:eastAsia="Times New Roman" w:hAnsi="Times New Roman" w:cs="Times New Roman"/>
                <w:iCs/>
                <w:sz w:val="24"/>
                <w:szCs w:val="24"/>
                <w:lang w:eastAsia="lv-LV"/>
              </w:rPr>
              <w:t>aktiem</w:t>
            </w:r>
            <w:r w:rsidR="00795E4D">
              <w:rPr>
                <w:rFonts w:ascii="Times New Roman" w:eastAsia="Times New Roman" w:hAnsi="Times New Roman" w:cs="Times New Roman"/>
                <w:iCs/>
                <w:sz w:val="24"/>
                <w:szCs w:val="24"/>
                <w:lang w:eastAsia="lv-LV"/>
              </w:rPr>
              <w:t>, savukārt</w:t>
            </w:r>
            <w:r w:rsidR="00795E4D" w:rsidRPr="00A20159">
              <w:rPr>
                <w:rFonts w:ascii="Times New Roman" w:eastAsia="Times New Roman" w:hAnsi="Times New Roman" w:cs="Times New Roman"/>
                <w:iCs/>
                <w:sz w:val="24"/>
                <w:szCs w:val="24"/>
                <w:lang w:eastAsia="lv-LV"/>
              </w:rPr>
              <w:t xml:space="preserve"> “obligātā iepirkuma komponente” nav likumā noteikts termins</w:t>
            </w:r>
            <w:r w:rsidR="00795E4D">
              <w:rPr>
                <w:rFonts w:ascii="Times New Roman" w:eastAsia="Times New Roman" w:hAnsi="Times New Roman" w:cs="Times New Roman"/>
                <w:iCs/>
                <w:sz w:val="24"/>
                <w:szCs w:val="24"/>
                <w:lang w:eastAsia="lv-LV"/>
              </w:rPr>
              <w:t>.</w:t>
            </w:r>
            <w:r w:rsidR="00795E4D" w:rsidRPr="00A20159">
              <w:rPr>
                <w:rFonts w:ascii="Times New Roman" w:eastAsia="Times New Roman" w:hAnsi="Times New Roman" w:cs="Times New Roman"/>
                <w:iCs/>
                <w:sz w:val="24"/>
                <w:szCs w:val="24"/>
                <w:lang w:eastAsia="lv-LV"/>
              </w:rPr>
              <w:t xml:space="preserve"> </w:t>
            </w:r>
            <w:r w:rsidR="00035795">
              <w:rPr>
                <w:rFonts w:ascii="Times New Roman" w:eastAsia="Times New Roman" w:hAnsi="Times New Roman" w:cs="Times New Roman"/>
                <w:iCs/>
                <w:sz w:val="24"/>
                <w:szCs w:val="24"/>
                <w:lang w:eastAsia="lv-LV"/>
              </w:rPr>
              <w:t>T</w:t>
            </w:r>
            <w:r w:rsidR="000F57A1" w:rsidRPr="00A20159">
              <w:rPr>
                <w:rFonts w:ascii="Times New Roman" w:eastAsia="Times New Roman" w:hAnsi="Times New Roman" w:cs="Times New Roman"/>
                <w:iCs/>
                <w:sz w:val="24"/>
                <w:szCs w:val="24"/>
                <w:lang w:eastAsia="lv-LV"/>
              </w:rPr>
              <w:t xml:space="preserve">omēr </w:t>
            </w:r>
            <w:r w:rsidR="00035795">
              <w:rPr>
                <w:rFonts w:ascii="Times New Roman" w:eastAsia="Times New Roman" w:hAnsi="Times New Roman" w:cs="Times New Roman"/>
                <w:iCs/>
                <w:sz w:val="24"/>
                <w:szCs w:val="24"/>
                <w:lang w:eastAsia="lv-LV"/>
              </w:rPr>
              <w:t>šāds termins</w:t>
            </w:r>
            <w:r w:rsidR="000F57A1" w:rsidRPr="00A20159">
              <w:rPr>
                <w:rFonts w:ascii="Times New Roman" w:eastAsia="Times New Roman" w:hAnsi="Times New Roman" w:cs="Times New Roman"/>
                <w:iCs/>
                <w:sz w:val="24"/>
                <w:szCs w:val="24"/>
                <w:lang w:eastAsia="lv-LV"/>
              </w:rPr>
              <w:t xml:space="preserve"> likumdošanā tiek lietots, lai apzīmētu komponenti, par kuru iz</w:t>
            </w:r>
            <w:r w:rsidR="0097725D" w:rsidRPr="00A20159">
              <w:rPr>
                <w:rFonts w:ascii="Times New Roman" w:eastAsia="Times New Roman" w:hAnsi="Times New Roman" w:cs="Times New Roman"/>
                <w:iCs/>
                <w:sz w:val="24"/>
                <w:szCs w:val="24"/>
                <w:lang w:eastAsia="lv-LV"/>
              </w:rPr>
              <w:t>maksas</w:t>
            </w:r>
            <w:r w:rsidR="000F57A1" w:rsidRPr="00A20159">
              <w:rPr>
                <w:rFonts w:ascii="Times New Roman" w:eastAsia="Times New Roman" w:hAnsi="Times New Roman" w:cs="Times New Roman"/>
                <w:iCs/>
                <w:sz w:val="24"/>
                <w:szCs w:val="24"/>
                <w:lang w:eastAsia="lv-LV"/>
              </w:rPr>
              <w:t xml:space="preserve"> raduš</w:t>
            </w:r>
            <w:r w:rsidR="0097725D" w:rsidRPr="00A20159">
              <w:rPr>
                <w:rFonts w:ascii="Times New Roman" w:eastAsia="Times New Roman" w:hAnsi="Times New Roman" w:cs="Times New Roman"/>
                <w:iCs/>
                <w:sz w:val="24"/>
                <w:szCs w:val="24"/>
                <w:lang w:eastAsia="lv-LV"/>
              </w:rPr>
              <w:t>ās</w:t>
            </w:r>
            <w:r w:rsidR="000F57A1" w:rsidRPr="00A20159">
              <w:rPr>
                <w:rFonts w:ascii="Times New Roman" w:eastAsia="Times New Roman" w:hAnsi="Times New Roman" w:cs="Times New Roman"/>
                <w:iCs/>
                <w:sz w:val="24"/>
                <w:szCs w:val="24"/>
                <w:lang w:eastAsia="lv-LV"/>
              </w:rPr>
              <w:t xml:space="preserve">, sedzot </w:t>
            </w:r>
            <w:r w:rsidR="00E65258" w:rsidRPr="00A20159">
              <w:rPr>
                <w:rFonts w:ascii="Times New Roman" w:eastAsia="Times New Roman" w:hAnsi="Times New Roman" w:cs="Times New Roman"/>
                <w:iCs/>
                <w:sz w:val="24"/>
                <w:szCs w:val="24"/>
                <w:lang w:eastAsia="lv-LV"/>
              </w:rPr>
              <w:t>iz</w:t>
            </w:r>
            <w:r w:rsidR="0097725D" w:rsidRPr="00A20159">
              <w:rPr>
                <w:rFonts w:ascii="Times New Roman" w:eastAsia="Times New Roman" w:hAnsi="Times New Roman" w:cs="Times New Roman"/>
                <w:iCs/>
                <w:sz w:val="24"/>
                <w:szCs w:val="24"/>
                <w:lang w:eastAsia="lv-LV"/>
              </w:rPr>
              <w:t>devumus</w:t>
            </w:r>
            <w:r w:rsidR="00E65258" w:rsidRPr="00A20159">
              <w:rPr>
                <w:rFonts w:ascii="Times New Roman" w:eastAsia="Times New Roman" w:hAnsi="Times New Roman" w:cs="Times New Roman"/>
                <w:iCs/>
                <w:sz w:val="24"/>
                <w:szCs w:val="24"/>
                <w:lang w:eastAsia="lv-LV"/>
              </w:rPr>
              <w:t xml:space="preserve"> par </w:t>
            </w:r>
            <w:r w:rsidR="000F57A1" w:rsidRPr="00A20159">
              <w:rPr>
                <w:rFonts w:ascii="Times New Roman" w:eastAsia="Times New Roman" w:hAnsi="Times New Roman" w:cs="Times New Roman"/>
                <w:iCs/>
                <w:sz w:val="24"/>
                <w:szCs w:val="24"/>
                <w:lang w:eastAsia="lv-LV"/>
              </w:rPr>
              <w:t>elektroenerģijas obligāt</w:t>
            </w:r>
            <w:r w:rsidR="00E65258" w:rsidRPr="00A20159">
              <w:rPr>
                <w:rFonts w:ascii="Times New Roman" w:eastAsia="Times New Roman" w:hAnsi="Times New Roman" w:cs="Times New Roman"/>
                <w:iCs/>
                <w:sz w:val="24"/>
                <w:szCs w:val="24"/>
                <w:lang w:eastAsia="lv-LV"/>
              </w:rPr>
              <w:t>o</w:t>
            </w:r>
            <w:r w:rsidR="000F57A1" w:rsidRPr="00A20159">
              <w:rPr>
                <w:rFonts w:ascii="Times New Roman" w:eastAsia="Times New Roman" w:hAnsi="Times New Roman" w:cs="Times New Roman"/>
                <w:iCs/>
                <w:sz w:val="24"/>
                <w:szCs w:val="24"/>
                <w:lang w:eastAsia="lv-LV"/>
              </w:rPr>
              <w:t xml:space="preserve"> iepirkum</w:t>
            </w:r>
            <w:r w:rsidR="00E65258" w:rsidRPr="00A20159">
              <w:rPr>
                <w:rFonts w:ascii="Times New Roman" w:eastAsia="Times New Roman" w:hAnsi="Times New Roman" w:cs="Times New Roman"/>
                <w:iCs/>
                <w:sz w:val="24"/>
                <w:szCs w:val="24"/>
                <w:lang w:eastAsia="lv-LV"/>
              </w:rPr>
              <w:t>u</w:t>
            </w:r>
            <w:r w:rsidR="000F57A1" w:rsidRPr="00A20159">
              <w:rPr>
                <w:rFonts w:ascii="Times New Roman" w:eastAsia="Times New Roman" w:hAnsi="Times New Roman" w:cs="Times New Roman"/>
                <w:iCs/>
                <w:sz w:val="24"/>
                <w:szCs w:val="24"/>
                <w:lang w:eastAsia="lv-LV"/>
              </w:rPr>
              <w:t xml:space="preserve"> un garantēt</w:t>
            </w:r>
            <w:r w:rsidR="00E65258" w:rsidRPr="00A20159">
              <w:rPr>
                <w:rFonts w:ascii="Times New Roman" w:eastAsia="Times New Roman" w:hAnsi="Times New Roman" w:cs="Times New Roman"/>
                <w:iCs/>
                <w:sz w:val="24"/>
                <w:szCs w:val="24"/>
                <w:lang w:eastAsia="lv-LV"/>
              </w:rPr>
              <w:t>o</w:t>
            </w:r>
            <w:r w:rsidR="000F57A1" w:rsidRPr="00A20159">
              <w:rPr>
                <w:rFonts w:ascii="Times New Roman" w:eastAsia="Times New Roman" w:hAnsi="Times New Roman" w:cs="Times New Roman"/>
                <w:iCs/>
                <w:sz w:val="24"/>
                <w:szCs w:val="24"/>
                <w:lang w:eastAsia="lv-LV"/>
              </w:rPr>
              <w:t xml:space="preserve"> maks</w:t>
            </w:r>
            <w:r w:rsidR="00E65258" w:rsidRPr="00A20159">
              <w:rPr>
                <w:rFonts w:ascii="Times New Roman" w:eastAsia="Times New Roman" w:hAnsi="Times New Roman" w:cs="Times New Roman"/>
                <w:iCs/>
                <w:sz w:val="24"/>
                <w:szCs w:val="24"/>
                <w:lang w:eastAsia="lv-LV"/>
              </w:rPr>
              <w:t>u</w:t>
            </w:r>
            <w:r w:rsidR="000F57A1" w:rsidRPr="00A20159">
              <w:rPr>
                <w:rFonts w:ascii="Times New Roman" w:eastAsia="Times New Roman" w:hAnsi="Times New Roman" w:cs="Times New Roman"/>
                <w:iCs/>
                <w:sz w:val="24"/>
                <w:szCs w:val="24"/>
                <w:lang w:eastAsia="lv-LV"/>
              </w:rPr>
              <w:t xml:space="preserve"> par el</w:t>
            </w:r>
            <w:r w:rsidR="00E65258" w:rsidRPr="00A20159">
              <w:rPr>
                <w:rFonts w:ascii="Times New Roman" w:eastAsia="Times New Roman" w:hAnsi="Times New Roman" w:cs="Times New Roman"/>
                <w:iCs/>
                <w:sz w:val="24"/>
                <w:szCs w:val="24"/>
                <w:lang w:eastAsia="lv-LV"/>
              </w:rPr>
              <w:t>e</w:t>
            </w:r>
            <w:r w:rsidR="000F57A1" w:rsidRPr="00A20159">
              <w:rPr>
                <w:rFonts w:ascii="Times New Roman" w:eastAsia="Times New Roman" w:hAnsi="Times New Roman" w:cs="Times New Roman"/>
                <w:iCs/>
                <w:sz w:val="24"/>
                <w:szCs w:val="24"/>
                <w:lang w:eastAsia="lv-LV"/>
              </w:rPr>
              <w:t xml:space="preserve">ktrostacijā uzstādīto </w:t>
            </w:r>
            <w:r w:rsidR="00795E4D">
              <w:rPr>
                <w:rFonts w:ascii="Times New Roman" w:eastAsia="Times New Roman" w:hAnsi="Times New Roman" w:cs="Times New Roman"/>
                <w:iCs/>
                <w:sz w:val="24"/>
                <w:szCs w:val="24"/>
                <w:lang w:eastAsia="lv-LV"/>
              </w:rPr>
              <w:t xml:space="preserve">elektrisko </w:t>
            </w:r>
            <w:r w:rsidR="000F57A1" w:rsidRPr="00A20159">
              <w:rPr>
                <w:rFonts w:ascii="Times New Roman" w:eastAsia="Times New Roman" w:hAnsi="Times New Roman" w:cs="Times New Roman"/>
                <w:iCs/>
                <w:sz w:val="24"/>
                <w:szCs w:val="24"/>
                <w:lang w:eastAsia="lv-LV"/>
              </w:rPr>
              <w:t>jaudu</w:t>
            </w:r>
            <w:r w:rsidR="0097725D" w:rsidRPr="00A20159">
              <w:rPr>
                <w:rFonts w:ascii="Times New Roman" w:eastAsia="Times New Roman" w:hAnsi="Times New Roman" w:cs="Times New Roman"/>
                <w:iCs/>
                <w:sz w:val="24"/>
                <w:szCs w:val="24"/>
                <w:lang w:eastAsia="lv-LV"/>
              </w:rPr>
              <w:t xml:space="preserve"> (turpmāk – OIK)</w:t>
            </w:r>
            <w:r w:rsidR="00E65258" w:rsidRPr="00A20159">
              <w:rPr>
                <w:rFonts w:ascii="Times New Roman" w:eastAsia="Times New Roman" w:hAnsi="Times New Roman" w:cs="Times New Roman"/>
                <w:iCs/>
                <w:sz w:val="24"/>
                <w:szCs w:val="24"/>
                <w:lang w:eastAsia="lv-LV"/>
              </w:rPr>
              <w:t>.</w:t>
            </w:r>
            <w:r w:rsidR="004C748B" w:rsidRPr="00A20159">
              <w:rPr>
                <w:rFonts w:ascii="Times New Roman" w:eastAsia="Times New Roman" w:hAnsi="Times New Roman" w:cs="Times New Roman"/>
                <w:iCs/>
                <w:sz w:val="24"/>
                <w:szCs w:val="24"/>
                <w:lang w:eastAsia="lv-LV"/>
              </w:rPr>
              <w:t xml:space="preserve"> </w:t>
            </w:r>
            <w:r w:rsidR="001413A7" w:rsidRPr="00A20159">
              <w:rPr>
                <w:rFonts w:ascii="Times New Roman" w:eastAsia="Times New Roman" w:hAnsi="Times New Roman" w:cs="Times New Roman"/>
                <w:iCs/>
                <w:sz w:val="24"/>
                <w:szCs w:val="24"/>
                <w:lang w:eastAsia="lv-LV"/>
              </w:rPr>
              <w:t xml:space="preserve">Šāds termins </w:t>
            </w:r>
            <w:r w:rsidR="00795E4D">
              <w:rPr>
                <w:rFonts w:ascii="Times New Roman" w:eastAsia="Times New Roman" w:hAnsi="Times New Roman" w:cs="Times New Roman"/>
                <w:iCs/>
                <w:sz w:val="24"/>
                <w:szCs w:val="24"/>
                <w:lang w:eastAsia="lv-LV"/>
              </w:rPr>
              <w:t xml:space="preserve">Elektroenerģijas tirgus likumā (turpmāk – </w:t>
            </w:r>
            <w:r w:rsidR="00795E4D" w:rsidRPr="00A20159">
              <w:rPr>
                <w:rFonts w:ascii="Times New Roman" w:eastAsia="Times New Roman" w:hAnsi="Times New Roman" w:cs="Times New Roman"/>
                <w:iCs/>
                <w:sz w:val="24"/>
                <w:szCs w:val="24"/>
                <w:lang w:eastAsia="lv-LV"/>
              </w:rPr>
              <w:t>ETL</w:t>
            </w:r>
            <w:r w:rsidR="00795E4D">
              <w:rPr>
                <w:rFonts w:ascii="Times New Roman" w:eastAsia="Times New Roman" w:hAnsi="Times New Roman" w:cs="Times New Roman"/>
                <w:iCs/>
                <w:sz w:val="24"/>
                <w:szCs w:val="24"/>
                <w:lang w:eastAsia="lv-LV"/>
              </w:rPr>
              <w:t>)</w:t>
            </w:r>
            <w:r w:rsidR="001413A7" w:rsidRPr="00A20159">
              <w:rPr>
                <w:rFonts w:ascii="Times New Roman" w:eastAsia="Times New Roman" w:hAnsi="Times New Roman" w:cs="Times New Roman"/>
                <w:iCs/>
                <w:sz w:val="24"/>
                <w:szCs w:val="24"/>
                <w:lang w:eastAsia="lv-LV"/>
              </w:rPr>
              <w:t xml:space="preserve"> 28.</w:t>
            </w:r>
            <w:r w:rsidR="001413A7" w:rsidRPr="00A20159">
              <w:rPr>
                <w:rFonts w:ascii="Times New Roman" w:eastAsia="Times New Roman" w:hAnsi="Times New Roman" w:cs="Times New Roman"/>
                <w:iCs/>
                <w:sz w:val="24"/>
                <w:szCs w:val="24"/>
                <w:vertAlign w:val="superscript"/>
                <w:lang w:eastAsia="lv-LV"/>
              </w:rPr>
              <w:t xml:space="preserve">1 </w:t>
            </w:r>
            <w:r w:rsidR="001413A7" w:rsidRPr="00A20159">
              <w:rPr>
                <w:rFonts w:ascii="Times New Roman" w:eastAsia="Times New Roman" w:hAnsi="Times New Roman" w:cs="Times New Roman"/>
                <w:iCs/>
                <w:sz w:val="24"/>
                <w:szCs w:val="24"/>
                <w:lang w:eastAsia="lv-LV"/>
              </w:rPr>
              <w:t>pantā tika lietots līdz 2017.gada 1.septembrim</w:t>
            </w:r>
            <w:r w:rsidR="0097725D" w:rsidRPr="00A20159">
              <w:rPr>
                <w:rFonts w:ascii="Times New Roman" w:eastAsia="Times New Roman" w:hAnsi="Times New Roman" w:cs="Times New Roman"/>
                <w:iCs/>
                <w:sz w:val="24"/>
                <w:szCs w:val="24"/>
                <w:lang w:eastAsia="lv-LV"/>
              </w:rPr>
              <w:t xml:space="preserve">, kad </w:t>
            </w:r>
            <w:r w:rsidR="001413A7" w:rsidRPr="00A20159">
              <w:rPr>
                <w:rFonts w:ascii="Times New Roman" w:eastAsia="Times New Roman" w:hAnsi="Times New Roman" w:cs="Times New Roman"/>
                <w:iCs/>
                <w:sz w:val="24"/>
                <w:szCs w:val="24"/>
                <w:lang w:eastAsia="lv-LV"/>
              </w:rPr>
              <w:t xml:space="preserve"> stājās spēkā šī panta grozījumi</w:t>
            </w:r>
            <w:r w:rsidR="00372594" w:rsidRPr="00A20159">
              <w:rPr>
                <w:rFonts w:ascii="Times New Roman" w:eastAsia="Times New Roman" w:hAnsi="Times New Roman" w:cs="Times New Roman"/>
                <w:iCs/>
                <w:sz w:val="24"/>
                <w:szCs w:val="24"/>
                <w:lang w:eastAsia="lv-LV"/>
              </w:rPr>
              <w:t xml:space="preserve">, ar ko </w:t>
            </w:r>
            <w:r w:rsidR="00EF6EF0" w:rsidRPr="00A20159">
              <w:rPr>
                <w:rFonts w:ascii="Times New Roman" w:eastAsia="Times New Roman" w:hAnsi="Times New Roman" w:cs="Times New Roman"/>
                <w:iCs/>
                <w:sz w:val="24"/>
                <w:szCs w:val="24"/>
                <w:lang w:eastAsia="lv-LV"/>
              </w:rPr>
              <w:t>izmaksas, kas radušās piemērojot šo pantu tika nodalītas kā izmaksas par uzstādīto elektrisko jaudu</w:t>
            </w:r>
            <w:r w:rsidR="001413A7" w:rsidRPr="00A20159">
              <w:rPr>
                <w:rFonts w:ascii="Times New Roman" w:eastAsia="Times New Roman" w:hAnsi="Times New Roman" w:cs="Times New Roman"/>
                <w:iCs/>
                <w:sz w:val="24"/>
                <w:szCs w:val="24"/>
                <w:lang w:eastAsia="lv-LV"/>
              </w:rPr>
              <w:t xml:space="preserve">. </w:t>
            </w:r>
            <w:r w:rsidR="001706EE" w:rsidRPr="00A20159">
              <w:rPr>
                <w:rFonts w:ascii="Times New Roman" w:eastAsia="Times New Roman" w:hAnsi="Times New Roman" w:cs="Times New Roman"/>
                <w:iCs/>
                <w:sz w:val="24"/>
                <w:szCs w:val="24"/>
                <w:lang w:eastAsia="lv-LV"/>
              </w:rPr>
              <w:t>T</w:t>
            </w:r>
            <w:r w:rsidR="00EF6EF0" w:rsidRPr="00A20159">
              <w:rPr>
                <w:rFonts w:ascii="Times New Roman" w:eastAsia="Times New Roman" w:hAnsi="Times New Roman" w:cs="Times New Roman"/>
                <w:iCs/>
                <w:sz w:val="24"/>
                <w:szCs w:val="24"/>
                <w:lang w:eastAsia="lv-LV"/>
              </w:rPr>
              <w:t>omēr arī pēc minēto grozījumu spēkā stāšanās</w:t>
            </w:r>
            <w:r w:rsidR="001706EE" w:rsidRPr="00A20159">
              <w:rPr>
                <w:rFonts w:ascii="Times New Roman" w:eastAsia="Times New Roman" w:hAnsi="Times New Roman" w:cs="Times New Roman"/>
                <w:iCs/>
                <w:sz w:val="24"/>
                <w:szCs w:val="24"/>
                <w:lang w:eastAsia="lv-LV"/>
              </w:rPr>
              <w:t xml:space="preserve"> termi</w:t>
            </w:r>
            <w:r w:rsidR="006B0398">
              <w:rPr>
                <w:rFonts w:ascii="Times New Roman" w:eastAsia="Times New Roman" w:hAnsi="Times New Roman" w:cs="Times New Roman"/>
                <w:iCs/>
                <w:sz w:val="24"/>
                <w:szCs w:val="24"/>
                <w:lang w:eastAsia="lv-LV"/>
              </w:rPr>
              <w:t>ņ</w:t>
            </w:r>
            <w:r w:rsidR="00EF6EF0" w:rsidRPr="00A20159">
              <w:rPr>
                <w:rFonts w:ascii="Times New Roman" w:eastAsia="Times New Roman" w:hAnsi="Times New Roman" w:cs="Times New Roman"/>
                <w:iCs/>
                <w:sz w:val="24"/>
                <w:szCs w:val="24"/>
                <w:lang w:eastAsia="lv-LV"/>
              </w:rPr>
              <w:t>a</w:t>
            </w:r>
            <w:r w:rsidR="001706EE" w:rsidRPr="00A20159">
              <w:rPr>
                <w:rFonts w:ascii="Times New Roman" w:eastAsia="Times New Roman" w:hAnsi="Times New Roman" w:cs="Times New Roman"/>
                <w:iCs/>
                <w:sz w:val="24"/>
                <w:szCs w:val="24"/>
                <w:lang w:eastAsia="lv-LV"/>
              </w:rPr>
              <w:t xml:space="preserve"> OIK </w:t>
            </w:r>
            <w:r w:rsidR="00EF6EF0" w:rsidRPr="00A20159">
              <w:rPr>
                <w:rFonts w:ascii="Times New Roman" w:eastAsia="Times New Roman" w:hAnsi="Times New Roman" w:cs="Times New Roman"/>
                <w:iCs/>
                <w:sz w:val="24"/>
                <w:szCs w:val="24"/>
                <w:lang w:eastAsia="lv-LV"/>
              </w:rPr>
              <w:t>tā plašākajā izpratnē lietošana saglabāta citos ETL pantos, piemēram, ETL 16.panta trešajā daļā</w:t>
            </w:r>
            <w:r w:rsidR="005A1C19" w:rsidRPr="00A20159">
              <w:rPr>
                <w:rFonts w:ascii="Times New Roman" w:eastAsia="Times New Roman" w:hAnsi="Times New Roman" w:cs="Times New Roman"/>
                <w:iCs/>
                <w:sz w:val="24"/>
                <w:szCs w:val="24"/>
                <w:lang w:eastAsia="lv-LV"/>
              </w:rPr>
              <w:t>, un uz tā pam</w:t>
            </w:r>
            <w:r w:rsidR="00A86CFB" w:rsidRPr="00A20159">
              <w:rPr>
                <w:rFonts w:ascii="Times New Roman" w:eastAsia="Times New Roman" w:hAnsi="Times New Roman" w:cs="Times New Roman"/>
                <w:iCs/>
                <w:sz w:val="24"/>
                <w:szCs w:val="24"/>
                <w:lang w:eastAsia="lv-LV"/>
              </w:rPr>
              <w:t>a</w:t>
            </w:r>
            <w:r w:rsidR="005A1C19" w:rsidRPr="00A20159">
              <w:rPr>
                <w:rFonts w:ascii="Times New Roman" w:eastAsia="Times New Roman" w:hAnsi="Times New Roman" w:cs="Times New Roman"/>
                <w:iCs/>
                <w:sz w:val="24"/>
                <w:szCs w:val="24"/>
                <w:lang w:eastAsia="lv-LV"/>
              </w:rPr>
              <w:t xml:space="preserve">ta izdotajos normatīvajos aktos. </w:t>
            </w:r>
            <w:r w:rsidR="00B54EBA">
              <w:rPr>
                <w:rFonts w:ascii="Times New Roman" w:eastAsia="Times New Roman" w:hAnsi="Times New Roman" w:cs="Times New Roman"/>
                <w:iCs/>
                <w:sz w:val="24"/>
                <w:szCs w:val="24"/>
                <w:lang w:eastAsia="lv-LV"/>
              </w:rPr>
              <w:t>Tāpat šāds termins izmantots Ministru kabineta 2014.gada 21.janvāra noteikumos Nr.50 “</w:t>
            </w:r>
            <w:r w:rsidR="00B54EBA" w:rsidRPr="00B54EBA">
              <w:rPr>
                <w:rFonts w:ascii="Times New Roman" w:eastAsia="Times New Roman" w:hAnsi="Times New Roman" w:cs="Times New Roman"/>
                <w:iCs/>
                <w:sz w:val="24"/>
                <w:szCs w:val="24"/>
                <w:lang w:eastAsia="lv-LV"/>
              </w:rPr>
              <w:t>Elektroenerģijas tirdzniecības un lietošanas noteikum</w:t>
            </w:r>
            <w:r w:rsidR="00B54EBA">
              <w:rPr>
                <w:rFonts w:ascii="Times New Roman" w:eastAsia="Times New Roman" w:hAnsi="Times New Roman" w:cs="Times New Roman"/>
                <w:iCs/>
                <w:sz w:val="24"/>
                <w:szCs w:val="24"/>
                <w:lang w:eastAsia="lv-LV"/>
              </w:rPr>
              <w:t>i”.</w:t>
            </w:r>
          </w:p>
          <w:p w14:paraId="2A92A766" w14:textId="77777777" w:rsidR="005A1C19" w:rsidRPr="00035795" w:rsidRDefault="005A1C19" w:rsidP="004B2695">
            <w:pPr>
              <w:spacing w:before="120" w:after="120" w:line="240" w:lineRule="auto"/>
              <w:jc w:val="both"/>
              <w:rPr>
                <w:rFonts w:ascii="Times New Roman" w:eastAsia="Times New Roman" w:hAnsi="Times New Roman" w:cs="Times New Roman"/>
                <w:b/>
                <w:iCs/>
                <w:sz w:val="24"/>
                <w:szCs w:val="24"/>
                <w:lang w:eastAsia="lv-LV"/>
              </w:rPr>
            </w:pPr>
            <w:r w:rsidRPr="00A20159">
              <w:rPr>
                <w:rFonts w:ascii="Times New Roman" w:eastAsia="Times New Roman" w:hAnsi="Times New Roman" w:cs="Times New Roman"/>
                <w:iCs/>
                <w:sz w:val="24"/>
                <w:szCs w:val="24"/>
                <w:lang w:eastAsia="lv-LV"/>
              </w:rPr>
              <w:t xml:space="preserve">Ņemot vērā Saeimas 2019.gada 10.janvāra lēmumā iekļauto </w:t>
            </w:r>
            <w:r w:rsidR="00A86CFB" w:rsidRPr="00A20159">
              <w:rPr>
                <w:rFonts w:ascii="Times New Roman" w:eastAsia="Times New Roman" w:hAnsi="Times New Roman" w:cs="Times New Roman"/>
                <w:iCs/>
                <w:sz w:val="24"/>
                <w:szCs w:val="24"/>
                <w:lang w:eastAsia="lv-LV"/>
              </w:rPr>
              <w:t xml:space="preserve">mērķi </w:t>
            </w:r>
            <w:r w:rsidR="00A86CFB" w:rsidRPr="00A20159">
              <w:rPr>
                <w:rFonts w:ascii="Times New Roman" w:hAnsi="Times New Roman" w:cs="Times New Roman"/>
                <w:sz w:val="24"/>
                <w:szCs w:val="24"/>
                <w:shd w:val="clear" w:color="auto" w:fill="FFFFFF"/>
              </w:rPr>
              <w:t xml:space="preserve">samazināt elektroenerģijas izmaksas visiem Latvijas patērētājiem, </w:t>
            </w:r>
            <w:r w:rsidR="00A86CFB" w:rsidRPr="00035795">
              <w:rPr>
                <w:rFonts w:ascii="Times New Roman" w:hAnsi="Times New Roman" w:cs="Times New Roman"/>
                <w:b/>
                <w:sz w:val="24"/>
                <w:szCs w:val="24"/>
                <w:shd w:val="clear" w:color="auto" w:fill="FFFFFF"/>
              </w:rPr>
              <w:t xml:space="preserve">secināms, ka ar Saeimas 2019.gada 10.janvāra lēmumu Ekonomikas ministrijai uzdots izstrādāt tiesību aktus OIK atcelšanai tā plašākā nozīmē, iekļaujot arī izmaksas par elektrostacijā uzstādīto elektrisko jaudu. </w:t>
            </w:r>
          </w:p>
          <w:p w14:paraId="572CAFD9" w14:textId="77777777" w:rsidR="001413A7" w:rsidRPr="00A20159" w:rsidRDefault="001413A7" w:rsidP="004B2695">
            <w:pPr>
              <w:spacing w:before="120" w:after="120" w:line="240" w:lineRule="auto"/>
              <w:jc w:val="both"/>
              <w:rPr>
                <w:rFonts w:ascii="Times New Roman" w:eastAsia="Times New Roman" w:hAnsi="Times New Roman" w:cs="Times New Roman"/>
                <w:iCs/>
                <w:color w:val="FF0000"/>
                <w:sz w:val="24"/>
                <w:szCs w:val="24"/>
                <w:lang w:eastAsia="lv-LV"/>
              </w:rPr>
            </w:pPr>
          </w:p>
          <w:p w14:paraId="36936885" w14:textId="31ADD608" w:rsidR="00FF7879" w:rsidRPr="00D153C3" w:rsidRDefault="00EF6EF0" w:rsidP="004B2695">
            <w:pPr>
              <w:spacing w:before="120" w:after="120" w:line="240" w:lineRule="auto"/>
              <w:jc w:val="both"/>
              <w:rPr>
                <w:rFonts w:ascii="Times New Roman" w:hAnsi="Times New Roman" w:cs="Times New Roman"/>
                <w:b/>
                <w:i/>
                <w:sz w:val="24"/>
                <w:szCs w:val="24"/>
                <w:u w:val="single"/>
                <w:shd w:val="clear" w:color="auto" w:fill="FFFFFF"/>
              </w:rPr>
            </w:pPr>
            <w:r w:rsidRPr="008C2175">
              <w:rPr>
                <w:rFonts w:ascii="Times New Roman" w:hAnsi="Times New Roman" w:cs="Times New Roman"/>
                <w:b/>
                <w:i/>
                <w:sz w:val="24"/>
                <w:szCs w:val="24"/>
                <w:u w:val="single"/>
                <w:shd w:val="clear" w:color="auto" w:fill="FFFFFF"/>
              </w:rPr>
              <w:t>2</w:t>
            </w:r>
            <w:r w:rsidR="00FF7879" w:rsidRPr="008C2175">
              <w:rPr>
                <w:rFonts w:ascii="Times New Roman" w:hAnsi="Times New Roman" w:cs="Times New Roman"/>
                <w:b/>
                <w:i/>
                <w:sz w:val="24"/>
                <w:szCs w:val="24"/>
                <w:u w:val="single"/>
                <w:shd w:val="clear" w:color="auto" w:fill="FFFFFF"/>
              </w:rPr>
              <w:t xml:space="preserve">. </w:t>
            </w:r>
            <w:r w:rsidR="00D62042" w:rsidRPr="008C2175">
              <w:rPr>
                <w:rFonts w:ascii="Times New Roman" w:hAnsi="Times New Roman" w:cs="Times New Roman"/>
                <w:b/>
                <w:i/>
                <w:sz w:val="24"/>
                <w:szCs w:val="24"/>
                <w:u w:val="single"/>
                <w:shd w:val="clear" w:color="auto" w:fill="FFFFFF"/>
              </w:rPr>
              <w:t>Spēkā e</w:t>
            </w:r>
            <w:r w:rsidR="00FF7879" w:rsidRPr="008C2175">
              <w:rPr>
                <w:rFonts w:ascii="Times New Roman" w:hAnsi="Times New Roman" w:cs="Times New Roman"/>
                <w:b/>
                <w:i/>
                <w:sz w:val="24"/>
                <w:szCs w:val="24"/>
                <w:u w:val="single"/>
                <w:shd w:val="clear" w:color="auto" w:fill="FFFFFF"/>
              </w:rPr>
              <w:t>soš</w:t>
            </w:r>
            <w:r w:rsidR="00D62042" w:rsidRPr="008C2175">
              <w:rPr>
                <w:rFonts w:ascii="Times New Roman" w:hAnsi="Times New Roman" w:cs="Times New Roman"/>
                <w:b/>
                <w:i/>
                <w:sz w:val="24"/>
                <w:szCs w:val="24"/>
                <w:u w:val="single"/>
                <w:shd w:val="clear" w:color="auto" w:fill="FFFFFF"/>
              </w:rPr>
              <w:t>ais normatīvais regulējums</w:t>
            </w:r>
          </w:p>
          <w:p w14:paraId="501D87C3" w14:textId="77777777" w:rsidR="00C518CE" w:rsidRDefault="00A86CFB" w:rsidP="004B2695">
            <w:pPr>
              <w:spacing w:before="120" w:after="120" w:line="240" w:lineRule="auto"/>
              <w:jc w:val="both"/>
              <w:rPr>
                <w:rFonts w:ascii="Times New Roman" w:hAnsi="Times New Roman" w:cs="Times New Roman"/>
                <w:sz w:val="24"/>
                <w:szCs w:val="24"/>
                <w:shd w:val="clear" w:color="auto" w:fill="FFFFFF"/>
              </w:rPr>
            </w:pPr>
            <w:r w:rsidRPr="00A20159">
              <w:rPr>
                <w:rFonts w:ascii="Times New Roman" w:hAnsi="Times New Roman" w:cs="Times New Roman"/>
                <w:sz w:val="24"/>
                <w:szCs w:val="24"/>
                <w:shd w:val="clear" w:color="auto" w:fill="FFFFFF"/>
              </w:rPr>
              <w:t>OIK ir maksājums, ko sedz visi elektroenerģijas galalietotāji un kas papildus elektroenerģijas tirgus cenai, sadales un pārvades tarifam un pievienotās vērtības nodoklim tiek iekļauta elektroenerģijas gala cenā.</w:t>
            </w:r>
            <w:r w:rsidR="00E92F67" w:rsidRPr="00A20159">
              <w:rPr>
                <w:rFonts w:ascii="Times New Roman" w:hAnsi="Times New Roman" w:cs="Times New Roman"/>
                <w:sz w:val="24"/>
                <w:szCs w:val="24"/>
                <w:shd w:val="clear" w:color="auto" w:fill="FFFFFF"/>
              </w:rPr>
              <w:t xml:space="preserve"> </w:t>
            </w:r>
          </w:p>
          <w:p w14:paraId="17EE2EB1" w14:textId="7C27E937" w:rsidR="009B0DFA" w:rsidRPr="00A20159" w:rsidRDefault="009B0DFA" w:rsidP="004B2695">
            <w:pPr>
              <w:spacing w:before="120" w:after="120" w:line="240" w:lineRule="auto"/>
              <w:jc w:val="both"/>
              <w:rPr>
                <w:rFonts w:ascii="Times New Roman" w:hAnsi="Times New Roman"/>
                <w:sz w:val="24"/>
                <w:szCs w:val="24"/>
              </w:rPr>
            </w:pPr>
            <w:r w:rsidRPr="00A20159">
              <w:rPr>
                <w:rFonts w:ascii="Times New Roman" w:hAnsi="Times New Roman"/>
                <w:sz w:val="24"/>
                <w:szCs w:val="24"/>
              </w:rPr>
              <w:t xml:space="preserve">Šobrīd spēkā esošais elektroenerģijas obligātā iepirkuma mehānisms ir izveidots saskaņā ar ETL 28., 29. un 30.pantu, savukārt garantētā maksa par elektrostacijā uzstādīto </w:t>
            </w:r>
            <w:r w:rsidR="00980A32">
              <w:rPr>
                <w:rFonts w:ascii="Times New Roman" w:hAnsi="Times New Roman"/>
                <w:sz w:val="24"/>
                <w:szCs w:val="24"/>
              </w:rPr>
              <w:t xml:space="preserve">elektrisko </w:t>
            </w:r>
            <w:r w:rsidRPr="00A20159">
              <w:rPr>
                <w:rFonts w:ascii="Times New Roman" w:hAnsi="Times New Roman"/>
                <w:sz w:val="24"/>
                <w:szCs w:val="24"/>
              </w:rPr>
              <w:t>jaudu izveidota saskaņā ar ETL 28.</w:t>
            </w:r>
            <w:r w:rsidRPr="00A20159">
              <w:rPr>
                <w:rFonts w:ascii="Times New Roman" w:hAnsi="Times New Roman"/>
                <w:sz w:val="24"/>
                <w:szCs w:val="24"/>
                <w:vertAlign w:val="superscript"/>
              </w:rPr>
              <w:t>1</w:t>
            </w:r>
            <w:r w:rsidRPr="00A20159">
              <w:rPr>
                <w:rFonts w:ascii="Times New Roman" w:hAnsi="Times New Roman"/>
                <w:sz w:val="24"/>
                <w:szCs w:val="24"/>
              </w:rPr>
              <w:t xml:space="preserve"> pantu</w:t>
            </w:r>
            <w:r w:rsidR="00D153C3">
              <w:rPr>
                <w:rFonts w:ascii="Times New Roman" w:hAnsi="Times New Roman"/>
                <w:sz w:val="24"/>
                <w:szCs w:val="24"/>
              </w:rPr>
              <w:t xml:space="preserve"> (turpmāk attiecībā uz abiem šiem maksājumiem – OI mehānisms)</w:t>
            </w:r>
            <w:r w:rsidRPr="00A20159">
              <w:rPr>
                <w:rFonts w:ascii="Times New Roman" w:hAnsi="Times New Roman"/>
                <w:sz w:val="24"/>
                <w:szCs w:val="24"/>
              </w:rPr>
              <w:t xml:space="preserve">. </w:t>
            </w:r>
          </w:p>
          <w:p w14:paraId="2781F087" w14:textId="6F9A312E" w:rsidR="009B0DFA" w:rsidRPr="00A20159" w:rsidRDefault="009B0DFA" w:rsidP="004B2695">
            <w:pPr>
              <w:spacing w:before="120" w:after="120" w:line="240" w:lineRule="auto"/>
              <w:jc w:val="both"/>
              <w:rPr>
                <w:rFonts w:ascii="Times New Roman" w:hAnsi="Times New Roman"/>
                <w:sz w:val="24"/>
                <w:szCs w:val="24"/>
              </w:rPr>
            </w:pPr>
            <w:proofErr w:type="spellStart"/>
            <w:r w:rsidRPr="00A20159">
              <w:rPr>
                <w:rFonts w:ascii="Times New Roman" w:hAnsi="Times New Roman"/>
                <w:sz w:val="24"/>
                <w:szCs w:val="24"/>
              </w:rPr>
              <w:t>Pirmssākums</w:t>
            </w:r>
            <w:proofErr w:type="spellEnd"/>
            <w:r w:rsidRPr="00A20159">
              <w:rPr>
                <w:rFonts w:ascii="Times New Roman" w:hAnsi="Times New Roman"/>
                <w:sz w:val="24"/>
                <w:szCs w:val="24"/>
              </w:rPr>
              <w:t xml:space="preserve"> šāda mehānisma izveidei ir </w:t>
            </w:r>
            <w:r w:rsidRPr="00A20159">
              <w:rPr>
                <w:rFonts w:ascii="Times New Roman" w:hAnsi="Times New Roman"/>
                <w:b/>
                <w:sz w:val="24"/>
                <w:szCs w:val="24"/>
              </w:rPr>
              <w:t>1995.gads</w:t>
            </w:r>
            <w:r w:rsidRPr="00A20159">
              <w:rPr>
                <w:rFonts w:ascii="Times New Roman" w:hAnsi="Times New Roman"/>
                <w:sz w:val="24"/>
                <w:szCs w:val="24"/>
              </w:rPr>
              <w:t>, kas laika gaitā</w:t>
            </w:r>
            <w:r w:rsidR="00822E72" w:rsidRPr="00A20159">
              <w:rPr>
                <w:rFonts w:ascii="Times New Roman" w:hAnsi="Times New Roman"/>
                <w:sz w:val="24"/>
                <w:szCs w:val="24"/>
              </w:rPr>
              <w:t xml:space="preserve"> </w:t>
            </w:r>
            <w:r w:rsidRPr="00A20159">
              <w:rPr>
                <w:rFonts w:ascii="Times New Roman" w:hAnsi="Times New Roman"/>
                <w:sz w:val="24"/>
                <w:szCs w:val="24"/>
              </w:rPr>
              <w:t xml:space="preserve">tika attīstīts un sekojoši tika iestrādāts </w:t>
            </w:r>
            <w:r w:rsidRPr="00BD28C5">
              <w:rPr>
                <w:rFonts w:ascii="Times New Roman" w:hAnsi="Times New Roman"/>
                <w:sz w:val="24"/>
                <w:szCs w:val="24"/>
              </w:rPr>
              <w:t>Enerģētikas likumā</w:t>
            </w:r>
            <w:r w:rsidRPr="00A20159">
              <w:rPr>
                <w:rFonts w:ascii="Times New Roman" w:hAnsi="Times New Roman"/>
                <w:sz w:val="24"/>
                <w:szCs w:val="24"/>
              </w:rPr>
              <w:t xml:space="preserve">. </w:t>
            </w:r>
          </w:p>
          <w:p w14:paraId="3EF535AC" w14:textId="77777777" w:rsidR="00BF5AE3" w:rsidRPr="002F68CE" w:rsidRDefault="009B0DFA" w:rsidP="004B2695">
            <w:pPr>
              <w:spacing w:before="120" w:after="120" w:line="240" w:lineRule="auto"/>
              <w:jc w:val="both"/>
              <w:rPr>
                <w:rFonts w:ascii="Times New Roman" w:hAnsi="Times New Roman"/>
                <w:sz w:val="24"/>
                <w:szCs w:val="24"/>
              </w:rPr>
            </w:pPr>
            <w:r w:rsidRPr="00A20159">
              <w:rPr>
                <w:rFonts w:ascii="Times New Roman" w:hAnsi="Times New Roman"/>
                <w:b/>
                <w:sz w:val="24"/>
                <w:szCs w:val="24"/>
              </w:rPr>
              <w:t>2005.gadā</w:t>
            </w:r>
            <w:r w:rsidRPr="00A20159">
              <w:rPr>
                <w:rFonts w:ascii="Times New Roman" w:hAnsi="Times New Roman"/>
                <w:sz w:val="24"/>
                <w:szCs w:val="24"/>
              </w:rPr>
              <w:t xml:space="preserve"> spēkā stājās </w:t>
            </w:r>
            <w:r w:rsidR="002F68CE">
              <w:rPr>
                <w:rFonts w:ascii="Times New Roman" w:hAnsi="Times New Roman"/>
                <w:sz w:val="24"/>
                <w:szCs w:val="24"/>
              </w:rPr>
              <w:t>ETL</w:t>
            </w:r>
            <w:r w:rsidRPr="00A20159">
              <w:rPr>
                <w:rFonts w:ascii="Times New Roman" w:hAnsi="Times New Roman"/>
                <w:sz w:val="24"/>
                <w:szCs w:val="24"/>
              </w:rPr>
              <w:t xml:space="preserve">, uz kā pamata secīgi tika izdoti vairāki Ministru kabineta noteikumi, saskaņā ar kuriem komersantiem tika piešķirtas tiesības uz atbalstu esošā OI mehānisma ietvaros par elektroenerģijas ražošanu no atjaunojamiem energoresursiem vai koģenerācijā (turpmāk – OI </w:t>
            </w:r>
            <w:r w:rsidRPr="002F68CE">
              <w:rPr>
                <w:rFonts w:ascii="Times New Roman" w:hAnsi="Times New Roman"/>
                <w:sz w:val="24"/>
                <w:szCs w:val="24"/>
              </w:rPr>
              <w:t xml:space="preserve">tiesības). </w:t>
            </w:r>
            <w:r w:rsidR="00A05620" w:rsidRPr="002F68CE">
              <w:rPr>
                <w:rFonts w:ascii="Times New Roman" w:hAnsi="Times New Roman"/>
                <w:sz w:val="24"/>
                <w:szCs w:val="24"/>
              </w:rPr>
              <w:t>Jāmin, ka atsevišķas vēja elektrostacijas neizmantoja iespēju</w:t>
            </w:r>
            <w:r w:rsidR="002F68CE" w:rsidRPr="002F68CE">
              <w:rPr>
                <w:rFonts w:ascii="Times New Roman" w:hAnsi="Times New Roman"/>
                <w:sz w:val="24"/>
                <w:szCs w:val="24"/>
              </w:rPr>
              <w:t xml:space="preserve"> pāriet uz jauno OI mehānismu un turpināja saņemt atbalstu saskaņā ar ETL pārejas noteikumu 52.punktu.</w:t>
            </w:r>
          </w:p>
          <w:p w14:paraId="6018DE06" w14:textId="77777777" w:rsidR="00C518CE" w:rsidRDefault="00C518CE" w:rsidP="004B2695">
            <w:pPr>
              <w:spacing w:before="120" w:after="120" w:line="240" w:lineRule="auto"/>
              <w:jc w:val="both"/>
              <w:rPr>
                <w:rFonts w:ascii="Times New Roman" w:hAnsi="Times New Roman"/>
                <w:sz w:val="24"/>
                <w:szCs w:val="24"/>
              </w:rPr>
            </w:pPr>
            <w:r>
              <w:rPr>
                <w:rFonts w:ascii="Times New Roman" w:hAnsi="Times New Roman"/>
                <w:sz w:val="24"/>
                <w:szCs w:val="24"/>
              </w:rPr>
              <w:t xml:space="preserve">Šobrīd spēkā esošie Ministru kabineta noteikumi, kas </w:t>
            </w:r>
            <w:proofErr w:type="spellStart"/>
            <w:r>
              <w:rPr>
                <w:rFonts w:ascii="Times New Roman" w:hAnsi="Times New Roman"/>
                <w:sz w:val="24"/>
                <w:szCs w:val="24"/>
              </w:rPr>
              <w:t>citastarp</w:t>
            </w:r>
            <w:proofErr w:type="spellEnd"/>
            <w:r>
              <w:rPr>
                <w:rFonts w:ascii="Times New Roman" w:hAnsi="Times New Roman"/>
                <w:sz w:val="24"/>
                <w:szCs w:val="24"/>
              </w:rPr>
              <w:t xml:space="preserve"> nosaka elektrostaciju darbības nosacījumus atbalsta saņemšanai ir Ministru kabineta 2010.gada 16.marta noteikumi Nr.262 “</w:t>
            </w:r>
            <w:r w:rsidRPr="00C518CE">
              <w:rPr>
                <w:rFonts w:ascii="Times New Roman" w:hAnsi="Times New Roman"/>
                <w:sz w:val="24"/>
                <w:szCs w:val="24"/>
              </w:rPr>
              <w:t xml:space="preserve">Noteikumi par elektroenerģijas ražošanu, izmantojot atjaunojamos energoresursus, un </w:t>
            </w:r>
            <w:r w:rsidRPr="00C518CE">
              <w:rPr>
                <w:rFonts w:ascii="Times New Roman" w:hAnsi="Times New Roman"/>
                <w:sz w:val="24"/>
                <w:szCs w:val="24"/>
              </w:rPr>
              <w:lastRenderedPageBreak/>
              <w:t>cenu noteikšanas kārtību</w:t>
            </w:r>
            <w:r>
              <w:rPr>
                <w:rFonts w:ascii="Times New Roman" w:hAnsi="Times New Roman"/>
                <w:sz w:val="24"/>
                <w:szCs w:val="24"/>
              </w:rPr>
              <w:t>”</w:t>
            </w:r>
            <w:r w:rsidR="001027BD">
              <w:rPr>
                <w:rStyle w:val="FootnoteReference"/>
                <w:rFonts w:ascii="Times New Roman" w:hAnsi="Times New Roman"/>
                <w:sz w:val="24"/>
                <w:szCs w:val="24"/>
              </w:rPr>
              <w:footnoteReference w:id="2"/>
            </w:r>
            <w:r>
              <w:rPr>
                <w:rFonts w:ascii="Times New Roman" w:hAnsi="Times New Roman"/>
                <w:sz w:val="24"/>
                <w:szCs w:val="24"/>
              </w:rPr>
              <w:t xml:space="preserve"> </w:t>
            </w:r>
            <w:r w:rsidR="007025E7">
              <w:rPr>
                <w:rFonts w:ascii="Times New Roman" w:hAnsi="Times New Roman"/>
                <w:sz w:val="24"/>
                <w:szCs w:val="24"/>
              </w:rPr>
              <w:t xml:space="preserve">(turpmāk – MK noteikumi Nr.262) </w:t>
            </w:r>
            <w:r>
              <w:rPr>
                <w:rFonts w:ascii="Times New Roman" w:hAnsi="Times New Roman"/>
                <w:sz w:val="24"/>
                <w:szCs w:val="24"/>
              </w:rPr>
              <w:t>un Ministru kabineta 2009.gada 10.marta noteikumi Nr.221 “</w:t>
            </w:r>
            <w:r w:rsidR="001027BD" w:rsidRPr="001027BD">
              <w:rPr>
                <w:rFonts w:ascii="Times New Roman" w:hAnsi="Times New Roman"/>
                <w:sz w:val="24"/>
                <w:szCs w:val="24"/>
              </w:rPr>
              <w:t>Noteikumi par elektroenerģijas ražošanu un cenu noteikšanu, ražojot elektroenerģiju koģenerācijā</w:t>
            </w:r>
            <w:r w:rsidR="001027BD">
              <w:rPr>
                <w:rFonts w:ascii="Times New Roman" w:hAnsi="Times New Roman"/>
                <w:sz w:val="24"/>
                <w:szCs w:val="24"/>
              </w:rPr>
              <w:t>”</w:t>
            </w:r>
            <w:r w:rsidR="001027BD">
              <w:rPr>
                <w:rStyle w:val="FootnoteReference"/>
                <w:rFonts w:ascii="Times New Roman" w:hAnsi="Times New Roman"/>
                <w:sz w:val="24"/>
                <w:szCs w:val="24"/>
              </w:rPr>
              <w:footnoteReference w:id="3"/>
            </w:r>
            <w:r w:rsidR="007025E7">
              <w:rPr>
                <w:rFonts w:ascii="Times New Roman" w:hAnsi="Times New Roman"/>
                <w:sz w:val="24"/>
                <w:szCs w:val="24"/>
              </w:rPr>
              <w:t xml:space="preserve"> (turpmāk – MK noteikumi Nr.221)</w:t>
            </w:r>
            <w:r w:rsidR="001027BD">
              <w:rPr>
                <w:rFonts w:ascii="Times New Roman" w:hAnsi="Times New Roman"/>
                <w:sz w:val="24"/>
                <w:szCs w:val="24"/>
              </w:rPr>
              <w:t>.</w:t>
            </w:r>
          </w:p>
          <w:p w14:paraId="350A8484" w14:textId="77777777" w:rsidR="002F68CE" w:rsidRDefault="00AF0AE5" w:rsidP="004B2695">
            <w:pPr>
              <w:spacing w:before="120" w:after="120" w:line="240" w:lineRule="auto"/>
              <w:jc w:val="both"/>
              <w:rPr>
                <w:rFonts w:ascii="Times New Roman" w:hAnsi="Times New Roman"/>
                <w:sz w:val="24"/>
                <w:szCs w:val="24"/>
              </w:rPr>
            </w:pPr>
            <w:r>
              <w:rPr>
                <w:rFonts w:ascii="Times New Roman" w:hAnsi="Times New Roman"/>
                <w:sz w:val="24"/>
                <w:szCs w:val="24"/>
              </w:rPr>
              <w:t>Ar ETL 28., 28.</w:t>
            </w:r>
            <w:r>
              <w:rPr>
                <w:rFonts w:ascii="Times New Roman" w:hAnsi="Times New Roman"/>
                <w:sz w:val="24"/>
                <w:szCs w:val="24"/>
                <w:vertAlign w:val="superscript"/>
              </w:rPr>
              <w:t>1</w:t>
            </w:r>
            <w:r>
              <w:rPr>
                <w:rFonts w:ascii="Times New Roman" w:hAnsi="Times New Roman"/>
                <w:sz w:val="24"/>
                <w:szCs w:val="24"/>
              </w:rPr>
              <w:t xml:space="preserve"> un 30.pantu ir noteikts arī princips, kā tiek segtas izmaksas, kas radušās īstenojot OI mehānismu.</w:t>
            </w:r>
          </w:p>
          <w:p w14:paraId="6F8A8ADA" w14:textId="77777777" w:rsidR="00AF0AE5" w:rsidRPr="00AF0AE5" w:rsidRDefault="00AF0AE5" w:rsidP="004B2695">
            <w:pPr>
              <w:spacing w:before="120" w:after="120" w:line="240" w:lineRule="auto"/>
              <w:jc w:val="both"/>
              <w:rPr>
                <w:rFonts w:ascii="Times New Roman" w:hAnsi="Times New Roman"/>
                <w:sz w:val="24"/>
                <w:szCs w:val="24"/>
              </w:rPr>
            </w:pPr>
            <w:r>
              <w:rPr>
                <w:rFonts w:ascii="Times New Roman" w:hAnsi="Times New Roman"/>
                <w:sz w:val="24"/>
                <w:szCs w:val="24"/>
              </w:rPr>
              <w:t xml:space="preserve">Saskaņā ar ETL 28.panta piekto daļu un 30.panta trešo daļu izmaksas, kas radušās īstenojot saskaņā ar minētajiem pantiem sniegto atbalstu, sedz </w:t>
            </w:r>
            <w:r w:rsidRPr="00AF0AE5">
              <w:rPr>
                <w:rFonts w:ascii="Times New Roman" w:hAnsi="Times New Roman"/>
                <w:sz w:val="24"/>
                <w:szCs w:val="24"/>
              </w:rPr>
              <w:t>visi Latvijas elektroenerģijas galalietotāji proporcionāli savam elektroenerģijas patēriņam</w:t>
            </w:r>
            <w:r>
              <w:rPr>
                <w:rFonts w:ascii="Times New Roman" w:hAnsi="Times New Roman"/>
                <w:sz w:val="24"/>
                <w:szCs w:val="24"/>
              </w:rPr>
              <w:t>. Savukārt saskaņā ar ETL 28.</w:t>
            </w:r>
            <w:r>
              <w:rPr>
                <w:rFonts w:ascii="Times New Roman" w:hAnsi="Times New Roman"/>
                <w:sz w:val="24"/>
                <w:szCs w:val="24"/>
                <w:vertAlign w:val="superscript"/>
              </w:rPr>
              <w:t>1</w:t>
            </w:r>
            <w:r>
              <w:rPr>
                <w:rFonts w:ascii="Times New Roman" w:hAnsi="Times New Roman"/>
                <w:sz w:val="24"/>
                <w:szCs w:val="24"/>
              </w:rPr>
              <w:t xml:space="preserve"> panta ceturto daļu i</w:t>
            </w:r>
            <w:r w:rsidRPr="00AF0AE5">
              <w:rPr>
                <w:rFonts w:ascii="Times New Roman" w:hAnsi="Times New Roman"/>
                <w:sz w:val="24"/>
                <w:szCs w:val="24"/>
              </w:rPr>
              <w:t>zmaksas, ko veido maksājumi par uzstādīto elektrisko jaudu, sedz visi Latvijas elektroenerģijas galalietotāji, un tās tiek sadalītas pa sprieguma un patēriņa līmeņa grupām proporcionāli ieņēmumu fiksētajai daļai no sistēmas pakalpojumiem</w:t>
            </w:r>
            <w:r>
              <w:rPr>
                <w:rFonts w:ascii="Times New Roman" w:hAnsi="Times New Roman"/>
                <w:sz w:val="24"/>
                <w:szCs w:val="24"/>
              </w:rPr>
              <w:t xml:space="preserve">. Atbalsta izmaksu </w:t>
            </w:r>
            <w:r w:rsidRPr="00AF0AE5">
              <w:rPr>
                <w:rFonts w:ascii="Times New Roman" w:hAnsi="Times New Roman"/>
                <w:sz w:val="24"/>
                <w:szCs w:val="24"/>
              </w:rPr>
              <w:t xml:space="preserve">attiecināšanas aprēķina metodiku nosaka </w:t>
            </w:r>
            <w:r>
              <w:rPr>
                <w:rFonts w:ascii="Times New Roman" w:hAnsi="Times New Roman"/>
                <w:sz w:val="24"/>
                <w:szCs w:val="24"/>
              </w:rPr>
              <w:t>Sabiedrisko pakalpojumu regulēšanas komisija (turpmāk – SPRK).</w:t>
            </w:r>
          </w:p>
          <w:p w14:paraId="30FDB14D" w14:textId="77777777" w:rsidR="00E17546" w:rsidRPr="001A6AF7" w:rsidRDefault="00E17546" w:rsidP="004B2695">
            <w:pPr>
              <w:spacing w:before="120" w:after="120" w:line="240" w:lineRule="auto"/>
              <w:jc w:val="both"/>
              <w:rPr>
                <w:rFonts w:ascii="Times New Roman" w:hAnsi="Times New Roman"/>
                <w:color w:val="FF0000"/>
                <w:sz w:val="28"/>
                <w:szCs w:val="24"/>
              </w:rPr>
            </w:pPr>
            <w:r w:rsidRPr="001A6AF7">
              <w:rPr>
                <w:rFonts w:ascii="Times New Roman" w:hAnsi="Times New Roman" w:cs="Times New Roman"/>
                <w:color w:val="000000"/>
                <w:sz w:val="24"/>
              </w:rPr>
              <w:t xml:space="preserve">Atbilstoši </w:t>
            </w:r>
            <w:r w:rsidR="00AF0AE5">
              <w:rPr>
                <w:rFonts w:ascii="Times New Roman" w:hAnsi="Times New Roman" w:cs="Times New Roman"/>
                <w:color w:val="000000"/>
                <w:sz w:val="24"/>
              </w:rPr>
              <w:t>SPRK</w:t>
            </w:r>
            <w:r w:rsidRPr="001A6AF7">
              <w:rPr>
                <w:rFonts w:ascii="Times New Roman" w:hAnsi="Times New Roman" w:cs="Times New Roman"/>
                <w:color w:val="000000"/>
                <w:sz w:val="24"/>
              </w:rPr>
              <w:t xml:space="preserve"> izdotajai metodikai</w:t>
            </w:r>
            <w:r w:rsidR="008502B2">
              <w:rPr>
                <w:rStyle w:val="FootnoteReference"/>
                <w:rFonts w:ascii="Times New Roman" w:hAnsi="Times New Roman" w:cs="Times New Roman"/>
                <w:color w:val="000000"/>
                <w:sz w:val="24"/>
              </w:rPr>
              <w:footnoteReference w:id="4"/>
            </w:r>
            <w:r w:rsidRPr="001A6AF7">
              <w:rPr>
                <w:rFonts w:ascii="Times New Roman" w:hAnsi="Times New Roman" w:cs="Times New Roman"/>
                <w:color w:val="000000"/>
                <w:sz w:val="24"/>
              </w:rPr>
              <w:t>, AS “Enerģijas publiskais tirgotājs”</w:t>
            </w:r>
            <w:r w:rsidR="008502B2">
              <w:rPr>
                <w:rFonts w:ascii="Times New Roman" w:hAnsi="Times New Roman" w:cs="Times New Roman"/>
                <w:color w:val="000000"/>
                <w:sz w:val="24"/>
              </w:rPr>
              <w:t xml:space="preserve"> (turpmāk – publiskais tirgotājs)</w:t>
            </w:r>
            <w:r w:rsidRPr="001A6AF7">
              <w:rPr>
                <w:rFonts w:ascii="Times New Roman" w:hAnsi="Times New Roman" w:cs="Times New Roman"/>
                <w:color w:val="000000"/>
                <w:sz w:val="24"/>
              </w:rPr>
              <w:t xml:space="preserve"> OIK tekošajā gadā iekļauj iepriekšējā gada faktiskās izmaksas, kas rada situāciju, ka izmaksas publiskajam tirgotājam tiek kompensētas ar viena gada nobīdi.</w:t>
            </w:r>
            <w:r w:rsidR="007025E7">
              <w:rPr>
                <w:rFonts w:ascii="Times New Roman" w:hAnsi="Times New Roman" w:cs="Times New Roman"/>
                <w:color w:val="000000"/>
                <w:sz w:val="24"/>
              </w:rPr>
              <w:t xml:space="preserve"> </w:t>
            </w:r>
            <w:r w:rsidR="007025E7" w:rsidRPr="007025E7">
              <w:rPr>
                <w:rFonts w:ascii="Times New Roman" w:hAnsi="Times New Roman" w:cs="Times New Roman"/>
                <w:color w:val="000000"/>
                <w:sz w:val="24"/>
              </w:rPr>
              <w:t>OIK izmaksu cikls</w:t>
            </w:r>
            <w:r w:rsidR="007025E7">
              <w:rPr>
                <w:rFonts w:ascii="Times New Roman" w:hAnsi="Times New Roman" w:cs="Times New Roman"/>
                <w:color w:val="000000"/>
                <w:sz w:val="24"/>
              </w:rPr>
              <w:t xml:space="preserve"> 2018.gadā</w:t>
            </w:r>
            <w:r w:rsidR="007025E7" w:rsidRPr="007025E7">
              <w:rPr>
                <w:rFonts w:ascii="Times New Roman" w:hAnsi="Times New Roman" w:cs="Times New Roman"/>
                <w:color w:val="000000"/>
                <w:sz w:val="24"/>
              </w:rPr>
              <w:t xml:space="preserve"> ir attēlots 1.attēlā.</w:t>
            </w:r>
          </w:p>
          <w:p w14:paraId="0F87A43A" w14:textId="371C4F7D" w:rsidR="009C7C85" w:rsidRDefault="0034443C" w:rsidP="004B2695">
            <w:pPr>
              <w:spacing w:before="120" w:after="12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533986E0" wp14:editId="011C9656">
                  <wp:extent cx="4486260" cy="2164456"/>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3576" cy="2167986"/>
                          </a:xfrm>
                          <a:prstGeom prst="rect">
                            <a:avLst/>
                          </a:prstGeom>
                          <a:noFill/>
                        </pic:spPr>
                      </pic:pic>
                    </a:graphicData>
                  </a:graphic>
                </wp:inline>
              </w:drawing>
            </w:r>
          </w:p>
          <w:p w14:paraId="61B402F6" w14:textId="77777777" w:rsidR="007025E7" w:rsidRPr="007025E7" w:rsidRDefault="007025E7" w:rsidP="004B2695">
            <w:pPr>
              <w:spacing w:before="120" w:after="120" w:line="240" w:lineRule="auto"/>
              <w:jc w:val="center"/>
              <w:rPr>
                <w:rFonts w:ascii="Times New Roman" w:hAnsi="Times New Roman"/>
                <w:szCs w:val="24"/>
              </w:rPr>
            </w:pPr>
            <w:r w:rsidRPr="007025E7">
              <w:rPr>
                <w:rFonts w:ascii="Times New Roman" w:hAnsi="Times New Roman"/>
                <w:i/>
                <w:szCs w:val="24"/>
              </w:rPr>
              <w:t>1. attēls.</w:t>
            </w:r>
            <w:r>
              <w:rPr>
                <w:rFonts w:ascii="Times New Roman" w:hAnsi="Times New Roman"/>
                <w:szCs w:val="24"/>
              </w:rPr>
              <w:t xml:space="preserve"> </w:t>
            </w:r>
            <w:r w:rsidRPr="007025E7">
              <w:rPr>
                <w:rFonts w:ascii="Times New Roman" w:hAnsi="Times New Roman"/>
                <w:b/>
                <w:szCs w:val="24"/>
              </w:rPr>
              <w:t>OIK izmaksu cikls 2018.gadā.</w:t>
            </w:r>
          </w:p>
          <w:p w14:paraId="51E2728E" w14:textId="77777777" w:rsidR="00336446" w:rsidRDefault="00336446" w:rsidP="004B2695">
            <w:pPr>
              <w:spacing w:before="120" w:after="120" w:line="240" w:lineRule="auto"/>
              <w:jc w:val="both"/>
              <w:rPr>
                <w:rFonts w:ascii="Times New Roman" w:hAnsi="Times New Roman"/>
                <w:b/>
                <w:sz w:val="24"/>
                <w:szCs w:val="24"/>
              </w:rPr>
            </w:pPr>
          </w:p>
          <w:p w14:paraId="77518D98" w14:textId="27466A63" w:rsidR="007025E7" w:rsidRDefault="007025E7" w:rsidP="004B2695">
            <w:pPr>
              <w:spacing w:before="120" w:after="120" w:line="240" w:lineRule="auto"/>
              <w:jc w:val="both"/>
              <w:rPr>
                <w:rFonts w:ascii="Times New Roman" w:hAnsi="Times New Roman"/>
                <w:sz w:val="24"/>
                <w:szCs w:val="24"/>
              </w:rPr>
            </w:pPr>
            <w:r w:rsidRPr="00336446">
              <w:rPr>
                <w:rFonts w:ascii="Times New Roman" w:hAnsi="Times New Roman"/>
                <w:sz w:val="24"/>
                <w:szCs w:val="24"/>
              </w:rPr>
              <w:t>OI tiesības atjaunojamās enerģijas ražotājiem saskaņā ar MK noteikumiem Nr.262 netiek piešķirtas kopš 2011.gada vidus, savukārt komersantiem, kas elektroenerģiju ražo koģenerācijā, tostarp no atjaunojamiem energoresursiem, saskaņā ar MK noteikumiem Nr.221 - kopš 2012. gada beigām.</w:t>
            </w:r>
          </w:p>
          <w:p w14:paraId="6313BA35" w14:textId="1EFCA8D5" w:rsidR="00D153C3" w:rsidRDefault="00D153C3" w:rsidP="00AE182C">
            <w:pPr>
              <w:spacing w:before="120" w:after="120" w:line="240" w:lineRule="auto"/>
              <w:jc w:val="both"/>
              <w:rPr>
                <w:rFonts w:ascii="Times New Roman" w:hAnsi="Times New Roman"/>
                <w:b/>
                <w:i/>
                <w:sz w:val="24"/>
                <w:szCs w:val="24"/>
              </w:rPr>
            </w:pPr>
          </w:p>
          <w:p w14:paraId="5DE5B098" w14:textId="77777777" w:rsidR="005611B6" w:rsidRDefault="005611B6" w:rsidP="00AE182C">
            <w:pPr>
              <w:spacing w:before="120" w:after="120" w:line="240" w:lineRule="auto"/>
              <w:jc w:val="both"/>
              <w:rPr>
                <w:rFonts w:ascii="Times New Roman" w:hAnsi="Times New Roman"/>
                <w:b/>
                <w:i/>
                <w:sz w:val="24"/>
                <w:szCs w:val="24"/>
              </w:rPr>
            </w:pPr>
          </w:p>
          <w:p w14:paraId="77274FDE" w14:textId="755F462A" w:rsidR="00AE182C" w:rsidRPr="00A66F41" w:rsidRDefault="00AE182C" w:rsidP="00AE182C">
            <w:pPr>
              <w:spacing w:before="120" w:after="120" w:line="240" w:lineRule="auto"/>
              <w:jc w:val="both"/>
              <w:rPr>
                <w:rFonts w:ascii="Times New Roman" w:hAnsi="Times New Roman"/>
                <w:b/>
                <w:i/>
                <w:sz w:val="24"/>
                <w:szCs w:val="24"/>
              </w:rPr>
            </w:pPr>
            <w:r w:rsidRPr="00A66F41">
              <w:rPr>
                <w:rFonts w:ascii="Times New Roman" w:hAnsi="Times New Roman"/>
                <w:b/>
                <w:i/>
                <w:sz w:val="24"/>
                <w:szCs w:val="24"/>
              </w:rPr>
              <w:lastRenderedPageBreak/>
              <w:t>Atjaunojamās enerģijas mērķi</w:t>
            </w:r>
          </w:p>
          <w:p w14:paraId="3A300124" w14:textId="77777777" w:rsidR="00AE182C" w:rsidRPr="00085AA9" w:rsidRDefault="00AE182C" w:rsidP="00AE182C">
            <w:pPr>
              <w:pStyle w:val="Default"/>
              <w:spacing w:before="120" w:after="120"/>
              <w:jc w:val="both"/>
            </w:pPr>
            <w:r w:rsidRPr="00085AA9">
              <w:t>2006.gadā Eiropas Komisija, publicējot Zaļo grāmatu „Eiropas stratēģija ilgtspējīgai, konkurētspējīgai un drošai enerģijai”</w:t>
            </w:r>
            <w:r w:rsidRPr="00085AA9">
              <w:rPr>
                <w:rStyle w:val="FootnoteReference"/>
              </w:rPr>
              <w:footnoteReference w:id="5"/>
            </w:r>
            <w:r w:rsidRPr="00085AA9">
              <w:t xml:space="preserve">, izvērsa diskusiju par kopējas Eiropas enerģētikas politikas nepieciešamību. </w:t>
            </w:r>
          </w:p>
          <w:p w14:paraId="5EA8A7E7" w14:textId="77777777" w:rsidR="00AE182C" w:rsidRPr="00085AA9" w:rsidRDefault="00AE182C" w:rsidP="00AE182C">
            <w:pPr>
              <w:pStyle w:val="Default"/>
              <w:spacing w:before="120" w:after="120"/>
              <w:jc w:val="both"/>
            </w:pPr>
            <w:r w:rsidRPr="00085AA9">
              <w:t xml:space="preserve">2007.gada martā Eiropadome atbalstīja </w:t>
            </w:r>
            <w:r w:rsidRPr="00085AA9">
              <w:rPr>
                <w:b/>
              </w:rPr>
              <w:t>mērķus</w:t>
            </w:r>
            <w:r>
              <w:rPr>
                <w:b/>
              </w:rPr>
              <w:t xml:space="preserve"> </w:t>
            </w:r>
            <w:r w:rsidRPr="00085AA9">
              <w:rPr>
                <w:b/>
              </w:rPr>
              <w:t>– līdz 2020.gadam Eiropas Savienībai 20 % no ES dalībvalstu (DV) kopējā enerģijas gala patēriņa</w:t>
            </w:r>
            <w:r w:rsidRPr="00085AA9">
              <w:t xml:space="preserve"> un 10 % no transporta sektor</w:t>
            </w:r>
            <w:r>
              <w:t>a gala patēriņa</w:t>
            </w:r>
            <w:r w:rsidRPr="00085AA9">
              <w:t xml:space="preserve"> </w:t>
            </w:r>
            <w:r w:rsidRPr="00085AA9">
              <w:rPr>
                <w:b/>
              </w:rPr>
              <w:t xml:space="preserve">jānodrošina </w:t>
            </w:r>
            <w:r>
              <w:rPr>
                <w:b/>
              </w:rPr>
              <w:t xml:space="preserve">ar </w:t>
            </w:r>
            <w:r w:rsidRPr="00085AA9">
              <w:rPr>
                <w:b/>
              </w:rPr>
              <w:t xml:space="preserve">no atjaunojamiem </w:t>
            </w:r>
            <w:r>
              <w:rPr>
                <w:b/>
              </w:rPr>
              <w:t>energoresursiem iegūtu enerģiju</w:t>
            </w:r>
            <w:r w:rsidRPr="00085AA9">
              <w:rPr>
                <w:b/>
              </w:rPr>
              <w:t>, nosakot tiem obligātu raksturu</w:t>
            </w:r>
            <w:r w:rsidRPr="00085AA9">
              <w:t xml:space="preserve">, kas to izpildi padara saistošu visām DV. </w:t>
            </w:r>
          </w:p>
          <w:p w14:paraId="69C9BAA4" w14:textId="67DD9E73" w:rsidR="007E01E7" w:rsidRPr="00760D1D" w:rsidRDefault="00AE182C" w:rsidP="007E01E7">
            <w:pPr>
              <w:pStyle w:val="paragraph"/>
              <w:spacing w:before="120" w:after="120"/>
              <w:jc w:val="both"/>
              <w:textAlignment w:val="baseline"/>
              <w:rPr>
                <w:highlight w:val="yellow"/>
              </w:rPr>
            </w:pPr>
            <w:r w:rsidRPr="00085AA9">
              <w:t xml:space="preserve">2009.gada Klimata un enerģijas tiesību aktu </w:t>
            </w:r>
            <w:proofErr w:type="spellStart"/>
            <w:r w:rsidRPr="00085AA9">
              <w:t>pakotnē</w:t>
            </w:r>
            <w:proofErr w:type="spellEnd"/>
            <w:r w:rsidRPr="00085AA9">
              <w:t xml:space="preserve"> ietvertā Direktīva 2009/28/EK</w:t>
            </w:r>
            <w:r>
              <w:rPr>
                <w:rStyle w:val="FootnoteReference"/>
              </w:rPr>
              <w:footnoteReference w:id="6"/>
            </w:r>
            <w:r w:rsidRPr="00085AA9">
              <w:t xml:space="preserve"> tika izstrādāta nolūkā radīt ES </w:t>
            </w:r>
            <w:r>
              <w:t>dalībvalstīs</w:t>
            </w:r>
            <w:r w:rsidRPr="00085AA9">
              <w:t xml:space="preserve"> kopēju ietvaru </w:t>
            </w:r>
            <w:r>
              <w:t xml:space="preserve">no </w:t>
            </w:r>
            <w:r w:rsidRPr="00085AA9">
              <w:t>atjaunojam</w:t>
            </w:r>
            <w:r>
              <w:t>iem</w:t>
            </w:r>
            <w:r w:rsidRPr="00085AA9">
              <w:t xml:space="preserve"> energoresurs</w:t>
            </w:r>
            <w:r>
              <w:t>iem iegūtas enerģijas</w:t>
            </w:r>
            <w:r w:rsidRPr="00085AA9">
              <w:t xml:space="preserve"> izmantošanai</w:t>
            </w:r>
            <w:r>
              <w:t xml:space="preserve">. </w:t>
            </w:r>
            <w:r w:rsidRPr="00085AA9">
              <w:t xml:space="preserve">Ņemot vērā, ka </w:t>
            </w:r>
            <w:r>
              <w:t xml:space="preserve">katrā </w:t>
            </w:r>
            <w:r w:rsidRPr="00085AA9">
              <w:t xml:space="preserve">ES </w:t>
            </w:r>
            <w:r>
              <w:t xml:space="preserve">dalībvalstī ir atšķirīga </w:t>
            </w:r>
            <w:r w:rsidRPr="00085AA9">
              <w:t xml:space="preserve"> </w:t>
            </w:r>
            <w:r>
              <w:t>energoresursu patēriņa</w:t>
            </w:r>
            <w:r w:rsidRPr="00085AA9">
              <w:t xml:space="preserve"> struktūra, Direktīva 2009/28/EK kopējo ES </w:t>
            </w:r>
            <w:r>
              <w:t xml:space="preserve">atjaunojamo energoresursu </w:t>
            </w:r>
            <w:proofErr w:type="spellStart"/>
            <w:r>
              <w:t>galapatēriņa</w:t>
            </w:r>
            <w:proofErr w:type="spellEnd"/>
            <w:r>
              <w:t xml:space="preserve"> </w:t>
            </w:r>
            <w:r w:rsidRPr="00085AA9">
              <w:t>mērķi</w:t>
            </w:r>
            <w:r>
              <w:t xml:space="preserve"> (20%) </w:t>
            </w:r>
            <w:r w:rsidRPr="00A94AAE">
              <w:t>pārveido</w:t>
            </w:r>
            <w:r>
              <w:t>ja</w:t>
            </w:r>
            <w:r w:rsidRPr="00A94AAE">
              <w:t xml:space="preserve"> par individuāliem mērķiem katrai dalībvalstij, ievērojo</w:t>
            </w:r>
            <w:r>
              <w:t>t, ka</w:t>
            </w:r>
            <w:r w:rsidRPr="00E64103">
              <w:t xml:space="preserve"> kopējais palielinājuma apjoms, kas noteikts atjaunojamo energoresursu izmantošanai būtu jāsadala starp dalībvalstīm, pamatojoties uz vienlīdzīgu tādu īpatsvara palielinājumu katrā dalībvalstī, kas novērtēts atbilstīgi to </w:t>
            </w:r>
            <w:r w:rsidR="00591DB8">
              <w:t xml:space="preserve">iekšzemes kopproduktam (turpmāk – </w:t>
            </w:r>
            <w:r w:rsidRPr="00E64103">
              <w:t>IKP</w:t>
            </w:r>
            <w:r w:rsidR="00591DB8">
              <w:t>)</w:t>
            </w:r>
            <w:r w:rsidRPr="00E64103">
              <w:t xml:space="preserve">, atspoguļo valstu sākotnējos apstākļus, un aprēķināts, ņemot vērā </w:t>
            </w:r>
            <w:r>
              <w:t>dalībvalstu energoresursu patēriņa struktūru</w:t>
            </w:r>
            <w:r w:rsidRPr="00E64103">
              <w:t xml:space="preserve"> un iepriekš veiktos pasākumus attiecībā uz tādas enerģijas izmantošanu, kas iegūta no atjaunojamajiem energoresursiem.</w:t>
            </w:r>
            <w:r w:rsidRPr="00085AA9">
              <w:t xml:space="preserve"> Katras valsts individuāl</w:t>
            </w:r>
            <w:r>
              <w:t>ais</w:t>
            </w:r>
            <w:r w:rsidRPr="00085AA9">
              <w:t xml:space="preserve"> mērķ</w:t>
            </w:r>
            <w:r>
              <w:t>is</w:t>
            </w:r>
            <w:r w:rsidRPr="00085AA9">
              <w:t xml:space="preserve"> </w:t>
            </w:r>
            <w:r>
              <w:t>ir</w:t>
            </w:r>
            <w:r w:rsidRPr="00085AA9">
              <w:t xml:space="preserve"> izteikts </w:t>
            </w:r>
            <w:r>
              <w:t>procentos</w:t>
            </w:r>
            <w:r w:rsidRPr="00085AA9">
              <w:t xml:space="preserve"> no</w:t>
            </w:r>
            <w:r>
              <w:t xml:space="preserve"> kopējā</w:t>
            </w:r>
            <w:r w:rsidRPr="00085AA9">
              <w:t xml:space="preserve"> enerģijas gala patēriņa </w:t>
            </w:r>
            <w:r w:rsidRPr="00BD28C5">
              <w:t xml:space="preserve">2020.gadā. </w:t>
            </w:r>
            <w:r>
              <w:t xml:space="preserve">Ņemot vērā minēto, </w:t>
            </w:r>
            <w:r w:rsidRPr="00085AA9">
              <w:t xml:space="preserve">Latvijai saskaņā ar </w:t>
            </w:r>
            <w:r w:rsidRPr="00453CC4">
              <w:rPr>
                <w:bCs/>
              </w:rPr>
              <w:t>Direktīvas 2009/28/EK 3.panta 1.punktu un 1.pielikuma A daļu</w:t>
            </w:r>
            <w:r>
              <w:rPr>
                <w:b/>
                <w:bCs/>
              </w:rPr>
              <w:t xml:space="preserve"> </w:t>
            </w:r>
            <w:r w:rsidRPr="00085AA9">
              <w:t xml:space="preserve">ir </w:t>
            </w:r>
            <w:r w:rsidRPr="00453CC4">
              <w:rPr>
                <w:b/>
              </w:rPr>
              <w:t>noteikts juridiski saistošs mērķis, kas paredz, ka no atjaunojamiem energoresursiem iegūtas enerģijas īpatsvaram kopējā enerģijas gala patēriņā jābūt vismaz 40% līdz 2020.gadam.</w:t>
            </w:r>
            <w:r w:rsidR="006B7090">
              <w:rPr>
                <w:b/>
              </w:rPr>
              <w:t xml:space="preserve"> </w:t>
            </w:r>
            <w:r w:rsidR="00584498" w:rsidRPr="007E01E7">
              <w:t>Ņemot vērā, ka līdz Direktīvas 2009/28/EK pieņemšanai Latvija jau bija sasniegusi augstu atjaunojamās enerģijas īpatsvaru (</w:t>
            </w:r>
            <w:r w:rsidR="002439E7" w:rsidRPr="007E01E7">
              <w:t xml:space="preserve">par izejas punktu tika izmantots 2005.gadam </w:t>
            </w:r>
            <w:r w:rsidR="007E01E7" w:rsidRPr="007E01E7">
              <w:t xml:space="preserve">tobrīd </w:t>
            </w:r>
            <w:r w:rsidR="002439E7" w:rsidRPr="007E01E7">
              <w:t>aprēķinātais atjaunojamās enerģijas īpatsvars 32,6% apmērā</w:t>
            </w:r>
            <w:r w:rsidR="00584498" w:rsidRPr="007E01E7">
              <w:t>)</w:t>
            </w:r>
            <w:r w:rsidR="002439E7" w:rsidRPr="007E01E7">
              <w:t>,</w:t>
            </w:r>
            <w:r w:rsidR="002439E7" w:rsidRPr="007E01E7">
              <w:rPr>
                <w:b/>
              </w:rPr>
              <w:t xml:space="preserve"> sākotnēji noteiktais atjaunojamās enerģijas īpatsvars</w:t>
            </w:r>
            <w:r w:rsidR="007E01E7" w:rsidRPr="007E01E7">
              <w:rPr>
                <w:b/>
              </w:rPr>
              <w:t xml:space="preserve"> Latvijai</w:t>
            </w:r>
            <w:r w:rsidR="002439E7" w:rsidRPr="007E01E7">
              <w:rPr>
                <w:b/>
              </w:rPr>
              <w:t xml:space="preserve"> bija 42%, kas diskusiju gaitā ar Eiropas Komisiju par Direktīvu 2009/28/EK tika samazināts par 2 procentpunktiem. </w:t>
            </w:r>
            <w:r w:rsidR="007E01E7" w:rsidRPr="00FF17B0">
              <w:rPr>
                <w:b/>
              </w:rPr>
              <w:t>Tādejādi Latvijai izdevās panākt mazāko iespējamo juridiski saistošo mērķi 2020.gadam, nekā bija iepriekš plānots.</w:t>
            </w:r>
            <w:r w:rsidR="007E01E7" w:rsidRPr="007E01E7">
              <w:rPr>
                <w:b/>
              </w:rPr>
              <w:t xml:space="preserve"> </w:t>
            </w:r>
            <w:r w:rsidR="007E01E7" w:rsidRPr="00760D1D">
              <w:t xml:space="preserve">Vienlaikus jānorāda, ka Latvijai tādējādi tika noteikts sestais zemākais procentpunktu pieaugums starp visām ES dalībvalstīm un zemāks procentpunktu pieaugums kā valstīm ar tobrīd līdzīgu </w:t>
            </w:r>
            <w:r w:rsidR="00760D1D">
              <w:t>atjaunojamās enerģijas</w:t>
            </w:r>
            <w:r w:rsidR="007E01E7" w:rsidRPr="00760D1D">
              <w:t xml:space="preserve"> īpatsvaru – Somijai un Zviedrijai. Turklāt procentuālais </w:t>
            </w:r>
            <w:r w:rsidR="00760D1D">
              <w:t>atjaunojamās enerģijas</w:t>
            </w:r>
            <w:r w:rsidR="007E01E7" w:rsidRPr="00760D1D">
              <w:t xml:space="preserve"> īpatsvara mērķa pieaugums (22,7%) Latvijai bija zemākais starp ES dalībvalstīm.</w:t>
            </w:r>
          </w:p>
          <w:p w14:paraId="20B20B13" w14:textId="1104374A" w:rsidR="00AE182C" w:rsidRPr="00336446" w:rsidRDefault="00AE182C" w:rsidP="00AE182C">
            <w:pPr>
              <w:pStyle w:val="paragraph"/>
              <w:spacing w:before="120" w:beforeAutospacing="0" w:after="120" w:afterAutospacing="0"/>
              <w:jc w:val="both"/>
              <w:textAlignment w:val="baseline"/>
            </w:pPr>
            <w:r w:rsidRPr="002923CF">
              <w:t xml:space="preserve">Savukārt transporta sektorā </w:t>
            </w:r>
            <w:r w:rsidRPr="00085AA9">
              <w:t>saskaņā ar Direktīvas 2009/28/EK 3.panta 4.punktu</w:t>
            </w:r>
            <w:r>
              <w:t xml:space="preserve"> visām ES dalībvalstīm</w:t>
            </w:r>
            <w:r w:rsidRPr="00085AA9">
              <w:t xml:space="preserve"> </w:t>
            </w:r>
            <w:r w:rsidRPr="007C4EE4">
              <w:t xml:space="preserve">2020.gadā </w:t>
            </w:r>
            <w:r w:rsidRPr="00085AA9">
              <w:t xml:space="preserve">ir jānodrošina, ka no </w:t>
            </w:r>
            <w:r w:rsidR="00BF6EE0">
              <w:lastRenderedPageBreak/>
              <w:t>atjaunojamiem energoresursiem</w:t>
            </w:r>
            <w:r w:rsidRPr="00085AA9">
              <w:t xml:space="preserve"> saražotas enerģijas īpatsvars ir </w:t>
            </w:r>
            <w:r w:rsidRPr="00085AA9">
              <w:rPr>
                <w:b/>
                <w:bCs/>
              </w:rPr>
              <w:t xml:space="preserve">vismaz 10% </w:t>
            </w:r>
            <w:r w:rsidRPr="00085AA9">
              <w:t xml:space="preserve">no enerģijas </w:t>
            </w:r>
            <w:proofErr w:type="spellStart"/>
            <w:r w:rsidRPr="00085AA9">
              <w:t>galapatēriņa</w:t>
            </w:r>
            <w:proofErr w:type="spellEnd"/>
            <w:r>
              <w:t>.</w:t>
            </w:r>
          </w:p>
          <w:p w14:paraId="7153EC84" w14:textId="77777777" w:rsidR="00164E9D" w:rsidRPr="00085AA9" w:rsidRDefault="00164E9D" w:rsidP="004B2695">
            <w:pPr>
              <w:pStyle w:val="paragraph"/>
              <w:spacing w:before="120" w:beforeAutospacing="0" w:after="120" w:afterAutospacing="0"/>
              <w:jc w:val="both"/>
              <w:textAlignment w:val="baseline"/>
              <w:rPr>
                <w:rFonts w:ascii="Segoe UI" w:hAnsi="Segoe UI" w:cs="Segoe UI"/>
              </w:rPr>
            </w:pPr>
            <w:r w:rsidRPr="00AD39CE">
              <w:rPr>
                <w:b/>
              </w:rPr>
              <w:t>Direktīvas 2009/28/EK mērķi ir ietverti Latvijas politikas plānošanas dokumentos</w:t>
            </w:r>
            <w:r w:rsidRPr="00085AA9">
              <w:t>, tai skaitā:</w:t>
            </w:r>
          </w:p>
          <w:p w14:paraId="3BA583C8" w14:textId="77777777" w:rsidR="00164E9D" w:rsidRPr="00085AA9" w:rsidRDefault="00164E9D" w:rsidP="004B2695">
            <w:pPr>
              <w:pStyle w:val="Default"/>
              <w:spacing w:before="120" w:after="120"/>
              <w:jc w:val="both"/>
            </w:pPr>
            <w:r w:rsidRPr="00085AA9">
              <w:t xml:space="preserve">- </w:t>
            </w:r>
            <w:r w:rsidRPr="00085AA9">
              <w:rPr>
                <w:i/>
                <w:iCs/>
              </w:rPr>
              <w:t>Latvijas nacionālā reformu programmā "ES 2020" stratēģijas īstenošanai</w:t>
            </w:r>
            <w:r w:rsidRPr="003E539E">
              <w:rPr>
                <w:vertAlign w:val="superscript"/>
              </w:rPr>
              <w:t>5</w:t>
            </w:r>
            <w:r w:rsidRPr="00085AA9">
              <w:t xml:space="preserve"> (turpmāk – Latvijas NRP). Latvijas NRP ir definēti Latvijas kvantitatīvie mērķi 2020. gadam un galvenie pasākumi to sasniegšanai. </w:t>
            </w:r>
          </w:p>
          <w:p w14:paraId="57BD6500" w14:textId="718DE5FF" w:rsidR="00164E9D" w:rsidRPr="00085AA9" w:rsidRDefault="00164E9D" w:rsidP="004B2695">
            <w:pPr>
              <w:pStyle w:val="Default"/>
              <w:spacing w:before="120" w:after="120"/>
              <w:jc w:val="both"/>
            </w:pPr>
            <w:r w:rsidRPr="00085AA9">
              <w:t>- 2012.gada 20.decembrī Saeima apstiprināja hierarhiski augstāko nacionāla līmeņa vidēja termiņa plānošanas dokumentu "</w:t>
            </w:r>
            <w:r w:rsidRPr="00085AA9">
              <w:rPr>
                <w:i/>
                <w:iCs/>
              </w:rPr>
              <w:t>Latvijas Nacionālais attīstības plāns 2014.-2020. gadam</w:t>
            </w:r>
            <w:r w:rsidRPr="00085AA9">
              <w:t>" (turpmāk - NAP2020), kas ir cieši saistīts ar "</w:t>
            </w:r>
            <w:r w:rsidRPr="00085AA9">
              <w:rPr>
                <w:i/>
                <w:iCs/>
              </w:rPr>
              <w:t>Latvijas Ilgtspējīgas attīstības stratēģiju līdz 2030. gadam</w:t>
            </w:r>
            <w:r w:rsidRPr="00085AA9">
              <w:t xml:space="preserve">" un Latvijas NRP. NAP2020 mērķa rādītājs 196.punktā noteikts no atjaunojamiem energoresursiem saražotās enerģijas īpatsvars kopējā bruto enerģijas </w:t>
            </w:r>
            <w:proofErr w:type="spellStart"/>
            <w:r w:rsidRPr="00085AA9">
              <w:t>galapatēriņā</w:t>
            </w:r>
            <w:proofErr w:type="spellEnd"/>
            <w:r w:rsidRPr="00085AA9">
              <w:t xml:space="preserve"> vismaz 40% 2020. gadā.</w:t>
            </w:r>
            <w:r w:rsidRPr="003E539E">
              <w:rPr>
                <w:vertAlign w:val="superscript"/>
              </w:rPr>
              <w:t xml:space="preserve">6 </w:t>
            </w:r>
          </w:p>
          <w:p w14:paraId="17D88692" w14:textId="705A385B" w:rsidR="00164E9D" w:rsidRPr="00085AA9" w:rsidRDefault="00164E9D" w:rsidP="004B2695">
            <w:pPr>
              <w:pStyle w:val="Default"/>
              <w:spacing w:before="120" w:after="120"/>
              <w:jc w:val="both"/>
            </w:pPr>
            <w:r w:rsidRPr="00085AA9">
              <w:t>- Ministru kabineta 2016.gada 9.februāra rīkojumu Nr.129 apstiprināts enerģētikas politikas plānošanas dokuments “</w:t>
            </w:r>
            <w:r w:rsidRPr="00085AA9">
              <w:rPr>
                <w:i/>
                <w:iCs/>
              </w:rPr>
              <w:t>Enerģētikas attīstības pamatnostādnes 2016-2020. gadam</w:t>
            </w:r>
            <w:r w:rsidRPr="00085AA9">
              <w:t>”</w:t>
            </w:r>
            <w:r w:rsidR="004F5081">
              <w:rPr>
                <w:rStyle w:val="FootnoteReference"/>
              </w:rPr>
              <w:footnoteReference w:id="7"/>
            </w:r>
            <w:r w:rsidRPr="00085AA9">
              <w:t xml:space="preserve">. </w:t>
            </w:r>
          </w:p>
          <w:p w14:paraId="68AF5326" w14:textId="55B6A406" w:rsidR="007025E7" w:rsidRDefault="00164E9D" w:rsidP="004B2695">
            <w:pPr>
              <w:pStyle w:val="Default"/>
              <w:spacing w:before="120" w:after="120"/>
              <w:jc w:val="both"/>
              <w:rPr>
                <w:b/>
              </w:rPr>
            </w:pPr>
            <w:r w:rsidRPr="00085AA9">
              <w:t>- Latvija, tāpat kā citas ES dalībvalstis 2010.gadā izstrādājušas Rīcības plānu atjaunojamās enerģijas izmantošanas veicināšanai (turpmāk – Rīcības plāns), kas apkopo līdz 2020.gadam nacionāli īstenojamus un plānotus pasākumus atjaunojamās enerģijas veicināšanai un mērķa sasniegšanai. Rīcības plāns tika izstrādāts atbilstoši Eiropas Komisijas 2009.gada 30.jūnija lēmumam Nr.</w:t>
            </w:r>
            <w:r w:rsidR="00286BCA">
              <w:t xml:space="preserve"> </w:t>
            </w:r>
            <w:r w:rsidRPr="00085AA9">
              <w:t xml:space="preserve">L 182/33, ar ko izveido paraugu valsts rīcības plāniem atjaunojamās enerģijas jomā atbilstoši Direktīvai 2009/28/EK, un izskatīts Ministru kabineta 2010.gada 12.oktobra sēdē (prot. Nr. 52, 44.§), sekojoši iesniegts Eiropas Komisijā. Tāpat Latvija ir ieviesusi Direktīvas 2009/28/EK normas nacionālajos tiesību aktos. Kā </w:t>
            </w:r>
            <w:r w:rsidRPr="00085AA9">
              <w:rPr>
                <w:b/>
              </w:rPr>
              <w:t xml:space="preserve">viens no galvenajiem instrumentiem mērķa sasniegšanai Rīcības plānā tika minēts atbalsta pasākums – </w:t>
            </w:r>
            <w:r w:rsidRPr="00085AA9">
              <w:rPr>
                <w:b/>
                <w:i/>
                <w:iCs/>
              </w:rPr>
              <w:t>elektroenerģijas obligātais iepirkums elektroenerģijas ražošanas iekārtās, kurās elektroenerģijas ražošanai izmanto atjaunojamos energoresursus</w:t>
            </w:r>
            <w:r w:rsidRPr="00085AA9">
              <w:rPr>
                <w:b/>
              </w:rPr>
              <w:t>.</w:t>
            </w:r>
          </w:p>
          <w:p w14:paraId="3892B70F" w14:textId="5172460D" w:rsidR="00A355E0" w:rsidRPr="00AD39CE" w:rsidRDefault="00E601CE" w:rsidP="004B2695">
            <w:pPr>
              <w:pStyle w:val="Default"/>
              <w:spacing w:before="120" w:after="120"/>
              <w:jc w:val="both"/>
              <w:rPr>
                <w:b/>
              </w:rPr>
            </w:pPr>
            <w:r>
              <w:t xml:space="preserve">Saskaņā ar </w:t>
            </w:r>
            <w:r w:rsidR="003646DD">
              <w:t>Direktīvas</w:t>
            </w:r>
            <w:r>
              <w:t xml:space="preserve"> 2018/2001</w:t>
            </w:r>
            <w:r w:rsidR="00032B2C">
              <w:rPr>
                <w:rStyle w:val="FootnoteReference"/>
              </w:rPr>
              <w:footnoteReference w:id="8"/>
            </w:r>
            <w:r w:rsidR="00032B2C">
              <w:t xml:space="preserve"> </w:t>
            </w:r>
            <w:r w:rsidR="003646DD">
              <w:t xml:space="preserve">3.panta 1.punktu ir noteikts, ka no atjaunojamiem energoresursiem iegūtas enerģijas īpatsvaram </w:t>
            </w:r>
            <w:r w:rsidR="003646DD" w:rsidRPr="00AD39CE">
              <w:rPr>
                <w:b/>
              </w:rPr>
              <w:t xml:space="preserve">ES enerģijas bruto </w:t>
            </w:r>
            <w:proofErr w:type="spellStart"/>
            <w:r w:rsidR="003646DD" w:rsidRPr="00AD39CE">
              <w:rPr>
                <w:b/>
              </w:rPr>
              <w:t>galapatēriņā</w:t>
            </w:r>
            <w:proofErr w:type="spellEnd"/>
            <w:r w:rsidR="003646DD" w:rsidRPr="00AD39CE">
              <w:rPr>
                <w:b/>
              </w:rPr>
              <w:t xml:space="preserve"> līdz 2030.gadam ir jāsasniedz vismaz 32% un ES dalībvalstīm, tai skaitā Latvijai ir jāsniedz ieguldījums šī mērķa sasniegšanai. </w:t>
            </w:r>
          </w:p>
          <w:p w14:paraId="75769E49" w14:textId="4DD57E5C" w:rsidR="00E601CE" w:rsidRDefault="00A355E0" w:rsidP="004B2695">
            <w:pPr>
              <w:pStyle w:val="Default"/>
              <w:spacing w:before="120" w:after="120"/>
              <w:jc w:val="both"/>
            </w:pPr>
            <w:r>
              <w:t>Šādu pienākumu</w:t>
            </w:r>
            <w:r w:rsidR="003646DD">
              <w:t xml:space="preserve"> nosaka gan Direktīva 2018/2001, gan R</w:t>
            </w:r>
            <w:r w:rsidR="00E601CE">
              <w:t>egula 2018/1999 par enerģētikas savienības un rīcības klimata politikas jomā pārvaldību</w:t>
            </w:r>
            <w:r w:rsidR="00032B2C">
              <w:rPr>
                <w:rStyle w:val="FootnoteReference"/>
              </w:rPr>
              <w:footnoteReference w:id="9"/>
            </w:r>
            <w:r w:rsidR="003646DD">
              <w:t>.</w:t>
            </w:r>
            <w:r w:rsidR="00CE4EF0">
              <w:t xml:space="preserve"> Turklāt saskaņā ar minētajiem ES tiesību aktiem</w:t>
            </w:r>
            <w:r w:rsidR="00600E3C">
              <w:t xml:space="preserve"> </w:t>
            </w:r>
            <w:r w:rsidR="00600E3C" w:rsidRPr="00032B2C">
              <w:rPr>
                <w:b/>
              </w:rPr>
              <w:t>Latvijai tāpat kā citām</w:t>
            </w:r>
            <w:r w:rsidR="00CE4EF0" w:rsidRPr="00032B2C">
              <w:rPr>
                <w:b/>
              </w:rPr>
              <w:t xml:space="preserve"> </w:t>
            </w:r>
            <w:r w:rsidR="00600E3C" w:rsidRPr="00032B2C">
              <w:rPr>
                <w:b/>
              </w:rPr>
              <w:t xml:space="preserve">ES dalībvalstīm ir pienākums nodrošināt, ka pēc 2020.gada </w:t>
            </w:r>
            <w:r w:rsidR="00745D7A" w:rsidRPr="00032B2C">
              <w:rPr>
                <w:b/>
              </w:rPr>
              <w:t xml:space="preserve">no </w:t>
            </w:r>
            <w:r w:rsidR="00BF6EE0">
              <w:rPr>
                <w:b/>
              </w:rPr>
              <w:t>atjaunojamiem energoresursiem</w:t>
            </w:r>
            <w:r w:rsidR="00745D7A" w:rsidRPr="00032B2C">
              <w:rPr>
                <w:b/>
              </w:rPr>
              <w:t xml:space="preserve"> saražotas enerģijas īpatsvars </w:t>
            </w:r>
            <w:r w:rsidR="007B08EA" w:rsidRPr="007B08EA">
              <w:rPr>
                <w:b/>
              </w:rPr>
              <w:lastRenderedPageBreak/>
              <w:t xml:space="preserve">enerģijas bruto </w:t>
            </w:r>
            <w:proofErr w:type="spellStart"/>
            <w:r w:rsidR="007B08EA" w:rsidRPr="007B08EA">
              <w:rPr>
                <w:b/>
              </w:rPr>
              <w:t>galapatēriņā</w:t>
            </w:r>
            <w:proofErr w:type="spellEnd"/>
            <w:r w:rsidR="007B08EA" w:rsidRPr="007B08EA">
              <w:rPr>
                <w:b/>
              </w:rPr>
              <w:t xml:space="preserve"> </w:t>
            </w:r>
            <w:r w:rsidR="00745D7A" w:rsidRPr="007B08EA">
              <w:rPr>
                <w:b/>
              </w:rPr>
              <w:t>ir</w:t>
            </w:r>
            <w:r w:rsidR="00745D7A" w:rsidRPr="00032B2C">
              <w:rPr>
                <w:b/>
              </w:rPr>
              <w:t xml:space="preserve"> </w:t>
            </w:r>
            <w:r w:rsidR="00FC0DC2" w:rsidRPr="00032B2C">
              <w:rPr>
                <w:b/>
              </w:rPr>
              <w:t xml:space="preserve">ne mazāks par </w:t>
            </w:r>
            <w:r w:rsidR="00745D7A" w:rsidRPr="00032B2C">
              <w:rPr>
                <w:b/>
              </w:rPr>
              <w:t xml:space="preserve">2020.gada </w:t>
            </w:r>
            <w:r w:rsidR="00FC0DC2" w:rsidRPr="00032B2C">
              <w:rPr>
                <w:b/>
              </w:rPr>
              <w:t xml:space="preserve">mērķa </w:t>
            </w:r>
            <w:r w:rsidR="00E75148" w:rsidRPr="00032B2C">
              <w:rPr>
                <w:b/>
              </w:rPr>
              <w:t xml:space="preserve">bāzes </w:t>
            </w:r>
            <w:r w:rsidR="00745D7A" w:rsidRPr="00032B2C">
              <w:rPr>
                <w:b/>
              </w:rPr>
              <w:t>l</w:t>
            </w:r>
            <w:r w:rsidR="00FC0DC2" w:rsidRPr="00032B2C">
              <w:rPr>
                <w:b/>
              </w:rPr>
              <w:t>īmeni</w:t>
            </w:r>
            <w:r w:rsidR="00CD4C42" w:rsidRPr="00032B2C">
              <w:rPr>
                <w:b/>
              </w:rPr>
              <w:t xml:space="preserve"> </w:t>
            </w:r>
            <w:r w:rsidR="00FC0DC2" w:rsidRPr="00032B2C">
              <w:rPr>
                <w:b/>
              </w:rPr>
              <w:t>–</w:t>
            </w:r>
            <w:r w:rsidR="00745D7A" w:rsidRPr="00032B2C">
              <w:rPr>
                <w:b/>
              </w:rPr>
              <w:t xml:space="preserve"> 40%</w:t>
            </w:r>
            <w:r w:rsidR="00745D7A">
              <w:t xml:space="preserve">. </w:t>
            </w:r>
            <w:r w:rsidR="00FC0DC2">
              <w:t xml:space="preserve">Savukārt gadījumā, ja tas </w:t>
            </w:r>
            <w:r>
              <w:t xml:space="preserve">netiek ievērtos, saskaņā ar Regulas 2018/1999 32.panta 4. punktu dalībvalstij ir juridiski saistošs pienākums viena gada laikā pēc neizpildes iestāšanās nodrošināt vismaz 2020.gada </w:t>
            </w:r>
            <w:r w:rsidR="00366EC8">
              <w:t>atjaunojamās enerģijas īpatsvara</w:t>
            </w:r>
            <w:r>
              <w:t xml:space="preserve"> mērķa </w:t>
            </w:r>
            <w:r w:rsidR="00E75148">
              <w:t xml:space="preserve">bāzes </w:t>
            </w:r>
            <w:r>
              <w:t>līmeni.</w:t>
            </w:r>
          </w:p>
          <w:p w14:paraId="123F8040" w14:textId="44060C86" w:rsidR="00053D2F" w:rsidRDefault="00053D2F" w:rsidP="004B2695">
            <w:pPr>
              <w:pStyle w:val="Default"/>
              <w:spacing w:before="120" w:after="120"/>
              <w:jc w:val="both"/>
            </w:pPr>
            <w:proofErr w:type="spellStart"/>
            <w:r>
              <w:t>Citastarp</w:t>
            </w:r>
            <w:proofErr w:type="spellEnd"/>
            <w:r>
              <w:t xml:space="preserve"> </w:t>
            </w:r>
            <w:r w:rsidRPr="00225749">
              <w:t>Direktīvas 2018/2001 25. pant</w:t>
            </w:r>
            <w:r>
              <w:t>a 1.punkts</w:t>
            </w:r>
            <w:r w:rsidRPr="00225749">
              <w:t xml:space="preserve"> paredz, ka </w:t>
            </w:r>
            <w:r>
              <w:t xml:space="preserve">uz degvielas piegādātājiem jāuzliek tādi pienākumi, kas nodrošina, ka </w:t>
            </w:r>
            <w:r w:rsidRPr="00225749">
              <w:t xml:space="preserve">2030.gadā </w:t>
            </w:r>
            <w:r w:rsidRPr="007303A0">
              <w:t xml:space="preserve">katrā ES dalībvalstī </w:t>
            </w:r>
            <w:r>
              <w:t xml:space="preserve">no AER iegūtas enerģijas īpatsvars veido </w:t>
            </w:r>
            <w:r w:rsidRPr="00225749">
              <w:t xml:space="preserve">14% </w:t>
            </w:r>
            <w:r>
              <w:t xml:space="preserve">no transporta </w:t>
            </w:r>
            <w:proofErr w:type="spellStart"/>
            <w:r>
              <w:t>galapatēriņā</w:t>
            </w:r>
            <w:proofErr w:type="spellEnd"/>
            <w:r>
              <w:t xml:space="preserve">. </w:t>
            </w:r>
            <w:r w:rsidRPr="00225749">
              <w:t>Direktīvas 2018/2001 25.panta</w:t>
            </w:r>
            <w:r>
              <w:t xml:space="preserve"> 1.punkts nosaka arī to, ka degvielas piegādātājiem jāuzliek pienākums realizēt</w:t>
            </w:r>
            <w:r w:rsidRPr="00225749">
              <w:t xml:space="preserve"> biodegviel</w:t>
            </w:r>
            <w:r>
              <w:t>as un/vai biogāzi/</w:t>
            </w:r>
            <w:proofErr w:type="spellStart"/>
            <w:r>
              <w:t>biometānu</w:t>
            </w:r>
            <w:proofErr w:type="spellEnd"/>
            <w:r w:rsidRPr="00225749">
              <w:t>,</w:t>
            </w:r>
            <w:r>
              <w:t xml:space="preserve"> kas iegūts no </w:t>
            </w:r>
            <w:r w:rsidRPr="00225749">
              <w:t xml:space="preserve">Direktīvas 2018/2001 </w:t>
            </w:r>
            <w:r>
              <w:t>IX pielikuma A daļā norādītajām izejvielām (“</w:t>
            </w:r>
            <w:proofErr w:type="spellStart"/>
            <w:r w:rsidRPr="00053D2F">
              <w:rPr>
                <w:i/>
              </w:rPr>
              <w:t>advanced</w:t>
            </w:r>
            <w:proofErr w:type="spellEnd"/>
            <w:r w:rsidRPr="00053D2F">
              <w:rPr>
                <w:i/>
              </w:rPr>
              <w:t xml:space="preserve"> </w:t>
            </w:r>
            <w:proofErr w:type="spellStart"/>
            <w:r w:rsidRPr="00053D2F">
              <w:rPr>
                <w:i/>
              </w:rPr>
              <w:t>biofuels</w:t>
            </w:r>
            <w:proofErr w:type="spellEnd"/>
            <w:r>
              <w:t xml:space="preserve">” jeb modernās biodegvielas), </w:t>
            </w:r>
            <w:r w:rsidRPr="00225749">
              <w:t xml:space="preserve">paredzot, ka 2022.gadā 0,2% no kopējā AER īpatsvara transporta sektorā veido </w:t>
            </w:r>
            <w:r>
              <w:t>šādu</w:t>
            </w:r>
            <w:r w:rsidRPr="00225749">
              <w:t xml:space="preserve"> biodegvielu</w:t>
            </w:r>
            <w:r>
              <w:t xml:space="preserve"> un biogāzes/</w:t>
            </w:r>
            <w:proofErr w:type="spellStart"/>
            <w:r>
              <w:t>biometāna</w:t>
            </w:r>
            <w:proofErr w:type="spellEnd"/>
            <w:r w:rsidRPr="00225749">
              <w:t xml:space="preserve"> patēriņ</w:t>
            </w:r>
            <w:r>
              <w:t>š</w:t>
            </w:r>
            <w:r w:rsidRPr="00225749">
              <w:t>, tam pieaugot līdz 3,5% 2030.gadā. Tomēr, ja valsts izlemj, ka biodegvielu</w:t>
            </w:r>
            <w:r>
              <w:t xml:space="preserve">, kas iegūtas no </w:t>
            </w:r>
            <w:r w:rsidRPr="00364D02">
              <w:t>pārtikas un dzīvnieku barības kultūraugi</w:t>
            </w:r>
            <w:r>
              <w:t>em</w:t>
            </w:r>
            <w:r>
              <w:rPr>
                <w:rStyle w:val="FootnoteReference"/>
              </w:rPr>
              <w:footnoteReference w:id="10"/>
            </w:r>
            <w:r w:rsidRPr="00225749">
              <w:t xml:space="preserve"> ieskaite </w:t>
            </w:r>
            <w:r w:rsidR="008D0B33">
              <w:t>atjaunojamās enerģijas</w:t>
            </w:r>
            <w:r w:rsidRPr="00225749">
              <w:t xml:space="preserve"> mērķī transportā ir jāierobežo zem 7%</w:t>
            </w:r>
            <w:r>
              <w:t xml:space="preserve"> no transporta sektora </w:t>
            </w:r>
            <w:proofErr w:type="spellStart"/>
            <w:r>
              <w:t>galapatēriņa</w:t>
            </w:r>
            <w:proofErr w:type="spellEnd"/>
            <w:r w:rsidRPr="00225749">
              <w:t xml:space="preserve">, tā par proporcionālu daļu var samazināt </w:t>
            </w:r>
            <w:r w:rsidR="008D0B33">
              <w:t>atjaunojamās enerģijas</w:t>
            </w:r>
            <w:r w:rsidRPr="00225749">
              <w:t xml:space="preserve"> </w:t>
            </w:r>
            <w:r>
              <w:t xml:space="preserve">14% </w:t>
            </w:r>
            <w:r w:rsidRPr="00225749">
              <w:t>mērķi transportā</w:t>
            </w:r>
            <w:r>
              <w:t xml:space="preserve"> 2030.gadā.  </w:t>
            </w:r>
          </w:p>
          <w:p w14:paraId="1841C2DD" w14:textId="6237EBEC" w:rsidR="00590924" w:rsidRDefault="00590924" w:rsidP="004B2695">
            <w:pPr>
              <w:pStyle w:val="Default"/>
              <w:spacing w:before="120" w:after="120"/>
              <w:jc w:val="both"/>
            </w:pPr>
            <w:r>
              <w:t>S</w:t>
            </w:r>
            <w:r w:rsidR="008E51D2">
              <w:t>askaņā ar Regula</w:t>
            </w:r>
            <w:r>
              <w:t>s</w:t>
            </w:r>
            <w:r w:rsidR="008E51D2">
              <w:t xml:space="preserve"> 2018/1999 </w:t>
            </w:r>
            <w:r>
              <w:t xml:space="preserve">3.panta 1.punktu Latvijai tāpat kā citām ES dalībvalstīm ir jāizstrādā un līdz 2019.gada 31.decembrim </w:t>
            </w:r>
            <w:r w:rsidR="008D0B33">
              <w:t>EK</w:t>
            </w:r>
            <w:r>
              <w:t xml:space="preserve"> jāiesniedz integrēts Nacionālais Enerģētikas un klimata plāns, paredzot pasākumus 2030.gada enerģētikas un klimata mērķu sasniegšanai</w:t>
            </w:r>
            <w:r w:rsidR="00011AB9">
              <w:t xml:space="preserve">, tai skaitā </w:t>
            </w:r>
            <w:r w:rsidR="008D0B33">
              <w:t>atjaunojamās enerģijas</w:t>
            </w:r>
            <w:r w:rsidR="00011AB9">
              <w:t xml:space="preserve"> veicināšanas jomā</w:t>
            </w:r>
            <w:r w:rsidRPr="00032B2C">
              <w:rPr>
                <w:b/>
              </w:rPr>
              <w:t>.</w:t>
            </w:r>
            <w:r w:rsidR="00011AB9" w:rsidRPr="00032B2C">
              <w:rPr>
                <w:b/>
              </w:rPr>
              <w:t xml:space="preserve"> </w:t>
            </w:r>
            <w:r w:rsidR="002F1A75" w:rsidRPr="00032B2C">
              <w:rPr>
                <w:b/>
              </w:rPr>
              <w:t xml:space="preserve">Līdz ar to OIK atcelšanas gadījumā ietekme būtu ne tikai uz 2020.gada AER mērķa sasniegšanu, bet arī attiecībā uz </w:t>
            </w:r>
            <w:r w:rsidR="00FE474B" w:rsidRPr="00032B2C">
              <w:rPr>
                <w:b/>
              </w:rPr>
              <w:t>Latvijas valsts pienākumiem AER jomā laika posmā</w:t>
            </w:r>
            <w:r w:rsidR="002F1A75" w:rsidRPr="00032B2C">
              <w:rPr>
                <w:b/>
              </w:rPr>
              <w:t xml:space="preserve"> līdz 2030.gadam</w:t>
            </w:r>
            <w:r w:rsidR="002F1A75">
              <w:t>.</w:t>
            </w:r>
          </w:p>
          <w:p w14:paraId="4DF093BA" w14:textId="5591E33C" w:rsidR="00CC320C" w:rsidRPr="00D0366D" w:rsidRDefault="00CC320C" w:rsidP="00CC320C">
            <w:pPr>
              <w:pStyle w:val="paragraph"/>
              <w:spacing w:before="120" w:beforeAutospacing="0" w:after="120" w:afterAutospacing="0"/>
              <w:jc w:val="both"/>
              <w:textAlignment w:val="baseline"/>
              <w:rPr>
                <w:rFonts w:eastAsiaTheme="minorHAnsi"/>
                <w:b/>
                <w:i/>
                <w:color w:val="FF0000"/>
                <w:lang w:eastAsia="en-US"/>
              </w:rPr>
            </w:pPr>
            <w:r>
              <w:t>Ekonomikas ministrija</w:t>
            </w:r>
            <w:r w:rsidR="00A320E5">
              <w:t xml:space="preserve"> 2019.gada </w:t>
            </w:r>
            <w:r w:rsidR="00A06737">
              <w:t xml:space="preserve">4.martā saņēma EK 27.februāra vēstuli, kurā </w:t>
            </w:r>
            <w:r w:rsidR="00D0366D" w:rsidRPr="00D0366D">
              <w:rPr>
                <w:b/>
              </w:rPr>
              <w:t>EK</w:t>
            </w:r>
            <w:r w:rsidR="00A06737" w:rsidRPr="00D0366D">
              <w:rPr>
                <w:b/>
              </w:rPr>
              <w:t xml:space="preserve"> norāda par atjaunojamās enerģijas mērķu saistošo raksturu un dalībvalstu pienākumu ieviest atbilstošus pasākumus šo mērķu sasniegšanai</w:t>
            </w:r>
            <w:r w:rsidR="00D0366D">
              <w:t xml:space="preserve"> (skatīt </w:t>
            </w:r>
            <w:r w:rsidR="006A291E">
              <w:t>3</w:t>
            </w:r>
            <w:r w:rsidR="00D0366D">
              <w:t>.pielikumu)</w:t>
            </w:r>
            <w:r w:rsidR="00A06737">
              <w:t xml:space="preserve">. </w:t>
            </w:r>
            <w:r w:rsidR="00A06737" w:rsidRPr="00D0366D">
              <w:rPr>
                <w:b/>
              </w:rPr>
              <w:t>EK ir arī norādījusi, ka ES Tiesa, vērtējot soda naudu apmēru, ņems vērā apstākļus, kas ietekmējuši dalībvalst</w:t>
            </w:r>
            <w:r w:rsidR="00D0366D" w:rsidRPr="00D0366D">
              <w:rPr>
                <w:b/>
              </w:rPr>
              <w:t>ij noteikto mērķu nesasniegšanu.</w:t>
            </w:r>
          </w:p>
          <w:p w14:paraId="2915B6EB" w14:textId="41DAB9E1" w:rsidR="007025E7" w:rsidRDefault="008D0B33" w:rsidP="004B2695">
            <w:pPr>
              <w:pStyle w:val="Default"/>
              <w:spacing w:before="120" w:after="120"/>
              <w:jc w:val="both"/>
            </w:pPr>
            <w:r>
              <w:t>EK</w:t>
            </w:r>
            <w:r w:rsidR="009D7EAD">
              <w:t xml:space="preserve"> Latvijai </w:t>
            </w:r>
            <w:r w:rsidR="00D0366D">
              <w:t xml:space="preserve">minētajā vēstulē </w:t>
            </w:r>
            <w:r w:rsidR="009D7EAD">
              <w:t xml:space="preserve">ir </w:t>
            </w:r>
            <w:r w:rsidR="00D0366D">
              <w:t xml:space="preserve">arī </w:t>
            </w:r>
            <w:r w:rsidR="008865D3">
              <w:t>norādī</w:t>
            </w:r>
            <w:r w:rsidR="009D7EAD">
              <w:t>jusi</w:t>
            </w:r>
            <w:r w:rsidR="002D4776">
              <w:t xml:space="preserve">, ka </w:t>
            </w:r>
            <w:r w:rsidR="008865D3" w:rsidRPr="00032B2C">
              <w:rPr>
                <w:b/>
              </w:rPr>
              <w:t>līdz ar Direktīvu</w:t>
            </w:r>
            <w:r w:rsidR="002D4776" w:rsidRPr="00032B2C">
              <w:rPr>
                <w:b/>
              </w:rPr>
              <w:t xml:space="preserve"> 2018/2001</w:t>
            </w:r>
            <w:r w:rsidR="008865D3" w:rsidRPr="00032B2C">
              <w:rPr>
                <w:b/>
              </w:rPr>
              <w:t xml:space="preserve"> dalībvalstīm, tai skaitā Latvijai, ir ES tiesību aktos noteikts pienākums nodrošināt </w:t>
            </w:r>
            <w:r w:rsidR="007574CA" w:rsidRPr="00032B2C">
              <w:rPr>
                <w:b/>
              </w:rPr>
              <w:t xml:space="preserve">AER projektiem </w:t>
            </w:r>
            <w:r w:rsidR="008865D3" w:rsidRPr="00032B2C">
              <w:rPr>
                <w:b/>
              </w:rPr>
              <w:t>piešķirtā valsts atbalsta stabilitāti</w:t>
            </w:r>
            <w:r w:rsidR="007574CA" w:rsidRPr="00032B2C">
              <w:rPr>
                <w:b/>
              </w:rPr>
              <w:t>,</w:t>
            </w:r>
            <w:r w:rsidR="007574CA">
              <w:t xml:space="preserve"> neapdraudot uzsākto projektu ekonomisko dzīvotspēju.</w:t>
            </w:r>
            <w:r w:rsidR="00E71CCF">
              <w:t xml:space="preserve"> </w:t>
            </w:r>
            <w:r w:rsidR="007D59DD">
              <w:t>OI</w:t>
            </w:r>
            <w:r w:rsidR="00D6048F">
              <w:t xml:space="preserve"> mehānisma</w:t>
            </w:r>
            <w:r w:rsidR="007D59DD">
              <w:t xml:space="preserve"> atcelšana</w:t>
            </w:r>
            <w:r w:rsidR="007574CA">
              <w:t xml:space="preserve"> </w:t>
            </w:r>
            <w:r w:rsidR="00E71CCF">
              <w:t>būtu pretrunā minētajam ES tiesību principam.</w:t>
            </w:r>
          </w:p>
          <w:p w14:paraId="7DD1C601" w14:textId="77777777" w:rsidR="00B37AEF" w:rsidRDefault="00B37AEF" w:rsidP="004B2695">
            <w:pPr>
              <w:pStyle w:val="Default"/>
              <w:spacing w:before="120" w:after="120"/>
              <w:jc w:val="both"/>
            </w:pPr>
          </w:p>
          <w:p w14:paraId="41170E3E" w14:textId="5EBC6DEB" w:rsidR="00424DBA" w:rsidRPr="00085AA9" w:rsidRDefault="00424DBA" w:rsidP="004B2695">
            <w:pPr>
              <w:pStyle w:val="Default"/>
              <w:spacing w:before="120" w:after="120"/>
              <w:jc w:val="both"/>
              <w:rPr>
                <w:b/>
                <w:i/>
              </w:rPr>
            </w:pPr>
            <w:r w:rsidRPr="00085AA9">
              <w:rPr>
                <w:b/>
                <w:i/>
              </w:rPr>
              <w:t>Atbalsts augstas efektivitātes koģenerācijai</w:t>
            </w:r>
          </w:p>
          <w:p w14:paraId="5DDE2EB1" w14:textId="170AA812" w:rsidR="00053D2F" w:rsidRPr="00085AA9" w:rsidRDefault="00053D2F" w:rsidP="00053D2F">
            <w:pPr>
              <w:pStyle w:val="Default"/>
              <w:spacing w:before="120" w:after="120"/>
              <w:jc w:val="both"/>
            </w:pPr>
            <w:r w:rsidRPr="00085AA9">
              <w:t xml:space="preserve">Saskaņā ar </w:t>
            </w:r>
            <w:r>
              <w:t>D</w:t>
            </w:r>
            <w:r w:rsidRPr="00085AA9">
              <w:t>irektīvas 2012/27/ES</w:t>
            </w:r>
            <w:r>
              <w:rPr>
                <w:rStyle w:val="FootnoteReference"/>
              </w:rPr>
              <w:footnoteReference w:id="11"/>
            </w:r>
            <w:r w:rsidRPr="00085AA9">
              <w:t xml:space="preserve"> </w:t>
            </w:r>
            <w:r>
              <w:t xml:space="preserve">(Energoefektivitātes direktīva) </w:t>
            </w:r>
            <w:r w:rsidRPr="00085AA9">
              <w:t xml:space="preserve">14.panta 2.punktu </w:t>
            </w:r>
            <w:r>
              <w:t>ES d</w:t>
            </w:r>
            <w:r w:rsidRPr="00085AA9">
              <w:t xml:space="preserve">alībvalstis pieņem politikas pasākumus, ar ko </w:t>
            </w:r>
            <w:r w:rsidRPr="00085AA9">
              <w:lastRenderedPageBreak/>
              <w:t>mudina vietējā un reģionālā līmenī pienācīgi ņemt vērā efektīvu siltumapgādes un dzesēšanas sistēmu izmantošanas potenciālu, jo īpaši tādu sistēmu, kurās tiek izmantota augstas efektivitātes koģenerācija.</w:t>
            </w:r>
            <w:r w:rsidR="00CE2350">
              <w:t xml:space="preserve"> Izstrādājot pasākumus, dalībvalstīm </w:t>
            </w:r>
            <w:r w:rsidRPr="00085AA9">
              <w:t xml:space="preserve"> </w:t>
            </w:r>
            <w:r w:rsidR="00CE2350">
              <w:t>jāņ</w:t>
            </w:r>
            <w:r w:rsidRPr="00085AA9">
              <w:t xml:space="preserve">em vērā vietēju un reģionālu siltumenerģijas tirgu attīstības potenciālu. </w:t>
            </w:r>
          </w:p>
          <w:p w14:paraId="2FB221D4" w14:textId="77777777" w:rsidR="00053D2F" w:rsidRDefault="00053D2F" w:rsidP="00053D2F">
            <w:pPr>
              <w:pStyle w:val="Default"/>
              <w:spacing w:before="120" w:after="120"/>
              <w:jc w:val="both"/>
            </w:pPr>
            <w:r w:rsidRPr="00085AA9">
              <w:t xml:space="preserve">Saskaņā ar </w:t>
            </w:r>
            <w:r>
              <w:t>D</w:t>
            </w:r>
            <w:r w:rsidRPr="00085AA9">
              <w:t xml:space="preserve">irektīvas 2012/27/ES 14.panta 11.punktu </w:t>
            </w:r>
            <w:r>
              <w:t>ES d</w:t>
            </w:r>
            <w:r w:rsidRPr="00085AA9">
              <w:t xml:space="preserve">alībvalstis nodrošina, ka jebkāds pieejamais koģenerācijas atbalsts tiek piešķirts tikai tad, ja elektroenerģija tiek ražota augstas efektivitātes koģenerācijas režīmā un siltuma pārpalikums tiek lietderīgi izmantots, lai panāktu primārās enerģijas ietaupījumu. </w:t>
            </w:r>
          </w:p>
          <w:p w14:paraId="5FC8A093" w14:textId="77777777" w:rsidR="00053D2F" w:rsidRPr="00085AA9" w:rsidRDefault="00053D2F" w:rsidP="00053D2F">
            <w:pPr>
              <w:pStyle w:val="Default"/>
              <w:spacing w:before="120" w:after="120"/>
              <w:jc w:val="both"/>
            </w:pPr>
            <w:r>
              <w:t xml:space="preserve">Jānorāda, ka </w:t>
            </w:r>
            <w:r w:rsidRPr="006B33FD">
              <w:rPr>
                <w:b/>
              </w:rPr>
              <w:t>Direktīva 2012/27/ES aizstāj Direktīvu 2004/8/EK par tādas koģenerācijas veicināšanu, kas balstīta uz lietderīgā siltuma pieprasījumu iekšējā enerģijas tirgū</w:t>
            </w:r>
            <w:r w:rsidRPr="006B33FD">
              <w:rPr>
                <w:rStyle w:val="FootnoteReference"/>
                <w:b/>
              </w:rPr>
              <w:footnoteReference w:id="12"/>
            </w:r>
            <w:r w:rsidRPr="006B33FD">
              <w:rPr>
                <w:b/>
              </w:rPr>
              <w:t>, kas bija spēkā Latvijai iestājoties Eiropas Savienībā un kas attiecīgi bija jāpārņem nacionālajos normatīvajos aktos.</w:t>
            </w:r>
          </w:p>
          <w:p w14:paraId="2EC50A16" w14:textId="4A5D3176" w:rsidR="00053D2F" w:rsidRPr="00B13BB9" w:rsidRDefault="00053D2F" w:rsidP="00053D2F">
            <w:pPr>
              <w:pStyle w:val="paragraph"/>
              <w:spacing w:before="120" w:beforeAutospacing="0" w:after="120" w:afterAutospacing="0"/>
              <w:jc w:val="both"/>
              <w:textAlignment w:val="baseline"/>
            </w:pPr>
            <w:r>
              <w:t>Tomēr ES līmenī nav noteikti ar koģenerāciju juridiski saistoši mērķi. Vienīgais mērķis, kas ar koģenerāciju tiešā veidā ir saistīts ir no Direktīvas 2012/27/ES izrietošais</w:t>
            </w:r>
            <w:r>
              <w:rPr>
                <w:b/>
                <w:bCs/>
              </w:rPr>
              <w:t xml:space="preserve"> primāro resursu ietaupījuma (energoefektivitātes) 2020.gada mērķis: primārās enerģijas patēriņš  2020.gadā ne lielāks par 5,37 </w:t>
            </w:r>
            <w:proofErr w:type="spellStart"/>
            <w:r>
              <w:rPr>
                <w:b/>
                <w:bCs/>
              </w:rPr>
              <w:t>Mtoe</w:t>
            </w:r>
            <w:proofErr w:type="spellEnd"/>
            <w:r>
              <w:t xml:space="preserve">. </w:t>
            </w:r>
          </w:p>
          <w:p w14:paraId="5820A9EF" w14:textId="3C9CB45E" w:rsidR="00053D2F" w:rsidRDefault="00053D2F" w:rsidP="00053D2F">
            <w:pPr>
              <w:pStyle w:val="paragraph"/>
              <w:spacing w:before="120" w:beforeAutospacing="0" w:after="120" w:afterAutospacing="0"/>
              <w:jc w:val="both"/>
              <w:textAlignment w:val="baseline"/>
              <w:rPr>
                <w:b/>
                <w:bCs/>
              </w:rPr>
            </w:pPr>
            <w:r>
              <w:t xml:space="preserve">Savukārt uz 2030.gadu primārās enerģijas ietaupījuma mērķis Latvijai ir jāizvirza saskaņā ar Regulu 2018/1999 un Energoefektivitātes direktīvas grozījumiem, kas izdarīti ar </w:t>
            </w:r>
            <w:r w:rsidR="006B33FD">
              <w:t>D</w:t>
            </w:r>
            <w:r>
              <w:t>irektīvu 2018/2002</w:t>
            </w:r>
            <w:r>
              <w:rPr>
                <w:rStyle w:val="FootnoteReference"/>
              </w:rPr>
              <w:footnoteReference w:id="13"/>
            </w:r>
            <w:r>
              <w:t>. Latvijas primārās enerģijas ietaupījuma mērķa priekšlikums 2030.gadam iesniegts Eiropas Komisijai ar Latvijas nacionālā Enerģētikas un klimata plāna projektu</w:t>
            </w:r>
            <w:r>
              <w:rPr>
                <w:rStyle w:val="FootnoteReference"/>
              </w:rPr>
              <w:footnoteReference w:id="14"/>
            </w:r>
            <w:r>
              <w:t xml:space="preserve">. </w:t>
            </w:r>
            <w:r>
              <w:rPr>
                <w:b/>
                <w:bCs/>
              </w:rPr>
              <w:t xml:space="preserve">Pašlaik plānotais Latvijai nesaistošs primārās enerģijas ietaupījuma mērķis 2030.gadam: primārās enerģijas patēriņš 2030.gadā ne lielāks par 4,33 </w:t>
            </w:r>
            <w:proofErr w:type="spellStart"/>
            <w:r>
              <w:rPr>
                <w:b/>
                <w:bCs/>
              </w:rPr>
              <w:t>Mtoe</w:t>
            </w:r>
            <w:proofErr w:type="spellEnd"/>
            <w:r>
              <w:rPr>
                <w:b/>
                <w:bCs/>
              </w:rPr>
              <w:t>.  </w:t>
            </w:r>
          </w:p>
          <w:p w14:paraId="4422346E" w14:textId="77777777" w:rsidR="009D7EAD" w:rsidRPr="009D7EAD" w:rsidRDefault="009D7EAD" w:rsidP="004B2695">
            <w:pPr>
              <w:pStyle w:val="paragraph"/>
              <w:spacing w:before="120" w:beforeAutospacing="0" w:after="120" w:afterAutospacing="0"/>
              <w:jc w:val="both"/>
              <w:textAlignment w:val="baseline"/>
              <w:rPr>
                <w:b/>
                <w:bCs/>
              </w:rPr>
            </w:pPr>
          </w:p>
          <w:p w14:paraId="036F533E" w14:textId="77777777" w:rsidR="003A1B0C" w:rsidRPr="008C2175" w:rsidRDefault="003A1B0C" w:rsidP="004B2695">
            <w:pPr>
              <w:spacing w:before="120" w:after="120" w:line="240" w:lineRule="auto"/>
              <w:jc w:val="both"/>
              <w:rPr>
                <w:rFonts w:ascii="Times New Roman" w:hAnsi="Times New Roman"/>
                <w:b/>
                <w:i/>
                <w:sz w:val="24"/>
                <w:szCs w:val="24"/>
                <w:u w:val="single"/>
              </w:rPr>
            </w:pPr>
            <w:r w:rsidRPr="008C2175">
              <w:rPr>
                <w:rFonts w:ascii="Times New Roman" w:hAnsi="Times New Roman"/>
                <w:b/>
                <w:i/>
                <w:sz w:val="24"/>
                <w:szCs w:val="24"/>
                <w:u w:val="single"/>
              </w:rPr>
              <w:t>3. EK saskaņojums</w:t>
            </w:r>
          </w:p>
          <w:p w14:paraId="0C242F72" w14:textId="34BBF087" w:rsidR="002D23AF" w:rsidRPr="00587FF8" w:rsidRDefault="002D23AF" w:rsidP="004B2695">
            <w:pPr>
              <w:spacing w:before="120" w:after="120" w:line="240" w:lineRule="auto"/>
              <w:jc w:val="both"/>
              <w:rPr>
                <w:rFonts w:ascii="Times New Roman" w:hAnsi="Times New Roman"/>
                <w:sz w:val="24"/>
                <w:szCs w:val="28"/>
              </w:rPr>
            </w:pPr>
            <w:r w:rsidRPr="00587FF8">
              <w:rPr>
                <w:rFonts w:ascii="Times New Roman" w:hAnsi="Times New Roman"/>
                <w:sz w:val="24"/>
                <w:szCs w:val="28"/>
              </w:rPr>
              <w:t>EK savā 2017.gada 24.aprīļa lēmumā par valsts atbalstu SA.43140</w:t>
            </w:r>
            <w:r w:rsidRPr="002D23AF">
              <w:rPr>
                <w:rStyle w:val="FootnoteReference"/>
                <w:rFonts w:ascii="Times New Roman" w:hAnsi="Times New Roman"/>
                <w:sz w:val="24"/>
                <w:szCs w:val="28"/>
              </w:rPr>
              <w:footnoteReference w:id="15"/>
            </w:r>
            <w:r w:rsidRPr="00587FF8">
              <w:rPr>
                <w:rFonts w:ascii="Times New Roman" w:hAnsi="Times New Roman"/>
                <w:sz w:val="24"/>
                <w:szCs w:val="28"/>
              </w:rPr>
              <w:t xml:space="preserve"> secināja, ka OI mehānisms ir samērīgs un atbilst nosacījumiem, kas noteikti 2001. un 2008.gada pamatnostādnēs par valsts atbalstu vides aizsardzībai</w:t>
            </w:r>
            <w:r w:rsidRPr="002D23AF">
              <w:rPr>
                <w:rStyle w:val="FootnoteReference"/>
                <w:rFonts w:ascii="Times New Roman" w:hAnsi="Times New Roman"/>
                <w:sz w:val="24"/>
                <w:szCs w:val="28"/>
              </w:rPr>
              <w:footnoteReference w:id="16"/>
            </w:r>
            <w:r w:rsidRPr="00587FF8">
              <w:rPr>
                <w:rFonts w:ascii="Times New Roman" w:hAnsi="Times New Roman"/>
                <w:sz w:val="24"/>
                <w:szCs w:val="28"/>
              </w:rPr>
              <w:t xml:space="preserve">, un līdz ar to ir saderīgs ar iekšējo tirgu saskaņā ar Līguma par Eiropas Savienības Darbību 107.panta 3.punkta c) apakšpunktu.  Kā tas minēts arī EK lēmumā, spēkā esošā OI mehānisma </w:t>
            </w:r>
            <w:r w:rsidRPr="00587FF8">
              <w:rPr>
                <w:rFonts w:ascii="Times New Roman" w:hAnsi="Times New Roman"/>
                <w:b/>
                <w:sz w:val="24"/>
                <w:szCs w:val="28"/>
              </w:rPr>
              <w:t>mērķis</w:t>
            </w:r>
            <w:r w:rsidRPr="00587FF8">
              <w:rPr>
                <w:rFonts w:ascii="Times New Roman" w:hAnsi="Times New Roman"/>
                <w:sz w:val="24"/>
                <w:szCs w:val="28"/>
              </w:rPr>
              <w:t xml:space="preserve"> </w:t>
            </w:r>
            <w:r w:rsidRPr="00587FF8">
              <w:rPr>
                <w:rFonts w:ascii="Times New Roman" w:hAnsi="Times New Roman"/>
                <w:b/>
                <w:sz w:val="24"/>
                <w:szCs w:val="28"/>
              </w:rPr>
              <w:t>ir veicināt atjaunojamo energoresursu izmantošanu un augstas efektivitātes koģenerāciju</w:t>
            </w:r>
            <w:r w:rsidRPr="00587FF8">
              <w:rPr>
                <w:rFonts w:ascii="Times New Roman" w:hAnsi="Times New Roman"/>
                <w:sz w:val="24"/>
                <w:szCs w:val="28"/>
              </w:rPr>
              <w:t>, tostarp, lai sasniegtu Latvijai noteiktos mērķus šajās jomās.</w:t>
            </w:r>
          </w:p>
          <w:p w14:paraId="1A26DF16" w14:textId="57C4D207" w:rsidR="002D23AF" w:rsidRDefault="00B56B62" w:rsidP="004B2695">
            <w:pPr>
              <w:spacing w:before="120" w:after="120" w:line="240" w:lineRule="auto"/>
              <w:jc w:val="both"/>
              <w:rPr>
                <w:rFonts w:ascii="Times New Roman" w:hAnsi="Times New Roman"/>
                <w:sz w:val="24"/>
                <w:szCs w:val="28"/>
              </w:rPr>
            </w:pPr>
            <w:r w:rsidRPr="00B56B62">
              <w:rPr>
                <w:rFonts w:ascii="Times New Roman" w:hAnsi="Times New Roman"/>
                <w:sz w:val="24"/>
                <w:szCs w:val="28"/>
              </w:rPr>
              <w:lastRenderedPageBreak/>
              <w:t>2007.gada 1.jūlijā sākās Latvijas elektroenerģijas tirgus liberalizācija, kas deva iespēju patērētājiem mainīt elektroenerģijas tirgotāju un bija saistīta ar tirgus cenas veidošanos. Attiecīgi, ņemot vērā komercdarbības atbalstu regulējošos ES</w:t>
            </w:r>
            <w:r>
              <w:rPr>
                <w:rFonts w:ascii="Times New Roman" w:hAnsi="Times New Roman"/>
                <w:sz w:val="24"/>
                <w:szCs w:val="28"/>
              </w:rPr>
              <w:t xml:space="preserve"> </w:t>
            </w:r>
            <w:r w:rsidRPr="00B56B62">
              <w:rPr>
                <w:rFonts w:ascii="Times New Roman" w:hAnsi="Times New Roman"/>
                <w:sz w:val="24"/>
                <w:szCs w:val="28"/>
              </w:rPr>
              <w:t>normatīvos aktus, EK valsts atbalsta OI mehānismu saskaņoja par periodu no 2007.gada 1.jūlija līdz 2012.gada 31.decembrim</w:t>
            </w:r>
            <w:r w:rsidR="00596E1C">
              <w:rPr>
                <w:rFonts w:ascii="Times New Roman" w:hAnsi="Times New Roman"/>
                <w:sz w:val="24"/>
                <w:szCs w:val="28"/>
              </w:rPr>
              <w:t>.</w:t>
            </w:r>
            <w:r w:rsidRPr="00B56B62">
              <w:rPr>
                <w:rFonts w:ascii="Times New Roman" w:hAnsi="Times New Roman"/>
                <w:sz w:val="24"/>
                <w:szCs w:val="28"/>
              </w:rPr>
              <w:t xml:space="preserve"> </w:t>
            </w:r>
            <w:r w:rsidR="0028609F">
              <w:rPr>
                <w:rFonts w:ascii="Times New Roman" w:hAnsi="Times New Roman"/>
                <w:sz w:val="24"/>
                <w:szCs w:val="28"/>
              </w:rPr>
              <w:t>Tā kā</w:t>
            </w:r>
            <w:r w:rsidR="00596E1C">
              <w:rPr>
                <w:rFonts w:ascii="Times New Roman" w:hAnsi="Times New Roman"/>
                <w:sz w:val="24"/>
                <w:szCs w:val="28"/>
              </w:rPr>
              <w:t xml:space="preserve"> </w:t>
            </w:r>
            <w:r w:rsidRPr="00B56B62">
              <w:rPr>
                <w:rFonts w:ascii="Times New Roman" w:hAnsi="Times New Roman"/>
                <w:sz w:val="24"/>
                <w:szCs w:val="28"/>
              </w:rPr>
              <w:t>AS “Latvenergo” TEC-2 elektrostacij</w:t>
            </w:r>
            <w:r w:rsidR="00596E1C">
              <w:rPr>
                <w:rFonts w:ascii="Times New Roman" w:hAnsi="Times New Roman"/>
                <w:sz w:val="24"/>
                <w:szCs w:val="28"/>
              </w:rPr>
              <w:t xml:space="preserve">as uzstādītā elektriskā jauda </w:t>
            </w:r>
            <w:r w:rsidRPr="00B56B62">
              <w:rPr>
                <w:rFonts w:ascii="Times New Roman" w:hAnsi="Times New Roman"/>
                <w:sz w:val="24"/>
                <w:szCs w:val="28"/>
              </w:rPr>
              <w:t>pārsniedza 200 MW robežvērtību</w:t>
            </w:r>
            <w:r w:rsidRPr="00B56B62">
              <w:rPr>
                <w:rStyle w:val="FootnoteReference"/>
                <w:rFonts w:ascii="Times New Roman" w:hAnsi="Times New Roman"/>
                <w:sz w:val="24"/>
                <w:szCs w:val="28"/>
              </w:rPr>
              <w:footnoteReference w:id="17"/>
            </w:r>
            <w:r w:rsidR="001A641E">
              <w:rPr>
                <w:rFonts w:ascii="Times New Roman" w:hAnsi="Times New Roman"/>
                <w:sz w:val="24"/>
                <w:szCs w:val="28"/>
              </w:rPr>
              <w:t xml:space="preserve"> tad atbalsta saskaņošana TEC-2 tika uzsākta pēc vispārējā OI mehānisma saskaņošanas ar EK</w:t>
            </w:r>
            <w:r w:rsidRPr="00B56B62">
              <w:rPr>
                <w:rFonts w:ascii="Times New Roman" w:hAnsi="Times New Roman"/>
                <w:sz w:val="24"/>
                <w:szCs w:val="28"/>
              </w:rPr>
              <w:t xml:space="preserve">. Saskaņā ar ES regulējumu saskaņojuma periods attiecināms uz </w:t>
            </w:r>
            <w:r w:rsidR="001776DB">
              <w:rPr>
                <w:rFonts w:ascii="Times New Roman" w:hAnsi="Times New Roman"/>
                <w:sz w:val="24"/>
                <w:szCs w:val="28"/>
              </w:rPr>
              <w:t>datumu</w:t>
            </w:r>
            <w:r w:rsidRPr="00B56B62">
              <w:rPr>
                <w:rFonts w:ascii="Times New Roman" w:hAnsi="Times New Roman"/>
                <w:sz w:val="24"/>
                <w:szCs w:val="28"/>
              </w:rPr>
              <w:t>, kurā piešķirtas tiesības uz valsts atbalstu</w:t>
            </w:r>
            <w:r w:rsidR="00AD39CE">
              <w:rPr>
                <w:rFonts w:ascii="Times New Roman" w:hAnsi="Times New Roman"/>
                <w:sz w:val="24"/>
                <w:szCs w:val="28"/>
              </w:rPr>
              <w:t>.</w:t>
            </w:r>
          </w:p>
          <w:p w14:paraId="709BF85D" w14:textId="666E2BAD" w:rsidR="00B941BE" w:rsidRDefault="00050308" w:rsidP="004B2695">
            <w:pPr>
              <w:spacing w:before="120" w:after="120" w:line="240" w:lineRule="auto"/>
              <w:jc w:val="both"/>
              <w:rPr>
                <w:rFonts w:ascii="Times New Roman" w:hAnsi="Times New Roman"/>
                <w:sz w:val="24"/>
                <w:szCs w:val="28"/>
              </w:rPr>
            </w:pPr>
            <w:r>
              <w:rPr>
                <w:rFonts w:ascii="Times New Roman" w:hAnsi="Times New Roman"/>
                <w:sz w:val="24"/>
                <w:szCs w:val="28"/>
              </w:rPr>
              <w:t>Sarunas par OI mehānisma saskaņošanu ar Eiropas Komisiju Latvija sāka 2013.gadā un oficiālais paziņojums tika iesniegts 2015.gadā. Tādējādi no 2007.gada līdz 2015.gadam piešķirtās tiesības uz atbalstu OI mehānisma ietvaros saskaņā ar Līguma par Eiropas Savienības darbību</w:t>
            </w:r>
            <w:r w:rsidR="00591DB8">
              <w:rPr>
                <w:rFonts w:ascii="Times New Roman" w:hAnsi="Times New Roman"/>
                <w:sz w:val="24"/>
                <w:szCs w:val="28"/>
              </w:rPr>
              <w:t xml:space="preserve"> (turpmāk – LESD)</w:t>
            </w:r>
            <w:r>
              <w:rPr>
                <w:rFonts w:ascii="Times New Roman" w:hAnsi="Times New Roman"/>
                <w:sz w:val="24"/>
                <w:szCs w:val="28"/>
              </w:rPr>
              <w:t xml:space="preserve"> 108.panta 3.punktu bija uzskatāms par nepaziņotu un nesaskaņotu valsts atbalstu. Šādos gadījumos ES tiesīb</w:t>
            </w:r>
            <w:r w:rsidR="005B6F61">
              <w:rPr>
                <w:rFonts w:ascii="Times New Roman" w:hAnsi="Times New Roman"/>
                <w:sz w:val="24"/>
                <w:szCs w:val="28"/>
              </w:rPr>
              <w:t>ā</w:t>
            </w:r>
            <w:r>
              <w:rPr>
                <w:rFonts w:ascii="Times New Roman" w:hAnsi="Times New Roman"/>
                <w:sz w:val="24"/>
                <w:szCs w:val="28"/>
              </w:rPr>
              <w:t>s ir nostiprinātas EK un nacionālo tiesu lomas</w:t>
            </w:r>
            <w:r w:rsidR="00591DB8">
              <w:rPr>
                <w:rFonts w:ascii="Times New Roman" w:hAnsi="Times New Roman"/>
                <w:sz w:val="24"/>
                <w:szCs w:val="28"/>
              </w:rPr>
              <w:t>:</w:t>
            </w:r>
          </w:p>
          <w:p w14:paraId="704E3754" w14:textId="0BA5CE3D" w:rsidR="00050308" w:rsidRDefault="00591DB8" w:rsidP="004B2695">
            <w:pPr>
              <w:spacing w:before="120" w:after="120" w:line="240" w:lineRule="auto"/>
              <w:jc w:val="both"/>
              <w:rPr>
                <w:rFonts w:ascii="Times New Roman" w:hAnsi="Times New Roman"/>
                <w:sz w:val="24"/>
                <w:szCs w:val="28"/>
              </w:rPr>
            </w:pPr>
            <w:r>
              <w:rPr>
                <w:rFonts w:ascii="Times New Roman" w:hAnsi="Times New Roman"/>
                <w:sz w:val="24"/>
                <w:szCs w:val="28"/>
              </w:rPr>
              <w:t xml:space="preserve">1) </w:t>
            </w:r>
            <w:r w:rsidR="00050308" w:rsidRPr="00050308">
              <w:rPr>
                <w:rFonts w:ascii="Times New Roman" w:hAnsi="Times New Roman"/>
                <w:sz w:val="24"/>
                <w:szCs w:val="28"/>
              </w:rPr>
              <w:t>Saskaņā ar Regulas Nr.2015/1589</w:t>
            </w:r>
            <w:r w:rsidR="00050308" w:rsidRPr="00050308">
              <w:rPr>
                <w:rFonts w:ascii="Times New Roman" w:hAnsi="Times New Roman"/>
                <w:sz w:val="24"/>
                <w:szCs w:val="28"/>
                <w:vertAlign w:val="superscript"/>
              </w:rPr>
              <w:footnoteReference w:id="18"/>
            </w:r>
            <w:r w:rsidR="00050308" w:rsidRPr="00050308">
              <w:rPr>
                <w:rFonts w:ascii="Times New Roman" w:hAnsi="Times New Roman"/>
                <w:sz w:val="24"/>
                <w:szCs w:val="28"/>
              </w:rPr>
              <w:t xml:space="preserve"> 13.panta 1.punktu EK var pieņemt lēmumu, kas prasa dalībvalstij pārtraukt jebkādu nelikumīgu atbalstu, līdz EK pieņem lēmumu par attiecīgā atbalsta saderību ar iekšējo tirgu. Savukārt saskaņā ar Regulas Nr.2015/1589 13.panta 2.punktu EK var pieņemt lēmumu, kas prasa dalībvalstij pagaidām atgūt jebkādu nelikumīgu atbalstu, līdz EK pieņem lēmumu par attiecīgā atbalsta saderību ar iekšējo tirgu.</w:t>
            </w:r>
            <w:r w:rsidR="00B73EC5">
              <w:rPr>
                <w:rFonts w:ascii="Times New Roman" w:hAnsi="Times New Roman"/>
                <w:sz w:val="24"/>
                <w:szCs w:val="28"/>
              </w:rPr>
              <w:t xml:space="preserve"> OI mehānisma gadījumā EK attiecīgās savas tiesības nav izmantojusi. </w:t>
            </w:r>
          </w:p>
          <w:p w14:paraId="04BDEA91" w14:textId="09652D00" w:rsidR="00C9689A" w:rsidRDefault="00591DB8" w:rsidP="005B6F61">
            <w:pPr>
              <w:spacing w:before="120" w:after="120" w:line="240" w:lineRule="auto"/>
              <w:jc w:val="both"/>
              <w:rPr>
                <w:rFonts w:ascii="Times New Roman" w:hAnsi="Times New Roman"/>
                <w:sz w:val="24"/>
                <w:szCs w:val="28"/>
              </w:rPr>
            </w:pPr>
            <w:r>
              <w:rPr>
                <w:rFonts w:ascii="Times New Roman" w:hAnsi="Times New Roman"/>
                <w:sz w:val="24"/>
                <w:szCs w:val="28"/>
              </w:rPr>
              <w:t xml:space="preserve">2) </w:t>
            </w:r>
            <w:r w:rsidR="00B73EC5">
              <w:rPr>
                <w:rFonts w:ascii="Times New Roman" w:hAnsi="Times New Roman"/>
                <w:sz w:val="24"/>
                <w:szCs w:val="28"/>
              </w:rPr>
              <w:t>Savukārt</w:t>
            </w:r>
            <w:r w:rsidR="00B73EC5" w:rsidRPr="00B73EC5">
              <w:rPr>
                <w:rFonts w:ascii="Times New Roman" w:hAnsi="Times New Roman"/>
                <w:sz w:val="24"/>
                <w:szCs w:val="28"/>
              </w:rPr>
              <w:t xml:space="preserve"> saskaņā ar Komisijas paziņojum</w:t>
            </w:r>
            <w:r>
              <w:rPr>
                <w:rFonts w:ascii="Times New Roman" w:hAnsi="Times New Roman"/>
                <w:sz w:val="24"/>
                <w:szCs w:val="28"/>
              </w:rPr>
              <w:t>u par</w:t>
            </w:r>
            <w:r w:rsidR="00B73EC5">
              <w:rPr>
                <w:rFonts w:ascii="Times New Roman" w:hAnsi="Times New Roman"/>
                <w:sz w:val="24"/>
                <w:szCs w:val="28"/>
              </w:rPr>
              <w:t xml:space="preserve"> </w:t>
            </w:r>
            <w:r w:rsidR="00B73EC5" w:rsidRPr="00B73EC5">
              <w:rPr>
                <w:rFonts w:ascii="Times New Roman" w:hAnsi="Times New Roman"/>
                <w:sz w:val="24"/>
                <w:szCs w:val="28"/>
              </w:rPr>
              <w:t>valsts atbalsta tiesību normu piemērošanu valstu tiesās</w:t>
            </w:r>
            <w:r w:rsidR="00B73EC5">
              <w:rPr>
                <w:rStyle w:val="FootnoteReference"/>
                <w:rFonts w:ascii="Times New Roman" w:hAnsi="Times New Roman"/>
                <w:sz w:val="24"/>
                <w:szCs w:val="28"/>
              </w:rPr>
              <w:footnoteReference w:id="19"/>
            </w:r>
            <w:r w:rsidR="00B73EC5" w:rsidRPr="00B73EC5">
              <w:rPr>
                <w:rFonts w:ascii="Times New Roman" w:hAnsi="Times New Roman"/>
                <w:sz w:val="24"/>
                <w:szCs w:val="28"/>
              </w:rPr>
              <w:t xml:space="preserve"> 34.punktu valsts tiesas pienākums pieprasīt nelikumīgā atbalsta atgūšanu pilnā apmērā vairs nav piemērojams, ja līdz brīdim, kad valsts tiesa pasludina spriedumu, EK jau ir izlēmusi, ka atbalsts ir saderīgs ar kopējo tirgu.</w:t>
            </w:r>
          </w:p>
          <w:p w14:paraId="1C3E6553" w14:textId="0572A82F" w:rsidR="00161B5A" w:rsidRPr="0090535F" w:rsidRDefault="00161B5A" w:rsidP="00161B5A">
            <w:pPr>
              <w:pStyle w:val="Default"/>
              <w:spacing w:before="120" w:after="120"/>
              <w:jc w:val="both"/>
              <w:rPr>
                <w:b/>
              </w:rPr>
            </w:pPr>
            <w:bookmarkStart w:id="0" w:name="_Hlk4419795"/>
            <w:r w:rsidRPr="0090535F">
              <w:t>EK savā 2019.gada 14.marta vēstulē (skatīt 4.pielikumu), atbildot uz Ekonomikas ministrijas jautājumu, vai attiecībā uz atbalstu, kas sniegts pirms 2007.gada 1.jūlija būtu nepieciešams EK saskaņojums, norādījusi, ka tas atkarīgs no fakta, vai tirgus ir bijis atvērts konkurencei, ko var novērtēt nacionālā tiesa, bet EK 2017.gada 24.aprīļa lēmum</w:t>
            </w:r>
            <w:r w:rsidR="0090535F">
              <w:t>s</w:t>
            </w:r>
            <w:r w:rsidRPr="0090535F">
              <w:t xml:space="preserve"> par valsts atbalstu SA.43140 pieņemts, pamatojoties uz informāciju, ka tirgus atvērts konkurencei ir bijis no 2007.gada 1.jūlija.  Savukārt, atbildot uz jautājumu, vai atbalsts, kas izmaksāts periodā līdz EK 2017.gada 24.aprīļa lēmumam (2007.gada 1.jūlijs līdz 2017.gada 24.aprīlis) būtu atgūstams</w:t>
            </w:r>
            <w:r w:rsidR="0090535F" w:rsidRPr="0090535F">
              <w:t xml:space="preserve">, </w:t>
            </w:r>
            <w:r w:rsidR="0090535F" w:rsidRPr="0090535F">
              <w:rPr>
                <w:b/>
              </w:rPr>
              <w:t>EK norādījusi, ka atbalsts, uz kuru tiesības piešķirtas no 2007.gada 1.jūlija līdz 2012.gada 31.decembrim</w:t>
            </w:r>
            <w:r w:rsidR="0090535F">
              <w:rPr>
                <w:b/>
              </w:rPr>
              <w:t xml:space="preserve"> (un kas tiek izmaksāts vēl šobrīd)</w:t>
            </w:r>
            <w:r w:rsidR="0090535F" w:rsidRPr="0090535F">
              <w:rPr>
                <w:b/>
              </w:rPr>
              <w:t>, ir saderīgs ar iekšējo tirgu un šāds atbalsts nav jāatgūst.</w:t>
            </w:r>
          </w:p>
          <w:bookmarkEnd w:id="0"/>
          <w:p w14:paraId="13B9CD92" w14:textId="77777777" w:rsidR="005B6F61" w:rsidRPr="00FD7D1A" w:rsidRDefault="005B6F61" w:rsidP="00FD7D1A">
            <w:pPr>
              <w:spacing w:before="120" w:after="120" w:line="240" w:lineRule="auto"/>
              <w:jc w:val="both"/>
              <w:rPr>
                <w:rFonts w:ascii="Times New Roman" w:hAnsi="Times New Roman"/>
                <w:i/>
                <w:color w:val="FF0000"/>
                <w:sz w:val="24"/>
                <w:szCs w:val="24"/>
              </w:rPr>
            </w:pPr>
          </w:p>
          <w:p w14:paraId="46574130" w14:textId="010ECE5C" w:rsidR="00587FF8" w:rsidRPr="00C7543D" w:rsidRDefault="00D93BD7" w:rsidP="00C7543D">
            <w:pPr>
              <w:spacing w:before="120" w:after="120" w:line="240" w:lineRule="auto"/>
              <w:jc w:val="both"/>
              <w:rPr>
                <w:rStyle w:val="normaltextrun"/>
                <w:rFonts w:ascii="Times New Roman" w:eastAsia="Times New Roman" w:hAnsi="Times New Roman" w:cs="Times New Roman"/>
                <w:b/>
                <w:i/>
                <w:iCs/>
                <w:sz w:val="24"/>
                <w:szCs w:val="24"/>
                <w:u w:val="single"/>
                <w:lang w:eastAsia="lv-LV"/>
              </w:rPr>
            </w:pPr>
            <w:r w:rsidRPr="008C2175">
              <w:rPr>
                <w:rFonts w:ascii="Times New Roman" w:eastAsia="Times New Roman" w:hAnsi="Times New Roman" w:cs="Times New Roman"/>
                <w:b/>
                <w:i/>
                <w:iCs/>
                <w:sz w:val="24"/>
                <w:szCs w:val="24"/>
                <w:u w:val="single"/>
                <w:lang w:eastAsia="lv-LV"/>
              </w:rPr>
              <w:t xml:space="preserve">4. OI </w:t>
            </w:r>
            <w:r w:rsidR="003857FD">
              <w:rPr>
                <w:rFonts w:ascii="Times New Roman" w:eastAsia="Times New Roman" w:hAnsi="Times New Roman" w:cs="Times New Roman"/>
                <w:b/>
                <w:i/>
                <w:iCs/>
                <w:sz w:val="24"/>
                <w:szCs w:val="24"/>
                <w:u w:val="single"/>
                <w:lang w:eastAsia="lv-LV"/>
              </w:rPr>
              <w:t>tiesības</w:t>
            </w:r>
          </w:p>
          <w:p w14:paraId="0D7DF49E" w14:textId="21CDC601" w:rsidR="00587FF8" w:rsidRPr="00587FF8" w:rsidRDefault="00587FF8" w:rsidP="004B2695">
            <w:pPr>
              <w:pStyle w:val="paragraph"/>
              <w:spacing w:before="120" w:beforeAutospacing="0" w:after="120" w:afterAutospacing="0"/>
              <w:jc w:val="both"/>
              <w:textAlignment w:val="baseline"/>
              <w:rPr>
                <w:rStyle w:val="normaltextrun"/>
                <w:b/>
                <w:i/>
              </w:rPr>
            </w:pPr>
            <w:r w:rsidRPr="00587FF8">
              <w:rPr>
                <w:rStyle w:val="normaltextrun"/>
                <w:b/>
                <w:i/>
              </w:rPr>
              <w:lastRenderedPageBreak/>
              <w:t>Izsniegtās atļaujas</w:t>
            </w:r>
          </w:p>
          <w:p w14:paraId="6B6F0218" w14:textId="2A3658D7" w:rsidR="00795E4D" w:rsidRPr="00795E4D" w:rsidRDefault="00795E4D" w:rsidP="004B2695">
            <w:pPr>
              <w:pStyle w:val="paragraph"/>
              <w:spacing w:before="120" w:beforeAutospacing="0" w:after="120" w:afterAutospacing="0"/>
              <w:jc w:val="both"/>
              <w:textAlignment w:val="baseline"/>
              <w:rPr>
                <w:rStyle w:val="normaltextrun"/>
                <w:rFonts w:ascii="Segoe UI" w:hAnsi="Segoe UI" w:cs="Segoe UI"/>
                <w:sz w:val="18"/>
                <w:szCs w:val="18"/>
              </w:rPr>
            </w:pPr>
            <w:r w:rsidRPr="00795E4D">
              <w:rPr>
                <w:rStyle w:val="normaltextrun"/>
              </w:rPr>
              <w:t>Šobrīd spēkā esošas elektroenerģijas OI tiesības ir 356 elektroenerģijas ražošanu un pārdošanu publiskajam tirgotājam uzsākušām elektrostacijām:</w:t>
            </w:r>
          </w:p>
          <w:p w14:paraId="1CB047D6" w14:textId="5DBA12A2" w:rsidR="00795E4D" w:rsidRPr="00795E4D" w:rsidRDefault="00795E4D" w:rsidP="00172696">
            <w:pPr>
              <w:pStyle w:val="paragraph"/>
              <w:numPr>
                <w:ilvl w:val="0"/>
                <w:numId w:val="16"/>
              </w:numPr>
              <w:spacing w:before="0" w:beforeAutospacing="0" w:after="0" w:afterAutospacing="0"/>
              <w:ind w:left="357" w:hanging="357"/>
              <w:jc w:val="both"/>
              <w:textAlignment w:val="baseline"/>
              <w:rPr>
                <w:rStyle w:val="normaltextrun"/>
                <w:rFonts w:ascii="Segoe UI" w:hAnsi="Segoe UI" w:cs="Segoe UI"/>
                <w:sz w:val="18"/>
                <w:szCs w:val="18"/>
              </w:rPr>
            </w:pPr>
            <w:r w:rsidRPr="00795E4D">
              <w:rPr>
                <w:rStyle w:val="normaltextrun"/>
              </w:rPr>
              <w:t xml:space="preserve"> 53 biogāzes stacij</w:t>
            </w:r>
            <w:r w:rsidR="00591DB8">
              <w:rPr>
                <w:rStyle w:val="normaltextrun"/>
              </w:rPr>
              <w:t>ām</w:t>
            </w:r>
            <w:r w:rsidRPr="00795E4D">
              <w:rPr>
                <w:rStyle w:val="normaltextrun"/>
              </w:rPr>
              <w:t xml:space="preserve"> – 33 saskaņā ar MK noteikumiem Nr.262, 20 saskaņā ar MK noteikumiem Nr.221;</w:t>
            </w:r>
          </w:p>
          <w:p w14:paraId="31C08C9F" w14:textId="29A51775" w:rsidR="00795E4D" w:rsidRPr="00795E4D" w:rsidRDefault="00795E4D" w:rsidP="00172696">
            <w:pPr>
              <w:pStyle w:val="paragraph"/>
              <w:numPr>
                <w:ilvl w:val="0"/>
                <w:numId w:val="16"/>
              </w:numPr>
              <w:spacing w:before="0" w:beforeAutospacing="0" w:after="0" w:afterAutospacing="0"/>
              <w:ind w:left="357" w:hanging="357"/>
              <w:jc w:val="both"/>
              <w:textAlignment w:val="baseline"/>
              <w:rPr>
                <w:rStyle w:val="normaltextrun"/>
                <w:rFonts w:ascii="Segoe UI" w:hAnsi="Segoe UI" w:cs="Segoe UI"/>
                <w:sz w:val="18"/>
                <w:szCs w:val="18"/>
              </w:rPr>
            </w:pPr>
            <w:r w:rsidRPr="00795E4D">
              <w:rPr>
                <w:rStyle w:val="normaltextrun"/>
              </w:rPr>
              <w:t xml:space="preserve"> 46 biomasas stacij</w:t>
            </w:r>
            <w:r w:rsidR="00591DB8">
              <w:rPr>
                <w:rStyle w:val="normaltextrun"/>
              </w:rPr>
              <w:t>ām</w:t>
            </w:r>
            <w:r w:rsidRPr="00795E4D">
              <w:rPr>
                <w:rStyle w:val="normaltextrun"/>
              </w:rPr>
              <w:t xml:space="preserve"> – 8 saskaņā ar MK noteikumiem Nr.262, 38 saskaņā ar MK noteikumiem Nr.221</w:t>
            </w:r>
          </w:p>
          <w:p w14:paraId="42DF8C39" w14:textId="3F20C277" w:rsidR="00795E4D" w:rsidRPr="00795E4D" w:rsidRDefault="00795E4D" w:rsidP="00172696">
            <w:pPr>
              <w:pStyle w:val="paragraph"/>
              <w:numPr>
                <w:ilvl w:val="0"/>
                <w:numId w:val="16"/>
              </w:numPr>
              <w:spacing w:before="0" w:beforeAutospacing="0" w:after="0" w:afterAutospacing="0"/>
              <w:ind w:left="357" w:hanging="357"/>
              <w:jc w:val="both"/>
              <w:textAlignment w:val="baseline"/>
              <w:rPr>
                <w:rStyle w:val="normaltextrun"/>
                <w:rFonts w:ascii="Segoe UI" w:hAnsi="Segoe UI" w:cs="Segoe UI"/>
                <w:sz w:val="18"/>
                <w:szCs w:val="18"/>
              </w:rPr>
            </w:pPr>
            <w:r w:rsidRPr="00795E4D">
              <w:rPr>
                <w:rStyle w:val="normaltextrun"/>
              </w:rPr>
              <w:t xml:space="preserve"> 64 dabasgāzes stacij</w:t>
            </w:r>
            <w:r w:rsidR="00591DB8">
              <w:rPr>
                <w:rStyle w:val="normaltextrun"/>
              </w:rPr>
              <w:t>ām</w:t>
            </w:r>
            <w:r w:rsidRPr="00795E4D">
              <w:rPr>
                <w:rStyle w:val="normaltextrun"/>
              </w:rPr>
              <w:t xml:space="preserve"> saskaņā ar MK noteikumiem Nr.221</w:t>
            </w:r>
          </w:p>
          <w:p w14:paraId="15134618" w14:textId="6F735F82" w:rsidR="00795E4D" w:rsidRPr="00795E4D" w:rsidRDefault="00795E4D" w:rsidP="00172696">
            <w:pPr>
              <w:pStyle w:val="paragraph"/>
              <w:numPr>
                <w:ilvl w:val="0"/>
                <w:numId w:val="16"/>
              </w:numPr>
              <w:spacing w:before="0" w:beforeAutospacing="0" w:after="0" w:afterAutospacing="0"/>
              <w:ind w:left="357" w:hanging="357"/>
              <w:jc w:val="both"/>
              <w:textAlignment w:val="baseline"/>
              <w:rPr>
                <w:rStyle w:val="normaltextrun"/>
                <w:rFonts w:ascii="Segoe UI" w:hAnsi="Segoe UI" w:cs="Segoe UI"/>
                <w:sz w:val="18"/>
                <w:szCs w:val="18"/>
              </w:rPr>
            </w:pPr>
            <w:r w:rsidRPr="00795E4D">
              <w:rPr>
                <w:rStyle w:val="normaltextrun"/>
              </w:rPr>
              <w:t xml:space="preserve">141 </w:t>
            </w:r>
            <w:r w:rsidR="00591DB8">
              <w:rPr>
                <w:rStyle w:val="normaltextrun"/>
              </w:rPr>
              <w:t>hidroelektrostacijām (turpmāk -</w:t>
            </w:r>
            <w:r w:rsidRPr="00795E4D">
              <w:rPr>
                <w:rStyle w:val="normaltextrun"/>
              </w:rPr>
              <w:t>HES</w:t>
            </w:r>
            <w:r w:rsidR="00591DB8">
              <w:rPr>
                <w:rStyle w:val="normaltextrun"/>
              </w:rPr>
              <w:t>)</w:t>
            </w:r>
            <w:r w:rsidRPr="00795E4D">
              <w:rPr>
                <w:rStyle w:val="normaltextrun"/>
              </w:rPr>
              <w:t xml:space="preserve"> saskaņā ar MK noteikumiem Nr.262</w:t>
            </w:r>
          </w:p>
          <w:p w14:paraId="1F74C2F7" w14:textId="32034AC4" w:rsidR="00795E4D" w:rsidRPr="00795E4D" w:rsidRDefault="00795E4D" w:rsidP="00172696">
            <w:pPr>
              <w:pStyle w:val="paragraph"/>
              <w:numPr>
                <w:ilvl w:val="0"/>
                <w:numId w:val="16"/>
              </w:numPr>
              <w:spacing w:before="0" w:beforeAutospacing="0" w:after="0" w:afterAutospacing="0"/>
              <w:ind w:left="357" w:hanging="357"/>
              <w:jc w:val="both"/>
              <w:textAlignment w:val="baseline"/>
              <w:rPr>
                <w:rStyle w:val="normaltextrun"/>
                <w:rFonts w:ascii="Segoe UI" w:hAnsi="Segoe UI" w:cs="Segoe UI"/>
                <w:sz w:val="18"/>
                <w:szCs w:val="18"/>
              </w:rPr>
            </w:pPr>
            <w:r w:rsidRPr="00795E4D">
              <w:rPr>
                <w:rStyle w:val="normaltextrun"/>
              </w:rPr>
              <w:t>52 vēja elektrostacij</w:t>
            </w:r>
            <w:r w:rsidR="00591DB8">
              <w:rPr>
                <w:rStyle w:val="normaltextrun"/>
              </w:rPr>
              <w:t>ām</w:t>
            </w:r>
            <w:r w:rsidRPr="00795E4D">
              <w:rPr>
                <w:rStyle w:val="normaltextrun"/>
              </w:rPr>
              <w:t xml:space="preserve"> – 38 saskaņā ar MK noteikumiem Nr.262, 13 saskaņā ar ETL </w:t>
            </w:r>
            <w:r w:rsidR="00591DB8">
              <w:rPr>
                <w:rStyle w:val="normaltextrun"/>
              </w:rPr>
              <w:t>P</w:t>
            </w:r>
            <w:r w:rsidRPr="00795E4D">
              <w:rPr>
                <w:rStyle w:val="normaltextrun"/>
              </w:rPr>
              <w:t>ārejas noteikumu 52.punktu</w:t>
            </w:r>
            <w:r w:rsidR="00591DB8">
              <w:rPr>
                <w:rStyle w:val="normaltextrun"/>
              </w:rPr>
              <w:t>.</w:t>
            </w:r>
            <w:r w:rsidRPr="00795E4D">
              <w:rPr>
                <w:rStyle w:val="normaltextrun"/>
              </w:rPr>
              <w:t xml:space="preserve"> 1 elektrostacija, kas darbību uzsākusi pirms ETL spēkā stāšanās, ir izvēlējusies tiesības pāriet uz MK noteikumu Nr.262 cenas aprēķināšanas formulām.</w:t>
            </w:r>
          </w:p>
          <w:p w14:paraId="5D6832B4" w14:textId="53BAE4C1" w:rsidR="00795E4D" w:rsidRPr="00795E4D" w:rsidRDefault="00795E4D" w:rsidP="004B2695">
            <w:pPr>
              <w:pStyle w:val="paragraph"/>
              <w:spacing w:before="120" w:beforeAutospacing="0" w:after="120" w:afterAutospacing="0"/>
              <w:jc w:val="both"/>
              <w:textAlignment w:val="baseline"/>
              <w:rPr>
                <w:rFonts w:ascii="Segoe UI" w:hAnsi="Segoe UI" w:cs="Segoe UI"/>
                <w:sz w:val="18"/>
                <w:szCs w:val="18"/>
              </w:rPr>
            </w:pPr>
            <w:r w:rsidRPr="00795E4D">
              <w:rPr>
                <w:rStyle w:val="normaltextrun"/>
              </w:rPr>
              <w:t>Tiesības saņemt garantētu maksu par koģenerācijas stacijā uzstādīto elektrisko jaudu saskaņā ar MK noteikumiem Nr.221</w:t>
            </w:r>
            <w:r w:rsidRPr="00BD28C5">
              <w:rPr>
                <w:rStyle w:val="normaltextrun"/>
              </w:rPr>
              <w:t xml:space="preserve"> </w:t>
            </w:r>
            <w:r w:rsidR="00CC2104" w:rsidRPr="00BD28C5">
              <w:rPr>
                <w:rStyle w:val="normaltextrun"/>
              </w:rPr>
              <w:t>ir</w:t>
            </w:r>
            <w:r w:rsidR="00CC2104">
              <w:rPr>
                <w:rStyle w:val="normaltextrun"/>
              </w:rPr>
              <w:t xml:space="preserve"> </w:t>
            </w:r>
            <w:r w:rsidR="00BD28C5">
              <w:rPr>
                <w:rStyle w:val="normaltextrun"/>
              </w:rPr>
              <w:t xml:space="preserve">5 </w:t>
            </w:r>
            <w:r w:rsidRPr="00795E4D">
              <w:rPr>
                <w:rStyle w:val="normaltextrun"/>
              </w:rPr>
              <w:t>koģenerācijas stacijām (4 dabasgāzes stacij</w:t>
            </w:r>
            <w:r w:rsidR="00CC2104">
              <w:rPr>
                <w:rStyle w:val="normaltextrun"/>
              </w:rPr>
              <w:t>ām un</w:t>
            </w:r>
            <w:r w:rsidRPr="00795E4D">
              <w:rPr>
                <w:rStyle w:val="normaltextrun"/>
              </w:rPr>
              <w:t xml:space="preserve"> 1 biomasas koģenerācijas stacija</w:t>
            </w:r>
            <w:r w:rsidR="00CC2104">
              <w:rPr>
                <w:rStyle w:val="normaltextrun"/>
              </w:rPr>
              <w:t>i</w:t>
            </w:r>
            <w:r w:rsidRPr="00795E4D">
              <w:rPr>
                <w:rStyle w:val="normaltextrun"/>
              </w:rPr>
              <w:t>).</w:t>
            </w:r>
          </w:p>
          <w:p w14:paraId="03154CE3" w14:textId="35EFC07F" w:rsidR="00587FF8" w:rsidRPr="00587FF8" w:rsidRDefault="00587FF8" w:rsidP="004B2695">
            <w:pPr>
              <w:pStyle w:val="paragraph"/>
              <w:spacing w:before="120" w:beforeAutospacing="0" w:after="120" w:afterAutospacing="0"/>
              <w:jc w:val="both"/>
              <w:textAlignment w:val="baseline"/>
              <w:rPr>
                <w:rStyle w:val="normaltextrun"/>
                <w:b/>
                <w:i/>
              </w:rPr>
            </w:pPr>
            <w:r w:rsidRPr="00587FF8">
              <w:rPr>
                <w:rStyle w:val="normaltextrun"/>
                <w:b/>
                <w:i/>
              </w:rPr>
              <w:t>Atļauju termiņi</w:t>
            </w:r>
          </w:p>
          <w:p w14:paraId="016E0D58" w14:textId="6CF4B6CA" w:rsidR="00CC2104" w:rsidRDefault="00795E4D" w:rsidP="004B2695">
            <w:pPr>
              <w:pStyle w:val="paragraph"/>
              <w:spacing w:before="120" w:beforeAutospacing="0" w:after="120" w:afterAutospacing="0"/>
              <w:jc w:val="both"/>
              <w:textAlignment w:val="baseline"/>
              <w:rPr>
                <w:rStyle w:val="normaltextrun"/>
              </w:rPr>
            </w:pPr>
            <w:r w:rsidRPr="00795E4D">
              <w:rPr>
                <w:rStyle w:val="normaltextrun"/>
              </w:rPr>
              <w:t>MK noteikumos Nr.262 atbalsta periods ir noteikts 20 gadi, sākot no elektrostacijas ekspluatācijas uzsākšanas dienas, izņemot HES, kurām tie ir 20 gadi kopš EM pieņēmusi lēmumu par OI tiesību piešķiršanu. Otrajos 10 gados</w:t>
            </w:r>
            <w:r w:rsidR="00CC2104">
              <w:rPr>
                <w:rStyle w:val="normaltextrun"/>
              </w:rPr>
              <w:t xml:space="preserve"> visām elektrostacijām</w:t>
            </w:r>
            <w:r w:rsidRPr="00795E4D">
              <w:rPr>
                <w:rStyle w:val="normaltextrun"/>
              </w:rPr>
              <w:t xml:space="preserve"> tiek piemērota samazināta iepirkuma cena. </w:t>
            </w:r>
          </w:p>
          <w:p w14:paraId="7602964C" w14:textId="77777777" w:rsidR="00CC2104" w:rsidRDefault="00795E4D" w:rsidP="004B2695">
            <w:pPr>
              <w:pStyle w:val="paragraph"/>
              <w:spacing w:before="120" w:beforeAutospacing="0" w:after="120" w:afterAutospacing="0"/>
              <w:jc w:val="both"/>
              <w:textAlignment w:val="baseline"/>
              <w:rPr>
                <w:rStyle w:val="normaltextrun"/>
              </w:rPr>
            </w:pPr>
            <w:r w:rsidRPr="00795E4D">
              <w:rPr>
                <w:rStyle w:val="normaltextrun"/>
              </w:rPr>
              <w:t xml:space="preserve">Arī ETL pārejas noteikumu 52.punktā ir noteikts, ka ražotājiem, kas elektroenerģijas ražošanai izmanto atjaunojamos energoresursus un kas uzsākuši darbību pirms ETL spēkā stāšanās, tiesības pārdot elektroenerģiju publiskajam tirgotājam ir 20 gadus no elektrostacijas ekspluatācijas uzsākšanas dienas. </w:t>
            </w:r>
          </w:p>
          <w:p w14:paraId="5C4CDDB1" w14:textId="77777777" w:rsidR="00795E4D" w:rsidRPr="00795E4D" w:rsidRDefault="00795E4D" w:rsidP="004B2695">
            <w:pPr>
              <w:pStyle w:val="paragraph"/>
              <w:spacing w:before="120" w:beforeAutospacing="0" w:after="120" w:afterAutospacing="0"/>
              <w:jc w:val="both"/>
              <w:textAlignment w:val="baseline"/>
              <w:rPr>
                <w:rStyle w:val="normaltextrun"/>
              </w:rPr>
            </w:pPr>
            <w:r w:rsidRPr="00795E4D">
              <w:rPr>
                <w:rStyle w:val="normaltextrun"/>
              </w:rPr>
              <w:t xml:space="preserve">MK noteikumos Nr.221 noteiktais atbalsta periods ir 10 gadi kopš koģenerācijas stacija ir nodota ekspluatācijā saskaņā ar sistēmas operatora izdotu atļauju pieslēgt sistēmai koģenerācijas staciju vai atsevišķu šīs elektrostacijas koģenerācijas iekārtu, bet, ja šāda atļauja nav izsniegta, ar stacijas ekspluatācijā pieņemšanas dienu. Ņemot vērā, ka atbalsta termiņš tika noteikts tikai 2012.gadā, MK noteikumos Nr.221 tika noteikts pārejas periods līdz 2017.gada 1.jūlijam šīs normas par atbalsta perioda ierobežošanu piemērošanai. </w:t>
            </w:r>
          </w:p>
          <w:p w14:paraId="22900212" w14:textId="435821DC" w:rsidR="00897620" w:rsidRDefault="00795E4D" w:rsidP="004B2695">
            <w:pPr>
              <w:pStyle w:val="paragraph"/>
              <w:spacing w:before="120" w:beforeAutospacing="0" w:after="120" w:afterAutospacing="0"/>
              <w:jc w:val="both"/>
              <w:textAlignment w:val="baseline"/>
              <w:rPr>
                <w:rStyle w:val="normaltextrun"/>
              </w:rPr>
            </w:pPr>
            <w:r w:rsidRPr="00795E4D">
              <w:rPr>
                <w:rStyle w:val="normaltextrun"/>
              </w:rPr>
              <w:t xml:space="preserve">Līdz ar to kopš 2017.gada 1.jūlija pirmajām elektrostacijām sāk beigties atbalsta termiņi. </w:t>
            </w:r>
            <w:r w:rsidRPr="00CC2104">
              <w:rPr>
                <w:rStyle w:val="normaltextrun"/>
                <w:b/>
              </w:rPr>
              <w:t xml:space="preserve">Elektrostaciju atbalsta </w:t>
            </w:r>
            <w:r w:rsidR="00CC2104">
              <w:rPr>
                <w:rStyle w:val="normaltextrun"/>
                <w:b/>
              </w:rPr>
              <w:t xml:space="preserve">beigu </w:t>
            </w:r>
            <w:r w:rsidRPr="00CC2104">
              <w:rPr>
                <w:rStyle w:val="normaltextrun"/>
                <w:b/>
              </w:rPr>
              <w:t>termiņu iestāšanās redzama</w:t>
            </w:r>
            <w:r w:rsidR="00897620">
              <w:rPr>
                <w:rStyle w:val="normaltextrun"/>
                <w:b/>
              </w:rPr>
              <w:t xml:space="preserve"> 1.</w:t>
            </w:r>
            <w:r w:rsidRPr="00CC2104">
              <w:rPr>
                <w:rStyle w:val="normaltextrun"/>
                <w:b/>
              </w:rPr>
              <w:t>tabulā</w:t>
            </w:r>
            <w:r w:rsidRPr="00795E4D">
              <w:rPr>
                <w:rStyle w:val="normaltextrun"/>
              </w:rPr>
              <w:t>:</w:t>
            </w:r>
          </w:p>
          <w:p w14:paraId="0BE1ACE4" w14:textId="478D94D2" w:rsidR="00795E4D" w:rsidRPr="00897620" w:rsidDel="0045589E" w:rsidRDefault="00795E4D" w:rsidP="004B2695">
            <w:pPr>
              <w:pStyle w:val="paragraph"/>
              <w:spacing w:before="120" w:beforeAutospacing="0" w:after="120" w:afterAutospacing="0"/>
              <w:jc w:val="right"/>
              <w:textAlignment w:val="baseline"/>
              <w:rPr>
                <w:rStyle w:val="normaltextrun"/>
                <w:i/>
              </w:rPr>
            </w:pPr>
            <w:r w:rsidRPr="00795E4D">
              <w:rPr>
                <w:rStyle w:val="normaltextrun"/>
              </w:rPr>
              <w:br/>
            </w:r>
            <w:r w:rsidR="00897620" w:rsidRPr="00897620">
              <w:rPr>
                <w:rStyle w:val="normaltextrun"/>
                <w:i/>
              </w:rPr>
              <w:t>1.tabula</w:t>
            </w:r>
          </w:p>
          <w:tbl>
            <w:tblPr>
              <w:tblW w:w="6055" w:type="dxa"/>
              <w:jc w:val="center"/>
              <w:tblLayout w:type="fixed"/>
              <w:tblLook w:val="04A0" w:firstRow="1" w:lastRow="0" w:firstColumn="1" w:lastColumn="0" w:noHBand="0" w:noVBand="1"/>
            </w:tblPr>
            <w:tblGrid>
              <w:gridCol w:w="950"/>
              <w:gridCol w:w="2161"/>
              <w:gridCol w:w="818"/>
              <w:gridCol w:w="2126"/>
            </w:tblGrid>
            <w:tr w:rsidR="006E4676" w:rsidRPr="00795E4D" w14:paraId="4233768C" w14:textId="77777777" w:rsidTr="00F25F22">
              <w:trPr>
                <w:trHeight w:val="257"/>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25548" w14:textId="77777777" w:rsidR="006E4676" w:rsidRPr="00795E4D" w:rsidRDefault="006E4676" w:rsidP="00155ECE">
                  <w:pPr>
                    <w:spacing w:after="0" w:line="240" w:lineRule="auto"/>
                    <w:jc w:val="center"/>
                    <w:rPr>
                      <w:rFonts w:ascii="Times New Roman" w:eastAsia="Times New Roman" w:hAnsi="Times New Roman" w:cs="Times New Roman"/>
                      <w:b/>
                      <w:bCs/>
                      <w:lang w:eastAsia="lv-LV"/>
                    </w:rPr>
                  </w:pPr>
                  <w:r w:rsidRPr="00795E4D">
                    <w:rPr>
                      <w:rFonts w:ascii="Times New Roman" w:eastAsia="Times New Roman" w:hAnsi="Times New Roman" w:cs="Times New Roman"/>
                      <w:b/>
                      <w:bCs/>
                      <w:lang w:eastAsia="lv-LV"/>
                    </w:rPr>
                    <w:t>Gads</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14:paraId="337E9CAC" w14:textId="77777777" w:rsidR="006E4676" w:rsidRPr="00795E4D" w:rsidRDefault="006E4676" w:rsidP="00155ECE">
                  <w:pPr>
                    <w:spacing w:after="0" w:line="240" w:lineRule="auto"/>
                    <w:rPr>
                      <w:rFonts w:ascii="Times New Roman" w:eastAsia="Times New Roman" w:hAnsi="Times New Roman" w:cs="Times New Roman"/>
                      <w:b/>
                      <w:bCs/>
                      <w:lang w:eastAsia="lv-LV"/>
                    </w:rPr>
                  </w:pPr>
                  <w:r w:rsidRPr="00795E4D">
                    <w:rPr>
                      <w:rFonts w:ascii="Times New Roman" w:eastAsia="Times New Roman" w:hAnsi="Times New Roman" w:cs="Times New Roman"/>
                      <w:b/>
                      <w:bCs/>
                      <w:lang w:eastAsia="lv-LV"/>
                    </w:rPr>
                    <w:t>Elektrostaciju skaits</w:t>
                  </w:r>
                  <w:r>
                    <w:rPr>
                      <w:rFonts w:ascii="Times New Roman" w:eastAsia="Times New Roman" w:hAnsi="Times New Roman" w:cs="Times New Roman"/>
                      <w:b/>
                      <w:bCs/>
                      <w:lang w:eastAsia="lv-LV"/>
                    </w:rPr>
                    <w:t>, kam beidzas atbalsta termiņš</w:t>
                  </w:r>
                </w:p>
              </w:tc>
              <w:tc>
                <w:tcPr>
                  <w:tcW w:w="818" w:type="dxa"/>
                  <w:tcBorders>
                    <w:top w:val="single" w:sz="4" w:space="0" w:color="auto"/>
                    <w:left w:val="nil"/>
                    <w:bottom w:val="single" w:sz="4" w:space="0" w:color="auto"/>
                    <w:right w:val="single" w:sz="4" w:space="0" w:color="auto"/>
                  </w:tcBorders>
                  <w:vAlign w:val="bottom"/>
                </w:tcPr>
                <w:p w14:paraId="1B4D5385" w14:textId="77777777" w:rsidR="006E4676" w:rsidRPr="00795E4D" w:rsidRDefault="006E4676" w:rsidP="00155ECE">
                  <w:pPr>
                    <w:spacing w:after="0" w:line="240" w:lineRule="auto"/>
                    <w:jc w:val="center"/>
                    <w:rPr>
                      <w:rFonts w:ascii="Times New Roman" w:eastAsia="Times New Roman" w:hAnsi="Times New Roman" w:cs="Times New Roman"/>
                      <w:b/>
                      <w:bCs/>
                      <w:lang w:eastAsia="lv-LV"/>
                    </w:rPr>
                  </w:pPr>
                  <w:r w:rsidRPr="00795E4D">
                    <w:rPr>
                      <w:rFonts w:ascii="Times New Roman" w:eastAsia="Times New Roman" w:hAnsi="Times New Roman" w:cs="Times New Roman"/>
                      <w:b/>
                      <w:bCs/>
                      <w:lang w:eastAsia="lv-LV"/>
                    </w:rPr>
                    <w:t>Gads</w:t>
                  </w:r>
                </w:p>
              </w:tc>
              <w:tc>
                <w:tcPr>
                  <w:tcW w:w="2126" w:type="dxa"/>
                  <w:tcBorders>
                    <w:top w:val="single" w:sz="4" w:space="0" w:color="auto"/>
                    <w:left w:val="nil"/>
                    <w:bottom w:val="single" w:sz="4" w:space="0" w:color="auto"/>
                    <w:right w:val="single" w:sz="4" w:space="0" w:color="auto"/>
                  </w:tcBorders>
                </w:tcPr>
                <w:p w14:paraId="0089D16A" w14:textId="77777777" w:rsidR="006E4676" w:rsidRPr="00795E4D" w:rsidRDefault="006E4676" w:rsidP="00155ECE">
                  <w:pPr>
                    <w:spacing w:after="0" w:line="240" w:lineRule="auto"/>
                    <w:rPr>
                      <w:rFonts w:ascii="Times New Roman" w:eastAsia="Times New Roman" w:hAnsi="Times New Roman" w:cs="Times New Roman"/>
                      <w:b/>
                      <w:bCs/>
                      <w:lang w:eastAsia="lv-LV"/>
                    </w:rPr>
                  </w:pPr>
                  <w:r w:rsidRPr="00795E4D">
                    <w:rPr>
                      <w:rFonts w:ascii="Times New Roman" w:eastAsia="Times New Roman" w:hAnsi="Times New Roman" w:cs="Times New Roman"/>
                      <w:b/>
                      <w:bCs/>
                      <w:lang w:eastAsia="lv-LV"/>
                    </w:rPr>
                    <w:t>Elektrostaciju skaits</w:t>
                  </w:r>
                  <w:r>
                    <w:rPr>
                      <w:rFonts w:ascii="Times New Roman" w:eastAsia="Times New Roman" w:hAnsi="Times New Roman" w:cs="Times New Roman"/>
                      <w:b/>
                      <w:bCs/>
                      <w:lang w:eastAsia="lv-LV"/>
                    </w:rPr>
                    <w:t>, kam beidzas atbalsta termiņš</w:t>
                  </w:r>
                </w:p>
              </w:tc>
            </w:tr>
            <w:tr w:rsidR="006E4676" w:rsidRPr="00795E4D" w14:paraId="04D4B4BB"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B57A4B0"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2017</w:t>
                  </w:r>
                </w:p>
              </w:tc>
              <w:tc>
                <w:tcPr>
                  <w:tcW w:w="2161" w:type="dxa"/>
                  <w:tcBorders>
                    <w:top w:val="nil"/>
                    <w:left w:val="nil"/>
                    <w:bottom w:val="single" w:sz="4" w:space="0" w:color="auto"/>
                    <w:right w:val="single" w:sz="4" w:space="0" w:color="auto"/>
                  </w:tcBorders>
                  <w:shd w:val="clear" w:color="auto" w:fill="auto"/>
                  <w:noWrap/>
                  <w:vAlign w:val="bottom"/>
                  <w:hideMark/>
                </w:tcPr>
                <w:p w14:paraId="7C55D258"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24</w:t>
                  </w:r>
                </w:p>
              </w:tc>
              <w:tc>
                <w:tcPr>
                  <w:tcW w:w="818" w:type="dxa"/>
                  <w:tcBorders>
                    <w:top w:val="nil"/>
                    <w:left w:val="nil"/>
                    <w:bottom w:val="single" w:sz="4" w:space="0" w:color="auto"/>
                    <w:right w:val="single" w:sz="4" w:space="0" w:color="auto"/>
                  </w:tcBorders>
                  <w:vAlign w:val="bottom"/>
                </w:tcPr>
                <w:p w14:paraId="03737514"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2027</w:t>
                  </w:r>
                </w:p>
              </w:tc>
              <w:tc>
                <w:tcPr>
                  <w:tcW w:w="2126" w:type="dxa"/>
                  <w:tcBorders>
                    <w:top w:val="nil"/>
                    <w:left w:val="nil"/>
                    <w:bottom w:val="single" w:sz="4" w:space="0" w:color="auto"/>
                    <w:right w:val="single" w:sz="4" w:space="0" w:color="auto"/>
                  </w:tcBorders>
                  <w:vAlign w:val="bottom"/>
                </w:tcPr>
                <w:p w14:paraId="7F5F4486"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52</w:t>
                  </w:r>
                </w:p>
              </w:tc>
            </w:tr>
            <w:tr w:rsidR="006E4676" w:rsidRPr="00795E4D" w14:paraId="5BD61AEB"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F261AB6"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2018</w:t>
                  </w:r>
                </w:p>
              </w:tc>
              <w:tc>
                <w:tcPr>
                  <w:tcW w:w="2161" w:type="dxa"/>
                  <w:tcBorders>
                    <w:top w:val="nil"/>
                    <w:left w:val="nil"/>
                    <w:bottom w:val="single" w:sz="4" w:space="0" w:color="auto"/>
                    <w:right w:val="single" w:sz="4" w:space="0" w:color="auto"/>
                  </w:tcBorders>
                  <w:shd w:val="clear" w:color="auto" w:fill="auto"/>
                  <w:noWrap/>
                  <w:vAlign w:val="bottom"/>
                  <w:hideMark/>
                </w:tcPr>
                <w:p w14:paraId="23DB9B79"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6</w:t>
                  </w:r>
                </w:p>
              </w:tc>
              <w:tc>
                <w:tcPr>
                  <w:tcW w:w="818" w:type="dxa"/>
                  <w:tcBorders>
                    <w:top w:val="nil"/>
                    <w:left w:val="nil"/>
                    <w:bottom w:val="single" w:sz="4" w:space="0" w:color="auto"/>
                    <w:right w:val="single" w:sz="4" w:space="0" w:color="auto"/>
                  </w:tcBorders>
                  <w:vAlign w:val="bottom"/>
                </w:tcPr>
                <w:p w14:paraId="3AE84567"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2028</w:t>
                  </w:r>
                </w:p>
              </w:tc>
              <w:tc>
                <w:tcPr>
                  <w:tcW w:w="2126" w:type="dxa"/>
                  <w:tcBorders>
                    <w:top w:val="nil"/>
                    <w:left w:val="nil"/>
                    <w:bottom w:val="single" w:sz="4" w:space="0" w:color="auto"/>
                    <w:right w:val="single" w:sz="4" w:space="0" w:color="auto"/>
                  </w:tcBorders>
                  <w:vAlign w:val="bottom"/>
                </w:tcPr>
                <w:p w14:paraId="7BBB4F17"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46</w:t>
                  </w:r>
                </w:p>
              </w:tc>
            </w:tr>
            <w:tr w:rsidR="006E4676" w:rsidRPr="00795E4D" w14:paraId="5A4B790B"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FD38310"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2019</w:t>
                  </w:r>
                </w:p>
              </w:tc>
              <w:tc>
                <w:tcPr>
                  <w:tcW w:w="2161" w:type="dxa"/>
                  <w:tcBorders>
                    <w:top w:val="nil"/>
                    <w:left w:val="nil"/>
                    <w:bottom w:val="single" w:sz="4" w:space="0" w:color="auto"/>
                    <w:right w:val="single" w:sz="4" w:space="0" w:color="auto"/>
                  </w:tcBorders>
                  <w:shd w:val="clear" w:color="auto" w:fill="auto"/>
                  <w:noWrap/>
                  <w:vAlign w:val="bottom"/>
                  <w:hideMark/>
                </w:tcPr>
                <w:p w14:paraId="3057C08D"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10</w:t>
                  </w:r>
                </w:p>
              </w:tc>
              <w:tc>
                <w:tcPr>
                  <w:tcW w:w="818" w:type="dxa"/>
                  <w:tcBorders>
                    <w:top w:val="nil"/>
                    <w:left w:val="nil"/>
                    <w:bottom w:val="single" w:sz="4" w:space="0" w:color="auto"/>
                    <w:right w:val="single" w:sz="4" w:space="0" w:color="auto"/>
                  </w:tcBorders>
                  <w:vAlign w:val="bottom"/>
                </w:tcPr>
                <w:p w14:paraId="31829C7E"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2029</w:t>
                  </w:r>
                </w:p>
              </w:tc>
              <w:tc>
                <w:tcPr>
                  <w:tcW w:w="2126" w:type="dxa"/>
                  <w:tcBorders>
                    <w:top w:val="nil"/>
                    <w:left w:val="nil"/>
                    <w:bottom w:val="single" w:sz="4" w:space="0" w:color="auto"/>
                    <w:right w:val="single" w:sz="4" w:space="0" w:color="auto"/>
                  </w:tcBorders>
                  <w:vAlign w:val="bottom"/>
                </w:tcPr>
                <w:p w14:paraId="7ABA5B3F"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44</w:t>
                  </w:r>
                </w:p>
              </w:tc>
            </w:tr>
            <w:tr w:rsidR="006E4676" w:rsidRPr="00795E4D" w14:paraId="3F0B9468"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C6F9043"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lastRenderedPageBreak/>
                    <w:t>2020</w:t>
                  </w:r>
                </w:p>
              </w:tc>
              <w:tc>
                <w:tcPr>
                  <w:tcW w:w="2161" w:type="dxa"/>
                  <w:tcBorders>
                    <w:top w:val="nil"/>
                    <w:left w:val="nil"/>
                    <w:bottom w:val="single" w:sz="4" w:space="0" w:color="auto"/>
                    <w:right w:val="single" w:sz="4" w:space="0" w:color="auto"/>
                  </w:tcBorders>
                  <w:shd w:val="clear" w:color="auto" w:fill="auto"/>
                  <w:noWrap/>
                  <w:vAlign w:val="bottom"/>
                  <w:hideMark/>
                </w:tcPr>
                <w:p w14:paraId="7EFE1814"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9</w:t>
                  </w:r>
                </w:p>
              </w:tc>
              <w:tc>
                <w:tcPr>
                  <w:tcW w:w="818" w:type="dxa"/>
                  <w:tcBorders>
                    <w:top w:val="nil"/>
                    <w:left w:val="nil"/>
                    <w:bottom w:val="single" w:sz="4" w:space="0" w:color="auto"/>
                    <w:right w:val="single" w:sz="4" w:space="0" w:color="auto"/>
                  </w:tcBorders>
                  <w:vAlign w:val="bottom"/>
                </w:tcPr>
                <w:p w14:paraId="74EEAAE1"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2030</w:t>
                  </w:r>
                </w:p>
              </w:tc>
              <w:tc>
                <w:tcPr>
                  <w:tcW w:w="2126" w:type="dxa"/>
                  <w:tcBorders>
                    <w:top w:val="nil"/>
                    <w:left w:val="nil"/>
                    <w:bottom w:val="single" w:sz="4" w:space="0" w:color="auto"/>
                    <w:right w:val="single" w:sz="4" w:space="0" w:color="auto"/>
                  </w:tcBorders>
                  <w:vAlign w:val="bottom"/>
                </w:tcPr>
                <w:p w14:paraId="031E5E12"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21</w:t>
                  </w:r>
                </w:p>
              </w:tc>
            </w:tr>
            <w:tr w:rsidR="006E4676" w:rsidRPr="00795E4D" w14:paraId="05D8F87B"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A4938A5"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2021</w:t>
                  </w:r>
                </w:p>
              </w:tc>
              <w:tc>
                <w:tcPr>
                  <w:tcW w:w="2161" w:type="dxa"/>
                  <w:tcBorders>
                    <w:top w:val="nil"/>
                    <w:left w:val="nil"/>
                    <w:bottom w:val="single" w:sz="4" w:space="0" w:color="auto"/>
                    <w:right w:val="single" w:sz="4" w:space="0" w:color="auto"/>
                  </w:tcBorders>
                  <w:shd w:val="clear" w:color="auto" w:fill="auto"/>
                  <w:noWrap/>
                  <w:vAlign w:val="bottom"/>
                  <w:hideMark/>
                </w:tcPr>
                <w:p w14:paraId="260EDAC6"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11</w:t>
                  </w:r>
                </w:p>
              </w:tc>
              <w:tc>
                <w:tcPr>
                  <w:tcW w:w="818" w:type="dxa"/>
                  <w:tcBorders>
                    <w:top w:val="nil"/>
                    <w:left w:val="nil"/>
                    <w:bottom w:val="single" w:sz="4" w:space="0" w:color="auto"/>
                    <w:right w:val="single" w:sz="4" w:space="0" w:color="auto"/>
                  </w:tcBorders>
                  <w:vAlign w:val="bottom"/>
                </w:tcPr>
                <w:p w14:paraId="22EBA6B0"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2031</w:t>
                  </w:r>
                </w:p>
              </w:tc>
              <w:tc>
                <w:tcPr>
                  <w:tcW w:w="2126" w:type="dxa"/>
                  <w:tcBorders>
                    <w:top w:val="nil"/>
                    <w:left w:val="nil"/>
                    <w:bottom w:val="single" w:sz="4" w:space="0" w:color="auto"/>
                    <w:right w:val="single" w:sz="4" w:space="0" w:color="auto"/>
                  </w:tcBorders>
                  <w:vAlign w:val="bottom"/>
                </w:tcPr>
                <w:p w14:paraId="45666FB9"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26</w:t>
                  </w:r>
                </w:p>
              </w:tc>
            </w:tr>
            <w:tr w:rsidR="006E4676" w:rsidRPr="00795E4D" w14:paraId="78CC72FC"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6FC14C37"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2022</w:t>
                  </w:r>
                </w:p>
              </w:tc>
              <w:tc>
                <w:tcPr>
                  <w:tcW w:w="2161" w:type="dxa"/>
                  <w:tcBorders>
                    <w:top w:val="nil"/>
                    <w:left w:val="nil"/>
                    <w:bottom w:val="single" w:sz="4" w:space="0" w:color="auto"/>
                    <w:right w:val="single" w:sz="4" w:space="0" w:color="auto"/>
                  </w:tcBorders>
                  <w:shd w:val="clear" w:color="auto" w:fill="auto"/>
                  <w:noWrap/>
                  <w:vAlign w:val="bottom"/>
                  <w:hideMark/>
                </w:tcPr>
                <w:p w14:paraId="6595C966"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47</w:t>
                  </w:r>
                </w:p>
              </w:tc>
              <w:tc>
                <w:tcPr>
                  <w:tcW w:w="818" w:type="dxa"/>
                  <w:tcBorders>
                    <w:top w:val="nil"/>
                    <w:left w:val="nil"/>
                    <w:bottom w:val="single" w:sz="4" w:space="0" w:color="auto"/>
                    <w:right w:val="single" w:sz="4" w:space="0" w:color="auto"/>
                  </w:tcBorders>
                  <w:vAlign w:val="bottom"/>
                </w:tcPr>
                <w:p w14:paraId="3E5C2BCA"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2032</w:t>
                  </w:r>
                </w:p>
              </w:tc>
              <w:tc>
                <w:tcPr>
                  <w:tcW w:w="2126" w:type="dxa"/>
                  <w:tcBorders>
                    <w:top w:val="nil"/>
                    <w:left w:val="nil"/>
                    <w:bottom w:val="single" w:sz="4" w:space="0" w:color="auto"/>
                    <w:right w:val="single" w:sz="4" w:space="0" w:color="auto"/>
                  </w:tcBorders>
                  <w:vAlign w:val="bottom"/>
                </w:tcPr>
                <w:p w14:paraId="7108C723"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30</w:t>
                  </w:r>
                </w:p>
              </w:tc>
            </w:tr>
            <w:tr w:rsidR="006E4676" w:rsidRPr="00795E4D" w14:paraId="506B65C3"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566435B1"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2023</w:t>
                  </w:r>
                </w:p>
              </w:tc>
              <w:tc>
                <w:tcPr>
                  <w:tcW w:w="2161" w:type="dxa"/>
                  <w:tcBorders>
                    <w:top w:val="nil"/>
                    <w:left w:val="nil"/>
                    <w:bottom w:val="single" w:sz="4" w:space="0" w:color="auto"/>
                    <w:right w:val="single" w:sz="4" w:space="0" w:color="auto"/>
                  </w:tcBorders>
                  <w:shd w:val="clear" w:color="auto" w:fill="auto"/>
                  <w:noWrap/>
                  <w:vAlign w:val="bottom"/>
                  <w:hideMark/>
                </w:tcPr>
                <w:p w14:paraId="5D6CA2C9"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25</w:t>
                  </w:r>
                </w:p>
              </w:tc>
              <w:tc>
                <w:tcPr>
                  <w:tcW w:w="818" w:type="dxa"/>
                  <w:tcBorders>
                    <w:top w:val="nil"/>
                    <w:left w:val="nil"/>
                    <w:bottom w:val="single" w:sz="4" w:space="0" w:color="auto"/>
                    <w:right w:val="single" w:sz="4" w:space="0" w:color="auto"/>
                  </w:tcBorders>
                  <w:vAlign w:val="bottom"/>
                </w:tcPr>
                <w:p w14:paraId="2BADF0E8"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2033</w:t>
                  </w:r>
                </w:p>
              </w:tc>
              <w:tc>
                <w:tcPr>
                  <w:tcW w:w="2126" w:type="dxa"/>
                  <w:tcBorders>
                    <w:top w:val="nil"/>
                    <w:left w:val="nil"/>
                    <w:bottom w:val="single" w:sz="4" w:space="0" w:color="auto"/>
                    <w:right w:val="single" w:sz="4" w:space="0" w:color="auto"/>
                  </w:tcBorders>
                  <w:vAlign w:val="bottom"/>
                </w:tcPr>
                <w:p w14:paraId="4AFFBFBC"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3</w:t>
                  </w:r>
                </w:p>
              </w:tc>
            </w:tr>
            <w:tr w:rsidR="006E4676" w:rsidRPr="00795E4D" w14:paraId="50D23B9E"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32BDB35"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2024</w:t>
                  </w:r>
                </w:p>
              </w:tc>
              <w:tc>
                <w:tcPr>
                  <w:tcW w:w="2161" w:type="dxa"/>
                  <w:tcBorders>
                    <w:top w:val="nil"/>
                    <w:left w:val="nil"/>
                    <w:bottom w:val="single" w:sz="4" w:space="0" w:color="auto"/>
                    <w:right w:val="single" w:sz="4" w:space="0" w:color="auto"/>
                  </w:tcBorders>
                  <w:shd w:val="clear" w:color="auto" w:fill="auto"/>
                  <w:noWrap/>
                  <w:vAlign w:val="bottom"/>
                  <w:hideMark/>
                </w:tcPr>
                <w:p w14:paraId="04855347"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17</w:t>
                  </w:r>
                </w:p>
              </w:tc>
              <w:tc>
                <w:tcPr>
                  <w:tcW w:w="818" w:type="dxa"/>
                  <w:tcBorders>
                    <w:top w:val="nil"/>
                    <w:left w:val="nil"/>
                    <w:bottom w:val="single" w:sz="4" w:space="0" w:color="auto"/>
                    <w:right w:val="single" w:sz="4" w:space="0" w:color="auto"/>
                  </w:tcBorders>
                  <w:vAlign w:val="bottom"/>
                </w:tcPr>
                <w:p w14:paraId="09D8882A"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2034</w:t>
                  </w:r>
                </w:p>
              </w:tc>
              <w:tc>
                <w:tcPr>
                  <w:tcW w:w="2126" w:type="dxa"/>
                  <w:tcBorders>
                    <w:top w:val="nil"/>
                    <w:left w:val="nil"/>
                    <w:bottom w:val="single" w:sz="4" w:space="0" w:color="auto"/>
                    <w:right w:val="single" w:sz="4" w:space="0" w:color="auto"/>
                  </w:tcBorders>
                  <w:vAlign w:val="bottom"/>
                </w:tcPr>
                <w:p w14:paraId="52EC5DAB"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0</w:t>
                  </w:r>
                </w:p>
              </w:tc>
            </w:tr>
            <w:tr w:rsidR="006E4676" w:rsidRPr="00795E4D" w14:paraId="5B3EFDEA"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2C45F5B7"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2025</w:t>
                  </w:r>
                </w:p>
              </w:tc>
              <w:tc>
                <w:tcPr>
                  <w:tcW w:w="2161" w:type="dxa"/>
                  <w:tcBorders>
                    <w:top w:val="nil"/>
                    <w:left w:val="nil"/>
                    <w:bottom w:val="single" w:sz="4" w:space="0" w:color="auto"/>
                    <w:right w:val="single" w:sz="4" w:space="0" w:color="auto"/>
                  </w:tcBorders>
                  <w:shd w:val="clear" w:color="auto" w:fill="auto"/>
                  <w:noWrap/>
                  <w:vAlign w:val="bottom"/>
                  <w:hideMark/>
                </w:tcPr>
                <w:p w14:paraId="12F034BE"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17</w:t>
                  </w:r>
                </w:p>
              </w:tc>
              <w:tc>
                <w:tcPr>
                  <w:tcW w:w="818" w:type="dxa"/>
                  <w:tcBorders>
                    <w:top w:val="nil"/>
                    <w:left w:val="nil"/>
                    <w:bottom w:val="single" w:sz="4" w:space="0" w:color="auto"/>
                    <w:right w:val="single" w:sz="4" w:space="0" w:color="auto"/>
                  </w:tcBorders>
                  <w:vAlign w:val="bottom"/>
                </w:tcPr>
                <w:p w14:paraId="24240689"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2035</w:t>
                  </w:r>
                </w:p>
              </w:tc>
              <w:tc>
                <w:tcPr>
                  <w:tcW w:w="2126" w:type="dxa"/>
                  <w:tcBorders>
                    <w:top w:val="nil"/>
                    <w:left w:val="nil"/>
                    <w:bottom w:val="single" w:sz="4" w:space="0" w:color="auto"/>
                    <w:right w:val="single" w:sz="4" w:space="0" w:color="auto"/>
                  </w:tcBorders>
                  <w:vAlign w:val="bottom"/>
                </w:tcPr>
                <w:p w14:paraId="151B8160"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0</w:t>
                  </w:r>
                </w:p>
              </w:tc>
            </w:tr>
            <w:tr w:rsidR="006E4676" w:rsidRPr="00795E4D" w14:paraId="32D84823" w14:textId="77777777" w:rsidTr="00F25F22">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1A9FE323" w14:textId="77777777" w:rsidR="006E4676" w:rsidRPr="00795E4D" w:rsidRDefault="006E4676" w:rsidP="00155ECE">
                  <w:pPr>
                    <w:spacing w:after="0" w:line="240" w:lineRule="auto"/>
                    <w:jc w:val="right"/>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2026</w:t>
                  </w:r>
                </w:p>
              </w:tc>
              <w:tc>
                <w:tcPr>
                  <w:tcW w:w="2161" w:type="dxa"/>
                  <w:tcBorders>
                    <w:top w:val="nil"/>
                    <w:left w:val="nil"/>
                    <w:bottom w:val="single" w:sz="4" w:space="0" w:color="auto"/>
                    <w:right w:val="single" w:sz="4" w:space="0" w:color="auto"/>
                  </w:tcBorders>
                  <w:shd w:val="clear" w:color="auto" w:fill="auto"/>
                  <w:noWrap/>
                  <w:vAlign w:val="bottom"/>
                  <w:hideMark/>
                </w:tcPr>
                <w:p w14:paraId="02D96320"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w:t>
                  </w:r>
                </w:p>
              </w:tc>
              <w:tc>
                <w:tcPr>
                  <w:tcW w:w="818" w:type="dxa"/>
                  <w:tcBorders>
                    <w:top w:val="nil"/>
                    <w:left w:val="nil"/>
                    <w:bottom w:val="single" w:sz="4" w:space="0" w:color="auto"/>
                    <w:right w:val="single" w:sz="4" w:space="0" w:color="auto"/>
                  </w:tcBorders>
                  <w:vAlign w:val="bottom"/>
                </w:tcPr>
                <w:p w14:paraId="68BC78F2"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2036</w:t>
                  </w:r>
                </w:p>
              </w:tc>
              <w:tc>
                <w:tcPr>
                  <w:tcW w:w="2126" w:type="dxa"/>
                  <w:tcBorders>
                    <w:top w:val="nil"/>
                    <w:left w:val="nil"/>
                    <w:bottom w:val="single" w:sz="4" w:space="0" w:color="auto"/>
                    <w:right w:val="single" w:sz="4" w:space="0" w:color="auto"/>
                  </w:tcBorders>
                  <w:vAlign w:val="bottom"/>
                </w:tcPr>
                <w:p w14:paraId="2178D035" w14:textId="77777777" w:rsidR="006E4676" w:rsidRPr="00795E4D" w:rsidRDefault="006E4676" w:rsidP="00155ECE">
                  <w:pPr>
                    <w:spacing w:after="0" w:line="240" w:lineRule="auto"/>
                    <w:jc w:val="center"/>
                    <w:rPr>
                      <w:rFonts w:ascii="Times New Roman" w:eastAsia="Times New Roman" w:hAnsi="Times New Roman" w:cs="Times New Roman"/>
                      <w:lang w:eastAsia="lv-LV"/>
                    </w:rPr>
                  </w:pPr>
                  <w:r w:rsidRPr="00795E4D">
                    <w:rPr>
                      <w:rFonts w:ascii="Times New Roman" w:eastAsia="Times New Roman" w:hAnsi="Times New Roman" w:cs="Times New Roman"/>
                      <w:lang w:eastAsia="lv-LV"/>
                    </w:rPr>
                    <w:t>1</w:t>
                  </w:r>
                </w:p>
              </w:tc>
            </w:tr>
          </w:tbl>
          <w:p w14:paraId="2E543A1D" w14:textId="77777777" w:rsidR="006E4676" w:rsidRDefault="006E4676" w:rsidP="004B2695">
            <w:pPr>
              <w:pStyle w:val="paragraph"/>
              <w:spacing w:before="120" w:beforeAutospacing="0" w:after="120" w:afterAutospacing="0"/>
              <w:jc w:val="both"/>
              <w:textAlignment w:val="baseline"/>
              <w:rPr>
                <w:rStyle w:val="normaltextrun"/>
              </w:rPr>
            </w:pPr>
          </w:p>
          <w:p w14:paraId="59358B8F" w14:textId="77777777" w:rsidR="00591DB8" w:rsidRDefault="00795E4D" w:rsidP="004B2695">
            <w:pPr>
              <w:pStyle w:val="paragraph"/>
              <w:spacing w:before="120" w:beforeAutospacing="0" w:after="120" w:afterAutospacing="0"/>
              <w:jc w:val="both"/>
              <w:textAlignment w:val="baseline"/>
              <w:rPr>
                <w:rStyle w:val="normaltextrun"/>
              </w:rPr>
            </w:pPr>
            <w:bookmarkStart w:id="1" w:name="_Hlk2617372"/>
            <w:r w:rsidRPr="00795E4D">
              <w:rPr>
                <w:rStyle w:val="normaltextrun"/>
              </w:rPr>
              <w:t xml:space="preserve">Jāņem vērā, ka par vairākiem </w:t>
            </w:r>
            <w:r w:rsidR="00CC2104">
              <w:rPr>
                <w:rStyle w:val="normaltextrun"/>
              </w:rPr>
              <w:t>EM</w:t>
            </w:r>
            <w:r w:rsidRPr="00795E4D">
              <w:rPr>
                <w:rStyle w:val="normaltextrun"/>
              </w:rPr>
              <w:t xml:space="preserve"> lēmumiem, ar kuriem atceltas komersantiem piešķirtās elektroenerģijas OI tiesības, notiek aktīva tiesvedība, jo tie ir pārsūdzēti administratīvajā tiesā, līdz ar to, komersantiem pozitīva tiesas nolēmuma gadījumā, spēkā esošo OI tiesību skaits var palielināties.</w:t>
            </w:r>
            <w:bookmarkStart w:id="2" w:name="_Hlk2617507"/>
            <w:bookmarkEnd w:id="1"/>
            <w:r w:rsidR="00BD28C5">
              <w:rPr>
                <w:rStyle w:val="normaltextrun"/>
              </w:rPr>
              <w:t xml:space="preserve"> </w:t>
            </w:r>
          </w:p>
          <w:p w14:paraId="61F913E7" w14:textId="2717DAE7" w:rsidR="00BD28C5" w:rsidRDefault="00BD28C5" w:rsidP="004B2695">
            <w:pPr>
              <w:pStyle w:val="paragraph"/>
              <w:spacing w:before="120" w:beforeAutospacing="0" w:after="120" w:afterAutospacing="0"/>
              <w:jc w:val="both"/>
              <w:textAlignment w:val="baseline"/>
            </w:pPr>
            <w:r>
              <w:rPr>
                <w:rStyle w:val="normaltextrun"/>
              </w:rPr>
              <w:t>E</w:t>
            </w:r>
            <w:r w:rsidR="00795E4D" w:rsidRPr="00795E4D">
              <w:rPr>
                <w:rStyle w:val="normaltextrun"/>
              </w:rPr>
              <w:t>lektroenerģijas ražošanu un pārdošanu</w:t>
            </w:r>
            <w:r w:rsidR="00ED6581">
              <w:rPr>
                <w:rStyle w:val="normaltextrun"/>
              </w:rPr>
              <w:t xml:space="preserve"> dēļ dažāda rakstura tiesvedībām</w:t>
            </w:r>
            <w:r w:rsidR="00795E4D" w:rsidRPr="00795E4D">
              <w:rPr>
                <w:rStyle w:val="normaltextrun"/>
              </w:rPr>
              <w:t xml:space="preserve"> nav uzsākuši </w:t>
            </w:r>
            <w:r w:rsidR="004344D8">
              <w:rPr>
                <w:rStyle w:val="normaltextrun"/>
              </w:rPr>
              <w:t xml:space="preserve">5 komersanti, no kuriem paredzams, ka darbību varētu uzsākt tikai viens. </w:t>
            </w:r>
          </w:p>
          <w:bookmarkEnd w:id="2"/>
          <w:p w14:paraId="7B2EE26E" w14:textId="77777777" w:rsidR="00B7486A" w:rsidRDefault="00B7486A" w:rsidP="004B2695">
            <w:pPr>
              <w:spacing w:before="120" w:after="120" w:line="240" w:lineRule="auto"/>
              <w:jc w:val="both"/>
              <w:rPr>
                <w:rFonts w:ascii="Times New Roman" w:eastAsia="Times New Roman" w:hAnsi="Times New Roman" w:cs="Times New Roman"/>
                <w:sz w:val="24"/>
                <w:szCs w:val="24"/>
                <w:lang w:eastAsia="lv-LV"/>
              </w:rPr>
            </w:pPr>
          </w:p>
          <w:p w14:paraId="48B5112D" w14:textId="7637DD44" w:rsidR="00B7486A" w:rsidRDefault="00CB6B4C"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A20159">
              <w:rPr>
                <w:rFonts w:ascii="Times New Roman" w:eastAsia="Times New Roman" w:hAnsi="Times New Roman" w:cs="Times New Roman"/>
                <w:b/>
                <w:i/>
                <w:iCs/>
                <w:sz w:val="24"/>
                <w:szCs w:val="24"/>
                <w:lang w:eastAsia="lv-LV"/>
              </w:rPr>
              <w:t>5</w:t>
            </w:r>
            <w:r w:rsidRPr="008C2175">
              <w:rPr>
                <w:rFonts w:ascii="Times New Roman" w:eastAsia="Times New Roman" w:hAnsi="Times New Roman" w:cs="Times New Roman"/>
                <w:b/>
                <w:i/>
                <w:iCs/>
                <w:sz w:val="24"/>
                <w:szCs w:val="24"/>
                <w:u w:val="single"/>
                <w:lang w:eastAsia="lv-LV"/>
              </w:rPr>
              <w:t xml:space="preserve">. </w:t>
            </w:r>
            <w:r w:rsidR="008A7E98" w:rsidRPr="008C2175">
              <w:rPr>
                <w:rFonts w:ascii="Times New Roman" w:eastAsia="Times New Roman" w:hAnsi="Times New Roman" w:cs="Times New Roman"/>
                <w:b/>
                <w:i/>
                <w:iCs/>
                <w:sz w:val="24"/>
                <w:szCs w:val="24"/>
                <w:u w:val="single"/>
                <w:lang w:eastAsia="lv-LV"/>
              </w:rPr>
              <w:t>OI mehānisma izmaksas un ietekme uz tautsaimniecību</w:t>
            </w:r>
          </w:p>
          <w:p w14:paraId="47D0AAC4" w14:textId="58305E41" w:rsidR="002255B2" w:rsidRPr="00591DB8" w:rsidRDefault="00B7486A" w:rsidP="004B2695">
            <w:pPr>
              <w:spacing w:before="120" w:after="120" w:line="240" w:lineRule="auto"/>
              <w:jc w:val="both"/>
              <w:rPr>
                <w:rFonts w:ascii="Times New Roman" w:eastAsia="Times New Roman" w:hAnsi="Times New Roman" w:cs="Times New Roman"/>
                <w:iCs/>
                <w:sz w:val="24"/>
                <w:szCs w:val="24"/>
                <w:lang w:eastAsia="lv-LV"/>
              </w:rPr>
            </w:pPr>
            <w:r w:rsidRPr="00B7486A">
              <w:rPr>
                <w:rFonts w:ascii="Times New Roman" w:eastAsia="Times New Roman" w:hAnsi="Times New Roman" w:cs="Times New Roman"/>
                <w:iCs/>
                <w:sz w:val="24"/>
                <w:szCs w:val="24"/>
                <w:lang w:eastAsia="lv-LV"/>
              </w:rPr>
              <w:t>Līdz</w:t>
            </w:r>
            <w:r>
              <w:rPr>
                <w:rFonts w:ascii="Times New Roman" w:eastAsia="Times New Roman" w:hAnsi="Times New Roman" w:cs="Times New Roman"/>
                <w:iCs/>
                <w:sz w:val="24"/>
                <w:szCs w:val="24"/>
                <w:lang w:eastAsia="lv-LV"/>
              </w:rPr>
              <w:t xml:space="preserve">šinējās un līdz 2027.gadam prognozētās OI mehānisma izmaksas pa staciju grupām un OIK ieņēmumi </w:t>
            </w:r>
            <w:r w:rsidRPr="00B37AEF">
              <w:rPr>
                <w:rFonts w:ascii="Times New Roman" w:eastAsia="Times New Roman" w:hAnsi="Times New Roman" w:cs="Times New Roman"/>
                <w:iCs/>
                <w:sz w:val="24"/>
                <w:szCs w:val="24"/>
                <w:lang w:eastAsia="lv-LV"/>
              </w:rPr>
              <w:t xml:space="preserve">aplūkojami </w:t>
            </w:r>
            <w:r w:rsidR="00F25F22" w:rsidRPr="00B37AEF">
              <w:rPr>
                <w:rFonts w:ascii="Times New Roman" w:eastAsia="Times New Roman" w:hAnsi="Times New Roman" w:cs="Times New Roman"/>
                <w:iCs/>
                <w:sz w:val="24"/>
                <w:szCs w:val="24"/>
                <w:lang w:eastAsia="lv-LV"/>
              </w:rPr>
              <w:t>2</w:t>
            </w:r>
            <w:r w:rsidRPr="00B37AEF">
              <w:rPr>
                <w:rFonts w:ascii="Times New Roman" w:eastAsia="Times New Roman" w:hAnsi="Times New Roman" w:cs="Times New Roman"/>
                <w:iCs/>
                <w:sz w:val="24"/>
                <w:szCs w:val="24"/>
                <w:lang w:eastAsia="lv-LV"/>
              </w:rPr>
              <w:t>.attēlā</w:t>
            </w:r>
            <w:r w:rsidR="00F25F22" w:rsidRPr="00B37AEF">
              <w:rPr>
                <w:rFonts w:ascii="Times New Roman" w:eastAsia="Times New Roman" w:hAnsi="Times New Roman" w:cs="Times New Roman"/>
                <w:iCs/>
                <w:sz w:val="24"/>
                <w:szCs w:val="24"/>
                <w:lang w:eastAsia="lv-LV"/>
              </w:rPr>
              <w:t>.</w:t>
            </w:r>
          </w:p>
          <w:p w14:paraId="08EE57BE" w14:textId="1619C063" w:rsidR="00A5364B" w:rsidRPr="00A5364B" w:rsidRDefault="00A5364B" w:rsidP="004B2695">
            <w:pPr>
              <w:spacing w:before="120" w:after="120" w:line="240" w:lineRule="auto"/>
              <w:jc w:val="both"/>
              <w:rPr>
                <w:rFonts w:ascii="Times New Roman" w:eastAsia="Times New Roman" w:hAnsi="Times New Roman" w:cs="Times New Roman"/>
                <w:i/>
                <w:iCs/>
                <w:color w:val="FF0000"/>
                <w:sz w:val="24"/>
                <w:szCs w:val="24"/>
                <w:highlight w:val="yellow"/>
                <w:lang w:eastAsia="lv-LV"/>
              </w:rPr>
            </w:pPr>
            <w:r>
              <w:rPr>
                <w:noProof/>
              </w:rPr>
              <w:drawing>
                <wp:inline distT="0" distB="0" distL="0" distR="0" wp14:anchorId="74F65068" wp14:editId="3D434DC7">
                  <wp:extent cx="4640580" cy="3045349"/>
                  <wp:effectExtent l="0" t="0" r="7620" b="3175"/>
                  <wp:docPr id="2" name="Chart 2">
                    <a:extLst xmlns:a="http://schemas.openxmlformats.org/drawingml/2006/main">
                      <a:ext uri="{FF2B5EF4-FFF2-40B4-BE49-F238E27FC236}">
                        <a16:creationId xmlns:a16="http://schemas.microsoft.com/office/drawing/2014/main" id="{3948BFD0-4352-476B-869A-6C0665429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9A7909" w14:textId="1C55D0E6" w:rsidR="002255B2" w:rsidRPr="00B7486A" w:rsidRDefault="00F25F22" w:rsidP="004B2695">
            <w:pPr>
              <w:pStyle w:val="ListParagraph"/>
              <w:spacing w:before="120" w:after="120" w:line="240" w:lineRule="auto"/>
              <w:ind w:left="360"/>
              <w:jc w:val="center"/>
              <w:rPr>
                <w:rFonts w:ascii="Times New Roman" w:eastAsia="Times New Roman" w:hAnsi="Times New Roman" w:cs="Times New Roman"/>
                <w:b/>
                <w:i/>
                <w:iCs/>
                <w:color w:val="FF0000"/>
                <w:szCs w:val="24"/>
                <w:highlight w:val="yellow"/>
                <w:lang w:eastAsia="lv-LV"/>
              </w:rPr>
            </w:pPr>
            <w:r w:rsidRPr="00B37AEF">
              <w:rPr>
                <w:rFonts w:ascii="Times New Roman" w:eastAsia="Times New Roman" w:hAnsi="Times New Roman" w:cs="Times New Roman"/>
                <w:i/>
                <w:iCs/>
                <w:szCs w:val="24"/>
                <w:lang w:eastAsia="lv-LV"/>
              </w:rPr>
              <w:t>2.attēls</w:t>
            </w:r>
            <w:r w:rsidR="00B7486A" w:rsidRPr="00B37AEF">
              <w:rPr>
                <w:rFonts w:ascii="Times New Roman" w:eastAsia="Times New Roman" w:hAnsi="Times New Roman" w:cs="Times New Roman"/>
                <w:i/>
                <w:iCs/>
                <w:szCs w:val="24"/>
                <w:lang w:eastAsia="lv-LV"/>
              </w:rPr>
              <w:t>.</w:t>
            </w:r>
            <w:r w:rsidR="00B7486A" w:rsidRPr="00B37AEF">
              <w:rPr>
                <w:rFonts w:ascii="Times New Roman" w:eastAsia="Times New Roman" w:hAnsi="Times New Roman" w:cs="Times New Roman"/>
                <w:b/>
                <w:iCs/>
                <w:szCs w:val="24"/>
                <w:lang w:eastAsia="lv-LV"/>
              </w:rPr>
              <w:t xml:space="preserve"> OI</w:t>
            </w:r>
            <w:r w:rsidR="00B7486A" w:rsidRPr="00B7486A">
              <w:rPr>
                <w:rFonts w:ascii="Times New Roman" w:eastAsia="Times New Roman" w:hAnsi="Times New Roman" w:cs="Times New Roman"/>
                <w:b/>
                <w:iCs/>
                <w:szCs w:val="24"/>
                <w:lang w:eastAsia="lv-LV"/>
              </w:rPr>
              <w:t xml:space="preserve"> mehānisma un OIK ieņēmum</w:t>
            </w:r>
            <w:r w:rsidR="00B7486A">
              <w:rPr>
                <w:rFonts w:ascii="Times New Roman" w:eastAsia="Times New Roman" w:hAnsi="Times New Roman" w:cs="Times New Roman"/>
                <w:b/>
                <w:iCs/>
                <w:szCs w:val="24"/>
                <w:lang w:eastAsia="lv-LV"/>
              </w:rPr>
              <w:t>u faktiskās un prognozētās izmaksas</w:t>
            </w:r>
          </w:p>
          <w:p w14:paraId="1F01AC60" w14:textId="77777777" w:rsidR="00C74FB2" w:rsidRDefault="00C74FB2" w:rsidP="004B2695">
            <w:pPr>
              <w:spacing w:before="120" w:after="120" w:line="240" w:lineRule="auto"/>
              <w:jc w:val="both"/>
              <w:rPr>
                <w:rFonts w:ascii="Times New Roman" w:eastAsia="Times New Roman" w:hAnsi="Times New Roman" w:cs="Times New Roman"/>
                <w:iCs/>
                <w:sz w:val="24"/>
                <w:szCs w:val="24"/>
                <w:lang w:eastAsia="lv-LV"/>
              </w:rPr>
            </w:pPr>
          </w:p>
          <w:p w14:paraId="7B220B08" w14:textId="09D86ED7" w:rsidR="002255B2" w:rsidRDefault="00B7486A" w:rsidP="004B2695">
            <w:pPr>
              <w:spacing w:before="120" w:after="120" w:line="240" w:lineRule="auto"/>
              <w:jc w:val="both"/>
              <w:rPr>
                <w:rFonts w:ascii="Times New Roman" w:eastAsia="Times New Roman" w:hAnsi="Times New Roman" w:cs="Times New Roman"/>
                <w:iCs/>
                <w:sz w:val="24"/>
                <w:szCs w:val="24"/>
                <w:lang w:eastAsia="lv-LV"/>
              </w:rPr>
            </w:pPr>
            <w:r w:rsidRPr="00B7486A">
              <w:rPr>
                <w:rFonts w:ascii="Times New Roman" w:eastAsia="Times New Roman" w:hAnsi="Times New Roman" w:cs="Times New Roman"/>
                <w:iCs/>
                <w:sz w:val="24"/>
                <w:szCs w:val="24"/>
                <w:lang w:eastAsia="lv-LV"/>
              </w:rPr>
              <w:t xml:space="preserve">Līdz </w:t>
            </w:r>
            <w:r>
              <w:rPr>
                <w:rFonts w:ascii="Times New Roman" w:eastAsia="Times New Roman" w:hAnsi="Times New Roman" w:cs="Times New Roman"/>
                <w:iCs/>
                <w:sz w:val="24"/>
                <w:szCs w:val="24"/>
                <w:lang w:eastAsia="lv-LV"/>
              </w:rPr>
              <w:t xml:space="preserve">2017.gadam lielāko </w:t>
            </w:r>
            <w:r w:rsidR="00B6530F">
              <w:rPr>
                <w:rFonts w:ascii="Times New Roman" w:eastAsia="Times New Roman" w:hAnsi="Times New Roman" w:cs="Times New Roman"/>
                <w:iCs/>
                <w:sz w:val="24"/>
                <w:szCs w:val="24"/>
                <w:lang w:eastAsia="lv-LV"/>
              </w:rPr>
              <w:t xml:space="preserve">īpatsvaru </w:t>
            </w:r>
            <w:r>
              <w:rPr>
                <w:rFonts w:ascii="Times New Roman" w:eastAsia="Times New Roman" w:hAnsi="Times New Roman" w:cs="Times New Roman"/>
                <w:iCs/>
                <w:sz w:val="24"/>
                <w:szCs w:val="24"/>
                <w:lang w:eastAsia="lv-LV"/>
              </w:rPr>
              <w:t>no atbalsta izmaksām veidoja atbalsts dabasgāzes koģenerācijai</w:t>
            </w:r>
            <w:r w:rsidR="00AF075E">
              <w:rPr>
                <w:rFonts w:ascii="Times New Roman" w:eastAsia="Times New Roman" w:hAnsi="Times New Roman" w:cs="Times New Roman"/>
                <w:iCs/>
                <w:sz w:val="24"/>
                <w:szCs w:val="24"/>
                <w:lang w:eastAsia="lv-LV"/>
              </w:rPr>
              <w:t xml:space="preserve">, no kā lielāko daļu veidoja jaudas maksājums dabasgāzes koģenerācijas stacijām. </w:t>
            </w:r>
            <w:r w:rsidR="00591DB8">
              <w:rPr>
                <w:rFonts w:ascii="Times New Roman" w:eastAsia="Times New Roman" w:hAnsi="Times New Roman" w:cs="Times New Roman"/>
                <w:iCs/>
                <w:sz w:val="24"/>
                <w:szCs w:val="24"/>
                <w:lang w:eastAsia="lv-LV"/>
              </w:rPr>
              <w:t xml:space="preserve">Savukārt </w:t>
            </w:r>
            <w:r w:rsidR="000A2DED">
              <w:rPr>
                <w:rFonts w:ascii="Times New Roman" w:eastAsia="Times New Roman" w:hAnsi="Times New Roman" w:cs="Times New Roman"/>
                <w:iCs/>
                <w:sz w:val="24"/>
                <w:szCs w:val="24"/>
                <w:lang w:eastAsia="lv-LV"/>
              </w:rPr>
              <w:t xml:space="preserve">2018.gadā </w:t>
            </w:r>
            <w:r w:rsidR="000A2DED" w:rsidRPr="000A2DED">
              <w:rPr>
                <w:rFonts w:ascii="Times New Roman" w:eastAsia="Times New Roman" w:hAnsi="Times New Roman" w:cs="Times New Roman"/>
                <w:iCs/>
                <w:sz w:val="24"/>
                <w:szCs w:val="24"/>
                <w:lang w:eastAsia="lv-LV"/>
              </w:rPr>
              <w:t>27% no OI izmaksām veidoja biogāzes stacijas, 26% biomasas elektrostacijas, 24% - koģenerācijas stacijas virs 4 MW.</w:t>
            </w:r>
          </w:p>
          <w:p w14:paraId="49653180" w14:textId="36FBB66A" w:rsidR="00B7486A" w:rsidRPr="00F25F22" w:rsidRDefault="00F25F22" w:rsidP="004B2695">
            <w:pPr>
              <w:spacing w:before="120" w:after="120" w:line="240" w:lineRule="auto"/>
              <w:jc w:val="both"/>
              <w:rPr>
                <w:rFonts w:ascii="Times New Roman" w:eastAsia="Times New Roman" w:hAnsi="Times New Roman" w:cs="Times New Roman"/>
                <w:iCs/>
                <w:sz w:val="24"/>
                <w:szCs w:val="24"/>
                <w:lang w:eastAsia="lv-LV"/>
              </w:rPr>
            </w:pPr>
            <w:r w:rsidRPr="000A2DED">
              <w:rPr>
                <w:rFonts w:ascii="Times New Roman" w:eastAsia="Times New Roman" w:hAnsi="Times New Roman" w:cs="Times New Roman"/>
                <w:b/>
                <w:iCs/>
                <w:sz w:val="24"/>
                <w:szCs w:val="24"/>
                <w:lang w:eastAsia="lv-LV"/>
              </w:rPr>
              <w:lastRenderedPageBreak/>
              <w:t>OI neto izmaksas (atbalsts virs tirgus cenas) 2018.gadā sasniedza 159 milj. EUR jeb 0,54% no IKP</w:t>
            </w:r>
            <w:r>
              <w:rPr>
                <w:rFonts w:ascii="Times New Roman" w:eastAsia="Times New Roman" w:hAnsi="Times New Roman" w:cs="Times New Roman"/>
                <w:iCs/>
                <w:sz w:val="24"/>
                <w:szCs w:val="24"/>
                <w:lang w:eastAsia="lv-LV"/>
              </w:rPr>
              <w:t>, kas ir straujš kritums salīdzinājumā ar 2017.gadu, kad šis rādītājs sasniedz</w:t>
            </w:r>
            <w:r w:rsidR="009D4A7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1% no IKP. Tas pamatā skaidrojams ar ikgadējo atbalsta izmaksu samazināšan</w:t>
            </w:r>
            <w:r w:rsidR="009D4A72">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dabasgāzes koģenerācijas stacijām virs 100 MW un IKP pieaugumu. </w:t>
            </w:r>
          </w:p>
          <w:p w14:paraId="4B07549E" w14:textId="3B42F583" w:rsidR="004B2695" w:rsidRPr="004B2695" w:rsidRDefault="008A7E98" w:rsidP="004B2695">
            <w:pPr>
              <w:spacing w:before="120" w:after="120" w:line="240" w:lineRule="auto"/>
              <w:jc w:val="both"/>
              <w:rPr>
                <w:rFonts w:ascii="Times New Roman" w:eastAsia="Times New Roman" w:hAnsi="Times New Roman" w:cs="Times New Roman"/>
                <w:b/>
                <w:i/>
                <w:iCs/>
                <w:sz w:val="24"/>
                <w:szCs w:val="24"/>
                <w:lang w:eastAsia="lv-LV"/>
              </w:rPr>
            </w:pPr>
            <w:r w:rsidRPr="004B2695">
              <w:rPr>
                <w:rFonts w:ascii="Times New Roman" w:eastAsia="Times New Roman" w:hAnsi="Times New Roman" w:cs="Times New Roman"/>
                <w:b/>
                <w:i/>
                <w:iCs/>
                <w:sz w:val="24"/>
                <w:szCs w:val="24"/>
                <w:lang w:eastAsia="lv-LV"/>
              </w:rPr>
              <w:t>OIK elektrības rēķin</w:t>
            </w:r>
            <w:r w:rsidR="004B2695" w:rsidRPr="004B2695">
              <w:rPr>
                <w:rFonts w:ascii="Times New Roman" w:eastAsia="Times New Roman" w:hAnsi="Times New Roman" w:cs="Times New Roman"/>
                <w:b/>
                <w:i/>
                <w:iCs/>
                <w:sz w:val="24"/>
                <w:szCs w:val="24"/>
                <w:lang w:eastAsia="lv-LV"/>
              </w:rPr>
              <w:t>os</w:t>
            </w:r>
          </w:p>
          <w:p w14:paraId="116E505D" w14:textId="34BA4836" w:rsidR="002255B2" w:rsidRDefault="009D4A72" w:rsidP="004B2695">
            <w:pPr>
              <w:pStyle w:val="paragraph"/>
              <w:spacing w:before="120" w:beforeAutospacing="0" w:after="120" w:afterAutospacing="0"/>
              <w:jc w:val="both"/>
              <w:textAlignment w:val="baseline"/>
              <w:rPr>
                <w:rStyle w:val="normaltextrun"/>
              </w:rPr>
            </w:pPr>
            <w:r>
              <w:rPr>
                <w:rStyle w:val="normaltextrun"/>
                <w:b/>
              </w:rPr>
              <w:t>OIK īpatsvars e</w:t>
            </w:r>
            <w:r w:rsidR="002255B2" w:rsidRPr="009B6E14">
              <w:rPr>
                <w:rStyle w:val="normaltextrun"/>
                <w:b/>
              </w:rPr>
              <w:t xml:space="preserve">lektroenerģijas gala </w:t>
            </w:r>
            <w:r w:rsidR="00844C24">
              <w:rPr>
                <w:rStyle w:val="normaltextrun"/>
                <w:b/>
              </w:rPr>
              <w:t>cen</w:t>
            </w:r>
            <w:r>
              <w:rPr>
                <w:rStyle w:val="normaltextrun"/>
                <w:b/>
              </w:rPr>
              <w:t>ā</w:t>
            </w:r>
            <w:r w:rsidR="00844C24">
              <w:rPr>
                <w:rStyle w:val="normaltextrun"/>
                <w:b/>
              </w:rPr>
              <w:t xml:space="preserve"> </w:t>
            </w:r>
            <w:r w:rsidR="002255B2" w:rsidRPr="009B6E14">
              <w:rPr>
                <w:rStyle w:val="normaltextrun"/>
                <w:b/>
              </w:rPr>
              <w:t>patērētājiem atšķir</w:t>
            </w:r>
            <w:r w:rsidR="002255B2">
              <w:rPr>
                <w:rStyle w:val="normaltextrun"/>
                <w:b/>
              </w:rPr>
              <w:t>as</w:t>
            </w:r>
            <w:r w:rsidR="002255B2" w:rsidRPr="009B6E14">
              <w:rPr>
                <w:rStyle w:val="normaltextrun"/>
                <w:b/>
              </w:rPr>
              <w:t xml:space="preserve"> atkarībā no pieslēgumu jaudas, </w:t>
            </w:r>
            <w:r>
              <w:rPr>
                <w:rStyle w:val="normaltextrun"/>
                <w:b/>
              </w:rPr>
              <w:t>elektroenerģijas patēriņ</w:t>
            </w:r>
            <w:r w:rsidR="00156172">
              <w:rPr>
                <w:rStyle w:val="normaltextrun"/>
                <w:b/>
              </w:rPr>
              <w:t>a</w:t>
            </w:r>
            <w:r w:rsidR="002255B2" w:rsidRPr="009B6E14">
              <w:rPr>
                <w:rStyle w:val="normaltextrun"/>
                <w:b/>
              </w:rPr>
              <w:t xml:space="preserve"> un nosacījumiem elektroenerģijas lietotāja līgumā ar elektroenerģijas tirgotāju</w:t>
            </w:r>
            <w:r w:rsidR="002255B2">
              <w:rPr>
                <w:rStyle w:val="normaltextrun"/>
              </w:rPr>
              <w:t xml:space="preserve">. </w:t>
            </w:r>
          </w:p>
          <w:p w14:paraId="500DADA4" w14:textId="36C5F713" w:rsidR="00AB5E64" w:rsidRPr="002255B2" w:rsidRDefault="002255B2" w:rsidP="004B2695">
            <w:pPr>
              <w:pStyle w:val="paragraph"/>
              <w:spacing w:before="120" w:beforeAutospacing="0" w:after="120" w:afterAutospacing="0"/>
              <w:jc w:val="both"/>
              <w:textAlignment w:val="baseline"/>
            </w:pPr>
            <w:r>
              <w:rPr>
                <w:rStyle w:val="normaltextrun"/>
              </w:rPr>
              <w:t xml:space="preserve">OIK </w:t>
            </w:r>
            <w:r w:rsidR="00055319">
              <w:rPr>
                <w:rStyle w:val="normaltextrun"/>
              </w:rPr>
              <w:t>īpatsvars no elektroenerģijas izmaksām</w:t>
            </w:r>
            <w:r>
              <w:rPr>
                <w:rStyle w:val="normaltextrun"/>
              </w:rPr>
              <w:t xml:space="preserve"> dažādās patērētāju grupās, neņemot vērā elektroenerģijas </w:t>
            </w:r>
            <w:proofErr w:type="spellStart"/>
            <w:r>
              <w:rPr>
                <w:rStyle w:val="normaltextrun"/>
              </w:rPr>
              <w:t>vairumtirgus</w:t>
            </w:r>
            <w:proofErr w:type="spellEnd"/>
            <w:r>
              <w:rPr>
                <w:rStyle w:val="normaltextrun"/>
              </w:rPr>
              <w:t xml:space="preserve"> cenas svārstības, </w:t>
            </w:r>
            <w:r w:rsidR="00844C24">
              <w:rPr>
                <w:rStyle w:val="normaltextrun"/>
              </w:rPr>
              <w:t>2018.gadā bija</w:t>
            </w:r>
            <w:r>
              <w:rPr>
                <w:rStyle w:val="normaltextrun"/>
              </w:rPr>
              <w:t xml:space="preserve"> ~ 20 – 23 % apmērā apstrādes rūpniecībā, 13 – 15% apmērā pakalpojumu sniedzējiem, ~13% apmērā </w:t>
            </w:r>
            <w:proofErr w:type="spellStart"/>
            <w:r>
              <w:rPr>
                <w:rStyle w:val="normaltextrun"/>
              </w:rPr>
              <w:t>energointensīvai</w:t>
            </w:r>
            <w:proofErr w:type="spellEnd"/>
            <w:r>
              <w:rPr>
                <w:rStyle w:val="normaltextrun"/>
              </w:rPr>
              <w:t xml:space="preserve"> apstrādes rūpniecībai, ~17% apmērā lauksaimniecība</w:t>
            </w:r>
            <w:r w:rsidR="009D4A72">
              <w:rPr>
                <w:rStyle w:val="normaltextrun"/>
              </w:rPr>
              <w:t>s</w:t>
            </w:r>
            <w:r>
              <w:rPr>
                <w:rStyle w:val="normaltextrun"/>
              </w:rPr>
              <w:t xml:space="preserve"> preču ražotājiem. Mājsaimniecībām elektroenerģijas izmaksas ir ap 15%, savukārt neizmantotiem </w:t>
            </w:r>
            <w:proofErr w:type="spellStart"/>
            <w:r>
              <w:rPr>
                <w:rStyle w:val="normaltextrun"/>
              </w:rPr>
              <w:t>pieslēgumiem</w:t>
            </w:r>
            <w:proofErr w:type="spellEnd"/>
            <w:r>
              <w:rPr>
                <w:rStyle w:val="normaltextrun"/>
              </w:rPr>
              <w:t xml:space="preserve"> OIK īpatsvars ir virs 30%.</w:t>
            </w:r>
          </w:p>
          <w:p w14:paraId="5F6484B9" w14:textId="14D6F2D7" w:rsidR="008A7E98" w:rsidRPr="004B2695" w:rsidRDefault="004B2695" w:rsidP="004B2695">
            <w:pPr>
              <w:spacing w:before="120" w:after="120" w:line="240" w:lineRule="auto"/>
              <w:jc w:val="both"/>
              <w:rPr>
                <w:rFonts w:ascii="Times New Roman" w:eastAsia="Times New Roman" w:hAnsi="Times New Roman" w:cs="Times New Roman"/>
                <w:b/>
                <w:i/>
                <w:iCs/>
                <w:sz w:val="24"/>
                <w:szCs w:val="24"/>
                <w:lang w:eastAsia="lv-LV"/>
              </w:rPr>
            </w:pPr>
            <w:r w:rsidRPr="004B2695">
              <w:rPr>
                <w:rFonts w:ascii="Times New Roman" w:eastAsia="Times New Roman" w:hAnsi="Times New Roman" w:cs="Times New Roman"/>
                <w:b/>
                <w:i/>
                <w:iCs/>
                <w:sz w:val="24"/>
                <w:szCs w:val="24"/>
                <w:lang w:eastAsia="lv-LV"/>
              </w:rPr>
              <w:t>OIK ietekme</w:t>
            </w:r>
          </w:p>
          <w:p w14:paraId="25763C6B" w14:textId="77777777" w:rsidR="005B7BE1" w:rsidRDefault="005B7BE1" w:rsidP="004B2695">
            <w:pPr>
              <w:spacing w:before="120" w:after="120" w:line="240" w:lineRule="auto"/>
              <w:jc w:val="both"/>
              <w:rPr>
                <w:rFonts w:ascii="Times New Roman" w:eastAsia="Times New Roman" w:hAnsi="Times New Roman" w:cs="Times New Roman"/>
                <w:iCs/>
                <w:sz w:val="24"/>
                <w:szCs w:val="24"/>
                <w:lang w:eastAsia="lv-LV"/>
              </w:rPr>
            </w:pPr>
            <w:r w:rsidRPr="000A2DED">
              <w:rPr>
                <w:rFonts w:ascii="Times New Roman" w:eastAsia="Times New Roman" w:hAnsi="Times New Roman" w:cs="Times New Roman"/>
                <w:iCs/>
                <w:sz w:val="24"/>
                <w:szCs w:val="24"/>
                <w:lang w:eastAsia="lv-LV"/>
              </w:rPr>
              <w:t>Atsevišķām patērētāju grupām elektroenerģija Latvijā ir dārgāka salīdzinājumā ar citām mūsu reģiona valstīm, kas mazina atsevišķu nozaru konkurētspēju. Jau ilgstoši darbaspēka izmaksu kāpums pārsniedz produktivitātes pieaugumu</w:t>
            </w:r>
            <w:r>
              <w:rPr>
                <w:rFonts w:ascii="Times New Roman" w:eastAsia="Times New Roman" w:hAnsi="Times New Roman" w:cs="Times New Roman"/>
                <w:iCs/>
                <w:sz w:val="24"/>
                <w:szCs w:val="24"/>
                <w:lang w:eastAsia="lv-LV"/>
              </w:rPr>
              <w:t xml:space="preserve"> un p</w:t>
            </w:r>
            <w:r w:rsidRPr="000A2DED">
              <w:rPr>
                <w:rFonts w:ascii="Times New Roman" w:eastAsia="Times New Roman" w:hAnsi="Times New Roman" w:cs="Times New Roman"/>
                <w:iCs/>
                <w:sz w:val="24"/>
                <w:szCs w:val="24"/>
                <w:lang w:eastAsia="lv-LV"/>
              </w:rPr>
              <w:t xml:space="preserve">apildu izmaksu slogs enerģijai vēl vairāk pasliktina nozares konkurētspēju un ierobežo attīstības iespējas, samazinot produktivitātes kāpināšanai pieejamos resursus. </w:t>
            </w:r>
          </w:p>
          <w:p w14:paraId="43F89E13" w14:textId="1CE5D3FB" w:rsidR="005B7BE1" w:rsidRDefault="005B7BE1" w:rsidP="004B2695">
            <w:pPr>
              <w:spacing w:before="120" w:after="120" w:line="240" w:lineRule="auto"/>
              <w:jc w:val="both"/>
              <w:rPr>
                <w:rFonts w:ascii="Times New Roman" w:eastAsia="Times New Roman" w:hAnsi="Times New Roman" w:cs="Times New Roman"/>
                <w:iCs/>
                <w:sz w:val="24"/>
                <w:szCs w:val="24"/>
                <w:lang w:eastAsia="lv-LV"/>
              </w:rPr>
            </w:pPr>
            <w:r w:rsidRPr="000A2DED">
              <w:rPr>
                <w:rFonts w:ascii="Times New Roman" w:eastAsia="Times New Roman" w:hAnsi="Times New Roman" w:cs="Times New Roman"/>
                <w:b/>
                <w:iCs/>
                <w:sz w:val="24"/>
                <w:szCs w:val="24"/>
                <w:lang w:eastAsia="lv-LV"/>
              </w:rPr>
              <w:t xml:space="preserve">2018.gadā OIK diferenciācija un </w:t>
            </w:r>
            <w:proofErr w:type="spellStart"/>
            <w:r w:rsidRPr="000A2DED">
              <w:rPr>
                <w:rFonts w:ascii="Times New Roman" w:eastAsia="Times New Roman" w:hAnsi="Times New Roman" w:cs="Times New Roman"/>
                <w:b/>
                <w:iCs/>
                <w:sz w:val="24"/>
                <w:szCs w:val="24"/>
                <w:lang w:eastAsia="lv-LV"/>
              </w:rPr>
              <w:t>energointensīvo</w:t>
            </w:r>
            <w:proofErr w:type="spellEnd"/>
            <w:r w:rsidRPr="000A2DED">
              <w:rPr>
                <w:rFonts w:ascii="Times New Roman" w:eastAsia="Times New Roman" w:hAnsi="Times New Roman" w:cs="Times New Roman"/>
                <w:b/>
                <w:iCs/>
                <w:sz w:val="24"/>
                <w:szCs w:val="24"/>
                <w:lang w:eastAsia="lv-LV"/>
              </w:rPr>
              <w:t xml:space="preserve"> uzņēmumu atbalsts ir risinājis lielo un </w:t>
            </w:r>
            <w:proofErr w:type="spellStart"/>
            <w:r w:rsidRPr="000A2DED">
              <w:rPr>
                <w:rFonts w:ascii="Times New Roman" w:eastAsia="Times New Roman" w:hAnsi="Times New Roman" w:cs="Times New Roman"/>
                <w:b/>
                <w:iCs/>
                <w:sz w:val="24"/>
                <w:szCs w:val="24"/>
                <w:lang w:eastAsia="lv-LV"/>
              </w:rPr>
              <w:t>energointensīvo</w:t>
            </w:r>
            <w:proofErr w:type="spellEnd"/>
            <w:r w:rsidRPr="000A2DED">
              <w:rPr>
                <w:rFonts w:ascii="Times New Roman" w:eastAsia="Times New Roman" w:hAnsi="Times New Roman" w:cs="Times New Roman"/>
                <w:b/>
                <w:iCs/>
                <w:sz w:val="24"/>
                <w:szCs w:val="24"/>
                <w:lang w:eastAsia="lv-LV"/>
              </w:rPr>
              <w:t xml:space="preserve"> uzņēmumu problemātiku, </w:t>
            </w:r>
            <w:r w:rsidR="00CC58AE">
              <w:rPr>
                <w:rFonts w:ascii="Times New Roman" w:eastAsia="Times New Roman" w:hAnsi="Times New Roman" w:cs="Times New Roman"/>
                <w:b/>
                <w:iCs/>
                <w:sz w:val="24"/>
                <w:szCs w:val="24"/>
                <w:lang w:eastAsia="lv-LV"/>
              </w:rPr>
              <w:t>savukārt</w:t>
            </w:r>
            <w:r w:rsidR="00CC58AE" w:rsidRPr="000A2DED">
              <w:rPr>
                <w:rFonts w:ascii="Times New Roman" w:eastAsia="Times New Roman" w:hAnsi="Times New Roman" w:cs="Times New Roman"/>
                <w:b/>
                <w:iCs/>
                <w:sz w:val="24"/>
                <w:szCs w:val="24"/>
                <w:lang w:eastAsia="lv-LV"/>
              </w:rPr>
              <w:t xml:space="preserve"> </w:t>
            </w:r>
            <w:r w:rsidRPr="000A2DED">
              <w:rPr>
                <w:rFonts w:ascii="Times New Roman" w:eastAsia="Times New Roman" w:hAnsi="Times New Roman" w:cs="Times New Roman"/>
                <w:b/>
                <w:iCs/>
                <w:sz w:val="24"/>
                <w:szCs w:val="24"/>
                <w:lang w:eastAsia="lv-LV"/>
              </w:rPr>
              <w:t>mazie</w:t>
            </w:r>
            <w:r w:rsidR="00CC58AE">
              <w:rPr>
                <w:rFonts w:ascii="Times New Roman" w:eastAsia="Times New Roman" w:hAnsi="Times New Roman" w:cs="Times New Roman"/>
                <w:b/>
                <w:iCs/>
                <w:sz w:val="24"/>
                <w:szCs w:val="24"/>
                <w:lang w:eastAsia="lv-LV"/>
              </w:rPr>
              <w:t>m</w:t>
            </w:r>
            <w:r w:rsidRPr="000A2DED">
              <w:rPr>
                <w:rFonts w:ascii="Times New Roman" w:eastAsia="Times New Roman" w:hAnsi="Times New Roman" w:cs="Times New Roman"/>
                <w:b/>
                <w:iCs/>
                <w:sz w:val="24"/>
                <w:szCs w:val="24"/>
                <w:lang w:eastAsia="lv-LV"/>
              </w:rPr>
              <w:t xml:space="preserve"> un vidējie</w:t>
            </w:r>
            <w:r w:rsidR="00CC58AE">
              <w:rPr>
                <w:rFonts w:ascii="Times New Roman" w:eastAsia="Times New Roman" w:hAnsi="Times New Roman" w:cs="Times New Roman"/>
                <w:b/>
                <w:iCs/>
                <w:sz w:val="24"/>
                <w:szCs w:val="24"/>
                <w:lang w:eastAsia="lv-LV"/>
              </w:rPr>
              <w:t>m</w:t>
            </w:r>
            <w:r w:rsidRPr="000A2DED">
              <w:rPr>
                <w:rFonts w:ascii="Times New Roman" w:eastAsia="Times New Roman" w:hAnsi="Times New Roman" w:cs="Times New Roman"/>
                <w:b/>
                <w:iCs/>
                <w:sz w:val="24"/>
                <w:szCs w:val="24"/>
                <w:lang w:eastAsia="lv-LV"/>
              </w:rPr>
              <w:t xml:space="preserve"> uzņēmumi</w:t>
            </w:r>
            <w:r w:rsidR="00CC58AE">
              <w:rPr>
                <w:rFonts w:ascii="Times New Roman" w:eastAsia="Times New Roman" w:hAnsi="Times New Roman" w:cs="Times New Roman"/>
                <w:b/>
                <w:iCs/>
                <w:sz w:val="24"/>
                <w:szCs w:val="24"/>
                <w:lang w:eastAsia="lv-LV"/>
              </w:rPr>
              <w:t>em</w:t>
            </w:r>
            <w:r w:rsidRPr="000A2DED">
              <w:rPr>
                <w:rFonts w:ascii="Times New Roman" w:eastAsia="Times New Roman" w:hAnsi="Times New Roman" w:cs="Times New Roman"/>
                <w:iCs/>
                <w:sz w:val="24"/>
                <w:szCs w:val="24"/>
                <w:lang w:eastAsia="lv-LV"/>
              </w:rPr>
              <w:t xml:space="preserve"> (MVU)</w:t>
            </w:r>
            <w:r w:rsidR="002E59AE">
              <w:rPr>
                <w:rFonts w:ascii="Times New Roman" w:eastAsia="Times New Roman" w:hAnsi="Times New Roman" w:cs="Times New Roman"/>
                <w:iCs/>
                <w:sz w:val="24"/>
                <w:szCs w:val="24"/>
                <w:lang w:eastAsia="lv-LV"/>
              </w:rPr>
              <w:t xml:space="preserve"> OIK izmaksu mazināšana ir aktuāla problēma</w:t>
            </w:r>
            <w:r w:rsidRPr="000A2DED">
              <w:rPr>
                <w:rFonts w:ascii="Times New Roman" w:eastAsia="Times New Roman" w:hAnsi="Times New Roman" w:cs="Times New Roman"/>
                <w:iCs/>
                <w:sz w:val="24"/>
                <w:szCs w:val="24"/>
                <w:lang w:eastAsia="lv-LV"/>
              </w:rPr>
              <w:t xml:space="preserve">, </w:t>
            </w:r>
            <w:r w:rsidR="002E59AE">
              <w:rPr>
                <w:rFonts w:ascii="Times New Roman" w:eastAsia="Times New Roman" w:hAnsi="Times New Roman" w:cs="Times New Roman"/>
                <w:iCs/>
                <w:sz w:val="24"/>
                <w:szCs w:val="24"/>
                <w:lang w:eastAsia="lv-LV"/>
              </w:rPr>
              <w:t>ņemot vērā to, ka tiem</w:t>
            </w:r>
            <w:r w:rsidR="002E59AE" w:rsidRPr="000A2DED">
              <w:rPr>
                <w:rFonts w:ascii="Times New Roman" w:eastAsia="Times New Roman" w:hAnsi="Times New Roman" w:cs="Times New Roman"/>
                <w:iCs/>
                <w:sz w:val="24"/>
                <w:szCs w:val="24"/>
                <w:lang w:eastAsia="lv-LV"/>
              </w:rPr>
              <w:t xml:space="preserve"> </w:t>
            </w:r>
            <w:r w:rsidRPr="000A2DED">
              <w:rPr>
                <w:rFonts w:ascii="Times New Roman" w:eastAsia="Times New Roman" w:hAnsi="Times New Roman" w:cs="Times New Roman"/>
                <w:iCs/>
                <w:sz w:val="24"/>
                <w:szCs w:val="24"/>
                <w:lang w:eastAsia="lv-LV"/>
              </w:rPr>
              <w:t>elektrības gala cena ir au</w:t>
            </w:r>
            <w:r w:rsidR="00492772">
              <w:rPr>
                <w:rFonts w:ascii="Times New Roman" w:eastAsia="Times New Roman" w:hAnsi="Times New Roman" w:cs="Times New Roman"/>
                <w:iCs/>
                <w:sz w:val="24"/>
                <w:szCs w:val="24"/>
                <w:lang w:eastAsia="lv-LV"/>
              </w:rPr>
              <w:t>g</w:t>
            </w:r>
            <w:r w:rsidRPr="000A2DED">
              <w:rPr>
                <w:rFonts w:ascii="Times New Roman" w:eastAsia="Times New Roman" w:hAnsi="Times New Roman" w:cs="Times New Roman"/>
                <w:iCs/>
                <w:sz w:val="24"/>
                <w:szCs w:val="24"/>
                <w:lang w:eastAsia="lv-LV"/>
              </w:rPr>
              <w:t xml:space="preserve">stāka nekā </w:t>
            </w:r>
            <w:r w:rsidR="002E59AE" w:rsidRPr="000A2DED">
              <w:rPr>
                <w:rFonts w:ascii="Times New Roman" w:eastAsia="Times New Roman" w:hAnsi="Times New Roman" w:cs="Times New Roman"/>
                <w:iCs/>
                <w:sz w:val="24"/>
                <w:szCs w:val="24"/>
                <w:lang w:eastAsia="lv-LV"/>
              </w:rPr>
              <w:t>cit</w:t>
            </w:r>
            <w:r w:rsidR="002E59AE">
              <w:rPr>
                <w:rFonts w:ascii="Times New Roman" w:eastAsia="Times New Roman" w:hAnsi="Times New Roman" w:cs="Times New Roman"/>
                <w:iCs/>
                <w:sz w:val="24"/>
                <w:szCs w:val="24"/>
                <w:lang w:eastAsia="lv-LV"/>
              </w:rPr>
              <w:t>u</w:t>
            </w:r>
            <w:r w:rsidR="002E59AE" w:rsidRPr="000A2DED">
              <w:rPr>
                <w:rFonts w:ascii="Times New Roman" w:eastAsia="Times New Roman" w:hAnsi="Times New Roman" w:cs="Times New Roman"/>
                <w:iCs/>
                <w:sz w:val="24"/>
                <w:szCs w:val="24"/>
                <w:lang w:eastAsia="lv-LV"/>
              </w:rPr>
              <w:t xml:space="preserve"> </w:t>
            </w:r>
            <w:r w:rsidR="002E59AE">
              <w:rPr>
                <w:rFonts w:ascii="Times New Roman" w:eastAsia="Times New Roman" w:hAnsi="Times New Roman" w:cs="Times New Roman"/>
                <w:iCs/>
                <w:sz w:val="24"/>
                <w:szCs w:val="24"/>
                <w:lang w:eastAsia="lv-LV"/>
              </w:rPr>
              <w:t>valstu MVU</w:t>
            </w:r>
            <w:r w:rsidR="002E59AE" w:rsidRPr="000A2DED">
              <w:rPr>
                <w:rFonts w:ascii="Times New Roman" w:eastAsia="Times New Roman" w:hAnsi="Times New Roman" w:cs="Times New Roman"/>
                <w:iCs/>
                <w:sz w:val="24"/>
                <w:szCs w:val="24"/>
                <w:lang w:eastAsia="lv-LV"/>
              </w:rPr>
              <w:t xml:space="preserve"> </w:t>
            </w:r>
            <w:r w:rsidRPr="000A2DED">
              <w:rPr>
                <w:rFonts w:ascii="Times New Roman" w:eastAsia="Times New Roman" w:hAnsi="Times New Roman" w:cs="Times New Roman"/>
                <w:iCs/>
                <w:sz w:val="24"/>
                <w:szCs w:val="24"/>
                <w:lang w:eastAsia="lv-LV"/>
              </w:rPr>
              <w:t xml:space="preserve">Baltijas jūras reģionā. </w:t>
            </w:r>
          </w:p>
          <w:p w14:paraId="33D52A80" w14:textId="209F56A3" w:rsidR="005B7BE1" w:rsidRPr="000A2DED" w:rsidRDefault="005B7BE1" w:rsidP="004B2695">
            <w:pPr>
              <w:spacing w:before="120" w:after="120" w:line="240" w:lineRule="auto"/>
              <w:jc w:val="both"/>
              <w:rPr>
                <w:rFonts w:ascii="Times New Roman" w:eastAsia="Times New Roman" w:hAnsi="Times New Roman" w:cs="Times New Roman"/>
                <w:iCs/>
                <w:sz w:val="24"/>
                <w:szCs w:val="24"/>
                <w:lang w:eastAsia="lv-LV"/>
              </w:rPr>
            </w:pPr>
            <w:r w:rsidRPr="000A2DED">
              <w:rPr>
                <w:rFonts w:ascii="Times New Roman" w:eastAsia="Times New Roman" w:hAnsi="Times New Roman" w:cs="Times New Roman"/>
                <w:b/>
                <w:iCs/>
                <w:sz w:val="24"/>
                <w:szCs w:val="24"/>
                <w:lang w:eastAsia="lv-LV"/>
              </w:rPr>
              <w:t>Kopējo enerģijas izmaksu īpatsvars apgrozījumā Latvijas apstrādes rūpniecībā ir viens no augstākajiem ES.</w:t>
            </w:r>
            <w:r w:rsidRPr="000A2DED">
              <w:rPr>
                <w:rFonts w:ascii="Times New Roman" w:eastAsia="Times New Roman" w:hAnsi="Times New Roman" w:cs="Times New Roman"/>
                <w:iCs/>
                <w:sz w:val="24"/>
                <w:szCs w:val="24"/>
                <w:lang w:eastAsia="lv-LV"/>
              </w:rPr>
              <w:t xml:space="preserve"> Tas nozīmē, ka </w:t>
            </w:r>
            <w:r w:rsidRPr="000A2DED">
              <w:rPr>
                <w:rFonts w:ascii="Times New Roman" w:eastAsia="Times New Roman" w:hAnsi="Times New Roman" w:cs="Times New Roman"/>
                <w:b/>
                <w:iCs/>
                <w:sz w:val="24"/>
                <w:szCs w:val="24"/>
                <w:lang w:eastAsia="lv-LV"/>
              </w:rPr>
              <w:t xml:space="preserve">ne tikai augstās elektroenerģijas cenas un OIK slogs ietekmē nozares izmaksas, bet arī zemā energoefektivitāte. </w:t>
            </w:r>
            <w:r w:rsidRPr="000A2DED">
              <w:rPr>
                <w:rFonts w:ascii="Times New Roman" w:eastAsia="Times New Roman" w:hAnsi="Times New Roman" w:cs="Times New Roman"/>
                <w:iCs/>
                <w:sz w:val="24"/>
                <w:szCs w:val="24"/>
                <w:lang w:eastAsia="lv-LV"/>
              </w:rPr>
              <w:t>Bez OIK sistēmas pārskatīšanas, arī energoefektivitātes jautājumu risināšana var būtiski uzlabot nozares starptautisko konkurētspēju.</w:t>
            </w:r>
            <w:r w:rsidR="009D4A72">
              <w:rPr>
                <w:rFonts w:ascii="Times New Roman" w:eastAsia="Times New Roman" w:hAnsi="Times New Roman" w:cs="Times New Roman"/>
                <w:iCs/>
                <w:sz w:val="24"/>
                <w:szCs w:val="24"/>
                <w:lang w:eastAsia="lv-LV"/>
              </w:rPr>
              <w:t xml:space="preserve"> Detalizētāku analīzi par OIK ietekmi skatīt 2.pielikumā.</w:t>
            </w:r>
          </w:p>
          <w:p w14:paraId="0B85C228" w14:textId="77777777" w:rsidR="005B7BE1" w:rsidRPr="00277738" w:rsidRDefault="005B7BE1" w:rsidP="004B2695">
            <w:pPr>
              <w:spacing w:before="120" w:after="120" w:line="240" w:lineRule="auto"/>
              <w:jc w:val="both"/>
              <w:rPr>
                <w:rFonts w:ascii="Times New Roman" w:eastAsia="Times New Roman" w:hAnsi="Times New Roman" w:cs="Times New Roman"/>
                <w:iCs/>
                <w:color w:val="FF0000"/>
                <w:sz w:val="24"/>
                <w:szCs w:val="24"/>
                <w:lang w:eastAsia="lv-LV"/>
              </w:rPr>
            </w:pPr>
          </w:p>
          <w:p w14:paraId="158AAE35" w14:textId="77777777" w:rsidR="008A7E98" w:rsidRPr="00A20159" w:rsidRDefault="000E4E1F" w:rsidP="004B2695">
            <w:pPr>
              <w:spacing w:before="120" w:after="120" w:line="240" w:lineRule="auto"/>
              <w:jc w:val="both"/>
              <w:rPr>
                <w:rFonts w:ascii="Times New Roman" w:eastAsia="Times New Roman" w:hAnsi="Times New Roman" w:cs="Times New Roman"/>
                <w:b/>
                <w:iCs/>
                <w:sz w:val="24"/>
                <w:szCs w:val="24"/>
                <w:lang w:eastAsia="lv-LV"/>
              </w:rPr>
            </w:pPr>
            <w:r w:rsidRPr="00A20159">
              <w:rPr>
                <w:rFonts w:ascii="Times New Roman" w:eastAsia="Times New Roman" w:hAnsi="Times New Roman" w:cs="Times New Roman"/>
                <w:b/>
                <w:iCs/>
                <w:sz w:val="24"/>
                <w:szCs w:val="24"/>
                <w:lang w:eastAsia="lv-LV"/>
              </w:rPr>
              <w:t>II. RISINĀJUMS</w:t>
            </w:r>
          </w:p>
          <w:p w14:paraId="20193EC4" w14:textId="3B925110" w:rsidR="004B2695" w:rsidRPr="00155ECE" w:rsidRDefault="000E4E1F"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8C2175">
              <w:rPr>
                <w:rFonts w:ascii="Times New Roman" w:eastAsia="Times New Roman" w:hAnsi="Times New Roman" w:cs="Times New Roman"/>
                <w:b/>
                <w:i/>
                <w:iCs/>
                <w:sz w:val="24"/>
                <w:szCs w:val="24"/>
                <w:u w:val="single"/>
                <w:lang w:eastAsia="lv-LV"/>
              </w:rPr>
              <w:t xml:space="preserve">1. </w:t>
            </w:r>
            <w:r w:rsidR="00090D52">
              <w:rPr>
                <w:rFonts w:ascii="Times New Roman" w:eastAsia="Times New Roman" w:hAnsi="Times New Roman" w:cs="Times New Roman"/>
                <w:b/>
                <w:i/>
                <w:iCs/>
                <w:sz w:val="24"/>
                <w:szCs w:val="24"/>
                <w:u w:val="single"/>
                <w:lang w:eastAsia="lv-LV"/>
              </w:rPr>
              <w:t>OI mehānisma likvidēšana</w:t>
            </w:r>
          </w:p>
          <w:p w14:paraId="02CEB036" w14:textId="1EE7C33D" w:rsidR="000536E2" w:rsidRDefault="00277738" w:rsidP="004B2695">
            <w:pPr>
              <w:spacing w:before="120" w:after="120" w:line="240" w:lineRule="auto"/>
              <w:jc w:val="both"/>
              <w:rPr>
                <w:rFonts w:ascii="Times New Roman" w:eastAsia="Times New Roman" w:hAnsi="Times New Roman" w:cs="Times New Roman"/>
                <w:iCs/>
                <w:sz w:val="24"/>
                <w:szCs w:val="24"/>
                <w:lang w:eastAsia="lv-LV"/>
              </w:rPr>
            </w:pPr>
            <w:r w:rsidRPr="000536E2">
              <w:rPr>
                <w:rFonts w:ascii="Times New Roman" w:eastAsia="Times New Roman" w:hAnsi="Times New Roman" w:cs="Times New Roman"/>
                <w:iCs/>
                <w:sz w:val="24"/>
                <w:szCs w:val="24"/>
                <w:lang w:eastAsia="lv-LV"/>
              </w:rPr>
              <w:t xml:space="preserve">Likumprojektā ietvertais risinājums paredz, ka tiek dzēsts ETL 28., </w:t>
            </w:r>
            <w:r w:rsidR="00F24E50">
              <w:rPr>
                <w:rFonts w:ascii="Times New Roman" w:eastAsia="Times New Roman" w:hAnsi="Times New Roman" w:cs="Times New Roman"/>
                <w:iCs/>
                <w:sz w:val="24"/>
                <w:szCs w:val="24"/>
                <w:lang w:eastAsia="lv-LV"/>
              </w:rPr>
              <w:t>28.</w:t>
            </w:r>
            <w:r w:rsidR="00F24E50">
              <w:rPr>
                <w:rFonts w:ascii="Times New Roman" w:eastAsia="Times New Roman" w:hAnsi="Times New Roman" w:cs="Times New Roman"/>
                <w:iCs/>
                <w:sz w:val="24"/>
                <w:szCs w:val="24"/>
                <w:vertAlign w:val="superscript"/>
                <w:lang w:eastAsia="lv-LV"/>
              </w:rPr>
              <w:t>1</w:t>
            </w:r>
            <w:r w:rsidR="00F24E50">
              <w:rPr>
                <w:rFonts w:ascii="Times New Roman" w:eastAsia="Times New Roman" w:hAnsi="Times New Roman" w:cs="Times New Roman"/>
                <w:iCs/>
                <w:sz w:val="24"/>
                <w:szCs w:val="24"/>
                <w:lang w:eastAsia="lv-LV"/>
              </w:rPr>
              <w:t>,</w:t>
            </w:r>
            <w:r w:rsidR="00F24E50">
              <w:rPr>
                <w:rFonts w:ascii="Times New Roman" w:eastAsia="Times New Roman" w:hAnsi="Times New Roman" w:cs="Times New Roman"/>
                <w:iCs/>
                <w:sz w:val="24"/>
                <w:szCs w:val="24"/>
                <w:vertAlign w:val="superscript"/>
                <w:lang w:eastAsia="lv-LV"/>
              </w:rPr>
              <w:t xml:space="preserve"> </w:t>
            </w:r>
            <w:r w:rsidRPr="000536E2">
              <w:rPr>
                <w:rFonts w:ascii="Times New Roman" w:eastAsia="Times New Roman" w:hAnsi="Times New Roman" w:cs="Times New Roman"/>
                <w:iCs/>
                <w:sz w:val="24"/>
                <w:szCs w:val="24"/>
                <w:lang w:eastAsia="lv-LV"/>
              </w:rPr>
              <w:t>29.</w:t>
            </w:r>
            <w:r w:rsidR="00D21C6A" w:rsidRPr="000536E2">
              <w:rPr>
                <w:rFonts w:ascii="Times New Roman" w:eastAsia="Times New Roman" w:hAnsi="Times New Roman" w:cs="Times New Roman"/>
                <w:iCs/>
                <w:sz w:val="24"/>
                <w:szCs w:val="24"/>
                <w:lang w:eastAsia="lv-LV"/>
              </w:rPr>
              <w:t xml:space="preserve">, </w:t>
            </w:r>
            <w:r w:rsidRPr="000536E2">
              <w:rPr>
                <w:rFonts w:ascii="Times New Roman" w:eastAsia="Times New Roman" w:hAnsi="Times New Roman" w:cs="Times New Roman"/>
                <w:iCs/>
                <w:sz w:val="24"/>
                <w:szCs w:val="24"/>
                <w:lang w:eastAsia="lv-LV"/>
              </w:rPr>
              <w:t>30.</w:t>
            </w:r>
            <w:r w:rsidR="00D21C6A" w:rsidRPr="000536E2">
              <w:rPr>
                <w:rFonts w:ascii="Times New Roman" w:eastAsia="Times New Roman" w:hAnsi="Times New Roman" w:cs="Times New Roman"/>
                <w:iCs/>
                <w:sz w:val="24"/>
                <w:szCs w:val="24"/>
                <w:lang w:eastAsia="lv-LV"/>
              </w:rPr>
              <w:t>,</w:t>
            </w:r>
            <w:r w:rsidRPr="000536E2">
              <w:rPr>
                <w:rFonts w:ascii="Times New Roman" w:eastAsia="Times New Roman" w:hAnsi="Times New Roman" w:cs="Times New Roman"/>
                <w:iCs/>
                <w:sz w:val="24"/>
                <w:szCs w:val="24"/>
                <w:lang w:eastAsia="lv-LV"/>
              </w:rPr>
              <w:t xml:space="preserve"> 52. un 53.pants, kam sekojoši </w:t>
            </w:r>
            <w:r w:rsidRPr="000A2DED">
              <w:rPr>
                <w:rFonts w:ascii="Times New Roman" w:eastAsia="Times New Roman" w:hAnsi="Times New Roman" w:cs="Times New Roman"/>
                <w:b/>
                <w:iCs/>
                <w:sz w:val="24"/>
                <w:szCs w:val="24"/>
                <w:lang w:eastAsia="lv-LV"/>
              </w:rPr>
              <w:t>elektroenerģijas galalietotāji vairs</w:t>
            </w:r>
            <w:r w:rsidR="00D21C6A" w:rsidRPr="000A2DED">
              <w:rPr>
                <w:rFonts w:ascii="Times New Roman" w:eastAsia="Times New Roman" w:hAnsi="Times New Roman" w:cs="Times New Roman"/>
                <w:b/>
                <w:iCs/>
                <w:sz w:val="24"/>
                <w:szCs w:val="24"/>
                <w:lang w:eastAsia="lv-LV"/>
              </w:rPr>
              <w:t xml:space="preserve"> </w:t>
            </w:r>
            <w:r w:rsidR="000536E2" w:rsidRPr="000A2DED">
              <w:rPr>
                <w:rFonts w:ascii="Times New Roman" w:eastAsia="Times New Roman" w:hAnsi="Times New Roman" w:cs="Times New Roman"/>
                <w:b/>
                <w:iCs/>
                <w:sz w:val="24"/>
                <w:szCs w:val="24"/>
                <w:lang w:eastAsia="lv-LV"/>
              </w:rPr>
              <w:t>nesedz izmaksas par atbalstu,</w:t>
            </w:r>
            <w:r w:rsidR="000536E2">
              <w:rPr>
                <w:rFonts w:ascii="Times New Roman" w:eastAsia="Times New Roman" w:hAnsi="Times New Roman" w:cs="Times New Roman"/>
                <w:iCs/>
                <w:sz w:val="24"/>
                <w:szCs w:val="24"/>
                <w:lang w:eastAsia="lv-LV"/>
              </w:rPr>
              <w:t xml:space="preserve"> kas sniegts saskaņā ar minētajiem pantiem, kā arī</w:t>
            </w:r>
            <w:r w:rsidR="00D21C6A" w:rsidRPr="000536E2">
              <w:rPr>
                <w:rFonts w:ascii="Times New Roman" w:eastAsia="Times New Roman" w:hAnsi="Times New Roman" w:cs="Times New Roman"/>
                <w:iCs/>
                <w:sz w:val="24"/>
                <w:szCs w:val="24"/>
                <w:lang w:eastAsia="lv-LV"/>
              </w:rPr>
              <w:t xml:space="preserve"> </w:t>
            </w:r>
            <w:r w:rsidRPr="000A2DED">
              <w:rPr>
                <w:rFonts w:ascii="Times New Roman" w:eastAsia="Times New Roman" w:hAnsi="Times New Roman" w:cs="Times New Roman"/>
                <w:b/>
                <w:iCs/>
                <w:sz w:val="24"/>
                <w:szCs w:val="24"/>
                <w:lang w:eastAsia="lv-LV"/>
              </w:rPr>
              <w:t>spēkā vairs nav tiesības</w:t>
            </w:r>
            <w:r w:rsidR="000A2DED" w:rsidRPr="000A2DED">
              <w:rPr>
                <w:rFonts w:ascii="Times New Roman" w:eastAsia="Times New Roman" w:hAnsi="Times New Roman" w:cs="Times New Roman"/>
                <w:b/>
                <w:iCs/>
                <w:sz w:val="24"/>
                <w:szCs w:val="24"/>
                <w:lang w:eastAsia="lv-LV"/>
              </w:rPr>
              <w:t xml:space="preserve"> uz atbalstu</w:t>
            </w:r>
            <w:r w:rsidRPr="000536E2">
              <w:rPr>
                <w:rFonts w:ascii="Times New Roman" w:eastAsia="Times New Roman" w:hAnsi="Times New Roman" w:cs="Times New Roman"/>
                <w:iCs/>
                <w:sz w:val="24"/>
                <w:szCs w:val="24"/>
                <w:lang w:eastAsia="lv-LV"/>
              </w:rPr>
              <w:t>, kas komersantiem piešķirtas saskaņā ar minētajiem pantiem</w:t>
            </w:r>
            <w:r w:rsidR="000536E2">
              <w:rPr>
                <w:rFonts w:ascii="Times New Roman" w:eastAsia="Times New Roman" w:hAnsi="Times New Roman" w:cs="Times New Roman"/>
                <w:iCs/>
                <w:sz w:val="24"/>
                <w:szCs w:val="24"/>
                <w:lang w:eastAsia="lv-LV"/>
              </w:rPr>
              <w:t xml:space="preserve"> vai uz kuru pamata tiek izmaksāts atbalsts (ETL 52.panta gadījumā). Minētie grozījumi stājas spēkā 2019.gada </w:t>
            </w:r>
            <w:r w:rsidR="008D4EBB">
              <w:rPr>
                <w:rFonts w:ascii="Times New Roman" w:eastAsia="Times New Roman" w:hAnsi="Times New Roman" w:cs="Times New Roman"/>
                <w:iCs/>
                <w:sz w:val="24"/>
                <w:szCs w:val="24"/>
                <w:lang w:eastAsia="lv-LV"/>
              </w:rPr>
              <w:lastRenderedPageBreak/>
              <w:t>1</w:t>
            </w:r>
            <w:r w:rsidR="000536E2">
              <w:rPr>
                <w:rFonts w:ascii="Times New Roman" w:eastAsia="Times New Roman" w:hAnsi="Times New Roman" w:cs="Times New Roman"/>
                <w:iCs/>
                <w:sz w:val="24"/>
                <w:szCs w:val="24"/>
                <w:lang w:eastAsia="lv-LV"/>
              </w:rPr>
              <w:t>.</w:t>
            </w:r>
            <w:r w:rsidR="008D4EBB">
              <w:rPr>
                <w:rFonts w:ascii="Times New Roman" w:eastAsia="Times New Roman" w:hAnsi="Times New Roman" w:cs="Times New Roman"/>
                <w:iCs/>
                <w:sz w:val="24"/>
                <w:szCs w:val="24"/>
                <w:lang w:eastAsia="lv-LV"/>
              </w:rPr>
              <w:t>aprīlī</w:t>
            </w:r>
            <w:r w:rsidR="000536E2">
              <w:rPr>
                <w:rFonts w:ascii="Times New Roman" w:eastAsia="Times New Roman" w:hAnsi="Times New Roman" w:cs="Times New Roman"/>
                <w:iCs/>
                <w:sz w:val="24"/>
                <w:szCs w:val="24"/>
                <w:lang w:eastAsia="lv-LV"/>
              </w:rPr>
              <w:t xml:space="preserve">, </w:t>
            </w:r>
            <w:r w:rsidR="008D4EBB">
              <w:rPr>
                <w:rFonts w:ascii="Times New Roman" w:eastAsia="Times New Roman" w:hAnsi="Times New Roman" w:cs="Times New Roman"/>
                <w:iCs/>
                <w:sz w:val="24"/>
                <w:szCs w:val="24"/>
                <w:lang w:eastAsia="lv-LV"/>
              </w:rPr>
              <w:t>lai nodrošinātu, ka norēķinus par 2019.gada martu var veikt par pilnu kalendāro mēnesi.</w:t>
            </w:r>
          </w:p>
          <w:p w14:paraId="4E4ABED7" w14:textId="3B991820" w:rsidR="000536E2" w:rsidRPr="00F24E50" w:rsidRDefault="000536E2"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w:t>
            </w:r>
            <w:r w:rsidR="00F24E50" w:rsidRPr="005B7BE1">
              <w:rPr>
                <w:rFonts w:ascii="Times New Roman" w:eastAsia="Times New Roman" w:hAnsi="Times New Roman" w:cs="Times New Roman"/>
                <w:b/>
                <w:iCs/>
                <w:sz w:val="24"/>
                <w:szCs w:val="24"/>
                <w:lang w:eastAsia="lv-LV"/>
              </w:rPr>
              <w:t>elektrostacijām ar uzstādīto jaudu virs 100 MW, kas zaudē tiesības uz atbalstu dzēšot ETL 28.</w:t>
            </w:r>
            <w:r w:rsidR="00F24E50" w:rsidRPr="005B7BE1">
              <w:rPr>
                <w:rFonts w:ascii="Times New Roman" w:eastAsia="Times New Roman" w:hAnsi="Times New Roman" w:cs="Times New Roman"/>
                <w:b/>
                <w:iCs/>
                <w:sz w:val="24"/>
                <w:szCs w:val="24"/>
                <w:vertAlign w:val="superscript"/>
                <w:lang w:eastAsia="lv-LV"/>
              </w:rPr>
              <w:t xml:space="preserve">1 </w:t>
            </w:r>
            <w:r w:rsidR="00F24E50" w:rsidRPr="005B7BE1">
              <w:rPr>
                <w:rFonts w:ascii="Times New Roman" w:eastAsia="Times New Roman" w:hAnsi="Times New Roman" w:cs="Times New Roman"/>
                <w:b/>
                <w:iCs/>
                <w:sz w:val="24"/>
                <w:szCs w:val="24"/>
                <w:lang w:eastAsia="lv-LV"/>
              </w:rPr>
              <w:t>pantu, ETL pārejas noteikumos noteikts pienākums turpināt elektrostaciju darbību</w:t>
            </w:r>
            <w:r w:rsidR="00F24E50" w:rsidRPr="00F24E50">
              <w:rPr>
                <w:rFonts w:ascii="Times New Roman" w:eastAsia="Times New Roman" w:hAnsi="Times New Roman" w:cs="Times New Roman"/>
                <w:iCs/>
                <w:sz w:val="24"/>
                <w:szCs w:val="24"/>
                <w:lang w:eastAsia="lv-LV"/>
              </w:rPr>
              <w:t xml:space="preserve"> atbilstoši tiem pašiem nosacījumiem par darbības režīmu un termiņiem, kādi uz koģenerācijas staciju attiecās līdz 2019.gada 31.martam. Šāds </w:t>
            </w:r>
            <w:r w:rsidR="00F24E50" w:rsidRPr="00FD7D1A">
              <w:rPr>
                <w:rFonts w:ascii="Times New Roman" w:eastAsia="Times New Roman" w:hAnsi="Times New Roman" w:cs="Times New Roman"/>
                <w:b/>
                <w:iCs/>
                <w:sz w:val="24"/>
                <w:szCs w:val="24"/>
                <w:lang w:eastAsia="lv-LV"/>
              </w:rPr>
              <w:t>risinājums izvēlēts, ņemot vērā šādu elektrostaciju ietekmi uz elektroenerģijas sistēmas stabilitāti Latvijā</w:t>
            </w:r>
            <w:r w:rsidR="00F24E50" w:rsidRPr="00F24E50">
              <w:rPr>
                <w:rFonts w:ascii="Times New Roman" w:eastAsia="Times New Roman" w:hAnsi="Times New Roman" w:cs="Times New Roman"/>
                <w:iCs/>
                <w:sz w:val="24"/>
                <w:szCs w:val="24"/>
                <w:lang w:eastAsia="lv-LV"/>
              </w:rPr>
              <w:t xml:space="preserve">, t.i. šādu staciju </w:t>
            </w:r>
            <w:r w:rsidR="00F24E50" w:rsidRPr="00F24E50">
              <w:rPr>
                <w:rFonts w:ascii="Times New Roman" w:hAnsi="Times New Roman" w:cs="Times New Roman"/>
                <w:sz w:val="24"/>
                <w:szCs w:val="24"/>
              </w:rPr>
              <w:t xml:space="preserve">kopējās uzstādītās jaudas un </w:t>
            </w:r>
            <w:r w:rsidR="00F24E50">
              <w:rPr>
                <w:rFonts w:ascii="Times New Roman" w:hAnsi="Times New Roman" w:cs="Times New Roman"/>
                <w:sz w:val="24"/>
                <w:szCs w:val="24"/>
              </w:rPr>
              <w:t xml:space="preserve">nozīmīgo </w:t>
            </w:r>
            <w:r w:rsidR="00F24E50" w:rsidRPr="00F24E50">
              <w:rPr>
                <w:rFonts w:ascii="Times New Roman" w:hAnsi="Times New Roman" w:cs="Times New Roman"/>
                <w:sz w:val="24"/>
                <w:szCs w:val="24"/>
              </w:rPr>
              <w:t xml:space="preserve">saražotās elektroenerģijas </w:t>
            </w:r>
            <w:r w:rsidR="00F24E50">
              <w:rPr>
                <w:rFonts w:ascii="Times New Roman" w:hAnsi="Times New Roman" w:cs="Times New Roman"/>
                <w:sz w:val="24"/>
                <w:szCs w:val="24"/>
              </w:rPr>
              <w:t xml:space="preserve">apjomu, kā arī ņemot vērā saskaņā ar </w:t>
            </w:r>
            <w:r w:rsidR="00F2397F">
              <w:rPr>
                <w:rFonts w:ascii="Times New Roman" w:hAnsi="Times New Roman" w:cs="Times New Roman"/>
                <w:sz w:val="24"/>
                <w:szCs w:val="24"/>
              </w:rPr>
              <w:t>Ministru kabineta 2017.gada 21.novembra rīkojumu Nr</w:t>
            </w:r>
            <w:r w:rsidR="00F2397F">
              <w:t>.</w:t>
            </w:r>
            <w:r w:rsidR="00F2397F" w:rsidRPr="006727C9">
              <w:rPr>
                <w:rFonts w:ascii="Times New Roman" w:hAnsi="Times New Roman" w:cs="Times New Roman"/>
                <w:sz w:val="24"/>
                <w:szCs w:val="24"/>
              </w:rPr>
              <w:t>685</w:t>
            </w:r>
            <w:r w:rsidR="009045F8">
              <w:rPr>
                <w:rStyle w:val="FootnoteReference"/>
                <w:rFonts w:ascii="Times New Roman" w:hAnsi="Times New Roman" w:cs="Times New Roman"/>
                <w:sz w:val="24"/>
                <w:szCs w:val="24"/>
              </w:rPr>
              <w:footnoteReference w:id="20"/>
            </w:r>
            <w:r w:rsidR="00F2397F">
              <w:rPr>
                <w:rFonts w:ascii="Times New Roman" w:hAnsi="Times New Roman" w:cs="Times New Roman"/>
                <w:sz w:val="24"/>
                <w:szCs w:val="24"/>
              </w:rPr>
              <w:t xml:space="preserve"> </w:t>
            </w:r>
            <w:r w:rsidR="00F2397F" w:rsidRPr="00FD7D1A">
              <w:rPr>
                <w:rFonts w:ascii="Times New Roman" w:hAnsi="Times New Roman" w:cs="Times New Roman"/>
                <w:b/>
                <w:sz w:val="24"/>
                <w:szCs w:val="24"/>
              </w:rPr>
              <w:t>vienreizējā darījuma ietvaros AS “Latvenergo” elektrostacijām TEC-1 un TEC-2 izmaksāto avansu</w:t>
            </w:r>
            <w:r w:rsidR="00660D47" w:rsidRPr="00FD7D1A">
              <w:rPr>
                <w:rFonts w:ascii="Times New Roman" w:hAnsi="Times New Roman" w:cs="Times New Roman"/>
                <w:b/>
                <w:sz w:val="24"/>
                <w:szCs w:val="24"/>
              </w:rPr>
              <w:t xml:space="preserve"> par </w:t>
            </w:r>
            <w:r w:rsidR="001236F3" w:rsidRPr="00FD7D1A">
              <w:rPr>
                <w:rFonts w:ascii="Times New Roman" w:hAnsi="Times New Roman" w:cs="Times New Roman"/>
                <w:b/>
                <w:sz w:val="24"/>
                <w:szCs w:val="24"/>
              </w:rPr>
              <w:t>staciju darbību</w:t>
            </w:r>
            <w:r w:rsidR="00660D47" w:rsidRPr="00FD7D1A">
              <w:rPr>
                <w:rFonts w:ascii="Times New Roman" w:hAnsi="Times New Roman" w:cs="Times New Roman"/>
                <w:b/>
                <w:sz w:val="24"/>
                <w:szCs w:val="24"/>
              </w:rPr>
              <w:t xml:space="preserve"> līdz atbalsta perioda beigām</w:t>
            </w:r>
            <w:r w:rsidR="00AC1C52" w:rsidRPr="00FD7D1A">
              <w:rPr>
                <w:rFonts w:ascii="Times New Roman" w:hAnsi="Times New Roman" w:cs="Times New Roman"/>
                <w:b/>
                <w:sz w:val="24"/>
                <w:szCs w:val="24"/>
              </w:rPr>
              <w:t>, kas patērētājiem nerada papildu</w:t>
            </w:r>
            <w:r w:rsidR="00157E5D" w:rsidRPr="00FD7D1A">
              <w:rPr>
                <w:rFonts w:ascii="Times New Roman" w:hAnsi="Times New Roman" w:cs="Times New Roman"/>
                <w:b/>
                <w:sz w:val="24"/>
                <w:szCs w:val="24"/>
              </w:rPr>
              <w:t xml:space="preserve"> </w:t>
            </w:r>
            <w:r w:rsidR="00AC1C52" w:rsidRPr="00FD7D1A">
              <w:rPr>
                <w:rFonts w:ascii="Times New Roman" w:hAnsi="Times New Roman" w:cs="Times New Roman"/>
                <w:b/>
                <w:sz w:val="24"/>
                <w:szCs w:val="24"/>
              </w:rPr>
              <w:t>izmaksas</w:t>
            </w:r>
            <w:r w:rsidR="00660D47">
              <w:rPr>
                <w:rFonts w:ascii="Times New Roman" w:hAnsi="Times New Roman" w:cs="Times New Roman"/>
                <w:sz w:val="24"/>
                <w:szCs w:val="24"/>
              </w:rPr>
              <w:t xml:space="preserve">. </w:t>
            </w:r>
            <w:r w:rsidR="00A07FD5" w:rsidRPr="00902F13">
              <w:rPr>
                <w:rFonts w:ascii="Times New Roman" w:hAnsi="Times New Roman" w:cs="Times New Roman"/>
                <w:b/>
                <w:sz w:val="24"/>
                <w:szCs w:val="24"/>
              </w:rPr>
              <w:t xml:space="preserve">Tādējādi minētajām </w:t>
            </w:r>
            <w:r w:rsidR="00157E5D" w:rsidRPr="00902F13">
              <w:rPr>
                <w:rFonts w:ascii="Times New Roman" w:hAnsi="Times New Roman" w:cs="Times New Roman"/>
                <w:b/>
                <w:sz w:val="24"/>
                <w:szCs w:val="24"/>
              </w:rPr>
              <w:t>elektro</w:t>
            </w:r>
            <w:r w:rsidR="00A07FD5" w:rsidRPr="00902F13">
              <w:rPr>
                <w:rFonts w:ascii="Times New Roman" w:hAnsi="Times New Roman" w:cs="Times New Roman"/>
                <w:b/>
                <w:sz w:val="24"/>
                <w:szCs w:val="24"/>
              </w:rPr>
              <w:t>stacijām tiks atceltas tiesības uz ikgadēj</w:t>
            </w:r>
            <w:r w:rsidR="00157E5D" w:rsidRPr="00902F13">
              <w:rPr>
                <w:rFonts w:ascii="Times New Roman" w:hAnsi="Times New Roman" w:cs="Times New Roman"/>
                <w:b/>
                <w:sz w:val="24"/>
                <w:szCs w:val="24"/>
              </w:rPr>
              <w:t>ā</w:t>
            </w:r>
            <w:r w:rsidR="00A07FD5" w:rsidRPr="00902F13">
              <w:rPr>
                <w:rFonts w:ascii="Times New Roman" w:hAnsi="Times New Roman" w:cs="Times New Roman"/>
                <w:b/>
                <w:sz w:val="24"/>
                <w:szCs w:val="24"/>
              </w:rPr>
              <w:t xml:space="preserve"> atbalsta maksājuma saņemšanu</w:t>
            </w:r>
            <w:r w:rsidR="00906D35">
              <w:rPr>
                <w:rFonts w:ascii="Times New Roman" w:hAnsi="Times New Roman" w:cs="Times New Roman"/>
                <w:sz w:val="24"/>
                <w:szCs w:val="24"/>
              </w:rPr>
              <w:t xml:space="preserve"> (3,3 milj.</w:t>
            </w:r>
            <w:r w:rsidR="001171E4">
              <w:rPr>
                <w:rFonts w:ascii="Times New Roman" w:hAnsi="Times New Roman" w:cs="Times New Roman"/>
                <w:sz w:val="24"/>
                <w:szCs w:val="24"/>
              </w:rPr>
              <w:t xml:space="preserve"> </w:t>
            </w:r>
            <w:r w:rsidR="001171E4" w:rsidRPr="00032B2C">
              <w:rPr>
                <w:rFonts w:ascii="Times New Roman" w:hAnsi="Times New Roman" w:cs="Times New Roman"/>
                <w:i/>
                <w:sz w:val="24"/>
                <w:szCs w:val="24"/>
              </w:rPr>
              <w:t>euro</w:t>
            </w:r>
            <w:r w:rsidR="001171E4">
              <w:rPr>
                <w:rFonts w:ascii="Times New Roman" w:hAnsi="Times New Roman" w:cs="Times New Roman"/>
                <w:sz w:val="24"/>
                <w:szCs w:val="24"/>
              </w:rPr>
              <w:t xml:space="preserve"> </w:t>
            </w:r>
            <w:r w:rsidR="00906D35">
              <w:rPr>
                <w:rFonts w:ascii="Times New Roman" w:hAnsi="Times New Roman" w:cs="Times New Roman"/>
                <w:sz w:val="24"/>
                <w:szCs w:val="24"/>
              </w:rPr>
              <w:t>gadā TEC-1 līdz 2020.gadam un 21,3 milj.</w:t>
            </w:r>
            <w:r w:rsidR="00032B2C">
              <w:rPr>
                <w:rFonts w:ascii="Times New Roman" w:hAnsi="Times New Roman" w:cs="Times New Roman"/>
                <w:sz w:val="24"/>
                <w:szCs w:val="24"/>
              </w:rPr>
              <w:t xml:space="preserve"> </w:t>
            </w:r>
            <w:r w:rsidR="00030FEB" w:rsidRPr="00032B2C">
              <w:rPr>
                <w:rFonts w:ascii="Times New Roman" w:hAnsi="Times New Roman" w:cs="Times New Roman"/>
                <w:i/>
                <w:sz w:val="24"/>
                <w:szCs w:val="24"/>
              </w:rPr>
              <w:t>euro</w:t>
            </w:r>
            <w:r w:rsidR="00030FEB">
              <w:rPr>
                <w:rFonts w:ascii="Times New Roman" w:hAnsi="Times New Roman" w:cs="Times New Roman"/>
                <w:sz w:val="24"/>
                <w:szCs w:val="24"/>
              </w:rPr>
              <w:t xml:space="preserve"> </w:t>
            </w:r>
            <w:r w:rsidR="00906D35">
              <w:rPr>
                <w:rFonts w:ascii="Times New Roman" w:hAnsi="Times New Roman" w:cs="Times New Roman"/>
                <w:sz w:val="24"/>
                <w:szCs w:val="24"/>
              </w:rPr>
              <w:t xml:space="preserve">gadā TEC-2 </w:t>
            </w:r>
            <w:r w:rsidR="00A07FD5">
              <w:rPr>
                <w:rFonts w:ascii="Times New Roman" w:hAnsi="Times New Roman" w:cs="Times New Roman"/>
                <w:sz w:val="24"/>
                <w:szCs w:val="24"/>
              </w:rPr>
              <w:t xml:space="preserve"> </w:t>
            </w:r>
            <w:r w:rsidR="00906D35">
              <w:rPr>
                <w:rFonts w:ascii="Times New Roman" w:hAnsi="Times New Roman" w:cs="Times New Roman"/>
                <w:sz w:val="24"/>
                <w:szCs w:val="24"/>
              </w:rPr>
              <w:t xml:space="preserve">līdz 2028.gadam) </w:t>
            </w:r>
            <w:r w:rsidR="00A07FD5">
              <w:rPr>
                <w:rFonts w:ascii="Times New Roman" w:hAnsi="Times New Roman" w:cs="Times New Roman"/>
                <w:sz w:val="24"/>
                <w:szCs w:val="24"/>
              </w:rPr>
              <w:t xml:space="preserve">un </w:t>
            </w:r>
            <w:r w:rsidR="00A07FD5" w:rsidRPr="00902F13">
              <w:rPr>
                <w:rFonts w:ascii="Times New Roman" w:hAnsi="Times New Roman" w:cs="Times New Roman"/>
                <w:b/>
                <w:sz w:val="24"/>
                <w:szCs w:val="24"/>
              </w:rPr>
              <w:t>vienlaikus</w:t>
            </w:r>
            <w:r w:rsidR="00157E5D" w:rsidRPr="00902F13">
              <w:rPr>
                <w:rFonts w:ascii="Times New Roman" w:hAnsi="Times New Roman" w:cs="Times New Roman"/>
                <w:b/>
                <w:sz w:val="24"/>
                <w:szCs w:val="24"/>
              </w:rPr>
              <w:t xml:space="preserve"> elektrostacijām</w:t>
            </w:r>
            <w:r w:rsidR="00A07FD5" w:rsidRPr="00902F13">
              <w:rPr>
                <w:rFonts w:ascii="Times New Roman" w:hAnsi="Times New Roman" w:cs="Times New Roman"/>
                <w:b/>
                <w:sz w:val="24"/>
                <w:szCs w:val="24"/>
              </w:rPr>
              <w:t xml:space="preserve"> tiks noteikts pienākumus strādāt līdz sākotnēji plānotā atbalsta perioda beigām</w:t>
            </w:r>
            <w:r w:rsidR="00A07FD5">
              <w:rPr>
                <w:rFonts w:ascii="Times New Roman" w:hAnsi="Times New Roman" w:cs="Times New Roman"/>
                <w:sz w:val="24"/>
                <w:szCs w:val="24"/>
              </w:rPr>
              <w:t xml:space="preserve">, ņemot vērā augstāk minētos iemeslus. </w:t>
            </w:r>
          </w:p>
          <w:p w14:paraId="5578C22D" w14:textId="380212EF" w:rsidR="00666B30" w:rsidRPr="00155ECE" w:rsidRDefault="00666B30" w:rsidP="004B2695">
            <w:pPr>
              <w:spacing w:before="120" w:after="120" w:line="240" w:lineRule="auto"/>
              <w:jc w:val="both"/>
              <w:rPr>
                <w:rFonts w:ascii="Times New Roman" w:eastAsia="Times New Roman" w:hAnsi="Times New Roman" w:cs="Times New Roman"/>
                <w:iCs/>
                <w:sz w:val="24"/>
                <w:szCs w:val="24"/>
                <w:lang w:eastAsia="lv-LV"/>
              </w:rPr>
            </w:pPr>
            <w:r w:rsidRPr="00666B30">
              <w:rPr>
                <w:rFonts w:ascii="Times New Roman" w:eastAsia="Times New Roman" w:hAnsi="Times New Roman" w:cs="Times New Roman"/>
                <w:iCs/>
                <w:sz w:val="24"/>
                <w:szCs w:val="24"/>
                <w:lang w:eastAsia="lv-LV"/>
              </w:rPr>
              <w:t>Sekojoši</w:t>
            </w:r>
            <w:r w:rsidR="00157E5D">
              <w:rPr>
                <w:rFonts w:ascii="Times New Roman" w:eastAsia="Times New Roman" w:hAnsi="Times New Roman" w:cs="Times New Roman"/>
                <w:iCs/>
                <w:sz w:val="24"/>
                <w:szCs w:val="24"/>
                <w:lang w:eastAsia="lv-LV"/>
              </w:rPr>
              <w:t xml:space="preserve"> ar</w:t>
            </w:r>
            <w:r w:rsidRPr="00666B30">
              <w:rPr>
                <w:rFonts w:ascii="Times New Roman" w:eastAsia="Times New Roman" w:hAnsi="Times New Roman" w:cs="Times New Roman"/>
                <w:iCs/>
                <w:sz w:val="24"/>
                <w:szCs w:val="24"/>
                <w:lang w:eastAsia="lv-LV"/>
              </w:rPr>
              <w:t xml:space="preserve"> minēto normu dzēšan</w:t>
            </w:r>
            <w:r w:rsidR="003B7716">
              <w:rPr>
                <w:rFonts w:ascii="Times New Roman" w:eastAsia="Times New Roman" w:hAnsi="Times New Roman" w:cs="Times New Roman"/>
                <w:iCs/>
                <w:sz w:val="24"/>
                <w:szCs w:val="24"/>
                <w:lang w:eastAsia="lv-LV"/>
              </w:rPr>
              <w:t>u</w:t>
            </w:r>
            <w:r w:rsidRPr="00666B30">
              <w:rPr>
                <w:rFonts w:ascii="Times New Roman" w:eastAsia="Times New Roman" w:hAnsi="Times New Roman" w:cs="Times New Roman"/>
                <w:iCs/>
                <w:sz w:val="24"/>
                <w:szCs w:val="24"/>
                <w:lang w:eastAsia="lv-LV"/>
              </w:rPr>
              <w:t xml:space="preserve"> spēku zaudē </w:t>
            </w:r>
            <w:r w:rsidR="005B7BE1">
              <w:rPr>
                <w:rFonts w:ascii="Times New Roman" w:eastAsia="Times New Roman" w:hAnsi="Times New Roman" w:cs="Times New Roman"/>
                <w:iCs/>
                <w:sz w:val="24"/>
                <w:szCs w:val="24"/>
                <w:lang w:eastAsia="lv-LV"/>
              </w:rPr>
              <w:t>tiesību</w:t>
            </w:r>
            <w:r w:rsidRPr="00666B30">
              <w:rPr>
                <w:rFonts w:ascii="Times New Roman" w:eastAsia="Times New Roman" w:hAnsi="Times New Roman" w:cs="Times New Roman"/>
                <w:iCs/>
                <w:sz w:val="24"/>
                <w:szCs w:val="24"/>
                <w:lang w:eastAsia="lv-LV"/>
              </w:rPr>
              <w:t xml:space="preserve"> akti, kas izdoti uz šo normu pamata. ETL 28., 28.</w:t>
            </w:r>
            <w:r w:rsidRPr="00666B30">
              <w:rPr>
                <w:rFonts w:ascii="Times New Roman" w:eastAsia="Times New Roman" w:hAnsi="Times New Roman" w:cs="Times New Roman"/>
                <w:iCs/>
                <w:sz w:val="24"/>
                <w:szCs w:val="24"/>
                <w:vertAlign w:val="superscript"/>
                <w:lang w:eastAsia="lv-LV"/>
              </w:rPr>
              <w:t>1</w:t>
            </w:r>
            <w:r w:rsidRPr="00666B30">
              <w:rPr>
                <w:rFonts w:ascii="Times New Roman" w:eastAsia="Times New Roman" w:hAnsi="Times New Roman" w:cs="Times New Roman"/>
                <w:iCs/>
                <w:sz w:val="24"/>
                <w:szCs w:val="24"/>
                <w:lang w:eastAsia="lv-LV"/>
              </w:rPr>
              <w:t>,</w:t>
            </w:r>
            <w:r w:rsidRPr="00666B30">
              <w:rPr>
                <w:rFonts w:ascii="Times New Roman" w:eastAsia="Times New Roman" w:hAnsi="Times New Roman" w:cs="Times New Roman"/>
                <w:iCs/>
                <w:sz w:val="24"/>
                <w:szCs w:val="24"/>
                <w:vertAlign w:val="superscript"/>
                <w:lang w:eastAsia="lv-LV"/>
              </w:rPr>
              <w:t xml:space="preserve"> </w:t>
            </w:r>
            <w:r w:rsidRPr="00666B30">
              <w:rPr>
                <w:rFonts w:ascii="Times New Roman" w:eastAsia="Times New Roman" w:hAnsi="Times New Roman" w:cs="Times New Roman"/>
                <w:iCs/>
                <w:sz w:val="24"/>
                <w:szCs w:val="24"/>
                <w:lang w:eastAsia="lv-LV"/>
              </w:rPr>
              <w:t>29., 30., 52. un 53.panta gadījumā tie ir MK noteikumi Nr.221 un MK noteikumi Nr.262</w:t>
            </w:r>
            <w:r w:rsidR="005B7BE1">
              <w:rPr>
                <w:rFonts w:ascii="Times New Roman" w:eastAsia="Times New Roman" w:hAnsi="Times New Roman" w:cs="Times New Roman"/>
                <w:iCs/>
                <w:sz w:val="24"/>
                <w:szCs w:val="24"/>
                <w:lang w:eastAsia="lv-LV"/>
              </w:rPr>
              <w:t xml:space="preserve"> un </w:t>
            </w:r>
            <w:r w:rsidR="005B7BE1" w:rsidRPr="003D002C">
              <w:rPr>
                <w:rFonts w:ascii="Times New Roman" w:hAnsi="Times New Roman"/>
                <w:sz w:val="24"/>
                <w:szCs w:val="24"/>
              </w:rPr>
              <w:t xml:space="preserve">Sabiedrisko pakalpojumu regulēšanas komisijas </w:t>
            </w:r>
            <w:r w:rsidR="005B7BE1">
              <w:rPr>
                <w:rFonts w:ascii="Times New Roman" w:hAnsi="Times New Roman"/>
                <w:sz w:val="24"/>
                <w:szCs w:val="24"/>
              </w:rPr>
              <w:t xml:space="preserve">2017.gada </w:t>
            </w:r>
            <w:r w:rsidR="005B7BE1" w:rsidRPr="003D002C">
              <w:rPr>
                <w:rFonts w:ascii="Times New Roman" w:hAnsi="Times New Roman"/>
                <w:sz w:val="24"/>
                <w:szCs w:val="24"/>
              </w:rPr>
              <w:t>14.</w:t>
            </w:r>
            <w:r w:rsidR="005B7BE1">
              <w:rPr>
                <w:rFonts w:ascii="Times New Roman" w:hAnsi="Times New Roman"/>
                <w:sz w:val="24"/>
                <w:szCs w:val="24"/>
              </w:rPr>
              <w:t xml:space="preserve">septembra </w:t>
            </w:r>
            <w:r w:rsidR="005B7BE1" w:rsidRPr="003D002C">
              <w:rPr>
                <w:rFonts w:ascii="Times New Roman" w:hAnsi="Times New Roman"/>
                <w:sz w:val="24"/>
                <w:szCs w:val="24"/>
              </w:rPr>
              <w:t>lēmums Nr. 1/24</w:t>
            </w:r>
            <w:r w:rsidR="005B7BE1">
              <w:rPr>
                <w:rFonts w:ascii="Times New Roman" w:hAnsi="Times New Roman"/>
                <w:sz w:val="24"/>
                <w:szCs w:val="24"/>
              </w:rPr>
              <w:t xml:space="preserve"> “</w:t>
            </w:r>
            <w:r w:rsidR="005B7BE1" w:rsidRPr="003D002C">
              <w:rPr>
                <w:rFonts w:ascii="Times New Roman" w:hAnsi="Times New Roman"/>
                <w:sz w:val="24"/>
                <w:szCs w:val="24"/>
              </w:rPr>
              <w:t>Obligātā iepirkuma un jaudas komponenšu aprēķināšanas metodika</w:t>
            </w:r>
            <w:r w:rsidR="005B7BE1">
              <w:rPr>
                <w:rFonts w:ascii="Times New Roman" w:hAnsi="Times New Roman"/>
                <w:sz w:val="24"/>
                <w:szCs w:val="24"/>
              </w:rPr>
              <w:t>”</w:t>
            </w:r>
            <w:r w:rsidR="00157E5D">
              <w:rPr>
                <w:rStyle w:val="FootnoteReference"/>
                <w:rFonts w:ascii="Times New Roman" w:hAnsi="Times New Roman"/>
                <w:sz w:val="24"/>
                <w:szCs w:val="24"/>
              </w:rPr>
              <w:footnoteReference w:id="21"/>
            </w:r>
            <w:r w:rsidR="005B7BE1">
              <w:rPr>
                <w:rFonts w:ascii="Times New Roman" w:hAnsi="Times New Roman"/>
                <w:sz w:val="24"/>
                <w:szCs w:val="24"/>
              </w:rPr>
              <w:t>.</w:t>
            </w:r>
          </w:p>
          <w:p w14:paraId="357FF0CF" w14:textId="0E1E0D38" w:rsidR="00490D13" w:rsidRPr="00155ECE" w:rsidRDefault="00612420" w:rsidP="004B2695">
            <w:pPr>
              <w:spacing w:before="120" w:after="12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Saskaņā ar </w:t>
            </w:r>
            <w:r w:rsidR="00475435">
              <w:rPr>
                <w:rFonts w:ascii="Times New Roman" w:eastAsia="Times New Roman" w:hAnsi="Times New Roman" w:cs="Times New Roman"/>
                <w:iCs/>
                <w:sz w:val="24"/>
                <w:szCs w:val="24"/>
                <w:lang w:eastAsia="lv-LV"/>
              </w:rPr>
              <w:t>Komisijas</w:t>
            </w:r>
            <w:r w:rsidRPr="00612420">
              <w:rPr>
                <w:rFonts w:ascii="Times New Roman" w:eastAsia="Times New Roman" w:hAnsi="Times New Roman" w:cs="Times New Roman"/>
                <w:iCs/>
                <w:sz w:val="24"/>
                <w:szCs w:val="24"/>
                <w:lang w:eastAsia="lv-LV"/>
              </w:rPr>
              <w:t xml:space="preserve"> </w:t>
            </w:r>
            <w:r w:rsidR="00157E5D">
              <w:rPr>
                <w:rFonts w:ascii="Times New Roman" w:eastAsia="Times New Roman" w:hAnsi="Times New Roman" w:cs="Times New Roman"/>
                <w:iCs/>
                <w:sz w:val="24"/>
                <w:szCs w:val="24"/>
                <w:lang w:eastAsia="lv-LV"/>
              </w:rPr>
              <w:t>R</w:t>
            </w:r>
            <w:r w:rsidRPr="00612420">
              <w:rPr>
                <w:rFonts w:ascii="Times New Roman" w:eastAsia="Times New Roman" w:hAnsi="Times New Roman" w:cs="Times New Roman"/>
                <w:iCs/>
                <w:sz w:val="24"/>
                <w:szCs w:val="24"/>
                <w:lang w:eastAsia="lv-LV"/>
              </w:rPr>
              <w:t>egulā Nr.794/2004, ar ko īsteno Padomes Regulu (EK) Nr.659/1999, ar kuru nosaka sīki izstrādātus noteikumus EK Līguma 93.panta piemērošanai</w:t>
            </w:r>
            <w:r>
              <w:rPr>
                <w:rFonts w:ascii="Times New Roman" w:eastAsia="Times New Roman" w:hAnsi="Times New Roman" w:cs="Times New Roman"/>
                <w:iCs/>
                <w:sz w:val="24"/>
                <w:szCs w:val="24"/>
                <w:lang w:eastAsia="lv-LV"/>
              </w:rPr>
              <w:t xml:space="preserve"> noteikto</w:t>
            </w:r>
            <w:r w:rsidRPr="00612420">
              <w:rPr>
                <w:rFonts w:ascii="Times New Roman" w:eastAsia="Times New Roman" w:hAnsi="Times New Roman" w:cs="Times New Roman"/>
                <w:iCs/>
                <w:sz w:val="24"/>
                <w:szCs w:val="24"/>
                <w:lang w:eastAsia="lv-LV"/>
              </w:rPr>
              <w:t xml:space="preserve"> </w:t>
            </w:r>
            <w:r w:rsidRPr="00032B2C">
              <w:rPr>
                <w:rFonts w:ascii="Times New Roman" w:eastAsia="Times New Roman" w:hAnsi="Times New Roman" w:cs="Times New Roman"/>
                <w:b/>
                <w:iCs/>
                <w:sz w:val="24"/>
                <w:szCs w:val="24"/>
                <w:lang w:eastAsia="lv-LV"/>
              </w:rPr>
              <w:t>Latvija</w:t>
            </w:r>
            <w:r w:rsidR="00032B2C" w:rsidRPr="00032B2C">
              <w:rPr>
                <w:rFonts w:ascii="Times New Roman" w:eastAsia="Times New Roman" w:hAnsi="Times New Roman" w:cs="Times New Roman"/>
                <w:b/>
                <w:iCs/>
                <w:sz w:val="24"/>
                <w:szCs w:val="24"/>
                <w:lang w:eastAsia="lv-LV"/>
              </w:rPr>
              <w:t xml:space="preserve">i </w:t>
            </w:r>
            <w:r w:rsidRPr="00032B2C">
              <w:rPr>
                <w:rFonts w:ascii="Times New Roman" w:eastAsia="Times New Roman" w:hAnsi="Times New Roman" w:cs="Times New Roman"/>
                <w:b/>
                <w:iCs/>
                <w:sz w:val="24"/>
                <w:szCs w:val="24"/>
                <w:lang w:eastAsia="lv-LV"/>
              </w:rPr>
              <w:t xml:space="preserve">ir jāsaskaņo normatīvie akti ar </w:t>
            </w:r>
            <w:r w:rsidR="00475435">
              <w:rPr>
                <w:rFonts w:ascii="Times New Roman" w:eastAsia="Times New Roman" w:hAnsi="Times New Roman" w:cs="Times New Roman"/>
                <w:b/>
                <w:iCs/>
                <w:sz w:val="24"/>
                <w:szCs w:val="24"/>
                <w:lang w:eastAsia="lv-LV"/>
              </w:rPr>
              <w:t>EK</w:t>
            </w:r>
            <w:r w:rsidRPr="00032B2C">
              <w:rPr>
                <w:rFonts w:ascii="Times New Roman" w:eastAsia="Times New Roman" w:hAnsi="Times New Roman" w:cs="Times New Roman"/>
                <w:b/>
                <w:iCs/>
                <w:sz w:val="24"/>
                <w:szCs w:val="24"/>
                <w:lang w:eastAsia="lv-LV"/>
              </w:rPr>
              <w:t>, gadījumā, ja ir plānots daļēji atcelt atbalsta mehānismu</w:t>
            </w:r>
            <w:r w:rsidRPr="00612420">
              <w:rPr>
                <w:rFonts w:ascii="Times New Roman" w:eastAsia="Times New Roman" w:hAnsi="Times New Roman" w:cs="Times New Roman"/>
                <w:iCs/>
                <w:sz w:val="24"/>
                <w:szCs w:val="24"/>
                <w:lang w:eastAsia="lv-LV"/>
              </w:rPr>
              <w:t xml:space="preserve"> elektroenerģijas ražotājiem.</w:t>
            </w:r>
            <w:r>
              <w:rPr>
                <w:rFonts w:ascii="Times New Roman" w:eastAsia="Times New Roman" w:hAnsi="Times New Roman" w:cs="Times New Roman"/>
                <w:iCs/>
                <w:sz w:val="24"/>
                <w:szCs w:val="24"/>
                <w:lang w:eastAsia="lv-LV"/>
              </w:rPr>
              <w:t xml:space="preserve"> </w:t>
            </w:r>
            <w:r w:rsidR="00F07470" w:rsidRPr="00F07470">
              <w:rPr>
                <w:rFonts w:ascii="Times New Roman" w:eastAsia="Times New Roman" w:hAnsi="Times New Roman" w:cs="Times New Roman"/>
                <w:iCs/>
                <w:sz w:val="24"/>
                <w:szCs w:val="24"/>
                <w:lang w:eastAsia="lv-LV"/>
              </w:rPr>
              <w:t>Ņemot vērā, ka Regulas Nr.794/2004</w:t>
            </w:r>
            <w:r>
              <w:rPr>
                <w:rFonts w:ascii="Times New Roman" w:eastAsia="Times New Roman" w:hAnsi="Times New Roman" w:cs="Times New Roman"/>
                <w:iCs/>
                <w:sz w:val="24"/>
                <w:szCs w:val="24"/>
                <w:lang w:eastAsia="lv-LV"/>
              </w:rPr>
              <w:t xml:space="preserve"> </w:t>
            </w:r>
            <w:r w:rsidR="00F07470" w:rsidRPr="00F07470">
              <w:rPr>
                <w:rFonts w:ascii="Times New Roman" w:eastAsia="Times New Roman" w:hAnsi="Times New Roman" w:cs="Times New Roman"/>
                <w:iCs/>
                <w:sz w:val="24"/>
                <w:szCs w:val="24"/>
                <w:lang w:eastAsia="lv-LV"/>
              </w:rPr>
              <w:t xml:space="preserve">nosacījumi neparedz paziņošanas prasības ievērošanu </w:t>
            </w:r>
            <w:r>
              <w:rPr>
                <w:rFonts w:ascii="Times New Roman" w:eastAsia="Times New Roman" w:hAnsi="Times New Roman" w:cs="Times New Roman"/>
                <w:iCs/>
                <w:sz w:val="24"/>
                <w:szCs w:val="24"/>
                <w:lang w:eastAsia="lv-LV"/>
              </w:rPr>
              <w:t>EK</w:t>
            </w:r>
            <w:r w:rsidR="00F07470" w:rsidRPr="00F07470">
              <w:rPr>
                <w:rFonts w:ascii="Times New Roman" w:eastAsia="Times New Roman" w:hAnsi="Times New Roman" w:cs="Times New Roman"/>
                <w:iCs/>
                <w:sz w:val="24"/>
                <w:szCs w:val="24"/>
                <w:lang w:eastAsia="lv-LV"/>
              </w:rPr>
              <w:t xml:space="preserve"> attiecībā uz pasākumiem, kas nacionāli skar pilnīgu atbalsta pārtraukšanu, </w:t>
            </w:r>
            <w:r w:rsidR="00F07470" w:rsidRPr="00CC2104">
              <w:rPr>
                <w:rFonts w:ascii="Times New Roman" w:eastAsia="Times New Roman" w:hAnsi="Times New Roman" w:cs="Times New Roman"/>
                <w:b/>
                <w:iCs/>
                <w:sz w:val="24"/>
                <w:szCs w:val="24"/>
                <w:lang w:eastAsia="lv-LV"/>
              </w:rPr>
              <w:t xml:space="preserve">normatīvos aktus, kas paredzētu pilnībā atcelt atbalstu elektroenerģijas ražotājiem, nav jāsaskaņo ar </w:t>
            </w:r>
            <w:r w:rsidRPr="00CC2104">
              <w:rPr>
                <w:rFonts w:ascii="Times New Roman" w:eastAsia="Times New Roman" w:hAnsi="Times New Roman" w:cs="Times New Roman"/>
                <w:b/>
                <w:iCs/>
                <w:sz w:val="24"/>
                <w:szCs w:val="24"/>
                <w:lang w:eastAsia="lv-LV"/>
              </w:rPr>
              <w:t>EK</w:t>
            </w:r>
            <w:r w:rsidR="00F07470" w:rsidRPr="00CC2104">
              <w:rPr>
                <w:rFonts w:ascii="Times New Roman" w:eastAsia="Times New Roman" w:hAnsi="Times New Roman" w:cs="Times New Roman"/>
                <w:b/>
                <w:iCs/>
                <w:sz w:val="24"/>
                <w:szCs w:val="24"/>
                <w:lang w:eastAsia="lv-LV"/>
              </w:rPr>
              <w:t>.</w:t>
            </w:r>
            <w:r w:rsidR="00265D8E">
              <w:rPr>
                <w:rFonts w:ascii="Times New Roman" w:eastAsia="Times New Roman" w:hAnsi="Times New Roman" w:cs="Times New Roman"/>
                <w:b/>
                <w:iCs/>
                <w:sz w:val="24"/>
                <w:szCs w:val="24"/>
                <w:lang w:eastAsia="lv-LV"/>
              </w:rPr>
              <w:t xml:space="preserve"> Vienlaikus, ņemot vērā šobrīd saskaņošanas procesā esošo valsts atbalstu TEC-2, </w:t>
            </w:r>
            <w:r w:rsidR="006A2AEE">
              <w:rPr>
                <w:rFonts w:ascii="Times New Roman" w:eastAsia="Times New Roman" w:hAnsi="Times New Roman" w:cs="Times New Roman"/>
                <w:b/>
                <w:iCs/>
                <w:sz w:val="24"/>
                <w:szCs w:val="24"/>
                <w:lang w:eastAsia="lv-LV"/>
              </w:rPr>
              <w:t>EK par izmaiņām būtu informējama šī saskaņošanas procesa ietvaros.</w:t>
            </w:r>
          </w:p>
          <w:p w14:paraId="7B05BDA2" w14:textId="23C02C20" w:rsidR="00490D13" w:rsidRDefault="00057A0D" w:rsidP="004B2695">
            <w:pPr>
              <w:spacing w:before="120" w:after="120" w:line="240" w:lineRule="auto"/>
              <w:jc w:val="both"/>
              <w:rPr>
                <w:rFonts w:ascii="Times New Roman" w:hAnsi="Times New Roman" w:cs="Times New Roman"/>
                <w:color w:val="000000"/>
                <w:sz w:val="24"/>
              </w:rPr>
            </w:pPr>
            <w:r w:rsidRPr="00666B30">
              <w:rPr>
                <w:rFonts w:ascii="Times New Roman" w:hAnsi="Times New Roman" w:cs="Times New Roman"/>
                <w:color w:val="000000"/>
                <w:sz w:val="24"/>
              </w:rPr>
              <w:t xml:space="preserve">Atbilstoši </w:t>
            </w:r>
            <w:r w:rsidR="00666B30">
              <w:rPr>
                <w:rFonts w:ascii="Times New Roman" w:hAnsi="Times New Roman" w:cs="Times New Roman"/>
                <w:color w:val="000000"/>
                <w:sz w:val="24"/>
              </w:rPr>
              <w:t>SPRK</w:t>
            </w:r>
            <w:r w:rsidRPr="00666B30">
              <w:rPr>
                <w:rFonts w:ascii="Times New Roman" w:hAnsi="Times New Roman" w:cs="Times New Roman"/>
                <w:color w:val="000000"/>
                <w:sz w:val="24"/>
              </w:rPr>
              <w:t xml:space="preserve"> izdotajai metodikai, </w:t>
            </w:r>
            <w:r w:rsidR="00666B30">
              <w:rPr>
                <w:rFonts w:ascii="Times New Roman" w:hAnsi="Times New Roman" w:cs="Times New Roman"/>
                <w:color w:val="000000"/>
                <w:sz w:val="24"/>
              </w:rPr>
              <w:t>publiskais tirgotājs</w:t>
            </w:r>
            <w:r w:rsidRPr="00666B30">
              <w:rPr>
                <w:rFonts w:ascii="Times New Roman" w:hAnsi="Times New Roman" w:cs="Times New Roman"/>
                <w:color w:val="000000"/>
                <w:sz w:val="24"/>
              </w:rPr>
              <w:t xml:space="preserve"> OIK tekošajā gadā iekļauj iepriekšējā gada faktiskās izmaksas, kas rada situāciju, ka izmaksas publiskajam tirgotājam tiek kompensētas ar viena gada nobīdi. </w:t>
            </w:r>
            <w:r w:rsidR="00DA5BF8" w:rsidRPr="00666B30">
              <w:rPr>
                <w:rFonts w:ascii="Times New Roman" w:hAnsi="Times New Roman" w:cs="Times New Roman"/>
                <w:b/>
                <w:color w:val="000000"/>
                <w:sz w:val="24"/>
              </w:rPr>
              <w:t xml:space="preserve">Prognozes liecina, ka </w:t>
            </w:r>
            <w:r w:rsidR="00666B30">
              <w:rPr>
                <w:rFonts w:ascii="Times New Roman" w:hAnsi="Times New Roman" w:cs="Times New Roman"/>
                <w:b/>
                <w:color w:val="000000"/>
                <w:sz w:val="24"/>
              </w:rPr>
              <w:t xml:space="preserve">īstenojot </w:t>
            </w:r>
            <w:r w:rsidR="00475435">
              <w:rPr>
                <w:rFonts w:ascii="Times New Roman" w:hAnsi="Times New Roman" w:cs="Times New Roman"/>
                <w:b/>
                <w:color w:val="000000"/>
                <w:sz w:val="24"/>
              </w:rPr>
              <w:t>L</w:t>
            </w:r>
            <w:r w:rsidR="00666B30">
              <w:rPr>
                <w:rFonts w:ascii="Times New Roman" w:hAnsi="Times New Roman" w:cs="Times New Roman"/>
                <w:b/>
                <w:color w:val="000000"/>
                <w:sz w:val="24"/>
              </w:rPr>
              <w:t xml:space="preserve">ikumprojektā iekļauto risinājumu </w:t>
            </w:r>
            <w:r w:rsidR="00DA5BF8" w:rsidRPr="00666B30">
              <w:rPr>
                <w:rFonts w:ascii="Times New Roman" w:hAnsi="Times New Roman" w:cs="Times New Roman"/>
                <w:b/>
                <w:color w:val="000000"/>
                <w:sz w:val="24"/>
              </w:rPr>
              <w:t xml:space="preserve">uz </w:t>
            </w:r>
            <w:r w:rsidR="00666B30">
              <w:rPr>
                <w:rFonts w:ascii="Times New Roman" w:hAnsi="Times New Roman" w:cs="Times New Roman"/>
                <w:b/>
                <w:color w:val="000000"/>
                <w:sz w:val="24"/>
              </w:rPr>
              <w:t>2019.gada 31.martu</w:t>
            </w:r>
            <w:r w:rsidR="00DA5BF8" w:rsidRPr="00666B30">
              <w:rPr>
                <w:rFonts w:ascii="Times New Roman" w:hAnsi="Times New Roman" w:cs="Times New Roman"/>
                <w:b/>
                <w:color w:val="000000"/>
                <w:sz w:val="24"/>
              </w:rPr>
              <w:t xml:space="preserve"> </w:t>
            </w:r>
            <w:bookmarkStart w:id="3" w:name="_Hlk3209619"/>
            <w:r w:rsidR="00DA5BF8" w:rsidRPr="00666B30">
              <w:rPr>
                <w:rFonts w:ascii="Times New Roman" w:hAnsi="Times New Roman" w:cs="Times New Roman"/>
                <w:b/>
                <w:color w:val="000000"/>
                <w:sz w:val="24"/>
              </w:rPr>
              <w:t>publiskajam tirgotājam būs uzkrāt</w:t>
            </w:r>
            <w:r w:rsidR="00CC169A">
              <w:rPr>
                <w:rFonts w:ascii="Times New Roman" w:hAnsi="Times New Roman" w:cs="Times New Roman"/>
                <w:b/>
                <w:color w:val="000000"/>
                <w:sz w:val="24"/>
              </w:rPr>
              <w:t>s parāds</w:t>
            </w:r>
            <w:r w:rsidR="00DA5BF8" w:rsidRPr="00666B30">
              <w:rPr>
                <w:rFonts w:ascii="Times New Roman" w:hAnsi="Times New Roman" w:cs="Times New Roman"/>
                <w:b/>
                <w:color w:val="000000"/>
                <w:sz w:val="24"/>
              </w:rPr>
              <w:t xml:space="preserve"> </w:t>
            </w:r>
            <w:r w:rsidR="00CC169A">
              <w:rPr>
                <w:rFonts w:ascii="Times New Roman" w:hAnsi="Times New Roman" w:cs="Times New Roman"/>
                <w:b/>
                <w:color w:val="000000"/>
                <w:sz w:val="24"/>
              </w:rPr>
              <w:t xml:space="preserve">no elektroenerģijas gala patērētājiem </w:t>
            </w:r>
            <w:r w:rsidR="00CC169A" w:rsidRPr="00666B30">
              <w:rPr>
                <w:rFonts w:ascii="Times New Roman" w:hAnsi="Times New Roman" w:cs="Times New Roman"/>
                <w:b/>
                <w:color w:val="000000"/>
                <w:sz w:val="24"/>
              </w:rPr>
              <w:t>nesaņemt</w:t>
            </w:r>
            <w:r w:rsidR="00CC169A">
              <w:rPr>
                <w:rFonts w:ascii="Times New Roman" w:hAnsi="Times New Roman" w:cs="Times New Roman"/>
                <w:b/>
                <w:color w:val="000000"/>
                <w:sz w:val="24"/>
              </w:rPr>
              <w:t>o</w:t>
            </w:r>
            <w:r w:rsidR="00CC169A" w:rsidRPr="00666B30">
              <w:rPr>
                <w:rFonts w:ascii="Times New Roman" w:hAnsi="Times New Roman" w:cs="Times New Roman"/>
                <w:b/>
                <w:color w:val="000000"/>
                <w:sz w:val="24"/>
              </w:rPr>
              <w:t xml:space="preserve"> </w:t>
            </w:r>
            <w:r w:rsidR="00DA5BF8" w:rsidRPr="00666B30">
              <w:rPr>
                <w:rFonts w:ascii="Times New Roman" w:hAnsi="Times New Roman" w:cs="Times New Roman"/>
                <w:b/>
                <w:color w:val="000000"/>
                <w:sz w:val="24"/>
              </w:rPr>
              <w:t>OIK ieņēmum</w:t>
            </w:r>
            <w:r w:rsidR="00CC169A">
              <w:rPr>
                <w:rFonts w:ascii="Times New Roman" w:hAnsi="Times New Roman" w:cs="Times New Roman"/>
                <w:b/>
                <w:color w:val="000000"/>
                <w:sz w:val="24"/>
              </w:rPr>
              <w:t>u veidā</w:t>
            </w:r>
            <w:r w:rsidR="00DA5BF8" w:rsidRPr="00666B30">
              <w:rPr>
                <w:rFonts w:ascii="Times New Roman" w:hAnsi="Times New Roman" w:cs="Times New Roman"/>
                <w:b/>
                <w:color w:val="000000"/>
                <w:sz w:val="24"/>
              </w:rPr>
              <w:t xml:space="preserve"> vairāk kā 80 </w:t>
            </w:r>
            <w:proofErr w:type="spellStart"/>
            <w:r w:rsidR="00DA5BF8" w:rsidRPr="00666B30">
              <w:rPr>
                <w:rFonts w:ascii="Times New Roman" w:hAnsi="Times New Roman" w:cs="Times New Roman"/>
                <w:b/>
                <w:color w:val="000000"/>
                <w:sz w:val="24"/>
              </w:rPr>
              <w:t>milj.</w:t>
            </w:r>
            <w:r w:rsidR="00947805" w:rsidRPr="00947805">
              <w:rPr>
                <w:rFonts w:ascii="Times New Roman" w:hAnsi="Times New Roman" w:cs="Times New Roman"/>
                <w:b/>
                <w:i/>
                <w:color w:val="000000"/>
                <w:sz w:val="24"/>
              </w:rPr>
              <w:t>euro</w:t>
            </w:r>
            <w:proofErr w:type="spellEnd"/>
            <w:r w:rsidR="00947805">
              <w:rPr>
                <w:rFonts w:ascii="Times New Roman" w:hAnsi="Times New Roman" w:cs="Times New Roman"/>
                <w:b/>
                <w:color w:val="000000"/>
                <w:sz w:val="24"/>
              </w:rPr>
              <w:t xml:space="preserve"> </w:t>
            </w:r>
            <w:r w:rsidR="00DA5BF8" w:rsidRPr="00666B30">
              <w:rPr>
                <w:rFonts w:ascii="Times New Roman" w:hAnsi="Times New Roman" w:cs="Times New Roman"/>
                <w:b/>
                <w:color w:val="000000"/>
                <w:sz w:val="24"/>
              </w:rPr>
              <w:t>apmērā</w:t>
            </w:r>
            <w:bookmarkEnd w:id="3"/>
            <w:r w:rsidR="00DA5BF8" w:rsidRPr="00666B30">
              <w:rPr>
                <w:rFonts w:ascii="Times New Roman" w:hAnsi="Times New Roman" w:cs="Times New Roman"/>
                <w:b/>
                <w:color w:val="000000"/>
                <w:sz w:val="24"/>
              </w:rPr>
              <w:t>.</w:t>
            </w:r>
            <w:r w:rsidR="00666B30">
              <w:rPr>
                <w:rFonts w:ascii="Times New Roman" w:hAnsi="Times New Roman" w:cs="Times New Roman"/>
                <w:b/>
                <w:color w:val="000000"/>
                <w:sz w:val="24"/>
              </w:rPr>
              <w:t xml:space="preserve"> </w:t>
            </w:r>
            <w:r w:rsidR="00666B30">
              <w:rPr>
                <w:rFonts w:ascii="Times New Roman" w:hAnsi="Times New Roman" w:cs="Times New Roman"/>
                <w:color w:val="000000"/>
                <w:sz w:val="24"/>
              </w:rPr>
              <w:t>Ar likumprojektu netiek paredzēts mehānisms šādu nesaņemto ieņēmumu segšana</w:t>
            </w:r>
            <w:r w:rsidR="00E67D2E">
              <w:rPr>
                <w:rFonts w:ascii="Times New Roman" w:hAnsi="Times New Roman" w:cs="Times New Roman"/>
                <w:color w:val="000000"/>
                <w:sz w:val="24"/>
              </w:rPr>
              <w:t>i</w:t>
            </w:r>
            <w:r w:rsidR="00FA3814">
              <w:rPr>
                <w:rFonts w:ascii="Times New Roman" w:hAnsi="Times New Roman" w:cs="Times New Roman"/>
                <w:color w:val="000000"/>
                <w:sz w:val="24"/>
              </w:rPr>
              <w:t>.</w:t>
            </w:r>
          </w:p>
          <w:p w14:paraId="20829F93" w14:textId="77777777" w:rsidR="00155ECE" w:rsidRPr="00155ECE" w:rsidRDefault="00155ECE" w:rsidP="004B2695">
            <w:pPr>
              <w:spacing w:before="120" w:after="120" w:line="240" w:lineRule="auto"/>
              <w:jc w:val="both"/>
              <w:rPr>
                <w:rFonts w:ascii="Times New Roman" w:hAnsi="Times New Roman" w:cs="Times New Roman"/>
                <w:color w:val="000000"/>
                <w:sz w:val="24"/>
              </w:rPr>
            </w:pPr>
          </w:p>
          <w:p w14:paraId="2648DF74" w14:textId="0074D5B5" w:rsidR="008C2175" w:rsidRDefault="000E4E1F"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8C2175">
              <w:rPr>
                <w:rFonts w:ascii="Times New Roman" w:eastAsia="Times New Roman" w:hAnsi="Times New Roman" w:cs="Times New Roman"/>
                <w:b/>
                <w:i/>
                <w:iCs/>
                <w:sz w:val="24"/>
                <w:szCs w:val="24"/>
                <w:u w:val="single"/>
                <w:lang w:eastAsia="lv-LV"/>
              </w:rPr>
              <w:t xml:space="preserve">2. </w:t>
            </w:r>
            <w:r w:rsidR="00AA6CD8">
              <w:rPr>
                <w:rFonts w:ascii="Times New Roman" w:eastAsia="Times New Roman" w:hAnsi="Times New Roman" w:cs="Times New Roman"/>
                <w:b/>
                <w:i/>
                <w:iCs/>
                <w:sz w:val="24"/>
                <w:szCs w:val="24"/>
                <w:u w:val="single"/>
                <w:lang w:eastAsia="lv-LV"/>
              </w:rPr>
              <w:t xml:space="preserve">Atbalsts </w:t>
            </w:r>
            <w:r w:rsidR="00AA6CD8" w:rsidRPr="00AA6CD8">
              <w:rPr>
                <w:rFonts w:ascii="Times New Roman" w:eastAsia="Times New Roman" w:hAnsi="Times New Roman" w:cs="Times New Roman"/>
                <w:b/>
                <w:i/>
                <w:iCs/>
                <w:sz w:val="24"/>
                <w:szCs w:val="24"/>
                <w:u w:val="single"/>
                <w:lang w:eastAsia="lv-LV"/>
              </w:rPr>
              <w:t>energoietilpīgi</w:t>
            </w:r>
            <w:r w:rsidR="00AA6CD8">
              <w:rPr>
                <w:rFonts w:ascii="Times New Roman" w:eastAsia="Times New Roman" w:hAnsi="Times New Roman" w:cs="Times New Roman"/>
                <w:b/>
                <w:i/>
                <w:iCs/>
                <w:sz w:val="24"/>
                <w:szCs w:val="24"/>
                <w:u w:val="single"/>
                <w:lang w:eastAsia="lv-LV"/>
              </w:rPr>
              <w:t xml:space="preserve">em </w:t>
            </w:r>
            <w:r w:rsidR="00AA6CD8" w:rsidRPr="00AA6CD8">
              <w:rPr>
                <w:rFonts w:ascii="Times New Roman" w:eastAsia="Times New Roman" w:hAnsi="Times New Roman" w:cs="Times New Roman"/>
                <w:b/>
                <w:i/>
                <w:iCs/>
                <w:sz w:val="24"/>
                <w:szCs w:val="24"/>
                <w:u w:val="single"/>
                <w:lang w:eastAsia="lv-LV"/>
              </w:rPr>
              <w:t>apstrādes rūpniecības uzņēmumi</w:t>
            </w:r>
            <w:r w:rsidR="00AA6CD8">
              <w:rPr>
                <w:rFonts w:ascii="Times New Roman" w:eastAsia="Times New Roman" w:hAnsi="Times New Roman" w:cs="Times New Roman"/>
                <w:b/>
                <w:i/>
                <w:iCs/>
                <w:sz w:val="24"/>
                <w:szCs w:val="24"/>
                <w:u w:val="single"/>
                <w:lang w:eastAsia="lv-LV"/>
              </w:rPr>
              <w:t>em</w:t>
            </w:r>
          </w:p>
          <w:p w14:paraId="3D6089C6" w14:textId="7C673998" w:rsidR="00155ECE" w:rsidRDefault="00D80AE0" w:rsidP="004B2695">
            <w:pPr>
              <w:spacing w:before="120" w:after="120" w:line="240" w:lineRule="auto"/>
              <w:jc w:val="both"/>
              <w:rPr>
                <w:rFonts w:ascii="Times New Roman" w:eastAsia="Times New Roman" w:hAnsi="Times New Roman" w:cs="Times New Roman"/>
                <w:bCs/>
                <w:iCs/>
                <w:sz w:val="24"/>
                <w:szCs w:val="24"/>
                <w:lang w:eastAsia="lv-LV"/>
              </w:rPr>
            </w:pPr>
            <w:r w:rsidRPr="00D80AE0">
              <w:rPr>
                <w:rFonts w:ascii="Times New Roman" w:eastAsia="Times New Roman" w:hAnsi="Times New Roman" w:cs="Times New Roman"/>
                <w:iCs/>
                <w:sz w:val="24"/>
                <w:szCs w:val="24"/>
                <w:lang w:eastAsia="lv-LV"/>
              </w:rPr>
              <w:t>Risinājums paredz</w:t>
            </w:r>
            <w:r>
              <w:rPr>
                <w:rFonts w:ascii="Times New Roman" w:eastAsia="Times New Roman" w:hAnsi="Times New Roman" w:cs="Times New Roman"/>
                <w:iCs/>
                <w:sz w:val="24"/>
                <w:szCs w:val="24"/>
                <w:lang w:eastAsia="lv-LV"/>
              </w:rPr>
              <w:t xml:space="preserve">, ka </w:t>
            </w:r>
            <w:r w:rsidR="006C5AA9">
              <w:rPr>
                <w:rFonts w:ascii="Times New Roman" w:eastAsia="Times New Roman" w:hAnsi="Times New Roman" w:cs="Times New Roman"/>
                <w:iCs/>
                <w:sz w:val="24"/>
                <w:szCs w:val="24"/>
                <w:lang w:eastAsia="lv-LV"/>
              </w:rPr>
              <w:t xml:space="preserve">energoietilpīgi apstrādes rūpniecības </w:t>
            </w:r>
            <w:r>
              <w:rPr>
                <w:rFonts w:ascii="Times New Roman" w:eastAsia="Times New Roman" w:hAnsi="Times New Roman" w:cs="Times New Roman"/>
                <w:iCs/>
                <w:sz w:val="24"/>
                <w:szCs w:val="24"/>
                <w:lang w:eastAsia="lv-LV"/>
              </w:rPr>
              <w:t xml:space="preserve">uzņēmumi, kas saskaņā ar ETL </w:t>
            </w:r>
            <w:r w:rsidR="006C5AA9" w:rsidRPr="006C5AA9">
              <w:rPr>
                <w:rFonts w:ascii="Times New Roman" w:eastAsia="Times New Roman" w:hAnsi="Times New Roman" w:cs="Times New Roman"/>
                <w:bCs/>
                <w:iCs/>
                <w:sz w:val="24"/>
                <w:szCs w:val="24"/>
                <w:lang w:eastAsia="lv-LV"/>
              </w:rPr>
              <w:t>30.</w:t>
            </w:r>
            <w:r w:rsidR="006C5AA9" w:rsidRPr="006C5AA9">
              <w:rPr>
                <w:rFonts w:ascii="Times New Roman" w:eastAsia="Times New Roman" w:hAnsi="Times New Roman" w:cs="Times New Roman"/>
                <w:bCs/>
                <w:iCs/>
                <w:sz w:val="24"/>
                <w:szCs w:val="24"/>
                <w:vertAlign w:val="superscript"/>
                <w:lang w:eastAsia="lv-LV"/>
              </w:rPr>
              <w:t>2</w:t>
            </w:r>
            <w:r w:rsidR="006C5AA9" w:rsidRPr="006C5AA9">
              <w:rPr>
                <w:rFonts w:ascii="Times New Roman" w:eastAsia="Times New Roman" w:hAnsi="Times New Roman" w:cs="Times New Roman"/>
                <w:bCs/>
                <w:iCs/>
                <w:sz w:val="24"/>
                <w:szCs w:val="24"/>
                <w:lang w:eastAsia="lv-LV"/>
              </w:rPr>
              <w:t> pantu ir tiesīgi iegūt tiesības uz samazinātu līdzdalību to izdevumu kompensēšanai publiskajam tirgotājam (OIK daļu par atbalstu atjaunojamai enerģijai)</w:t>
            </w:r>
            <w:r w:rsidR="006C5AA9">
              <w:rPr>
                <w:rFonts w:ascii="Times New Roman" w:eastAsia="Times New Roman" w:hAnsi="Times New Roman" w:cs="Times New Roman"/>
                <w:bCs/>
                <w:iCs/>
                <w:sz w:val="24"/>
                <w:szCs w:val="24"/>
                <w:lang w:eastAsia="lv-LV"/>
              </w:rPr>
              <w:t xml:space="preserve">, var </w:t>
            </w:r>
            <w:r w:rsidR="001F0E8D">
              <w:rPr>
                <w:rFonts w:ascii="Times New Roman" w:eastAsia="Times New Roman" w:hAnsi="Times New Roman" w:cs="Times New Roman"/>
                <w:bCs/>
                <w:iCs/>
                <w:sz w:val="24"/>
                <w:szCs w:val="24"/>
                <w:lang w:eastAsia="lv-LV"/>
              </w:rPr>
              <w:t>četrpadsmit</w:t>
            </w:r>
            <w:r w:rsidR="006C5AA9">
              <w:rPr>
                <w:rFonts w:ascii="Times New Roman" w:eastAsia="Times New Roman" w:hAnsi="Times New Roman" w:cs="Times New Roman"/>
                <w:bCs/>
                <w:iCs/>
                <w:sz w:val="24"/>
                <w:szCs w:val="24"/>
                <w:lang w:eastAsia="lv-LV"/>
              </w:rPr>
              <w:t xml:space="preserve"> mēnešu laikā pēc Likumprojekta spēkā stāšanās </w:t>
            </w:r>
            <w:r w:rsidR="00AA6CD8">
              <w:rPr>
                <w:rFonts w:ascii="Times New Roman" w:eastAsia="Times New Roman" w:hAnsi="Times New Roman" w:cs="Times New Roman"/>
                <w:bCs/>
                <w:iCs/>
                <w:sz w:val="24"/>
                <w:szCs w:val="24"/>
                <w:lang w:eastAsia="lv-LV"/>
              </w:rPr>
              <w:t xml:space="preserve">Ministru kabineta noteiktā kārtībā </w:t>
            </w:r>
            <w:r w:rsidR="006C5AA9">
              <w:rPr>
                <w:rFonts w:ascii="Times New Roman" w:eastAsia="Times New Roman" w:hAnsi="Times New Roman" w:cs="Times New Roman"/>
                <w:bCs/>
                <w:iCs/>
                <w:sz w:val="24"/>
                <w:szCs w:val="24"/>
                <w:lang w:eastAsia="lv-LV"/>
              </w:rPr>
              <w:t xml:space="preserve">pieteikties uz atbalstu par izmaksām, kas radušās 2019.gadā. </w:t>
            </w:r>
            <w:r w:rsidR="00B37AEF">
              <w:rPr>
                <w:rFonts w:ascii="Times New Roman" w:eastAsia="Times New Roman" w:hAnsi="Times New Roman" w:cs="Times New Roman"/>
                <w:bCs/>
                <w:iCs/>
                <w:sz w:val="24"/>
                <w:szCs w:val="24"/>
                <w:lang w:eastAsia="lv-LV"/>
              </w:rPr>
              <w:t xml:space="preserve">Šāds termiņš noteikts, ņemot vērā </w:t>
            </w:r>
            <w:r w:rsidR="00B37AEF" w:rsidRPr="001F0E8D">
              <w:rPr>
                <w:rFonts w:ascii="Times New Roman" w:eastAsia="Times New Roman" w:hAnsi="Times New Roman" w:cs="Times New Roman"/>
                <w:bCs/>
                <w:iCs/>
                <w:sz w:val="24"/>
                <w:szCs w:val="24"/>
                <w:lang w:eastAsia="lv-LV"/>
              </w:rPr>
              <w:t xml:space="preserve">Likumprojekta spēkā stāšanās brīdi un to, ka </w:t>
            </w:r>
            <w:r w:rsidR="001F0E8D" w:rsidRPr="001F0E8D">
              <w:rPr>
                <w:rFonts w:ascii="Times New Roman" w:eastAsia="Times New Roman" w:hAnsi="Times New Roman" w:cs="Times New Roman"/>
                <w:bCs/>
                <w:iCs/>
                <w:sz w:val="24"/>
                <w:szCs w:val="24"/>
                <w:lang w:eastAsia="lv-LV"/>
              </w:rPr>
              <w:t xml:space="preserve">iesnieguma sagatavošanai komersantiem nepieciešams izmantot datus no revidēta uzņēmuma gada pārskata un datus </w:t>
            </w:r>
            <w:r w:rsidR="00B37AEF" w:rsidRPr="001F0E8D">
              <w:rPr>
                <w:rFonts w:ascii="Times New Roman" w:eastAsia="Times New Roman" w:hAnsi="Times New Roman" w:cs="Times New Roman"/>
                <w:bCs/>
                <w:iCs/>
                <w:sz w:val="24"/>
                <w:szCs w:val="24"/>
                <w:lang w:eastAsia="lv-LV"/>
              </w:rPr>
              <w:t xml:space="preserve">par elektroenerģijas cenām, ko Eiropas Statistikas birojs </w:t>
            </w:r>
            <w:proofErr w:type="spellStart"/>
            <w:r w:rsidR="00B37AEF" w:rsidRPr="001F0E8D">
              <w:rPr>
                <w:rFonts w:ascii="Times New Roman" w:eastAsia="Times New Roman" w:hAnsi="Times New Roman" w:cs="Times New Roman"/>
                <w:bCs/>
                <w:i/>
                <w:iCs/>
                <w:sz w:val="24"/>
                <w:szCs w:val="24"/>
                <w:lang w:eastAsia="lv-LV"/>
              </w:rPr>
              <w:t>Eurostat</w:t>
            </w:r>
            <w:proofErr w:type="spellEnd"/>
            <w:r w:rsidR="00B37AEF" w:rsidRPr="001F0E8D">
              <w:rPr>
                <w:rFonts w:ascii="Times New Roman" w:eastAsia="Times New Roman" w:hAnsi="Times New Roman" w:cs="Times New Roman"/>
                <w:bCs/>
                <w:iCs/>
                <w:sz w:val="24"/>
                <w:szCs w:val="24"/>
                <w:lang w:eastAsia="lv-LV"/>
              </w:rPr>
              <w:t xml:space="preserve"> publicē</w:t>
            </w:r>
            <w:r w:rsidR="001F0E8D" w:rsidRPr="001F0E8D">
              <w:rPr>
                <w:rFonts w:ascii="Times New Roman" w:eastAsia="Times New Roman" w:hAnsi="Times New Roman" w:cs="Times New Roman"/>
                <w:bCs/>
                <w:iCs/>
                <w:sz w:val="24"/>
                <w:szCs w:val="24"/>
                <w:lang w:eastAsia="lv-LV"/>
              </w:rPr>
              <w:t xml:space="preserve"> piecu mēnešu laikā pēc katra pusgada beigām. Saskaņā ar Uzņēmumu reģistra datiem </w:t>
            </w:r>
            <w:r w:rsidR="001F0E8D">
              <w:rPr>
                <w:rFonts w:ascii="Times New Roman" w:eastAsia="Times New Roman" w:hAnsi="Times New Roman" w:cs="Times New Roman"/>
                <w:bCs/>
                <w:iCs/>
                <w:sz w:val="24"/>
                <w:szCs w:val="24"/>
                <w:lang w:eastAsia="lv-LV"/>
              </w:rPr>
              <w:t>aptuveni puse</w:t>
            </w:r>
            <w:r w:rsidR="001F0E8D" w:rsidRPr="001F0E8D">
              <w:rPr>
                <w:rFonts w:ascii="Times New Roman" w:eastAsia="Times New Roman" w:hAnsi="Times New Roman" w:cs="Times New Roman"/>
                <w:bCs/>
                <w:iCs/>
                <w:sz w:val="24"/>
                <w:szCs w:val="24"/>
                <w:lang w:eastAsia="lv-LV"/>
              </w:rPr>
              <w:t xml:space="preserve"> komersantu revidētos gada pārskatus iesniedz maijā. </w:t>
            </w:r>
          </w:p>
          <w:p w14:paraId="1F1988C9" w14:textId="77777777" w:rsidR="001F0E8D" w:rsidRPr="001F0E8D" w:rsidRDefault="001F0E8D" w:rsidP="004B2695">
            <w:pPr>
              <w:spacing w:before="120" w:after="120" w:line="240" w:lineRule="auto"/>
              <w:jc w:val="both"/>
              <w:rPr>
                <w:rFonts w:ascii="Times New Roman" w:eastAsia="Times New Roman" w:hAnsi="Times New Roman" w:cs="Times New Roman"/>
                <w:bCs/>
                <w:iCs/>
                <w:sz w:val="24"/>
                <w:szCs w:val="24"/>
                <w:lang w:eastAsia="lv-LV"/>
              </w:rPr>
            </w:pPr>
          </w:p>
          <w:p w14:paraId="1CB59354" w14:textId="33EEA8AF" w:rsidR="000E4E1F" w:rsidRDefault="000E4E1F"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8C2175">
              <w:rPr>
                <w:rFonts w:ascii="Times New Roman" w:eastAsia="Times New Roman" w:hAnsi="Times New Roman" w:cs="Times New Roman"/>
                <w:b/>
                <w:i/>
                <w:iCs/>
                <w:sz w:val="24"/>
                <w:szCs w:val="24"/>
                <w:u w:val="single"/>
                <w:lang w:eastAsia="lv-LV"/>
              </w:rPr>
              <w:t xml:space="preserve">3. </w:t>
            </w:r>
            <w:r w:rsidR="008C2175">
              <w:rPr>
                <w:rFonts w:ascii="Times New Roman" w:eastAsia="Times New Roman" w:hAnsi="Times New Roman" w:cs="Times New Roman"/>
                <w:b/>
                <w:i/>
                <w:iCs/>
                <w:sz w:val="24"/>
                <w:szCs w:val="24"/>
                <w:u w:val="single"/>
                <w:lang w:eastAsia="lv-LV"/>
              </w:rPr>
              <w:t xml:space="preserve">AS “Enerģijas publiskais tirgotājs” darbība </w:t>
            </w:r>
          </w:p>
          <w:p w14:paraId="1C023B6C" w14:textId="0236F592" w:rsidR="006C5AA9" w:rsidRDefault="006C5AA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w:t>
            </w:r>
            <w:r w:rsidR="00184F15">
              <w:rPr>
                <w:rFonts w:ascii="Times New Roman" w:eastAsia="Times New Roman" w:hAnsi="Times New Roman" w:cs="Times New Roman"/>
                <w:iCs/>
                <w:sz w:val="24"/>
                <w:szCs w:val="24"/>
                <w:lang w:eastAsia="lv-LV"/>
              </w:rPr>
              <w:t xml:space="preserve"> spēkā esošo</w:t>
            </w:r>
            <w:r>
              <w:rPr>
                <w:rFonts w:ascii="Times New Roman" w:eastAsia="Times New Roman" w:hAnsi="Times New Roman" w:cs="Times New Roman"/>
                <w:iCs/>
                <w:sz w:val="24"/>
                <w:szCs w:val="24"/>
                <w:lang w:eastAsia="lv-LV"/>
              </w:rPr>
              <w:t xml:space="preserve"> ETL 33.panta otro daļu publiskajam tirgotājam ir šādi </w:t>
            </w:r>
            <w:r w:rsidR="00AA6CD8">
              <w:rPr>
                <w:rFonts w:ascii="Times New Roman" w:eastAsia="Times New Roman" w:hAnsi="Times New Roman" w:cs="Times New Roman"/>
                <w:iCs/>
                <w:sz w:val="24"/>
                <w:szCs w:val="24"/>
                <w:lang w:eastAsia="lv-LV"/>
              </w:rPr>
              <w:t>pienākumi:</w:t>
            </w:r>
          </w:p>
          <w:p w14:paraId="1F17AB07" w14:textId="6A8C563B" w:rsidR="006C5AA9" w:rsidRPr="006C5AA9" w:rsidRDefault="006C5AA9" w:rsidP="004B2695">
            <w:pPr>
              <w:spacing w:before="120" w:after="120" w:line="240" w:lineRule="auto"/>
              <w:jc w:val="both"/>
              <w:rPr>
                <w:rFonts w:ascii="Times New Roman" w:eastAsia="Times New Roman" w:hAnsi="Times New Roman" w:cs="Times New Roman"/>
                <w:iCs/>
                <w:sz w:val="24"/>
                <w:szCs w:val="24"/>
                <w:lang w:eastAsia="lv-LV"/>
              </w:rPr>
            </w:pPr>
            <w:r w:rsidRPr="006C5AA9">
              <w:rPr>
                <w:rFonts w:ascii="Times New Roman" w:eastAsia="Times New Roman" w:hAnsi="Times New Roman" w:cs="Times New Roman"/>
                <w:iCs/>
                <w:sz w:val="24"/>
                <w:szCs w:val="24"/>
                <w:lang w:eastAsia="lv-LV"/>
              </w:rPr>
              <w:t>1) iepirkt koģenerācijas stacijās saražoto elektroenerģiju šā likuma 28.pantā noteiktajā kārtībā;</w:t>
            </w:r>
          </w:p>
          <w:p w14:paraId="6A08F6EB" w14:textId="7E4158D0" w:rsidR="006C5AA9" w:rsidRPr="006C5AA9" w:rsidRDefault="006C5AA9" w:rsidP="004B2695">
            <w:pPr>
              <w:spacing w:before="120" w:after="120" w:line="240" w:lineRule="auto"/>
              <w:jc w:val="both"/>
              <w:rPr>
                <w:rFonts w:ascii="Times New Roman" w:eastAsia="Times New Roman" w:hAnsi="Times New Roman" w:cs="Times New Roman"/>
                <w:iCs/>
                <w:sz w:val="24"/>
                <w:szCs w:val="24"/>
                <w:lang w:eastAsia="lv-LV"/>
              </w:rPr>
            </w:pPr>
            <w:r w:rsidRPr="006C5AA9">
              <w:rPr>
                <w:rFonts w:ascii="Times New Roman" w:eastAsia="Times New Roman" w:hAnsi="Times New Roman" w:cs="Times New Roman"/>
                <w:iCs/>
                <w:sz w:val="24"/>
                <w:szCs w:val="24"/>
                <w:lang w:eastAsia="lv-LV"/>
              </w:rPr>
              <w:t>2) iepirkt elektroenerģiju, kas saražota, izmantojot atjaunojamos energoresursus, šā likuma 29. un 30.pantā noteiktajā kārtībā;</w:t>
            </w:r>
          </w:p>
          <w:p w14:paraId="74F58B3B" w14:textId="5C703F94" w:rsidR="006C5AA9" w:rsidRPr="006C5AA9" w:rsidRDefault="006C5AA9" w:rsidP="004B2695">
            <w:pPr>
              <w:spacing w:before="120" w:after="120" w:line="240" w:lineRule="auto"/>
              <w:jc w:val="both"/>
              <w:rPr>
                <w:rFonts w:ascii="Times New Roman" w:eastAsia="Times New Roman" w:hAnsi="Times New Roman" w:cs="Times New Roman"/>
                <w:iCs/>
                <w:sz w:val="24"/>
                <w:szCs w:val="24"/>
                <w:lang w:eastAsia="lv-LV"/>
              </w:rPr>
            </w:pPr>
            <w:r w:rsidRPr="006C5AA9">
              <w:rPr>
                <w:rFonts w:ascii="Times New Roman" w:eastAsia="Times New Roman" w:hAnsi="Times New Roman" w:cs="Times New Roman"/>
                <w:iCs/>
                <w:sz w:val="24"/>
                <w:szCs w:val="24"/>
                <w:lang w:eastAsia="lv-LV"/>
              </w:rPr>
              <w:t>3) maksāt garantēto maksu par uzstādīto elektrisko jaudu šā likuma 28.</w:t>
            </w:r>
            <w:r w:rsidRPr="006C5AA9">
              <w:rPr>
                <w:rFonts w:ascii="Times New Roman" w:eastAsia="Times New Roman" w:hAnsi="Times New Roman" w:cs="Times New Roman"/>
                <w:iCs/>
                <w:sz w:val="24"/>
                <w:szCs w:val="24"/>
                <w:vertAlign w:val="superscript"/>
                <w:lang w:eastAsia="lv-LV"/>
              </w:rPr>
              <w:t>1</w:t>
            </w:r>
            <w:r w:rsidRPr="006C5AA9">
              <w:rPr>
                <w:rFonts w:ascii="Times New Roman" w:eastAsia="Times New Roman" w:hAnsi="Times New Roman" w:cs="Times New Roman"/>
                <w:iCs/>
                <w:sz w:val="24"/>
                <w:szCs w:val="24"/>
                <w:lang w:eastAsia="lv-LV"/>
              </w:rPr>
              <w:t> un 29.</w:t>
            </w:r>
            <w:r w:rsidRPr="006C5AA9">
              <w:rPr>
                <w:rFonts w:ascii="Times New Roman" w:eastAsia="Times New Roman" w:hAnsi="Times New Roman" w:cs="Times New Roman"/>
                <w:iCs/>
                <w:sz w:val="24"/>
                <w:szCs w:val="24"/>
                <w:vertAlign w:val="superscript"/>
                <w:lang w:eastAsia="lv-LV"/>
              </w:rPr>
              <w:t>1</w:t>
            </w:r>
            <w:r w:rsidRPr="006C5AA9">
              <w:rPr>
                <w:rFonts w:ascii="Times New Roman" w:eastAsia="Times New Roman" w:hAnsi="Times New Roman" w:cs="Times New Roman"/>
                <w:iCs/>
                <w:sz w:val="24"/>
                <w:szCs w:val="24"/>
                <w:lang w:eastAsia="lv-LV"/>
              </w:rPr>
              <w:t> pantā noteiktajā kārtībā;</w:t>
            </w:r>
          </w:p>
          <w:p w14:paraId="0AEB4BED" w14:textId="498D7673" w:rsidR="006C5AA9" w:rsidRDefault="006C5AA9" w:rsidP="004B2695">
            <w:pPr>
              <w:spacing w:before="120" w:after="120" w:line="240" w:lineRule="auto"/>
              <w:jc w:val="both"/>
              <w:rPr>
                <w:rFonts w:ascii="Times New Roman" w:eastAsia="Times New Roman" w:hAnsi="Times New Roman" w:cs="Times New Roman"/>
                <w:iCs/>
                <w:sz w:val="24"/>
                <w:szCs w:val="24"/>
                <w:lang w:eastAsia="lv-LV"/>
              </w:rPr>
            </w:pPr>
            <w:r w:rsidRPr="006C5AA9">
              <w:rPr>
                <w:rFonts w:ascii="Times New Roman" w:eastAsia="Times New Roman" w:hAnsi="Times New Roman" w:cs="Times New Roman"/>
                <w:iCs/>
                <w:sz w:val="24"/>
                <w:szCs w:val="24"/>
                <w:lang w:eastAsia="lv-LV"/>
              </w:rPr>
              <w:t>4) veikt atbalsta maksājumus šā likuma 30.</w:t>
            </w:r>
            <w:r w:rsidRPr="006C5AA9">
              <w:rPr>
                <w:rFonts w:ascii="Times New Roman" w:eastAsia="Times New Roman" w:hAnsi="Times New Roman" w:cs="Times New Roman"/>
                <w:iCs/>
                <w:sz w:val="24"/>
                <w:szCs w:val="24"/>
                <w:vertAlign w:val="superscript"/>
                <w:lang w:eastAsia="lv-LV"/>
              </w:rPr>
              <w:t>2</w:t>
            </w:r>
            <w:r w:rsidRPr="006C5AA9">
              <w:rPr>
                <w:rFonts w:ascii="Times New Roman" w:eastAsia="Times New Roman" w:hAnsi="Times New Roman" w:cs="Times New Roman"/>
                <w:iCs/>
                <w:sz w:val="24"/>
                <w:szCs w:val="24"/>
                <w:lang w:eastAsia="lv-LV"/>
              </w:rPr>
              <w:t> pantā noteiktajā kārtībā.</w:t>
            </w:r>
          </w:p>
          <w:p w14:paraId="409466C0" w14:textId="2D368782" w:rsidR="0078078C" w:rsidRPr="0078078C" w:rsidRDefault="0078078C"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Likumprojekts paredz ETL 28., 28.</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29. un 30.panta izslēgšanu, attiecīgi Likumprojekts </w:t>
            </w:r>
            <w:r w:rsidR="00C400F3">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 xml:space="preserve">paredz, ka publiskajam tirgotājam nav jāveic </w:t>
            </w:r>
            <w:r w:rsidR="00C400F3">
              <w:rPr>
                <w:rFonts w:ascii="Times New Roman" w:eastAsia="Times New Roman" w:hAnsi="Times New Roman" w:cs="Times New Roman"/>
                <w:iCs/>
                <w:sz w:val="24"/>
                <w:szCs w:val="24"/>
                <w:lang w:eastAsia="lv-LV"/>
              </w:rPr>
              <w:t xml:space="preserve">pienākumi, kas saistīti </w:t>
            </w:r>
            <w:r>
              <w:rPr>
                <w:rFonts w:ascii="Times New Roman" w:eastAsia="Times New Roman" w:hAnsi="Times New Roman" w:cs="Times New Roman"/>
                <w:iCs/>
                <w:sz w:val="24"/>
                <w:szCs w:val="24"/>
                <w:lang w:eastAsia="lv-LV"/>
              </w:rPr>
              <w:t>ar minētajos ETL pantos ietverto nosacījumu īstenošanu.</w:t>
            </w:r>
          </w:p>
          <w:p w14:paraId="7F8A5F5C" w14:textId="32AE60DA" w:rsidR="001F0E8D" w:rsidRDefault="00C659FA" w:rsidP="001F0E8D">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Likumprojektā ietverto risinājumu attiecībā uz energoietilpīgiem apstrādes rūpniecības uzņēmumiem, no kā izriet, ka publiskajam tirgotājam jāīsteno ETL 33.panta otrās daļas 4.punktā noteiktais pienākums, Likumprojekts paredz, ka </w:t>
            </w:r>
            <w:r w:rsidR="001F0E8D">
              <w:rPr>
                <w:rFonts w:ascii="Times New Roman" w:eastAsia="Times New Roman" w:hAnsi="Times New Roman" w:cs="Times New Roman"/>
                <w:iCs/>
                <w:sz w:val="24"/>
                <w:szCs w:val="24"/>
                <w:lang w:eastAsia="lv-LV"/>
              </w:rPr>
              <w:t xml:space="preserve">Publiskais tirgotājs savu darbību izbeidz pēc tam, kad tas </w:t>
            </w:r>
            <w:r w:rsidR="001F0E8D" w:rsidRPr="006C5AA9">
              <w:rPr>
                <w:rFonts w:ascii="Times New Roman" w:eastAsia="Times New Roman" w:hAnsi="Times New Roman" w:cs="Times New Roman"/>
                <w:iCs/>
                <w:sz w:val="24"/>
                <w:szCs w:val="24"/>
                <w:lang w:eastAsia="lv-LV"/>
              </w:rPr>
              <w:t>vei</w:t>
            </w:r>
            <w:r w:rsidR="001F0E8D">
              <w:rPr>
                <w:rFonts w:ascii="Times New Roman" w:eastAsia="Times New Roman" w:hAnsi="Times New Roman" w:cs="Times New Roman"/>
                <w:iCs/>
                <w:sz w:val="24"/>
                <w:szCs w:val="24"/>
                <w:lang w:eastAsia="lv-LV"/>
              </w:rPr>
              <w:t>cis</w:t>
            </w:r>
            <w:r w:rsidR="001F0E8D" w:rsidRPr="006C5AA9">
              <w:rPr>
                <w:rFonts w:ascii="Times New Roman" w:eastAsia="Times New Roman" w:hAnsi="Times New Roman" w:cs="Times New Roman"/>
                <w:iCs/>
                <w:sz w:val="24"/>
                <w:szCs w:val="24"/>
                <w:lang w:eastAsia="lv-LV"/>
              </w:rPr>
              <w:t xml:space="preserve"> atbalsta maksājumus šā likuma 30.</w:t>
            </w:r>
            <w:r w:rsidR="001F0E8D" w:rsidRPr="006C5AA9">
              <w:rPr>
                <w:rFonts w:ascii="Times New Roman" w:eastAsia="Times New Roman" w:hAnsi="Times New Roman" w:cs="Times New Roman"/>
                <w:iCs/>
                <w:sz w:val="24"/>
                <w:szCs w:val="24"/>
                <w:vertAlign w:val="superscript"/>
                <w:lang w:eastAsia="lv-LV"/>
              </w:rPr>
              <w:t>2</w:t>
            </w:r>
            <w:r w:rsidR="001F0E8D" w:rsidRPr="006C5AA9">
              <w:rPr>
                <w:rFonts w:ascii="Times New Roman" w:eastAsia="Times New Roman" w:hAnsi="Times New Roman" w:cs="Times New Roman"/>
                <w:iCs/>
                <w:sz w:val="24"/>
                <w:szCs w:val="24"/>
                <w:lang w:eastAsia="lv-LV"/>
              </w:rPr>
              <w:t> pantā noteiktajā kārtībā</w:t>
            </w:r>
            <w:r>
              <w:rPr>
                <w:rFonts w:ascii="Times New Roman" w:eastAsia="Times New Roman" w:hAnsi="Times New Roman" w:cs="Times New Roman"/>
                <w:iCs/>
                <w:sz w:val="24"/>
                <w:szCs w:val="24"/>
                <w:lang w:eastAsia="lv-LV"/>
              </w:rPr>
              <w:t xml:space="preserve"> </w:t>
            </w:r>
            <w:r w:rsidR="001F0E8D">
              <w:rPr>
                <w:rFonts w:ascii="Times New Roman" w:eastAsia="Times New Roman" w:hAnsi="Times New Roman" w:cs="Times New Roman"/>
                <w:iCs/>
                <w:sz w:val="24"/>
                <w:szCs w:val="24"/>
                <w:lang w:eastAsia="lv-LV"/>
              </w:rPr>
              <w:t xml:space="preserve">un saskaņā ar Ministru kabineta noteikto kārtību tiesību iegūšanai </w:t>
            </w:r>
            <w:r w:rsidR="001F0E8D" w:rsidRPr="006C5AA9">
              <w:rPr>
                <w:rFonts w:ascii="Times New Roman" w:eastAsia="Times New Roman" w:hAnsi="Times New Roman" w:cs="Times New Roman"/>
                <w:bCs/>
                <w:iCs/>
                <w:sz w:val="24"/>
                <w:szCs w:val="24"/>
                <w:lang w:eastAsia="lv-LV"/>
              </w:rPr>
              <w:t>uz samazinātu līdzdalību to izdevumu kompensēšanai publiskajam tirgotājam</w:t>
            </w:r>
            <w:r>
              <w:rPr>
                <w:rStyle w:val="FootnoteReference"/>
                <w:rFonts w:ascii="Times New Roman" w:eastAsia="Times New Roman" w:hAnsi="Times New Roman" w:cs="Times New Roman"/>
                <w:bCs/>
                <w:iCs/>
                <w:sz w:val="24"/>
                <w:szCs w:val="24"/>
                <w:lang w:eastAsia="lv-LV"/>
              </w:rPr>
              <w:footnoteReference w:id="22"/>
            </w:r>
            <w:r w:rsidR="001F0E8D">
              <w:rPr>
                <w:rFonts w:ascii="Times New Roman" w:eastAsia="Times New Roman" w:hAnsi="Times New Roman" w:cs="Times New Roman"/>
                <w:bCs/>
                <w:iCs/>
                <w:sz w:val="24"/>
                <w:szCs w:val="24"/>
                <w:lang w:eastAsia="lv-LV"/>
              </w:rPr>
              <w:t>.</w:t>
            </w:r>
          </w:p>
          <w:p w14:paraId="11F443B4" w14:textId="77777777" w:rsidR="006C5AA9" w:rsidRPr="006C5AA9" w:rsidRDefault="006C5AA9" w:rsidP="004B2695">
            <w:pPr>
              <w:spacing w:before="120" w:after="120" w:line="240" w:lineRule="auto"/>
              <w:jc w:val="both"/>
              <w:rPr>
                <w:rFonts w:ascii="Times New Roman" w:eastAsia="Times New Roman" w:hAnsi="Times New Roman" w:cs="Times New Roman"/>
                <w:b/>
                <w:i/>
                <w:iCs/>
                <w:sz w:val="24"/>
                <w:szCs w:val="24"/>
                <w:u w:val="single"/>
                <w:lang w:eastAsia="lv-LV"/>
              </w:rPr>
            </w:pPr>
          </w:p>
          <w:p w14:paraId="7CE1D0AF" w14:textId="77777777" w:rsidR="00886385" w:rsidRPr="00A20159" w:rsidRDefault="008C4330" w:rsidP="004B2695">
            <w:pPr>
              <w:spacing w:before="120" w:after="120" w:line="240" w:lineRule="auto"/>
              <w:jc w:val="both"/>
              <w:rPr>
                <w:rFonts w:ascii="Times New Roman" w:eastAsia="Times New Roman" w:hAnsi="Times New Roman" w:cs="Times New Roman"/>
                <w:b/>
                <w:iCs/>
                <w:sz w:val="24"/>
                <w:szCs w:val="24"/>
                <w:lang w:eastAsia="lv-LV"/>
              </w:rPr>
            </w:pPr>
            <w:r w:rsidRPr="00A20159">
              <w:rPr>
                <w:rFonts w:ascii="Times New Roman" w:eastAsia="Times New Roman" w:hAnsi="Times New Roman" w:cs="Times New Roman"/>
                <w:b/>
                <w:iCs/>
                <w:sz w:val="24"/>
                <w:szCs w:val="24"/>
                <w:lang w:eastAsia="lv-LV"/>
              </w:rPr>
              <w:t xml:space="preserve">III. </w:t>
            </w:r>
            <w:r w:rsidR="00796E9A" w:rsidRPr="00A20159">
              <w:rPr>
                <w:rFonts w:ascii="Times New Roman" w:eastAsia="Times New Roman" w:hAnsi="Times New Roman" w:cs="Times New Roman"/>
                <w:b/>
                <w:iCs/>
                <w:sz w:val="24"/>
                <w:szCs w:val="24"/>
                <w:lang w:eastAsia="lv-LV"/>
              </w:rPr>
              <w:t xml:space="preserve">LIKUMPROJEKTA </w:t>
            </w:r>
            <w:r w:rsidRPr="00A20159">
              <w:rPr>
                <w:rFonts w:ascii="Times New Roman" w:eastAsia="Times New Roman" w:hAnsi="Times New Roman" w:cs="Times New Roman"/>
                <w:b/>
                <w:iCs/>
                <w:sz w:val="24"/>
                <w:szCs w:val="24"/>
                <w:lang w:eastAsia="lv-LV"/>
              </w:rPr>
              <w:t>IETEKMES</w:t>
            </w:r>
          </w:p>
          <w:p w14:paraId="7E0FBB3D" w14:textId="77777777" w:rsidR="00A20159" w:rsidRPr="008C2175" w:rsidRDefault="00796E9A"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8C2175">
              <w:rPr>
                <w:rFonts w:ascii="Times New Roman" w:eastAsia="Times New Roman" w:hAnsi="Times New Roman" w:cs="Times New Roman"/>
                <w:b/>
                <w:i/>
                <w:iCs/>
                <w:sz w:val="24"/>
                <w:szCs w:val="24"/>
                <w:u w:val="single"/>
                <w:lang w:eastAsia="lv-LV"/>
              </w:rPr>
              <w:t>1. Ietekmes uz sabiedrību</w:t>
            </w:r>
          </w:p>
          <w:p w14:paraId="3C8F0221" w14:textId="77777777" w:rsidR="00796E9A" w:rsidRPr="00A20159" w:rsidRDefault="00796E9A" w:rsidP="004B2695">
            <w:pPr>
              <w:pStyle w:val="paragraph"/>
              <w:spacing w:before="120" w:beforeAutospacing="0" w:after="120" w:afterAutospacing="0"/>
              <w:textAlignment w:val="baseline"/>
              <w:rPr>
                <w:b/>
                <w:i/>
                <w:iCs/>
              </w:rPr>
            </w:pPr>
            <w:r w:rsidRPr="00A20159">
              <w:rPr>
                <w:b/>
                <w:i/>
                <w:iCs/>
              </w:rPr>
              <w:lastRenderedPageBreak/>
              <w:t>1.1. Ietekme uz elektrības cenām</w:t>
            </w:r>
          </w:p>
          <w:p w14:paraId="339926EA" w14:textId="77315D05" w:rsidR="00230015" w:rsidRDefault="003A120D" w:rsidP="004B2695">
            <w:pPr>
              <w:pStyle w:val="paragraph"/>
              <w:spacing w:before="120" w:beforeAutospacing="0" w:after="120" w:afterAutospacing="0"/>
              <w:jc w:val="both"/>
              <w:textAlignment w:val="baseline"/>
              <w:rPr>
                <w:rStyle w:val="normaltextrun"/>
              </w:rPr>
            </w:pPr>
            <w:r w:rsidRPr="009B6E14">
              <w:rPr>
                <w:rStyle w:val="normaltextrun"/>
                <w:b/>
              </w:rPr>
              <w:t xml:space="preserve">Elektroenerģijas </w:t>
            </w:r>
            <w:r w:rsidR="00BC2962" w:rsidRPr="009B6E14">
              <w:rPr>
                <w:rStyle w:val="normaltextrun"/>
                <w:b/>
              </w:rPr>
              <w:t xml:space="preserve">gala </w:t>
            </w:r>
            <w:r w:rsidR="00C852FD" w:rsidRPr="009B6E14">
              <w:rPr>
                <w:rStyle w:val="normaltextrun"/>
                <w:b/>
              </w:rPr>
              <w:t xml:space="preserve">cenu </w:t>
            </w:r>
            <w:r w:rsidRPr="009B6E14">
              <w:rPr>
                <w:rStyle w:val="normaltextrun"/>
                <w:b/>
              </w:rPr>
              <w:t>kopējais samazinājum</w:t>
            </w:r>
            <w:r w:rsidR="00BB688F">
              <w:rPr>
                <w:rStyle w:val="normaltextrun"/>
                <w:b/>
              </w:rPr>
              <w:t>s pēc OIK atcelšanas</w:t>
            </w:r>
            <w:r w:rsidR="00C852FD" w:rsidRPr="009B6E14">
              <w:rPr>
                <w:rStyle w:val="normaltextrun"/>
                <w:b/>
              </w:rPr>
              <w:t xml:space="preserve"> patērētājiem būs atšķirīgs atkarībā no </w:t>
            </w:r>
            <w:r w:rsidR="00BB688F">
              <w:rPr>
                <w:rStyle w:val="normaltextrun"/>
                <w:b/>
              </w:rPr>
              <w:t xml:space="preserve">to </w:t>
            </w:r>
            <w:r w:rsidR="00C852FD" w:rsidRPr="009B6E14">
              <w:rPr>
                <w:rStyle w:val="normaltextrun"/>
                <w:b/>
              </w:rPr>
              <w:t xml:space="preserve">pieslēgumu jaudas, </w:t>
            </w:r>
            <w:r w:rsidR="00BB688F">
              <w:rPr>
                <w:rStyle w:val="normaltextrun"/>
                <w:b/>
              </w:rPr>
              <w:t xml:space="preserve">elektroenerģijas patēriņa </w:t>
            </w:r>
            <w:r w:rsidR="00C852FD" w:rsidRPr="009B6E14">
              <w:rPr>
                <w:rStyle w:val="normaltextrun"/>
                <w:b/>
              </w:rPr>
              <w:t xml:space="preserve">un </w:t>
            </w:r>
            <w:r w:rsidR="00BC2962" w:rsidRPr="009B6E14">
              <w:rPr>
                <w:rStyle w:val="normaltextrun"/>
                <w:b/>
              </w:rPr>
              <w:t xml:space="preserve">nosacījumiem elektroenerģijas lietotāja </w:t>
            </w:r>
            <w:r w:rsidR="00C852FD" w:rsidRPr="009B6E14">
              <w:rPr>
                <w:rStyle w:val="normaltextrun"/>
                <w:b/>
              </w:rPr>
              <w:t>līgum</w:t>
            </w:r>
            <w:r w:rsidR="00BC2962" w:rsidRPr="009B6E14">
              <w:rPr>
                <w:rStyle w:val="normaltextrun"/>
                <w:b/>
              </w:rPr>
              <w:t>ā</w:t>
            </w:r>
            <w:r w:rsidR="00C852FD" w:rsidRPr="009B6E14">
              <w:rPr>
                <w:rStyle w:val="normaltextrun"/>
                <w:b/>
              </w:rPr>
              <w:t xml:space="preserve"> ar </w:t>
            </w:r>
            <w:r w:rsidR="00BC2962" w:rsidRPr="009B6E14">
              <w:rPr>
                <w:rStyle w:val="normaltextrun"/>
                <w:b/>
              </w:rPr>
              <w:t xml:space="preserve">elektroenerģijas </w:t>
            </w:r>
            <w:r w:rsidR="00C852FD" w:rsidRPr="009B6E14">
              <w:rPr>
                <w:rStyle w:val="normaltextrun"/>
                <w:b/>
              </w:rPr>
              <w:t>tirgotāju</w:t>
            </w:r>
            <w:r w:rsidR="00C852FD">
              <w:rPr>
                <w:rStyle w:val="normaltextrun"/>
              </w:rPr>
              <w:t xml:space="preserve">. </w:t>
            </w:r>
          </w:p>
          <w:p w14:paraId="02D859F6" w14:textId="28EF06FD" w:rsidR="002300FA" w:rsidRPr="003A120D" w:rsidRDefault="00BC2962" w:rsidP="004B2695">
            <w:pPr>
              <w:pStyle w:val="paragraph"/>
              <w:spacing w:before="120" w:beforeAutospacing="0" w:after="120" w:afterAutospacing="0"/>
              <w:jc w:val="both"/>
              <w:textAlignment w:val="baseline"/>
              <w:rPr>
                <w:rStyle w:val="normaltextrun"/>
              </w:rPr>
            </w:pPr>
            <w:r>
              <w:rPr>
                <w:rStyle w:val="normaltextrun"/>
              </w:rPr>
              <w:t>Paredzamās ietekmes</w:t>
            </w:r>
            <w:r w:rsidR="000D41C7">
              <w:rPr>
                <w:rStyle w:val="normaltextrun"/>
              </w:rPr>
              <w:t xml:space="preserve"> dažādās patērētāju grupās</w:t>
            </w:r>
            <w:r>
              <w:rPr>
                <w:rStyle w:val="normaltextrun"/>
              </w:rPr>
              <w:t xml:space="preserve">, neņemot vērā elektroenerģijas </w:t>
            </w:r>
            <w:proofErr w:type="spellStart"/>
            <w:r>
              <w:rPr>
                <w:rStyle w:val="normaltextrun"/>
              </w:rPr>
              <w:t>vairumtirgus</w:t>
            </w:r>
            <w:proofErr w:type="spellEnd"/>
            <w:r>
              <w:rPr>
                <w:rStyle w:val="normaltextrun"/>
              </w:rPr>
              <w:t xml:space="preserve"> cenas svārstības, varētu būt </w:t>
            </w:r>
            <w:r w:rsidR="000D41C7">
              <w:rPr>
                <w:rStyle w:val="normaltextrun"/>
              </w:rPr>
              <w:t xml:space="preserve">20 – 23 % apmērā apstrādes rūpniecībā, 13 – 15% apmērā pakalpojumu sniedzējiem, ~13% apmērā </w:t>
            </w:r>
            <w:proofErr w:type="spellStart"/>
            <w:r w:rsidR="000D41C7">
              <w:rPr>
                <w:rStyle w:val="normaltextrun"/>
              </w:rPr>
              <w:t>energointensīvai</w:t>
            </w:r>
            <w:proofErr w:type="spellEnd"/>
            <w:r w:rsidR="000D41C7">
              <w:rPr>
                <w:rStyle w:val="normaltextrun"/>
              </w:rPr>
              <w:t xml:space="preserve"> apstrādes rūpniecībai, ~17% apmērā lauksaimniecība</w:t>
            </w:r>
            <w:r w:rsidR="009744DE">
              <w:rPr>
                <w:rStyle w:val="normaltextrun"/>
              </w:rPr>
              <w:t>s</w:t>
            </w:r>
            <w:r w:rsidR="000D41C7">
              <w:rPr>
                <w:rStyle w:val="normaltextrun"/>
              </w:rPr>
              <w:t xml:space="preserve"> preču ražotājiem. </w:t>
            </w:r>
            <w:r w:rsidR="00F05197">
              <w:rPr>
                <w:rStyle w:val="normaltextrun"/>
              </w:rPr>
              <w:t>M</w:t>
            </w:r>
            <w:r w:rsidR="000D41C7">
              <w:rPr>
                <w:rStyle w:val="normaltextrun"/>
              </w:rPr>
              <w:t xml:space="preserve">ājsaimniecībām elektroenerģijas izmaksu samazinājums vidēji varētu būt ap 15%, savukārt neizmantotiem </w:t>
            </w:r>
            <w:proofErr w:type="spellStart"/>
            <w:r w:rsidR="000D41C7">
              <w:rPr>
                <w:rStyle w:val="normaltextrun"/>
              </w:rPr>
              <w:t>pieslēgumiem</w:t>
            </w:r>
            <w:proofErr w:type="spellEnd"/>
            <w:r w:rsidR="000D41C7">
              <w:rPr>
                <w:rStyle w:val="normaltextrun"/>
              </w:rPr>
              <w:t xml:space="preserve"> cenas samazinājums būtu virs 30%.</w:t>
            </w:r>
          </w:p>
          <w:p w14:paraId="349A1BB6" w14:textId="52E2783D" w:rsidR="006F79A3" w:rsidRDefault="006F79A3" w:rsidP="004B269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samazinoties valstī saražotās elektroenerģijas apjomam, </w:t>
            </w:r>
            <w:r w:rsidR="009744DE">
              <w:rPr>
                <w:rFonts w:ascii="Times New Roman" w:hAnsi="Times New Roman" w:cs="Times New Roman"/>
                <w:sz w:val="24"/>
                <w:szCs w:val="24"/>
              </w:rPr>
              <w:t xml:space="preserve">darbu pārtraucot uzņēmumiem, kas līdz šim saņēmuši atbalstu OI mehānisma ietvaros, </w:t>
            </w:r>
            <w:r w:rsidRPr="009744DE">
              <w:rPr>
                <w:rFonts w:ascii="Times New Roman" w:hAnsi="Times New Roman" w:cs="Times New Roman"/>
                <w:sz w:val="24"/>
                <w:szCs w:val="24"/>
              </w:rPr>
              <w:t xml:space="preserve">vienlaikus ar OIK atcelšanu var palielināties elektroenerģijas </w:t>
            </w:r>
            <w:proofErr w:type="spellStart"/>
            <w:r w:rsidRPr="009744DE">
              <w:rPr>
                <w:rFonts w:ascii="Times New Roman" w:hAnsi="Times New Roman" w:cs="Times New Roman"/>
                <w:sz w:val="24"/>
                <w:szCs w:val="24"/>
              </w:rPr>
              <w:t>vairumtirgus</w:t>
            </w:r>
            <w:proofErr w:type="spellEnd"/>
            <w:r w:rsidRPr="009744DE">
              <w:rPr>
                <w:rFonts w:ascii="Times New Roman" w:hAnsi="Times New Roman" w:cs="Times New Roman"/>
                <w:sz w:val="24"/>
                <w:szCs w:val="24"/>
              </w:rPr>
              <w:t xml:space="preserve"> cena</w:t>
            </w:r>
            <w:r w:rsidR="009744DE" w:rsidRPr="009744DE">
              <w:rPr>
                <w:rFonts w:ascii="Times New Roman" w:hAnsi="Times New Roman" w:cs="Times New Roman"/>
                <w:sz w:val="24"/>
                <w:szCs w:val="24"/>
              </w:rPr>
              <w:t>.</w:t>
            </w:r>
            <w:r w:rsidR="009744DE">
              <w:rPr>
                <w:rFonts w:ascii="Times New Roman" w:hAnsi="Times New Roman" w:cs="Times New Roman"/>
                <w:sz w:val="24"/>
                <w:szCs w:val="24"/>
              </w:rPr>
              <w:t xml:space="preserve"> </w:t>
            </w:r>
          </w:p>
          <w:p w14:paraId="1725F1E2" w14:textId="77777777" w:rsidR="00F05197" w:rsidRPr="00F05197" w:rsidRDefault="00F05197" w:rsidP="004B2695">
            <w:pPr>
              <w:spacing w:before="120" w:after="120" w:line="240" w:lineRule="auto"/>
              <w:jc w:val="both"/>
              <w:rPr>
                <w:rFonts w:ascii="Times New Roman" w:hAnsi="Times New Roman" w:cs="Times New Roman"/>
                <w:sz w:val="24"/>
                <w:szCs w:val="24"/>
              </w:rPr>
            </w:pPr>
            <w:r w:rsidRPr="00F05197">
              <w:rPr>
                <w:rFonts w:ascii="Times New Roman" w:hAnsi="Times New Roman" w:cs="Times New Roman"/>
                <w:sz w:val="24"/>
                <w:szCs w:val="24"/>
              </w:rPr>
              <w:t>Saskaņā ar pārvades sistēmas operatora AS “Augstspriegumu tīkls”</w:t>
            </w:r>
            <w:r>
              <w:rPr>
                <w:rFonts w:ascii="Times New Roman" w:hAnsi="Times New Roman" w:cs="Times New Roman"/>
                <w:sz w:val="24"/>
                <w:szCs w:val="24"/>
              </w:rPr>
              <w:t xml:space="preserve"> (turpmāk – AST) pausto viedokli</w:t>
            </w:r>
            <w:r w:rsidR="000859A9" w:rsidRPr="00F05197">
              <w:rPr>
                <w:rFonts w:ascii="Times New Roman" w:hAnsi="Times New Roman" w:cs="Times New Roman"/>
                <w:sz w:val="24"/>
                <w:szCs w:val="24"/>
              </w:rPr>
              <w:t xml:space="preserve"> </w:t>
            </w:r>
            <w:r w:rsidR="000859A9" w:rsidRPr="00EB157B">
              <w:rPr>
                <w:rFonts w:ascii="Times New Roman" w:hAnsi="Times New Roman" w:cs="Times New Roman"/>
                <w:sz w:val="24"/>
                <w:szCs w:val="24"/>
              </w:rPr>
              <w:t xml:space="preserve">visu subsidēto elektrostaciju darbības apturēšana radītu nozīmīgu piedāvājuma samazinājumu Latvijas cenu zonā (2018.gadā 4,1 </w:t>
            </w:r>
            <w:proofErr w:type="spellStart"/>
            <w:r w:rsidR="000859A9" w:rsidRPr="00EB157B">
              <w:rPr>
                <w:rFonts w:ascii="Times New Roman" w:hAnsi="Times New Roman" w:cs="Times New Roman"/>
                <w:sz w:val="24"/>
                <w:szCs w:val="24"/>
              </w:rPr>
              <w:t>TWh</w:t>
            </w:r>
            <w:proofErr w:type="spellEnd"/>
            <w:r w:rsidR="000859A9" w:rsidRPr="00EB157B">
              <w:rPr>
                <w:rFonts w:ascii="Times New Roman" w:hAnsi="Times New Roman" w:cs="Times New Roman"/>
                <w:sz w:val="24"/>
                <w:szCs w:val="24"/>
              </w:rPr>
              <w:t>), kas veicinātu cenu pieaugumu Latvijā.</w:t>
            </w:r>
            <w:r w:rsidR="000859A9" w:rsidRPr="00E0524B">
              <w:rPr>
                <w:rFonts w:ascii="Times New Roman" w:hAnsi="Times New Roman" w:cs="Times New Roman"/>
                <w:sz w:val="24"/>
                <w:szCs w:val="24"/>
              </w:rPr>
              <w:t xml:space="preserve"> </w:t>
            </w:r>
            <w:r w:rsidR="00EB157B">
              <w:rPr>
                <w:rFonts w:ascii="Times New Roman" w:hAnsi="Times New Roman" w:cs="Times New Roman"/>
                <w:sz w:val="24"/>
                <w:szCs w:val="24"/>
              </w:rPr>
              <w:t xml:space="preserve">AST aptuvenās aplēses liecina, ka 2018.gadā, kad klimatisko apstākļu dēļ bija samazināts hidroelektrostaciju izstrādes apjoms, TEC-2 darbība nodrošināja par aptuveni 25% zemāku elektroenerģijas </w:t>
            </w:r>
            <w:proofErr w:type="spellStart"/>
            <w:r w:rsidR="00EB157B">
              <w:rPr>
                <w:rFonts w:ascii="Times New Roman" w:hAnsi="Times New Roman" w:cs="Times New Roman"/>
                <w:sz w:val="24"/>
                <w:szCs w:val="24"/>
              </w:rPr>
              <w:t>vairumtirgus</w:t>
            </w:r>
            <w:proofErr w:type="spellEnd"/>
            <w:r w:rsidR="00EB157B">
              <w:rPr>
                <w:rFonts w:ascii="Times New Roman" w:hAnsi="Times New Roman" w:cs="Times New Roman"/>
                <w:sz w:val="24"/>
                <w:szCs w:val="24"/>
              </w:rPr>
              <w:t xml:space="preserve"> cenu. Tomēr, nosakot pienākumu Rīgas TEC-1 un TEC-2 elektrostacijām turpināt darbību pašreizējā minimālajā apjomā līdz plānotajām atbalsta perioda beigām, šāds risks tiek novērsts. </w:t>
            </w:r>
          </w:p>
          <w:p w14:paraId="25BD19A2" w14:textId="77777777" w:rsidR="00E335FC" w:rsidRDefault="000859A9" w:rsidP="004B2695">
            <w:pPr>
              <w:spacing w:before="120" w:after="120" w:line="240" w:lineRule="auto"/>
              <w:jc w:val="both"/>
              <w:rPr>
                <w:rFonts w:ascii="Times New Roman" w:hAnsi="Times New Roman" w:cs="Times New Roman"/>
                <w:sz w:val="24"/>
                <w:szCs w:val="24"/>
              </w:rPr>
            </w:pPr>
            <w:r w:rsidRPr="00E0524B">
              <w:rPr>
                <w:rFonts w:ascii="Times New Roman" w:hAnsi="Times New Roman" w:cs="Times New Roman"/>
                <w:sz w:val="24"/>
                <w:szCs w:val="24"/>
              </w:rPr>
              <w:t xml:space="preserve">Savukārt, </w:t>
            </w:r>
            <w:r w:rsidR="008223C4">
              <w:rPr>
                <w:rFonts w:ascii="Times New Roman" w:hAnsi="Times New Roman" w:cs="Times New Roman"/>
                <w:sz w:val="24"/>
                <w:szCs w:val="24"/>
              </w:rPr>
              <w:t>vērtējot</w:t>
            </w:r>
            <w:r w:rsidRPr="00E0524B">
              <w:rPr>
                <w:rFonts w:ascii="Times New Roman" w:hAnsi="Times New Roman" w:cs="Times New Roman"/>
                <w:sz w:val="24"/>
                <w:szCs w:val="24"/>
              </w:rPr>
              <w:t xml:space="preserve">, kādu ietekmi uz elektroenerģijas </w:t>
            </w:r>
            <w:proofErr w:type="spellStart"/>
            <w:r w:rsidR="008223C4">
              <w:rPr>
                <w:rFonts w:ascii="Times New Roman" w:hAnsi="Times New Roman" w:cs="Times New Roman"/>
                <w:sz w:val="24"/>
                <w:szCs w:val="24"/>
              </w:rPr>
              <w:t>vairumtirgus</w:t>
            </w:r>
            <w:proofErr w:type="spellEnd"/>
            <w:r w:rsidR="008223C4">
              <w:rPr>
                <w:rFonts w:ascii="Times New Roman" w:hAnsi="Times New Roman" w:cs="Times New Roman"/>
                <w:sz w:val="24"/>
                <w:szCs w:val="24"/>
              </w:rPr>
              <w:t xml:space="preserve"> cenām</w:t>
            </w:r>
            <w:r w:rsidRPr="00E0524B">
              <w:rPr>
                <w:rFonts w:ascii="Times New Roman" w:hAnsi="Times New Roman" w:cs="Times New Roman"/>
                <w:sz w:val="24"/>
                <w:szCs w:val="24"/>
              </w:rPr>
              <w:t xml:space="preserve"> atstās </w:t>
            </w:r>
            <w:r w:rsidRPr="009744DE">
              <w:rPr>
                <w:rFonts w:ascii="Times New Roman" w:hAnsi="Times New Roman" w:cs="Times New Roman"/>
                <w:sz w:val="24"/>
                <w:szCs w:val="24"/>
              </w:rPr>
              <w:t xml:space="preserve">visu subsidēto elektrostaciju darbības pārtraukšana, izņemot Rīgas TEC-1 un TEC-2 elektrostacijas, AST vērtē, ka tā kā šīs elektrostacijas kopā saražo ievērojamu elektroenerģijas daudzumu (2018. gadā ap </w:t>
            </w:r>
            <w:bookmarkStart w:id="4" w:name="_Hlk3208626"/>
            <w:r w:rsidRPr="009744DE">
              <w:rPr>
                <w:rFonts w:ascii="Times New Roman" w:hAnsi="Times New Roman" w:cs="Times New Roman"/>
                <w:sz w:val="24"/>
                <w:szCs w:val="24"/>
              </w:rPr>
              <w:t xml:space="preserve">1,5 </w:t>
            </w:r>
            <w:proofErr w:type="spellStart"/>
            <w:r w:rsidRPr="009744DE">
              <w:rPr>
                <w:rFonts w:ascii="Times New Roman" w:hAnsi="Times New Roman" w:cs="Times New Roman"/>
                <w:sz w:val="24"/>
                <w:szCs w:val="24"/>
              </w:rPr>
              <w:t>TWh</w:t>
            </w:r>
            <w:proofErr w:type="spellEnd"/>
            <w:r w:rsidRPr="009744DE">
              <w:rPr>
                <w:rFonts w:ascii="Times New Roman" w:hAnsi="Times New Roman" w:cs="Times New Roman"/>
                <w:sz w:val="24"/>
                <w:szCs w:val="24"/>
              </w:rPr>
              <w:t>, jeb ap 23% no kopā saražotā elektroenerģijas apjoma Latvijā), to darbības pārtraukšana</w:t>
            </w:r>
            <w:r w:rsidR="00F05197" w:rsidRPr="009744DE">
              <w:rPr>
                <w:rFonts w:ascii="Times New Roman" w:hAnsi="Times New Roman" w:cs="Times New Roman"/>
                <w:sz w:val="24"/>
                <w:szCs w:val="24"/>
              </w:rPr>
              <w:t xml:space="preserve"> arī</w:t>
            </w:r>
            <w:r w:rsidRPr="009744DE">
              <w:rPr>
                <w:rFonts w:ascii="Times New Roman" w:hAnsi="Times New Roman" w:cs="Times New Roman"/>
                <w:sz w:val="24"/>
                <w:szCs w:val="24"/>
              </w:rPr>
              <w:t xml:space="preserve"> veicinā</w:t>
            </w:r>
            <w:r w:rsidR="00F05197" w:rsidRPr="009744DE">
              <w:rPr>
                <w:rFonts w:ascii="Times New Roman" w:hAnsi="Times New Roman" w:cs="Times New Roman"/>
                <w:sz w:val="24"/>
                <w:szCs w:val="24"/>
              </w:rPr>
              <w:t>tu</w:t>
            </w:r>
            <w:r w:rsidRPr="009744DE">
              <w:rPr>
                <w:rFonts w:ascii="Times New Roman" w:hAnsi="Times New Roman" w:cs="Times New Roman"/>
                <w:sz w:val="24"/>
                <w:szCs w:val="24"/>
              </w:rPr>
              <w:t xml:space="preserve"> cenu pieaugumu </w:t>
            </w:r>
            <w:r w:rsidR="00F05197" w:rsidRPr="009744DE">
              <w:rPr>
                <w:rFonts w:ascii="Times New Roman" w:hAnsi="Times New Roman" w:cs="Times New Roman"/>
                <w:sz w:val="24"/>
                <w:szCs w:val="24"/>
              </w:rPr>
              <w:t xml:space="preserve">elektroenerģijas </w:t>
            </w:r>
            <w:proofErr w:type="spellStart"/>
            <w:r w:rsidR="00F05197" w:rsidRPr="009744DE">
              <w:rPr>
                <w:rFonts w:ascii="Times New Roman" w:hAnsi="Times New Roman" w:cs="Times New Roman"/>
                <w:sz w:val="24"/>
                <w:szCs w:val="24"/>
              </w:rPr>
              <w:t>vairumtirgū</w:t>
            </w:r>
            <w:proofErr w:type="spellEnd"/>
            <w:r w:rsidRPr="009744DE">
              <w:rPr>
                <w:rFonts w:ascii="Times New Roman" w:hAnsi="Times New Roman" w:cs="Times New Roman"/>
                <w:sz w:val="24"/>
                <w:szCs w:val="24"/>
              </w:rPr>
              <w:t>.</w:t>
            </w:r>
            <w:r w:rsidRPr="00E0524B">
              <w:rPr>
                <w:rFonts w:ascii="Times New Roman" w:hAnsi="Times New Roman" w:cs="Times New Roman"/>
                <w:sz w:val="24"/>
                <w:szCs w:val="24"/>
              </w:rPr>
              <w:t xml:space="preserve"> </w:t>
            </w:r>
            <w:bookmarkEnd w:id="4"/>
          </w:p>
          <w:p w14:paraId="7E1213BF" w14:textId="291056F8" w:rsidR="00A07FD5" w:rsidRDefault="004F7597" w:rsidP="004B269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w:t>
            </w:r>
            <w:r w:rsidRPr="004F7597">
              <w:rPr>
                <w:rFonts w:ascii="Times New Roman" w:hAnsi="Times New Roman" w:cs="Times New Roman"/>
                <w:b/>
                <w:sz w:val="24"/>
                <w:szCs w:val="24"/>
              </w:rPr>
              <w:t xml:space="preserve">ņemot vērā to, ka OIK vidējā vērtība ir noteikta 22,68 </w:t>
            </w:r>
            <w:proofErr w:type="spellStart"/>
            <w:r w:rsidRPr="004F7597">
              <w:rPr>
                <w:rFonts w:ascii="Times New Roman" w:hAnsi="Times New Roman" w:cs="Times New Roman"/>
                <w:b/>
                <w:i/>
                <w:sz w:val="24"/>
                <w:szCs w:val="24"/>
              </w:rPr>
              <w:t>euro</w:t>
            </w:r>
            <w:proofErr w:type="spellEnd"/>
            <w:r w:rsidRPr="004F7597">
              <w:rPr>
                <w:rFonts w:ascii="Times New Roman" w:hAnsi="Times New Roman" w:cs="Times New Roman"/>
                <w:b/>
                <w:sz w:val="24"/>
                <w:szCs w:val="24"/>
              </w:rPr>
              <w:t>/</w:t>
            </w:r>
            <w:proofErr w:type="spellStart"/>
            <w:r w:rsidRPr="004F7597">
              <w:rPr>
                <w:rFonts w:ascii="Times New Roman" w:hAnsi="Times New Roman" w:cs="Times New Roman"/>
                <w:b/>
                <w:sz w:val="24"/>
                <w:szCs w:val="24"/>
              </w:rPr>
              <w:t>MWh</w:t>
            </w:r>
            <w:proofErr w:type="spellEnd"/>
            <w:r w:rsidRPr="004F7597">
              <w:rPr>
                <w:rFonts w:ascii="Times New Roman" w:hAnsi="Times New Roman" w:cs="Times New Roman"/>
                <w:b/>
                <w:sz w:val="24"/>
                <w:szCs w:val="24"/>
              </w:rPr>
              <w:t xml:space="preserve"> apmērā, ieguvumu no </w:t>
            </w:r>
            <w:r w:rsidR="00926B30">
              <w:rPr>
                <w:rFonts w:ascii="Times New Roman" w:hAnsi="Times New Roman" w:cs="Times New Roman"/>
                <w:b/>
                <w:sz w:val="24"/>
                <w:szCs w:val="24"/>
              </w:rPr>
              <w:t>OI</w:t>
            </w:r>
            <w:r w:rsidRPr="004F7597">
              <w:rPr>
                <w:rFonts w:ascii="Times New Roman" w:hAnsi="Times New Roman" w:cs="Times New Roman"/>
                <w:b/>
                <w:sz w:val="24"/>
                <w:szCs w:val="24"/>
              </w:rPr>
              <w:t xml:space="preserve"> atcelšanas, </w:t>
            </w:r>
            <w:r w:rsidR="00926B30">
              <w:rPr>
                <w:rFonts w:ascii="Times New Roman" w:hAnsi="Times New Roman" w:cs="Times New Roman"/>
                <w:b/>
                <w:sz w:val="24"/>
                <w:szCs w:val="24"/>
              </w:rPr>
              <w:t>kas</w:t>
            </w:r>
            <w:r w:rsidRPr="004F7597">
              <w:rPr>
                <w:rFonts w:ascii="Times New Roman" w:hAnsi="Times New Roman" w:cs="Times New Roman"/>
                <w:b/>
                <w:sz w:val="24"/>
                <w:szCs w:val="24"/>
              </w:rPr>
              <w:t xml:space="preserve"> rezultējas </w:t>
            </w:r>
            <w:r w:rsidR="00926B30">
              <w:rPr>
                <w:rFonts w:ascii="Times New Roman" w:hAnsi="Times New Roman" w:cs="Times New Roman"/>
                <w:b/>
                <w:sz w:val="24"/>
                <w:szCs w:val="24"/>
              </w:rPr>
              <w:t xml:space="preserve">lielākās daļas </w:t>
            </w:r>
            <w:r w:rsidRPr="004F7597">
              <w:rPr>
                <w:rFonts w:ascii="Times New Roman" w:hAnsi="Times New Roman" w:cs="Times New Roman"/>
                <w:b/>
                <w:sz w:val="24"/>
                <w:szCs w:val="24"/>
              </w:rPr>
              <w:t>staciju darbības pārtraukšanā</w:t>
            </w:r>
            <w:r>
              <w:rPr>
                <w:rFonts w:ascii="Times New Roman" w:hAnsi="Times New Roman" w:cs="Times New Roman"/>
                <w:sz w:val="24"/>
                <w:szCs w:val="24"/>
              </w:rPr>
              <w:t xml:space="preserve">, </w:t>
            </w:r>
            <w:r w:rsidR="00926B30">
              <w:rPr>
                <w:rFonts w:ascii="Times New Roman" w:hAnsi="Times New Roman" w:cs="Times New Roman"/>
                <w:b/>
                <w:sz w:val="24"/>
                <w:szCs w:val="24"/>
              </w:rPr>
              <w:t>daļēji</w:t>
            </w:r>
            <w:r w:rsidR="00CE5865" w:rsidRPr="00CE5865">
              <w:rPr>
                <w:rFonts w:ascii="Times New Roman" w:hAnsi="Times New Roman" w:cs="Times New Roman"/>
                <w:b/>
                <w:sz w:val="24"/>
                <w:szCs w:val="24"/>
              </w:rPr>
              <w:t xml:space="preserve"> </w:t>
            </w:r>
            <w:r w:rsidRPr="00CE5865">
              <w:rPr>
                <w:rFonts w:ascii="Times New Roman" w:hAnsi="Times New Roman" w:cs="Times New Roman"/>
                <w:b/>
                <w:sz w:val="24"/>
                <w:szCs w:val="24"/>
              </w:rPr>
              <w:t xml:space="preserve">var atsvērt elektroenerģijas </w:t>
            </w:r>
            <w:proofErr w:type="spellStart"/>
            <w:r w:rsidRPr="00CE5865">
              <w:rPr>
                <w:rFonts w:ascii="Times New Roman" w:hAnsi="Times New Roman" w:cs="Times New Roman"/>
                <w:b/>
                <w:sz w:val="24"/>
                <w:szCs w:val="24"/>
              </w:rPr>
              <w:t>vairumtirgus</w:t>
            </w:r>
            <w:proofErr w:type="spellEnd"/>
            <w:r w:rsidRPr="00CE5865">
              <w:rPr>
                <w:rFonts w:ascii="Times New Roman" w:hAnsi="Times New Roman" w:cs="Times New Roman"/>
                <w:b/>
                <w:sz w:val="24"/>
                <w:szCs w:val="24"/>
              </w:rPr>
              <w:t xml:space="preserve"> cenas pieaugums.</w:t>
            </w:r>
            <w:r>
              <w:rPr>
                <w:rFonts w:ascii="Times New Roman" w:hAnsi="Times New Roman" w:cs="Times New Roman"/>
                <w:sz w:val="24"/>
                <w:szCs w:val="24"/>
              </w:rPr>
              <w:t xml:space="preserve"> </w:t>
            </w:r>
            <w:r w:rsidR="00BC6C4B" w:rsidRPr="009744DE">
              <w:rPr>
                <w:rFonts w:ascii="Times New Roman" w:hAnsi="Times New Roman" w:cs="Times New Roman"/>
                <w:b/>
                <w:sz w:val="24"/>
                <w:szCs w:val="24"/>
              </w:rPr>
              <w:t xml:space="preserve">Tomēr paredzams, ka šāda ietekme kopumā nebūs būtiska un pamatā izpaudīsies t.s. pīķa stundās, kad elektroenerģijas </w:t>
            </w:r>
            <w:proofErr w:type="spellStart"/>
            <w:r w:rsidR="00BC6C4B" w:rsidRPr="009744DE">
              <w:rPr>
                <w:rFonts w:ascii="Times New Roman" w:hAnsi="Times New Roman" w:cs="Times New Roman"/>
                <w:b/>
                <w:sz w:val="24"/>
                <w:szCs w:val="24"/>
              </w:rPr>
              <w:t>vairumtirgus</w:t>
            </w:r>
            <w:proofErr w:type="spellEnd"/>
            <w:r w:rsidR="00BC6C4B" w:rsidRPr="009744DE">
              <w:rPr>
                <w:rFonts w:ascii="Times New Roman" w:hAnsi="Times New Roman" w:cs="Times New Roman"/>
                <w:b/>
                <w:sz w:val="24"/>
                <w:szCs w:val="24"/>
              </w:rPr>
              <w:t xml:space="preserve"> cena ir augsta</w:t>
            </w:r>
            <w:r w:rsidR="00BC6C4B">
              <w:rPr>
                <w:rFonts w:ascii="Times New Roman" w:hAnsi="Times New Roman" w:cs="Times New Roman"/>
                <w:sz w:val="24"/>
                <w:szCs w:val="24"/>
              </w:rPr>
              <w:t xml:space="preserve">. </w:t>
            </w:r>
          </w:p>
          <w:p w14:paraId="654F66EA" w14:textId="77777777" w:rsidR="004B2695" w:rsidRPr="009E4EBF" w:rsidRDefault="004B2695" w:rsidP="004B2695">
            <w:pPr>
              <w:spacing w:before="120" w:after="120" w:line="240" w:lineRule="auto"/>
              <w:jc w:val="both"/>
              <w:rPr>
                <w:rFonts w:ascii="Times New Roman" w:hAnsi="Times New Roman" w:cs="Times New Roman"/>
                <w:sz w:val="24"/>
                <w:szCs w:val="24"/>
              </w:rPr>
            </w:pPr>
          </w:p>
          <w:p w14:paraId="1D11C71C" w14:textId="77777777" w:rsidR="00796E9A" w:rsidRPr="007313D5" w:rsidRDefault="00796E9A" w:rsidP="004B2695">
            <w:pPr>
              <w:pStyle w:val="paragraph"/>
              <w:spacing w:before="120" w:beforeAutospacing="0" w:after="120" w:afterAutospacing="0"/>
              <w:textAlignment w:val="baseline"/>
              <w:rPr>
                <w:rStyle w:val="normaltextrun"/>
                <w:b/>
                <w:i/>
              </w:rPr>
            </w:pPr>
            <w:r w:rsidRPr="007313D5">
              <w:rPr>
                <w:rStyle w:val="normaltextrun"/>
                <w:b/>
                <w:i/>
              </w:rPr>
              <w:t>1.2. Ietekme uz siltumenerģijas cenām</w:t>
            </w:r>
          </w:p>
          <w:p w14:paraId="6220B432" w14:textId="28ED1CFD" w:rsidR="00F7419D" w:rsidRPr="00F7419D" w:rsidRDefault="00F7419D" w:rsidP="004B2695">
            <w:pPr>
              <w:spacing w:before="120" w:after="120" w:line="240" w:lineRule="auto"/>
              <w:jc w:val="both"/>
              <w:rPr>
                <w:rFonts w:ascii="Times New Roman" w:hAnsi="Times New Roman" w:cs="Times New Roman"/>
                <w:sz w:val="24"/>
              </w:rPr>
            </w:pPr>
            <w:r w:rsidRPr="00F7419D">
              <w:rPr>
                <w:rFonts w:ascii="Times New Roman" w:hAnsi="Times New Roman" w:cs="Times New Roman"/>
                <w:sz w:val="24"/>
              </w:rPr>
              <w:t xml:space="preserve">SPRK ir norādījusi, ka vispārējā gadījumā, izbeidzoties </w:t>
            </w:r>
            <w:r w:rsidR="005F64D9">
              <w:rPr>
                <w:rFonts w:ascii="Times New Roman" w:hAnsi="Times New Roman" w:cs="Times New Roman"/>
                <w:sz w:val="24"/>
              </w:rPr>
              <w:t>atbalstam OI mehānisma ietvaros</w:t>
            </w:r>
            <w:r w:rsidRPr="00F7419D">
              <w:rPr>
                <w:rFonts w:ascii="Times New Roman" w:hAnsi="Times New Roman" w:cs="Times New Roman"/>
                <w:sz w:val="24"/>
              </w:rPr>
              <w:t xml:space="preserve">, </w:t>
            </w:r>
            <w:bookmarkStart w:id="5" w:name="_Hlk3209504"/>
            <w:r w:rsidRPr="00F7419D">
              <w:rPr>
                <w:rFonts w:ascii="Times New Roman" w:hAnsi="Times New Roman" w:cs="Times New Roman"/>
                <w:b/>
                <w:sz w:val="24"/>
              </w:rPr>
              <w:t>siltumenerģijas tarifam būtu tendence pieaugt</w:t>
            </w:r>
            <w:bookmarkEnd w:id="5"/>
            <w:r w:rsidRPr="00F7419D">
              <w:rPr>
                <w:rFonts w:ascii="Times New Roman" w:hAnsi="Times New Roman" w:cs="Times New Roman"/>
                <w:sz w:val="24"/>
              </w:rPr>
              <w:t xml:space="preserve">. Bet ir arī atsevišķi faktori, kuru izmaiņu rezultātā siltumenerģijas tarifs varētu </w:t>
            </w:r>
            <w:r w:rsidR="00F00D16">
              <w:rPr>
                <w:rFonts w:ascii="Times New Roman" w:hAnsi="Times New Roman" w:cs="Times New Roman"/>
                <w:sz w:val="24"/>
              </w:rPr>
              <w:t xml:space="preserve">atsevišķās pašvaldībās </w:t>
            </w:r>
            <w:r w:rsidRPr="00F7419D">
              <w:rPr>
                <w:rFonts w:ascii="Times New Roman" w:hAnsi="Times New Roman" w:cs="Times New Roman"/>
                <w:sz w:val="24"/>
              </w:rPr>
              <w:t>arī samazināties.</w:t>
            </w:r>
          </w:p>
          <w:p w14:paraId="1BADBA82" w14:textId="77777777" w:rsidR="00F7419D" w:rsidRPr="00F7419D" w:rsidRDefault="00F7419D" w:rsidP="004B2695">
            <w:pPr>
              <w:spacing w:before="120" w:after="120" w:line="240" w:lineRule="auto"/>
              <w:jc w:val="both"/>
              <w:rPr>
                <w:rFonts w:ascii="Times New Roman" w:hAnsi="Times New Roman" w:cs="Times New Roman"/>
                <w:sz w:val="24"/>
              </w:rPr>
            </w:pPr>
            <w:r w:rsidRPr="00F7419D">
              <w:rPr>
                <w:rFonts w:ascii="Times New Roman" w:hAnsi="Times New Roman" w:cs="Times New Roman"/>
                <w:sz w:val="24"/>
              </w:rPr>
              <w:t xml:space="preserve">Siltumenerģijas gala </w:t>
            </w:r>
            <w:r w:rsidRPr="00F7419D">
              <w:rPr>
                <w:rFonts w:ascii="Times New Roman" w:hAnsi="Times New Roman" w:cs="Times New Roman"/>
                <w:b/>
                <w:sz w:val="24"/>
              </w:rPr>
              <w:t>tarifu pieaugums varētu būt sagaidāms vismaz 15 pašvaldībās</w:t>
            </w:r>
            <w:r w:rsidRPr="00F7419D">
              <w:rPr>
                <w:rFonts w:ascii="Times New Roman" w:hAnsi="Times New Roman" w:cs="Times New Roman"/>
                <w:sz w:val="24"/>
              </w:rPr>
              <w:t xml:space="preserve">, no kurām </w:t>
            </w:r>
            <w:r w:rsidRPr="00F7419D">
              <w:rPr>
                <w:rFonts w:ascii="Times New Roman" w:hAnsi="Times New Roman" w:cs="Times New Roman"/>
                <w:b/>
                <w:sz w:val="24"/>
              </w:rPr>
              <w:t xml:space="preserve">lielākās ir </w:t>
            </w:r>
            <w:bookmarkStart w:id="6" w:name="_Hlk3209543"/>
            <w:r w:rsidRPr="00F7419D">
              <w:rPr>
                <w:rFonts w:ascii="Times New Roman" w:hAnsi="Times New Roman" w:cs="Times New Roman"/>
                <w:b/>
                <w:sz w:val="24"/>
              </w:rPr>
              <w:t xml:space="preserve">Daugavpils, Jelgava, Liepāja, </w:t>
            </w:r>
            <w:r w:rsidRPr="00F7419D">
              <w:rPr>
                <w:rFonts w:ascii="Times New Roman" w:hAnsi="Times New Roman" w:cs="Times New Roman"/>
                <w:b/>
                <w:sz w:val="24"/>
              </w:rPr>
              <w:lastRenderedPageBreak/>
              <w:t>Rēzekn</w:t>
            </w:r>
            <w:bookmarkEnd w:id="6"/>
            <w:r w:rsidRPr="00F7419D">
              <w:rPr>
                <w:rFonts w:ascii="Times New Roman" w:hAnsi="Times New Roman" w:cs="Times New Roman"/>
                <w:b/>
                <w:sz w:val="24"/>
              </w:rPr>
              <w:t>e</w:t>
            </w:r>
            <w:r w:rsidRPr="00F7419D">
              <w:rPr>
                <w:rFonts w:ascii="Times New Roman" w:hAnsi="Times New Roman" w:cs="Times New Roman"/>
                <w:sz w:val="24"/>
              </w:rPr>
              <w:t>. Rīgā izmaiņas siltumenerģijas tarifos pamatā būs atkarīgas no TEC-2 turpmākās darbības. Pašvaldību skaits varētu būt arī lielāks, atkarībā no tā, vai pašvaldībām ir citas alternatīvas siltumapgādes nodrošināšanai. Visprecīzāko informāciju iedzīvotāji šajā jautājumā var gūt, vēršoties pašvaldībā.</w:t>
            </w:r>
          </w:p>
          <w:p w14:paraId="72D8C69E" w14:textId="77777777" w:rsidR="00F7419D" w:rsidRPr="00F7419D" w:rsidRDefault="00F7419D" w:rsidP="004B2695">
            <w:pPr>
              <w:spacing w:before="120" w:after="120" w:line="240" w:lineRule="auto"/>
              <w:jc w:val="both"/>
              <w:rPr>
                <w:rFonts w:ascii="Times New Roman" w:hAnsi="Times New Roman" w:cs="Times New Roman"/>
                <w:sz w:val="24"/>
              </w:rPr>
            </w:pPr>
            <w:r w:rsidRPr="00F7419D">
              <w:rPr>
                <w:rFonts w:ascii="Times New Roman" w:hAnsi="Times New Roman" w:cs="Times New Roman"/>
                <w:sz w:val="24"/>
              </w:rPr>
              <w:t xml:space="preserve">Latvijas Siltumuzņēmumu asociācijas rosinātajā aptaujā biedriem, uzņēmumi, kuru sistēmās darbojas koģenerācijas stacijas, nepārprotami norādīja, ka, atbalsta pārtraukšanas gadījumā, </w:t>
            </w:r>
            <w:bookmarkStart w:id="7" w:name="_Hlk3209061"/>
            <w:r w:rsidRPr="00F7419D">
              <w:rPr>
                <w:rFonts w:ascii="Times New Roman" w:hAnsi="Times New Roman" w:cs="Times New Roman"/>
                <w:b/>
                <w:sz w:val="24"/>
              </w:rPr>
              <w:t>tarifu pieaugums būtu 20 – 40%</w:t>
            </w:r>
            <w:r w:rsidRPr="00F7419D">
              <w:rPr>
                <w:rFonts w:ascii="Times New Roman" w:hAnsi="Times New Roman" w:cs="Times New Roman"/>
                <w:sz w:val="24"/>
              </w:rPr>
              <w:t xml:space="preserve"> robežās, atsevišķos gadījumos, iespējams, vairāk. </w:t>
            </w:r>
            <w:bookmarkEnd w:id="7"/>
            <w:r w:rsidRPr="00F7419D">
              <w:rPr>
                <w:rFonts w:ascii="Times New Roman" w:hAnsi="Times New Roman" w:cs="Times New Roman"/>
                <w:sz w:val="24"/>
              </w:rPr>
              <w:t xml:space="preserve">Šādu kāpumu uzņēmumi skaidro ar to, ka dažos mēnešos nav tehniski iespējams aizstāt esošās iekārtas, realizējot alternatīva </w:t>
            </w:r>
            <w:proofErr w:type="spellStart"/>
            <w:r w:rsidRPr="00F7419D">
              <w:rPr>
                <w:rFonts w:ascii="Times New Roman" w:hAnsi="Times New Roman" w:cs="Times New Roman"/>
                <w:sz w:val="24"/>
              </w:rPr>
              <w:t>siltumavota</w:t>
            </w:r>
            <w:proofErr w:type="spellEnd"/>
            <w:r w:rsidRPr="00F7419D">
              <w:rPr>
                <w:rFonts w:ascii="Times New Roman" w:hAnsi="Times New Roman" w:cs="Times New Roman"/>
                <w:sz w:val="24"/>
              </w:rPr>
              <w:t xml:space="preserve"> uzstādīšanu, kā arī neatmaksātie kredīti/neatgūtās investīcijas ir būtisks šķērslis jauna finansējuma piesaistei.</w:t>
            </w:r>
          </w:p>
          <w:p w14:paraId="0148A0DA" w14:textId="77777777" w:rsidR="00F7419D" w:rsidRPr="00F7419D" w:rsidRDefault="00F7419D" w:rsidP="004B2695">
            <w:pPr>
              <w:spacing w:before="120" w:after="120" w:line="240" w:lineRule="auto"/>
              <w:jc w:val="both"/>
              <w:rPr>
                <w:rFonts w:ascii="Times New Roman" w:hAnsi="Times New Roman" w:cs="Times New Roman"/>
                <w:sz w:val="24"/>
              </w:rPr>
            </w:pPr>
            <w:r w:rsidRPr="00F7419D">
              <w:rPr>
                <w:rFonts w:ascii="Times New Roman" w:hAnsi="Times New Roman" w:cs="Times New Roman"/>
                <w:sz w:val="24"/>
              </w:rPr>
              <w:t>Saskaņā ar SPRK datiem pēc atbalsta perioda beigām siltumenerģijas tarifi būtiski ir pieauguši Valmierā – 25% un Vangažos – 32%, līdz 10% tarifi pieauguši Baložos un Ādažos.</w:t>
            </w:r>
          </w:p>
          <w:p w14:paraId="633AF928" w14:textId="1D67C2A1" w:rsidR="005B5480" w:rsidRPr="00F00D16" w:rsidRDefault="00F00D16" w:rsidP="00F00D16">
            <w:pPr>
              <w:pStyle w:val="paragraph"/>
              <w:spacing w:before="120" w:beforeAutospacing="0" w:after="120" w:afterAutospacing="0"/>
              <w:jc w:val="both"/>
              <w:textAlignment w:val="baseline"/>
              <w:rPr>
                <w:rStyle w:val="normaltextrun"/>
              </w:rPr>
            </w:pPr>
            <w:r>
              <w:rPr>
                <w:rStyle w:val="normaltextrun"/>
              </w:rPr>
              <w:t xml:space="preserve">Šāds Likumprojekta risinājums atstātu ietekmi uz </w:t>
            </w:r>
            <w:r w:rsidRPr="00F00D16">
              <w:rPr>
                <w:rStyle w:val="normaltextrun"/>
              </w:rPr>
              <w:t>mājsaimniecībām, kuras varētu saskarties ar siltumenerģijas tarifu pieaugumu, un īpaši uz iedzīvotājiem ar zemiem ienākumiem, kuriem varētu rasties grūtības segt ar siltumenerģiju saistītos mājsaimniecības izdevumus.</w:t>
            </w:r>
          </w:p>
          <w:p w14:paraId="1413C799" w14:textId="77777777" w:rsidR="00F00D16" w:rsidRDefault="00F00D16" w:rsidP="004B2695">
            <w:pPr>
              <w:pStyle w:val="paragraph"/>
              <w:spacing w:before="120" w:beforeAutospacing="0" w:after="120" w:afterAutospacing="0"/>
              <w:textAlignment w:val="baseline"/>
              <w:rPr>
                <w:rStyle w:val="normaltextrun"/>
                <w:b/>
                <w:i/>
              </w:rPr>
            </w:pPr>
          </w:p>
          <w:p w14:paraId="75EB1EF5" w14:textId="0E00517C" w:rsidR="004B2695" w:rsidRDefault="00FB70CC" w:rsidP="004B2695">
            <w:pPr>
              <w:pStyle w:val="paragraph"/>
              <w:spacing w:before="120" w:beforeAutospacing="0" w:after="120" w:afterAutospacing="0"/>
              <w:textAlignment w:val="baseline"/>
              <w:rPr>
                <w:rStyle w:val="normaltextrun"/>
                <w:b/>
                <w:i/>
              </w:rPr>
            </w:pPr>
            <w:r>
              <w:rPr>
                <w:rStyle w:val="normaltextrun"/>
                <w:b/>
                <w:i/>
              </w:rPr>
              <w:t xml:space="preserve">1.3. Ietekme uz </w:t>
            </w:r>
            <w:r w:rsidR="00377EF1">
              <w:rPr>
                <w:rStyle w:val="normaltextrun"/>
                <w:b/>
                <w:i/>
              </w:rPr>
              <w:t>uzņēmējdarbību</w:t>
            </w:r>
          </w:p>
          <w:p w14:paraId="42081707" w14:textId="6830C82E" w:rsidR="00CE5865" w:rsidRDefault="002300FA" w:rsidP="004B2695">
            <w:pPr>
              <w:spacing w:before="120" w:after="120" w:line="240" w:lineRule="auto"/>
              <w:jc w:val="both"/>
              <w:rPr>
                <w:rFonts w:ascii="Times New Roman" w:hAnsi="Times New Roman" w:cs="Times New Roman"/>
                <w:sz w:val="24"/>
              </w:rPr>
            </w:pPr>
            <w:r w:rsidRPr="002300FA">
              <w:rPr>
                <w:rFonts w:ascii="Times New Roman" w:hAnsi="Times New Roman" w:cs="Times New Roman"/>
                <w:sz w:val="24"/>
              </w:rPr>
              <w:t>Saskaņā ar Latvijas Atjaunojamās enerģijas federācijas</w:t>
            </w:r>
            <w:r>
              <w:rPr>
                <w:rFonts w:ascii="Times New Roman" w:hAnsi="Times New Roman" w:cs="Times New Roman"/>
                <w:sz w:val="24"/>
              </w:rPr>
              <w:t xml:space="preserve"> (turpmāk – LAEF)</w:t>
            </w:r>
            <w:r w:rsidRPr="002300FA">
              <w:rPr>
                <w:rFonts w:ascii="Times New Roman" w:hAnsi="Times New Roman" w:cs="Times New Roman"/>
                <w:sz w:val="24"/>
              </w:rPr>
              <w:t xml:space="preserve"> datiem </w:t>
            </w:r>
            <w:r w:rsidRPr="002300FA">
              <w:rPr>
                <w:rFonts w:ascii="Times New Roman" w:hAnsi="Times New Roman" w:cs="Times New Roman"/>
                <w:b/>
                <w:sz w:val="24"/>
              </w:rPr>
              <w:t>AER stacijās strādā 1600 darbinieki, no kuriem lielākā daļa zaudētu darbu</w:t>
            </w:r>
            <w:r>
              <w:rPr>
                <w:rFonts w:ascii="Times New Roman" w:hAnsi="Times New Roman" w:cs="Times New Roman"/>
                <w:b/>
                <w:sz w:val="24"/>
              </w:rPr>
              <w:t xml:space="preserve"> pēc OI pārtraukšanas</w:t>
            </w:r>
            <w:r w:rsidRPr="002300FA">
              <w:rPr>
                <w:rFonts w:ascii="Times New Roman" w:hAnsi="Times New Roman" w:cs="Times New Roman"/>
                <w:b/>
                <w:sz w:val="24"/>
              </w:rPr>
              <w:t xml:space="preserve">. </w:t>
            </w:r>
            <w:r w:rsidRPr="002300FA">
              <w:rPr>
                <w:rFonts w:ascii="Times New Roman" w:hAnsi="Times New Roman" w:cs="Times New Roman"/>
                <w:sz w:val="24"/>
              </w:rPr>
              <w:t>Darbavietas varētu būt apdraudētas arī saistītajās nozarēs</w:t>
            </w:r>
            <w:r w:rsidR="008472D4">
              <w:rPr>
                <w:rFonts w:ascii="Times New Roman" w:hAnsi="Times New Roman" w:cs="Times New Roman"/>
                <w:sz w:val="24"/>
              </w:rPr>
              <w:t xml:space="preserve"> strādājošajiem</w:t>
            </w:r>
            <w:r w:rsidR="00CE5865">
              <w:rPr>
                <w:rFonts w:ascii="Times New Roman" w:hAnsi="Times New Roman" w:cs="Times New Roman"/>
                <w:sz w:val="24"/>
              </w:rPr>
              <w:t xml:space="preserve">. Kopumā pēc </w:t>
            </w:r>
            <w:r>
              <w:rPr>
                <w:rFonts w:ascii="Times New Roman" w:hAnsi="Times New Roman" w:cs="Times New Roman"/>
                <w:sz w:val="24"/>
              </w:rPr>
              <w:t>LAEF aplēs</w:t>
            </w:r>
            <w:r w:rsidR="00CE5865">
              <w:rPr>
                <w:rFonts w:ascii="Times New Roman" w:hAnsi="Times New Roman" w:cs="Times New Roman"/>
                <w:sz w:val="24"/>
              </w:rPr>
              <w:t>ēm saistījās nozarēs varētu būt nodarbinātas aptuveni 2500 personas.</w:t>
            </w:r>
            <w:r w:rsidR="00FE3DE0">
              <w:rPr>
                <w:rFonts w:ascii="Times New Roman" w:hAnsi="Times New Roman" w:cs="Times New Roman"/>
                <w:sz w:val="24"/>
              </w:rPr>
              <w:t xml:space="preserve"> </w:t>
            </w:r>
            <w:r w:rsidR="00547919">
              <w:rPr>
                <w:rFonts w:ascii="Times New Roman" w:hAnsi="Times New Roman" w:cs="Times New Roman"/>
                <w:sz w:val="24"/>
              </w:rPr>
              <w:t xml:space="preserve">Līdzīgs secinājums par nodarbināto skaitu OI mehānisma ietvaros strādājošām AER stacijām ir izteikts arī 2018.gadā tapušajā </w:t>
            </w:r>
            <w:r w:rsidR="00547919" w:rsidRPr="00547919">
              <w:rPr>
                <w:rFonts w:ascii="Times New Roman" w:hAnsi="Times New Roman" w:cs="Times New Roman"/>
                <w:sz w:val="24"/>
              </w:rPr>
              <w:t>Latvijas Zinātņu akadēmija</w:t>
            </w:r>
            <w:r w:rsidR="00547919">
              <w:rPr>
                <w:rFonts w:ascii="Times New Roman" w:hAnsi="Times New Roman" w:cs="Times New Roman"/>
                <w:sz w:val="24"/>
              </w:rPr>
              <w:t xml:space="preserve">s </w:t>
            </w:r>
            <w:r w:rsidR="00547919" w:rsidRPr="00547919">
              <w:rPr>
                <w:rFonts w:ascii="Times New Roman" w:hAnsi="Times New Roman" w:cs="Times New Roman"/>
                <w:sz w:val="24"/>
              </w:rPr>
              <w:t>eksperte</w:t>
            </w:r>
            <w:r w:rsidR="00547919">
              <w:rPr>
                <w:rFonts w:ascii="Times New Roman" w:hAnsi="Times New Roman" w:cs="Times New Roman"/>
                <w:sz w:val="24"/>
              </w:rPr>
              <w:t>s</w:t>
            </w:r>
            <w:r w:rsidR="00547919" w:rsidRPr="00547919">
              <w:rPr>
                <w:rFonts w:ascii="Times New Roman" w:hAnsi="Times New Roman" w:cs="Times New Roman"/>
                <w:sz w:val="24"/>
              </w:rPr>
              <w:t xml:space="preserve"> akad., Dr.ekon. </w:t>
            </w:r>
            <w:r w:rsidR="00547919" w:rsidRPr="00A07FD5">
              <w:rPr>
                <w:rFonts w:ascii="Times New Roman" w:hAnsi="Times New Roman" w:cs="Times New Roman"/>
                <w:sz w:val="24"/>
              </w:rPr>
              <w:t>Raita</w:t>
            </w:r>
            <w:r w:rsidR="002505A3" w:rsidRPr="00A07FD5">
              <w:rPr>
                <w:rFonts w:ascii="Times New Roman" w:hAnsi="Times New Roman" w:cs="Times New Roman"/>
                <w:sz w:val="24"/>
              </w:rPr>
              <w:t>s</w:t>
            </w:r>
            <w:r w:rsidR="00547919" w:rsidRPr="00547919">
              <w:rPr>
                <w:rFonts w:ascii="Times New Roman" w:hAnsi="Times New Roman" w:cs="Times New Roman"/>
                <w:sz w:val="24"/>
              </w:rPr>
              <w:t xml:space="preserve"> Karnīt</w:t>
            </w:r>
            <w:r w:rsidR="00547919">
              <w:rPr>
                <w:rFonts w:ascii="Times New Roman" w:hAnsi="Times New Roman" w:cs="Times New Roman"/>
                <w:sz w:val="24"/>
              </w:rPr>
              <w:t>es pētījumā</w:t>
            </w:r>
            <w:r w:rsidR="00547919">
              <w:rPr>
                <w:rStyle w:val="FootnoteReference"/>
                <w:rFonts w:ascii="Times New Roman" w:hAnsi="Times New Roman" w:cs="Times New Roman"/>
                <w:sz w:val="24"/>
              </w:rPr>
              <w:footnoteReference w:id="23"/>
            </w:r>
            <w:r w:rsidR="00547919">
              <w:rPr>
                <w:rFonts w:ascii="Times New Roman" w:hAnsi="Times New Roman" w:cs="Times New Roman"/>
                <w:sz w:val="24"/>
              </w:rPr>
              <w:t>.</w:t>
            </w:r>
          </w:p>
          <w:p w14:paraId="4B683757" w14:textId="22C6DF66" w:rsidR="004E23E8" w:rsidRDefault="004E23E8" w:rsidP="004B2695">
            <w:pPr>
              <w:spacing w:before="120" w:after="120" w:line="240" w:lineRule="auto"/>
              <w:jc w:val="both"/>
              <w:rPr>
                <w:rStyle w:val="normaltextrun"/>
                <w:rFonts w:ascii="Times New Roman" w:hAnsi="Times New Roman" w:cs="Times New Roman"/>
                <w:sz w:val="24"/>
              </w:rPr>
            </w:pPr>
            <w:r>
              <w:rPr>
                <w:rStyle w:val="normaltextrun"/>
                <w:rFonts w:ascii="Times New Roman" w:hAnsi="Times New Roman" w:cs="Times New Roman"/>
                <w:sz w:val="24"/>
              </w:rPr>
              <w:t>Latvijas Biogāzes asociācija ir norādījusi, ka b</w:t>
            </w:r>
            <w:r w:rsidRPr="004E23E8">
              <w:rPr>
                <w:rStyle w:val="normaltextrun"/>
                <w:rFonts w:ascii="Times New Roman" w:hAnsi="Times New Roman" w:cs="Times New Roman"/>
                <w:sz w:val="24"/>
              </w:rPr>
              <w:t>iogāzes ražošanā, blakus ražotnēs un ar to saistītajos uzņēmumos kopumā ir nodarbināti ap 2000 cilvēku un, likvidējot vai sašaurinot ražošanu, vismaz 50% no viņiem paliktu bez darba.</w:t>
            </w:r>
          </w:p>
          <w:p w14:paraId="42751AE2" w14:textId="05C34E71" w:rsidR="00540348" w:rsidRDefault="00540348" w:rsidP="004B2695">
            <w:pPr>
              <w:spacing w:before="120" w:after="120" w:line="240" w:lineRule="auto"/>
              <w:jc w:val="both"/>
              <w:rPr>
                <w:rStyle w:val="normaltextrun"/>
                <w:rFonts w:ascii="Times New Roman" w:hAnsi="Times New Roman" w:cs="Times New Roman"/>
                <w:sz w:val="24"/>
              </w:rPr>
            </w:pPr>
            <w:r>
              <w:rPr>
                <w:rStyle w:val="normaltextrun"/>
                <w:rFonts w:ascii="Times New Roman" w:hAnsi="Times New Roman" w:cs="Times New Roman"/>
                <w:sz w:val="24"/>
              </w:rPr>
              <w:t>Tāpat, darbu pārtraucot dabasgāzes koģenerācijas stacijām, darbavietas zaudētu arī šajos uzņēmumos strādājošie.</w:t>
            </w:r>
          </w:p>
          <w:p w14:paraId="781FEF9A" w14:textId="5752C68A" w:rsidR="00296DD8" w:rsidRDefault="00296DD8" w:rsidP="004B2695">
            <w:pPr>
              <w:pStyle w:val="paragraph"/>
              <w:spacing w:before="120" w:beforeAutospacing="0" w:after="120" w:afterAutospacing="0"/>
              <w:jc w:val="both"/>
              <w:textAlignment w:val="baseline"/>
            </w:pPr>
            <w:r>
              <w:t>Z</w:t>
            </w:r>
            <w:r w:rsidR="00520166">
              <w:t>emkopības ministrija (turpmāk – ZM)</w:t>
            </w:r>
            <w:r>
              <w:t xml:space="preserve"> un</w:t>
            </w:r>
            <w:r w:rsidR="0039358C">
              <w:t xml:space="preserve"> </w:t>
            </w:r>
            <w:r>
              <w:t xml:space="preserve"> </w:t>
            </w:r>
            <w:r w:rsidR="0039358C" w:rsidRPr="00CE5865">
              <w:rPr>
                <w:rStyle w:val="normaltextrun"/>
              </w:rPr>
              <w:t>Lauksaimnieku organizācijas sadarbības padome</w:t>
            </w:r>
            <w:r w:rsidR="0039358C">
              <w:rPr>
                <w:rStyle w:val="normaltextrun"/>
              </w:rPr>
              <w:t xml:space="preserve"> (turpmāk – </w:t>
            </w:r>
            <w:r>
              <w:t>LOSP</w:t>
            </w:r>
            <w:r w:rsidR="0039358C">
              <w:t>)</w:t>
            </w:r>
            <w:r>
              <w:t xml:space="preserve"> ir norādījušas</w:t>
            </w:r>
            <w:r w:rsidRPr="007D1C05">
              <w:t xml:space="preserve">, ka, </w:t>
            </w:r>
            <w:bookmarkStart w:id="8" w:name="_Hlk3208879"/>
            <w:r w:rsidRPr="007D1C05">
              <w:rPr>
                <w:bCs/>
              </w:rPr>
              <w:t xml:space="preserve">pārtraucot ražot </w:t>
            </w:r>
            <w:r w:rsidRPr="007D1C05">
              <w:t>elektroenerģiju, varētu rasties situācija</w:t>
            </w:r>
            <w:r>
              <w:t xml:space="preserve">, </w:t>
            </w:r>
            <w:r w:rsidRPr="00F55896">
              <w:rPr>
                <w:b/>
              </w:rPr>
              <w:t xml:space="preserve">ka iesaistītās </w:t>
            </w:r>
            <w:r w:rsidR="003F0AC1">
              <w:rPr>
                <w:b/>
              </w:rPr>
              <w:t xml:space="preserve">lauku </w:t>
            </w:r>
            <w:r w:rsidRPr="00F55896">
              <w:rPr>
                <w:b/>
              </w:rPr>
              <w:t>saimniecības kļūs maksātnespējīgas</w:t>
            </w:r>
            <w:bookmarkEnd w:id="8"/>
            <w:r w:rsidRPr="007D1C05">
              <w:t>,</w:t>
            </w:r>
            <w:r w:rsidRPr="007D1C05">
              <w:rPr>
                <w:bCs/>
              </w:rPr>
              <w:t xml:space="preserve"> jo vairums biogāzes un biomasas koģenerācijas staciju ir integrētas kopējā lauksaimnieciskajā vai mežsaimnieciskajā saimniekošanas sistēmā</w:t>
            </w:r>
            <w:r>
              <w:t xml:space="preserve">. Arī Latvijas biogāzes asociācija ir norādījusi, </w:t>
            </w:r>
            <w:r w:rsidRPr="004E23E8">
              <w:rPr>
                <w:b/>
              </w:rPr>
              <w:t>ka daļā gadījumu pie biogāzes stacijām ir izveidotas dažādas ražotnes</w:t>
            </w:r>
            <w:r w:rsidRPr="004E23E8">
              <w:t xml:space="preserve"> (siltumnīcas, kokapstrāde, zivju audzēšana, sauso mēslošanas substrātu </w:t>
            </w:r>
            <w:r w:rsidRPr="004E23E8">
              <w:lastRenderedPageBreak/>
              <w:t>ražošana u.c.), kas izmanto stacijās saražoto siltumenerģiju vai arī siltumenerģija tiek novadīta uz jau esošajiem ražošanas uzņēmumiem (pārtikas ražošana, lopkopības fermas u.c.).</w:t>
            </w:r>
          </w:p>
          <w:p w14:paraId="041F176C" w14:textId="194D5014" w:rsidR="00CD360D" w:rsidRDefault="00377EF1" w:rsidP="004B2695">
            <w:pPr>
              <w:pStyle w:val="paragraph"/>
              <w:spacing w:before="120" w:beforeAutospacing="0" w:after="120" w:afterAutospacing="0"/>
              <w:jc w:val="both"/>
              <w:textAlignment w:val="baseline"/>
              <w:rPr>
                <w:rStyle w:val="normaltextrun"/>
              </w:rPr>
            </w:pPr>
            <w:r w:rsidRPr="00377EF1">
              <w:rPr>
                <w:rStyle w:val="normaltextrun"/>
              </w:rPr>
              <w:t>Būvmateriālu ražotāju asociācija savukārt ir norādījusi, ka</w:t>
            </w:r>
            <w:r w:rsidRPr="00377EF1">
              <w:rPr>
                <w:rStyle w:val="normaltextrun"/>
                <w:b/>
              </w:rPr>
              <w:t xml:space="preserve"> būtiska OIK samazināšana vai atcelšana pozitīvi ietekmētu energoietilpīgos apstrādes rūpniecības uzņēmumus</w:t>
            </w:r>
            <w:r>
              <w:rPr>
                <w:rStyle w:val="normaltextrun"/>
              </w:rPr>
              <w:t>, jo tie kļūtu konkurētspējīgāki savos eksporta tirgos un varētu palielināt savas produkcijas noietu, kā arī parādītos brīvi līdzekļi, kurus būtu iespējams investēt uzņēmumu attīstībā un papildu investīciju piesaistē. Tā, piemēram, uzņēmumam CEMEX pēc daļēji īstenotajām reformām OIK samazināšanai</w:t>
            </w:r>
            <w:r w:rsidR="00053D2F">
              <w:rPr>
                <w:rStyle w:val="normaltextrun"/>
              </w:rPr>
              <w:t xml:space="preserve"> (atbalsts </w:t>
            </w:r>
            <w:proofErr w:type="spellStart"/>
            <w:r w:rsidR="00053D2F">
              <w:rPr>
                <w:rStyle w:val="normaltextrun"/>
              </w:rPr>
              <w:t>energointensīviem</w:t>
            </w:r>
            <w:proofErr w:type="spellEnd"/>
            <w:r w:rsidR="00053D2F">
              <w:rPr>
                <w:rStyle w:val="normaltextrun"/>
              </w:rPr>
              <w:t xml:space="preserve"> apstrādes rūpniecības uzņēmumiem, OIK vidējās likmes samazināšana)</w:t>
            </w:r>
            <w:r>
              <w:rPr>
                <w:rStyle w:val="normaltextrun"/>
              </w:rPr>
              <w:t>, parādījās iespēja nostabilizēt savas pozīcijas esošajos tirgos un būtiski paplašināt savu eksporta noietu Zviedrijā, jo produkcijas izmaksas kļuva konkurētspējīgākas, salīdzinot ar citiem ES tirgū konkurējošiem ražotājiem.</w:t>
            </w:r>
          </w:p>
          <w:p w14:paraId="1842B908" w14:textId="6771D623" w:rsidR="00CE5865" w:rsidRPr="00A65AAA" w:rsidRDefault="00446D1F" w:rsidP="004B2695">
            <w:pPr>
              <w:pStyle w:val="paragraph"/>
              <w:spacing w:before="120" w:beforeAutospacing="0" w:after="120" w:afterAutospacing="0"/>
              <w:jc w:val="both"/>
              <w:textAlignment w:val="baseline"/>
              <w:rPr>
                <w:rStyle w:val="eop"/>
              </w:rPr>
            </w:pPr>
            <w:r>
              <w:rPr>
                <w:rStyle w:val="normaltextrun"/>
              </w:rPr>
              <w:t xml:space="preserve">Saskaņā ar Ekonomikas ministrijas aplēsēm </w:t>
            </w:r>
            <w:r w:rsidRPr="00446D1F">
              <w:rPr>
                <w:rStyle w:val="normaltextrun"/>
              </w:rPr>
              <w:t xml:space="preserve">OIK </w:t>
            </w:r>
            <w:r>
              <w:rPr>
                <w:rStyle w:val="normaltextrun"/>
              </w:rPr>
              <w:t>maksājuma</w:t>
            </w:r>
            <w:r w:rsidRPr="00446D1F">
              <w:rPr>
                <w:rStyle w:val="normaltextrun"/>
              </w:rPr>
              <w:t xml:space="preserve"> atcelšanas tiešā ietekmē starppatēriņa izmaksas vidēji tautsaimniecībā saruktu par 0,4%, kā rezultātā uzņēmēju peļņa palielinātos par 0,44%, bet ražotāju cenas saruktu par 0,19%. Lielāks ieguvums būtu apstrādes rūpniecībā, kur OIK izmaksas veido relatīvi lielāku īpatsvaru.</w:t>
            </w:r>
            <w:r w:rsidR="003F0AC1">
              <w:rPr>
                <w:rStyle w:val="normaltextrun"/>
              </w:rPr>
              <w:t xml:space="preserve"> Detalizētāku analīzi par OIK ietekmi uz tautsaimniecību skatīt 2.pielikumā</w:t>
            </w:r>
            <w:bookmarkStart w:id="9" w:name="_GoBack"/>
            <w:bookmarkEnd w:id="9"/>
            <w:r w:rsidR="003F0AC1">
              <w:rPr>
                <w:rStyle w:val="normaltextrun"/>
              </w:rPr>
              <w:t>.</w:t>
            </w:r>
            <w:r w:rsidRPr="00446D1F">
              <w:rPr>
                <w:rStyle w:val="normaltextrun"/>
              </w:rPr>
              <w:tab/>
            </w:r>
          </w:p>
          <w:p w14:paraId="52C13036" w14:textId="77777777" w:rsidR="002A0D05" w:rsidRDefault="002A0D05" w:rsidP="004B2695">
            <w:pPr>
              <w:pStyle w:val="paragraph"/>
              <w:spacing w:before="120" w:beforeAutospacing="0" w:after="120" w:afterAutospacing="0"/>
              <w:textAlignment w:val="baseline"/>
              <w:rPr>
                <w:rStyle w:val="eop"/>
                <w:b/>
                <w:i/>
              </w:rPr>
            </w:pPr>
          </w:p>
          <w:p w14:paraId="58636C52" w14:textId="77777777" w:rsidR="00796E9A" w:rsidRPr="007313D5" w:rsidRDefault="00796E9A" w:rsidP="004B2695">
            <w:pPr>
              <w:pStyle w:val="paragraph"/>
              <w:spacing w:before="120" w:beforeAutospacing="0" w:after="120" w:afterAutospacing="0"/>
              <w:textAlignment w:val="baseline"/>
              <w:rPr>
                <w:rFonts w:ascii="Segoe UI" w:hAnsi="Segoe UI" w:cs="Segoe UI"/>
                <w:b/>
                <w:i/>
                <w:sz w:val="18"/>
                <w:szCs w:val="18"/>
              </w:rPr>
            </w:pPr>
            <w:r w:rsidRPr="007313D5">
              <w:rPr>
                <w:rStyle w:val="eop"/>
                <w:b/>
                <w:i/>
              </w:rPr>
              <w:t>1.</w:t>
            </w:r>
            <w:r w:rsidR="00377EF1">
              <w:rPr>
                <w:rStyle w:val="eop"/>
                <w:b/>
                <w:i/>
              </w:rPr>
              <w:t>5</w:t>
            </w:r>
            <w:r w:rsidRPr="007313D5">
              <w:rPr>
                <w:rStyle w:val="eop"/>
                <w:b/>
                <w:i/>
              </w:rPr>
              <w:t xml:space="preserve">. </w:t>
            </w:r>
            <w:r w:rsidR="00AA7838">
              <w:rPr>
                <w:rStyle w:val="eop"/>
                <w:b/>
                <w:i/>
              </w:rPr>
              <w:t>Citas ietekmes</w:t>
            </w:r>
            <w:r w:rsidRPr="007313D5">
              <w:rPr>
                <w:rStyle w:val="eop"/>
                <w:b/>
                <w:i/>
              </w:rPr>
              <w:t> </w:t>
            </w:r>
          </w:p>
          <w:p w14:paraId="0FFC6CE3" w14:textId="10824D05" w:rsidR="001531FA" w:rsidRDefault="0039358C" w:rsidP="004B2695">
            <w:pPr>
              <w:pStyle w:val="paragraph"/>
              <w:spacing w:before="120" w:beforeAutospacing="0" w:after="120" w:afterAutospacing="0"/>
              <w:jc w:val="both"/>
              <w:textAlignment w:val="baseline"/>
              <w:rPr>
                <w:bCs/>
              </w:rPr>
            </w:pPr>
            <w:r>
              <w:rPr>
                <w:rStyle w:val="normaltextrun"/>
              </w:rPr>
              <w:t>ZM, LOSP</w:t>
            </w:r>
            <w:r w:rsidR="00CE5865" w:rsidRPr="00CE5865">
              <w:rPr>
                <w:rStyle w:val="normaltextrun"/>
              </w:rPr>
              <w:t xml:space="preserve"> </w:t>
            </w:r>
            <w:r w:rsidR="004E23E8">
              <w:rPr>
                <w:rStyle w:val="normaltextrun"/>
              </w:rPr>
              <w:t xml:space="preserve">un Latvijas Biogāzes asociācija </w:t>
            </w:r>
            <w:r w:rsidR="00CE5865" w:rsidRPr="00CE5865">
              <w:rPr>
                <w:rStyle w:val="normaltextrun"/>
              </w:rPr>
              <w:t>ir vērsu</w:t>
            </w:r>
            <w:r>
              <w:rPr>
                <w:rStyle w:val="normaltextrun"/>
              </w:rPr>
              <w:t>šas</w:t>
            </w:r>
            <w:r w:rsidR="00CE5865" w:rsidRPr="00CE5865">
              <w:rPr>
                <w:rStyle w:val="normaltextrun"/>
              </w:rPr>
              <w:t xml:space="preserve"> uzmanību, ka darbu pārtraucot biogāzes stacijām, </w:t>
            </w:r>
            <w:bookmarkStart w:id="10" w:name="_Hlk3208940"/>
            <w:r w:rsidR="00CE5865" w:rsidRPr="00CE5865">
              <w:rPr>
                <w:rStyle w:val="normaltextrun"/>
                <w:b/>
              </w:rPr>
              <w:t>vidē vai pie</w:t>
            </w:r>
            <w:r w:rsidR="007D1C05" w:rsidRPr="00CE5865">
              <w:rPr>
                <w:b/>
                <w:bCs/>
              </w:rPr>
              <w:t xml:space="preserve"> atkritumu </w:t>
            </w:r>
            <w:proofErr w:type="spellStart"/>
            <w:r w:rsidR="00CE5865" w:rsidRPr="00CE5865">
              <w:rPr>
                <w:b/>
                <w:bCs/>
              </w:rPr>
              <w:t>apsaimniekot</w:t>
            </w:r>
            <w:r w:rsidR="00CE5865">
              <w:rPr>
                <w:b/>
                <w:bCs/>
              </w:rPr>
              <w:t>ā</w:t>
            </w:r>
            <w:r w:rsidR="00CE5865" w:rsidRPr="00CE5865">
              <w:rPr>
                <w:b/>
                <w:bCs/>
              </w:rPr>
              <w:t>jiem</w:t>
            </w:r>
            <w:proofErr w:type="spellEnd"/>
            <w:r w:rsidR="00CE5865" w:rsidRPr="00CE5865">
              <w:rPr>
                <w:b/>
                <w:bCs/>
              </w:rPr>
              <w:t xml:space="preserve"> varētu nonākt liels apjoms atlikumproduktu</w:t>
            </w:r>
            <w:r w:rsidR="00CE5865" w:rsidRPr="00CE5865">
              <w:rPr>
                <w:bCs/>
              </w:rPr>
              <w:t xml:space="preserve">. Tie varētu būt </w:t>
            </w:r>
            <w:r w:rsidR="007D1C05" w:rsidRPr="00CE5865">
              <w:rPr>
                <w:bCs/>
              </w:rPr>
              <w:t xml:space="preserve">vairāk nekā 700 000 </w:t>
            </w:r>
            <w:r w:rsidR="007D1C05" w:rsidRPr="0039358C">
              <w:rPr>
                <w:bCs/>
                <w:i/>
              </w:rPr>
              <w:t>t</w:t>
            </w:r>
            <w:r w:rsidR="007D1C05" w:rsidRPr="00CE5865">
              <w:rPr>
                <w:bCs/>
              </w:rPr>
              <w:t xml:space="preserve"> </w:t>
            </w:r>
            <w:r w:rsidR="00CE5865" w:rsidRPr="00CE5865">
              <w:rPr>
                <w:bCs/>
              </w:rPr>
              <w:t xml:space="preserve">atlikumproduktu </w:t>
            </w:r>
            <w:r w:rsidR="007D1C05" w:rsidRPr="00CE5865">
              <w:rPr>
                <w:bCs/>
              </w:rPr>
              <w:t>gadā</w:t>
            </w:r>
            <w:bookmarkEnd w:id="10"/>
            <w:r w:rsidR="007D1C05" w:rsidRPr="00CE5865">
              <w:rPr>
                <w:bCs/>
              </w:rPr>
              <w:t xml:space="preserve">, kas sevī ietver kūtsmēslus, dzīvnieku kautuvēs radušos </w:t>
            </w:r>
            <w:proofErr w:type="spellStart"/>
            <w:r w:rsidR="007D1C05" w:rsidRPr="00CE5865">
              <w:rPr>
                <w:bCs/>
              </w:rPr>
              <w:t>atlikumproduktus</w:t>
            </w:r>
            <w:proofErr w:type="spellEnd"/>
            <w:r w:rsidR="007D1C05" w:rsidRPr="00CE5865">
              <w:rPr>
                <w:bCs/>
              </w:rPr>
              <w:t>, kritušos dzīvniekus, tai skaitā no Āfrikas cūku mēra, u.c.</w:t>
            </w:r>
            <w:r>
              <w:rPr>
                <w:bCs/>
              </w:rPr>
              <w:t xml:space="preserve"> </w:t>
            </w:r>
            <w:r w:rsidR="007D1C05" w:rsidRPr="00CE5865">
              <w:rPr>
                <w:bCs/>
              </w:rPr>
              <w:t xml:space="preserve">bioloģiskas izcelsmes </w:t>
            </w:r>
            <w:proofErr w:type="spellStart"/>
            <w:r w:rsidR="007D1C05" w:rsidRPr="00CE5865">
              <w:rPr>
                <w:bCs/>
              </w:rPr>
              <w:t>atlikumproduktus</w:t>
            </w:r>
            <w:proofErr w:type="spellEnd"/>
            <w:r w:rsidR="00CE5865" w:rsidRPr="00CE5865">
              <w:rPr>
                <w:bCs/>
              </w:rPr>
              <w:t xml:space="preserve">. </w:t>
            </w:r>
            <w:r w:rsidR="00CE5865">
              <w:t xml:space="preserve">Sekojoši, </w:t>
            </w:r>
            <w:r w:rsidR="00CE5865" w:rsidRPr="007D1C05">
              <w:rPr>
                <w:bCs/>
              </w:rPr>
              <w:t>sadārdzinoties atlikumproduktu utilizēšanas izmaksām</w:t>
            </w:r>
            <w:r w:rsidR="00CE5865">
              <w:rPr>
                <w:bCs/>
              </w:rPr>
              <w:t xml:space="preserve">, </w:t>
            </w:r>
            <w:r w:rsidR="007D1C05" w:rsidRPr="007D1C05">
              <w:rPr>
                <w:bCs/>
              </w:rPr>
              <w:t>varētu palielināties lauksaimniecības produkcijas pašizmaksa</w:t>
            </w:r>
            <w:r w:rsidR="00CE5865">
              <w:rPr>
                <w:bCs/>
              </w:rPr>
              <w:t xml:space="preserve"> un </w:t>
            </w:r>
            <w:r w:rsidR="007D1C05" w:rsidRPr="007D1C05">
              <w:rPr>
                <w:bCs/>
              </w:rPr>
              <w:t>sadzīves atkritumu apsaimniekošanas izmaksas</w:t>
            </w:r>
            <w:r w:rsidR="00CE5865">
              <w:rPr>
                <w:bCs/>
              </w:rPr>
              <w:t xml:space="preserve">. </w:t>
            </w:r>
          </w:p>
          <w:p w14:paraId="71AA6E4D" w14:textId="653C695E" w:rsidR="00DE1F20" w:rsidRDefault="0039358C" w:rsidP="004B2695">
            <w:pPr>
              <w:pStyle w:val="paragraph"/>
              <w:spacing w:before="120" w:beforeAutospacing="0" w:after="120" w:afterAutospacing="0"/>
              <w:jc w:val="both"/>
              <w:textAlignment w:val="baseline"/>
              <w:rPr>
                <w:bCs/>
              </w:rPr>
            </w:pPr>
            <w:r>
              <w:rPr>
                <w:bCs/>
              </w:rPr>
              <w:t>ZM</w:t>
            </w:r>
            <w:r w:rsidR="002777AB">
              <w:rPr>
                <w:bCs/>
              </w:rPr>
              <w:t xml:space="preserve"> ir norādījusi, ka p</w:t>
            </w:r>
            <w:r w:rsidR="002777AB" w:rsidRPr="002777AB">
              <w:rPr>
                <w:bCs/>
              </w:rPr>
              <w:t xml:space="preserve">ārstrādāto kūtsmēslu apjoms dod pozitīvu un lielāko efektu uz siltumnīcefekta gāzu (SEG) un amonjaka emisiju samazinājumu: </w:t>
            </w:r>
          </w:p>
          <w:p w14:paraId="115FD3DF" w14:textId="5DD93A9D" w:rsidR="002777AB" w:rsidRPr="002777AB" w:rsidRDefault="002777AB" w:rsidP="004B2695">
            <w:pPr>
              <w:pStyle w:val="paragraph"/>
              <w:numPr>
                <w:ilvl w:val="0"/>
                <w:numId w:val="16"/>
              </w:numPr>
              <w:spacing w:before="120" w:beforeAutospacing="0" w:after="120" w:afterAutospacing="0"/>
              <w:jc w:val="both"/>
              <w:textAlignment w:val="baseline"/>
              <w:rPr>
                <w:bCs/>
              </w:rPr>
            </w:pPr>
            <w:r w:rsidRPr="00DE1F20">
              <w:rPr>
                <w:bCs/>
              </w:rPr>
              <w:t>S</w:t>
            </w:r>
            <w:r w:rsidRPr="002777AB">
              <w:rPr>
                <w:bCs/>
              </w:rPr>
              <w:t xml:space="preserve">EG emisijas samazinās aptuveni par 2,5% no kopējām SEG emisijām lauksaimniecības sektorā; </w:t>
            </w:r>
          </w:p>
          <w:p w14:paraId="244FD97F" w14:textId="70CCACB9" w:rsidR="002777AB" w:rsidRDefault="002777AB" w:rsidP="004B2695">
            <w:pPr>
              <w:pStyle w:val="paragraph"/>
              <w:numPr>
                <w:ilvl w:val="0"/>
                <w:numId w:val="16"/>
              </w:numPr>
              <w:spacing w:before="120" w:beforeAutospacing="0" w:after="120" w:afterAutospacing="0"/>
              <w:jc w:val="both"/>
              <w:textAlignment w:val="baseline"/>
              <w:rPr>
                <w:bCs/>
              </w:rPr>
            </w:pPr>
            <w:r w:rsidRPr="002777AB">
              <w:rPr>
                <w:bCs/>
              </w:rPr>
              <w:t>amonjaka (NH</w:t>
            </w:r>
            <w:r w:rsidRPr="002777AB">
              <w:rPr>
                <w:bCs/>
                <w:vertAlign w:val="subscript"/>
              </w:rPr>
              <w:t>3</w:t>
            </w:r>
            <w:r w:rsidRPr="002777AB">
              <w:rPr>
                <w:bCs/>
              </w:rPr>
              <w:t xml:space="preserve">) emisijas samazinās aptuveni par 5% no kopējām amonjaka emisijām lauksaimniecības sektorā; 900 000 t kūtsmēslu pārstrāde biogāzē dotu aptuveni 8% amonjaka emisiju samazinājumu lauksaimniecības sektorā. </w:t>
            </w:r>
            <w:r w:rsidR="0039358C" w:rsidRPr="0039358C">
              <w:rPr>
                <w:bCs/>
              </w:rPr>
              <w:t>Šajā kontekstā jāņem arī vērā, ka valstī līdz 2030. gadam jāsasniedz aptuveni 20% amonjaka emisiju samazinājums.</w:t>
            </w:r>
          </w:p>
          <w:p w14:paraId="5379E269" w14:textId="609F9D20" w:rsidR="00F72776" w:rsidRPr="002777AB" w:rsidRDefault="00F72776" w:rsidP="004B2695">
            <w:pPr>
              <w:pStyle w:val="paragraph"/>
              <w:spacing w:before="120" w:beforeAutospacing="0" w:after="120" w:afterAutospacing="0"/>
              <w:jc w:val="both"/>
              <w:textAlignment w:val="baseline"/>
              <w:rPr>
                <w:bCs/>
              </w:rPr>
            </w:pPr>
            <w:r>
              <w:rPr>
                <w:bCs/>
              </w:rPr>
              <w:t>Vienlaikus pastāv potenciāls biogāzes ražošanai izmantot lielāk</w:t>
            </w:r>
            <w:r w:rsidR="0039358C">
              <w:rPr>
                <w:bCs/>
              </w:rPr>
              <w:t>u</w:t>
            </w:r>
            <w:r>
              <w:rPr>
                <w:bCs/>
              </w:rPr>
              <w:t xml:space="preserve"> kūtsmēslu apjomu, jo, piemēram, 2017.gadā no visa pieejamā kūtsmēslu apjoma tikai aptuveni 25% tika izmantoti biogāzes ražošanā.</w:t>
            </w:r>
          </w:p>
          <w:p w14:paraId="61E9F86F" w14:textId="4E0424E9" w:rsidR="007779B5" w:rsidRDefault="00EF5471" w:rsidP="004B2695">
            <w:pPr>
              <w:spacing w:before="120" w:after="120" w:line="240" w:lineRule="auto"/>
              <w:jc w:val="both"/>
              <w:rPr>
                <w:rFonts w:ascii="Times New Roman" w:eastAsia="Times New Roman" w:hAnsi="Times New Roman" w:cs="Times New Roman"/>
                <w:bCs/>
                <w:sz w:val="24"/>
                <w:szCs w:val="24"/>
                <w:lang w:eastAsia="lv-LV"/>
              </w:rPr>
            </w:pPr>
            <w:r>
              <w:rPr>
                <w:rFonts w:ascii="Times New Roman" w:hAnsi="Times New Roman"/>
                <w:color w:val="000000" w:themeColor="text1"/>
                <w:sz w:val="24"/>
                <w:szCs w:val="26"/>
              </w:rPr>
              <w:t>Vides aizsardzības un reģionālās attīstības (turpmāk – VARAM)</w:t>
            </w:r>
            <w:r w:rsidR="00B14EA0">
              <w:rPr>
                <w:rFonts w:ascii="Times New Roman" w:hAnsi="Times New Roman"/>
                <w:color w:val="000000" w:themeColor="text1"/>
                <w:sz w:val="26"/>
                <w:szCs w:val="26"/>
              </w:rPr>
              <w:t xml:space="preserve"> </w:t>
            </w:r>
            <w:r w:rsidR="009F685B" w:rsidRPr="0025023F">
              <w:rPr>
                <w:rFonts w:ascii="Times New Roman" w:eastAsia="Times New Roman" w:hAnsi="Times New Roman" w:cs="Times New Roman"/>
                <w:bCs/>
                <w:sz w:val="24"/>
                <w:szCs w:val="24"/>
                <w:lang w:eastAsia="lv-LV"/>
              </w:rPr>
              <w:t>ieskatā</w:t>
            </w:r>
            <w:r w:rsidR="009F685B" w:rsidRPr="007779B5">
              <w:rPr>
                <w:rFonts w:ascii="Times New Roman" w:eastAsia="Times New Roman" w:hAnsi="Times New Roman" w:cs="Times New Roman"/>
                <w:bCs/>
                <w:sz w:val="24"/>
                <w:szCs w:val="24"/>
                <w:lang w:eastAsia="lv-LV"/>
              </w:rPr>
              <w:t xml:space="preserve"> ir iespējama </w:t>
            </w:r>
            <w:r w:rsidR="009F685B" w:rsidRPr="0025023F">
              <w:rPr>
                <w:rFonts w:ascii="Times New Roman" w:eastAsia="Times New Roman" w:hAnsi="Times New Roman" w:cs="Times New Roman"/>
                <w:b/>
                <w:bCs/>
                <w:sz w:val="24"/>
                <w:szCs w:val="24"/>
                <w:lang w:eastAsia="lv-LV"/>
              </w:rPr>
              <w:t xml:space="preserve">netieša ietekme uz tiem ūdenssaimniecības (ūdensapgādes un kanalizācijas) pakalpojumu sniedzējiem, kas notekūdeņu attīrīšanas </w:t>
            </w:r>
            <w:r w:rsidR="009F685B" w:rsidRPr="0025023F">
              <w:rPr>
                <w:rFonts w:ascii="Times New Roman" w:eastAsia="Times New Roman" w:hAnsi="Times New Roman" w:cs="Times New Roman"/>
                <w:b/>
                <w:bCs/>
                <w:sz w:val="24"/>
                <w:szCs w:val="24"/>
                <w:lang w:eastAsia="lv-LV"/>
              </w:rPr>
              <w:lastRenderedPageBreak/>
              <w:t>procesā radušās notekūdeņu dūņas nodod biogāzes ražotājiem</w:t>
            </w:r>
            <w:r w:rsidR="009F685B" w:rsidRPr="007779B5">
              <w:rPr>
                <w:rFonts w:ascii="Times New Roman" w:eastAsia="Times New Roman" w:hAnsi="Times New Roman" w:cs="Times New Roman"/>
                <w:bCs/>
                <w:sz w:val="24"/>
                <w:szCs w:val="24"/>
                <w:lang w:eastAsia="lv-LV"/>
              </w:rPr>
              <w:t>.</w:t>
            </w:r>
            <w:r w:rsidR="007779B5">
              <w:rPr>
                <w:rFonts w:ascii="Times New Roman" w:eastAsia="Times New Roman" w:hAnsi="Times New Roman" w:cs="Times New Roman"/>
                <w:bCs/>
                <w:sz w:val="24"/>
                <w:szCs w:val="24"/>
                <w:lang w:eastAsia="lv-LV"/>
              </w:rPr>
              <w:t xml:space="preserve"> </w:t>
            </w:r>
            <w:r w:rsidR="009F685B" w:rsidRPr="007779B5">
              <w:rPr>
                <w:rFonts w:ascii="Times New Roman" w:eastAsia="Times New Roman" w:hAnsi="Times New Roman" w:cs="Times New Roman"/>
                <w:bCs/>
                <w:sz w:val="24"/>
                <w:szCs w:val="24"/>
                <w:lang w:eastAsia="lv-LV"/>
              </w:rPr>
              <w:t>Likvidējot atbalstu biogāzes stacijām var gadīties, ka tās nebūs spējīgas bez valsts līdzfinansējuma pastāvēt un rezultātā lielu daļu no organiskajiem atkritumiem (piemēram, notekūdeņu dūņas, sadzīves atkritumu organisko frakciju, lauksaimniecības ražošanas pārpalikumus u.c.) nevarēs izmantot enerģijas ražošanai. Turklāt, ja OI atcelšanas rezultātā kāds no šādiem biogāzes uzņēmumiem pārtrauc darbību, ūdenssaimniecības pakalpojumu sniedzējiem var rasties problēmas ar notekūdeņu dūņu apsaimniekošanu. Jāņem vērā, ka jau pašlaik lielākā daļa radīto notekūdeņu dūņu netiek lietderīgi izmantotas.</w:t>
            </w:r>
          </w:p>
          <w:p w14:paraId="67ECAE76" w14:textId="77777777" w:rsidR="000E70E5" w:rsidRDefault="0025023F" w:rsidP="004B2695">
            <w:pPr>
              <w:spacing w:before="120" w:after="12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Tāpat VARAM ir norādījusi, ka gadījumā, j</w:t>
            </w:r>
            <w:r w:rsidR="009F685B" w:rsidRPr="007779B5">
              <w:rPr>
                <w:rFonts w:ascii="Times New Roman" w:eastAsia="Times New Roman" w:hAnsi="Times New Roman" w:cs="Times New Roman"/>
                <w:bCs/>
                <w:sz w:val="24"/>
                <w:szCs w:val="24"/>
                <w:lang w:eastAsia="lv-LV"/>
              </w:rPr>
              <w:t xml:space="preserve">a </w:t>
            </w:r>
            <w:r>
              <w:rPr>
                <w:rFonts w:ascii="Times New Roman" w:eastAsia="Times New Roman" w:hAnsi="Times New Roman" w:cs="Times New Roman"/>
                <w:bCs/>
                <w:sz w:val="24"/>
                <w:szCs w:val="24"/>
                <w:lang w:eastAsia="lv-LV"/>
              </w:rPr>
              <w:t>OI</w:t>
            </w:r>
            <w:r w:rsidR="009F685B" w:rsidRPr="007779B5">
              <w:rPr>
                <w:rFonts w:ascii="Times New Roman" w:eastAsia="Times New Roman" w:hAnsi="Times New Roman" w:cs="Times New Roman"/>
                <w:bCs/>
                <w:sz w:val="24"/>
                <w:szCs w:val="24"/>
                <w:lang w:eastAsia="lv-LV"/>
              </w:rPr>
              <w:t xml:space="preserve"> atcelšanas rezultātā kāds no šādiem komersantiem nolemj pārtraukt HES ekspluatāciju, ir </w:t>
            </w:r>
            <w:r w:rsidR="009F685B" w:rsidRPr="0025023F">
              <w:rPr>
                <w:rFonts w:ascii="Times New Roman" w:eastAsia="Times New Roman" w:hAnsi="Times New Roman" w:cs="Times New Roman"/>
                <w:b/>
                <w:bCs/>
                <w:sz w:val="24"/>
                <w:szCs w:val="24"/>
                <w:lang w:eastAsia="lv-LV"/>
              </w:rPr>
              <w:t>jāpārliecinās, ka šādas HES hidrotehniskās būves valdītājs izpilda likuma “Par hidroelektrostaciju hidrotehnisko būvju drošumu” 8. panta otrās daļas nosacījumus,</w:t>
            </w:r>
            <w:r w:rsidR="009F685B" w:rsidRPr="007779B5">
              <w:rPr>
                <w:rFonts w:ascii="Times New Roman" w:eastAsia="Times New Roman" w:hAnsi="Times New Roman" w:cs="Times New Roman"/>
                <w:bCs/>
                <w:sz w:val="24"/>
                <w:szCs w:val="24"/>
                <w:lang w:eastAsia="lv-LV"/>
              </w:rPr>
              <w:t xml:space="preserve"> </w:t>
            </w:r>
            <w:r w:rsidR="009F685B" w:rsidRPr="0025023F">
              <w:rPr>
                <w:rFonts w:ascii="Times New Roman" w:eastAsia="Times New Roman" w:hAnsi="Times New Roman" w:cs="Times New Roman"/>
                <w:b/>
                <w:bCs/>
                <w:sz w:val="24"/>
                <w:szCs w:val="24"/>
                <w:lang w:eastAsia="lv-LV"/>
              </w:rPr>
              <w:t>lai netiktu nodarīts kaitējums fiziskās personas dzīvībai un veselībai, zaudējums fiziskās vai juridiskās personas īpašumam vai kaitējums videi.</w:t>
            </w:r>
          </w:p>
          <w:p w14:paraId="27D9137A" w14:textId="77777777" w:rsidR="008B7624" w:rsidRPr="00A20159" w:rsidRDefault="008B7624" w:rsidP="004B2695">
            <w:pPr>
              <w:pStyle w:val="paragraph"/>
              <w:spacing w:before="120" w:beforeAutospacing="0" w:after="120" w:afterAutospacing="0"/>
              <w:textAlignment w:val="baseline"/>
              <w:rPr>
                <w:rFonts w:ascii="Segoe UI" w:hAnsi="Segoe UI" w:cs="Segoe UI"/>
                <w:i/>
                <w:color w:val="FF0000"/>
                <w:sz w:val="18"/>
                <w:szCs w:val="18"/>
              </w:rPr>
            </w:pPr>
          </w:p>
          <w:p w14:paraId="4DCCE797" w14:textId="77777777" w:rsidR="00A20159" w:rsidRPr="008C2175" w:rsidRDefault="00A20159" w:rsidP="004B2695">
            <w:pPr>
              <w:pStyle w:val="paragraph"/>
              <w:spacing w:before="120" w:beforeAutospacing="0" w:after="120" w:afterAutospacing="0"/>
              <w:textAlignment w:val="baseline"/>
              <w:rPr>
                <w:rFonts w:ascii="Segoe UI" w:hAnsi="Segoe UI" w:cs="Segoe UI"/>
                <w:sz w:val="18"/>
                <w:szCs w:val="18"/>
                <w:u w:val="single"/>
              </w:rPr>
            </w:pPr>
            <w:r w:rsidRPr="008C2175">
              <w:rPr>
                <w:b/>
                <w:i/>
                <w:iCs/>
                <w:u w:val="single"/>
              </w:rPr>
              <w:t>2.</w:t>
            </w:r>
            <w:r w:rsidRPr="008C2175">
              <w:rPr>
                <w:b/>
                <w:iCs/>
                <w:u w:val="single"/>
              </w:rPr>
              <w:t xml:space="preserve"> </w:t>
            </w:r>
            <w:r w:rsidRPr="008C2175">
              <w:rPr>
                <w:rStyle w:val="normaltextrun"/>
                <w:b/>
                <w:i/>
                <w:u w:val="single"/>
              </w:rPr>
              <w:t>Ietekme uz atbalsta saņēmējiem</w:t>
            </w:r>
            <w:r w:rsidRPr="008C2175">
              <w:rPr>
                <w:rStyle w:val="eop"/>
                <w:u w:val="single"/>
              </w:rPr>
              <w:t> </w:t>
            </w:r>
          </w:p>
          <w:p w14:paraId="48DD7581" w14:textId="77777777" w:rsidR="00A20159" w:rsidRPr="00A20159" w:rsidRDefault="00A20159" w:rsidP="004B2695">
            <w:pPr>
              <w:pStyle w:val="paragraph"/>
              <w:spacing w:before="120" w:beforeAutospacing="0" w:after="120" w:afterAutospacing="0"/>
              <w:textAlignment w:val="baseline"/>
              <w:rPr>
                <w:rStyle w:val="normaltextrun"/>
                <w:b/>
                <w:i/>
              </w:rPr>
            </w:pPr>
            <w:r w:rsidRPr="00A20159">
              <w:rPr>
                <w:rStyle w:val="normaltextrun"/>
                <w:b/>
                <w:i/>
              </w:rPr>
              <w:t>2.1. Finansiālās ietekmes</w:t>
            </w:r>
          </w:p>
          <w:p w14:paraId="3D951690" w14:textId="77777777" w:rsidR="00457D76" w:rsidRPr="00457D76" w:rsidRDefault="00457D76" w:rsidP="004B2695">
            <w:pPr>
              <w:pStyle w:val="paragraph"/>
              <w:spacing w:before="120" w:beforeAutospacing="0" w:after="120" w:afterAutospacing="0"/>
              <w:jc w:val="both"/>
              <w:textAlignment w:val="baseline"/>
              <w:rPr>
                <w:rStyle w:val="normaltextrun"/>
              </w:rPr>
            </w:pPr>
            <w:r>
              <w:rPr>
                <w:rStyle w:val="normaltextrun"/>
              </w:rPr>
              <w:t xml:space="preserve">Ņemot vērā to, ka ETL vai citos normatīvajos aktos </w:t>
            </w:r>
            <w:r w:rsidR="00DC7C67">
              <w:rPr>
                <w:rStyle w:val="normaltextrun"/>
              </w:rPr>
              <w:t>nav noteikts, ka</w:t>
            </w:r>
            <w:r w:rsidR="003B62B1">
              <w:rPr>
                <w:rStyle w:val="normaltextrun"/>
              </w:rPr>
              <w:t xml:space="preserve"> </w:t>
            </w:r>
            <w:r w:rsidR="00DC7C67">
              <w:rPr>
                <w:rStyle w:val="normaltextrun"/>
              </w:rPr>
              <w:t xml:space="preserve">elektrostacijām pārtraucot </w:t>
            </w:r>
            <w:r w:rsidR="003B62B1">
              <w:rPr>
                <w:rStyle w:val="normaltextrun"/>
              </w:rPr>
              <w:t>saņemt atbalstu OI mehānisma ietvaros, būtu pienākums turpināt elektrostaciju darbu, paredzams, ka lielākā daļa staciju savu darbību pēc atbalsta pārtraukšanas beigs.</w:t>
            </w:r>
            <w:r w:rsidR="00DC7C67">
              <w:rPr>
                <w:rStyle w:val="normaltextrun"/>
              </w:rPr>
              <w:t xml:space="preserve"> </w:t>
            </w:r>
          </w:p>
          <w:p w14:paraId="1B8F62DD" w14:textId="77777777" w:rsidR="00A85859" w:rsidRDefault="00A85859" w:rsidP="004B2695">
            <w:pPr>
              <w:pStyle w:val="paragraph"/>
              <w:spacing w:before="120" w:beforeAutospacing="0" w:after="120" w:afterAutospacing="0"/>
              <w:jc w:val="both"/>
              <w:textAlignment w:val="baseline"/>
              <w:rPr>
                <w:rStyle w:val="normaltextrun"/>
                <w:highlight w:val="yellow"/>
              </w:rPr>
            </w:pPr>
            <w:r>
              <w:rPr>
                <w:rStyle w:val="normaltextrun"/>
              </w:rPr>
              <w:t xml:space="preserve">LAEF ir norādījusi, ka atceļot OI ar 2019.gada 31.martu, </w:t>
            </w:r>
            <w:bookmarkStart w:id="11" w:name="_Hlk3208846"/>
            <w:r>
              <w:rPr>
                <w:rStyle w:val="normaltextrun"/>
              </w:rPr>
              <w:t>s</w:t>
            </w:r>
            <w:r w:rsidRPr="00A85859">
              <w:rPr>
                <w:rStyle w:val="normaltextrun"/>
              </w:rPr>
              <w:t xml:space="preserve">agaidāms, </w:t>
            </w:r>
            <w:r w:rsidRPr="000452BA">
              <w:rPr>
                <w:rStyle w:val="normaltextrun"/>
                <w:b/>
              </w:rPr>
              <w:t>ka savu darbību izbeigs pilnīgi visi ražotāji, kuru uzstādītās jaudas nesasniedz vismaz 1 MW</w:t>
            </w:r>
            <w:r>
              <w:rPr>
                <w:rStyle w:val="normaltextrun"/>
              </w:rPr>
              <w:t xml:space="preserve">, </w:t>
            </w:r>
            <w:r w:rsidRPr="00A85859">
              <w:rPr>
                <w:rStyle w:val="normaltextrun"/>
              </w:rPr>
              <w:t xml:space="preserve">un arī </w:t>
            </w:r>
            <w:r w:rsidRPr="000452BA">
              <w:rPr>
                <w:rStyle w:val="normaltextrun"/>
                <w:b/>
              </w:rPr>
              <w:t>atlikušie ražotāji savu darbību saglabās tikai pie vairākiem labvēlīgiem nosacījumiem</w:t>
            </w:r>
            <w:bookmarkEnd w:id="11"/>
            <w:r w:rsidRPr="00A85859">
              <w:rPr>
                <w:rStyle w:val="normaltextrun"/>
              </w:rPr>
              <w:t xml:space="preserve">. Sagaidāms, ka </w:t>
            </w:r>
            <w:r w:rsidRPr="000452BA">
              <w:rPr>
                <w:rStyle w:val="normaltextrun"/>
                <w:b/>
              </w:rPr>
              <w:t>viena daļa uzņēmumu darbību izbeigs, nespējot strauji atmaksāt kredītiestāžu un citu aizdevēju izsniegtos aizdevumus</w:t>
            </w:r>
            <w:r>
              <w:rPr>
                <w:rStyle w:val="normaltextrun"/>
              </w:rPr>
              <w:t>, c</w:t>
            </w:r>
            <w:r w:rsidRPr="00A85859">
              <w:rPr>
                <w:rStyle w:val="normaltextrun"/>
              </w:rPr>
              <w:t>ita daļa šo uzņēmumu darbību izbeigs aiz rentabilitātes apsvērumiem.</w:t>
            </w:r>
          </w:p>
          <w:p w14:paraId="4BA6F738" w14:textId="476C3D7B" w:rsidR="004E23E8" w:rsidRPr="00BC7014" w:rsidRDefault="000E70E5" w:rsidP="004B2695">
            <w:pPr>
              <w:pStyle w:val="paragraph"/>
              <w:spacing w:before="120" w:beforeAutospacing="0" w:after="120" w:afterAutospacing="0"/>
              <w:jc w:val="both"/>
              <w:textAlignment w:val="baseline"/>
              <w:rPr>
                <w:rStyle w:val="normaltextrun"/>
              </w:rPr>
            </w:pPr>
            <w:r>
              <w:t>Latvijas Biogāzes asociācija ir informējusi, ka atceļot</w:t>
            </w:r>
            <w:r w:rsidRPr="000E70E5">
              <w:t xml:space="preserve"> OI iepirkum</w:t>
            </w:r>
            <w:r>
              <w:t>u ar 2019.gada 31.martu</w:t>
            </w:r>
            <w:r w:rsidRPr="000E70E5">
              <w:t xml:space="preserve">, </w:t>
            </w:r>
            <w:r w:rsidRPr="00A07FD5">
              <w:t xml:space="preserve">100 % no biogāzes stacijām pārtrauktu elektroenerģijas ražošanu, </w:t>
            </w:r>
            <w:r w:rsidRPr="000452BA">
              <w:rPr>
                <w:b/>
              </w:rPr>
              <w:t>bet 80 % no stacijām pārtrauktu savu darbību vispār</w:t>
            </w:r>
            <w:r w:rsidRPr="000E70E5">
              <w:t xml:space="preserve">. Atlikušie 20 % ievērojami samazinātu ražošanas apjomus un iegūto biogāzi izmantotu siltumenerģijas ražošanai savām vajadzībām. </w:t>
            </w:r>
            <w:r>
              <w:t>Tāpat asociācija ir norādījusi, ka</w:t>
            </w:r>
            <w:r w:rsidRPr="000E70E5">
              <w:t xml:space="preserve"> atbilstošas likumdošanas un infrastruktūras </w:t>
            </w:r>
            <w:r w:rsidR="004418B9">
              <w:t>trūkuma dēļ</w:t>
            </w:r>
            <w:r w:rsidRPr="000E70E5">
              <w:t xml:space="preserve"> biogāzes ražotāji </w:t>
            </w:r>
            <w:r w:rsidR="00420624">
              <w:t xml:space="preserve">īstermiņā </w:t>
            </w:r>
            <w:r w:rsidRPr="000E70E5">
              <w:t>nevar pārorientēties uz cita veida enerģijas ražošanu</w:t>
            </w:r>
            <w:r w:rsidR="00420624">
              <w:t>.</w:t>
            </w:r>
            <w:r w:rsidR="004418B9">
              <w:t xml:space="preserve"> Alternatīva šādiem ražotājiem būtu </w:t>
            </w:r>
            <w:proofErr w:type="spellStart"/>
            <w:r w:rsidR="004418B9">
              <w:t>biometāna</w:t>
            </w:r>
            <w:proofErr w:type="spellEnd"/>
            <w:r w:rsidR="004418B9">
              <w:t xml:space="preserve"> ražošana, ko izstrādājot atbilstošu likumdošanu būtu iespējams izmantot transporta sektorā kā fosilās dabasgāzes alternatīvu, tādējādi veicinot Latvijai noteiktā 2030.gada atjaunojamās enerģijas mērķa transporta sektorā sasniegšanu un moderno biodegvielu īpatsvara sasniegšanu noteiktā apmērā, tostarp periodā līdz 2030.gadam (skatīt</w:t>
            </w:r>
            <w:r w:rsidR="00CC559F">
              <w:t xml:space="preserve"> Situācijas raksturojuma 2.punkta sadaļu “Atjaunojamās enerģijas mērķi”).</w:t>
            </w:r>
          </w:p>
          <w:p w14:paraId="0C8950B7" w14:textId="0E2254EF" w:rsidR="00C4004F" w:rsidRDefault="007D6F54" w:rsidP="004B2695">
            <w:pPr>
              <w:pStyle w:val="paragraph"/>
              <w:spacing w:before="120" w:beforeAutospacing="0" w:after="120" w:afterAutospacing="0"/>
              <w:jc w:val="both"/>
              <w:textAlignment w:val="baseline"/>
              <w:rPr>
                <w:rStyle w:val="normaltextrun"/>
              </w:rPr>
            </w:pPr>
            <w:r>
              <w:rPr>
                <w:rStyle w:val="normaltextrun"/>
              </w:rPr>
              <w:lastRenderedPageBreak/>
              <w:t xml:space="preserve">Saskaņā ar Finanšu nozares asociācijas sniegto informāciju </w:t>
            </w:r>
            <w:bookmarkStart w:id="12" w:name="_Hlk3208779"/>
            <w:r w:rsidRPr="008D2991">
              <w:rPr>
                <w:rStyle w:val="normaltextrun"/>
                <w:b/>
              </w:rPr>
              <w:t>atbalsta saņēmēju OI mehānisma ietvaros kredītportfeļa atlikums</w:t>
            </w:r>
            <w:r w:rsidR="00CC559F">
              <w:rPr>
                <w:rStyle w:val="normaltextrun"/>
                <w:b/>
              </w:rPr>
              <w:t xml:space="preserve"> uz</w:t>
            </w:r>
            <w:r w:rsidRPr="008D2991">
              <w:rPr>
                <w:rStyle w:val="normaltextrun"/>
                <w:b/>
              </w:rPr>
              <w:t xml:space="preserve"> 2018.gada</w:t>
            </w:r>
            <w:r w:rsidR="008D2991" w:rsidRPr="008D2991">
              <w:rPr>
                <w:rStyle w:val="normaltextrun"/>
                <w:b/>
              </w:rPr>
              <w:t xml:space="preserve"> </w:t>
            </w:r>
            <w:r w:rsidRPr="008D2991">
              <w:rPr>
                <w:rStyle w:val="normaltextrun"/>
                <w:b/>
              </w:rPr>
              <w:t xml:space="preserve">31.decembri pārsniedz 198 milj. </w:t>
            </w:r>
            <w:r w:rsidRPr="008D2991">
              <w:rPr>
                <w:rStyle w:val="normaltextrun"/>
                <w:b/>
                <w:i/>
              </w:rPr>
              <w:t>euro</w:t>
            </w:r>
            <w:r w:rsidR="00786B44">
              <w:rPr>
                <w:rStyle w:val="normaltextrun"/>
                <w:b/>
                <w:i/>
              </w:rPr>
              <w:t xml:space="preserve"> </w:t>
            </w:r>
            <w:r w:rsidR="00786B44" w:rsidRPr="00786B44">
              <w:rPr>
                <w:rStyle w:val="normaltextrun"/>
              </w:rPr>
              <w:t>(skatīt 2.tabulu)</w:t>
            </w:r>
            <w:r w:rsidRPr="00786B44">
              <w:rPr>
                <w:rStyle w:val="normaltextrun"/>
              </w:rPr>
              <w:t>.</w:t>
            </w:r>
            <w:bookmarkEnd w:id="12"/>
          </w:p>
          <w:p w14:paraId="0D5F04CD" w14:textId="065B6029" w:rsidR="00786B44" w:rsidRPr="00786B44" w:rsidRDefault="00786B44" w:rsidP="00786B44">
            <w:pPr>
              <w:pStyle w:val="paragraph"/>
              <w:spacing w:before="120" w:beforeAutospacing="0" w:after="120" w:afterAutospacing="0"/>
              <w:jc w:val="right"/>
              <w:textAlignment w:val="baseline"/>
              <w:rPr>
                <w:rStyle w:val="normaltextrun"/>
                <w:i/>
              </w:rPr>
            </w:pPr>
            <w:r w:rsidRPr="00786B44">
              <w:rPr>
                <w:rStyle w:val="normaltextrun"/>
                <w:i/>
              </w:rPr>
              <w:t>2. tabula</w:t>
            </w:r>
          </w:p>
          <w:tbl>
            <w:tblPr>
              <w:tblW w:w="6020" w:type="dxa"/>
              <w:jc w:val="center"/>
              <w:tblLayout w:type="fixed"/>
              <w:tblLook w:val="04A0" w:firstRow="1" w:lastRow="0" w:firstColumn="1" w:lastColumn="0" w:noHBand="0" w:noVBand="1"/>
            </w:tblPr>
            <w:tblGrid>
              <w:gridCol w:w="3120"/>
              <w:gridCol w:w="1672"/>
              <w:gridCol w:w="1228"/>
            </w:tblGrid>
            <w:tr w:rsidR="007D6F54" w:rsidRPr="007D6F54" w14:paraId="5ED340C4" w14:textId="77777777" w:rsidTr="00C64695">
              <w:trPr>
                <w:trHeight w:val="12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34E8" w14:textId="77777777" w:rsidR="007D6F54" w:rsidRPr="008560E5" w:rsidRDefault="007D6F54" w:rsidP="00786B44">
                  <w:pPr>
                    <w:spacing w:after="0" w:line="240" w:lineRule="auto"/>
                    <w:jc w:val="center"/>
                    <w:rPr>
                      <w:rFonts w:ascii="Times New Roman" w:eastAsia="Times New Roman" w:hAnsi="Times New Roman" w:cs="Times New Roman"/>
                      <w:b/>
                      <w:bCs/>
                      <w:color w:val="000000"/>
                      <w:lang w:eastAsia="lv-LV"/>
                    </w:rPr>
                  </w:pPr>
                  <w:r w:rsidRPr="008560E5">
                    <w:rPr>
                      <w:rFonts w:ascii="Times New Roman" w:eastAsia="Times New Roman" w:hAnsi="Times New Roman" w:cs="Times New Roman"/>
                      <w:b/>
                      <w:bCs/>
                      <w:color w:val="000000"/>
                      <w:lang w:eastAsia="lv-LV"/>
                    </w:rPr>
                    <w:t>Atbalsta saņēmēju grupas</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55FC5324" w14:textId="77777777" w:rsidR="007D6F54" w:rsidRPr="008560E5" w:rsidRDefault="007D6F54" w:rsidP="00786B44">
                  <w:pPr>
                    <w:spacing w:after="0" w:line="240" w:lineRule="auto"/>
                    <w:jc w:val="center"/>
                    <w:rPr>
                      <w:rFonts w:ascii="Times New Roman" w:eastAsia="Times New Roman" w:hAnsi="Times New Roman" w:cs="Times New Roman"/>
                      <w:b/>
                      <w:bCs/>
                      <w:color w:val="000000"/>
                      <w:lang w:eastAsia="lv-LV"/>
                    </w:rPr>
                  </w:pPr>
                  <w:r w:rsidRPr="008560E5">
                    <w:rPr>
                      <w:rFonts w:ascii="Times New Roman" w:eastAsia="Times New Roman" w:hAnsi="Times New Roman" w:cs="Times New Roman"/>
                      <w:b/>
                      <w:bCs/>
                      <w:color w:val="000000"/>
                      <w:lang w:eastAsia="lv-LV"/>
                    </w:rPr>
                    <w:t>Kredītportfeļa atlikums uz 31.12.2018. (</w:t>
                  </w:r>
                  <w:proofErr w:type="spellStart"/>
                  <w:r w:rsidRPr="008560E5">
                    <w:rPr>
                      <w:rFonts w:ascii="Times New Roman" w:eastAsia="Times New Roman" w:hAnsi="Times New Roman" w:cs="Times New Roman"/>
                      <w:b/>
                      <w:bCs/>
                      <w:color w:val="000000"/>
                      <w:lang w:eastAsia="lv-LV"/>
                    </w:rPr>
                    <w:t>tūkst.eiro</w:t>
                  </w:r>
                  <w:proofErr w:type="spellEnd"/>
                  <w:r w:rsidRPr="008560E5">
                    <w:rPr>
                      <w:rFonts w:ascii="Times New Roman" w:eastAsia="Times New Roman" w:hAnsi="Times New Roman" w:cs="Times New Roman"/>
                      <w:b/>
                      <w:bCs/>
                      <w:color w:val="000000"/>
                      <w:lang w:eastAsia="lv-LV"/>
                    </w:rPr>
                    <w:t>)</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C0E6205" w14:textId="77777777" w:rsidR="007D6F54" w:rsidRPr="008560E5" w:rsidRDefault="007D6F54" w:rsidP="00786B44">
                  <w:pPr>
                    <w:spacing w:after="0" w:line="240" w:lineRule="auto"/>
                    <w:jc w:val="center"/>
                    <w:rPr>
                      <w:rFonts w:ascii="Times New Roman" w:eastAsia="Times New Roman" w:hAnsi="Times New Roman" w:cs="Times New Roman"/>
                      <w:b/>
                      <w:bCs/>
                      <w:color w:val="000000"/>
                      <w:lang w:eastAsia="lv-LV"/>
                    </w:rPr>
                  </w:pPr>
                  <w:r w:rsidRPr="008560E5">
                    <w:rPr>
                      <w:rFonts w:ascii="Times New Roman" w:eastAsia="Times New Roman" w:hAnsi="Times New Roman" w:cs="Times New Roman"/>
                      <w:b/>
                      <w:bCs/>
                      <w:color w:val="000000"/>
                      <w:lang w:eastAsia="lv-LV"/>
                    </w:rPr>
                    <w:t>Īpatsvars  (%)</w:t>
                  </w:r>
                </w:p>
              </w:tc>
            </w:tr>
            <w:tr w:rsidR="007D6F54" w:rsidRPr="007D6F54" w14:paraId="157D4C82" w14:textId="77777777" w:rsidTr="00C64695">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9688F12" w14:textId="77777777" w:rsidR="007D6F54" w:rsidRPr="008560E5" w:rsidRDefault="007D6F54" w:rsidP="00786B44">
                  <w:pPr>
                    <w:spacing w:after="0" w:line="240" w:lineRule="auto"/>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Biomasas stacijas</w:t>
                  </w:r>
                </w:p>
              </w:tc>
              <w:tc>
                <w:tcPr>
                  <w:tcW w:w="1672" w:type="dxa"/>
                  <w:tcBorders>
                    <w:top w:val="nil"/>
                    <w:left w:val="nil"/>
                    <w:bottom w:val="single" w:sz="4" w:space="0" w:color="auto"/>
                    <w:right w:val="single" w:sz="4" w:space="0" w:color="auto"/>
                  </w:tcBorders>
                  <w:shd w:val="clear" w:color="auto" w:fill="auto"/>
                  <w:noWrap/>
                  <w:vAlign w:val="bottom"/>
                  <w:hideMark/>
                </w:tcPr>
                <w:p w14:paraId="6B4586A5"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89286</w:t>
                  </w:r>
                </w:p>
              </w:tc>
              <w:tc>
                <w:tcPr>
                  <w:tcW w:w="1228" w:type="dxa"/>
                  <w:tcBorders>
                    <w:top w:val="nil"/>
                    <w:left w:val="nil"/>
                    <w:bottom w:val="single" w:sz="4" w:space="0" w:color="auto"/>
                    <w:right w:val="single" w:sz="4" w:space="0" w:color="auto"/>
                  </w:tcBorders>
                  <w:shd w:val="clear" w:color="auto" w:fill="auto"/>
                  <w:noWrap/>
                  <w:vAlign w:val="bottom"/>
                  <w:hideMark/>
                </w:tcPr>
                <w:p w14:paraId="654B515D"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45</w:t>
                  </w:r>
                </w:p>
              </w:tc>
            </w:tr>
            <w:tr w:rsidR="007D6F54" w:rsidRPr="007D6F54" w14:paraId="3FFE0613" w14:textId="77777777" w:rsidTr="00C64695">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2ECC40A" w14:textId="77777777" w:rsidR="007D6F54" w:rsidRPr="008560E5" w:rsidRDefault="007D6F54" w:rsidP="00786B44">
                  <w:pPr>
                    <w:spacing w:after="0" w:line="240" w:lineRule="auto"/>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Biogāzes stacijas</w:t>
                  </w:r>
                </w:p>
              </w:tc>
              <w:tc>
                <w:tcPr>
                  <w:tcW w:w="1672" w:type="dxa"/>
                  <w:tcBorders>
                    <w:top w:val="nil"/>
                    <w:left w:val="nil"/>
                    <w:bottom w:val="single" w:sz="4" w:space="0" w:color="auto"/>
                    <w:right w:val="single" w:sz="4" w:space="0" w:color="auto"/>
                  </w:tcBorders>
                  <w:shd w:val="clear" w:color="auto" w:fill="auto"/>
                  <w:noWrap/>
                  <w:vAlign w:val="bottom"/>
                  <w:hideMark/>
                </w:tcPr>
                <w:p w14:paraId="50295892"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42735</w:t>
                  </w:r>
                </w:p>
              </w:tc>
              <w:tc>
                <w:tcPr>
                  <w:tcW w:w="1228" w:type="dxa"/>
                  <w:tcBorders>
                    <w:top w:val="nil"/>
                    <w:left w:val="nil"/>
                    <w:bottom w:val="single" w:sz="4" w:space="0" w:color="auto"/>
                    <w:right w:val="single" w:sz="4" w:space="0" w:color="auto"/>
                  </w:tcBorders>
                  <w:shd w:val="clear" w:color="auto" w:fill="auto"/>
                  <w:noWrap/>
                  <w:vAlign w:val="bottom"/>
                  <w:hideMark/>
                </w:tcPr>
                <w:p w14:paraId="5D37C7EF"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22</w:t>
                  </w:r>
                </w:p>
              </w:tc>
            </w:tr>
            <w:tr w:rsidR="007D6F54" w:rsidRPr="007D6F54" w14:paraId="3259824C" w14:textId="77777777" w:rsidTr="00C64695">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F3BD01C" w14:textId="77777777" w:rsidR="007D6F54" w:rsidRPr="008560E5" w:rsidRDefault="007D6F54" w:rsidP="00786B44">
                  <w:pPr>
                    <w:spacing w:after="0" w:line="240" w:lineRule="auto"/>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Dabas gāzes stacijas</w:t>
                  </w:r>
                </w:p>
              </w:tc>
              <w:tc>
                <w:tcPr>
                  <w:tcW w:w="1672" w:type="dxa"/>
                  <w:tcBorders>
                    <w:top w:val="nil"/>
                    <w:left w:val="nil"/>
                    <w:bottom w:val="single" w:sz="4" w:space="0" w:color="auto"/>
                    <w:right w:val="single" w:sz="4" w:space="0" w:color="auto"/>
                  </w:tcBorders>
                  <w:shd w:val="clear" w:color="auto" w:fill="auto"/>
                  <w:noWrap/>
                  <w:vAlign w:val="bottom"/>
                  <w:hideMark/>
                </w:tcPr>
                <w:p w14:paraId="04AB8769"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14022</w:t>
                  </w:r>
                </w:p>
              </w:tc>
              <w:tc>
                <w:tcPr>
                  <w:tcW w:w="1228" w:type="dxa"/>
                  <w:tcBorders>
                    <w:top w:val="nil"/>
                    <w:left w:val="nil"/>
                    <w:bottom w:val="single" w:sz="4" w:space="0" w:color="auto"/>
                    <w:right w:val="single" w:sz="4" w:space="0" w:color="auto"/>
                  </w:tcBorders>
                  <w:shd w:val="clear" w:color="auto" w:fill="auto"/>
                  <w:noWrap/>
                  <w:vAlign w:val="bottom"/>
                  <w:hideMark/>
                </w:tcPr>
                <w:p w14:paraId="43767454"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7</w:t>
                  </w:r>
                </w:p>
              </w:tc>
            </w:tr>
            <w:tr w:rsidR="007D6F54" w:rsidRPr="007D6F54" w14:paraId="499C4A10" w14:textId="77777777" w:rsidTr="00C64695">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EE877E6" w14:textId="77777777" w:rsidR="007D6F54" w:rsidRPr="008560E5" w:rsidRDefault="007D6F54" w:rsidP="00786B44">
                  <w:pPr>
                    <w:spacing w:after="0" w:line="240" w:lineRule="auto"/>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Vēja elektrostacijas</w:t>
                  </w:r>
                </w:p>
              </w:tc>
              <w:tc>
                <w:tcPr>
                  <w:tcW w:w="1672" w:type="dxa"/>
                  <w:tcBorders>
                    <w:top w:val="nil"/>
                    <w:left w:val="nil"/>
                    <w:bottom w:val="single" w:sz="4" w:space="0" w:color="auto"/>
                    <w:right w:val="single" w:sz="4" w:space="0" w:color="auto"/>
                  </w:tcBorders>
                  <w:shd w:val="clear" w:color="auto" w:fill="auto"/>
                  <w:noWrap/>
                  <w:vAlign w:val="bottom"/>
                  <w:hideMark/>
                </w:tcPr>
                <w:p w14:paraId="274C87AD"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50331</w:t>
                  </w:r>
                </w:p>
              </w:tc>
              <w:tc>
                <w:tcPr>
                  <w:tcW w:w="1228" w:type="dxa"/>
                  <w:tcBorders>
                    <w:top w:val="nil"/>
                    <w:left w:val="nil"/>
                    <w:bottom w:val="single" w:sz="4" w:space="0" w:color="auto"/>
                    <w:right w:val="single" w:sz="4" w:space="0" w:color="auto"/>
                  </w:tcBorders>
                  <w:shd w:val="clear" w:color="auto" w:fill="auto"/>
                  <w:noWrap/>
                  <w:vAlign w:val="bottom"/>
                  <w:hideMark/>
                </w:tcPr>
                <w:p w14:paraId="3DFDB883"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25</w:t>
                  </w:r>
                </w:p>
              </w:tc>
            </w:tr>
            <w:tr w:rsidR="007D6F54" w:rsidRPr="007D6F54" w14:paraId="56BC8461" w14:textId="77777777" w:rsidTr="00C64695">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BD224CD" w14:textId="77777777" w:rsidR="007D6F54" w:rsidRPr="008560E5" w:rsidRDefault="007D6F54" w:rsidP="00786B44">
                  <w:pPr>
                    <w:spacing w:after="0" w:line="240" w:lineRule="auto"/>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Hidroelektrostacijas</w:t>
                  </w:r>
                </w:p>
              </w:tc>
              <w:tc>
                <w:tcPr>
                  <w:tcW w:w="1672" w:type="dxa"/>
                  <w:tcBorders>
                    <w:top w:val="nil"/>
                    <w:left w:val="nil"/>
                    <w:bottom w:val="single" w:sz="4" w:space="0" w:color="auto"/>
                    <w:right w:val="single" w:sz="4" w:space="0" w:color="auto"/>
                  </w:tcBorders>
                  <w:shd w:val="clear" w:color="auto" w:fill="auto"/>
                  <w:noWrap/>
                  <w:vAlign w:val="bottom"/>
                  <w:hideMark/>
                </w:tcPr>
                <w:p w14:paraId="17DA8FE9"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1964</w:t>
                  </w:r>
                </w:p>
              </w:tc>
              <w:tc>
                <w:tcPr>
                  <w:tcW w:w="1228" w:type="dxa"/>
                  <w:tcBorders>
                    <w:top w:val="nil"/>
                    <w:left w:val="nil"/>
                    <w:bottom w:val="single" w:sz="4" w:space="0" w:color="auto"/>
                    <w:right w:val="single" w:sz="4" w:space="0" w:color="auto"/>
                  </w:tcBorders>
                  <w:shd w:val="clear" w:color="auto" w:fill="auto"/>
                  <w:noWrap/>
                  <w:vAlign w:val="bottom"/>
                  <w:hideMark/>
                </w:tcPr>
                <w:p w14:paraId="36CFA367" w14:textId="77777777" w:rsidR="007D6F54" w:rsidRPr="008560E5" w:rsidRDefault="007D6F54" w:rsidP="00786B44">
                  <w:pPr>
                    <w:spacing w:after="0" w:line="240" w:lineRule="auto"/>
                    <w:jc w:val="right"/>
                    <w:rPr>
                      <w:rFonts w:ascii="Times New Roman" w:eastAsia="Times New Roman" w:hAnsi="Times New Roman" w:cs="Times New Roman"/>
                      <w:color w:val="000000"/>
                      <w:lang w:eastAsia="lv-LV"/>
                    </w:rPr>
                  </w:pPr>
                  <w:r w:rsidRPr="008560E5">
                    <w:rPr>
                      <w:rFonts w:ascii="Times New Roman" w:eastAsia="Times New Roman" w:hAnsi="Times New Roman" w:cs="Times New Roman"/>
                      <w:color w:val="000000"/>
                      <w:lang w:eastAsia="lv-LV"/>
                    </w:rPr>
                    <w:t>1</w:t>
                  </w:r>
                </w:p>
              </w:tc>
            </w:tr>
          </w:tbl>
          <w:p w14:paraId="46E4BAAE" w14:textId="04CB3E1F" w:rsidR="00106482" w:rsidRDefault="00A848C4" w:rsidP="004B2695">
            <w:pPr>
              <w:pStyle w:val="paragraph"/>
              <w:spacing w:before="120" w:beforeAutospacing="0" w:after="120" w:afterAutospacing="0"/>
              <w:jc w:val="both"/>
              <w:textAlignment w:val="baseline"/>
              <w:rPr>
                <w:rFonts w:eastAsia="Calibri"/>
                <w:lang w:eastAsia="en-US"/>
              </w:rPr>
            </w:pPr>
            <w:r w:rsidRPr="00F55896">
              <w:rPr>
                <w:rStyle w:val="normaltextrun"/>
              </w:rPr>
              <w:t>LAEF</w:t>
            </w:r>
            <w:r>
              <w:rPr>
                <w:rStyle w:val="normaltextrun"/>
              </w:rPr>
              <w:t xml:space="preserve"> </w:t>
            </w:r>
            <w:r w:rsidRPr="00A848C4">
              <w:rPr>
                <w:rStyle w:val="normaltextrun"/>
              </w:rPr>
              <w:t xml:space="preserve">ir norādījusi, ka </w:t>
            </w:r>
            <w:r w:rsidRPr="00A848C4">
              <w:rPr>
                <w:rFonts w:eastAsia="Calibri"/>
                <w:lang w:eastAsia="en-US"/>
              </w:rPr>
              <w:t xml:space="preserve">sagaidāms, ka viena </w:t>
            </w:r>
            <w:r w:rsidRPr="00106482">
              <w:rPr>
                <w:rFonts w:eastAsia="Calibri"/>
                <w:b/>
                <w:lang w:eastAsia="en-US"/>
              </w:rPr>
              <w:t>daļa no atbalsta saņēmējiem OI mehānisma ietvaros uzņēmumu darbību izbeigs, nespējot strauji atmaksāt kredītiestāžu un citu aizdevēju izsniegtos aizdevumus (kredītus),</w:t>
            </w:r>
            <w:r w:rsidRPr="00A848C4">
              <w:rPr>
                <w:rFonts w:eastAsia="Calibri"/>
                <w:lang w:eastAsia="en-US"/>
              </w:rPr>
              <w:t xml:space="preserve"> kuru atmaksa neizbēgami tiks nekavējoties pieprasīta pēc attiecīga politiska lēmuma par </w:t>
            </w:r>
            <w:r>
              <w:rPr>
                <w:rFonts w:eastAsia="Calibri"/>
                <w:lang w:eastAsia="en-US"/>
              </w:rPr>
              <w:t xml:space="preserve">OI mehānisma un </w:t>
            </w:r>
            <w:r w:rsidRPr="00A848C4">
              <w:rPr>
                <w:rFonts w:eastAsia="Calibri"/>
                <w:lang w:eastAsia="en-US"/>
              </w:rPr>
              <w:t>OIK atcelšanu pieņemšanas.</w:t>
            </w:r>
          </w:p>
          <w:p w14:paraId="0DA1D7E1" w14:textId="74EA0947" w:rsidR="00D81DD1" w:rsidRDefault="00F55896" w:rsidP="004B2695">
            <w:pPr>
              <w:pStyle w:val="paragraph"/>
              <w:spacing w:before="120" w:beforeAutospacing="0" w:after="120" w:afterAutospacing="0"/>
              <w:jc w:val="both"/>
              <w:textAlignment w:val="baseline"/>
              <w:rPr>
                <w:bCs/>
              </w:rPr>
            </w:pPr>
            <w:r w:rsidRPr="00795E4D">
              <w:rPr>
                <w:rStyle w:val="normaltextrun"/>
              </w:rPr>
              <w:t xml:space="preserve">Saskaņā ar Lauku atbalsta dienesta, Vides aizsardzības un reģionālās attīstības ministrijas, Latvijas Investīciju un attīstības aģentūras sniegto informāciju </w:t>
            </w:r>
            <w:r w:rsidRPr="008B1914">
              <w:rPr>
                <w:rStyle w:val="normaltextrun"/>
                <w:b/>
              </w:rPr>
              <w:t xml:space="preserve">ES finansējumu ir saņēmušas 72 elektrostacijas, kas saņem atbalstu OI </w:t>
            </w:r>
            <w:r w:rsidRPr="00F55896">
              <w:rPr>
                <w:rStyle w:val="normaltextrun"/>
                <w:b/>
              </w:rPr>
              <w:t>mehānisma ietvaros.</w:t>
            </w:r>
            <w:r>
              <w:rPr>
                <w:rFonts w:ascii="Segoe UI" w:hAnsi="Segoe UI" w:cs="Segoe UI"/>
                <w:sz w:val="18"/>
                <w:szCs w:val="18"/>
              </w:rPr>
              <w:t xml:space="preserve"> </w:t>
            </w:r>
            <w:r w:rsidR="00D81DD1" w:rsidRPr="00F55896">
              <w:rPr>
                <w:rStyle w:val="eop"/>
              </w:rPr>
              <w:t>Z</w:t>
            </w:r>
            <w:r w:rsidRPr="00F55896">
              <w:rPr>
                <w:rStyle w:val="eop"/>
              </w:rPr>
              <w:t xml:space="preserve">emkopības ministrija ir norādījusi, ka </w:t>
            </w:r>
            <w:r w:rsidRPr="00F55896">
              <w:rPr>
                <w:bCs/>
              </w:rPr>
              <w:t>j</w:t>
            </w:r>
            <w:r w:rsidR="00D81DD1" w:rsidRPr="00F55896">
              <w:rPr>
                <w:bCs/>
              </w:rPr>
              <w:t>āņem</w:t>
            </w:r>
            <w:r w:rsidR="00D81DD1" w:rsidRPr="00D81DD1">
              <w:rPr>
                <w:bCs/>
              </w:rPr>
              <w:t xml:space="preserve"> vērā, ka no Latvijas Lauku attīstības programmas 2007.-2013. gadam </w:t>
            </w:r>
            <w:r>
              <w:rPr>
                <w:bCs/>
              </w:rPr>
              <w:t xml:space="preserve">biogāzes staciju izveidē </w:t>
            </w:r>
            <w:r w:rsidR="00D81DD1" w:rsidRPr="00D81DD1">
              <w:rPr>
                <w:bCs/>
              </w:rPr>
              <w:t xml:space="preserve">ir investēti 46 miljoni </w:t>
            </w:r>
            <w:r w:rsidR="00D81DD1" w:rsidRPr="00106482">
              <w:rPr>
                <w:bCs/>
                <w:i/>
              </w:rPr>
              <w:t>euro</w:t>
            </w:r>
            <w:r w:rsidR="00BB4320">
              <w:rPr>
                <w:bCs/>
              </w:rPr>
              <w:t>.</w:t>
            </w:r>
            <w:r w:rsidR="006841E5">
              <w:rPr>
                <w:bCs/>
              </w:rPr>
              <w:t xml:space="preserve"> </w:t>
            </w:r>
            <w:r w:rsidR="006841E5">
              <w:t>Tādējādi šīs stacijas ir Lauku atbalsta dienesta Eiropas Savienības fondu izlietojuma uzraudzībā, kas uzliek pienākumu investīciju saņēmējiem nodrošināt pilnvērtīgu projekta mērķu sasniegšanu.</w:t>
            </w:r>
          </w:p>
          <w:p w14:paraId="57B67CE3" w14:textId="0E16897B" w:rsidR="00A20159" w:rsidRDefault="00D550E9" w:rsidP="004B2695">
            <w:pPr>
              <w:spacing w:before="120" w:after="120" w:line="240" w:lineRule="auto"/>
              <w:jc w:val="both"/>
              <w:rPr>
                <w:rFonts w:ascii="Times New Roman" w:eastAsia="Times New Roman" w:hAnsi="Times New Roman" w:cs="Times New Roman"/>
                <w:sz w:val="24"/>
                <w:szCs w:val="24"/>
              </w:rPr>
            </w:pPr>
            <w:r w:rsidRPr="00D550E9">
              <w:rPr>
                <w:rFonts w:ascii="Times New Roman" w:eastAsia="Times New Roman" w:hAnsi="Times New Roman" w:cs="Times New Roman"/>
                <w:sz w:val="24"/>
                <w:szCs w:val="24"/>
              </w:rPr>
              <w:t>LAEF ir vērsusi uzmanību, ka</w:t>
            </w:r>
            <w:r w:rsidR="00025734" w:rsidRPr="00D550E9">
              <w:rPr>
                <w:rFonts w:ascii="Times New Roman" w:eastAsia="Times New Roman" w:hAnsi="Times New Roman" w:cs="Times New Roman"/>
                <w:sz w:val="24"/>
                <w:szCs w:val="24"/>
              </w:rPr>
              <w:t xml:space="preserve"> slēdzot</w:t>
            </w:r>
            <w:r w:rsidR="00025734" w:rsidRPr="00025734">
              <w:rPr>
                <w:rFonts w:ascii="Times New Roman" w:eastAsia="Times New Roman" w:hAnsi="Times New Roman" w:cs="Times New Roman"/>
                <w:sz w:val="24"/>
                <w:szCs w:val="24"/>
              </w:rPr>
              <w:t xml:space="preserve"> tās AER stacijas, kuru izveidē vai modernizēšanā ieguldīts publiskais finansējums, tas ir, galvenokārt dažāda veida </w:t>
            </w:r>
            <w:r w:rsidR="00025734" w:rsidRPr="00CF6B7A">
              <w:rPr>
                <w:rFonts w:ascii="Times New Roman" w:eastAsia="Times New Roman" w:hAnsi="Times New Roman" w:cs="Times New Roman"/>
                <w:b/>
                <w:sz w:val="24"/>
                <w:szCs w:val="24"/>
              </w:rPr>
              <w:t>Eiropas Savienības fondu, bet arī citu finanšu instrumentu, kā arī Latvijas valsts budžeta līdzekļi projektu līdzfinansējuma</w:t>
            </w:r>
            <w:r w:rsidR="00025734" w:rsidRPr="00D731CC">
              <w:rPr>
                <w:rFonts w:ascii="Times New Roman" w:eastAsia="Times New Roman" w:hAnsi="Times New Roman" w:cs="Times New Roman"/>
                <w:sz w:val="24"/>
                <w:szCs w:val="24"/>
              </w:rPr>
              <w:t xml:space="preserve"> veidā, šie </w:t>
            </w:r>
            <w:r w:rsidR="00025734" w:rsidRPr="00CF6B7A">
              <w:rPr>
                <w:rFonts w:ascii="Times New Roman" w:eastAsia="Times New Roman" w:hAnsi="Times New Roman" w:cs="Times New Roman"/>
                <w:sz w:val="24"/>
                <w:szCs w:val="24"/>
              </w:rPr>
              <w:t>ieguldījumi</w:t>
            </w:r>
            <w:r w:rsidR="00025734" w:rsidRPr="00CF6B7A">
              <w:rPr>
                <w:rFonts w:ascii="Times New Roman" w:eastAsia="Times New Roman" w:hAnsi="Times New Roman" w:cs="Times New Roman"/>
                <w:b/>
                <w:sz w:val="24"/>
                <w:szCs w:val="24"/>
              </w:rPr>
              <w:t xml:space="preserve"> būs uzskatāmi par </w:t>
            </w:r>
            <w:r w:rsidRPr="00CF6B7A">
              <w:rPr>
                <w:rFonts w:ascii="Times New Roman" w:eastAsia="Times New Roman" w:hAnsi="Times New Roman" w:cs="Times New Roman"/>
                <w:b/>
                <w:sz w:val="24"/>
                <w:szCs w:val="24"/>
              </w:rPr>
              <w:t>nelietderīgi iztērētiem</w:t>
            </w:r>
            <w:r w:rsidR="00025734" w:rsidRPr="00D731CC">
              <w:rPr>
                <w:rFonts w:ascii="Times New Roman" w:eastAsia="Times New Roman" w:hAnsi="Times New Roman" w:cs="Times New Roman"/>
                <w:sz w:val="24"/>
                <w:szCs w:val="24"/>
              </w:rPr>
              <w:t xml:space="preserve">. </w:t>
            </w:r>
            <w:r w:rsidR="00CF6B7A">
              <w:rPr>
                <w:rFonts w:ascii="Times New Roman" w:eastAsia="Times New Roman" w:hAnsi="Times New Roman" w:cs="Times New Roman"/>
                <w:sz w:val="24"/>
                <w:szCs w:val="24"/>
              </w:rPr>
              <w:t>V</w:t>
            </w:r>
            <w:r w:rsidR="00025734" w:rsidRPr="00D731CC">
              <w:rPr>
                <w:rFonts w:ascii="Times New Roman" w:eastAsia="Times New Roman" w:hAnsi="Times New Roman" w:cs="Times New Roman"/>
                <w:sz w:val="24"/>
                <w:szCs w:val="24"/>
              </w:rPr>
              <w:t xml:space="preserve">isticamāk, ka </w:t>
            </w:r>
            <w:r w:rsidR="00025734" w:rsidRPr="00CF6B7A">
              <w:rPr>
                <w:rFonts w:ascii="Times New Roman" w:eastAsia="Times New Roman" w:hAnsi="Times New Roman" w:cs="Times New Roman"/>
                <w:b/>
                <w:sz w:val="24"/>
                <w:szCs w:val="24"/>
              </w:rPr>
              <w:t>no šiem līdzekļiem iegādātās vērtīgās un salīdzinoši jaunās ražošanas iekārtas tiks pārdotas uz ārvalstīm</w:t>
            </w:r>
            <w:r w:rsidR="00CF6B7A">
              <w:rPr>
                <w:rFonts w:ascii="Times New Roman" w:eastAsia="Times New Roman" w:hAnsi="Times New Roman" w:cs="Times New Roman"/>
                <w:sz w:val="24"/>
                <w:szCs w:val="24"/>
              </w:rPr>
              <w:t>,</w:t>
            </w:r>
            <w:r w:rsidR="00025734" w:rsidRPr="00D731CC">
              <w:rPr>
                <w:rFonts w:ascii="Times New Roman" w:eastAsia="Times New Roman" w:hAnsi="Times New Roman" w:cs="Times New Roman"/>
                <w:sz w:val="24"/>
                <w:szCs w:val="24"/>
              </w:rPr>
              <w:t xml:space="preserve"> galvenokārt, lai iegūtu līdzekļus kreditoru prasījumu segšanai, tādējādi neatgriezeniski zaudējot šo iekārtu jaudas Latvijas enerģētikas bilancē. </w:t>
            </w:r>
          </w:p>
          <w:p w14:paraId="11A4E0DE" w14:textId="77777777" w:rsidR="004B2695" w:rsidRPr="004B2695" w:rsidRDefault="004B2695" w:rsidP="004B2695">
            <w:pPr>
              <w:spacing w:before="120" w:after="120" w:line="240" w:lineRule="auto"/>
              <w:jc w:val="both"/>
              <w:rPr>
                <w:rFonts w:ascii="Times New Roman" w:hAnsi="Times New Roman" w:cs="Times New Roman"/>
                <w:sz w:val="24"/>
                <w:szCs w:val="24"/>
              </w:rPr>
            </w:pPr>
          </w:p>
          <w:p w14:paraId="0EE1F300" w14:textId="77777777" w:rsidR="00A20159" w:rsidRPr="005E4588" w:rsidRDefault="00A20159" w:rsidP="004B2695">
            <w:pPr>
              <w:pStyle w:val="paragraph"/>
              <w:spacing w:before="120" w:beforeAutospacing="0" w:after="120" w:afterAutospacing="0"/>
              <w:textAlignment w:val="baseline"/>
              <w:rPr>
                <w:rFonts w:ascii="Segoe UI" w:hAnsi="Segoe UI" w:cs="Segoe UI"/>
                <w:b/>
                <w:i/>
                <w:sz w:val="18"/>
                <w:szCs w:val="18"/>
              </w:rPr>
            </w:pPr>
            <w:r w:rsidRPr="00A20159">
              <w:rPr>
                <w:rStyle w:val="normaltextrun"/>
                <w:b/>
                <w:i/>
              </w:rPr>
              <w:t>2.2. Tiesiskuma apsvērumi</w:t>
            </w:r>
            <w:r w:rsidRPr="005E4588">
              <w:rPr>
                <w:rStyle w:val="eop"/>
                <w:b/>
                <w:i/>
              </w:rPr>
              <w:t> </w:t>
            </w:r>
          </w:p>
          <w:p w14:paraId="1D4B156F" w14:textId="72BD0167" w:rsidR="00576367" w:rsidRDefault="00DF199D" w:rsidP="004B2695">
            <w:pPr>
              <w:pStyle w:val="paragraph"/>
              <w:spacing w:before="120" w:beforeAutospacing="0" w:after="120" w:afterAutospacing="0"/>
              <w:jc w:val="both"/>
              <w:textAlignment w:val="baseline"/>
              <w:rPr>
                <w:rStyle w:val="normaltextrun"/>
              </w:rPr>
            </w:pPr>
            <w:r w:rsidRPr="00DF199D">
              <w:rPr>
                <w:rStyle w:val="normaltextrun"/>
              </w:rPr>
              <w:t>LAEF ir norādījusi, ka</w:t>
            </w:r>
            <w:r>
              <w:rPr>
                <w:rStyle w:val="normaltextrun"/>
              </w:rPr>
              <w:t xml:space="preserve"> būtiski ņemt vērā to, ka</w:t>
            </w:r>
            <w:r w:rsidRPr="00DF199D">
              <w:rPr>
                <w:rStyle w:val="normaltextrun"/>
              </w:rPr>
              <w:t xml:space="preserve"> </w:t>
            </w:r>
            <w:r w:rsidRPr="00573CC5">
              <w:rPr>
                <w:rStyle w:val="normaltextrun"/>
                <w:b/>
              </w:rPr>
              <w:t xml:space="preserve">OI tiesības ir bijušas likumīgi noteiktas un uzņēmumi neuzsāka </w:t>
            </w:r>
            <w:r w:rsidR="00CC559F">
              <w:rPr>
                <w:rStyle w:val="normaltextrun"/>
                <w:b/>
              </w:rPr>
              <w:t>atjaunojamās enerģijas</w:t>
            </w:r>
            <w:r w:rsidRPr="00573CC5">
              <w:rPr>
                <w:rStyle w:val="normaltextrun"/>
                <w:b/>
              </w:rPr>
              <w:t xml:space="preserve"> ražošanu bez detalizēta saskaņojuma saņemšanas no valsts</w:t>
            </w:r>
            <w:r w:rsidRPr="00DF199D">
              <w:rPr>
                <w:rStyle w:val="normaltextrun"/>
              </w:rPr>
              <w:t xml:space="preserve"> un, uzsākot komercdarbību, šie komersanti rēķinājās ar tajā brīdī spēkā esošo tiesisko regulējumu un paļāvās uz to.</w:t>
            </w:r>
          </w:p>
          <w:p w14:paraId="648216A4" w14:textId="182942CE" w:rsidR="003901BF" w:rsidRDefault="003901BF" w:rsidP="004B2695">
            <w:pPr>
              <w:pStyle w:val="paragraph"/>
              <w:spacing w:before="120" w:beforeAutospacing="0" w:after="120" w:afterAutospacing="0"/>
              <w:jc w:val="both"/>
              <w:textAlignment w:val="baseline"/>
            </w:pPr>
            <w:r>
              <w:t xml:space="preserve">Tāpat </w:t>
            </w:r>
            <w:r w:rsidR="00CC559F">
              <w:t>atjaunojamās enerģijas</w:t>
            </w:r>
            <w:r>
              <w:t xml:space="preserve"> nozari pārstāvošā asociācija ir vērsusi uzmanību uz to, ka saskaņā ar </w:t>
            </w:r>
            <w:r w:rsidRPr="00945B11">
              <w:t xml:space="preserve">2016.gadā pieņemtajiem grozījumiem </w:t>
            </w:r>
            <w:r>
              <w:lastRenderedPageBreak/>
              <w:t>normatīvajos aktos</w:t>
            </w:r>
            <w:r w:rsidRPr="00945B11">
              <w:t xml:space="preserve">, kas stājās spēkā 2017. gada 1.maijā, </w:t>
            </w:r>
            <w:r w:rsidRPr="003901BF">
              <w:rPr>
                <w:b/>
              </w:rPr>
              <w:t xml:space="preserve">EM ir veikusi apjomīgu elektrostaciju </w:t>
            </w:r>
            <w:r>
              <w:rPr>
                <w:b/>
              </w:rPr>
              <w:t xml:space="preserve">kopējo </w:t>
            </w:r>
            <w:r w:rsidRPr="003901BF">
              <w:rPr>
                <w:b/>
              </w:rPr>
              <w:t xml:space="preserve">kapitālieguldījumu iekšējās peļņas normas (IRR) izvērtēšanu, tādējādi nodrošinot jebkādas elektrostaciju pārkompensācijas novēršanu </w:t>
            </w:r>
            <w:r w:rsidR="00CC559F">
              <w:rPr>
                <w:b/>
              </w:rPr>
              <w:t>atjaunojamās enerģijas</w:t>
            </w:r>
            <w:r w:rsidRPr="003901BF">
              <w:rPr>
                <w:b/>
              </w:rPr>
              <w:t xml:space="preserve"> nozarē</w:t>
            </w:r>
            <w:r w:rsidRPr="003901BF">
              <w:t>.</w:t>
            </w:r>
            <w:r w:rsidRPr="00945B11">
              <w:t xml:space="preserve"> LAEF </w:t>
            </w:r>
            <w:r>
              <w:t>ieskatā kopējo kapitālieguldījumu</w:t>
            </w:r>
            <w:r w:rsidRPr="00945B11">
              <w:t xml:space="preserve"> IRR noteikšanas process un tā </w:t>
            </w:r>
            <w:r w:rsidRPr="003901BF">
              <w:t>rezultāts katrā individuālā gadījumā ir būtisks apstāklis, kas stiprina katra attiecīgā elektroenerģijas ražotāja tiesisko paļāvību, konkrēti, to, ka likumā paredzētā kārtībā ir konstatēts, ka viņa peļņa ir vērtējama kā saprātīga un ka viņam ir visas tiesības šādu peļņu saņemt visā viņam piešķirto OI tiesību atlikušajā periodā.</w:t>
            </w:r>
          </w:p>
          <w:p w14:paraId="6DAB912E" w14:textId="3F83850E" w:rsidR="009A243C" w:rsidRDefault="00980945" w:rsidP="004B2695">
            <w:pPr>
              <w:pStyle w:val="ListParagraph"/>
              <w:spacing w:before="120" w:after="120" w:line="240" w:lineRule="auto"/>
              <w:ind w:left="0"/>
              <w:contextualSpacing w:val="0"/>
              <w:jc w:val="both"/>
              <w:rPr>
                <w:rFonts w:ascii="Times New Roman" w:hAnsi="Times New Roman" w:cs="Times New Roman"/>
                <w:sz w:val="24"/>
                <w:szCs w:val="24"/>
              </w:rPr>
            </w:pPr>
            <w:r w:rsidRPr="00980945">
              <w:rPr>
                <w:rFonts w:ascii="Times New Roman" w:hAnsi="Times New Roman" w:cs="Times New Roman"/>
                <w:b/>
                <w:sz w:val="24"/>
                <w:szCs w:val="24"/>
              </w:rPr>
              <w:t>A</w:t>
            </w:r>
            <w:r w:rsidR="00CC559F">
              <w:rPr>
                <w:rFonts w:ascii="Times New Roman" w:hAnsi="Times New Roman" w:cs="Times New Roman"/>
                <w:b/>
                <w:sz w:val="24"/>
                <w:szCs w:val="24"/>
              </w:rPr>
              <w:t>tjaunojamās</w:t>
            </w:r>
            <w:r w:rsidRPr="00980945">
              <w:rPr>
                <w:rFonts w:ascii="Times New Roman" w:hAnsi="Times New Roman" w:cs="Times New Roman"/>
                <w:b/>
                <w:sz w:val="24"/>
                <w:szCs w:val="24"/>
              </w:rPr>
              <w:t xml:space="preserve"> enerģijas ražotāji arī ir norādījuši, ka atceļot OI tiesības, tie vērsīsies Satversmes tiesā un, vajadzības gadījumā, arī Eiropas Cilvēktiesību tiesā</w:t>
            </w:r>
            <w:r w:rsidRPr="00980945">
              <w:rPr>
                <w:rFonts w:ascii="Times New Roman" w:hAnsi="Times New Roman" w:cs="Times New Roman"/>
                <w:sz w:val="24"/>
                <w:szCs w:val="24"/>
              </w:rPr>
              <w:t xml:space="preserve">. Tāpat ražotāji ir norādījuši, ka lielākajai daļai no nozarē strādājošajiem </w:t>
            </w:r>
            <w:r w:rsidR="00CC559F">
              <w:rPr>
                <w:rFonts w:ascii="Times New Roman" w:hAnsi="Times New Roman" w:cs="Times New Roman"/>
                <w:sz w:val="24"/>
                <w:szCs w:val="24"/>
              </w:rPr>
              <w:t>atjaunojamās enerģijas</w:t>
            </w:r>
            <w:r w:rsidRPr="00980945">
              <w:rPr>
                <w:rFonts w:ascii="Times New Roman" w:hAnsi="Times New Roman" w:cs="Times New Roman"/>
                <w:sz w:val="24"/>
                <w:szCs w:val="24"/>
              </w:rPr>
              <w:t xml:space="preserve"> ražotājiem investīcijas </w:t>
            </w:r>
            <w:r w:rsidRPr="00980945">
              <w:rPr>
                <w:rFonts w:ascii="Times New Roman" w:hAnsi="Times New Roman" w:cs="Times New Roman"/>
                <w:b/>
                <w:sz w:val="24"/>
                <w:szCs w:val="24"/>
              </w:rPr>
              <w:t>elektrostaciju izveidei ir tikušas piesaistītas no ārvalstīm</w:t>
            </w:r>
            <w:r w:rsidRPr="00980945">
              <w:rPr>
                <w:rFonts w:ascii="Times New Roman" w:hAnsi="Times New Roman" w:cs="Times New Roman"/>
                <w:sz w:val="24"/>
                <w:szCs w:val="24"/>
              </w:rPr>
              <w:t>, kādēļ investoriem ir tiesības prasīt atlīdzību gan par radītajiem zaudējumiem, gan nākotnē paredzamās peļņas atrāvumu savu investīciju aizsardzībai, vēršoties pret Latvijas valsti dažādās starptautiskajās šķīrējtiesās.</w:t>
            </w:r>
          </w:p>
          <w:p w14:paraId="69ED785C" w14:textId="03891A4E" w:rsidR="007847F0" w:rsidRPr="007847F0" w:rsidRDefault="005F68CE" w:rsidP="004B2695">
            <w:pPr>
              <w:pStyle w:val="ListParagraph"/>
              <w:spacing w:before="120" w:after="120" w:line="240" w:lineRule="auto"/>
              <w:ind w:left="0"/>
              <w:contextualSpacing w:val="0"/>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LAEF ieskatā n</w:t>
            </w:r>
            <w:r w:rsidR="00576367" w:rsidRPr="00576367">
              <w:rPr>
                <w:rStyle w:val="normaltextrun"/>
                <w:rFonts w:ascii="Times New Roman" w:hAnsi="Times New Roman" w:cs="Times New Roman"/>
                <w:sz w:val="24"/>
                <w:szCs w:val="24"/>
              </w:rPr>
              <w:t xml:space="preserve">ormatīvo aktu grozījumi OIK atcelšanai no 2019. gada 31. marta būtu prettiesiski un </w:t>
            </w:r>
            <w:r w:rsidR="00576367" w:rsidRPr="005F68CE">
              <w:rPr>
                <w:rStyle w:val="normaltextrun"/>
                <w:rFonts w:ascii="Times New Roman" w:hAnsi="Times New Roman" w:cs="Times New Roman"/>
                <w:b/>
                <w:sz w:val="24"/>
                <w:szCs w:val="24"/>
              </w:rPr>
              <w:t>neatbilstu tiesiskās paļāvības principam, kā arī pārkāptu Satversmes 105.pantā nostiprinātās tiesības uz īpašumu.</w:t>
            </w:r>
            <w:r w:rsidR="00576367" w:rsidRPr="00576367">
              <w:rPr>
                <w:rStyle w:val="normaltextrun"/>
                <w:rFonts w:ascii="Times New Roman" w:hAnsi="Times New Roman" w:cs="Times New Roman"/>
                <w:sz w:val="24"/>
                <w:szCs w:val="24"/>
              </w:rPr>
              <w:t xml:space="preserve"> </w:t>
            </w:r>
            <w:r w:rsidR="006D777E">
              <w:rPr>
                <w:rStyle w:val="normaltextrun"/>
                <w:rFonts w:ascii="Times New Roman" w:hAnsi="Times New Roman" w:cs="Times New Roman"/>
                <w:sz w:val="24"/>
                <w:szCs w:val="24"/>
              </w:rPr>
              <w:t>LAEF ieskatā a</w:t>
            </w:r>
            <w:r w:rsidR="00576367" w:rsidRPr="00576367">
              <w:rPr>
                <w:rStyle w:val="normaltextrun"/>
                <w:rFonts w:ascii="Times New Roman" w:hAnsi="Times New Roman" w:cs="Times New Roman"/>
                <w:sz w:val="24"/>
                <w:szCs w:val="24"/>
              </w:rPr>
              <w:t>tbilstoši tiesiskas valsts principam uzņēmēji ar OI ieviešanu un vēlāk veikto IRR aprēķināšanu varēja būt droši un tiesiski pārliecināti, ka valsts vienotā politika enerģētikas jautājumos un atbildība kā Eiropas Savienības dalībvalstij tik krasi nemainīs noteikumus komersantiem, kas jau veikuši ieguldījumus, un sniegs atbilstošu samaksu par sniegto pakalpojumu.</w:t>
            </w:r>
          </w:p>
          <w:p w14:paraId="7439DCF8" w14:textId="77777777" w:rsidR="00244945" w:rsidRPr="00EB55C2" w:rsidRDefault="00244945" w:rsidP="00244945">
            <w:pPr>
              <w:pStyle w:val="ListParagraph"/>
              <w:spacing w:before="120" w:after="120" w:line="240" w:lineRule="auto"/>
              <w:ind w:left="0"/>
              <w:contextualSpacing w:val="0"/>
              <w:jc w:val="both"/>
              <w:rPr>
                <w:rStyle w:val="normaltextrun"/>
                <w:rFonts w:ascii="Times New Roman" w:hAnsi="Times New Roman" w:cs="Times New Roman"/>
                <w:b/>
                <w:i/>
                <w:sz w:val="24"/>
                <w:szCs w:val="24"/>
              </w:rPr>
            </w:pPr>
            <w:proofErr w:type="spellStart"/>
            <w:r w:rsidRPr="00EB55C2">
              <w:rPr>
                <w:rStyle w:val="normaltextrun"/>
                <w:rFonts w:ascii="Times New Roman" w:hAnsi="Times New Roman" w:cs="Times New Roman"/>
                <w:b/>
                <w:i/>
                <w:sz w:val="24"/>
                <w:szCs w:val="24"/>
              </w:rPr>
              <w:t>Satversmība</w:t>
            </w:r>
            <w:proofErr w:type="spellEnd"/>
          </w:p>
          <w:p w14:paraId="6ADF1CBD"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Satversmes 105.pants nosaka, 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14:paraId="0C5E683D"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Atbilstoši Satversmes tiesas praksei par īpašumu var tikt uzskatīti tādi prasījumi, kuru izpildi varētu pieprasīt, ja pastāvētu skaidrs tiesisks pamats. Arī nākotnes ienākumi uzskatāmi par īpašumu tad, ja tie jau ir nopelnīti vai pastāv prasība, kuru var apmierināt. </w:t>
            </w:r>
            <w:r w:rsidRPr="00EB55C2">
              <w:rPr>
                <w:rStyle w:val="normaltextrun"/>
                <w:rFonts w:ascii="Times New Roman" w:hAnsi="Times New Roman" w:cs="Times New Roman"/>
                <w:b/>
                <w:sz w:val="24"/>
                <w:szCs w:val="24"/>
              </w:rPr>
              <w:t xml:space="preserve"> Ņemot vērā minēto, tiesības pārdot elektroenerģiju obligātā iepirkuma ietvaros ir uzskatāmas par īpašumu un kā tādas aizsargātas ar Satversmi.</w:t>
            </w:r>
          </w:p>
          <w:p w14:paraId="1CD19D17" w14:textId="77777777" w:rsidR="00244945" w:rsidRPr="00EB55C2" w:rsidRDefault="00244945" w:rsidP="00244945">
            <w:pPr>
              <w:spacing w:before="120" w:after="120" w:line="240" w:lineRule="auto"/>
              <w:jc w:val="both"/>
              <w:rPr>
                <w:rStyle w:val="normaltextrun"/>
                <w:rFonts w:ascii="Times New Roman" w:hAnsi="Times New Roman" w:cs="Times New Roman"/>
                <w:b/>
                <w:sz w:val="24"/>
                <w:szCs w:val="24"/>
              </w:rPr>
            </w:pPr>
            <w:r w:rsidRPr="00EB55C2">
              <w:rPr>
                <w:rStyle w:val="normaltextrun"/>
                <w:rFonts w:ascii="Times New Roman" w:hAnsi="Times New Roman" w:cs="Times New Roman"/>
                <w:sz w:val="24"/>
                <w:szCs w:val="24"/>
              </w:rPr>
              <w:t xml:space="preserve">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EB55C2">
              <w:rPr>
                <w:rStyle w:val="normaltextrun"/>
                <w:rFonts w:ascii="Times New Roman" w:hAnsi="Times New Roman" w:cs="Times New Roman"/>
                <w:b/>
                <w:sz w:val="24"/>
                <w:szCs w:val="24"/>
              </w:rPr>
              <w:t>Ņemot vērā minēto, tiesības pārdot elektroenerģiju obligātā iepirkuma ietvaros var ierobežot, ja vien ierobežojumi ir noteikti ar likumu leģitīma mērķa labad un ir samērīgi ar šo mērķi.</w:t>
            </w:r>
          </w:p>
          <w:p w14:paraId="30844649"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lastRenderedPageBreak/>
              <w:t xml:space="preserve">Satversmes tiesa izskata lietas par likumu un citu normatīvo aktu atbilstību Latvijas Republikas Satversmei. </w:t>
            </w:r>
          </w:p>
          <w:p w14:paraId="5D892A92"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No Satversmes tiesas prakses izriet turpmāk minētie kritēriji, vērtējot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ierobežošanu (turpmāk tekstā arī </w:t>
            </w:r>
            <w:proofErr w:type="spellStart"/>
            <w:r w:rsidRPr="00EB55C2">
              <w:rPr>
                <w:rStyle w:val="normaltextrun"/>
                <w:rFonts w:ascii="Times New Roman" w:hAnsi="Times New Roman" w:cs="Times New Roman"/>
                <w:sz w:val="24"/>
                <w:szCs w:val="24"/>
              </w:rPr>
              <w:t>Konstitucionalitātes</w:t>
            </w:r>
            <w:proofErr w:type="spellEnd"/>
            <w:r w:rsidRPr="00EB55C2">
              <w:rPr>
                <w:rStyle w:val="normaltextrun"/>
                <w:rFonts w:ascii="Times New Roman" w:hAnsi="Times New Roman" w:cs="Times New Roman"/>
                <w:sz w:val="24"/>
                <w:szCs w:val="24"/>
              </w:rPr>
              <w:t xml:space="preserve"> tests): </w:t>
            </w:r>
          </w:p>
          <w:p w14:paraId="72330AE3"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1) vai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ierobežojums noteikts ar likumu;</w:t>
            </w:r>
          </w:p>
          <w:p w14:paraId="2B359D3A"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2) vai ierobežojumam ir leģitīms mērķis;</w:t>
            </w:r>
          </w:p>
          <w:p w14:paraId="42DD902A"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3) vai ierobežojums atbilst samērīguma principam jeb vai izraudzītie līdzekļi ir samērīgi ar ierobežojuma leģitīmo mērķi. </w:t>
            </w:r>
          </w:p>
          <w:p w14:paraId="48F069C8"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Izvērtējot, vai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ierobežojumam ir leģitīmais mērķis Satversmes tiesa vērtē apstākļus un argumentus, kādēļ tas vajadzīgs. Ierobežojumam jābūt noteiktam svarīgu interešu – leģitīma mērķa labad.</w:t>
            </w:r>
          </w:p>
          <w:p w14:paraId="4A170548"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Lai secinātu, vai ir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ierobežojums atbilst samērīguma principam, Satversmes tiesa noskaidro, vai:</w:t>
            </w:r>
          </w:p>
          <w:p w14:paraId="70327D03"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a) likumdevēja izraudzītie līdzekļi ir piemēroti leģitīmā mērķa sasniegšanai;</w:t>
            </w:r>
          </w:p>
          <w:p w14:paraId="5BF2BE78"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b) vai nav saudzējošāku līdzekļu leģitīmā mērķa sasniegšanai;</w:t>
            </w:r>
          </w:p>
          <w:p w14:paraId="0A81EE78"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c) vai likumdevēja rīcība ir atbilstoša. </w:t>
            </w:r>
          </w:p>
          <w:p w14:paraId="35A62226"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Likumdevēja izraudzītais līdzeklis ir piemērots leģitīmā mērķa sasniegšanai, ja ar konkrēto regulējumu šis mērķis tiek sasniegts. Satversmes tiesa ir norādījusi, ka valstij ir pienākums radīt atbilstošus tiesiskos instrumentus leģitīmā mērķa sasniegšanai.</w:t>
            </w:r>
          </w:p>
          <w:p w14:paraId="4178DA41"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ierobežojums ir nepieciešams, ja nepastāv citi līdzekļi, kuri būtu tikpat iedarbīgi un kurus izvēloties, </w:t>
            </w:r>
            <w:proofErr w:type="spellStart"/>
            <w:r w:rsidRPr="00EB55C2">
              <w:rPr>
                <w:rStyle w:val="normaltextrun"/>
                <w:rFonts w:ascii="Times New Roman" w:hAnsi="Times New Roman" w:cs="Times New Roman"/>
                <w:sz w:val="24"/>
                <w:szCs w:val="24"/>
              </w:rPr>
              <w:t>pamattiesības</w:t>
            </w:r>
            <w:proofErr w:type="spellEnd"/>
            <w:r w:rsidRPr="00EB55C2">
              <w:rPr>
                <w:rStyle w:val="normaltextrun"/>
                <w:rFonts w:ascii="Times New Roman" w:hAnsi="Times New Roman" w:cs="Times New Roman"/>
                <w:sz w:val="24"/>
                <w:szCs w:val="24"/>
              </w:rPr>
              <w:t xml:space="preserve"> tiktu ierobežotas mazāk. Vērtējot to, vai leģitīmo mērķi var sasniegt ar alternatīviem līdzekļiem, Satversmes tiesa vienmēr uzsver to, ka saudzējošāks līdzeklis ir nevis jebkurš cits, bet gan tikai tāds līdzeklis, ar kuru var sasniegt leģitīmo mērķi vismaz tādā kvalitātē.</w:t>
            </w:r>
          </w:p>
          <w:p w14:paraId="5459D045"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Izvērtējot to, vai likumdevēja rīcība, nosakot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ierobežojumu, ir atbilstoša, Satversmes tiesa pārliecinās par to, vai nelabvēlīgās sekas, kas personai rodas tās </w:t>
            </w:r>
            <w:proofErr w:type="spellStart"/>
            <w:r w:rsidRPr="00EB55C2">
              <w:rPr>
                <w:rStyle w:val="normaltextrun"/>
                <w:rFonts w:ascii="Times New Roman" w:hAnsi="Times New Roman" w:cs="Times New Roman"/>
                <w:sz w:val="24"/>
                <w:szCs w:val="24"/>
              </w:rPr>
              <w:t>pamattiesību</w:t>
            </w:r>
            <w:proofErr w:type="spellEnd"/>
            <w:r w:rsidRPr="00EB55C2">
              <w:rPr>
                <w:rStyle w:val="normaltextrun"/>
                <w:rFonts w:ascii="Times New Roman" w:hAnsi="Times New Roman" w:cs="Times New Roman"/>
                <w:sz w:val="24"/>
                <w:szCs w:val="24"/>
              </w:rPr>
              <w:t xml:space="preserve"> ierobežojuma rezultātā, nav lielākas par labumu, ko no šā ierobežojuma gūst sabiedrība kopumā. Izvērtējot atbilstību šim samērīguma kritērijam, notiek personas un sabiedrības interešu svēršana. </w:t>
            </w:r>
          </w:p>
          <w:p w14:paraId="1497CD0C" w14:textId="77777777" w:rsidR="00244945" w:rsidRPr="00EB55C2"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 xml:space="preserve">Ņemot vērā minēto, Elektroenerģijas obligātā iepirkuma maksājumu sistēmas atcelšanas instrumentiem ir jāatbilst </w:t>
            </w:r>
            <w:proofErr w:type="spellStart"/>
            <w:r w:rsidRPr="00EB55C2">
              <w:rPr>
                <w:rStyle w:val="normaltextrun"/>
                <w:rFonts w:ascii="Times New Roman" w:hAnsi="Times New Roman" w:cs="Times New Roman"/>
                <w:sz w:val="24"/>
                <w:szCs w:val="24"/>
              </w:rPr>
              <w:t>Konstitucionalitātes</w:t>
            </w:r>
            <w:proofErr w:type="spellEnd"/>
            <w:r w:rsidRPr="00EB55C2">
              <w:rPr>
                <w:rStyle w:val="normaltextrun"/>
                <w:rFonts w:ascii="Times New Roman" w:hAnsi="Times New Roman" w:cs="Times New Roman"/>
                <w:sz w:val="24"/>
                <w:szCs w:val="24"/>
              </w:rPr>
              <w:t xml:space="preserve"> testam, lai tie tiktu uzskatīti par atbilstošiem Latvijas Republikas Satversmei.</w:t>
            </w:r>
          </w:p>
          <w:p w14:paraId="415C00FB" w14:textId="5B9D2BDB" w:rsidR="00244945" w:rsidRPr="00360B9C" w:rsidRDefault="00244945" w:rsidP="00360B9C">
            <w:pPr>
              <w:spacing w:before="120" w:after="120" w:line="240" w:lineRule="auto"/>
              <w:jc w:val="both"/>
              <w:rPr>
                <w:rStyle w:val="normaltextrun"/>
                <w:rFonts w:ascii="Times New Roman" w:hAnsi="Times New Roman" w:cs="Times New Roman"/>
                <w:b/>
                <w:sz w:val="24"/>
                <w:szCs w:val="24"/>
              </w:rPr>
            </w:pPr>
            <w:bookmarkStart w:id="13" w:name="_Hlk3790707"/>
            <w:r w:rsidRPr="00360B9C">
              <w:rPr>
                <w:rStyle w:val="normaltextrun"/>
                <w:rFonts w:ascii="Times New Roman" w:hAnsi="Times New Roman" w:cs="Times New Roman"/>
                <w:b/>
                <w:sz w:val="24"/>
                <w:szCs w:val="24"/>
              </w:rPr>
              <w:t xml:space="preserve">Izskatāmajā gadījumā ierobežojums tiks noteikts ar likumu. Saeima savā 2019.gada 10.janvāra lēmumā </w:t>
            </w:r>
            <w:r w:rsidR="00360B9C" w:rsidRPr="00360B9C">
              <w:rPr>
                <w:rStyle w:val="normaltextrun"/>
                <w:rFonts w:ascii="Times New Roman" w:hAnsi="Times New Roman" w:cs="Times New Roman"/>
                <w:b/>
                <w:sz w:val="24"/>
                <w:szCs w:val="24"/>
              </w:rPr>
              <w:t>ir</w:t>
            </w:r>
            <w:r w:rsidRPr="00360B9C">
              <w:rPr>
                <w:rStyle w:val="normaltextrun"/>
                <w:rFonts w:ascii="Times New Roman" w:hAnsi="Times New Roman" w:cs="Times New Roman"/>
                <w:b/>
                <w:sz w:val="24"/>
                <w:szCs w:val="24"/>
              </w:rPr>
              <w:t xml:space="preserve"> norādījusi tās uzdevuma mērķi</w:t>
            </w:r>
            <w:r w:rsidR="00360B9C" w:rsidRPr="00360B9C">
              <w:rPr>
                <w:rStyle w:val="normaltextrun"/>
                <w:rFonts w:ascii="Times New Roman" w:hAnsi="Times New Roman" w:cs="Times New Roman"/>
                <w:b/>
                <w:sz w:val="24"/>
                <w:szCs w:val="24"/>
              </w:rPr>
              <w:t xml:space="preserve"> - samazināt elektroenerģijas izmaksas visiem Latvijas elektroenerģijas patērētājiem</w:t>
            </w:r>
            <w:r w:rsidRPr="00360B9C">
              <w:rPr>
                <w:rStyle w:val="normaltextrun"/>
                <w:rFonts w:ascii="Times New Roman" w:hAnsi="Times New Roman" w:cs="Times New Roman"/>
                <w:b/>
                <w:sz w:val="24"/>
                <w:szCs w:val="24"/>
              </w:rPr>
              <w:t xml:space="preserve">. </w:t>
            </w:r>
          </w:p>
          <w:bookmarkEnd w:id="13"/>
          <w:p w14:paraId="019E6DE3"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EB55C2">
              <w:rPr>
                <w:rStyle w:val="normaltextrun"/>
                <w:rFonts w:ascii="Times New Roman" w:hAnsi="Times New Roman" w:cs="Times New Roman"/>
                <w:sz w:val="24"/>
                <w:szCs w:val="24"/>
              </w:rPr>
              <w:t>Ņemot vērā minēto, grozījumi ir sagatavoti leģitīma mērķa sasniegšanai un mērķis ar tiem tiks sasniegts. Vienlaikus ir konstatējams, ka bez atbalsta saņemšanas staciju, kuras pārdod elektroenerģiju obligātā iepirkuma ietvaros pastāvēšana ir apdraudēta. Ņemot vērā minēto</w:t>
            </w:r>
            <w:r w:rsidRPr="00360B9C">
              <w:rPr>
                <w:rStyle w:val="normaltextrun"/>
                <w:rFonts w:ascii="Times New Roman" w:hAnsi="Times New Roman" w:cs="Times New Roman"/>
                <w:b/>
                <w:sz w:val="24"/>
                <w:szCs w:val="24"/>
              </w:rPr>
              <w:t xml:space="preserve">, šāda instrumentu ieviešana var būt konfiscējoša rakstura un var būt pamatota īpašos </w:t>
            </w:r>
            <w:r w:rsidRPr="00360B9C">
              <w:rPr>
                <w:rStyle w:val="normaltextrun"/>
                <w:rFonts w:ascii="Times New Roman" w:hAnsi="Times New Roman" w:cs="Times New Roman"/>
                <w:b/>
                <w:sz w:val="24"/>
                <w:szCs w:val="24"/>
              </w:rPr>
              <w:lastRenderedPageBreak/>
              <w:t>izņēmuma gadījumos, piemēram, ja valstī ir iestājusies ekonomiskā krīze</w:t>
            </w:r>
            <w:r w:rsidRPr="00EB55C2">
              <w:rPr>
                <w:rStyle w:val="normaltextrun"/>
                <w:rFonts w:ascii="Times New Roman" w:hAnsi="Times New Roman" w:cs="Times New Roman"/>
                <w:sz w:val="24"/>
                <w:szCs w:val="24"/>
              </w:rPr>
              <w:t>.</w:t>
            </w:r>
            <w:r w:rsidRPr="00360B9C">
              <w:rPr>
                <w:rStyle w:val="FootnoteReference"/>
                <w:rFonts w:ascii="Times New Roman" w:hAnsi="Times New Roman" w:cs="Times New Roman"/>
                <w:sz w:val="24"/>
                <w:szCs w:val="24"/>
              </w:rPr>
              <w:footnoteReference w:id="24"/>
            </w:r>
            <w:r w:rsidRPr="00360B9C">
              <w:rPr>
                <w:rStyle w:val="normaltextrun"/>
                <w:rFonts w:ascii="Times New Roman" w:hAnsi="Times New Roman" w:cs="Times New Roman"/>
                <w:sz w:val="24"/>
                <w:szCs w:val="24"/>
              </w:rPr>
              <w:t xml:space="preserve">  </w:t>
            </w:r>
          </w:p>
          <w:p w14:paraId="35EA42A1" w14:textId="57D561AB" w:rsidR="00244945" w:rsidRPr="00360B9C" w:rsidRDefault="00244945" w:rsidP="00244945">
            <w:pPr>
              <w:pStyle w:val="ListParagraph"/>
              <w:spacing w:before="120" w:after="120" w:line="240" w:lineRule="auto"/>
              <w:ind w:left="0"/>
              <w:contextualSpacing w:val="0"/>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Saeima savā paziņojumā nav norādījusi pamatojumu šāda risinājuma piemērošanas nepieciešamību trīs mēnešu laikā, no tā pieņemšanas brīža. Tāpat arī no anotācijā norādītā ekonomiskā izvērtējuma nav konstatējams pamats šāda risinājuma piemērošanai. Turklāt Ekonomikas ministrijas informatīvajā ziņojumā “Par risinājumiem obligātā iepirkuma mehānisma atcelšanai un ilgtspējīgai atjaunojamās enerģijas ražošanai”</w:t>
            </w:r>
            <w:r w:rsidR="00360B9C">
              <w:rPr>
                <w:rStyle w:val="FootnoteReference"/>
                <w:rFonts w:ascii="Times New Roman" w:hAnsi="Times New Roman" w:cs="Times New Roman"/>
                <w:sz w:val="24"/>
                <w:szCs w:val="24"/>
              </w:rPr>
              <w:footnoteReference w:id="25"/>
            </w:r>
            <w:r w:rsidRPr="00360B9C">
              <w:rPr>
                <w:rStyle w:val="normaltextrun"/>
                <w:rFonts w:ascii="Times New Roman" w:hAnsi="Times New Roman" w:cs="Times New Roman"/>
                <w:sz w:val="24"/>
                <w:szCs w:val="24"/>
              </w:rPr>
              <w:t xml:space="preserve"> ir konstatēti citi iespējami risinājumi OIK </w:t>
            </w:r>
            <w:r w:rsidR="00360B9C">
              <w:rPr>
                <w:rStyle w:val="normaltextrun"/>
                <w:rFonts w:ascii="Times New Roman" w:hAnsi="Times New Roman" w:cs="Times New Roman"/>
                <w:sz w:val="24"/>
                <w:szCs w:val="24"/>
              </w:rPr>
              <w:t>ietekmes mazināšanai un pakāpeniskai atcelšanai</w:t>
            </w:r>
            <w:r w:rsidRPr="00360B9C">
              <w:rPr>
                <w:rStyle w:val="normaltextrun"/>
                <w:rFonts w:ascii="Times New Roman" w:hAnsi="Times New Roman" w:cs="Times New Roman"/>
                <w:sz w:val="24"/>
                <w:szCs w:val="24"/>
              </w:rPr>
              <w:t>.</w:t>
            </w:r>
          </w:p>
          <w:p w14:paraId="770AF7EC" w14:textId="3010D1A3" w:rsidR="00244945" w:rsidRPr="00360B9C" w:rsidRDefault="00244945" w:rsidP="00244945">
            <w:pPr>
              <w:pStyle w:val="ListParagraph"/>
              <w:spacing w:before="120" w:after="120" w:line="240" w:lineRule="auto"/>
              <w:ind w:left="0"/>
              <w:contextualSpacing w:val="0"/>
              <w:jc w:val="both"/>
              <w:rPr>
                <w:rStyle w:val="normaltextrun"/>
                <w:rFonts w:ascii="Times New Roman" w:hAnsi="Times New Roman" w:cs="Times New Roman"/>
                <w:sz w:val="24"/>
                <w:szCs w:val="24"/>
              </w:rPr>
            </w:pPr>
            <w:r w:rsidRPr="00360B9C">
              <w:rPr>
                <w:rStyle w:val="normaltextrun"/>
                <w:rFonts w:ascii="Times New Roman" w:hAnsi="Times New Roman" w:cs="Times New Roman"/>
                <w:b/>
                <w:sz w:val="24"/>
                <w:szCs w:val="24"/>
              </w:rPr>
              <w:t>Ņemot</w:t>
            </w:r>
            <w:r w:rsidRPr="00360B9C">
              <w:rPr>
                <w:rStyle w:val="normaltextrun"/>
                <w:rFonts w:ascii="Times New Roman" w:hAnsi="Times New Roman" w:cs="Times New Roman"/>
                <w:sz w:val="24"/>
                <w:szCs w:val="24"/>
              </w:rPr>
              <w:t xml:space="preserve"> </w:t>
            </w:r>
            <w:r w:rsidRPr="00360B9C">
              <w:rPr>
                <w:rStyle w:val="normaltextrun"/>
                <w:rFonts w:ascii="Times New Roman" w:hAnsi="Times New Roman" w:cs="Times New Roman"/>
                <w:b/>
                <w:sz w:val="24"/>
                <w:szCs w:val="24"/>
              </w:rPr>
              <w:t>vērā minēto, izvēlētais risinājums atbilstoši šobrīd pieejamajam ekon</w:t>
            </w:r>
            <w:r w:rsidR="00360B9C" w:rsidRPr="00360B9C">
              <w:rPr>
                <w:rStyle w:val="normaltextrun"/>
                <w:rFonts w:ascii="Times New Roman" w:hAnsi="Times New Roman" w:cs="Times New Roman"/>
                <w:b/>
                <w:sz w:val="24"/>
                <w:szCs w:val="24"/>
              </w:rPr>
              <w:t>o</w:t>
            </w:r>
            <w:r w:rsidRPr="00360B9C">
              <w:rPr>
                <w:rStyle w:val="normaltextrun"/>
                <w:rFonts w:ascii="Times New Roman" w:hAnsi="Times New Roman" w:cs="Times New Roman"/>
                <w:b/>
                <w:sz w:val="24"/>
                <w:szCs w:val="24"/>
              </w:rPr>
              <w:t xml:space="preserve">miskajam </w:t>
            </w:r>
            <w:proofErr w:type="spellStart"/>
            <w:r w:rsidRPr="00360B9C">
              <w:rPr>
                <w:rStyle w:val="normaltextrun"/>
                <w:rFonts w:ascii="Times New Roman" w:hAnsi="Times New Roman" w:cs="Times New Roman"/>
                <w:b/>
                <w:sz w:val="24"/>
                <w:szCs w:val="24"/>
              </w:rPr>
              <w:t>izvērtējumam</w:t>
            </w:r>
            <w:proofErr w:type="spellEnd"/>
            <w:r w:rsidRPr="00360B9C">
              <w:rPr>
                <w:rStyle w:val="normaltextrun"/>
                <w:rFonts w:ascii="Times New Roman" w:hAnsi="Times New Roman" w:cs="Times New Roman"/>
                <w:b/>
                <w:sz w:val="24"/>
                <w:szCs w:val="24"/>
              </w:rPr>
              <w:t xml:space="preserve"> var nebūt samērīgs. Vienlaikus nav konstatējami citi līdzekļi, lai izpildītu Saeimas uzdevumu līdz 2019.gada 31.martam.</w:t>
            </w:r>
            <w:r w:rsidRPr="00360B9C">
              <w:rPr>
                <w:rStyle w:val="normaltextrun"/>
                <w:rFonts w:ascii="Times New Roman" w:hAnsi="Times New Roman" w:cs="Times New Roman"/>
                <w:sz w:val="24"/>
                <w:szCs w:val="24"/>
              </w:rPr>
              <w:t xml:space="preserve"> </w:t>
            </w:r>
          </w:p>
          <w:p w14:paraId="7AD61171" w14:textId="77777777" w:rsidR="00244945" w:rsidRPr="00360B9C" w:rsidRDefault="00244945" w:rsidP="00244945">
            <w:pPr>
              <w:pStyle w:val="ListParagraph"/>
              <w:spacing w:before="120" w:after="120" w:line="240" w:lineRule="auto"/>
              <w:ind w:left="0"/>
              <w:contextualSpacing w:val="0"/>
              <w:jc w:val="both"/>
              <w:rPr>
                <w:rStyle w:val="normaltextrun"/>
                <w:rFonts w:ascii="Times New Roman" w:hAnsi="Times New Roman" w:cs="Times New Roman"/>
                <w:b/>
                <w:i/>
                <w:sz w:val="24"/>
                <w:szCs w:val="24"/>
              </w:rPr>
            </w:pPr>
            <w:r w:rsidRPr="00360B9C">
              <w:rPr>
                <w:rStyle w:val="normaltextrun"/>
                <w:rFonts w:ascii="Times New Roman" w:hAnsi="Times New Roman" w:cs="Times New Roman"/>
                <w:b/>
                <w:i/>
                <w:sz w:val="24"/>
                <w:szCs w:val="24"/>
              </w:rPr>
              <w:t>Investīciju aizsardzības līgumi</w:t>
            </w:r>
          </w:p>
          <w:p w14:paraId="6957F138" w14:textId="77777777" w:rsidR="00470F6A" w:rsidRDefault="00470F6A" w:rsidP="00244945">
            <w:pPr>
              <w:spacing w:before="120" w:after="120" w:line="240" w:lineRule="auto"/>
              <w:jc w:val="both"/>
              <w:rPr>
                <w:rFonts w:ascii="Times New Roman" w:hAnsi="Times New Roman"/>
                <w:sz w:val="24"/>
                <w:szCs w:val="24"/>
              </w:rPr>
            </w:pPr>
            <w:r w:rsidRPr="0098314B">
              <w:rPr>
                <w:rStyle w:val="normaltextrun"/>
                <w:rFonts w:ascii="Times New Roman" w:hAnsi="Times New Roman"/>
                <w:sz w:val="24"/>
                <w:szCs w:val="24"/>
              </w:rPr>
              <w:t xml:space="preserve">Latvija ir noslēgusi vairāk nekā 40 divpusējos investīciju aizsardzības līgumus (turpmāk – IAL). Latvija ir arī </w:t>
            </w:r>
            <w:r>
              <w:rPr>
                <w:rStyle w:val="normaltextrun"/>
                <w:rFonts w:ascii="Times New Roman" w:hAnsi="Times New Roman"/>
                <w:sz w:val="24"/>
                <w:szCs w:val="24"/>
              </w:rPr>
              <w:t xml:space="preserve">Eiropas </w:t>
            </w:r>
            <w:r w:rsidRPr="0098314B">
              <w:rPr>
                <w:rStyle w:val="normaltextrun"/>
                <w:rFonts w:ascii="Times New Roman" w:hAnsi="Times New Roman"/>
                <w:sz w:val="24"/>
                <w:szCs w:val="24"/>
              </w:rPr>
              <w:t>Enerģētikas hartas</w:t>
            </w:r>
            <w:r>
              <w:rPr>
                <w:rStyle w:val="normaltextrun"/>
                <w:rFonts w:ascii="Times New Roman" w:hAnsi="Times New Roman"/>
                <w:sz w:val="24"/>
                <w:szCs w:val="24"/>
              </w:rPr>
              <w:t xml:space="preserve"> (turpmāk – Enerģētikas harta)</w:t>
            </w:r>
            <w:r w:rsidRPr="0098314B">
              <w:rPr>
                <w:rStyle w:val="normaltextrun"/>
                <w:rFonts w:ascii="Times New Roman" w:hAnsi="Times New Roman"/>
                <w:sz w:val="24"/>
                <w:szCs w:val="24"/>
              </w:rPr>
              <w:t xml:space="preserve"> dalībvalsts.</w:t>
            </w:r>
            <w:r w:rsidRPr="0098314B">
              <w:t xml:space="preserve"> </w:t>
            </w:r>
            <w:r w:rsidRPr="0098314B">
              <w:rPr>
                <w:rStyle w:val="normaltextrun"/>
                <w:rFonts w:ascii="Times New Roman" w:hAnsi="Times New Roman"/>
                <w:sz w:val="24"/>
                <w:szCs w:val="24"/>
              </w:rPr>
              <w:t xml:space="preserve">Gan IAL, gan Enerģētikas hartā cita starpā ir </w:t>
            </w:r>
            <w:r>
              <w:rPr>
                <w:rStyle w:val="normaltextrun"/>
                <w:rFonts w:ascii="Times New Roman" w:hAnsi="Times New Roman"/>
                <w:sz w:val="24"/>
                <w:szCs w:val="24"/>
              </w:rPr>
              <w:t xml:space="preserve">paredzēti </w:t>
            </w:r>
            <w:r w:rsidRPr="0098314B">
              <w:rPr>
                <w:rStyle w:val="normaltextrun"/>
                <w:rFonts w:ascii="Times New Roman" w:hAnsi="Times New Roman"/>
                <w:sz w:val="24"/>
                <w:szCs w:val="24"/>
              </w:rPr>
              <w:t xml:space="preserve">nosacījumi par investīciju drošības un aizsardzības garantēšanu, nacionālā un vislielākās labvēlības režīma piešķiršanu, diskriminācijas novēršanu, zaudējumu atlīdzināšanu ekspropriācijas gadījumā, kā arī strīdu izšķiršanas mehānismu starp investoru un valsti. </w:t>
            </w:r>
            <w:r w:rsidRPr="004065AC">
              <w:rPr>
                <w:rStyle w:val="normaltextrun"/>
                <w:rFonts w:ascii="Times New Roman" w:hAnsi="Times New Roman"/>
                <w:sz w:val="24"/>
                <w:szCs w:val="24"/>
              </w:rPr>
              <w:t xml:space="preserve">2018.gada 6.martā Eiropas Savienības Tiesa pasludināja spriedumu lietā </w:t>
            </w:r>
            <w:r w:rsidRPr="004065AC">
              <w:rPr>
                <w:rFonts w:ascii="Times New Roman" w:hAnsi="Times New Roman"/>
                <w:sz w:val="24"/>
                <w:szCs w:val="24"/>
              </w:rPr>
              <w:t xml:space="preserve">C-284/16 (t.s. </w:t>
            </w:r>
            <w:proofErr w:type="spellStart"/>
            <w:r w:rsidRPr="004065AC">
              <w:rPr>
                <w:rFonts w:ascii="Times New Roman" w:hAnsi="Times New Roman"/>
                <w:i/>
                <w:sz w:val="24"/>
                <w:szCs w:val="24"/>
              </w:rPr>
              <w:t>Achmea</w:t>
            </w:r>
            <w:proofErr w:type="spellEnd"/>
            <w:r w:rsidRPr="004065AC">
              <w:rPr>
                <w:rFonts w:ascii="Times New Roman" w:hAnsi="Times New Roman"/>
                <w:sz w:val="24"/>
                <w:szCs w:val="24"/>
              </w:rPr>
              <w:t xml:space="preserve"> spriedums) par ieguldītāju un valsts strīdu izšķiršanas mehānismu (šķīrējtiesas klauzulu), kas iekļauti ES dalībvalstu savstarpējos IAL, atzīstot šo klauzulu par nesaderīgu ar </w:t>
            </w:r>
            <w:r>
              <w:rPr>
                <w:rFonts w:ascii="Times New Roman" w:hAnsi="Times New Roman"/>
                <w:sz w:val="24"/>
                <w:szCs w:val="24"/>
              </w:rPr>
              <w:t>LESD</w:t>
            </w:r>
            <w:r w:rsidRPr="004065AC">
              <w:rPr>
                <w:rFonts w:ascii="Times New Roman" w:hAnsi="Times New Roman"/>
                <w:sz w:val="24"/>
                <w:szCs w:val="24"/>
              </w:rPr>
              <w:t xml:space="preserve">. Tas nozīmē, ka noslēgtie ES dalībvalstu savstarpējie IAL nav piemērojami. Saskaņā ar Eiropas Komisijas interpretāciju par </w:t>
            </w:r>
            <w:proofErr w:type="spellStart"/>
            <w:r w:rsidRPr="004065AC">
              <w:rPr>
                <w:rFonts w:ascii="Times New Roman" w:hAnsi="Times New Roman"/>
                <w:i/>
                <w:sz w:val="24"/>
                <w:szCs w:val="24"/>
              </w:rPr>
              <w:t>Achmea</w:t>
            </w:r>
            <w:proofErr w:type="spellEnd"/>
            <w:r w:rsidRPr="004065AC">
              <w:rPr>
                <w:rFonts w:ascii="Times New Roman" w:hAnsi="Times New Roman"/>
                <w:sz w:val="24"/>
                <w:szCs w:val="24"/>
              </w:rPr>
              <w:t xml:space="preserve"> spriedumu, tas ietver sevī visus līgumus, kuros piedalās ES dalībvalstis un kuros ir paredzēta šķīrējtiesas klauzula, tātad arī Enerģētikas hartu. Tādēļ arī Enerģētikas hartā iekļautā šķīrējtiesas klauzula ES dalībvalst</w:t>
            </w:r>
            <w:r>
              <w:rPr>
                <w:rFonts w:ascii="Times New Roman" w:hAnsi="Times New Roman"/>
                <w:sz w:val="24"/>
                <w:szCs w:val="24"/>
              </w:rPr>
              <w:t>u starpā</w:t>
            </w:r>
            <w:r w:rsidRPr="004065AC">
              <w:rPr>
                <w:rFonts w:ascii="Times New Roman" w:hAnsi="Times New Roman"/>
                <w:sz w:val="24"/>
                <w:szCs w:val="24"/>
              </w:rPr>
              <w:t xml:space="preserve"> nav piemērojama. Šie secinājumi ir nostiprināti 2019.gada 15.janvārī parakstītajā </w:t>
            </w:r>
            <w:r>
              <w:rPr>
                <w:rFonts w:ascii="Times New Roman" w:hAnsi="Times New Roman"/>
                <w:sz w:val="24"/>
                <w:szCs w:val="24"/>
              </w:rPr>
              <w:t>Dalībvalstu valdību pārstāvju d</w:t>
            </w:r>
            <w:r w:rsidRPr="004065AC">
              <w:rPr>
                <w:rFonts w:ascii="Times New Roman" w:hAnsi="Times New Roman"/>
                <w:sz w:val="24"/>
                <w:szCs w:val="24"/>
              </w:rPr>
              <w:t>eklarācijā par</w:t>
            </w:r>
            <w:r>
              <w:rPr>
                <w:rFonts w:ascii="Times New Roman" w:hAnsi="Times New Roman"/>
                <w:sz w:val="24"/>
                <w:szCs w:val="24"/>
              </w:rPr>
              <w:t xml:space="preserve"> Eiropas Savienības Tiesas</w:t>
            </w:r>
            <w:r w:rsidRPr="004065AC">
              <w:rPr>
                <w:rFonts w:ascii="Times New Roman" w:hAnsi="Times New Roman"/>
                <w:sz w:val="24"/>
                <w:szCs w:val="24"/>
              </w:rPr>
              <w:t xml:space="preserve"> </w:t>
            </w:r>
            <w:proofErr w:type="spellStart"/>
            <w:r w:rsidRPr="004065AC">
              <w:rPr>
                <w:rFonts w:ascii="Times New Roman" w:hAnsi="Times New Roman"/>
                <w:i/>
                <w:sz w:val="24"/>
                <w:szCs w:val="24"/>
              </w:rPr>
              <w:t>Achmea</w:t>
            </w:r>
            <w:proofErr w:type="spellEnd"/>
            <w:r w:rsidRPr="004065AC">
              <w:rPr>
                <w:rFonts w:ascii="Times New Roman" w:hAnsi="Times New Roman"/>
                <w:sz w:val="24"/>
                <w:szCs w:val="24"/>
              </w:rPr>
              <w:t xml:space="preserve"> sprieduma </w:t>
            </w:r>
            <w:r>
              <w:rPr>
                <w:rFonts w:ascii="Times New Roman" w:hAnsi="Times New Roman"/>
                <w:sz w:val="24"/>
                <w:szCs w:val="24"/>
              </w:rPr>
              <w:t>tiesiskajām</w:t>
            </w:r>
            <w:r w:rsidRPr="004065AC">
              <w:rPr>
                <w:rFonts w:ascii="Times New Roman" w:hAnsi="Times New Roman"/>
                <w:sz w:val="24"/>
                <w:szCs w:val="24"/>
              </w:rPr>
              <w:t xml:space="preserve"> sekām un ieguldījumu aizsardzību E</w:t>
            </w:r>
            <w:r>
              <w:rPr>
                <w:rFonts w:ascii="Times New Roman" w:hAnsi="Times New Roman"/>
                <w:sz w:val="24"/>
                <w:szCs w:val="24"/>
              </w:rPr>
              <w:t xml:space="preserve">iropas </w:t>
            </w:r>
            <w:r w:rsidRPr="004065AC">
              <w:rPr>
                <w:rFonts w:ascii="Times New Roman" w:hAnsi="Times New Roman"/>
                <w:sz w:val="24"/>
                <w:szCs w:val="24"/>
              </w:rPr>
              <w:t>S</w:t>
            </w:r>
            <w:r>
              <w:rPr>
                <w:rFonts w:ascii="Times New Roman" w:hAnsi="Times New Roman"/>
                <w:sz w:val="24"/>
                <w:szCs w:val="24"/>
              </w:rPr>
              <w:t>avienībā</w:t>
            </w:r>
            <w:r w:rsidRPr="004065AC">
              <w:rPr>
                <w:rFonts w:ascii="Times New Roman" w:hAnsi="Times New Roman"/>
                <w:sz w:val="24"/>
                <w:szCs w:val="24"/>
              </w:rPr>
              <w:t>. Tas neattiecas uz Latvijas IAL ar trešajām valstīm</w:t>
            </w:r>
            <w:r>
              <w:rPr>
                <w:rFonts w:ascii="Times New Roman" w:hAnsi="Times New Roman"/>
                <w:sz w:val="24"/>
                <w:szCs w:val="24"/>
              </w:rPr>
              <w:t>.</w:t>
            </w:r>
          </w:p>
          <w:p w14:paraId="0FE8D432" w14:textId="23EA29F2"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Saskaņā ar ES tiesu praksi “</w:t>
            </w:r>
            <w:proofErr w:type="spellStart"/>
            <w:r w:rsidRPr="00360B9C">
              <w:rPr>
                <w:rStyle w:val="normaltextrun"/>
                <w:rFonts w:ascii="Times New Roman" w:hAnsi="Times New Roman" w:cs="Times New Roman"/>
                <w:sz w:val="24"/>
                <w:szCs w:val="24"/>
              </w:rPr>
              <w:t>Achmea</w:t>
            </w:r>
            <w:proofErr w:type="spellEnd"/>
            <w:r w:rsidRPr="00360B9C">
              <w:rPr>
                <w:rStyle w:val="normaltextrun"/>
                <w:rFonts w:ascii="Times New Roman" w:hAnsi="Times New Roman" w:cs="Times New Roman"/>
                <w:sz w:val="24"/>
                <w:szCs w:val="24"/>
              </w:rPr>
              <w:t xml:space="preserve"> BV” lietā ES Tiesa uzskata, ka šādi līgumi starp dalībvalstīm ir nelikumīgi, jo tie pārklājas ar ES vienotā tirgus noteikumiem un diskriminē ES ieguldītājus. Tāpēc arī ieguldītāju un valstu tiesvedība šķīrējtiesā saskaņā ar šādiem līgumiem ir nelikumīga. Ņemot vērā minēto, </w:t>
            </w:r>
            <w:r w:rsidRPr="00B731F1">
              <w:rPr>
                <w:rStyle w:val="normaltextrun"/>
                <w:rFonts w:ascii="Times New Roman" w:hAnsi="Times New Roman" w:cs="Times New Roman"/>
                <w:b/>
                <w:sz w:val="24"/>
                <w:szCs w:val="24"/>
              </w:rPr>
              <w:t>strīdos ar investoriem no ES dalībvalstīm būtu piemērojams ES vienotā tirgus regulējums un strīdi būtu risināmi tiesās vispārējā kārtībā</w:t>
            </w:r>
            <w:r w:rsidRPr="00360B9C">
              <w:rPr>
                <w:rStyle w:val="normaltextrun"/>
                <w:rFonts w:ascii="Times New Roman" w:hAnsi="Times New Roman" w:cs="Times New Roman"/>
                <w:sz w:val="24"/>
                <w:szCs w:val="24"/>
              </w:rPr>
              <w:t>. Taču “</w:t>
            </w:r>
            <w:proofErr w:type="spellStart"/>
            <w:r w:rsidRPr="00360B9C">
              <w:rPr>
                <w:rStyle w:val="normaltextrun"/>
                <w:rFonts w:ascii="Times New Roman" w:hAnsi="Times New Roman" w:cs="Times New Roman"/>
                <w:sz w:val="24"/>
                <w:szCs w:val="24"/>
              </w:rPr>
              <w:t>Achmea</w:t>
            </w:r>
            <w:proofErr w:type="spellEnd"/>
            <w:r w:rsidRPr="00360B9C">
              <w:rPr>
                <w:rStyle w:val="normaltextrun"/>
                <w:rFonts w:ascii="Times New Roman" w:hAnsi="Times New Roman" w:cs="Times New Roman"/>
                <w:sz w:val="24"/>
                <w:szCs w:val="24"/>
              </w:rPr>
              <w:t xml:space="preserve"> BV” lieta neskar divpusējos līgumus ar trešajām valstīm.</w:t>
            </w:r>
          </w:p>
          <w:p w14:paraId="72212DC5"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 xml:space="preserve">Tradicionāli IAL tiek ietverts ekspropriācijas aizliegums, pienākums izturēties pret ieguldījumu taisnīgi un vienlīdzīgi, pienākums nodrošināt </w:t>
            </w:r>
            <w:r w:rsidRPr="00360B9C">
              <w:rPr>
                <w:rStyle w:val="normaltextrun"/>
                <w:rFonts w:ascii="Times New Roman" w:hAnsi="Times New Roman" w:cs="Times New Roman"/>
                <w:sz w:val="24"/>
                <w:szCs w:val="24"/>
              </w:rPr>
              <w:lastRenderedPageBreak/>
              <w:t xml:space="preserve">pilnīgu aizsardzību. IAL bieži tiek ietverts arī vislabvēlīgākās valsts standarts, kas ietver apņemšanos izturēties pret konkrētās valsts investoriem tikpat labi, kā </w:t>
            </w:r>
            <w:proofErr w:type="spellStart"/>
            <w:r w:rsidRPr="00360B9C">
              <w:rPr>
                <w:rStyle w:val="normaltextrun"/>
                <w:rFonts w:ascii="Times New Roman" w:hAnsi="Times New Roman" w:cs="Times New Roman"/>
                <w:sz w:val="24"/>
                <w:szCs w:val="24"/>
              </w:rPr>
              <w:t>līgumslēdzējvalsts</w:t>
            </w:r>
            <w:proofErr w:type="spellEnd"/>
            <w:r w:rsidRPr="00360B9C">
              <w:rPr>
                <w:rStyle w:val="normaltextrun"/>
                <w:rFonts w:ascii="Times New Roman" w:hAnsi="Times New Roman" w:cs="Times New Roman"/>
                <w:sz w:val="24"/>
                <w:szCs w:val="24"/>
              </w:rPr>
              <w:t xml:space="preserve"> izturēsies pret investoriem no tās valsts, ar kuru būs noslēgts vislabvēlīgākais IAL. Šo IAL ietverto pienākumu definīcijas ir ļoti plašas, tādējādi noteiktās situācijās pastāv iespēja, ka ar paredzēto tiesisko regulējumu var tikt skartas ar IAL aizsargātās tiesības. Šo risku var novērst vai samazināt, ja ar paredzēto tiesisko regulējumu noteiktie aizliegumi tiek noteikti bez diskriminācijas, ir caurskatāmi, paredzami, samērīgi un par tiem ir noteikta kompetento valsts iestāžu atbildība. Visaugstākais risks būtu situācijas, kurās investoram tiek liegta iespēja turpināt jau uzsākto komercdarbību kā tādu (piemēram, tiek atņemta licence), nevis ierobežoti tikai atsevišķi komercdarbības aspekti (piemēram, liegts pārvadāt konkrētu kravu).</w:t>
            </w:r>
          </w:p>
          <w:p w14:paraId="7DE5DF54"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Turklāt IAL piemērošanas prakse rāda, ka investīciju aizsardzības režīms negarantē tiesisko noteikumu nemainīgumu un investori nevar paļauties uz to, ka tiesiskais regulējums valstī vienmēr būt tāds, kāds tas bija ieguldījuma izdarīšanas brīdī. Ne amatpersonu izteikumi (ja vien tie nav bijuši tiesiski un skaidri, un tieši uz kuriem investors paļāvās un varēja saprātīgi paļauties, izlemjot veikt konkrēto ieguldījumu), ne izmaiņas tiesiskajā regulējumā, kāds pastāvēja ieguldījuma izdarīšanas brīdī, nedod investoram tiesības prasīt no IAL izrietošu aizsardzību. Turklāt jebkurš agrāk pieņemts tiesiskais regulējums un amatpersonu izteikumi jāvērtē kontekstā ar konkrētās valsts nostāju gan aizsardzības jomā, gan ārpolitikā, tādēļ ņemot vērā gan OECD ieteikumus, gan daudzu citu Eiropas valstu praksi,  investoriem jau vairākus gadus nav bijis pamata paļauties, ka paredzētais tiesiskais regulējums netiks ieviests, jo dažāda rakstura ierobežojumi tiek ieviesti gan Eiropā, gan citās pasaules valstīs.</w:t>
            </w:r>
          </w:p>
          <w:p w14:paraId="76B58C61"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Ja tiesiskā regulējuma rezultātā tiktu skartas ar IAL aizsargātās tiesības, investoram būtu tiesības vērsties starptautiskajā investīciju šķīrējtiesā, lūdzot piedzīt no Latvijas Republikas kompensāciju par pieļauto aizskārumu. Šādā gadījumā investoram būt jāpierāda konkrētu IAL noteikto tiesību aizskārums, kā arī jāpamato prasītās kompensācijas apmērs.</w:t>
            </w:r>
          </w:p>
          <w:p w14:paraId="2DD7509D"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Vienlaikus ņemot vērā, ka tiesvedības izmaksas starptautiskā investīciju strīda gadījumā var būt salīdzinoši augstas, kā arī tiek aizsargātas tika trešo valstu investīcijas, tad nav prognozējams liels šādu tiesisko strīdu skaits.</w:t>
            </w:r>
          </w:p>
          <w:p w14:paraId="383C55C0"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 xml:space="preserve">Lietā </w:t>
            </w:r>
            <w:proofErr w:type="spellStart"/>
            <w:r w:rsidRPr="00360B9C">
              <w:rPr>
                <w:rStyle w:val="normaltextrun"/>
                <w:rFonts w:ascii="Times New Roman" w:hAnsi="Times New Roman" w:cs="Times New Roman"/>
                <w:sz w:val="24"/>
                <w:szCs w:val="24"/>
              </w:rPr>
              <w:t>Nykomb</w:t>
            </w:r>
            <w:proofErr w:type="spellEnd"/>
            <w:r w:rsidRPr="00360B9C">
              <w:rPr>
                <w:rStyle w:val="normaltextrun"/>
                <w:rFonts w:ascii="Times New Roman" w:hAnsi="Times New Roman" w:cs="Times New Roman"/>
                <w:sz w:val="24"/>
                <w:szCs w:val="24"/>
              </w:rPr>
              <w:t xml:space="preserve"> v Latvija, tiesa izskatīja prasību par netiešo ekspropriāciju. Minētajā gadījumā investors noslēdza līgumu ar enerģijas tirgotāju, lai ražotu elektroenerģiju koģenerācijā. Līguma slēgšanas brīdī atbilstoši normatīvajiem aktiem investoram pienācās dubultais tarifs uz astoņiem gadiem. Pirms koģenerācijas stacija uzsāka savu darbību, tika mainīti tarifi uz ievērojami zemākiem. Investors norādīja netiešo ekspropriāciju. Savukārt tiesa konstatēja, ka investīciju vērtības samazinājums pats par sevi nav uzskatāma par ekspropriāciju.  </w:t>
            </w:r>
          </w:p>
          <w:p w14:paraId="7DB281DC"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 xml:space="preserve">Tomēr jāņem vērā, ka starptautisko ieguldījumu strīdu gadījumā nav vienotas judikatūras. Līdz ar to tiesu prakse katrā gadījumā var atšķirties. Vienlaikus atbilstoši praksei investīciju strīdu gadījumā par īpašumtiesībām var tikt uzskatīta ne tikai pats īpašums, bet arī peļņa. Tomēr var ierobežot investora tiesiskās intereses, pamatojot ierobežojumu ar sabiedrības interesēm. Minētajā gadījumā valstij ir jāsabalansē sabiedrības intereses ar </w:t>
            </w:r>
            <w:r w:rsidRPr="00360B9C">
              <w:rPr>
                <w:rStyle w:val="normaltextrun"/>
                <w:rFonts w:ascii="Times New Roman" w:hAnsi="Times New Roman" w:cs="Times New Roman"/>
                <w:sz w:val="24"/>
                <w:szCs w:val="24"/>
              </w:rPr>
              <w:lastRenderedPageBreak/>
              <w:t>investora interesēm. Tādējādi jo būtiskākas sabiedrības intereses tiek skartas jo būtiskāki ierobežojumi var tikt ieviesti, paredzot saprātīgus kompensācijas mehānismus.</w:t>
            </w:r>
          </w:p>
          <w:p w14:paraId="442CD054" w14:textId="77777777" w:rsidR="00244945" w:rsidRPr="00360B9C"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 xml:space="preserve">Izskatāmajā gadījumā atbalsta atcelšana ir pielīdzināma ekspropriācijai, līdz ar to šāds īpašumtiesību ierobežojums varētu būt samērīgs tikai izņēmuma gadījumos. </w:t>
            </w:r>
          </w:p>
          <w:p w14:paraId="064106A7" w14:textId="77777777" w:rsidR="00244945" w:rsidRPr="00B731F1" w:rsidRDefault="00244945" w:rsidP="00244945">
            <w:pPr>
              <w:spacing w:before="120" w:after="120" w:line="240" w:lineRule="auto"/>
              <w:jc w:val="both"/>
              <w:rPr>
                <w:rStyle w:val="normaltextrun"/>
                <w:rFonts w:ascii="Times New Roman" w:hAnsi="Times New Roman" w:cs="Times New Roman"/>
                <w:sz w:val="24"/>
                <w:szCs w:val="24"/>
              </w:rPr>
            </w:pPr>
            <w:r w:rsidRPr="00360B9C">
              <w:rPr>
                <w:rStyle w:val="normaltextrun"/>
                <w:rFonts w:ascii="Times New Roman" w:hAnsi="Times New Roman" w:cs="Times New Roman"/>
                <w:sz w:val="24"/>
                <w:szCs w:val="24"/>
              </w:rPr>
              <w:t xml:space="preserve">Kā piemēru valstij, kas atbalsta atcelšanas gadījumā </w:t>
            </w:r>
            <w:proofErr w:type="spellStart"/>
            <w:r w:rsidRPr="00360B9C">
              <w:rPr>
                <w:rStyle w:val="normaltextrun"/>
                <w:rFonts w:ascii="Times New Roman" w:hAnsi="Times New Roman" w:cs="Times New Roman"/>
                <w:sz w:val="24"/>
                <w:szCs w:val="24"/>
              </w:rPr>
              <w:t>saskārusies</w:t>
            </w:r>
            <w:proofErr w:type="spellEnd"/>
            <w:r w:rsidRPr="00360B9C">
              <w:rPr>
                <w:rStyle w:val="normaltextrun"/>
                <w:rFonts w:ascii="Times New Roman" w:hAnsi="Times New Roman" w:cs="Times New Roman"/>
                <w:sz w:val="24"/>
                <w:szCs w:val="24"/>
              </w:rPr>
              <w:t xml:space="preserve"> ar tiesvedībām jāmin Spānija, kas pēc būtiskām izmaiņām atbalsta programmā ir bijusi iesaistīta vairākās tiesvedībās un vairākos gadījumos tiesa ir pieņēmusi lēmumu par labu investoriem.</w:t>
            </w:r>
            <w:r w:rsidRPr="00EB55C2">
              <w:rPr>
                <w:rFonts w:asciiTheme="majorHAnsi" w:hAnsiTheme="majorHAnsi" w:cstheme="majorHAnsi"/>
                <w:sz w:val="20"/>
              </w:rPr>
              <w:t xml:space="preserve"> </w:t>
            </w:r>
            <w:r w:rsidRPr="00EB55C2">
              <w:rPr>
                <w:rStyle w:val="FootnoteReference"/>
                <w:rFonts w:asciiTheme="majorHAnsi" w:hAnsiTheme="majorHAnsi" w:cstheme="majorHAnsi"/>
                <w:sz w:val="20"/>
              </w:rPr>
              <w:footnoteReference w:id="26"/>
            </w:r>
            <w:r w:rsidRPr="00EB55C2">
              <w:rPr>
                <w:rFonts w:asciiTheme="majorHAnsi" w:hAnsiTheme="majorHAnsi" w:cstheme="majorHAnsi"/>
                <w:sz w:val="20"/>
              </w:rPr>
              <w:t xml:space="preserve"> </w:t>
            </w:r>
            <w:r w:rsidRPr="00EB55C2">
              <w:rPr>
                <w:rStyle w:val="FootnoteReference"/>
                <w:rFonts w:asciiTheme="majorHAnsi" w:hAnsiTheme="majorHAnsi" w:cstheme="majorHAnsi"/>
                <w:sz w:val="20"/>
              </w:rPr>
              <w:footnoteReference w:id="27"/>
            </w:r>
            <w:r w:rsidRPr="00EB55C2">
              <w:rPr>
                <w:rFonts w:asciiTheme="majorHAnsi" w:hAnsiTheme="majorHAnsi" w:cstheme="majorHAnsi"/>
                <w:sz w:val="20"/>
              </w:rPr>
              <w:t xml:space="preserve"> </w:t>
            </w:r>
            <w:r w:rsidRPr="00EB55C2">
              <w:rPr>
                <w:rStyle w:val="FootnoteReference"/>
                <w:rFonts w:asciiTheme="majorHAnsi" w:hAnsiTheme="majorHAnsi" w:cstheme="majorHAnsi"/>
                <w:sz w:val="20"/>
              </w:rPr>
              <w:footnoteReference w:id="28"/>
            </w:r>
            <w:r w:rsidRPr="00EB55C2">
              <w:rPr>
                <w:rFonts w:asciiTheme="majorHAnsi" w:hAnsiTheme="majorHAnsi" w:cstheme="majorHAnsi"/>
                <w:sz w:val="20"/>
              </w:rPr>
              <w:t xml:space="preserve"> </w:t>
            </w:r>
            <w:r w:rsidRPr="00EB55C2">
              <w:rPr>
                <w:rStyle w:val="FootnoteReference"/>
                <w:rFonts w:asciiTheme="majorHAnsi" w:hAnsiTheme="majorHAnsi" w:cstheme="majorHAnsi"/>
                <w:sz w:val="20"/>
              </w:rPr>
              <w:footnoteReference w:id="29"/>
            </w:r>
          </w:p>
          <w:p w14:paraId="198D5227" w14:textId="399CD598" w:rsidR="009D0A82" w:rsidRPr="00B731F1" w:rsidRDefault="00244945" w:rsidP="009A30C5">
            <w:pPr>
              <w:spacing w:before="120" w:after="120" w:line="240" w:lineRule="auto"/>
              <w:jc w:val="both"/>
              <w:rPr>
                <w:rStyle w:val="normaltextrun"/>
                <w:rFonts w:ascii="Times New Roman" w:hAnsi="Times New Roman" w:cs="Times New Roman"/>
                <w:b/>
                <w:sz w:val="24"/>
              </w:rPr>
            </w:pPr>
            <w:r w:rsidRPr="00B731F1">
              <w:rPr>
                <w:rFonts w:ascii="Times New Roman" w:hAnsi="Times New Roman" w:cs="Times New Roman"/>
                <w:b/>
                <w:sz w:val="24"/>
              </w:rPr>
              <w:t>Ņemot vērā minēto, saistībā ar valsts atbalstu ir paredzami tiesvedības riski saistībā ar investīciju aizsardzību, kā arī Satversmes tiesā. Minētos tiesvedības riskus var ievērojami samazināt paredzot kompensācijas mehānismus, ilgāku pārejas periodu vai konstatējot tādus būtiskus apstākļus, kas ir par pamatu šādu risinājumu ieviešanai.</w:t>
            </w:r>
          </w:p>
          <w:p w14:paraId="76E80D0F" w14:textId="77777777" w:rsidR="00553D3E" w:rsidRPr="00553D3E" w:rsidRDefault="00553D3E" w:rsidP="00553D3E">
            <w:pPr>
              <w:pStyle w:val="ListParagraph"/>
              <w:spacing w:before="120" w:after="120" w:line="240" w:lineRule="auto"/>
              <w:ind w:left="360"/>
              <w:jc w:val="both"/>
              <w:rPr>
                <w:rFonts w:ascii="Times New Roman" w:hAnsi="Times New Roman" w:cs="Times New Roman"/>
                <w:i/>
                <w:color w:val="FF0000"/>
                <w:sz w:val="24"/>
              </w:rPr>
            </w:pPr>
          </w:p>
          <w:p w14:paraId="5D956321" w14:textId="77777777" w:rsidR="008A7E98" w:rsidRPr="007313D5" w:rsidRDefault="007313D5" w:rsidP="004B2695">
            <w:pPr>
              <w:spacing w:before="120" w:after="120" w:line="240" w:lineRule="auto"/>
              <w:jc w:val="both"/>
              <w:rPr>
                <w:rFonts w:ascii="Times New Roman" w:eastAsia="Times New Roman" w:hAnsi="Times New Roman" w:cs="Times New Roman"/>
                <w:b/>
                <w:i/>
                <w:iCs/>
                <w:sz w:val="24"/>
                <w:szCs w:val="24"/>
                <w:u w:val="single"/>
                <w:lang w:eastAsia="lv-LV"/>
              </w:rPr>
            </w:pPr>
            <w:r w:rsidRPr="007313D5">
              <w:rPr>
                <w:rFonts w:ascii="Times New Roman" w:eastAsia="Times New Roman" w:hAnsi="Times New Roman" w:cs="Times New Roman"/>
                <w:b/>
                <w:i/>
                <w:iCs/>
                <w:sz w:val="24"/>
                <w:szCs w:val="24"/>
                <w:u w:val="single"/>
                <w:lang w:eastAsia="lv-LV"/>
              </w:rPr>
              <w:t>3. Ietekme uz valsti</w:t>
            </w:r>
          </w:p>
          <w:p w14:paraId="3FDD48FC" w14:textId="1ED91866" w:rsidR="006D777E" w:rsidRDefault="007313D5" w:rsidP="004B2695">
            <w:pPr>
              <w:spacing w:before="120" w:after="12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3.1. Tiesvedības</w:t>
            </w:r>
          </w:p>
          <w:p w14:paraId="70192B43" w14:textId="764510A6" w:rsidR="003424B9" w:rsidRDefault="003424B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Komersantiem izvēloties uzsākt tiesvedības pret Latvijas valsti par Likumprojektā ietvertā risinājuma īstenošanu, valsts pārvaldei būs jānodrošina juridiskā aizstāvība, kas</w:t>
            </w:r>
            <w:r w:rsidR="000922E0">
              <w:rPr>
                <w:rFonts w:ascii="Times New Roman" w:eastAsia="Times New Roman" w:hAnsi="Times New Roman" w:cs="Times New Roman"/>
                <w:iCs/>
                <w:sz w:val="24"/>
                <w:szCs w:val="24"/>
                <w:lang w:eastAsia="lv-LV"/>
              </w:rPr>
              <w:t xml:space="preserve"> prasīs papildu speciālistu iesaisti un</w:t>
            </w:r>
            <w:r>
              <w:rPr>
                <w:rFonts w:ascii="Times New Roman" w:eastAsia="Times New Roman" w:hAnsi="Times New Roman" w:cs="Times New Roman"/>
                <w:iCs/>
                <w:sz w:val="24"/>
                <w:szCs w:val="24"/>
                <w:lang w:eastAsia="lv-LV"/>
              </w:rPr>
              <w:t xml:space="preserve"> radīs papildu izmaksas. </w:t>
            </w:r>
          </w:p>
          <w:p w14:paraId="44EC0BD3" w14:textId="41C01D7D" w:rsidR="00675F66" w:rsidRDefault="003424B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Likumprojektā ietvertais risinājums vērtējams ar augstu risku šajās tiesvedībās zaudēt</w:t>
            </w:r>
            <w:r w:rsidR="000922E0">
              <w:rPr>
                <w:rFonts w:ascii="Times New Roman" w:eastAsia="Times New Roman" w:hAnsi="Times New Roman" w:cs="Times New Roman"/>
                <w:iCs/>
                <w:sz w:val="24"/>
                <w:szCs w:val="24"/>
                <w:lang w:eastAsia="lv-LV"/>
              </w:rPr>
              <w:t>, tādējādi radot papildu zaudējumus valsts budžetā</w:t>
            </w:r>
            <w:r w:rsidR="005C7616">
              <w:rPr>
                <w:rFonts w:ascii="Times New Roman" w:eastAsia="Times New Roman" w:hAnsi="Times New Roman" w:cs="Times New Roman"/>
                <w:iCs/>
                <w:sz w:val="24"/>
                <w:szCs w:val="24"/>
                <w:lang w:eastAsia="lv-LV"/>
              </w:rPr>
              <w:t xml:space="preserve"> turpmākajos gados, kas var būt vērtējams atlikušo valsts saistību</w:t>
            </w:r>
            <w:r w:rsidR="007279F4">
              <w:rPr>
                <w:rFonts w:ascii="Times New Roman" w:eastAsia="Times New Roman" w:hAnsi="Times New Roman" w:cs="Times New Roman"/>
                <w:iCs/>
                <w:sz w:val="24"/>
                <w:szCs w:val="24"/>
                <w:lang w:eastAsia="lv-LV"/>
              </w:rPr>
              <w:t xml:space="preserve"> (plānotais atbalsta apjoms līdz brīdim, kamēr komersantiem ir spēkā OI tiesības) </w:t>
            </w:r>
            <w:r w:rsidR="005C7616">
              <w:rPr>
                <w:rFonts w:ascii="Times New Roman" w:eastAsia="Times New Roman" w:hAnsi="Times New Roman" w:cs="Times New Roman"/>
                <w:iCs/>
                <w:sz w:val="24"/>
                <w:szCs w:val="24"/>
                <w:lang w:eastAsia="lv-LV"/>
              </w:rPr>
              <w:t xml:space="preserve"> apmērā pret OI saņēmējiem</w:t>
            </w:r>
            <w:r w:rsidR="007279F4">
              <w:rPr>
                <w:rStyle w:val="FootnoteReference"/>
                <w:rFonts w:ascii="Times New Roman" w:eastAsia="Times New Roman" w:hAnsi="Times New Roman" w:cs="Times New Roman"/>
                <w:iCs/>
                <w:sz w:val="24"/>
                <w:szCs w:val="24"/>
                <w:lang w:eastAsia="lv-LV"/>
              </w:rPr>
              <w:footnoteReference w:id="30"/>
            </w:r>
            <w:r w:rsidR="005C7616">
              <w:rPr>
                <w:rFonts w:ascii="Times New Roman" w:eastAsia="Times New Roman" w:hAnsi="Times New Roman" w:cs="Times New Roman"/>
                <w:iCs/>
                <w:sz w:val="24"/>
                <w:szCs w:val="24"/>
                <w:lang w:eastAsia="lv-LV"/>
              </w:rPr>
              <w:t xml:space="preserve"> un sasniegt 1 miljardu </w:t>
            </w:r>
            <w:r w:rsidR="005C7616" w:rsidRPr="005C7616">
              <w:rPr>
                <w:rFonts w:ascii="Times New Roman" w:eastAsia="Times New Roman" w:hAnsi="Times New Roman" w:cs="Times New Roman"/>
                <w:i/>
                <w:iCs/>
                <w:sz w:val="24"/>
                <w:szCs w:val="24"/>
                <w:lang w:eastAsia="lv-LV"/>
              </w:rPr>
              <w:t>euro</w:t>
            </w:r>
            <w:r w:rsidR="005C7616">
              <w:rPr>
                <w:rFonts w:ascii="Times New Roman" w:eastAsia="Times New Roman" w:hAnsi="Times New Roman" w:cs="Times New Roman"/>
                <w:iCs/>
                <w:sz w:val="24"/>
                <w:szCs w:val="24"/>
                <w:lang w:eastAsia="lv-LV"/>
              </w:rPr>
              <w:t>.</w:t>
            </w:r>
          </w:p>
          <w:p w14:paraId="420769C7" w14:textId="77777777" w:rsidR="00B731F1" w:rsidRPr="00B731F1" w:rsidRDefault="00B731F1" w:rsidP="004B2695">
            <w:pPr>
              <w:spacing w:before="120" w:after="120" w:line="240" w:lineRule="auto"/>
              <w:jc w:val="both"/>
              <w:rPr>
                <w:rFonts w:ascii="Times New Roman" w:eastAsia="Times New Roman" w:hAnsi="Times New Roman" w:cs="Times New Roman"/>
                <w:iCs/>
                <w:sz w:val="24"/>
                <w:szCs w:val="24"/>
                <w:lang w:eastAsia="lv-LV"/>
              </w:rPr>
            </w:pPr>
          </w:p>
          <w:p w14:paraId="2E8E75FF" w14:textId="77777777" w:rsidR="007313D5" w:rsidRDefault="007313D5" w:rsidP="004B2695">
            <w:pPr>
              <w:spacing w:before="120" w:after="120" w:line="240" w:lineRule="auto"/>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3.2. Jaudu nodrošinājums</w:t>
            </w:r>
          </w:p>
          <w:p w14:paraId="116A1EFE" w14:textId="491E0966" w:rsidR="008B5CA7" w:rsidRPr="00E0524B" w:rsidRDefault="008B5CA7" w:rsidP="004B2695">
            <w:pPr>
              <w:spacing w:before="120" w:after="120" w:line="240" w:lineRule="auto"/>
              <w:jc w:val="both"/>
              <w:rPr>
                <w:rFonts w:ascii="Times New Roman" w:hAnsi="Times New Roman" w:cs="Times New Roman"/>
                <w:sz w:val="24"/>
                <w:szCs w:val="24"/>
              </w:rPr>
            </w:pPr>
            <w:r w:rsidRPr="00D731CC">
              <w:rPr>
                <w:rFonts w:ascii="Times New Roman" w:hAnsi="Times New Roman" w:cs="Times New Roman"/>
                <w:sz w:val="24"/>
                <w:szCs w:val="24"/>
              </w:rPr>
              <w:t>AST</w:t>
            </w:r>
            <w:r w:rsidRPr="00E0524B">
              <w:rPr>
                <w:rFonts w:ascii="Times New Roman" w:hAnsi="Times New Roman" w:cs="Times New Roman"/>
                <w:sz w:val="24"/>
                <w:szCs w:val="24"/>
              </w:rPr>
              <w:t xml:space="preserve"> </w:t>
            </w:r>
            <w:r w:rsidR="007544BC">
              <w:rPr>
                <w:rFonts w:ascii="Times New Roman" w:hAnsi="Times New Roman" w:cs="Times New Roman"/>
                <w:sz w:val="24"/>
                <w:szCs w:val="24"/>
              </w:rPr>
              <w:t xml:space="preserve">vērtējumā </w:t>
            </w:r>
            <w:r w:rsidRPr="00E0524B">
              <w:rPr>
                <w:rFonts w:ascii="Times New Roman" w:hAnsi="Times New Roman" w:cs="Times New Roman"/>
                <w:sz w:val="24"/>
                <w:szCs w:val="24"/>
              </w:rPr>
              <w:t xml:space="preserve">minēto elektrostaciju (turpmāk, subsidētās elektrostacijas) </w:t>
            </w:r>
            <w:r w:rsidRPr="007544BC">
              <w:rPr>
                <w:rFonts w:ascii="Times New Roman" w:hAnsi="Times New Roman" w:cs="Times New Roman"/>
                <w:b/>
                <w:sz w:val="24"/>
                <w:szCs w:val="24"/>
              </w:rPr>
              <w:t>kopējā jauda un saražotās elektroenerģijas daudzums ir nozīmīgs Latvijas energosistēmai</w:t>
            </w:r>
            <w:r w:rsidRPr="00E0524B">
              <w:rPr>
                <w:rFonts w:ascii="Times New Roman" w:hAnsi="Times New Roman" w:cs="Times New Roman"/>
                <w:sz w:val="24"/>
                <w:szCs w:val="24"/>
              </w:rPr>
              <w:t xml:space="preserve">. 2018.gadā subsidētās elektrostacijas saražoja ap 4,1 </w:t>
            </w:r>
            <w:proofErr w:type="spellStart"/>
            <w:r w:rsidRPr="00E0524B">
              <w:rPr>
                <w:rFonts w:ascii="Times New Roman" w:hAnsi="Times New Roman" w:cs="Times New Roman"/>
                <w:sz w:val="24"/>
                <w:szCs w:val="24"/>
              </w:rPr>
              <w:t>TWh</w:t>
            </w:r>
            <w:proofErr w:type="spellEnd"/>
            <w:r w:rsidRPr="00E0524B">
              <w:rPr>
                <w:rFonts w:ascii="Times New Roman" w:hAnsi="Times New Roman" w:cs="Times New Roman"/>
                <w:sz w:val="24"/>
                <w:szCs w:val="24"/>
              </w:rPr>
              <w:t xml:space="preserve">, kas ir ap 64% no kopā Latvijā saražotā elektroenerģijas daudzuma, un ap 56% no Latvijā patērētā elektroenerģijas daudzuma. No kopā 4,1 </w:t>
            </w:r>
            <w:proofErr w:type="spellStart"/>
            <w:r w:rsidRPr="00E0524B">
              <w:rPr>
                <w:rFonts w:ascii="Times New Roman" w:hAnsi="Times New Roman" w:cs="Times New Roman"/>
                <w:sz w:val="24"/>
                <w:szCs w:val="24"/>
              </w:rPr>
              <w:t>TWh</w:t>
            </w:r>
            <w:proofErr w:type="spellEnd"/>
            <w:r w:rsidRPr="00E0524B">
              <w:rPr>
                <w:rFonts w:ascii="Times New Roman" w:hAnsi="Times New Roman" w:cs="Times New Roman"/>
                <w:sz w:val="24"/>
                <w:szCs w:val="24"/>
              </w:rPr>
              <w:t xml:space="preserve"> subsidētajās elektrostacijās saražotās elektroenerģijas lielākā daļa, jeb ap 66% saražoja termoelektrostacijas, kas saņem jaudas maksājumu - Rīgas TEC-1, Rīgas TEC-2, AS "Rīgas Siltums", SIA "Juglas Jauda", SIA "</w:t>
            </w:r>
            <w:proofErr w:type="spellStart"/>
            <w:r w:rsidRPr="00E0524B">
              <w:rPr>
                <w:rFonts w:ascii="Times New Roman" w:hAnsi="Times New Roman" w:cs="Times New Roman"/>
                <w:sz w:val="24"/>
                <w:szCs w:val="24"/>
              </w:rPr>
              <w:t>Fortum</w:t>
            </w:r>
            <w:proofErr w:type="spellEnd"/>
            <w:r>
              <w:rPr>
                <w:rFonts w:ascii="Times New Roman" w:hAnsi="Times New Roman" w:cs="Times New Roman"/>
                <w:sz w:val="24"/>
                <w:szCs w:val="24"/>
              </w:rPr>
              <w:t xml:space="preserve"> Latvija</w:t>
            </w:r>
            <w:r w:rsidRPr="00E0524B">
              <w:rPr>
                <w:rFonts w:ascii="Times New Roman" w:hAnsi="Times New Roman" w:cs="Times New Roman"/>
                <w:sz w:val="24"/>
                <w:szCs w:val="24"/>
              </w:rPr>
              <w:t>".</w:t>
            </w:r>
          </w:p>
          <w:p w14:paraId="2F33BD02" w14:textId="77777777" w:rsidR="008B5CA7" w:rsidRPr="00EA0AFA" w:rsidRDefault="008B5CA7" w:rsidP="004B2695">
            <w:pPr>
              <w:spacing w:before="120" w:after="120" w:line="240" w:lineRule="auto"/>
              <w:jc w:val="both"/>
              <w:rPr>
                <w:rFonts w:ascii="Times New Roman" w:hAnsi="Times New Roman" w:cs="Times New Roman"/>
                <w:sz w:val="24"/>
                <w:szCs w:val="24"/>
              </w:rPr>
            </w:pPr>
            <w:r w:rsidRPr="00EA0AFA">
              <w:rPr>
                <w:rFonts w:ascii="Times New Roman" w:hAnsi="Times New Roman" w:cs="Times New Roman"/>
                <w:sz w:val="24"/>
                <w:szCs w:val="24"/>
              </w:rPr>
              <w:t>Visu subsidēto elektrostaciju darbības pārtraukšana negatīvi ietekmētu Latvijas elektroenerģijas sistēmas darbības drošumu ilgtermiņā.</w:t>
            </w:r>
          </w:p>
          <w:p w14:paraId="6EE6BB2F" w14:textId="77777777" w:rsidR="008B5CA7" w:rsidRPr="00E0524B" w:rsidRDefault="008B5CA7" w:rsidP="004B2695">
            <w:pPr>
              <w:spacing w:before="120" w:after="120" w:line="240" w:lineRule="auto"/>
              <w:jc w:val="both"/>
              <w:rPr>
                <w:rFonts w:ascii="Times New Roman" w:hAnsi="Times New Roman" w:cs="Times New Roman"/>
                <w:sz w:val="24"/>
                <w:szCs w:val="24"/>
              </w:rPr>
            </w:pPr>
            <w:r w:rsidRPr="00E0524B">
              <w:rPr>
                <w:rFonts w:ascii="Times New Roman" w:hAnsi="Times New Roman" w:cs="Times New Roman"/>
                <w:sz w:val="24"/>
                <w:szCs w:val="24"/>
              </w:rPr>
              <w:lastRenderedPageBreak/>
              <w:t>Pārvades sistēmas operatora ikgadējā novērtējuma ziņojumā</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E0524B">
              <w:rPr>
                <w:rFonts w:ascii="Times New Roman" w:hAnsi="Times New Roman" w:cs="Times New Roman"/>
                <w:sz w:val="24"/>
                <w:szCs w:val="24"/>
              </w:rPr>
              <w:t xml:space="preserve">AST uzsvēra, ka pat bāzes scenārijā, kurā netiek paredzēta subsidēto elektrostaciju paātrināta darbības pārtraukšana, </w:t>
            </w:r>
            <w:r w:rsidRPr="008B5CA7">
              <w:rPr>
                <w:rFonts w:ascii="Times New Roman" w:hAnsi="Times New Roman" w:cs="Times New Roman"/>
                <w:b/>
                <w:sz w:val="24"/>
                <w:szCs w:val="24"/>
              </w:rPr>
              <w:t>Latvijā no 2023.gada būs ražošanas jaudu deficīts.</w:t>
            </w:r>
            <w:r w:rsidRPr="00E0524B">
              <w:rPr>
                <w:rFonts w:ascii="Times New Roman" w:hAnsi="Times New Roman" w:cs="Times New Roman"/>
                <w:sz w:val="24"/>
                <w:szCs w:val="24"/>
              </w:rPr>
              <w:t xml:space="preserve"> Turpmākajā dekādē sagaidāms pieaugošs ģenerējošo jaudu deficīts gan Latvijā, gan visā Baltijā. Līdz 2028.gadam Baltijā tiks slēgtas ap 2300 MW ražošanas</w:t>
            </w:r>
            <w:r>
              <w:rPr>
                <w:rFonts w:ascii="Times New Roman" w:hAnsi="Times New Roman" w:cs="Times New Roman"/>
                <w:sz w:val="24"/>
                <w:szCs w:val="24"/>
              </w:rPr>
              <w:t xml:space="preserve"> jaudām</w:t>
            </w:r>
            <w:r w:rsidRPr="00E0524B">
              <w:rPr>
                <w:rFonts w:ascii="Times New Roman" w:hAnsi="Times New Roman" w:cs="Times New Roman"/>
                <w:sz w:val="24"/>
                <w:szCs w:val="24"/>
              </w:rPr>
              <w:t xml:space="preserve">, jeb turpat puse </w:t>
            </w:r>
            <w:r>
              <w:rPr>
                <w:rFonts w:ascii="Times New Roman" w:hAnsi="Times New Roman" w:cs="Times New Roman"/>
                <w:sz w:val="24"/>
                <w:szCs w:val="24"/>
              </w:rPr>
              <w:t xml:space="preserve">no </w:t>
            </w:r>
            <w:r w:rsidRPr="00E0524B">
              <w:rPr>
                <w:rFonts w:ascii="Times New Roman" w:hAnsi="Times New Roman" w:cs="Times New Roman"/>
                <w:sz w:val="24"/>
                <w:szCs w:val="24"/>
              </w:rPr>
              <w:t xml:space="preserve">esošajām lielo termoelektrostaciju ģenerācijas jaudām. Pieaugs pārvades sistēmas </w:t>
            </w:r>
            <w:proofErr w:type="spellStart"/>
            <w:r w:rsidRPr="00E0524B">
              <w:rPr>
                <w:rFonts w:ascii="Times New Roman" w:hAnsi="Times New Roman" w:cs="Times New Roman"/>
                <w:sz w:val="24"/>
                <w:szCs w:val="24"/>
              </w:rPr>
              <w:t>starpsavienojumu</w:t>
            </w:r>
            <w:proofErr w:type="spellEnd"/>
            <w:r w:rsidRPr="00E0524B">
              <w:rPr>
                <w:rFonts w:ascii="Times New Roman" w:hAnsi="Times New Roman" w:cs="Times New Roman"/>
                <w:sz w:val="24"/>
                <w:szCs w:val="24"/>
              </w:rPr>
              <w:t xml:space="preserve"> nozīme un noslodze uz pārvades tīklu kopumā. Īpaši ņemot vērā Baltijas valstu mērķi līdz 2025.gadam atdalīties no Krievijas energosistēmas un pievienoties sinhronam darbam ar Kontinentālās Eiropas pārvades sistēmu, svarīgi nodrošināt Latvijas ģenerācijas jaudu būtisku nesamazināšanos. Ģenerācijas jaudu pietiekamība Baltijas valstīs un </w:t>
            </w:r>
            <w:proofErr w:type="spellStart"/>
            <w:r w:rsidRPr="00E0524B">
              <w:rPr>
                <w:rFonts w:ascii="Times New Roman" w:hAnsi="Times New Roman" w:cs="Times New Roman"/>
                <w:sz w:val="24"/>
                <w:szCs w:val="24"/>
              </w:rPr>
              <w:t>starpsavienojumu</w:t>
            </w:r>
            <w:proofErr w:type="spellEnd"/>
            <w:r w:rsidRPr="00E0524B">
              <w:rPr>
                <w:rFonts w:ascii="Times New Roman" w:hAnsi="Times New Roman" w:cs="Times New Roman"/>
                <w:sz w:val="24"/>
                <w:szCs w:val="24"/>
              </w:rPr>
              <w:t xml:space="preserve"> caurlaides spēju pietiekamība būs viens no būtiskākajiem jautājumiem stabilas elektroenerģijas sistēmas darbības turpināšanai, realizējot sinhronizācijas projektu ar Kontinentālās Eiropas pārvades sistēmu.</w:t>
            </w:r>
          </w:p>
          <w:p w14:paraId="24A7E287" w14:textId="77777777" w:rsidR="008B5CA7" w:rsidRPr="00E0524B" w:rsidRDefault="008B5CA7" w:rsidP="004B2695">
            <w:pPr>
              <w:spacing w:before="120" w:after="120" w:line="240" w:lineRule="auto"/>
              <w:jc w:val="both"/>
              <w:rPr>
                <w:rFonts w:ascii="Times New Roman" w:hAnsi="Times New Roman" w:cs="Times New Roman"/>
                <w:sz w:val="24"/>
                <w:szCs w:val="24"/>
              </w:rPr>
            </w:pPr>
            <w:r w:rsidRPr="00414795">
              <w:rPr>
                <w:rFonts w:ascii="Times New Roman" w:hAnsi="Times New Roman" w:cs="Times New Roman"/>
                <w:sz w:val="24"/>
                <w:szCs w:val="24"/>
              </w:rPr>
              <w:t>Starp subsidētajām elektrostacijām Rīgas TEC-2 nozīme ir īpaši liela, lai nodrošinātu stabilu pārvades sistēmas darbību,</w:t>
            </w:r>
            <w:r w:rsidRPr="00E0524B">
              <w:rPr>
                <w:rFonts w:ascii="Times New Roman" w:hAnsi="Times New Roman" w:cs="Times New Roman"/>
                <w:sz w:val="24"/>
                <w:szCs w:val="24"/>
              </w:rPr>
              <w:t xml:space="preserve"> jo TEC-2 jauda ir sistēmiski nozīmīga, kontrolējama un spēj nodrošināt dažādus sistēmas pakalpojumus (t.sk. jaudas rezerves, frekvences regulēšanu, sprieguma regulēšanu, inerci).</w:t>
            </w:r>
            <w:r w:rsidR="00C06A0B">
              <w:rPr>
                <w:rFonts w:ascii="Times New Roman" w:hAnsi="Times New Roman" w:cs="Times New Roman"/>
                <w:sz w:val="24"/>
                <w:szCs w:val="24"/>
              </w:rPr>
              <w:t xml:space="preserve"> Ņemot vērā minēto un saskaņā ar Ministru kabineta </w:t>
            </w:r>
            <w:r w:rsidR="006727C9">
              <w:rPr>
                <w:rFonts w:ascii="Times New Roman" w:hAnsi="Times New Roman" w:cs="Times New Roman"/>
                <w:sz w:val="24"/>
                <w:szCs w:val="24"/>
              </w:rPr>
              <w:t xml:space="preserve">2017.gada 21.novembra </w:t>
            </w:r>
            <w:r w:rsidR="00414795">
              <w:rPr>
                <w:rFonts w:ascii="Times New Roman" w:hAnsi="Times New Roman" w:cs="Times New Roman"/>
                <w:sz w:val="24"/>
                <w:szCs w:val="24"/>
              </w:rPr>
              <w:t>rīkojumu Nr</w:t>
            </w:r>
            <w:r w:rsidR="006727C9">
              <w:t>.</w:t>
            </w:r>
            <w:r w:rsidR="006727C9" w:rsidRPr="006727C9">
              <w:rPr>
                <w:rFonts w:ascii="Times New Roman" w:hAnsi="Times New Roman" w:cs="Times New Roman"/>
                <w:sz w:val="24"/>
                <w:szCs w:val="24"/>
              </w:rPr>
              <w:t>685</w:t>
            </w:r>
            <w:r w:rsidR="00414795">
              <w:rPr>
                <w:rFonts w:ascii="Times New Roman" w:hAnsi="Times New Roman" w:cs="Times New Roman"/>
                <w:sz w:val="24"/>
                <w:szCs w:val="24"/>
              </w:rPr>
              <w:t xml:space="preserve"> vienreizējā darījuma ietvaros AS “Latvenergo” elektrostacijām TEC-1 un TEC-2 izmaksāto avansu, likumprojektā ietvertais risinājums paredz pienākumu TEC-1 un TEC-2 elektrostacijām nostrādāt līdz šim minimāli noteiktajā apjomā līdz plānotajām atbalsta perioda beigām. </w:t>
            </w:r>
          </w:p>
          <w:p w14:paraId="324C1A06" w14:textId="42C08C33" w:rsidR="0069120A" w:rsidRDefault="00515C78" w:rsidP="004B2695">
            <w:pPr>
              <w:spacing w:before="120" w:after="120" w:line="240" w:lineRule="auto"/>
              <w:jc w:val="both"/>
              <w:rPr>
                <w:rFonts w:ascii="Times New Roman" w:hAnsi="Times New Roman" w:cs="Times New Roman"/>
                <w:sz w:val="24"/>
                <w:szCs w:val="24"/>
              </w:rPr>
            </w:pPr>
            <w:r w:rsidRPr="00E0524B">
              <w:rPr>
                <w:rFonts w:ascii="Times New Roman" w:hAnsi="Times New Roman" w:cs="Times New Roman"/>
                <w:sz w:val="24"/>
                <w:szCs w:val="24"/>
              </w:rPr>
              <w:t xml:space="preserve">Savukārt, </w:t>
            </w:r>
            <w:r>
              <w:rPr>
                <w:rFonts w:ascii="Times New Roman" w:hAnsi="Times New Roman" w:cs="Times New Roman"/>
                <w:sz w:val="24"/>
                <w:szCs w:val="24"/>
              </w:rPr>
              <w:t>vērtējot</w:t>
            </w:r>
            <w:r w:rsidRPr="00E0524B">
              <w:rPr>
                <w:rFonts w:ascii="Times New Roman" w:hAnsi="Times New Roman" w:cs="Times New Roman"/>
                <w:sz w:val="24"/>
                <w:szCs w:val="24"/>
              </w:rPr>
              <w:t xml:space="preserve">, kādu ietekmi uz elektroenerģijas sistēmas stabilitāti atstās visu subsidēto elektrostaciju darbības pārtraukšana, </w:t>
            </w:r>
            <w:r w:rsidRPr="00515C78">
              <w:rPr>
                <w:rFonts w:ascii="Times New Roman" w:hAnsi="Times New Roman" w:cs="Times New Roman"/>
                <w:b/>
                <w:sz w:val="24"/>
                <w:szCs w:val="24"/>
              </w:rPr>
              <w:t xml:space="preserve">izņemot Rīgas TEC-1 un TEC-2 elektrostacijas, </w:t>
            </w:r>
            <w:bookmarkStart w:id="14" w:name="_Hlk3208545"/>
            <w:r w:rsidRPr="00515C78">
              <w:rPr>
                <w:rFonts w:ascii="Times New Roman" w:hAnsi="Times New Roman" w:cs="Times New Roman"/>
                <w:b/>
                <w:sz w:val="24"/>
                <w:szCs w:val="24"/>
              </w:rPr>
              <w:t>AST vērtē, ka šo elektrostaciju darbības apturēšanai nebūtu ietekme uz elektroenerģijas sistēmas stabilitāti</w:t>
            </w:r>
            <w:r w:rsidRPr="00E0524B">
              <w:rPr>
                <w:rFonts w:ascii="Times New Roman" w:hAnsi="Times New Roman" w:cs="Times New Roman"/>
                <w:sz w:val="24"/>
                <w:szCs w:val="24"/>
              </w:rPr>
              <w:t>.</w:t>
            </w:r>
            <w:bookmarkEnd w:id="14"/>
          </w:p>
          <w:p w14:paraId="6FCF5352" w14:textId="77777777" w:rsidR="00EA0AFA" w:rsidRPr="00EA0AFA" w:rsidRDefault="00EA0AFA" w:rsidP="004B2695">
            <w:pPr>
              <w:spacing w:before="120" w:after="120" w:line="240" w:lineRule="auto"/>
              <w:jc w:val="both"/>
              <w:rPr>
                <w:rStyle w:val="normaltextrun"/>
                <w:rFonts w:ascii="Times New Roman" w:hAnsi="Times New Roman" w:cs="Times New Roman"/>
                <w:sz w:val="24"/>
                <w:szCs w:val="24"/>
              </w:rPr>
            </w:pPr>
          </w:p>
          <w:p w14:paraId="2C8F1A7E" w14:textId="77777777" w:rsidR="00E6541B" w:rsidRPr="00E6541B" w:rsidRDefault="00E6541B" w:rsidP="004B2695">
            <w:pPr>
              <w:spacing w:before="120" w:after="120" w:line="240" w:lineRule="auto"/>
              <w:jc w:val="both"/>
              <w:rPr>
                <w:rStyle w:val="normaltextrun"/>
                <w:rFonts w:ascii="Times New Roman" w:eastAsia="Times New Roman" w:hAnsi="Times New Roman" w:cs="Times New Roman"/>
                <w:b/>
                <w:i/>
                <w:sz w:val="24"/>
                <w:szCs w:val="24"/>
                <w:lang w:eastAsia="lv-LV"/>
              </w:rPr>
            </w:pPr>
            <w:r w:rsidRPr="00E6541B">
              <w:rPr>
                <w:rStyle w:val="normaltextrun"/>
                <w:rFonts w:ascii="Times New Roman" w:eastAsia="Times New Roman" w:hAnsi="Times New Roman" w:cs="Times New Roman"/>
                <w:b/>
                <w:i/>
                <w:sz w:val="24"/>
                <w:szCs w:val="24"/>
                <w:lang w:eastAsia="lv-LV"/>
              </w:rPr>
              <w:t>3.3. Importa pieaugums, atkarības veicināšanās</w:t>
            </w:r>
          </w:p>
          <w:p w14:paraId="68A5CFA4" w14:textId="2CB27728" w:rsidR="004F5081" w:rsidRPr="00CC5442" w:rsidRDefault="004F5081" w:rsidP="004B2695">
            <w:pPr>
              <w:pStyle w:val="Default"/>
              <w:spacing w:before="120" w:after="120"/>
              <w:jc w:val="both"/>
            </w:pPr>
            <w:r w:rsidRPr="008B628A">
              <w:rPr>
                <w:rFonts w:eastAsia="Calibri"/>
              </w:rPr>
              <w:t>Enerģētikas attīstības pamatnostādnes 2016.–2020.gadam</w:t>
            </w:r>
            <w:r>
              <w:rPr>
                <w:rStyle w:val="FootnoteReference"/>
                <w:rFonts w:eastAsia="Calibri"/>
              </w:rPr>
              <w:footnoteReference w:id="32"/>
            </w:r>
            <w:r w:rsidRPr="00CC5442">
              <w:t xml:space="preserve"> nosaka mērķi </w:t>
            </w:r>
            <w:proofErr w:type="spellStart"/>
            <w:r w:rsidRPr="00CC5442">
              <w:t>energoatkarības</w:t>
            </w:r>
            <w:proofErr w:type="spellEnd"/>
            <w:r w:rsidRPr="00CC5442">
              <w:t xml:space="preserve"> (neto energoresursu imports/bruto iekšzemes enerģijas patēriņš plus </w:t>
            </w:r>
            <w:proofErr w:type="spellStart"/>
            <w:r w:rsidRPr="00CC5442">
              <w:t>bunkurēšana</w:t>
            </w:r>
            <w:proofErr w:type="spellEnd"/>
            <w:r w:rsidRPr="00CC5442">
              <w:t xml:space="preserve">, %) mērķi 2020.gadam – 44,1% energoresursu importa attiecība bruto iekšzemes enerģijas patēriņā. Savukārt </w:t>
            </w:r>
            <w:r w:rsidR="0095721D">
              <w:t>inf</w:t>
            </w:r>
            <w:r w:rsidR="009C0D83">
              <w:t>o</w:t>
            </w:r>
            <w:r w:rsidR="0095721D">
              <w:t xml:space="preserve">rmatīvajā ziņojumā </w:t>
            </w:r>
            <w:r w:rsidR="009C0D83">
              <w:t>“</w:t>
            </w:r>
            <w:r w:rsidR="009C0D83" w:rsidRPr="009C0D83">
              <w:t>Latvijas Enerģētikas ilgtermiņa stratēģija 2030 – konkurētspējīga enerģētika sabiedrībai</w:t>
            </w:r>
            <w:r w:rsidR="009C0D83">
              <w:t>”</w:t>
            </w:r>
            <w:r w:rsidR="009C0D83">
              <w:rPr>
                <w:rStyle w:val="FootnoteReference"/>
              </w:rPr>
              <w:footnoteReference w:id="33"/>
            </w:r>
            <w:r w:rsidRPr="00CC5442">
              <w:t xml:space="preserve"> no</w:t>
            </w:r>
            <w:r w:rsidR="009C0D83">
              <w:t>teikts</w:t>
            </w:r>
            <w:r w:rsidRPr="00CC5442">
              <w:t xml:space="preserve"> nesaistoš</w:t>
            </w:r>
            <w:r w:rsidR="009C0D83">
              <w:t>s</w:t>
            </w:r>
            <w:r w:rsidRPr="00CC5442">
              <w:t xml:space="preserve"> 2030.gada mērķi</w:t>
            </w:r>
            <w:r w:rsidR="009C0D83">
              <w:t>s</w:t>
            </w:r>
            <w:r w:rsidRPr="00CC5442">
              <w:t xml:space="preserve"> </w:t>
            </w:r>
            <w:r>
              <w:t>–</w:t>
            </w:r>
            <w:r w:rsidRPr="00CC5442">
              <w:t xml:space="preserve"> par 50% samazināt enerģijas un energoresursu importu no esošajiem trešo valstu piegādātājiem, salīdzinot ar 2011.gada rādītājiem, kur 2011.gadā energoresursu imports no ārpus Eiropas Ekonomikas zonas dalībvalstīm bija 28,2 </w:t>
            </w:r>
            <w:proofErr w:type="spellStart"/>
            <w:r w:rsidRPr="00CC5442">
              <w:t>TWh</w:t>
            </w:r>
            <w:proofErr w:type="spellEnd"/>
            <w:r>
              <w:t>.</w:t>
            </w:r>
            <w:r w:rsidRPr="00CC5442">
              <w:t xml:space="preserve"> </w:t>
            </w:r>
            <w:r>
              <w:t>T</w:t>
            </w:r>
            <w:r w:rsidRPr="00CC5442">
              <w:t xml:space="preserve">ātad 2030.gadā šim importa rādītājam ir jābūt ne lielākam kā 14,1 </w:t>
            </w:r>
            <w:proofErr w:type="spellStart"/>
            <w:r w:rsidRPr="00CC5442">
              <w:t>TWh</w:t>
            </w:r>
            <w:proofErr w:type="spellEnd"/>
            <w:r w:rsidRPr="00CC5442">
              <w:t xml:space="preserve">. </w:t>
            </w:r>
          </w:p>
          <w:p w14:paraId="718B8574" w14:textId="22061EDD" w:rsidR="004F5081" w:rsidRPr="005B7BE1" w:rsidRDefault="004F5081" w:rsidP="004B2695">
            <w:pPr>
              <w:spacing w:before="120" w:after="120" w:line="240" w:lineRule="auto"/>
              <w:jc w:val="both"/>
              <w:rPr>
                <w:color w:val="000000"/>
              </w:rPr>
            </w:pPr>
            <w:r w:rsidRPr="005B7BE1">
              <w:rPr>
                <w:rFonts w:ascii="Times New Roman" w:hAnsi="Times New Roman" w:cs="Times New Roman"/>
                <w:color w:val="000000"/>
                <w:sz w:val="24"/>
                <w:szCs w:val="24"/>
              </w:rPr>
              <w:lastRenderedPageBreak/>
              <w:t xml:space="preserve">Šobrīd ir secināms, ka Latvijas enerģētiskā atkarība no importējamiem energoresursiem mazinās – no 55,9 % 2013.gadā līdz 47,2 % 2016. gadā. Līdz ar to ir uzskatāms, ka Latvija savu mērķi 2020.gadam un 2030.gadam izpilda esošo </w:t>
            </w:r>
            <w:proofErr w:type="spellStart"/>
            <w:r w:rsidRPr="005B7BE1">
              <w:rPr>
                <w:rFonts w:ascii="Times New Roman" w:hAnsi="Times New Roman" w:cs="Times New Roman"/>
                <w:color w:val="000000"/>
                <w:sz w:val="24"/>
                <w:szCs w:val="24"/>
              </w:rPr>
              <w:t>rīcībpolitiku</w:t>
            </w:r>
            <w:proofErr w:type="spellEnd"/>
            <w:r w:rsidRPr="005B7BE1">
              <w:rPr>
                <w:rFonts w:ascii="Times New Roman" w:hAnsi="Times New Roman" w:cs="Times New Roman"/>
                <w:color w:val="000000"/>
                <w:sz w:val="24"/>
                <w:szCs w:val="24"/>
              </w:rPr>
              <w:t xml:space="preserve"> un pasākumu </w:t>
            </w:r>
            <w:r w:rsidR="00053D2F">
              <w:rPr>
                <w:rFonts w:ascii="Times New Roman" w:hAnsi="Times New Roman" w:cs="Times New Roman"/>
                <w:color w:val="000000"/>
                <w:sz w:val="24"/>
                <w:szCs w:val="24"/>
              </w:rPr>
              <w:t>ietvar</w:t>
            </w:r>
            <w:r w:rsidRPr="005B7BE1">
              <w:rPr>
                <w:rFonts w:ascii="Times New Roman" w:hAnsi="Times New Roman" w:cs="Times New Roman"/>
                <w:color w:val="000000"/>
                <w:sz w:val="24"/>
                <w:szCs w:val="24"/>
              </w:rPr>
              <w:t>ā.</w:t>
            </w:r>
            <w:r w:rsidR="00477A45">
              <w:rPr>
                <w:rFonts w:ascii="Times New Roman" w:hAnsi="Times New Roman" w:cs="Times New Roman"/>
                <w:color w:val="000000"/>
                <w:sz w:val="24"/>
                <w:szCs w:val="24"/>
              </w:rPr>
              <w:t xml:space="preserve"> Tomēr, īstenojot Likumprojektā ietverto risinājumu, kura rezultātā darbu pārtrauks lielākā daļa AER elektrostaciju, paredzams, ka palielinās</w:t>
            </w:r>
            <w:r w:rsidR="009C7355">
              <w:rPr>
                <w:rFonts w:ascii="Times New Roman" w:hAnsi="Times New Roman" w:cs="Times New Roman"/>
                <w:color w:val="000000"/>
                <w:sz w:val="24"/>
                <w:szCs w:val="24"/>
              </w:rPr>
              <w:t>ies</w:t>
            </w:r>
            <w:r w:rsidR="00477A45">
              <w:rPr>
                <w:rFonts w:ascii="Times New Roman" w:hAnsi="Times New Roman" w:cs="Times New Roman"/>
                <w:color w:val="000000"/>
                <w:sz w:val="24"/>
                <w:szCs w:val="24"/>
              </w:rPr>
              <w:t xml:space="preserve"> energoresursu imports un tādējādi šī mērķa sasniegšana var tikt negatīvi ietekmēta.</w:t>
            </w:r>
          </w:p>
          <w:p w14:paraId="328DA222" w14:textId="77777777" w:rsidR="009D01B2" w:rsidRPr="009D01B2" w:rsidRDefault="009D01B2" w:rsidP="004B2695">
            <w:pPr>
              <w:pStyle w:val="ListParagraph"/>
              <w:spacing w:before="120" w:after="120" w:line="240" w:lineRule="auto"/>
              <w:ind w:left="360"/>
              <w:jc w:val="both"/>
              <w:rPr>
                <w:rStyle w:val="normaltextrun"/>
                <w:rFonts w:ascii="Times New Roman" w:eastAsia="Times New Roman" w:hAnsi="Times New Roman" w:cs="Times New Roman"/>
                <w:i/>
                <w:color w:val="FF0000"/>
                <w:sz w:val="24"/>
                <w:szCs w:val="24"/>
                <w:lang w:eastAsia="lv-LV"/>
              </w:rPr>
            </w:pPr>
          </w:p>
          <w:p w14:paraId="7E91BE07" w14:textId="77777777" w:rsidR="007313D5" w:rsidRDefault="00E6541B" w:rsidP="004B2695">
            <w:pPr>
              <w:spacing w:before="120" w:after="120" w:line="240" w:lineRule="auto"/>
              <w:jc w:val="both"/>
              <w:rPr>
                <w:rStyle w:val="normaltextrun"/>
                <w:rFonts w:ascii="Times New Roman" w:eastAsia="Times New Roman" w:hAnsi="Times New Roman" w:cs="Times New Roman"/>
                <w:b/>
                <w:i/>
                <w:sz w:val="24"/>
                <w:szCs w:val="24"/>
                <w:lang w:eastAsia="lv-LV"/>
              </w:rPr>
            </w:pPr>
            <w:r w:rsidRPr="00E6541B">
              <w:rPr>
                <w:rStyle w:val="normaltextrun"/>
                <w:rFonts w:ascii="Times New Roman" w:eastAsia="Times New Roman" w:hAnsi="Times New Roman" w:cs="Times New Roman"/>
                <w:b/>
                <w:i/>
                <w:sz w:val="24"/>
                <w:szCs w:val="24"/>
                <w:lang w:eastAsia="lv-LV"/>
              </w:rPr>
              <w:t xml:space="preserve">3.4. </w:t>
            </w:r>
            <w:r w:rsidR="007313D5" w:rsidRPr="00E6541B">
              <w:rPr>
                <w:rStyle w:val="normaltextrun"/>
                <w:rFonts w:ascii="Times New Roman" w:eastAsia="Times New Roman" w:hAnsi="Times New Roman" w:cs="Times New Roman"/>
                <w:b/>
                <w:i/>
                <w:sz w:val="24"/>
                <w:szCs w:val="24"/>
                <w:lang w:eastAsia="lv-LV"/>
              </w:rPr>
              <w:t xml:space="preserve"> </w:t>
            </w:r>
            <w:r w:rsidR="007A6592">
              <w:rPr>
                <w:rStyle w:val="normaltextrun"/>
                <w:rFonts w:ascii="Times New Roman" w:eastAsia="Times New Roman" w:hAnsi="Times New Roman" w:cs="Times New Roman"/>
                <w:b/>
                <w:i/>
                <w:sz w:val="24"/>
                <w:szCs w:val="24"/>
                <w:lang w:eastAsia="lv-LV"/>
              </w:rPr>
              <w:t>Ietekme uz AS “Latvenergo” koncernu</w:t>
            </w:r>
          </w:p>
          <w:p w14:paraId="63886D48" w14:textId="2EEAF929" w:rsidR="00B76F75" w:rsidRDefault="00C95C50" w:rsidP="004B2695">
            <w:pPr>
              <w:spacing w:before="120" w:after="120" w:line="240" w:lineRule="auto"/>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 xml:space="preserve">Likumprojektam ir paredzama </w:t>
            </w:r>
            <w:r w:rsidR="0075106F">
              <w:rPr>
                <w:rFonts w:ascii="Times New Roman" w:hAnsi="Times New Roman" w:cs="Times New Roman"/>
                <w:bCs/>
                <w:sz w:val="24"/>
                <w:szCs w:val="24"/>
              </w:rPr>
              <w:t xml:space="preserve">izteikti </w:t>
            </w:r>
            <w:r>
              <w:rPr>
                <w:rFonts w:ascii="Times New Roman" w:hAnsi="Times New Roman" w:cs="Times New Roman"/>
                <w:bCs/>
                <w:sz w:val="24"/>
                <w:szCs w:val="24"/>
              </w:rPr>
              <w:t>negat</w:t>
            </w:r>
            <w:r w:rsidR="004A6F41">
              <w:rPr>
                <w:rFonts w:ascii="Times New Roman" w:hAnsi="Times New Roman" w:cs="Times New Roman"/>
                <w:bCs/>
                <w:sz w:val="24"/>
                <w:szCs w:val="24"/>
              </w:rPr>
              <w:t>īva ietekme uz AS </w:t>
            </w:r>
            <w:r>
              <w:rPr>
                <w:rFonts w:ascii="Times New Roman" w:hAnsi="Times New Roman" w:cs="Times New Roman"/>
                <w:bCs/>
                <w:sz w:val="24"/>
                <w:szCs w:val="24"/>
              </w:rPr>
              <w:t>“Latvenergo” peļņu</w:t>
            </w:r>
            <w:r w:rsidR="00A50BB4">
              <w:rPr>
                <w:rFonts w:ascii="Times New Roman" w:hAnsi="Times New Roman" w:cs="Times New Roman"/>
                <w:bCs/>
                <w:sz w:val="24"/>
                <w:szCs w:val="24"/>
              </w:rPr>
              <w:t xml:space="preserve"> 2019. gadā un</w:t>
            </w:r>
            <w:r w:rsidR="0075106F">
              <w:rPr>
                <w:rFonts w:ascii="Times New Roman" w:hAnsi="Times New Roman" w:cs="Times New Roman"/>
                <w:bCs/>
                <w:sz w:val="24"/>
                <w:szCs w:val="24"/>
              </w:rPr>
              <w:t xml:space="preserve"> </w:t>
            </w:r>
            <w:r w:rsidR="001773B8">
              <w:rPr>
                <w:rFonts w:ascii="Times New Roman" w:hAnsi="Times New Roman" w:cs="Times New Roman"/>
                <w:bCs/>
                <w:sz w:val="24"/>
                <w:szCs w:val="24"/>
              </w:rPr>
              <w:t xml:space="preserve">mērenāka ietekme </w:t>
            </w:r>
            <w:r w:rsidR="0075106F">
              <w:rPr>
                <w:rFonts w:ascii="Times New Roman" w:hAnsi="Times New Roman" w:cs="Times New Roman"/>
                <w:bCs/>
                <w:sz w:val="24"/>
                <w:szCs w:val="24"/>
              </w:rPr>
              <w:t>turpmākajos gados</w:t>
            </w:r>
            <w:r w:rsidR="00B76F75">
              <w:rPr>
                <w:rFonts w:ascii="Times New Roman" w:hAnsi="Times New Roman" w:cs="Times New Roman"/>
                <w:bCs/>
                <w:sz w:val="24"/>
                <w:szCs w:val="24"/>
              </w:rPr>
              <w:t>.</w:t>
            </w:r>
            <w:r w:rsidR="00425092">
              <w:rPr>
                <w:rFonts w:ascii="Times New Roman" w:hAnsi="Times New Roman" w:cs="Times New Roman"/>
                <w:bCs/>
                <w:sz w:val="24"/>
                <w:szCs w:val="24"/>
              </w:rPr>
              <w:t xml:space="preserve"> </w:t>
            </w:r>
            <w:r w:rsidR="00B76F75">
              <w:rPr>
                <w:rFonts w:ascii="Times New Roman" w:hAnsi="Times New Roman" w:cs="Times New Roman"/>
                <w:bCs/>
                <w:sz w:val="24"/>
                <w:szCs w:val="24"/>
              </w:rPr>
              <w:t>T</w:t>
            </w:r>
            <w:r w:rsidR="00425092">
              <w:rPr>
                <w:rFonts w:ascii="Times New Roman" w:hAnsi="Times New Roman" w:cs="Times New Roman"/>
                <w:bCs/>
                <w:sz w:val="24"/>
                <w:szCs w:val="24"/>
              </w:rPr>
              <w:t xml:space="preserve">o ietekmēs gan </w:t>
            </w:r>
            <w:r w:rsidR="00B76F75">
              <w:rPr>
                <w:rFonts w:ascii="Times New Roman" w:hAnsi="Times New Roman" w:cs="Times New Roman"/>
                <w:bCs/>
                <w:sz w:val="24"/>
                <w:szCs w:val="24"/>
              </w:rPr>
              <w:t xml:space="preserve">publiskajam tirgotājam uzkrātais un no elektroenerģijas gala patērētājiem nesaņemtais parāds par OIK, gan </w:t>
            </w:r>
            <w:r w:rsidR="00DD0796">
              <w:rPr>
                <w:rFonts w:ascii="Times New Roman" w:hAnsi="Times New Roman" w:cs="Times New Roman"/>
                <w:bCs/>
                <w:sz w:val="24"/>
                <w:szCs w:val="24"/>
              </w:rPr>
              <w:t xml:space="preserve">ikgadējo </w:t>
            </w:r>
            <w:r w:rsidR="003A6786">
              <w:rPr>
                <w:rFonts w:ascii="Times New Roman" w:hAnsi="Times New Roman" w:cs="Times New Roman"/>
                <w:bCs/>
                <w:sz w:val="24"/>
                <w:szCs w:val="24"/>
              </w:rPr>
              <w:t>valsts atbalsta maksājumu atcelšana</w:t>
            </w:r>
            <w:r w:rsidR="00DD0796">
              <w:rPr>
                <w:rFonts w:ascii="Times New Roman" w:hAnsi="Times New Roman" w:cs="Times New Roman"/>
                <w:bCs/>
                <w:sz w:val="24"/>
                <w:szCs w:val="24"/>
              </w:rPr>
              <w:t xml:space="preserve"> TEC-1 un TEC-2</w:t>
            </w:r>
            <w:r>
              <w:rPr>
                <w:rFonts w:ascii="Times New Roman" w:hAnsi="Times New Roman" w:cs="Times New Roman"/>
                <w:bCs/>
                <w:sz w:val="24"/>
                <w:szCs w:val="24"/>
              </w:rPr>
              <w:t xml:space="preserve">. </w:t>
            </w:r>
            <w:r w:rsidR="00433346">
              <w:rPr>
                <w:rFonts w:ascii="Times New Roman" w:hAnsi="Times New Roman" w:cs="Times New Roman"/>
                <w:bCs/>
                <w:sz w:val="24"/>
                <w:szCs w:val="24"/>
              </w:rPr>
              <w:t>Vienlaikus, ņ</w:t>
            </w:r>
            <w:r w:rsidR="009405BB" w:rsidRPr="007055BA">
              <w:rPr>
                <w:rFonts w:ascii="Times New Roman" w:hAnsi="Times New Roman" w:cs="Times New Roman"/>
                <w:bCs/>
                <w:sz w:val="24"/>
                <w:szCs w:val="24"/>
              </w:rPr>
              <w:t xml:space="preserve">emot vērā, ka </w:t>
            </w:r>
            <w:r w:rsidR="006638F8">
              <w:rPr>
                <w:rFonts w:ascii="Times New Roman" w:hAnsi="Times New Roman" w:cs="Times New Roman"/>
                <w:bCs/>
                <w:sz w:val="24"/>
                <w:szCs w:val="24"/>
              </w:rPr>
              <w:t>L</w:t>
            </w:r>
            <w:r w:rsidR="009405BB" w:rsidRPr="007055BA">
              <w:rPr>
                <w:rFonts w:ascii="Times New Roman" w:hAnsi="Times New Roman" w:cs="Times New Roman"/>
                <w:bCs/>
                <w:sz w:val="24"/>
                <w:szCs w:val="24"/>
              </w:rPr>
              <w:t>ikumprojekta ietekmes raksturojums uz AS “Latvenergo” koncernu satur komercnoslēpumu</w:t>
            </w:r>
            <w:r w:rsidR="007055BA">
              <w:rPr>
                <w:rFonts w:ascii="Times New Roman" w:eastAsia="Times New Roman" w:hAnsi="Times New Roman" w:cs="Times New Roman"/>
                <w:bCs/>
                <w:sz w:val="24"/>
                <w:szCs w:val="24"/>
                <w:lang w:eastAsia="lv-LV"/>
              </w:rPr>
              <w:t xml:space="preserve">, minētā informācija ir pievienota pielikumā </w:t>
            </w:r>
            <w:r w:rsidR="007055BA" w:rsidRPr="005748A2">
              <w:rPr>
                <w:rFonts w:ascii="Times New Roman" w:eastAsia="Times New Roman" w:hAnsi="Times New Roman" w:cs="Times New Roman"/>
                <w:bCs/>
                <w:sz w:val="24"/>
                <w:szCs w:val="24"/>
                <w:lang w:eastAsia="lv-LV"/>
              </w:rPr>
              <w:t>(</w:t>
            </w:r>
            <w:r w:rsidR="005748A2" w:rsidRPr="005748A2">
              <w:rPr>
                <w:rFonts w:ascii="Times New Roman" w:eastAsia="Times New Roman" w:hAnsi="Times New Roman" w:cs="Times New Roman"/>
                <w:bCs/>
                <w:sz w:val="24"/>
                <w:szCs w:val="24"/>
                <w:lang w:eastAsia="lv-LV"/>
              </w:rPr>
              <w:t>1.</w:t>
            </w:r>
            <w:r w:rsidR="007055BA" w:rsidRPr="005748A2">
              <w:rPr>
                <w:rFonts w:ascii="Times New Roman" w:eastAsia="Times New Roman" w:hAnsi="Times New Roman" w:cs="Times New Roman"/>
                <w:bCs/>
                <w:sz w:val="24"/>
                <w:szCs w:val="24"/>
                <w:lang w:eastAsia="lv-LV"/>
              </w:rPr>
              <w:t xml:space="preserve"> pielikums</w:t>
            </w:r>
            <w:r w:rsidR="007055BA">
              <w:rPr>
                <w:rFonts w:ascii="Times New Roman" w:eastAsia="Times New Roman" w:hAnsi="Times New Roman" w:cs="Times New Roman"/>
                <w:bCs/>
                <w:sz w:val="24"/>
                <w:szCs w:val="24"/>
                <w:lang w:eastAsia="lv-LV"/>
              </w:rPr>
              <w:t xml:space="preserve">) un tai noteikts ierobežotas pieejamības statuss. </w:t>
            </w:r>
          </w:p>
          <w:p w14:paraId="3DA0DF16" w14:textId="77777777" w:rsidR="007055BA" w:rsidRPr="007055BA" w:rsidRDefault="007055BA" w:rsidP="004B2695">
            <w:pPr>
              <w:spacing w:before="120" w:after="120" w:line="240" w:lineRule="auto"/>
              <w:jc w:val="both"/>
              <w:rPr>
                <w:rFonts w:ascii="Times New Roman" w:hAnsi="Times New Roman" w:cs="Times New Roman"/>
                <w:bCs/>
                <w:sz w:val="24"/>
                <w:szCs w:val="24"/>
              </w:rPr>
            </w:pPr>
          </w:p>
          <w:p w14:paraId="5F9B2A1A" w14:textId="77777777" w:rsidR="00355D8B" w:rsidRDefault="00355D8B" w:rsidP="004B2695">
            <w:pPr>
              <w:spacing w:before="120" w:after="120" w:line="240" w:lineRule="auto"/>
              <w:jc w:val="both"/>
              <w:rPr>
                <w:rStyle w:val="normaltextrun"/>
                <w:rFonts w:ascii="Times New Roman" w:eastAsia="Times New Roman" w:hAnsi="Times New Roman" w:cs="Times New Roman"/>
                <w:b/>
                <w:i/>
                <w:sz w:val="24"/>
                <w:szCs w:val="24"/>
                <w:lang w:eastAsia="lv-LV"/>
              </w:rPr>
            </w:pPr>
            <w:r w:rsidRPr="00355D8B">
              <w:rPr>
                <w:rStyle w:val="normaltextrun"/>
                <w:rFonts w:ascii="Times New Roman" w:eastAsia="Times New Roman" w:hAnsi="Times New Roman" w:cs="Times New Roman"/>
                <w:b/>
                <w:i/>
                <w:sz w:val="24"/>
                <w:szCs w:val="24"/>
                <w:lang w:eastAsia="lv-LV"/>
              </w:rPr>
              <w:t>3.</w:t>
            </w:r>
            <w:r w:rsidR="00FB70CC">
              <w:rPr>
                <w:rStyle w:val="normaltextrun"/>
                <w:rFonts w:ascii="Times New Roman" w:eastAsia="Times New Roman" w:hAnsi="Times New Roman" w:cs="Times New Roman"/>
                <w:b/>
                <w:i/>
                <w:sz w:val="24"/>
                <w:szCs w:val="24"/>
                <w:lang w:eastAsia="lv-LV"/>
              </w:rPr>
              <w:t>5</w:t>
            </w:r>
            <w:r w:rsidRPr="00355D8B">
              <w:rPr>
                <w:rStyle w:val="normaltextrun"/>
                <w:rFonts w:ascii="Times New Roman" w:eastAsia="Times New Roman" w:hAnsi="Times New Roman" w:cs="Times New Roman"/>
                <w:b/>
                <w:i/>
                <w:sz w:val="24"/>
                <w:szCs w:val="24"/>
                <w:lang w:eastAsia="lv-LV"/>
              </w:rPr>
              <w:t>. Ietekme uz investīciju vidi</w:t>
            </w:r>
          </w:p>
          <w:p w14:paraId="4EDD4355" w14:textId="2066A96F" w:rsidR="0014295F" w:rsidRDefault="0077655B" w:rsidP="00E22FAB">
            <w:pPr>
              <w:spacing w:before="120" w:after="120" w:line="240" w:lineRule="auto"/>
              <w:jc w:val="both"/>
              <w:rPr>
                <w:rStyle w:val="normaltextrun"/>
                <w:rFonts w:ascii="Times New Roman" w:eastAsia="Times New Roman" w:hAnsi="Times New Roman" w:cs="Times New Roman"/>
                <w:sz w:val="24"/>
                <w:szCs w:val="24"/>
                <w:lang w:eastAsia="lv-LV"/>
              </w:rPr>
            </w:pPr>
            <w:r w:rsidRPr="0077655B">
              <w:rPr>
                <w:rStyle w:val="normaltextrun"/>
                <w:rFonts w:ascii="Times New Roman" w:eastAsia="Times New Roman" w:hAnsi="Times New Roman" w:cs="Times New Roman"/>
                <w:sz w:val="24"/>
                <w:szCs w:val="24"/>
                <w:lang w:eastAsia="lv-LV"/>
              </w:rPr>
              <w:t xml:space="preserve">Tiesiskās vides stabilitāte un prognozējamība </w:t>
            </w:r>
            <w:r w:rsidR="0014295F">
              <w:rPr>
                <w:rStyle w:val="normaltextrun"/>
                <w:rFonts w:ascii="Times New Roman" w:eastAsia="Times New Roman" w:hAnsi="Times New Roman" w:cs="Times New Roman"/>
                <w:sz w:val="24"/>
                <w:szCs w:val="24"/>
                <w:lang w:eastAsia="lv-LV"/>
              </w:rPr>
              <w:t xml:space="preserve">ir veicinoši </w:t>
            </w:r>
            <w:r>
              <w:rPr>
                <w:rStyle w:val="normaltextrun"/>
                <w:rFonts w:ascii="Times New Roman" w:eastAsia="Times New Roman" w:hAnsi="Times New Roman" w:cs="Times New Roman"/>
                <w:sz w:val="24"/>
                <w:szCs w:val="24"/>
                <w:lang w:eastAsia="lv-LV"/>
              </w:rPr>
              <w:t xml:space="preserve">faktori </w:t>
            </w:r>
            <w:r w:rsidRPr="0077655B">
              <w:rPr>
                <w:rStyle w:val="normaltextrun"/>
                <w:rFonts w:ascii="Times New Roman" w:eastAsia="Times New Roman" w:hAnsi="Times New Roman" w:cs="Times New Roman"/>
                <w:sz w:val="24"/>
                <w:szCs w:val="24"/>
                <w:lang w:eastAsia="lv-LV"/>
              </w:rPr>
              <w:t>lēmumu pieņemšanai par ilgtermiņa investīcijām</w:t>
            </w:r>
            <w:r w:rsidR="00BA7D42">
              <w:rPr>
                <w:rStyle w:val="normaltextrun"/>
                <w:rFonts w:ascii="Times New Roman" w:eastAsia="Times New Roman" w:hAnsi="Times New Roman" w:cs="Times New Roman"/>
                <w:sz w:val="24"/>
                <w:szCs w:val="24"/>
                <w:lang w:eastAsia="lv-LV"/>
              </w:rPr>
              <w:t>, tostarp ārvalstu investīcijām,</w:t>
            </w:r>
            <w:r w:rsidRPr="0077655B">
              <w:rPr>
                <w:rStyle w:val="normaltextrun"/>
                <w:rFonts w:ascii="Times New Roman" w:eastAsia="Times New Roman" w:hAnsi="Times New Roman" w:cs="Times New Roman"/>
                <w:sz w:val="24"/>
                <w:szCs w:val="24"/>
                <w:lang w:eastAsia="lv-LV"/>
              </w:rPr>
              <w:t xml:space="preserve"> </w:t>
            </w:r>
            <w:r w:rsidR="00BA7D42">
              <w:rPr>
                <w:rStyle w:val="normaltextrun"/>
                <w:rFonts w:ascii="Times New Roman" w:eastAsia="Times New Roman" w:hAnsi="Times New Roman" w:cs="Times New Roman"/>
                <w:sz w:val="24"/>
                <w:szCs w:val="24"/>
                <w:lang w:eastAsia="lv-LV"/>
              </w:rPr>
              <w:t>valstī</w:t>
            </w:r>
            <w:r w:rsidRPr="0077655B">
              <w:rPr>
                <w:rStyle w:val="normaltextrun"/>
                <w:rFonts w:ascii="Times New Roman" w:eastAsia="Times New Roman" w:hAnsi="Times New Roman" w:cs="Times New Roman"/>
                <w:sz w:val="24"/>
                <w:szCs w:val="24"/>
                <w:lang w:eastAsia="lv-LV"/>
              </w:rPr>
              <w:t>.</w:t>
            </w:r>
            <w:r w:rsidR="0014295F">
              <w:rPr>
                <w:rStyle w:val="normaltextrun"/>
                <w:rFonts w:ascii="Times New Roman" w:eastAsia="Times New Roman" w:hAnsi="Times New Roman" w:cs="Times New Roman"/>
                <w:sz w:val="24"/>
                <w:szCs w:val="24"/>
                <w:lang w:eastAsia="lv-LV"/>
              </w:rPr>
              <w:t xml:space="preserve"> </w:t>
            </w:r>
            <w:r w:rsidR="00BA7D42">
              <w:rPr>
                <w:rStyle w:val="normaltextrun"/>
                <w:rFonts w:ascii="Times New Roman" w:eastAsia="Times New Roman" w:hAnsi="Times New Roman" w:cs="Times New Roman"/>
                <w:sz w:val="24"/>
                <w:szCs w:val="24"/>
                <w:lang w:eastAsia="lv-LV"/>
              </w:rPr>
              <w:t>Attiecīgi jāņem vērā, ka</w:t>
            </w:r>
            <w:r w:rsidR="0014295F">
              <w:rPr>
                <w:rStyle w:val="normaltextrun"/>
                <w:rFonts w:ascii="Times New Roman" w:eastAsia="Times New Roman" w:hAnsi="Times New Roman" w:cs="Times New Roman"/>
                <w:sz w:val="24"/>
                <w:szCs w:val="24"/>
                <w:lang w:eastAsia="lv-LV"/>
              </w:rPr>
              <w:t xml:space="preserve"> Likumprojektā </w:t>
            </w:r>
            <w:r w:rsidR="00BA7D42">
              <w:rPr>
                <w:rStyle w:val="normaltextrun"/>
                <w:rFonts w:ascii="Times New Roman" w:eastAsia="Times New Roman" w:hAnsi="Times New Roman" w:cs="Times New Roman"/>
                <w:sz w:val="24"/>
                <w:szCs w:val="24"/>
                <w:lang w:eastAsia="lv-LV"/>
              </w:rPr>
              <w:t>ietvertā risinājuma īstenošana var pasliktināt</w:t>
            </w:r>
            <w:r w:rsidR="006D18C3">
              <w:rPr>
                <w:rStyle w:val="normaltextrun"/>
                <w:rFonts w:ascii="Times New Roman" w:eastAsia="Times New Roman" w:hAnsi="Times New Roman" w:cs="Times New Roman"/>
                <w:sz w:val="24"/>
                <w:szCs w:val="24"/>
                <w:lang w:eastAsia="lv-LV"/>
              </w:rPr>
              <w:t xml:space="preserve"> Latvijas investīciju vides tēlu un sekojoši negatīvi ietekmēt jaunu investīciju ienākšanu Latvijā.</w:t>
            </w:r>
          </w:p>
          <w:p w14:paraId="1D7EC538" w14:textId="77777777" w:rsidR="006D18C3" w:rsidRPr="0077655B" w:rsidRDefault="006D18C3" w:rsidP="00E22FAB">
            <w:pPr>
              <w:spacing w:before="120" w:after="120" w:line="240" w:lineRule="auto"/>
              <w:jc w:val="both"/>
              <w:rPr>
                <w:rStyle w:val="normaltextrun"/>
                <w:rFonts w:ascii="Times New Roman" w:eastAsia="Times New Roman" w:hAnsi="Times New Roman" w:cs="Times New Roman"/>
                <w:sz w:val="24"/>
                <w:szCs w:val="24"/>
                <w:lang w:eastAsia="lv-LV"/>
              </w:rPr>
            </w:pPr>
          </w:p>
          <w:p w14:paraId="47BBC335" w14:textId="77777777" w:rsidR="00355D8B" w:rsidRDefault="00355D8B" w:rsidP="004B2695">
            <w:pPr>
              <w:spacing w:before="120" w:after="120" w:line="240" w:lineRule="auto"/>
              <w:jc w:val="both"/>
              <w:rPr>
                <w:rStyle w:val="normaltextrun"/>
                <w:rFonts w:ascii="Times New Roman" w:eastAsia="Times New Roman" w:hAnsi="Times New Roman" w:cs="Times New Roman"/>
                <w:b/>
                <w:i/>
                <w:sz w:val="24"/>
                <w:szCs w:val="24"/>
                <w:lang w:eastAsia="lv-LV"/>
              </w:rPr>
            </w:pPr>
            <w:r w:rsidRPr="00355D8B">
              <w:rPr>
                <w:rStyle w:val="normaltextrun"/>
                <w:rFonts w:ascii="Times New Roman" w:eastAsia="Times New Roman" w:hAnsi="Times New Roman" w:cs="Times New Roman"/>
                <w:b/>
                <w:i/>
                <w:sz w:val="24"/>
                <w:szCs w:val="24"/>
                <w:lang w:eastAsia="lv-LV"/>
              </w:rPr>
              <w:t>3.</w:t>
            </w:r>
            <w:r w:rsidR="00FB70CC">
              <w:rPr>
                <w:rStyle w:val="normaltextrun"/>
                <w:rFonts w:ascii="Times New Roman" w:eastAsia="Times New Roman" w:hAnsi="Times New Roman" w:cs="Times New Roman"/>
                <w:b/>
                <w:i/>
                <w:sz w:val="24"/>
                <w:szCs w:val="24"/>
                <w:lang w:eastAsia="lv-LV"/>
              </w:rPr>
              <w:t>6</w:t>
            </w:r>
            <w:r w:rsidRPr="00355D8B">
              <w:rPr>
                <w:rStyle w:val="normaltextrun"/>
                <w:rFonts w:ascii="Times New Roman" w:eastAsia="Times New Roman" w:hAnsi="Times New Roman" w:cs="Times New Roman"/>
                <w:b/>
                <w:i/>
                <w:sz w:val="24"/>
                <w:szCs w:val="24"/>
                <w:lang w:eastAsia="lv-LV"/>
              </w:rPr>
              <w:t>.</w:t>
            </w:r>
            <w:r w:rsidR="00C66C5B">
              <w:rPr>
                <w:rStyle w:val="normaltextrun"/>
                <w:rFonts w:ascii="Times New Roman" w:eastAsia="Times New Roman" w:hAnsi="Times New Roman" w:cs="Times New Roman"/>
                <w:b/>
                <w:i/>
                <w:sz w:val="24"/>
                <w:szCs w:val="24"/>
                <w:lang w:eastAsia="lv-LV"/>
              </w:rPr>
              <w:t xml:space="preserve"> </w:t>
            </w:r>
            <w:r w:rsidRPr="00355D8B">
              <w:rPr>
                <w:rStyle w:val="normaltextrun"/>
                <w:rFonts w:ascii="Times New Roman" w:eastAsia="Times New Roman" w:hAnsi="Times New Roman" w:cs="Times New Roman"/>
                <w:b/>
                <w:i/>
                <w:sz w:val="24"/>
                <w:szCs w:val="24"/>
                <w:lang w:eastAsia="lv-LV"/>
              </w:rPr>
              <w:t>Ietekme uz Starptautiskajām saistībām Enerģētikas, klimata un vides jomā</w:t>
            </w:r>
          </w:p>
          <w:p w14:paraId="093CA4DE" w14:textId="43A3C917" w:rsidR="00C66C5B" w:rsidRPr="006C07D9" w:rsidRDefault="00C66C5B" w:rsidP="006C07D9">
            <w:pPr>
              <w:pStyle w:val="paragraph"/>
              <w:spacing w:before="120" w:beforeAutospacing="0" w:after="120" w:afterAutospacing="0"/>
              <w:textAlignment w:val="baseline"/>
              <w:rPr>
                <w:rStyle w:val="eop"/>
                <w:rFonts w:ascii="Segoe UI" w:hAnsi="Segoe UI" w:cs="Segoe UI"/>
                <w:b/>
                <w:i/>
                <w:sz w:val="18"/>
                <w:szCs w:val="18"/>
              </w:rPr>
            </w:pPr>
            <w:r w:rsidRPr="006C07D9">
              <w:rPr>
                <w:rStyle w:val="normaltextrun"/>
                <w:b/>
                <w:i/>
              </w:rPr>
              <w:t>AER mērķ</w:t>
            </w:r>
            <w:r w:rsidR="006C07D9" w:rsidRPr="006C07D9">
              <w:rPr>
                <w:rStyle w:val="normaltextrun"/>
                <w:b/>
                <w:i/>
              </w:rPr>
              <w:t>a izpilde 2020. un 2030.gadā</w:t>
            </w:r>
          </w:p>
          <w:p w14:paraId="401F288D" w14:textId="38CB0B65" w:rsidR="00053D2F" w:rsidRPr="00184EAC" w:rsidRDefault="005D1D14" w:rsidP="00053D2F">
            <w:pPr>
              <w:pStyle w:val="Default"/>
              <w:spacing w:before="120" w:after="120"/>
              <w:jc w:val="both"/>
            </w:pPr>
            <w:r w:rsidRPr="00184EAC">
              <w:t>Saskaņā ar Ekonomikas ministrijas provizorisk</w:t>
            </w:r>
            <w:r w:rsidR="009C7355">
              <w:t>aj</w:t>
            </w:r>
            <w:r w:rsidRPr="00184EAC">
              <w:t xml:space="preserve">ām aplēsēm 2020.gada 40% </w:t>
            </w:r>
            <w:r w:rsidR="009C7355">
              <w:t>atjaunojamās enerģijas</w:t>
            </w:r>
            <w:r w:rsidRPr="00184EAC">
              <w:t xml:space="preserve"> mērķi ir iespējams sasniegt, ja</w:t>
            </w:r>
            <w:r w:rsidR="009C7355">
              <w:t xml:space="preserve"> atjaunojamās enerģijas</w:t>
            </w:r>
            <w:r w:rsidRPr="00184EAC">
              <w:t xml:space="preserve"> OI stacijas turpinās darbību, kā arī sasniedzot 10% </w:t>
            </w:r>
            <w:r w:rsidR="009C7355">
              <w:t>atjaunojamās enerģijas</w:t>
            </w:r>
            <w:r w:rsidRPr="00184EAC">
              <w:t xml:space="preserve"> patēriņ</w:t>
            </w:r>
            <w:r w:rsidR="009C7355">
              <w:t>a īpatsvaru</w:t>
            </w:r>
            <w:r w:rsidRPr="00184EAC">
              <w:t xml:space="preserve"> transportā (šobrīd nepilni 3%) un īstenojot plānotos centralizētās siltumapgādes modernizēšanas pasākumus ES fondu programmas (vismaz 1.kārtas) ietvaros. Šādā gadījumā iespējams sasniegt 40,5-41,0% </w:t>
            </w:r>
            <w:r w:rsidR="009C7355">
              <w:t>atjaunojamās enerģijas</w:t>
            </w:r>
            <w:r w:rsidRPr="00184EAC">
              <w:t xml:space="preserve"> īpatsvaru enerģijas </w:t>
            </w:r>
            <w:proofErr w:type="spellStart"/>
            <w:r w:rsidRPr="00184EAC">
              <w:t>galapatēriņā</w:t>
            </w:r>
            <w:proofErr w:type="spellEnd"/>
            <w:r w:rsidRPr="00184EAC">
              <w:t>.</w:t>
            </w:r>
            <w:r w:rsidR="00E62996">
              <w:t xml:space="preserve"> </w:t>
            </w:r>
            <w:r w:rsidR="00053D2F">
              <w:t xml:space="preserve">Saskaņā ar jaunākajiem statistikas datiem </w:t>
            </w:r>
            <w:r w:rsidR="009C7355">
              <w:t>atjaunojamās enerģijas</w:t>
            </w:r>
            <w:r w:rsidR="00053D2F">
              <w:t xml:space="preserve"> īpatsvars 2017.gadā ir sasniedzis 39,01%.</w:t>
            </w:r>
          </w:p>
          <w:p w14:paraId="057126E5" w14:textId="53B725B9" w:rsidR="00053D2F" w:rsidRDefault="00053D2F" w:rsidP="00053D2F">
            <w:pPr>
              <w:pStyle w:val="Default"/>
              <w:spacing w:before="120" w:after="120"/>
              <w:jc w:val="both"/>
              <w:rPr>
                <w:b/>
              </w:rPr>
            </w:pPr>
            <w:r>
              <w:t xml:space="preserve">Šobrīd </w:t>
            </w:r>
            <w:r w:rsidRPr="00184EAC">
              <w:t xml:space="preserve">OI stacijas </w:t>
            </w:r>
            <w:r w:rsidR="009C7355">
              <w:t>atjaunojamās enerģijas</w:t>
            </w:r>
            <w:r w:rsidRPr="00184EAC">
              <w:t xml:space="preserve"> mērķī dod </w:t>
            </w:r>
            <w:r>
              <w:t xml:space="preserve">aptuveni </w:t>
            </w:r>
            <w:r w:rsidRPr="00184EAC">
              <w:t>5</w:t>
            </w:r>
            <w:r>
              <w:t xml:space="preserve"> procent</w:t>
            </w:r>
            <w:r w:rsidRPr="00184EAC">
              <w:t>punktu ieguldījumu</w:t>
            </w:r>
            <w:r>
              <w:t xml:space="preserve">. </w:t>
            </w:r>
            <w:r w:rsidRPr="00184EAC">
              <w:t xml:space="preserve">Ņemot vērā ražotāju izteiktās prognozes, ka lielākā daļa </w:t>
            </w:r>
            <w:r w:rsidR="009C7355">
              <w:t>atjaunojamās enerģijas</w:t>
            </w:r>
            <w:r w:rsidRPr="00184EAC">
              <w:t xml:space="preserve"> staciju pēc OI atcelšanas savu darbību pārtrauks, </w:t>
            </w:r>
            <w:r w:rsidRPr="00184EAC">
              <w:rPr>
                <w:b/>
              </w:rPr>
              <w:t xml:space="preserve">paredzams, ka atceļot OI ar 2019.gada 31.martu, Latvija </w:t>
            </w:r>
            <w:r w:rsidR="009C7355" w:rsidRPr="009C7355">
              <w:rPr>
                <w:b/>
              </w:rPr>
              <w:t xml:space="preserve">atjaunojamās enerģijas </w:t>
            </w:r>
            <w:r w:rsidRPr="00184EAC">
              <w:rPr>
                <w:b/>
              </w:rPr>
              <w:t xml:space="preserve">mērķi </w:t>
            </w:r>
            <w:r>
              <w:rPr>
                <w:b/>
              </w:rPr>
              <w:t xml:space="preserve">2020.gadā </w:t>
            </w:r>
            <w:r w:rsidRPr="00184EAC">
              <w:rPr>
                <w:b/>
              </w:rPr>
              <w:t>nesasniegs.</w:t>
            </w:r>
          </w:p>
          <w:p w14:paraId="60EDDA88" w14:textId="103EE517" w:rsidR="00053D2F" w:rsidRDefault="00053D2F" w:rsidP="00053D2F">
            <w:pPr>
              <w:pStyle w:val="Default"/>
              <w:spacing w:before="120" w:after="120"/>
              <w:jc w:val="both"/>
            </w:pPr>
            <w:r>
              <w:t xml:space="preserve">Tāpat paredzams, ka </w:t>
            </w:r>
            <w:r w:rsidRPr="000322E1">
              <w:rPr>
                <w:b/>
              </w:rPr>
              <w:t>Latvija nevarēs nodrošināt</w:t>
            </w:r>
            <w:r>
              <w:t xml:space="preserve"> </w:t>
            </w:r>
            <w:r w:rsidRPr="00032B2C">
              <w:rPr>
                <w:b/>
              </w:rPr>
              <w:t>pienākum</w:t>
            </w:r>
            <w:r>
              <w:rPr>
                <w:b/>
              </w:rPr>
              <w:t>u</w:t>
            </w:r>
            <w:r w:rsidRPr="00032B2C">
              <w:rPr>
                <w:b/>
              </w:rPr>
              <w:t xml:space="preserve">, ka pēc 2020.gada no </w:t>
            </w:r>
            <w:r w:rsidR="009C7355">
              <w:rPr>
                <w:b/>
              </w:rPr>
              <w:t>atjaunojamiem energoresursiem</w:t>
            </w:r>
            <w:r w:rsidRPr="00032B2C">
              <w:rPr>
                <w:b/>
              </w:rPr>
              <w:t xml:space="preserve"> saražotas enerģijas īpatsvars ir ne mazāks par 2020.gada mērķa bāzes līmeni – 40% </w:t>
            </w:r>
            <w:r w:rsidRPr="00085AA9">
              <w:t xml:space="preserve">enerģijas bruto </w:t>
            </w:r>
            <w:proofErr w:type="spellStart"/>
            <w:r w:rsidRPr="00085AA9">
              <w:t>galapatēriņā</w:t>
            </w:r>
            <w:proofErr w:type="spellEnd"/>
            <w:r>
              <w:t xml:space="preserve">, kā to paredz Direktīva 2018/2001 un Regula </w:t>
            </w:r>
            <w:r>
              <w:lastRenderedPageBreak/>
              <w:t xml:space="preserve">2018/1999 par enerģētikas savienības un rīcības klimata politikas jomā pārvaldību.  Ja tas netiks ievērtos, saskaņā ar Regulas 2018/1999 32.panta 4. punktu Latvijai būs juridiski saistošs pienākums viena gada laikā pēc neizpildes iestāšanās nodrošināt vismaz 2020.gada </w:t>
            </w:r>
            <w:r w:rsidR="009C7355">
              <w:t>atjaunojamās enerģijas</w:t>
            </w:r>
            <w:r>
              <w:t xml:space="preserve"> mērķa bāzes līmeni, ieviešot atbilstošus pasākumus.</w:t>
            </w:r>
          </w:p>
          <w:p w14:paraId="6029247D" w14:textId="29F7C4D5" w:rsidR="00D73447" w:rsidRPr="005B6F61" w:rsidRDefault="00D73447" w:rsidP="00D73447">
            <w:pPr>
              <w:pStyle w:val="paragraph"/>
              <w:spacing w:before="120" w:beforeAutospacing="0" w:after="120" w:afterAutospacing="0"/>
              <w:jc w:val="both"/>
              <w:textAlignment w:val="baseline"/>
              <w:rPr>
                <w:rFonts w:cstheme="minorBidi"/>
                <w:szCs w:val="26"/>
                <w:lang w:eastAsia="en-US"/>
              </w:rPr>
            </w:pPr>
            <w:r>
              <w:rPr>
                <w:rFonts w:cstheme="minorBidi"/>
                <w:szCs w:val="26"/>
                <w:lang w:eastAsia="en-US"/>
              </w:rPr>
              <w:t xml:space="preserve">Likumprojektā ietvertā risinājuma ietekme būs jāņem vērā arī izstrādājot </w:t>
            </w:r>
            <w:r w:rsidRPr="00902F13">
              <w:rPr>
                <w:rFonts w:cstheme="minorBidi"/>
                <w:szCs w:val="26"/>
                <w:lang w:eastAsia="en-US"/>
              </w:rPr>
              <w:t>Latvijas Nacionālo enerģētikas un klimata plānu 2021.–2030.gadam</w:t>
            </w:r>
            <w:r>
              <w:rPr>
                <w:rFonts w:cstheme="minorBidi"/>
                <w:szCs w:val="26"/>
                <w:lang w:eastAsia="en-US"/>
              </w:rPr>
              <w:t xml:space="preserve">. </w:t>
            </w:r>
          </w:p>
          <w:p w14:paraId="57E7515C" w14:textId="77777777" w:rsidR="00D73447" w:rsidRDefault="00D73447" w:rsidP="00053D2F">
            <w:pPr>
              <w:pStyle w:val="Default"/>
              <w:spacing w:before="120" w:after="120"/>
              <w:jc w:val="both"/>
            </w:pPr>
          </w:p>
          <w:p w14:paraId="4CFE9D97" w14:textId="70408293" w:rsidR="00053D2F" w:rsidRDefault="009C7355" w:rsidP="00053D2F">
            <w:pPr>
              <w:pStyle w:val="Default"/>
              <w:spacing w:before="120" w:after="120"/>
              <w:jc w:val="both"/>
            </w:pPr>
            <w:r>
              <w:t>EK</w:t>
            </w:r>
            <w:r w:rsidR="00053D2F" w:rsidRPr="00DE7EAA">
              <w:t xml:space="preserve"> 2017.gada 1.janvāra paziņojumā “ES tiesību akti: labāki rezultāti līdz ar labāku piemērošanu”</w:t>
            </w:r>
            <w:r w:rsidR="00053D2F">
              <w:rPr>
                <w:rStyle w:val="FootnoteReference"/>
              </w:rPr>
              <w:footnoteReference w:id="34"/>
            </w:r>
            <w:r w:rsidR="00053D2F" w:rsidRPr="00DE7EAA">
              <w:t xml:space="preserve"> uzsvērts</w:t>
            </w:r>
            <w:r w:rsidR="00053D2F">
              <w:t>, ka ES</w:t>
            </w:r>
            <w:r w:rsidR="00053D2F" w:rsidRPr="00F52304">
              <w:t xml:space="preserve"> ir dibināta, pamatojoties uz tiesiskumu, un ar tiesību aktiem tā tiecas nodrošināt politikas un prioritāšu īstenošanu dalībvalstīs</w:t>
            </w:r>
            <w:r w:rsidR="00053D2F">
              <w:t xml:space="preserve">. </w:t>
            </w:r>
            <w:r w:rsidR="00053D2F" w:rsidRPr="009C7355">
              <w:rPr>
                <w:b/>
              </w:rPr>
              <w:t>Vienota ES tiesību piemērošana visās ES dalībvalstīs ir būtiska ES darbībai.</w:t>
            </w:r>
            <w:r w:rsidR="00053D2F" w:rsidRPr="00DE7EAA">
              <w:t xml:space="preserve"> </w:t>
            </w:r>
            <w:r>
              <w:t>EK</w:t>
            </w:r>
            <w:r w:rsidR="00053D2F" w:rsidRPr="00DE7EAA">
              <w:t xml:space="preserve"> tāpēc pievērš lielu uzmanību tam, lai tiktu nodrošināta efektīva ES tiesību aktu piemērošana. </w:t>
            </w:r>
            <w:r w:rsidR="00053D2F">
              <w:t xml:space="preserve"> </w:t>
            </w:r>
            <w:r w:rsidR="00053D2F" w:rsidRPr="00F52304">
              <w:t xml:space="preserve">Saskaņā ar </w:t>
            </w:r>
            <w:r>
              <w:t>LESD</w:t>
            </w:r>
            <w:r w:rsidR="00053D2F" w:rsidRPr="00F52304">
              <w:t xml:space="preserve"> 17. panta 1.</w:t>
            </w:r>
            <w:r w:rsidR="00053D2F">
              <w:t> </w:t>
            </w:r>
            <w:r w:rsidR="00053D2F" w:rsidRPr="00F52304">
              <w:t xml:space="preserve">punktu </w:t>
            </w:r>
            <w:r w:rsidR="00053D2F">
              <w:t>EK</w:t>
            </w:r>
            <w:r w:rsidR="00053D2F" w:rsidRPr="00F52304">
              <w:t xml:space="preserve"> atbild par tiesību efektīvu piemērošanu, īstenošanu un izpildes nodrošināšanu.</w:t>
            </w:r>
            <w:r w:rsidR="00053D2F">
              <w:t xml:space="preserve"> </w:t>
            </w:r>
            <w:r w:rsidR="00053D2F" w:rsidRPr="009C7355">
              <w:t>Pašreizējā EK īstenotā izpildes nodrošināšanas politika paredz uzraudzīt to, kā tiek piemēroti un īstenoti ES tiesību akti, kopā ar dalībvalstīm risinot problēmas, nolūkā tādējādi novērst visus iespējamos tiesību aktu pārkāpumus, attiecīgā gadījumā ierosinot prasību par pārkāpumu.</w:t>
            </w:r>
            <w:r w:rsidR="00053D2F" w:rsidRPr="00F52304">
              <w:t xml:space="preserve"> </w:t>
            </w:r>
            <w:r w:rsidR="00053D2F">
              <w:t>Paziņojumā arī uzsvērts, ka i</w:t>
            </w:r>
            <w:r w:rsidR="00053D2F" w:rsidRPr="00DE7EAA">
              <w:t xml:space="preserve">r svarīgi, lai </w:t>
            </w:r>
            <w:r w:rsidR="00053D2F">
              <w:t>EK</w:t>
            </w:r>
            <w:r w:rsidR="00053D2F" w:rsidRPr="00DE7EAA">
              <w:t xml:space="preserve"> stratēģiski izmantotu savu rīcības brīvību nolūkā koncentrēties un par prioritāti izvirzīt savus izpildes nodrošināšanas pasākumus attiecībā uz visbūtiskākajiem ES tiesību aktu pārkāpumiem, kas skar Eiropas iedzīvotājus un uzņēmumus. </w:t>
            </w:r>
            <w:r w:rsidR="00053D2F">
              <w:t xml:space="preserve"> </w:t>
            </w:r>
          </w:p>
          <w:p w14:paraId="5EF08531" w14:textId="18B524A5" w:rsidR="00053D2F" w:rsidRDefault="00053D2F" w:rsidP="00053D2F">
            <w:pPr>
              <w:pStyle w:val="Default"/>
              <w:spacing w:before="120" w:after="120"/>
              <w:jc w:val="both"/>
            </w:pPr>
            <w:r w:rsidRPr="00053D2F">
              <w:rPr>
                <w:b/>
              </w:rPr>
              <w:t xml:space="preserve">Ņemot vērā minēto, par </w:t>
            </w:r>
            <w:r w:rsidR="009C7355" w:rsidRPr="009C7355">
              <w:rPr>
                <w:b/>
              </w:rPr>
              <w:t>atjaunojamās enerģijas</w:t>
            </w:r>
            <w:r w:rsidRPr="00053D2F">
              <w:rPr>
                <w:b/>
              </w:rPr>
              <w:t xml:space="preserve"> mērķa nesasniegšanu </w:t>
            </w:r>
            <w:r>
              <w:rPr>
                <w:b/>
              </w:rPr>
              <w:t>EK</w:t>
            </w:r>
            <w:r w:rsidRPr="00053D2F">
              <w:rPr>
                <w:b/>
              </w:rPr>
              <w:t xml:space="preserve"> ir tiesības vērsties pret Latviju </w:t>
            </w:r>
            <w:r w:rsidR="009C7355">
              <w:rPr>
                <w:b/>
              </w:rPr>
              <w:t>ES</w:t>
            </w:r>
            <w:r w:rsidRPr="00053D2F">
              <w:rPr>
                <w:b/>
              </w:rPr>
              <w:t xml:space="preserve"> Tiesā</w:t>
            </w:r>
            <w:r w:rsidRPr="00FE1BDF">
              <w:t xml:space="preserve"> </w:t>
            </w:r>
            <w:r w:rsidRPr="002D242D">
              <w:t>(turpmāk – Tiesa)</w:t>
            </w:r>
            <w:r>
              <w:t xml:space="preserve"> </w:t>
            </w:r>
            <w:r w:rsidRPr="00FE1BDF">
              <w:t>atbilstoši</w:t>
            </w:r>
            <w:r>
              <w:t xml:space="preserve"> </w:t>
            </w:r>
            <w:r w:rsidRPr="00F52304">
              <w:t>LESD</w:t>
            </w:r>
            <w:r w:rsidRPr="00FE1BDF">
              <w:t xml:space="preserve"> 260.panta 1. punktam. </w:t>
            </w:r>
            <w:r>
              <w:t xml:space="preserve">Saskaņā ar LESD, ja </w:t>
            </w:r>
            <w:r w:rsidR="009C7355">
              <w:t>EK</w:t>
            </w:r>
            <w:r>
              <w:t xml:space="preserve"> vēršas pret dalībvalsti Tiesā par to, ka tā ir pārkāpusi ES tiesību aktus, Tiesa var noteikt finanšu sankcijas divās situācijās: </w:t>
            </w:r>
          </w:p>
          <w:p w14:paraId="4C3292C0" w14:textId="77777777" w:rsidR="00053D2F" w:rsidRDefault="00053D2F" w:rsidP="00053D2F">
            <w:pPr>
              <w:pStyle w:val="Default"/>
              <w:numPr>
                <w:ilvl w:val="0"/>
                <w:numId w:val="25"/>
              </w:numPr>
              <w:spacing w:before="120" w:after="120"/>
              <w:jc w:val="both"/>
            </w:pPr>
            <w:r>
              <w:t>ja Tiesa ir lēmusi, ka dalībvalsts, kas pārkāpj ES tiesību aktus, vēl nav izpildījusi agrāku spriedumu, kurā konstatēts attiecīgais pārkāpums (LESD 260. panta 2. punkts);</w:t>
            </w:r>
          </w:p>
          <w:p w14:paraId="4B34A372" w14:textId="77777777" w:rsidR="00053D2F" w:rsidRDefault="00053D2F" w:rsidP="00053D2F">
            <w:pPr>
              <w:pStyle w:val="Default"/>
              <w:numPr>
                <w:ilvl w:val="0"/>
                <w:numId w:val="25"/>
              </w:numPr>
              <w:spacing w:before="120" w:after="120"/>
              <w:jc w:val="both"/>
            </w:pPr>
            <w:r>
              <w:t>ja dalībvalsts nav izpildījusi pienākumu paziņot par pasākumiem, ar kuriem transponē direktīvu, kas pieņemta saskaņā ar likumdošanas procedūru (LESD 260. panta 3. punkts).</w:t>
            </w:r>
          </w:p>
          <w:p w14:paraId="3D6F2222" w14:textId="4804008D" w:rsidR="00053D2F" w:rsidRDefault="00053D2F" w:rsidP="00053D2F">
            <w:pPr>
              <w:jc w:val="both"/>
              <w:rPr>
                <w:rFonts w:ascii="Times New Roman" w:hAnsi="Times New Roman" w:cs="Times New Roman"/>
                <w:sz w:val="24"/>
                <w:szCs w:val="24"/>
              </w:rPr>
            </w:pPr>
            <w:r>
              <w:rPr>
                <w:rFonts w:ascii="Times New Roman" w:hAnsi="Times New Roman" w:cs="Times New Roman"/>
                <w:color w:val="000000"/>
                <w:sz w:val="24"/>
                <w:szCs w:val="24"/>
              </w:rPr>
              <w:t xml:space="preserve">Saskaņā ar LESD 260. panta 1.punktu, ja </w:t>
            </w:r>
            <w:r w:rsidRPr="00697CDD">
              <w:rPr>
                <w:rFonts w:ascii="Times New Roman" w:hAnsi="Times New Roman" w:cs="Times New Roman"/>
                <w:color w:val="000000"/>
                <w:sz w:val="24"/>
                <w:szCs w:val="24"/>
              </w:rPr>
              <w:t>Tiesa konstatē, ka dalībvalsts nav izpildījusi kādu Līgumos paredzētu pienākumu, šai valstij jāveic pasākumi, kas vajadzīgi Tiesas sprieduma izpildei.</w:t>
            </w:r>
            <w:r>
              <w:t xml:space="preserve"> </w:t>
            </w:r>
            <w:r>
              <w:rPr>
                <w:rFonts w:ascii="Times New Roman" w:hAnsi="Times New Roman" w:cs="Times New Roman"/>
                <w:color w:val="000000"/>
                <w:sz w:val="24"/>
                <w:szCs w:val="24"/>
              </w:rPr>
              <w:t>Saskaņā ar LESD 260.panta 2.punktu, ja</w:t>
            </w:r>
            <w:r w:rsidRPr="00747A6D">
              <w:rPr>
                <w:rFonts w:ascii="Times New Roman" w:hAnsi="Times New Roman" w:cs="Times New Roman"/>
                <w:color w:val="000000"/>
                <w:sz w:val="24"/>
                <w:szCs w:val="24"/>
              </w:rPr>
              <w:t xml:space="preserve"> </w:t>
            </w:r>
            <w:r w:rsidR="009C7355">
              <w:rPr>
                <w:rFonts w:ascii="Times New Roman" w:hAnsi="Times New Roman" w:cs="Times New Roman"/>
                <w:color w:val="000000"/>
                <w:sz w:val="24"/>
                <w:szCs w:val="24"/>
              </w:rPr>
              <w:t>EK</w:t>
            </w:r>
            <w:r w:rsidRPr="00747A6D">
              <w:rPr>
                <w:rFonts w:ascii="Times New Roman" w:hAnsi="Times New Roman" w:cs="Times New Roman"/>
                <w:color w:val="000000"/>
                <w:sz w:val="24"/>
                <w:szCs w:val="24"/>
              </w:rPr>
              <w:t xml:space="preserve"> uzskata, ka attiecīgā dalībvalsts nav veikusi vajadzīgos pasākumus, lai izpildītu Tiesas spriedumu, tā var vērsties Tiesā pēc tam, kad ir devusi minētajai valstij iespēju iesniegt savu apsvērumus. Tādā gadījumā tā norāda sodanaudu vai kavējuma naudu, kas jāmaksā attiecīgajai dalībvalstij un ko Komisija konkrētajos apstākļos uzskata par piemērotu.</w:t>
            </w:r>
            <w:r>
              <w:rPr>
                <w:rFonts w:ascii="Times New Roman" w:hAnsi="Times New Roman" w:cs="Times New Roman"/>
                <w:color w:val="000000"/>
                <w:sz w:val="24"/>
                <w:szCs w:val="24"/>
              </w:rPr>
              <w:t xml:space="preserve"> </w:t>
            </w:r>
            <w:r w:rsidRPr="00F52304">
              <w:rPr>
                <w:rFonts w:ascii="Times New Roman" w:hAnsi="Times New Roman" w:cs="Times New Roman"/>
                <w:color w:val="000000"/>
                <w:sz w:val="24"/>
                <w:szCs w:val="24"/>
              </w:rPr>
              <w:t xml:space="preserve">Abos gadījumos </w:t>
            </w:r>
            <w:r w:rsidRPr="00053D2F">
              <w:rPr>
                <w:rFonts w:ascii="Times New Roman" w:hAnsi="Times New Roman" w:cs="Times New Roman"/>
                <w:b/>
                <w:color w:val="000000"/>
                <w:sz w:val="24"/>
                <w:szCs w:val="24"/>
              </w:rPr>
              <w:t xml:space="preserve">sankciju veido vienreizējs soda maksājums, lai sodītu par pašu pārkāpumu, un kavējuma nauda par dienu, lai sodītu par </w:t>
            </w:r>
            <w:r w:rsidRPr="00053D2F">
              <w:rPr>
                <w:rFonts w:ascii="Times New Roman" w:hAnsi="Times New Roman" w:cs="Times New Roman"/>
                <w:b/>
                <w:color w:val="000000"/>
                <w:sz w:val="24"/>
                <w:szCs w:val="24"/>
              </w:rPr>
              <w:lastRenderedPageBreak/>
              <w:t>pārkāpuma turpināšanu pēc Tiesas sprieduma</w:t>
            </w:r>
            <w:r w:rsidRPr="00F52304">
              <w:rPr>
                <w:rFonts w:ascii="Times New Roman" w:hAnsi="Times New Roman" w:cs="Times New Roman"/>
                <w:color w:val="000000"/>
                <w:sz w:val="24"/>
                <w:szCs w:val="24"/>
              </w:rPr>
              <w:t xml:space="preserve">. </w:t>
            </w:r>
            <w:r w:rsidRPr="00053D2F">
              <w:rPr>
                <w:rFonts w:ascii="Times New Roman" w:hAnsi="Times New Roman" w:cs="Times New Roman"/>
                <w:b/>
                <w:color w:val="000000"/>
                <w:sz w:val="24"/>
                <w:szCs w:val="24"/>
              </w:rPr>
              <w:t>Tiesa var uzlikt gan sodanaudu un kavējuma naudu, neizslēdzot vienu vai otru</w:t>
            </w:r>
            <w:r w:rsidRPr="002D24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7447C">
              <w:rPr>
                <w:rFonts w:ascii="Times New Roman" w:hAnsi="Times New Roman" w:cs="Times New Roman"/>
                <w:sz w:val="24"/>
                <w:szCs w:val="24"/>
              </w:rPr>
              <w:t xml:space="preserve">Soda naudu var aprēķināt par katru kavējuma dienu sākot no pirmā </w:t>
            </w:r>
            <w:r>
              <w:rPr>
                <w:rFonts w:ascii="Times New Roman" w:hAnsi="Times New Roman" w:cs="Times New Roman"/>
                <w:sz w:val="24"/>
                <w:szCs w:val="24"/>
              </w:rPr>
              <w:t>sprieduma pasludināšanas dienas</w:t>
            </w:r>
            <w:r w:rsidRPr="0077447C">
              <w:rPr>
                <w:rFonts w:ascii="Times New Roman" w:hAnsi="Times New Roman" w:cs="Times New Roman"/>
                <w:sz w:val="24"/>
                <w:szCs w:val="24"/>
              </w:rPr>
              <w:t xml:space="preserve"> līdz otrā sprieduma pasludināšanai vai līdz dienai, kad dalībvalstis veiks pasākumus, kas ietver pirmā sprieduma izpildi, ja tas notiks ātrāk par otrā sprieduma pasludināšanas dienu.</w:t>
            </w:r>
            <w:r w:rsidRPr="00994BE8">
              <w:rPr>
                <w:rFonts w:ascii="Times New Roman" w:hAnsi="Times New Roman" w:cs="Times New Roman"/>
                <w:sz w:val="24"/>
                <w:szCs w:val="24"/>
              </w:rPr>
              <w:tab/>
            </w:r>
          </w:p>
          <w:p w14:paraId="6B7D4465" w14:textId="0E4CEFD0" w:rsidR="00053D2F" w:rsidRPr="00994BE8" w:rsidRDefault="00053D2F" w:rsidP="00053D2F">
            <w:pPr>
              <w:spacing w:before="120"/>
              <w:jc w:val="both"/>
              <w:rPr>
                <w:rFonts w:ascii="Times New Roman" w:hAnsi="Times New Roman" w:cs="Times New Roman"/>
                <w:sz w:val="24"/>
                <w:szCs w:val="24"/>
              </w:rPr>
            </w:pPr>
            <w:r w:rsidRPr="00994BE8">
              <w:rPr>
                <w:rFonts w:ascii="Times New Roman" w:hAnsi="Times New Roman" w:cs="Times New Roman"/>
                <w:sz w:val="24"/>
                <w:szCs w:val="24"/>
              </w:rPr>
              <w:t>Kā izriet no LESD 260.panta 1.un 2.punkt</w:t>
            </w:r>
            <w:r w:rsidR="00DB3754">
              <w:rPr>
                <w:rFonts w:ascii="Times New Roman" w:hAnsi="Times New Roman" w:cs="Times New Roman"/>
                <w:sz w:val="24"/>
                <w:szCs w:val="24"/>
              </w:rPr>
              <w:t>a</w:t>
            </w:r>
            <w:r w:rsidRPr="00994BE8">
              <w:rPr>
                <w:rFonts w:ascii="Times New Roman" w:hAnsi="Times New Roman" w:cs="Times New Roman"/>
                <w:sz w:val="24"/>
                <w:szCs w:val="24"/>
              </w:rPr>
              <w:t xml:space="preserve">, kā arī, ņemot vērā Tiesas praksi, </w:t>
            </w:r>
            <w:r>
              <w:rPr>
                <w:rFonts w:ascii="Times New Roman" w:hAnsi="Times New Roman" w:cs="Times New Roman"/>
                <w:sz w:val="24"/>
                <w:szCs w:val="24"/>
              </w:rPr>
              <w:t>var</w:t>
            </w:r>
            <w:r w:rsidRPr="00994BE8">
              <w:rPr>
                <w:rFonts w:ascii="Times New Roman" w:hAnsi="Times New Roman" w:cs="Times New Roman"/>
                <w:sz w:val="24"/>
                <w:szCs w:val="24"/>
              </w:rPr>
              <w:t xml:space="preserve"> secināt, ka </w:t>
            </w:r>
            <w:r w:rsidRPr="00053D2F">
              <w:rPr>
                <w:rFonts w:ascii="Times New Roman" w:hAnsi="Times New Roman" w:cs="Times New Roman"/>
                <w:b/>
                <w:sz w:val="24"/>
                <w:szCs w:val="24"/>
              </w:rPr>
              <w:t xml:space="preserve">ar ES Tiesas otrā sprieduma pasludināšanas dienu līdz brīdim, kad tādas enerģijas īpatsvars kopējā bruto </w:t>
            </w:r>
            <w:proofErr w:type="spellStart"/>
            <w:r w:rsidRPr="00053D2F">
              <w:rPr>
                <w:rFonts w:ascii="Times New Roman" w:hAnsi="Times New Roman" w:cs="Times New Roman"/>
                <w:b/>
                <w:sz w:val="24"/>
                <w:szCs w:val="24"/>
              </w:rPr>
              <w:t>galapatēriņā</w:t>
            </w:r>
            <w:proofErr w:type="spellEnd"/>
            <w:r w:rsidRPr="00053D2F">
              <w:rPr>
                <w:rFonts w:ascii="Times New Roman" w:hAnsi="Times New Roman" w:cs="Times New Roman"/>
                <w:b/>
                <w:sz w:val="24"/>
                <w:szCs w:val="24"/>
              </w:rPr>
              <w:t>, kas ražots no atjaunojamiem energoresursiem Latvijā sasniedz 40%, ES Tiesa var piemērot šādas soda naudas</w:t>
            </w:r>
            <w:r w:rsidRPr="00994BE8">
              <w:rPr>
                <w:rFonts w:ascii="Times New Roman" w:hAnsi="Times New Roman" w:cs="Times New Roman"/>
                <w:sz w:val="24"/>
                <w:szCs w:val="24"/>
              </w:rPr>
              <w:t>:</w:t>
            </w:r>
          </w:p>
          <w:p w14:paraId="3FB5D2EC" w14:textId="76B080A2" w:rsidR="00053D2F" w:rsidRPr="00994BE8" w:rsidRDefault="00053D2F" w:rsidP="00053D2F">
            <w:pPr>
              <w:spacing w:before="120"/>
              <w:jc w:val="both"/>
              <w:rPr>
                <w:rFonts w:ascii="Times New Roman" w:hAnsi="Times New Roman" w:cs="Times New Roman"/>
                <w:sz w:val="24"/>
                <w:szCs w:val="24"/>
              </w:rPr>
            </w:pPr>
            <w:r w:rsidRPr="00994BE8">
              <w:rPr>
                <w:rFonts w:ascii="Times New Roman" w:hAnsi="Times New Roman" w:cs="Times New Roman"/>
                <w:sz w:val="24"/>
                <w:szCs w:val="24"/>
              </w:rPr>
              <w:t>1)</w:t>
            </w:r>
            <w:r w:rsidR="009C7355">
              <w:rPr>
                <w:rFonts w:ascii="Times New Roman" w:hAnsi="Times New Roman" w:cs="Times New Roman"/>
                <w:sz w:val="24"/>
                <w:szCs w:val="24"/>
              </w:rPr>
              <w:t xml:space="preserve"> </w:t>
            </w:r>
            <w:r w:rsidRPr="00994BE8">
              <w:rPr>
                <w:rFonts w:ascii="Times New Roman" w:hAnsi="Times New Roman" w:cs="Times New Roman"/>
                <w:sz w:val="24"/>
                <w:szCs w:val="24"/>
              </w:rPr>
              <w:t xml:space="preserve">kavējuma nauda 462,4 EUR/dienā līdz 27 744 EUR/dienā no Tiesas otrā sprieduma pasludināšanai līdz brīdim, kad Latvija sasniedz 40% </w:t>
            </w:r>
            <w:r w:rsidR="009C7355" w:rsidRPr="009C7355">
              <w:rPr>
                <w:rFonts w:ascii="Times New Roman" w:hAnsi="Times New Roman" w:cs="Times New Roman"/>
                <w:sz w:val="24"/>
                <w:szCs w:val="24"/>
              </w:rPr>
              <w:t xml:space="preserve">atjaunojamās enerģijas </w:t>
            </w:r>
            <w:r w:rsidR="009C7355">
              <w:rPr>
                <w:rFonts w:ascii="Times New Roman" w:hAnsi="Times New Roman" w:cs="Times New Roman"/>
                <w:sz w:val="24"/>
                <w:szCs w:val="24"/>
              </w:rPr>
              <w:t xml:space="preserve">īpatsvaru </w:t>
            </w:r>
            <w:r w:rsidRPr="00994BE8">
              <w:rPr>
                <w:rFonts w:ascii="Times New Roman" w:hAnsi="Times New Roman" w:cs="Times New Roman"/>
                <w:sz w:val="24"/>
                <w:szCs w:val="24"/>
              </w:rPr>
              <w:t xml:space="preserve">kopējā enerģijas bruto </w:t>
            </w:r>
            <w:proofErr w:type="spellStart"/>
            <w:r w:rsidRPr="00994BE8">
              <w:rPr>
                <w:rFonts w:ascii="Times New Roman" w:hAnsi="Times New Roman" w:cs="Times New Roman"/>
                <w:sz w:val="24"/>
                <w:szCs w:val="24"/>
              </w:rPr>
              <w:t>galapatēriņā</w:t>
            </w:r>
            <w:proofErr w:type="spellEnd"/>
            <w:r w:rsidRPr="00994BE8">
              <w:rPr>
                <w:rFonts w:ascii="Times New Roman" w:hAnsi="Times New Roman" w:cs="Times New Roman"/>
                <w:sz w:val="24"/>
                <w:szCs w:val="24"/>
              </w:rPr>
              <w:t>;</w:t>
            </w:r>
          </w:p>
          <w:p w14:paraId="6D093F9D" w14:textId="526FD511" w:rsidR="00E42BE7" w:rsidRDefault="00053D2F" w:rsidP="00053D2F">
            <w:pPr>
              <w:pStyle w:val="paragraph"/>
              <w:spacing w:before="120" w:beforeAutospacing="0" w:after="120" w:afterAutospacing="0"/>
              <w:jc w:val="both"/>
              <w:textAlignment w:val="baseline"/>
            </w:pPr>
            <w:r w:rsidRPr="00994BE8">
              <w:t>2)</w:t>
            </w:r>
            <w:r w:rsidR="009C7355">
              <w:t xml:space="preserve"> </w:t>
            </w:r>
            <w:r w:rsidRPr="00994BE8">
              <w:t xml:space="preserve">soda nauda 156,40 EUR/dienā līdz 3128 EUR/dienā no Tiesas pirmā sprieduma līdz otrā ES Tiesas sprieduma pasludināšanai  - minimālā summa 392 000 EUR.  </w:t>
            </w:r>
          </w:p>
          <w:p w14:paraId="274DD421" w14:textId="5DD808FE" w:rsidR="00D0366D" w:rsidRDefault="00D73447" w:rsidP="00053D2F">
            <w:pPr>
              <w:pStyle w:val="paragraph"/>
              <w:spacing w:before="120" w:beforeAutospacing="0" w:after="120" w:afterAutospacing="0"/>
              <w:jc w:val="both"/>
              <w:textAlignment w:val="baseline"/>
            </w:pPr>
            <w:r>
              <w:rPr>
                <w:b/>
              </w:rPr>
              <w:t>Tomēr</w:t>
            </w:r>
            <w:r w:rsidR="00D0366D">
              <w:rPr>
                <w:b/>
              </w:rPr>
              <w:t xml:space="preserve"> </w:t>
            </w:r>
            <w:r w:rsidR="00D0366D" w:rsidRPr="00D0366D">
              <w:rPr>
                <w:b/>
              </w:rPr>
              <w:t>EK ir  norādījusi, ka ES Tiesa, vērtējot soda naudu apmēru, ņems vērā apstākļus, kas ietekmējuši dalībvalstij noteikto mērķu nesasniegšanu.</w:t>
            </w:r>
          </w:p>
          <w:p w14:paraId="7F5D6100" w14:textId="386769DD" w:rsidR="001C1FFA" w:rsidRDefault="005B6F61" w:rsidP="0038012E">
            <w:pPr>
              <w:pStyle w:val="paragraph"/>
              <w:spacing w:before="120" w:beforeAutospacing="0" w:after="120" w:afterAutospacing="0"/>
              <w:jc w:val="both"/>
              <w:textAlignment w:val="baseline"/>
              <w:rPr>
                <w:rFonts w:cstheme="minorBidi"/>
                <w:szCs w:val="26"/>
                <w:lang w:eastAsia="en-US"/>
              </w:rPr>
            </w:pPr>
            <w:r w:rsidRPr="005B6F61">
              <w:rPr>
                <w:rFonts w:cstheme="minorBidi"/>
                <w:szCs w:val="26"/>
                <w:lang w:eastAsia="en-US"/>
              </w:rPr>
              <w:t xml:space="preserve">Vienlaikus </w:t>
            </w:r>
            <w:r w:rsidR="007B3FAB">
              <w:rPr>
                <w:rFonts w:cstheme="minorBidi"/>
                <w:szCs w:val="26"/>
                <w:lang w:eastAsia="en-US"/>
              </w:rPr>
              <w:t>D</w:t>
            </w:r>
            <w:r w:rsidRPr="005B6F61">
              <w:rPr>
                <w:rFonts w:cstheme="minorBidi"/>
                <w:szCs w:val="26"/>
                <w:lang w:eastAsia="en-US"/>
              </w:rPr>
              <w:t>irektīvā</w:t>
            </w:r>
            <w:r w:rsidR="00991C29">
              <w:rPr>
                <w:rFonts w:cstheme="minorBidi"/>
                <w:szCs w:val="26"/>
                <w:lang w:eastAsia="en-US"/>
              </w:rPr>
              <w:t xml:space="preserve"> </w:t>
            </w:r>
            <w:r w:rsidR="007B3FAB">
              <w:rPr>
                <w:rFonts w:cstheme="minorBidi"/>
                <w:szCs w:val="26"/>
                <w:lang w:eastAsia="en-US"/>
              </w:rPr>
              <w:t>Nr.</w:t>
            </w:r>
            <w:r w:rsidR="007B3FAB" w:rsidRPr="007B3FAB">
              <w:rPr>
                <w:rFonts w:cstheme="minorBidi"/>
                <w:szCs w:val="26"/>
                <w:lang w:eastAsia="en-US"/>
              </w:rPr>
              <w:t>2009/28/EK</w:t>
            </w:r>
            <w:r w:rsidR="009C7355">
              <w:rPr>
                <w:rFonts w:cstheme="minorBidi"/>
                <w:szCs w:val="26"/>
                <w:lang w:eastAsia="en-US"/>
              </w:rPr>
              <w:t xml:space="preserve"> (par atjaunojamās enerģijas veicināšanu)</w:t>
            </w:r>
            <w:r w:rsidR="0038012E">
              <w:rPr>
                <w:rFonts w:cstheme="minorBidi"/>
                <w:szCs w:val="26"/>
                <w:lang w:eastAsia="en-US"/>
              </w:rPr>
              <w:t xml:space="preserve"> </w:t>
            </w:r>
            <w:r w:rsidR="0059662A">
              <w:rPr>
                <w:rFonts w:cstheme="minorBidi"/>
                <w:szCs w:val="26"/>
                <w:lang w:eastAsia="en-US"/>
              </w:rPr>
              <w:t>un pārskatītajā</w:t>
            </w:r>
            <w:r w:rsidR="009C7355">
              <w:rPr>
                <w:rFonts w:cstheme="minorBidi"/>
                <w:szCs w:val="26"/>
                <w:lang w:eastAsia="en-US"/>
              </w:rPr>
              <w:t xml:space="preserve"> </w:t>
            </w:r>
            <w:r w:rsidR="0059662A">
              <w:rPr>
                <w:rFonts w:cstheme="minorBidi"/>
                <w:szCs w:val="26"/>
                <w:lang w:eastAsia="en-US"/>
              </w:rPr>
              <w:t>Direktīvā Nr.2018/2001</w:t>
            </w:r>
            <w:r w:rsidR="0038012E">
              <w:rPr>
                <w:rFonts w:cstheme="minorBidi"/>
                <w:szCs w:val="26"/>
                <w:lang w:eastAsia="en-US"/>
              </w:rPr>
              <w:t xml:space="preserve"> ir noteikts mehānisms, kā</w:t>
            </w:r>
            <w:r w:rsidR="0038012E" w:rsidRPr="0038012E">
              <w:rPr>
                <w:rFonts w:cstheme="minorBidi"/>
                <w:szCs w:val="26"/>
                <w:lang w:eastAsia="en-US"/>
              </w:rPr>
              <w:t xml:space="preserve"> </w:t>
            </w:r>
            <w:r w:rsidR="0038012E" w:rsidRPr="00EF609A">
              <w:rPr>
                <w:rFonts w:cstheme="minorBidi"/>
                <w:b/>
                <w:szCs w:val="26"/>
                <w:lang w:eastAsia="en-US"/>
              </w:rPr>
              <w:t xml:space="preserve">ES dalībvalstis var vienoties un var noteikt kārtību, lai statistiski nodotu no </w:t>
            </w:r>
            <w:r w:rsidR="009C7355">
              <w:rPr>
                <w:rFonts w:cstheme="minorBidi"/>
                <w:b/>
                <w:szCs w:val="26"/>
                <w:lang w:eastAsia="en-US"/>
              </w:rPr>
              <w:t xml:space="preserve">atjaunojamiem </w:t>
            </w:r>
            <w:proofErr w:type="spellStart"/>
            <w:r w:rsidR="009C7355">
              <w:rPr>
                <w:rFonts w:cstheme="minorBidi"/>
                <w:b/>
                <w:szCs w:val="26"/>
                <w:lang w:eastAsia="en-US"/>
              </w:rPr>
              <w:t>enerogresursiem</w:t>
            </w:r>
            <w:proofErr w:type="spellEnd"/>
            <w:r w:rsidR="0038012E" w:rsidRPr="00EF609A">
              <w:rPr>
                <w:rFonts w:cstheme="minorBidi"/>
                <w:b/>
                <w:szCs w:val="26"/>
                <w:lang w:eastAsia="en-US"/>
              </w:rPr>
              <w:t xml:space="preserve"> saražotas enerģijas konkrētu </w:t>
            </w:r>
            <w:r w:rsidR="009C7355">
              <w:rPr>
                <w:rFonts w:cstheme="minorBidi"/>
                <w:b/>
                <w:szCs w:val="26"/>
                <w:lang w:eastAsia="en-US"/>
              </w:rPr>
              <w:t>apjomu</w:t>
            </w:r>
            <w:r w:rsidR="0038012E" w:rsidRPr="00EF609A">
              <w:rPr>
                <w:rFonts w:cstheme="minorBidi"/>
                <w:b/>
                <w:szCs w:val="26"/>
                <w:lang w:eastAsia="en-US"/>
              </w:rPr>
              <w:t xml:space="preserve"> no vienas dalībvalsts otrai</w:t>
            </w:r>
            <w:r w:rsidR="0038012E">
              <w:rPr>
                <w:rFonts w:cstheme="minorBidi"/>
                <w:szCs w:val="26"/>
                <w:lang w:eastAsia="en-US"/>
              </w:rPr>
              <w:t xml:space="preserve">, tādējādi nodrošinot </w:t>
            </w:r>
            <w:r w:rsidR="009C7355">
              <w:t>atjaunojamās enerģijas</w:t>
            </w:r>
            <w:r w:rsidR="00CF0970">
              <w:rPr>
                <w:rFonts w:cstheme="minorBidi"/>
                <w:szCs w:val="26"/>
                <w:lang w:eastAsia="en-US"/>
              </w:rPr>
              <w:t xml:space="preserve"> mērķa sasniegšanu. Attiecīgi, ja Latvijas </w:t>
            </w:r>
            <w:r w:rsidR="009C7355">
              <w:t>atjaunojamās enerģijas</w:t>
            </w:r>
            <w:r w:rsidR="00CF0970">
              <w:rPr>
                <w:rFonts w:cstheme="minorBidi"/>
                <w:szCs w:val="26"/>
                <w:lang w:eastAsia="en-US"/>
              </w:rPr>
              <w:t xml:space="preserve"> īpatsvarā rastos būtisks iztrūkumus</w:t>
            </w:r>
            <w:r w:rsidR="00EF609A">
              <w:rPr>
                <w:rFonts w:cstheme="minorBidi"/>
                <w:szCs w:val="26"/>
                <w:lang w:eastAsia="en-US"/>
              </w:rPr>
              <w:t xml:space="preserve"> 2020.gada mērķa sasniegšanai</w:t>
            </w:r>
            <w:r w:rsidR="00CF0970">
              <w:rPr>
                <w:rFonts w:cstheme="minorBidi"/>
                <w:szCs w:val="26"/>
                <w:lang w:eastAsia="en-US"/>
              </w:rPr>
              <w:t xml:space="preserve">, lai izvairītos no tiesvedības ar EK, būtu iespējams pirkt statistiku no citas dalībvalsts, kas savu </w:t>
            </w:r>
            <w:r w:rsidR="009C7355">
              <w:t>atjaunojamās enerģijas</w:t>
            </w:r>
            <w:r w:rsidR="00CF0970">
              <w:rPr>
                <w:rFonts w:cstheme="minorBidi"/>
                <w:szCs w:val="26"/>
                <w:lang w:eastAsia="en-US"/>
              </w:rPr>
              <w:t xml:space="preserve"> mērķi plāno pārsniegt. </w:t>
            </w:r>
            <w:r w:rsidR="00197482">
              <w:rPr>
                <w:rFonts w:cstheme="minorBidi"/>
                <w:szCs w:val="26"/>
                <w:lang w:eastAsia="en-US"/>
              </w:rPr>
              <w:t>Šāda darījuma summa atkarīga no valstu savstarpējās vienošanās un paredzams, ka tuvojoties 2020.gadam</w:t>
            </w:r>
            <w:r w:rsidR="00EF609A">
              <w:rPr>
                <w:rFonts w:cstheme="minorBidi"/>
                <w:szCs w:val="26"/>
                <w:lang w:eastAsia="en-US"/>
              </w:rPr>
              <w:t xml:space="preserve">, šī summa pieaugs. Jāņem vērā, ka </w:t>
            </w:r>
            <w:r w:rsidR="00EF609A" w:rsidRPr="00EF609A">
              <w:rPr>
                <w:rFonts w:cstheme="minorBidi"/>
                <w:szCs w:val="26"/>
                <w:lang w:eastAsia="en-US"/>
              </w:rPr>
              <w:t>Direktīvā Nr.2018/2001</w:t>
            </w:r>
            <w:r w:rsidR="00EF609A">
              <w:rPr>
                <w:rFonts w:cstheme="minorBidi"/>
                <w:szCs w:val="26"/>
                <w:lang w:eastAsia="en-US"/>
              </w:rPr>
              <w:t xml:space="preserve"> un Regulā Nr.2018/1999 noteikts, ka dalībvalstu </w:t>
            </w:r>
            <w:r w:rsidR="009C7355">
              <w:t>atjaunojamās enerģijas</w:t>
            </w:r>
            <w:r w:rsidR="00EF609A">
              <w:rPr>
                <w:rFonts w:cstheme="minorBidi"/>
                <w:szCs w:val="26"/>
                <w:lang w:eastAsia="en-US"/>
              </w:rPr>
              <w:t xml:space="preserve"> īpatsvars pēc 2020.gada nevar nokrist zem 2020.gada mērķa un Regulā Nr.2018/1999 noteiktās trajektorijas </w:t>
            </w:r>
            <w:r w:rsidR="009C7355">
              <w:t>atjaunojamās enerģijas</w:t>
            </w:r>
            <w:r w:rsidR="00EF609A">
              <w:rPr>
                <w:rFonts w:cstheme="minorBidi"/>
                <w:szCs w:val="26"/>
                <w:lang w:eastAsia="en-US"/>
              </w:rPr>
              <w:t xml:space="preserve"> mērķa palielinājumam, tādējādi </w:t>
            </w:r>
            <w:r w:rsidR="009C7355">
              <w:t>atjaunojamās enerģijas</w:t>
            </w:r>
            <w:r w:rsidR="00EF609A">
              <w:rPr>
                <w:rFonts w:cstheme="minorBidi"/>
                <w:szCs w:val="26"/>
                <w:lang w:eastAsia="en-US"/>
              </w:rPr>
              <w:t xml:space="preserve"> īpatsvara iztrūkuma segšanai, īstenojot Likumprojektā ietverto risinājumu, statistiku būtu nepieciešams pirkt arī pēc 2020.gada. Šādas izmaksas varētu svārstīties no</w:t>
            </w:r>
            <w:r w:rsidR="00E92258">
              <w:rPr>
                <w:rFonts w:cstheme="minorBidi"/>
                <w:szCs w:val="26"/>
                <w:lang w:eastAsia="en-US"/>
              </w:rPr>
              <w:t xml:space="preserve"> 35 līdz 50 </w:t>
            </w:r>
            <w:proofErr w:type="spellStart"/>
            <w:r w:rsidR="00E92258">
              <w:rPr>
                <w:rFonts w:cstheme="minorBidi"/>
                <w:szCs w:val="26"/>
                <w:lang w:eastAsia="en-US"/>
              </w:rPr>
              <w:t>milj.</w:t>
            </w:r>
            <w:r w:rsidR="00E92258" w:rsidRPr="00E92258">
              <w:rPr>
                <w:rFonts w:cstheme="minorBidi"/>
                <w:i/>
                <w:szCs w:val="26"/>
                <w:lang w:eastAsia="en-US"/>
              </w:rPr>
              <w:t>euro</w:t>
            </w:r>
            <w:proofErr w:type="spellEnd"/>
            <w:r w:rsidR="00E92258" w:rsidRPr="00E92258">
              <w:rPr>
                <w:rFonts w:cstheme="minorBidi"/>
                <w:i/>
                <w:szCs w:val="26"/>
                <w:lang w:eastAsia="en-US"/>
              </w:rPr>
              <w:t xml:space="preserve"> </w:t>
            </w:r>
            <w:r w:rsidR="00E92258">
              <w:rPr>
                <w:rFonts w:cstheme="minorBidi"/>
                <w:szCs w:val="26"/>
                <w:lang w:eastAsia="en-US"/>
              </w:rPr>
              <w:t>par pirkumu</w:t>
            </w:r>
            <w:r w:rsidR="009C7355">
              <w:rPr>
                <w:rFonts w:cstheme="minorBidi"/>
                <w:szCs w:val="26"/>
                <w:lang w:eastAsia="en-US"/>
              </w:rPr>
              <w:t xml:space="preserve"> (gadā)</w:t>
            </w:r>
            <w:r w:rsidR="00E92258">
              <w:rPr>
                <w:rFonts w:cstheme="minorBidi"/>
                <w:szCs w:val="26"/>
                <w:lang w:eastAsia="en-US"/>
              </w:rPr>
              <w:t>, atkarībā no iztrūkuma apjoma un statistikas pieejamības tirgū.</w:t>
            </w:r>
          </w:p>
          <w:p w14:paraId="1DDF07E7" w14:textId="77777777" w:rsidR="00D73447" w:rsidRDefault="00D73447" w:rsidP="006C07D9">
            <w:pPr>
              <w:pStyle w:val="paragraph"/>
              <w:spacing w:before="120" w:beforeAutospacing="0" w:after="120" w:afterAutospacing="0"/>
              <w:textAlignment w:val="baseline"/>
              <w:rPr>
                <w:rStyle w:val="normaltextrun"/>
                <w:b/>
                <w:i/>
              </w:rPr>
            </w:pPr>
          </w:p>
          <w:p w14:paraId="11490DEF" w14:textId="64F4C965" w:rsidR="005F007E" w:rsidRPr="00BD6563" w:rsidRDefault="00C66C5B" w:rsidP="006C07D9">
            <w:pPr>
              <w:pStyle w:val="paragraph"/>
              <w:spacing w:before="120" w:beforeAutospacing="0" w:after="120" w:afterAutospacing="0"/>
              <w:textAlignment w:val="baseline"/>
              <w:rPr>
                <w:rStyle w:val="eop"/>
                <w:rFonts w:ascii="Segoe UI" w:hAnsi="Segoe UI" w:cs="Segoe UI"/>
                <w:b/>
                <w:i/>
                <w:sz w:val="18"/>
                <w:szCs w:val="18"/>
              </w:rPr>
            </w:pPr>
            <w:r w:rsidRPr="006C07D9">
              <w:rPr>
                <w:rStyle w:val="normaltextrun"/>
                <w:b/>
                <w:i/>
              </w:rPr>
              <w:t>SEG mērķ</w:t>
            </w:r>
            <w:r w:rsidR="006C07D9">
              <w:rPr>
                <w:rStyle w:val="normaltextrun"/>
                <w:b/>
                <w:i/>
              </w:rPr>
              <w:t>u izpilde 2020. un 2030.gadā</w:t>
            </w:r>
          </w:p>
          <w:p w14:paraId="4C7E9712" w14:textId="4799FC00" w:rsidR="005F007E" w:rsidRPr="002F7A49" w:rsidRDefault="005F007E" w:rsidP="004B2695">
            <w:pPr>
              <w:spacing w:before="120" w:after="120" w:line="240" w:lineRule="auto"/>
              <w:jc w:val="both"/>
              <w:rPr>
                <w:rFonts w:ascii="Times New Roman" w:hAnsi="Times New Roman"/>
                <w:color w:val="000000" w:themeColor="text1"/>
                <w:sz w:val="24"/>
                <w:szCs w:val="26"/>
              </w:rPr>
            </w:pPr>
            <w:r w:rsidRPr="00E62996">
              <w:rPr>
                <w:rFonts w:ascii="Times New Roman" w:hAnsi="Times New Roman"/>
                <w:color w:val="000000" w:themeColor="text1"/>
                <w:sz w:val="24"/>
                <w:szCs w:val="26"/>
              </w:rPr>
              <w:t xml:space="preserve">ES stratēģiskās attīstības ietvarā enerģētikas un klimata politikas mērķi un uzdevumi tiek skatīti saistīti. </w:t>
            </w:r>
            <w:r w:rsidRPr="00E62996">
              <w:rPr>
                <w:rFonts w:ascii="Times New Roman" w:eastAsia="Times New Roman" w:hAnsi="Times New Roman"/>
                <w:sz w:val="24"/>
                <w:szCs w:val="26"/>
              </w:rPr>
              <w:t>ES ietvaros ir noteikts kopējs ES siltumnīcefekta gāzu (turpmāk -SEG) emisiju</w:t>
            </w:r>
            <w:r w:rsidRPr="002F7A49">
              <w:rPr>
                <w:rFonts w:ascii="Times New Roman" w:eastAsia="Times New Roman" w:hAnsi="Times New Roman"/>
                <w:sz w:val="24"/>
                <w:szCs w:val="26"/>
              </w:rPr>
              <w:t xml:space="preserve"> samazināšanas mērķis, un tas </w:t>
            </w:r>
            <w:r w:rsidRPr="002F7A49">
              <w:rPr>
                <w:rFonts w:ascii="Times New Roman" w:eastAsia="Times New Roman" w:hAnsi="Times New Roman"/>
                <w:sz w:val="24"/>
                <w:szCs w:val="26"/>
              </w:rPr>
              <w:lastRenderedPageBreak/>
              <w:t>ir sadalīts divās daļās – ES Emisijas kvotu tirdzniecības sistēmā</w:t>
            </w:r>
            <w:r w:rsidRPr="002F7A49">
              <w:rPr>
                <w:rStyle w:val="FootnoteReference"/>
                <w:rFonts w:ascii="Times New Roman" w:eastAsia="Times New Roman" w:hAnsi="Times New Roman"/>
                <w:sz w:val="24"/>
                <w:szCs w:val="26"/>
              </w:rPr>
              <w:footnoteReference w:id="35"/>
            </w:r>
            <w:r w:rsidRPr="002F7A49">
              <w:rPr>
                <w:rFonts w:ascii="Times New Roman" w:eastAsia="Times New Roman" w:hAnsi="Times New Roman"/>
                <w:sz w:val="24"/>
                <w:szCs w:val="26"/>
              </w:rPr>
              <w:t xml:space="preserve"> (turpmāk – ES ETS) iekļautās darbības un ES ETS neiekļautās darbības (turpmāk – ne-ETS). ES ETS operatoriem kopīgi visā ES ir jāsamazina SEG emisiju apjoms par 21 % līdz 2020. gadam un par 43 % līdz 2030. gadam (salīdzinot ar šo ES ETS operatoru SEG emisiju apjomu 2005. gadā). Savukārt ne-ETS SEG emisiju samazināšanas mērķa izpildes saistības ir pārdalītas katrai ES dalībvalstij, t.sk. Latvijai.</w:t>
            </w:r>
          </w:p>
          <w:p w14:paraId="3E5ABCC6" w14:textId="4BB2B7D4" w:rsidR="001C7A8B" w:rsidRDefault="005F007E" w:rsidP="004B2695">
            <w:pPr>
              <w:spacing w:before="120" w:after="120" w:line="240" w:lineRule="auto"/>
              <w:jc w:val="both"/>
              <w:rPr>
                <w:rFonts w:ascii="Times New Roman" w:eastAsia="Times New Roman" w:hAnsi="Times New Roman"/>
                <w:sz w:val="24"/>
                <w:szCs w:val="26"/>
              </w:rPr>
            </w:pPr>
            <w:r w:rsidRPr="002F7A49">
              <w:rPr>
                <w:rFonts w:ascii="Times New Roman" w:eastAsia="Times New Roman" w:hAnsi="Times New Roman"/>
                <w:sz w:val="24"/>
                <w:szCs w:val="26"/>
              </w:rPr>
              <w:t>Latvijai laika periodā līdz 2020. gadam pieļauts ne-ETS darbību SEG emisiju pieaugums par 17 %, salīdzinot ar Latvijas ne-ETS darbību SEG emisiju apjomu 2005. gadā. Savukārt periodā no 2021. gada līdz 2030. gadam Latvijai ir nepieciešams nodrošināt ne-ETS darbību SEG emisiju samazinājumu par 6%, salīdzinot ar Latvijas ne-ETS darbību SEG emisiju apjomu 2005. gadā.</w:t>
            </w:r>
            <w:r w:rsidR="002F7A49">
              <w:rPr>
                <w:rFonts w:ascii="Times New Roman" w:eastAsia="Times New Roman" w:hAnsi="Times New Roman"/>
                <w:sz w:val="24"/>
                <w:szCs w:val="26"/>
              </w:rPr>
              <w:t xml:space="preserve"> </w:t>
            </w:r>
          </w:p>
          <w:p w14:paraId="7D5755C4" w14:textId="2466831B" w:rsidR="002F7A49" w:rsidRDefault="001C7A8B" w:rsidP="004B2695">
            <w:pPr>
              <w:spacing w:before="120" w:after="120" w:line="240" w:lineRule="auto"/>
              <w:jc w:val="both"/>
              <w:rPr>
                <w:rFonts w:ascii="Times New Roman" w:eastAsia="Times New Roman" w:hAnsi="Times New Roman"/>
                <w:sz w:val="24"/>
                <w:szCs w:val="26"/>
              </w:rPr>
            </w:pPr>
            <w:r w:rsidRPr="00E62996">
              <w:rPr>
                <w:rFonts w:ascii="Times New Roman" w:eastAsia="Times New Roman" w:hAnsi="Times New Roman"/>
                <w:b/>
                <w:sz w:val="24"/>
                <w:szCs w:val="26"/>
              </w:rPr>
              <w:t>2017.gadā enerģētikas daļa Latvijas ne-ETS emisiju struktūrā veidoja aptuveni 17%.</w:t>
            </w:r>
            <w:r>
              <w:rPr>
                <w:rFonts w:ascii="Times New Roman" w:eastAsia="Times New Roman" w:hAnsi="Times New Roman"/>
                <w:sz w:val="24"/>
                <w:szCs w:val="26"/>
              </w:rPr>
              <w:t xml:space="preserve"> Līdzšinējās</w:t>
            </w:r>
            <w:r w:rsidR="002F7A49">
              <w:rPr>
                <w:rFonts w:ascii="Times New Roman" w:eastAsia="Times New Roman" w:hAnsi="Times New Roman"/>
                <w:sz w:val="24"/>
                <w:szCs w:val="26"/>
              </w:rPr>
              <w:t xml:space="preserve"> prognozes liecina, ka Latvija savu 2020.gada ne-ETS mērķi sasniegs, jo prognozētais emisiju pieaugums ir ~ 5%</w:t>
            </w:r>
            <w:r>
              <w:rPr>
                <w:rFonts w:ascii="Times New Roman" w:eastAsia="Times New Roman" w:hAnsi="Times New Roman"/>
                <w:sz w:val="24"/>
                <w:szCs w:val="26"/>
              </w:rPr>
              <w:t>, savukārt</w:t>
            </w:r>
            <w:r w:rsidR="0060683E">
              <w:rPr>
                <w:rFonts w:ascii="Times New Roman" w:eastAsia="Times New Roman" w:hAnsi="Times New Roman"/>
                <w:sz w:val="24"/>
                <w:szCs w:val="26"/>
              </w:rPr>
              <w:t xml:space="preserve"> šobrīd</w:t>
            </w:r>
            <w:r>
              <w:rPr>
                <w:rFonts w:ascii="Times New Roman" w:eastAsia="Times New Roman" w:hAnsi="Times New Roman"/>
                <w:sz w:val="24"/>
                <w:szCs w:val="26"/>
              </w:rPr>
              <w:t xml:space="preserve"> prognozētais </w:t>
            </w:r>
            <w:r w:rsidR="0060683E">
              <w:rPr>
                <w:rFonts w:ascii="Times New Roman" w:eastAsia="Times New Roman" w:hAnsi="Times New Roman"/>
                <w:sz w:val="24"/>
                <w:szCs w:val="26"/>
              </w:rPr>
              <w:t xml:space="preserve">aptuvenais </w:t>
            </w:r>
            <w:r>
              <w:rPr>
                <w:rFonts w:ascii="Times New Roman" w:eastAsia="Times New Roman" w:hAnsi="Times New Roman"/>
                <w:sz w:val="24"/>
                <w:szCs w:val="26"/>
              </w:rPr>
              <w:t xml:space="preserve">emisiju samazinājums uz 2030.gadu </w:t>
            </w:r>
            <w:r w:rsidR="00452132">
              <w:rPr>
                <w:rFonts w:ascii="Times New Roman" w:eastAsia="Times New Roman" w:hAnsi="Times New Roman"/>
                <w:sz w:val="24"/>
                <w:szCs w:val="26"/>
              </w:rPr>
              <w:t>varētu būt</w:t>
            </w:r>
            <w:r>
              <w:rPr>
                <w:rFonts w:ascii="Times New Roman" w:eastAsia="Times New Roman" w:hAnsi="Times New Roman"/>
                <w:sz w:val="24"/>
                <w:szCs w:val="26"/>
              </w:rPr>
              <w:t xml:space="preserve"> ~ 5%, kas nav pietiekami mērķa sasniegšanai</w:t>
            </w:r>
            <w:r w:rsidR="00452132">
              <w:rPr>
                <w:rFonts w:ascii="Times New Roman" w:eastAsia="Times New Roman" w:hAnsi="Times New Roman"/>
                <w:sz w:val="24"/>
                <w:szCs w:val="26"/>
              </w:rPr>
              <w:t xml:space="preserve"> </w:t>
            </w:r>
            <w:r w:rsidR="00452132" w:rsidRPr="00452132">
              <w:rPr>
                <w:rFonts w:ascii="Times New Roman" w:eastAsia="Times New Roman" w:hAnsi="Times New Roman"/>
                <w:sz w:val="24"/>
                <w:szCs w:val="26"/>
              </w:rPr>
              <w:t>(šis emisiju samazinājuma apjoms ir prognozēts 2018.gada normatīvā regulējuma ietvaros)</w:t>
            </w:r>
            <w:r w:rsidR="00452132">
              <w:rPr>
                <w:rFonts w:ascii="Times New Roman" w:eastAsia="Times New Roman" w:hAnsi="Times New Roman"/>
                <w:sz w:val="24"/>
                <w:szCs w:val="26"/>
              </w:rPr>
              <w:t>.</w:t>
            </w:r>
          </w:p>
          <w:p w14:paraId="3E82B1ED" w14:textId="19BB3DF6" w:rsidR="00BC7014" w:rsidRDefault="001C7A8B" w:rsidP="006C07D9">
            <w:pPr>
              <w:spacing w:before="120" w:after="120" w:line="240" w:lineRule="auto"/>
              <w:jc w:val="both"/>
              <w:rPr>
                <w:rFonts w:ascii="Times New Roman" w:eastAsia="Times New Roman" w:hAnsi="Times New Roman"/>
                <w:sz w:val="24"/>
                <w:szCs w:val="26"/>
              </w:rPr>
            </w:pPr>
            <w:r>
              <w:rPr>
                <w:rFonts w:ascii="Times New Roman" w:eastAsia="Times New Roman" w:hAnsi="Times New Roman"/>
                <w:sz w:val="24"/>
                <w:szCs w:val="26"/>
              </w:rPr>
              <w:t>Pie ne-ETS sektora pieder OI stacijas ar jaudu zem 20 MW, tādējādi ne-ETS emisijas ne</w:t>
            </w:r>
            <w:r w:rsidRPr="009B7CFD">
              <w:rPr>
                <w:rFonts w:ascii="Times New Roman" w:eastAsia="Times New Roman" w:hAnsi="Times New Roman"/>
                <w:sz w:val="24"/>
                <w:szCs w:val="26"/>
              </w:rPr>
              <w:t xml:space="preserve">ietekmēs </w:t>
            </w:r>
            <w:r w:rsidR="0096448A" w:rsidRPr="009B7CFD">
              <w:rPr>
                <w:rFonts w:ascii="Times New Roman" w:eastAsia="Times New Roman" w:hAnsi="Times New Roman"/>
                <w:sz w:val="24"/>
                <w:szCs w:val="26"/>
              </w:rPr>
              <w:t>AS “Latvenergo”</w:t>
            </w:r>
            <w:r w:rsidR="005003E9" w:rsidRPr="009B7CFD">
              <w:rPr>
                <w:rFonts w:ascii="Times New Roman" w:eastAsia="Times New Roman" w:hAnsi="Times New Roman"/>
                <w:sz w:val="24"/>
                <w:szCs w:val="26"/>
              </w:rPr>
              <w:t xml:space="preserve"> TEC-1 un TEC-2, </w:t>
            </w:r>
            <w:r w:rsidR="009B7CFD" w:rsidRPr="009B7CFD">
              <w:rPr>
                <w:rFonts w:ascii="Times New Roman" w:eastAsia="Times New Roman" w:hAnsi="Times New Roman"/>
                <w:sz w:val="24"/>
                <w:szCs w:val="26"/>
              </w:rPr>
              <w:t xml:space="preserve">AS “Rīgas Siltums” stacijas “Imanta” un </w:t>
            </w:r>
            <w:r w:rsidR="0096448A" w:rsidRPr="009B7CFD">
              <w:rPr>
                <w:rFonts w:ascii="Times New Roman" w:eastAsia="Times New Roman" w:hAnsi="Times New Roman"/>
                <w:sz w:val="24"/>
                <w:szCs w:val="26"/>
              </w:rPr>
              <w:t>SIA</w:t>
            </w:r>
            <w:r w:rsidR="005003E9" w:rsidRPr="009B7CFD">
              <w:rPr>
                <w:rFonts w:ascii="Times New Roman" w:eastAsia="Times New Roman" w:hAnsi="Times New Roman"/>
                <w:sz w:val="24"/>
                <w:szCs w:val="26"/>
              </w:rPr>
              <w:t xml:space="preserve"> </w:t>
            </w:r>
            <w:r w:rsidR="0096448A" w:rsidRPr="009B7CFD">
              <w:rPr>
                <w:rFonts w:ascii="Times New Roman" w:eastAsia="Times New Roman" w:hAnsi="Times New Roman"/>
                <w:sz w:val="24"/>
                <w:szCs w:val="26"/>
              </w:rPr>
              <w:t>“</w:t>
            </w:r>
            <w:r w:rsidR="005003E9" w:rsidRPr="009B7CFD">
              <w:rPr>
                <w:rFonts w:ascii="Times New Roman" w:eastAsia="Times New Roman" w:hAnsi="Times New Roman"/>
                <w:sz w:val="24"/>
                <w:szCs w:val="26"/>
              </w:rPr>
              <w:t>Juglas jauda</w:t>
            </w:r>
            <w:r w:rsidR="009B7CFD" w:rsidRPr="009B7CFD">
              <w:rPr>
                <w:rFonts w:ascii="Times New Roman" w:eastAsia="Times New Roman" w:hAnsi="Times New Roman"/>
                <w:sz w:val="24"/>
                <w:szCs w:val="26"/>
              </w:rPr>
              <w:t>”</w:t>
            </w:r>
            <w:r w:rsidR="005003E9" w:rsidRPr="009B7CFD">
              <w:rPr>
                <w:rFonts w:ascii="Times New Roman" w:eastAsia="Times New Roman" w:hAnsi="Times New Roman"/>
                <w:sz w:val="24"/>
                <w:szCs w:val="26"/>
              </w:rPr>
              <w:t xml:space="preserve"> dabasgāzes staciju un </w:t>
            </w:r>
            <w:r w:rsidR="009B7CFD" w:rsidRPr="009B7CFD">
              <w:rPr>
                <w:rFonts w:ascii="Times New Roman" w:eastAsia="Times New Roman" w:hAnsi="Times New Roman"/>
                <w:sz w:val="24"/>
                <w:szCs w:val="26"/>
              </w:rPr>
              <w:t>SIA “</w:t>
            </w:r>
            <w:proofErr w:type="spellStart"/>
            <w:r w:rsidR="005003E9" w:rsidRPr="009B7CFD">
              <w:rPr>
                <w:rFonts w:ascii="Times New Roman" w:eastAsia="Times New Roman" w:hAnsi="Times New Roman"/>
                <w:sz w:val="24"/>
                <w:szCs w:val="26"/>
              </w:rPr>
              <w:t>Fortum</w:t>
            </w:r>
            <w:proofErr w:type="spellEnd"/>
            <w:r w:rsidR="009B7CFD" w:rsidRPr="009B7CFD">
              <w:rPr>
                <w:rFonts w:ascii="Times New Roman" w:eastAsia="Times New Roman" w:hAnsi="Times New Roman"/>
                <w:sz w:val="24"/>
                <w:szCs w:val="26"/>
              </w:rPr>
              <w:t xml:space="preserve"> Latvia”</w:t>
            </w:r>
            <w:r w:rsidR="005003E9" w:rsidRPr="009B7CFD">
              <w:rPr>
                <w:rFonts w:ascii="Times New Roman" w:eastAsia="Times New Roman" w:hAnsi="Times New Roman"/>
                <w:sz w:val="24"/>
                <w:szCs w:val="26"/>
              </w:rPr>
              <w:t xml:space="preserve"> biomasas stacij</w:t>
            </w:r>
            <w:r w:rsidR="009B7CFD" w:rsidRPr="009B7CFD">
              <w:rPr>
                <w:rFonts w:ascii="Times New Roman" w:eastAsia="Times New Roman" w:hAnsi="Times New Roman"/>
                <w:sz w:val="24"/>
                <w:szCs w:val="26"/>
              </w:rPr>
              <w:t>as</w:t>
            </w:r>
            <w:r w:rsidR="005003E9" w:rsidRPr="009B7CFD">
              <w:rPr>
                <w:rFonts w:ascii="Times New Roman" w:eastAsia="Times New Roman" w:hAnsi="Times New Roman"/>
                <w:sz w:val="24"/>
                <w:szCs w:val="26"/>
              </w:rPr>
              <w:t xml:space="preserve"> turpmākā darbība. Savukārt pārējo elektrostaciju, kas saņem atbalstu OI mehānisma ietvaros, emisijas pieder pie ne-ETS sistēmas un paredzams, ka lielākā daļa no tām pēc atbalsta pārtraukšanas savu darbību beigs. </w:t>
            </w:r>
            <w:r w:rsidR="00B07135" w:rsidRPr="009B7CFD">
              <w:rPr>
                <w:rFonts w:ascii="Times New Roman" w:eastAsia="Times New Roman" w:hAnsi="Times New Roman"/>
                <w:sz w:val="24"/>
                <w:szCs w:val="26"/>
              </w:rPr>
              <w:t xml:space="preserve">Konkrētas ietekmes uz ne-ETS emisiju sektoru šobrīd nav prognozētas, </w:t>
            </w:r>
            <w:r w:rsidR="00B07135">
              <w:rPr>
                <w:rFonts w:ascii="Times New Roman" w:eastAsia="Times New Roman" w:hAnsi="Times New Roman"/>
                <w:sz w:val="24"/>
                <w:szCs w:val="26"/>
              </w:rPr>
              <w:t xml:space="preserve">tomēr paredzams, ka </w:t>
            </w:r>
            <w:r w:rsidR="00B07135" w:rsidRPr="00E62996">
              <w:rPr>
                <w:rFonts w:ascii="Times New Roman" w:eastAsia="Times New Roman" w:hAnsi="Times New Roman"/>
                <w:b/>
                <w:sz w:val="24"/>
                <w:szCs w:val="26"/>
              </w:rPr>
              <w:t>ņemot vērā elastību uz 2020.gada mērķi, šādam Likumprojekta risinājumam nebūs ietekmes uz mērķa sasniegšanu</w:t>
            </w:r>
            <w:r w:rsidR="00B07135">
              <w:rPr>
                <w:rFonts w:ascii="Times New Roman" w:eastAsia="Times New Roman" w:hAnsi="Times New Roman"/>
                <w:sz w:val="24"/>
                <w:szCs w:val="26"/>
              </w:rPr>
              <w:t xml:space="preserve">, savukārt </w:t>
            </w:r>
            <w:r w:rsidR="00B07135" w:rsidRPr="00E62996">
              <w:rPr>
                <w:rFonts w:ascii="Times New Roman" w:eastAsia="Times New Roman" w:hAnsi="Times New Roman"/>
                <w:b/>
                <w:sz w:val="24"/>
                <w:szCs w:val="26"/>
              </w:rPr>
              <w:t xml:space="preserve">attiecībā uz 2030.gada mērķi paredzams, ka šāds risinājums </w:t>
            </w:r>
            <w:r w:rsidR="00452132">
              <w:rPr>
                <w:rFonts w:ascii="Times New Roman" w:eastAsia="Times New Roman" w:hAnsi="Times New Roman"/>
                <w:b/>
                <w:sz w:val="24"/>
                <w:szCs w:val="26"/>
              </w:rPr>
              <w:t xml:space="preserve">var </w:t>
            </w:r>
            <w:r w:rsidR="00B07135" w:rsidRPr="00E62996">
              <w:rPr>
                <w:rFonts w:ascii="Times New Roman" w:eastAsia="Times New Roman" w:hAnsi="Times New Roman"/>
                <w:b/>
                <w:sz w:val="24"/>
                <w:szCs w:val="26"/>
              </w:rPr>
              <w:t>vēl vairāk attālinā</w:t>
            </w:r>
            <w:r w:rsidR="00452132">
              <w:rPr>
                <w:rFonts w:ascii="Times New Roman" w:eastAsia="Times New Roman" w:hAnsi="Times New Roman"/>
                <w:b/>
                <w:sz w:val="24"/>
                <w:szCs w:val="26"/>
              </w:rPr>
              <w:t>t</w:t>
            </w:r>
            <w:r w:rsidR="00B07135" w:rsidRPr="00E62996">
              <w:rPr>
                <w:rFonts w:ascii="Times New Roman" w:eastAsia="Times New Roman" w:hAnsi="Times New Roman"/>
                <w:b/>
                <w:sz w:val="24"/>
                <w:szCs w:val="26"/>
              </w:rPr>
              <w:t xml:space="preserve"> Latviju no </w:t>
            </w:r>
            <w:r w:rsidR="00E62996" w:rsidRPr="00E62996">
              <w:rPr>
                <w:rFonts w:ascii="Times New Roman" w:eastAsia="Times New Roman" w:hAnsi="Times New Roman"/>
                <w:b/>
                <w:sz w:val="24"/>
                <w:szCs w:val="26"/>
              </w:rPr>
              <w:t xml:space="preserve">2030.gada </w:t>
            </w:r>
            <w:r w:rsidR="00B07135" w:rsidRPr="00E62996">
              <w:rPr>
                <w:rFonts w:ascii="Times New Roman" w:eastAsia="Times New Roman" w:hAnsi="Times New Roman"/>
                <w:b/>
                <w:sz w:val="24"/>
                <w:szCs w:val="26"/>
              </w:rPr>
              <w:t>mērķa sasniegšanas</w:t>
            </w:r>
            <w:r w:rsidR="00B07135">
              <w:rPr>
                <w:rFonts w:ascii="Times New Roman" w:eastAsia="Times New Roman" w:hAnsi="Times New Roman"/>
                <w:sz w:val="24"/>
                <w:szCs w:val="26"/>
              </w:rPr>
              <w:t xml:space="preserve">. Noteicošie faktori </w:t>
            </w:r>
            <w:r w:rsidR="00E62996">
              <w:rPr>
                <w:rFonts w:ascii="Times New Roman" w:eastAsia="Times New Roman" w:hAnsi="Times New Roman"/>
                <w:sz w:val="24"/>
                <w:szCs w:val="26"/>
              </w:rPr>
              <w:t xml:space="preserve">emisiju palielinājumam, slēdzot OI stacijas, </w:t>
            </w:r>
            <w:r w:rsidR="00B07135">
              <w:rPr>
                <w:rFonts w:ascii="Times New Roman" w:eastAsia="Times New Roman" w:hAnsi="Times New Roman"/>
                <w:sz w:val="24"/>
                <w:szCs w:val="26"/>
              </w:rPr>
              <w:t>būs nepieciešamība rast citus siltumenerģijas ražošanas avotus un lielākajā daļā gadījumu tie visdrīzāk būs fosilie enerģijas avoti</w:t>
            </w:r>
            <w:r w:rsidR="00E62996">
              <w:rPr>
                <w:rFonts w:ascii="Times New Roman" w:eastAsia="Times New Roman" w:hAnsi="Times New Roman"/>
                <w:sz w:val="24"/>
                <w:szCs w:val="26"/>
              </w:rPr>
              <w:t>, turklāt ražojot siltumenerģiju katlu mājās, kas ir</w:t>
            </w:r>
            <w:r w:rsidR="00B07135">
              <w:rPr>
                <w:rFonts w:ascii="Times New Roman" w:eastAsia="Times New Roman" w:hAnsi="Times New Roman"/>
                <w:sz w:val="24"/>
                <w:szCs w:val="26"/>
              </w:rPr>
              <w:t xml:space="preserve"> </w:t>
            </w:r>
            <w:r w:rsidR="00E62996">
              <w:rPr>
                <w:rFonts w:ascii="Times New Roman" w:eastAsia="Times New Roman" w:hAnsi="Times New Roman"/>
                <w:sz w:val="24"/>
                <w:szCs w:val="26"/>
              </w:rPr>
              <w:t xml:space="preserve">mazāk efektīvs enerģijas ražošanas veids. </w:t>
            </w:r>
            <w:r w:rsidR="00B07135">
              <w:rPr>
                <w:rFonts w:ascii="Times New Roman" w:eastAsia="Times New Roman" w:hAnsi="Times New Roman"/>
                <w:sz w:val="24"/>
                <w:szCs w:val="26"/>
              </w:rPr>
              <w:t>Tāpat</w:t>
            </w:r>
            <w:r w:rsidR="00E62996">
              <w:rPr>
                <w:rFonts w:ascii="Times New Roman" w:eastAsia="Times New Roman" w:hAnsi="Times New Roman"/>
                <w:sz w:val="24"/>
                <w:szCs w:val="26"/>
              </w:rPr>
              <w:t xml:space="preserve">, pārtraucot darbību biogāzes stacijām, pieaugs emisijas no kūtsmēslu apsaimniekošanas, kas arī ietilpst ne-ETS sektorā. Tāpat šādas biogāzes stacijas, kas kādu laiku nebūs darbojušās, nebūs iespējams pielāgot </w:t>
            </w:r>
            <w:proofErr w:type="spellStart"/>
            <w:r w:rsidR="00E62996">
              <w:rPr>
                <w:rFonts w:ascii="Times New Roman" w:eastAsia="Times New Roman" w:hAnsi="Times New Roman"/>
                <w:sz w:val="24"/>
                <w:szCs w:val="26"/>
              </w:rPr>
              <w:t>biometāna</w:t>
            </w:r>
            <w:proofErr w:type="spellEnd"/>
            <w:r w:rsidR="00E62996">
              <w:rPr>
                <w:rFonts w:ascii="Times New Roman" w:eastAsia="Times New Roman" w:hAnsi="Times New Roman"/>
                <w:sz w:val="24"/>
                <w:szCs w:val="26"/>
              </w:rPr>
              <w:t xml:space="preserve"> ražošanai, ko būtu iespējams novirzīt uz patēriņu transporta sektorā, aizstājot fosilās degvielas un tādējādi mazinot emisijas</w:t>
            </w:r>
            <w:r w:rsidR="00452132">
              <w:rPr>
                <w:rFonts w:ascii="Times New Roman" w:eastAsia="Times New Roman" w:hAnsi="Times New Roman"/>
                <w:sz w:val="24"/>
                <w:szCs w:val="26"/>
              </w:rPr>
              <w:t xml:space="preserve"> </w:t>
            </w:r>
            <w:r w:rsidR="00452132" w:rsidRPr="00452132">
              <w:rPr>
                <w:rFonts w:ascii="Times New Roman" w:eastAsia="Times New Roman" w:hAnsi="Times New Roman"/>
                <w:sz w:val="24"/>
                <w:szCs w:val="26"/>
              </w:rPr>
              <w:t>un palielinot AER īpatsvaru tieši transporta sektorā.</w:t>
            </w:r>
          </w:p>
          <w:p w14:paraId="3F44BEDD" w14:textId="6A9CFBF8" w:rsidR="00B4327A" w:rsidRDefault="00B4327A" w:rsidP="006C07D9">
            <w:pPr>
              <w:spacing w:before="120" w:after="120" w:line="240" w:lineRule="auto"/>
              <w:jc w:val="both"/>
              <w:rPr>
                <w:rFonts w:ascii="Times New Roman" w:eastAsia="Times New Roman" w:hAnsi="Times New Roman"/>
                <w:b/>
                <w:i/>
                <w:sz w:val="24"/>
                <w:szCs w:val="26"/>
              </w:rPr>
            </w:pPr>
            <w:r>
              <w:rPr>
                <w:rFonts w:ascii="Times New Roman" w:eastAsia="Times New Roman" w:hAnsi="Times New Roman"/>
                <w:b/>
                <w:i/>
                <w:sz w:val="24"/>
                <w:szCs w:val="26"/>
              </w:rPr>
              <w:t>G</w:t>
            </w:r>
            <w:r w:rsidRPr="00B4327A">
              <w:rPr>
                <w:rFonts w:ascii="Times New Roman" w:eastAsia="Times New Roman" w:hAnsi="Times New Roman"/>
                <w:b/>
                <w:i/>
                <w:sz w:val="24"/>
                <w:szCs w:val="26"/>
              </w:rPr>
              <w:t>aisu piesārņojošo vielu emisiju samazināšanas mērķi</w:t>
            </w:r>
          </w:p>
          <w:p w14:paraId="38D59828" w14:textId="56F8DEEA" w:rsidR="00B4327A" w:rsidRPr="00B4327A" w:rsidRDefault="00B4327A" w:rsidP="006C07D9">
            <w:pPr>
              <w:spacing w:before="120" w:after="120" w:line="240" w:lineRule="auto"/>
              <w:jc w:val="both"/>
              <w:rPr>
                <w:rFonts w:ascii="Times New Roman" w:eastAsia="Times New Roman" w:hAnsi="Times New Roman"/>
                <w:sz w:val="24"/>
                <w:szCs w:val="26"/>
              </w:rPr>
            </w:pPr>
            <w:r w:rsidRPr="00B4327A">
              <w:rPr>
                <w:rFonts w:ascii="Times New Roman" w:eastAsia="Times New Roman" w:hAnsi="Times New Roman"/>
                <w:sz w:val="24"/>
                <w:szCs w:val="26"/>
              </w:rPr>
              <w:lastRenderedPageBreak/>
              <w:t>Atbilstoši Direktīvai 2016/2284/ES</w:t>
            </w:r>
            <w:r w:rsidR="00ED32EB">
              <w:rPr>
                <w:rStyle w:val="FootnoteReference"/>
                <w:rFonts w:ascii="Times New Roman" w:eastAsia="Times New Roman" w:hAnsi="Times New Roman"/>
                <w:sz w:val="24"/>
                <w:szCs w:val="26"/>
              </w:rPr>
              <w:footnoteReference w:id="36"/>
            </w:r>
            <w:r w:rsidRPr="00B4327A">
              <w:rPr>
                <w:rFonts w:ascii="Times New Roman" w:eastAsia="Times New Roman" w:hAnsi="Times New Roman"/>
                <w:sz w:val="24"/>
                <w:szCs w:val="26"/>
              </w:rPr>
              <w:t xml:space="preserve"> Latvijai noteikti jauni gaisu piesārņojošo vielu emisiju samazināšanas mērķi no 2020. līdz 2029. gadam, kā arī pēc 2030.gada. Viena no problemātiskajām vielām, kuras mērķu sasniegšanai nepieciešams realizēt papildu pasākumus ir amonjaks</w:t>
            </w:r>
            <w:r w:rsidR="00CF1A9A">
              <w:rPr>
                <w:rFonts w:ascii="Times New Roman" w:eastAsia="Times New Roman" w:hAnsi="Times New Roman"/>
                <w:sz w:val="24"/>
                <w:szCs w:val="26"/>
              </w:rPr>
              <w:t xml:space="preserve"> - </w:t>
            </w:r>
            <w:r w:rsidR="00CF1A9A" w:rsidRPr="00CF1A9A">
              <w:rPr>
                <w:rFonts w:ascii="Times New Roman" w:eastAsia="Times New Roman" w:hAnsi="Times New Roman"/>
                <w:sz w:val="24"/>
                <w:szCs w:val="26"/>
              </w:rPr>
              <w:t>Latvijai līdz 2030. gadam jāsasniedz aptuveni 20% amonjaka emisiju samazinājums</w:t>
            </w:r>
            <w:r w:rsidRPr="00B4327A">
              <w:rPr>
                <w:rFonts w:ascii="Times New Roman" w:eastAsia="Times New Roman" w:hAnsi="Times New Roman"/>
                <w:sz w:val="24"/>
                <w:szCs w:val="26"/>
              </w:rPr>
              <w:t xml:space="preserve">. </w:t>
            </w:r>
            <w:r w:rsidR="00CF1A9A">
              <w:rPr>
                <w:rFonts w:ascii="Times New Roman" w:eastAsia="Times New Roman" w:hAnsi="Times New Roman"/>
                <w:sz w:val="24"/>
                <w:szCs w:val="26"/>
              </w:rPr>
              <w:t>V</w:t>
            </w:r>
            <w:r w:rsidRPr="00B4327A">
              <w:rPr>
                <w:rFonts w:ascii="Times New Roman" w:eastAsia="Times New Roman" w:hAnsi="Times New Roman"/>
                <w:sz w:val="24"/>
                <w:szCs w:val="26"/>
              </w:rPr>
              <w:t>iens no pasākumiem, kas būt</w:t>
            </w:r>
            <w:r w:rsidR="00CF1A9A">
              <w:rPr>
                <w:rFonts w:ascii="Times New Roman" w:eastAsia="Times New Roman" w:hAnsi="Times New Roman"/>
                <w:sz w:val="24"/>
                <w:szCs w:val="26"/>
              </w:rPr>
              <w:t>u</w:t>
            </w:r>
            <w:r w:rsidRPr="00B4327A">
              <w:rPr>
                <w:rFonts w:ascii="Times New Roman" w:eastAsia="Times New Roman" w:hAnsi="Times New Roman"/>
                <w:sz w:val="24"/>
                <w:szCs w:val="26"/>
              </w:rPr>
              <w:t xml:space="preserve"> veicams amonjaka emisiju un smaku samazināšanai, ir biogāzes ražošanas veicināšana, izmantojot organiskos atkritumus, it īpaši kūtsmēslus</w:t>
            </w:r>
            <w:r w:rsidR="00CF1A9A">
              <w:rPr>
                <w:rFonts w:ascii="Times New Roman" w:eastAsia="Times New Roman" w:hAnsi="Times New Roman"/>
                <w:sz w:val="24"/>
                <w:szCs w:val="26"/>
              </w:rPr>
              <w:t xml:space="preserve">, </w:t>
            </w:r>
            <w:r w:rsidR="00CF1A9A" w:rsidRPr="00B4327A">
              <w:rPr>
                <w:rFonts w:ascii="Times New Roman" w:eastAsia="Times New Roman" w:hAnsi="Times New Roman"/>
                <w:sz w:val="24"/>
                <w:szCs w:val="26"/>
              </w:rPr>
              <w:t>jo svaigi iegūto kūtsmēslu izmantošana biogāzes ražošanai praktiski nerada amonjaka emisijas</w:t>
            </w:r>
            <w:r w:rsidR="00CF1A9A">
              <w:rPr>
                <w:rFonts w:ascii="Times New Roman" w:eastAsia="Times New Roman" w:hAnsi="Times New Roman"/>
                <w:sz w:val="24"/>
                <w:szCs w:val="26"/>
              </w:rPr>
              <w:t>. Likumprojektā ietvertā risinājuma rezultātā darbu pārtrauktu lielākā daļa biogāzes staciju, tādējādi tiktu būtiski apgrūtināta arī amonjaka emisiju samazināšanas mērķa sasniegšana.</w:t>
            </w:r>
          </w:p>
          <w:p w14:paraId="4F8CBF60" w14:textId="77777777" w:rsidR="006C07D9" w:rsidRDefault="006C07D9" w:rsidP="006C07D9">
            <w:pPr>
              <w:pStyle w:val="paragraph"/>
              <w:spacing w:before="120" w:beforeAutospacing="0" w:after="120" w:afterAutospacing="0"/>
              <w:textAlignment w:val="baseline"/>
              <w:rPr>
                <w:rFonts w:ascii="Segoe UI" w:hAnsi="Segoe UI" w:cs="Segoe UI"/>
                <w:color w:val="FF0000"/>
                <w:sz w:val="18"/>
                <w:szCs w:val="18"/>
              </w:rPr>
            </w:pPr>
          </w:p>
          <w:p w14:paraId="36F0A82A" w14:textId="1CCE316A" w:rsidR="00C66C5B" w:rsidRPr="006C07D9" w:rsidRDefault="00C66C5B" w:rsidP="006C07D9">
            <w:pPr>
              <w:pStyle w:val="paragraph"/>
              <w:spacing w:before="120" w:beforeAutospacing="0" w:after="120" w:afterAutospacing="0"/>
              <w:textAlignment w:val="baseline"/>
              <w:rPr>
                <w:rStyle w:val="normaltextrun"/>
                <w:rFonts w:ascii="Segoe UI" w:hAnsi="Segoe UI" w:cs="Segoe UI"/>
                <w:b/>
                <w:i/>
                <w:sz w:val="18"/>
                <w:szCs w:val="18"/>
              </w:rPr>
            </w:pPr>
            <w:r w:rsidRPr="006C07D9">
              <w:rPr>
                <w:rStyle w:val="normaltextrun"/>
                <w:b/>
                <w:i/>
              </w:rPr>
              <w:t>ES fondu apguv</w:t>
            </w:r>
            <w:r w:rsidR="006C07D9" w:rsidRPr="006C07D9">
              <w:rPr>
                <w:rStyle w:val="normaltextrun"/>
                <w:b/>
                <w:i/>
              </w:rPr>
              <w:t>e</w:t>
            </w:r>
            <w:r w:rsidRPr="006C07D9">
              <w:rPr>
                <w:rStyle w:val="normaltextrun"/>
                <w:b/>
                <w:i/>
              </w:rPr>
              <w:t xml:space="preserve"> nākotnē </w:t>
            </w:r>
          </w:p>
          <w:p w14:paraId="31B7F470" w14:textId="4A3760D9" w:rsidR="003E00B0" w:rsidRDefault="00D239F1" w:rsidP="004E68A3">
            <w:pPr>
              <w:pStyle w:val="paragraph"/>
              <w:spacing w:before="120" w:beforeAutospacing="0" w:after="120" w:afterAutospacing="0"/>
              <w:jc w:val="both"/>
              <w:textAlignment w:val="baseline"/>
              <w:rPr>
                <w:rFonts w:cstheme="minorBidi"/>
                <w:szCs w:val="26"/>
                <w:lang w:eastAsia="en-US"/>
              </w:rPr>
            </w:pPr>
            <w:r w:rsidRPr="00D239F1">
              <w:rPr>
                <w:rFonts w:cstheme="minorBidi"/>
                <w:szCs w:val="26"/>
                <w:lang w:eastAsia="en-US"/>
              </w:rPr>
              <w:t xml:space="preserve">Ietekme no </w:t>
            </w:r>
            <w:r>
              <w:rPr>
                <w:rFonts w:cstheme="minorBidi"/>
                <w:szCs w:val="26"/>
                <w:lang w:eastAsia="en-US"/>
              </w:rPr>
              <w:t xml:space="preserve">ES noteikto mērķu nesasniegšanas vērtējama ne tikai soda naudu un tiesvedību kontekstā, bet arī </w:t>
            </w:r>
            <w:r w:rsidR="00514C0B">
              <w:rPr>
                <w:rFonts w:cstheme="minorBidi"/>
                <w:szCs w:val="26"/>
                <w:lang w:eastAsia="en-US"/>
              </w:rPr>
              <w:t xml:space="preserve">no nākamā ES fondu plānošanas perioda </w:t>
            </w:r>
            <w:r w:rsidR="0096448A">
              <w:rPr>
                <w:rFonts w:cstheme="minorBidi"/>
                <w:szCs w:val="26"/>
                <w:lang w:eastAsia="en-US"/>
              </w:rPr>
              <w:t xml:space="preserve">2021. – 2027.gadam </w:t>
            </w:r>
            <w:r w:rsidR="00514C0B">
              <w:rPr>
                <w:rFonts w:cstheme="minorBidi"/>
                <w:szCs w:val="26"/>
                <w:lang w:eastAsia="en-US"/>
              </w:rPr>
              <w:t>nosacījumu skat</w:t>
            </w:r>
            <w:r w:rsidR="0096448A">
              <w:rPr>
                <w:rFonts w:cstheme="minorBidi"/>
                <w:szCs w:val="26"/>
                <w:lang w:eastAsia="en-US"/>
              </w:rPr>
              <w:t>u</w:t>
            </w:r>
            <w:r w:rsidR="00514C0B">
              <w:rPr>
                <w:rFonts w:cstheme="minorBidi"/>
                <w:szCs w:val="26"/>
                <w:lang w:eastAsia="en-US"/>
              </w:rPr>
              <w:t>punkta. L</w:t>
            </w:r>
            <w:r w:rsidR="00514C0B" w:rsidRPr="00514C0B">
              <w:rPr>
                <w:rFonts w:cstheme="minorBidi"/>
                <w:szCs w:val="26"/>
                <w:lang w:eastAsia="en-US"/>
              </w:rPr>
              <w:t>ai nodrošinātu, ka visas</w:t>
            </w:r>
            <w:r w:rsidR="0096448A">
              <w:rPr>
                <w:rFonts w:cstheme="minorBidi"/>
                <w:szCs w:val="26"/>
                <w:lang w:eastAsia="en-US"/>
              </w:rPr>
              <w:t xml:space="preserve"> ES</w:t>
            </w:r>
            <w:r w:rsidR="00514C0B" w:rsidRPr="00514C0B">
              <w:rPr>
                <w:rFonts w:cstheme="minorBidi"/>
                <w:szCs w:val="26"/>
                <w:lang w:eastAsia="en-US"/>
              </w:rPr>
              <w:t xml:space="preserve"> līdzfinansētās darbības atbilst ES politikas sistēmai</w:t>
            </w:r>
            <w:r w:rsidR="00514C0B">
              <w:rPr>
                <w:rFonts w:cstheme="minorBidi"/>
                <w:szCs w:val="26"/>
                <w:lang w:eastAsia="en-US"/>
              </w:rPr>
              <w:t xml:space="preserve">, </w:t>
            </w:r>
            <w:r w:rsidR="00514C0B" w:rsidRPr="0096448A">
              <w:rPr>
                <w:rFonts w:cstheme="minorBidi"/>
                <w:b/>
                <w:szCs w:val="26"/>
                <w:lang w:eastAsia="en-US"/>
              </w:rPr>
              <w:t>paredzēts, ka dalībvalstis ES fondu ietvaros nevarēs deklarēt izdevumus, kas saistīti ar konkrētiem mērķiem, ja iepriekš izvirzītie nosacījumi nav izpildīti</w:t>
            </w:r>
            <w:r w:rsidR="0088578B">
              <w:rPr>
                <w:rStyle w:val="FootnoteReference"/>
                <w:rFonts w:cstheme="minorBidi"/>
                <w:b/>
                <w:szCs w:val="26"/>
                <w:lang w:eastAsia="en-US"/>
              </w:rPr>
              <w:footnoteReference w:id="37"/>
            </w:r>
            <w:r w:rsidR="00514C0B" w:rsidRPr="0096448A">
              <w:rPr>
                <w:rFonts w:cstheme="minorBidi"/>
                <w:b/>
                <w:szCs w:val="26"/>
                <w:lang w:eastAsia="en-US"/>
              </w:rPr>
              <w:t>.</w:t>
            </w:r>
            <w:r w:rsidR="00514C0B">
              <w:rPr>
                <w:rFonts w:cstheme="minorBidi"/>
                <w:szCs w:val="26"/>
                <w:lang w:eastAsia="en-US"/>
              </w:rPr>
              <w:t xml:space="preserve"> </w:t>
            </w:r>
            <w:r w:rsidR="0096448A">
              <w:rPr>
                <w:rFonts w:cstheme="minorBidi"/>
                <w:szCs w:val="26"/>
                <w:lang w:eastAsia="en-US"/>
              </w:rPr>
              <w:t xml:space="preserve">Tā, piemēram, viens no </w:t>
            </w:r>
            <w:r w:rsidR="0096448A" w:rsidRPr="0096448A">
              <w:rPr>
                <w:rFonts w:cstheme="minorBidi"/>
                <w:szCs w:val="26"/>
                <w:lang w:eastAsia="en-US"/>
              </w:rPr>
              <w:t>piemēro</w:t>
            </w:r>
            <w:r w:rsidR="0096448A">
              <w:rPr>
                <w:rFonts w:cstheme="minorBidi"/>
                <w:szCs w:val="26"/>
                <w:lang w:eastAsia="en-US"/>
              </w:rPr>
              <w:t xml:space="preserve">jamajiem tematiskajiem nosacījumiem </w:t>
            </w:r>
            <w:r w:rsidR="0096448A" w:rsidRPr="0096448A">
              <w:rPr>
                <w:rFonts w:cstheme="minorBidi"/>
                <w:szCs w:val="26"/>
                <w:lang w:eastAsia="en-US"/>
              </w:rPr>
              <w:t>E</w:t>
            </w:r>
            <w:r w:rsidR="0096448A">
              <w:rPr>
                <w:rFonts w:cstheme="minorBidi"/>
                <w:szCs w:val="26"/>
                <w:lang w:eastAsia="en-US"/>
              </w:rPr>
              <w:t xml:space="preserve">iropas </w:t>
            </w:r>
            <w:r w:rsidR="0096448A" w:rsidRPr="0096448A">
              <w:rPr>
                <w:rFonts w:cstheme="minorBidi"/>
                <w:szCs w:val="26"/>
                <w:lang w:eastAsia="en-US"/>
              </w:rPr>
              <w:t>R</w:t>
            </w:r>
            <w:r w:rsidR="0096448A">
              <w:rPr>
                <w:rFonts w:cstheme="minorBidi"/>
                <w:szCs w:val="26"/>
                <w:lang w:eastAsia="en-US"/>
              </w:rPr>
              <w:t>eģionālās attīstības fonda, Eiropas Sociālā fonda Plus</w:t>
            </w:r>
            <w:r w:rsidR="0096448A" w:rsidRPr="0096448A">
              <w:rPr>
                <w:rFonts w:cstheme="minorBidi"/>
                <w:szCs w:val="26"/>
                <w:lang w:eastAsia="en-US"/>
              </w:rPr>
              <w:t xml:space="preserve"> un Kohēzijas fonda</w:t>
            </w:r>
            <w:r w:rsidR="0096448A">
              <w:rPr>
                <w:rFonts w:cstheme="minorBidi"/>
                <w:szCs w:val="26"/>
                <w:lang w:eastAsia="en-US"/>
              </w:rPr>
              <w:t xml:space="preserve"> līdzekļu apgūšanai būs pasākumu esamība, kas nodrošina 2020.gada </w:t>
            </w:r>
            <w:r w:rsidR="00AB3011">
              <w:t>atjaunojamās enerģijas</w:t>
            </w:r>
            <w:r w:rsidR="0096448A">
              <w:rPr>
                <w:rFonts w:cstheme="minorBidi"/>
                <w:szCs w:val="26"/>
                <w:lang w:eastAsia="en-US"/>
              </w:rPr>
              <w:t xml:space="preserve"> mērķa sasniegšanu. Šāds kritērijs piemērojams, lai sasniegtu ES politisko mērķi “z</w:t>
            </w:r>
            <w:r w:rsidR="0096448A" w:rsidRPr="0096448A">
              <w:rPr>
                <w:rFonts w:cstheme="minorBidi"/>
                <w:szCs w:val="26"/>
                <w:lang w:eastAsia="en-US"/>
              </w:rPr>
              <w:t>aļāka Eiropa ar zemām oglekļa emisijām, veicinot tīru un taisnīgu enerģētikas pārkārtošanu, “zaļas” un “zilas” investīcijas, aprites ekonomiku, pielāgošanos klimata pārmaiņām un risku novēršanu un pārvaldību</w:t>
            </w:r>
            <w:r w:rsidR="0096448A">
              <w:rPr>
                <w:rFonts w:cstheme="minorBidi"/>
                <w:szCs w:val="26"/>
                <w:lang w:eastAsia="en-US"/>
              </w:rPr>
              <w:t>”.</w:t>
            </w:r>
          </w:p>
          <w:p w14:paraId="498B4377" w14:textId="00D17983" w:rsidR="00E153A8" w:rsidRDefault="00E153A8" w:rsidP="004E68A3">
            <w:pPr>
              <w:pStyle w:val="paragraph"/>
              <w:spacing w:before="120" w:beforeAutospacing="0" w:after="120" w:afterAutospacing="0"/>
              <w:jc w:val="both"/>
              <w:textAlignment w:val="baseline"/>
              <w:rPr>
                <w:rFonts w:cstheme="minorBidi"/>
                <w:szCs w:val="26"/>
                <w:lang w:eastAsia="en-US"/>
              </w:rPr>
            </w:pPr>
            <w:r>
              <w:rPr>
                <w:rFonts w:cstheme="minorBidi"/>
                <w:szCs w:val="26"/>
                <w:lang w:eastAsia="en-US"/>
              </w:rPr>
              <w:t>Īstenojot Likumprojektā ietverto risinājumu, 2020.gada atjaunojamās enerģijas mērķi Latvija nesasniegs,</w:t>
            </w:r>
            <w:r w:rsidR="00902F13">
              <w:rPr>
                <w:rFonts w:cstheme="minorBidi"/>
                <w:szCs w:val="26"/>
                <w:lang w:eastAsia="en-US"/>
              </w:rPr>
              <w:t xml:space="preserve"> ja vien netiks īstenota atjaunojamās enerģijas statistikas pirkšana.</w:t>
            </w:r>
            <w:r>
              <w:rPr>
                <w:rFonts w:cstheme="minorBidi"/>
                <w:szCs w:val="26"/>
                <w:lang w:eastAsia="en-US"/>
              </w:rPr>
              <w:t xml:space="preserve"> </w:t>
            </w:r>
            <w:r w:rsidR="00902F13">
              <w:rPr>
                <w:rFonts w:cstheme="minorBidi"/>
                <w:szCs w:val="26"/>
                <w:lang w:eastAsia="en-US"/>
              </w:rPr>
              <w:t>T</w:t>
            </w:r>
            <w:r>
              <w:rPr>
                <w:rFonts w:cstheme="minorBidi"/>
                <w:szCs w:val="26"/>
                <w:lang w:eastAsia="en-US"/>
              </w:rPr>
              <w:t>ādējādi ES fondu apguve ar enerģētiku saistītiem pasākumiem būs apdraudēta</w:t>
            </w:r>
            <w:r w:rsidR="00902F13">
              <w:rPr>
                <w:rFonts w:cstheme="minorBidi"/>
                <w:szCs w:val="26"/>
                <w:lang w:eastAsia="en-US"/>
              </w:rPr>
              <w:t xml:space="preserve">, kas būs jāņem vērā, izstrādājot </w:t>
            </w:r>
            <w:r w:rsidR="00902F13" w:rsidRPr="00902F13">
              <w:rPr>
                <w:rFonts w:cstheme="minorBidi"/>
                <w:szCs w:val="26"/>
                <w:lang w:eastAsia="en-US"/>
              </w:rPr>
              <w:t>Latvijas Nacionālo enerģētikas un klimata plānu 2021.–2030.gadam</w:t>
            </w:r>
            <w:r w:rsidR="00902F13">
              <w:rPr>
                <w:rFonts w:cstheme="minorBidi"/>
                <w:szCs w:val="26"/>
                <w:lang w:eastAsia="en-US"/>
              </w:rPr>
              <w:t xml:space="preserve">. </w:t>
            </w:r>
          </w:p>
          <w:p w14:paraId="668B6AE7" w14:textId="77777777" w:rsidR="004E68A3" w:rsidRPr="004E68A3" w:rsidRDefault="004E68A3" w:rsidP="004E68A3">
            <w:pPr>
              <w:pStyle w:val="paragraph"/>
              <w:spacing w:before="120" w:beforeAutospacing="0" w:after="120" w:afterAutospacing="0"/>
              <w:jc w:val="both"/>
              <w:textAlignment w:val="baseline"/>
              <w:rPr>
                <w:rStyle w:val="normaltextrun"/>
                <w:rFonts w:cstheme="minorBidi"/>
                <w:szCs w:val="26"/>
                <w:lang w:eastAsia="en-US"/>
              </w:rPr>
            </w:pPr>
          </w:p>
          <w:p w14:paraId="200DA987" w14:textId="35153C52" w:rsidR="00FB70CC" w:rsidRDefault="00FB70CC" w:rsidP="004B2695">
            <w:pPr>
              <w:spacing w:before="120" w:after="120" w:line="240" w:lineRule="auto"/>
              <w:jc w:val="both"/>
              <w:rPr>
                <w:rStyle w:val="normaltextrun"/>
                <w:rFonts w:ascii="Times New Roman" w:eastAsia="Times New Roman" w:hAnsi="Times New Roman" w:cs="Times New Roman"/>
                <w:b/>
                <w:i/>
                <w:sz w:val="24"/>
                <w:szCs w:val="24"/>
                <w:lang w:eastAsia="lv-LV"/>
              </w:rPr>
            </w:pPr>
            <w:r w:rsidRPr="007A6592">
              <w:rPr>
                <w:rStyle w:val="normaltextrun"/>
                <w:rFonts w:ascii="Times New Roman" w:eastAsia="Times New Roman" w:hAnsi="Times New Roman" w:cs="Times New Roman"/>
                <w:b/>
                <w:i/>
                <w:sz w:val="24"/>
                <w:szCs w:val="24"/>
                <w:lang w:eastAsia="lv-LV"/>
              </w:rPr>
              <w:t>3.</w:t>
            </w:r>
            <w:r>
              <w:rPr>
                <w:rStyle w:val="normaltextrun"/>
                <w:rFonts w:ascii="Times New Roman" w:eastAsia="Times New Roman" w:hAnsi="Times New Roman" w:cs="Times New Roman"/>
                <w:b/>
                <w:i/>
                <w:sz w:val="24"/>
                <w:szCs w:val="24"/>
                <w:lang w:eastAsia="lv-LV"/>
              </w:rPr>
              <w:t>7</w:t>
            </w:r>
            <w:r w:rsidRPr="007A6592">
              <w:rPr>
                <w:rStyle w:val="normaltextrun"/>
                <w:rFonts w:ascii="Times New Roman" w:eastAsia="Times New Roman" w:hAnsi="Times New Roman" w:cs="Times New Roman"/>
                <w:b/>
                <w:i/>
                <w:sz w:val="24"/>
                <w:szCs w:val="24"/>
                <w:lang w:eastAsia="lv-LV"/>
              </w:rPr>
              <w:t>. Ietekme uz valsts budžetu</w:t>
            </w:r>
          </w:p>
          <w:p w14:paraId="0AB7D8A1" w14:textId="404B2324" w:rsidR="00C4325B" w:rsidRPr="00C4325B" w:rsidRDefault="00C4325B" w:rsidP="004B2695">
            <w:pPr>
              <w:spacing w:before="120" w:after="120" w:line="240" w:lineRule="auto"/>
              <w:jc w:val="both"/>
              <w:rPr>
                <w:rStyle w:val="normaltextrun"/>
                <w:rFonts w:ascii="Times New Roman" w:eastAsia="Times New Roman" w:hAnsi="Times New Roman" w:cs="Times New Roman"/>
                <w:sz w:val="24"/>
                <w:szCs w:val="24"/>
                <w:lang w:eastAsia="lv-LV"/>
              </w:rPr>
            </w:pPr>
            <w:r w:rsidRPr="00C4325B">
              <w:rPr>
                <w:rStyle w:val="normaltextrun"/>
                <w:rFonts w:ascii="Times New Roman" w:eastAsia="Times New Roman" w:hAnsi="Times New Roman" w:cs="Times New Roman"/>
                <w:sz w:val="24"/>
                <w:szCs w:val="24"/>
                <w:lang w:eastAsia="lv-LV"/>
              </w:rPr>
              <w:t>Skatīt anotācijas III sadaļu.</w:t>
            </w:r>
          </w:p>
          <w:p w14:paraId="122B94AA" w14:textId="063F1226" w:rsidR="00D44016" w:rsidRPr="00AE5009" w:rsidRDefault="009525BD" w:rsidP="00AE5009">
            <w:pPr>
              <w:spacing w:before="120" w:after="120" w:line="240" w:lineRule="auto"/>
              <w:jc w:val="both"/>
              <w:rPr>
                <w:rFonts w:ascii="Times New Roman" w:eastAsia="Times New Roman" w:hAnsi="Times New Roman" w:cs="Times New Roman"/>
                <w:sz w:val="24"/>
                <w:szCs w:val="24"/>
                <w:lang w:eastAsia="lv-LV"/>
              </w:rPr>
            </w:pPr>
            <w:r>
              <w:rPr>
                <w:rStyle w:val="normaltextrun"/>
                <w:rFonts w:ascii="Times New Roman" w:eastAsia="Times New Roman" w:hAnsi="Times New Roman" w:cs="Times New Roman"/>
                <w:sz w:val="24"/>
                <w:szCs w:val="24"/>
                <w:lang w:eastAsia="lv-LV"/>
              </w:rPr>
              <w:t xml:space="preserve"> </w:t>
            </w:r>
          </w:p>
        </w:tc>
      </w:tr>
      <w:tr w:rsidR="00B531F7" w:rsidRPr="00B531F7" w14:paraId="27E79804" w14:textId="77777777" w:rsidTr="00F25F2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236B8C7"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3.</w:t>
            </w:r>
          </w:p>
        </w:tc>
        <w:tc>
          <w:tcPr>
            <w:tcW w:w="866" w:type="pct"/>
            <w:tcBorders>
              <w:top w:val="outset" w:sz="6" w:space="0" w:color="auto"/>
              <w:left w:val="outset" w:sz="6" w:space="0" w:color="auto"/>
              <w:bottom w:val="outset" w:sz="6" w:space="0" w:color="auto"/>
              <w:right w:val="outset" w:sz="6" w:space="0" w:color="auto"/>
            </w:tcBorders>
            <w:hideMark/>
          </w:tcPr>
          <w:p w14:paraId="085B6ACF"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Projekta izstrādē iesaistītās institūcijas un publiskas personas </w:t>
            </w:r>
            <w:r w:rsidRPr="00B531F7">
              <w:rPr>
                <w:rFonts w:ascii="Times New Roman" w:eastAsia="Times New Roman" w:hAnsi="Times New Roman" w:cs="Times New Roman"/>
                <w:iCs/>
                <w:sz w:val="24"/>
                <w:szCs w:val="24"/>
                <w:lang w:eastAsia="lv-LV"/>
              </w:rPr>
              <w:lastRenderedPageBreak/>
              <w:t>kapitālsabiedrības</w:t>
            </w:r>
          </w:p>
        </w:tc>
        <w:tc>
          <w:tcPr>
            <w:tcW w:w="3806" w:type="pct"/>
            <w:tcBorders>
              <w:top w:val="outset" w:sz="6" w:space="0" w:color="auto"/>
              <w:left w:val="outset" w:sz="6" w:space="0" w:color="auto"/>
              <w:bottom w:val="outset" w:sz="6" w:space="0" w:color="auto"/>
              <w:right w:val="outset" w:sz="6" w:space="0" w:color="auto"/>
            </w:tcBorders>
            <w:hideMark/>
          </w:tcPr>
          <w:p w14:paraId="361D49BD" w14:textId="492C6DD2" w:rsidR="00E5323B" w:rsidRDefault="00E222C3"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Likumprojekts šo jomu neskar.</w:t>
            </w:r>
          </w:p>
          <w:p w14:paraId="1CA2AD85" w14:textId="77777777" w:rsidR="00FD7DB5" w:rsidRPr="00B531F7" w:rsidRDefault="00FD7DB5" w:rsidP="004B2695">
            <w:pPr>
              <w:spacing w:before="120" w:after="120" w:line="240" w:lineRule="auto"/>
              <w:rPr>
                <w:rFonts w:ascii="Times New Roman" w:eastAsia="Times New Roman" w:hAnsi="Times New Roman" w:cs="Times New Roman"/>
                <w:iCs/>
                <w:sz w:val="24"/>
                <w:szCs w:val="24"/>
                <w:lang w:eastAsia="lv-LV"/>
              </w:rPr>
            </w:pPr>
          </w:p>
        </w:tc>
      </w:tr>
      <w:tr w:rsidR="00B531F7" w:rsidRPr="00B531F7" w14:paraId="36A23535" w14:textId="77777777" w:rsidTr="00F25F22">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ABF9CFA"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4.</w:t>
            </w:r>
          </w:p>
        </w:tc>
        <w:tc>
          <w:tcPr>
            <w:tcW w:w="866" w:type="pct"/>
            <w:tcBorders>
              <w:top w:val="outset" w:sz="6" w:space="0" w:color="auto"/>
              <w:left w:val="outset" w:sz="6" w:space="0" w:color="auto"/>
              <w:bottom w:val="outset" w:sz="6" w:space="0" w:color="auto"/>
              <w:right w:val="outset" w:sz="6" w:space="0" w:color="auto"/>
            </w:tcBorders>
            <w:hideMark/>
          </w:tcPr>
          <w:p w14:paraId="23F6269F"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Cita informācija</w:t>
            </w:r>
          </w:p>
        </w:tc>
        <w:tc>
          <w:tcPr>
            <w:tcW w:w="3806" w:type="pct"/>
            <w:tcBorders>
              <w:top w:val="outset" w:sz="6" w:space="0" w:color="auto"/>
              <w:left w:val="outset" w:sz="6" w:space="0" w:color="auto"/>
              <w:bottom w:val="outset" w:sz="6" w:space="0" w:color="auto"/>
              <w:right w:val="outset" w:sz="6" w:space="0" w:color="auto"/>
            </w:tcBorders>
            <w:hideMark/>
          </w:tcPr>
          <w:p w14:paraId="353468B8" w14:textId="77BFB5D4" w:rsidR="00E5323B" w:rsidRPr="00B531F7" w:rsidRDefault="001862D6"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w:t>
            </w:r>
            <w:r>
              <w:rPr>
                <w:iCs/>
              </w:rPr>
              <w:t>v.</w:t>
            </w:r>
          </w:p>
        </w:tc>
      </w:tr>
    </w:tbl>
    <w:p w14:paraId="07E00E58"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31F7" w:rsidRPr="00B531F7" w14:paraId="57D42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930283"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31F7" w:rsidRPr="00B531F7" w14:paraId="2AC25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B99E28"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F5135C"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Sabiedrības </w:t>
            </w:r>
            <w:proofErr w:type="spellStart"/>
            <w:r w:rsidRPr="00B531F7">
              <w:rPr>
                <w:rFonts w:ascii="Times New Roman" w:eastAsia="Times New Roman" w:hAnsi="Times New Roman" w:cs="Times New Roman"/>
                <w:iCs/>
                <w:sz w:val="24"/>
                <w:szCs w:val="24"/>
                <w:lang w:eastAsia="lv-LV"/>
              </w:rPr>
              <w:t>mērķgrupas</w:t>
            </w:r>
            <w:proofErr w:type="spellEnd"/>
            <w:r w:rsidRPr="00B531F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6254AE" w14:textId="3DC7B334" w:rsidR="007B1EE6" w:rsidRDefault="007B1EE6" w:rsidP="004B2695">
            <w:pPr>
              <w:spacing w:before="120" w:after="120" w:line="240" w:lineRule="auto"/>
              <w:jc w:val="both"/>
              <w:rPr>
                <w:rFonts w:ascii="Times New Roman" w:eastAsia="Times New Roman" w:hAnsi="Times New Roman" w:cs="Times New Roman"/>
                <w:iCs/>
                <w:sz w:val="24"/>
                <w:szCs w:val="24"/>
                <w:lang w:eastAsia="lv-LV"/>
              </w:rPr>
            </w:pPr>
            <w:r w:rsidRPr="007B1EE6">
              <w:rPr>
                <w:rFonts w:ascii="Times New Roman" w:eastAsia="Times New Roman" w:hAnsi="Times New Roman" w:cs="Times New Roman"/>
                <w:iCs/>
                <w:sz w:val="24"/>
                <w:szCs w:val="24"/>
                <w:lang w:eastAsia="lv-LV"/>
              </w:rPr>
              <w:t xml:space="preserve">Likumprojektā </w:t>
            </w:r>
            <w:r>
              <w:rPr>
                <w:rFonts w:ascii="Times New Roman" w:eastAsia="Times New Roman" w:hAnsi="Times New Roman" w:cs="Times New Roman"/>
                <w:iCs/>
                <w:sz w:val="24"/>
                <w:szCs w:val="24"/>
                <w:lang w:eastAsia="lv-LV"/>
              </w:rPr>
              <w:t>i</w:t>
            </w:r>
            <w:r w:rsidRPr="007B1EE6">
              <w:rPr>
                <w:rFonts w:ascii="Times New Roman" w:eastAsia="Times New Roman" w:hAnsi="Times New Roman" w:cs="Times New Roman"/>
                <w:iCs/>
                <w:sz w:val="24"/>
                <w:szCs w:val="24"/>
                <w:lang w:eastAsia="lv-LV"/>
              </w:rPr>
              <w:t xml:space="preserve">ekļautais tiesiskais regulējums skars </w:t>
            </w:r>
            <w:r w:rsidR="00F84D32">
              <w:rPr>
                <w:rFonts w:ascii="Times New Roman" w:eastAsia="Times New Roman" w:hAnsi="Times New Roman" w:cs="Times New Roman"/>
                <w:iCs/>
                <w:sz w:val="24"/>
                <w:szCs w:val="24"/>
                <w:lang w:eastAsia="lv-LV"/>
              </w:rPr>
              <w:t>komersantu</w:t>
            </w:r>
            <w:r w:rsidR="00195FD1">
              <w:rPr>
                <w:rFonts w:ascii="Times New Roman" w:eastAsia="Times New Roman" w:hAnsi="Times New Roman" w:cs="Times New Roman"/>
                <w:iCs/>
                <w:sz w:val="24"/>
                <w:szCs w:val="24"/>
                <w:lang w:eastAsia="lv-LV"/>
              </w:rPr>
              <w:t>s, kuri saņem valsts atbalstu</w:t>
            </w:r>
            <w:r w:rsidR="00C25951">
              <w:rPr>
                <w:rFonts w:ascii="Times New Roman" w:eastAsia="Times New Roman" w:hAnsi="Times New Roman" w:cs="Times New Roman"/>
                <w:iCs/>
                <w:sz w:val="24"/>
                <w:szCs w:val="24"/>
                <w:lang w:eastAsia="lv-LV"/>
              </w:rPr>
              <w:t xml:space="preserve"> saskaņā ar ETL 28., 28.</w:t>
            </w:r>
            <w:r w:rsidR="00C25951">
              <w:rPr>
                <w:rFonts w:ascii="Times New Roman" w:eastAsia="Times New Roman" w:hAnsi="Times New Roman" w:cs="Times New Roman"/>
                <w:iCs/>
                <w:sz w:val="24"/>
                <w:szCs w:val="24"/>
                <w:vertAlign w:val="superscript"/>
                <w:lang w:eastAsia="lv-LV"/>
              </w:rPr>
              <w:t>1</w:t>
            </w:r>
            <w:r w:rsidR="00C25951">
              <w:rPr>
                <w:rFonts w:ascii="Times New Roman" w:eastAsia="Times New Roman" w:hAnsi="Times New Roman" w:cs="Times New Roman"/>
                <w:iCs/>
                <w:sz w:val="24"/>
                <w:szCs w:val="24"/>
                <w:lang w:eastAsia="lv-LV"/>
              </w:rPr>
              <w:t>, 29. vai 52.pantu.</w:t>
            </w:r>
            <w:r w:rsidR="00874AEC">
              <w:rPr>
                <w:rFonts w:ascii="Times New Roman" w:eastAsia="Times New Roman" w:hAnsi="Times New Roman" w:cs="Times New Roman"/>
                <w:iCs/>
                <w:sz w:val="24"/>
                <w:szCs w:val="24"/>
                <w:lang w:eastAsia="lv-LV"/>
              </w:rPr>
              <w:t xml:space="preserve"> Attiecīgi šiem komersantiem vairs nebūs tiesību uz atbalstu līdz šim ETL nostiprinātā mehānisma ietvaros.</w:t>
            </w:r>
          </w:p>
          <w:p w14:paraId="3132B7A5" w14:textId="3EDD9580" w:rsidR="00E50C1C" w:rsidRDefault="00E50C1C"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Likumprojektā iekļautais risinājums skar </w:t>
            </w:r>
            <w:r w:rsidR="001D1A52">
              <w:rPr>
                <w:rFonts w:ascii="Times New Roman" w:eastAsia="Times New Roman" w:hAnsi="Times New Roman" w:cs="Times New Roman"/>
                <w:iCs/>
                <w:sz w:val="24"/>
                <w:szCs w:val="24"/>
                <w:lang w:eastAsia="lv-LV"/>
              </w:rPr>
              <w:t>elektrostaciju investorus</w:t>
            </w:r>
            <w:r w:rsidR="00EB7AEE">
              <w:rPr>
                <w:rFonts w:ascii="Times New Roman" w:eastAsia="Times New Roman" w:hAnsi="Times New Roman" w:cs="Times New Roman"/>
                <w:iCs/>
                <w:sz w:val="24"/>
                <w:szCs w:val="24"/>
                <w:lang w:eastAsia="lv-LV"/>
              </w:rPr>
              <w:t xml:space="preserve"> un </w:t>
            </w:r>
            <w:r w:rsidR="001D1A52">
              <w:rPr>
                <w:rFonts w:ascii="Times New Roman" w:eastAsia="Times New Roman" w:hAnsi="Times New Roman" w:cs="Times New Roman"/>
                <w:iCs/>
                <w:sz w:val="24"/>
                <w:szCs w:val="24"/>
                <w:lang w:eastAsia="lv-LV"/>
              </w:rPr>
              <w:t xml:space="preserve">kreditorus, kam var būt </w:t>
            </w:r>
            <w:r w:rsidR="003C3309">
              <w:rPr>
                <w:rFonts w:ascii="Times New Roman" w:eastAsia="Times New Roman" w:hAnsi="Times New Roman" w:cs="Times New Roman"/>
                <w:iCs/>
                <w:sz w:val="24"/>
                <w:szCs w:val="24"/>
                <w:lang w:eastAsia="lv-LV"/>
              </w:rPr>
              <w:t>plašāka tālejoša ietekme uz banku nozari.</w:t>
            </w:r>
          </w:p>
          <w:p w14:paraId="018D74B1" w14:textId="0C436B8D" w:rsidR="00487F7F" w:rsidRPr="00B531F7" w:rsidRDefault="00874AEC"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Likumprojektā ietvertais risinājums skar visus elektroenerģijas galalietotājus, kuriem turpmāk nebūs jāmaksā OIK.</w:t>
            </w:r>
          </w:p>
        </w:tc>
      </w:tr>
      <w:tr w:rsidR="00B531F7" w:rsidRPr="00E77F95" w14:paraId="0CA24D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BCD5A"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51E6F2"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EAABE5" w14:textId="422F6D86" w:rsidR="0078121B" w:rsidRPr="0078121B" w:rsidRDefault="0078121B" w:rsidP="0078121B">
            <w:pPr>
              <w:spacing w:before="120" w:after="120" w:line="240" w:lineRule="auto"/>
              <w:jc w:val="both"/>
              <w:rPr>
                <w:rStyle w:val="normaltextrun"/>
                <w:rFonts w:ascii="Times New Roman" w:eastAsia="Times New Roman" w:hAnsi="Times New Roman" w:cs="Times New Roman"/>
                <w:sz w:val="24"/>
                <w:szCs w:val="24"/>
                <w:lang w:eastAsia="lv-LV"/>
              </w:rPr>
            </w:pPr>
            <w:r w:rsidRPr="0078121B">
              <w:rPr>
                <w:rStyle w:val="normaltextrun"/>
                <w:rFonts w:ascii="Times New Roman" w:eastAsia="Times New Roman" w:hAnsi="Times New Roman" w:cs="Times New Roman"/>
                <w:sz w:val="24"/>
                <w:szCs w:val="24"/>
                <w:lang w:eastAsia="lv-LV"/>
              </w:rPr>
              <w:t xml:space="preserve">Īstenojot </w:t>
            </w:r>
            <w:r w:rsidR="00CE3D45">
              <w:rPr>
                <w:rStyle w:val="normaltextrun"/>
                <w:rFonts w:ascii="Times New Roman" w:eastAsia="Times New Roman" w:hAnsi="Times New Roman" w:cs="Times New Roman"/>
                <w:sz w:val="24"/>
                <w:szCs w:val="24"/>
                <w:lang w:eastAsia="lv-LV"/>
              </w:rPr>
              <w:t>L</w:t>
            </w:r>
            <w:r w:rsidRPr="0078121B">
              <w:rPr>
                <w:rStyle w:val="normaltextrun"/>
                <w:rFonts w:ascii="Times New Roman" w:eastAsia="Times New Roman" w:hAnsi="Times New Roman" w:cs="Times New Roman"/>
                <w:sz w:val="24"/>
                <w:szCs w:val="24"/>
                <w:lang w:eastAsia="lv-LV"/>
              </w:rPr>
              <w:t>ikumprojektā ietverto risinājumu, lielākā daļa OI atbalsta saņēmēju kļūtu maksātnespējīgi un darbu zaudētu vismaz 1</w:t>
            </w:r>
            <w:r w:rsidR="006828F6">
              <w:rPr>
                <w:rStyle w:val="normaltextrun"/>
                <w:rFonts w:ascii="Times New Roman" w:eastAsia="Times New Roman" w:hAnsi="Times New Roman" w:cs="Times New Roman"/>
                <w:sz w:val="24"/>
                <w:szCs w:val="24"/>
                <w:lang w:eastAsia="lv-LV"/>
              </w:rPr>
              <w:t>5</w:t>
            </w:r>
            <w:r w:rsidRPr="0078121B">
              <w:rPr>
                <w:rStyle w:val="normaltextrun"/>
                <w:rFonts w:ascii="Times New Roman" w:eastAsia="Times New Roman" w:hAnsi="Times New Roman" w:cs="Times New Roman"/>
                <w:sz w:val="24"/>
                <w:szCs w:val="24"/>
                <w:lang w:eastAsia="lv-LV"/>
              </w:rPr>
              <w:t>00 iedzīvotāju, kas strādā atjaunojamās enerģijas un dabasgāzes elektrostacijās un ar tām saistītajās nozarēs</w:t>
            </w:r>
            <w:r w:rsidR="00240E02">
              <w:rPr>
                <w:rStyle w:val="normaltextrun"/>
                <w:rFonts w:ascii="Times New Roman" w:eastAsia="Times New Roman" w:hAnsi="Times New Roman" w:cs="Times New Roman"/>
                <w:sz w:val="24"/>
                <w:szCs w:val="24"/>
                <w:lang w:eastAsia="lv-LV"/>
              </w:rPr>
              <w:t xml:space="preserve"> un valsts budžetā nenonāktu šo uzņēmumu nodokļu maksājumi, kas 2019.gadā varētu būt </w:t>
            </w:r>
            <w:r w:rsidR="00AC079D">
              <w:rPr>
                <w:rStyle w:val="normaltextrun"/>
                <w:rFonts w:ascii="Times New Roman" w:eastAsia="Times New Roman" w:hAnsi="Times New Roman" w:cs="Times New Roman"/>
                <w:sz w:val="24"/>
                <w:szCs w:val="24"/>
                <w:lang w:eastAsia="lv-LV"/>
              </w:rPr>
              <w:t xml:space="preserve">ap 36,5 milj. </w:t>
            </w:r>
            <w:r w:rsidR="00AC079D" w:rsidRPr="00AC079D">
              <w:rPr>
                <w:rStyle w:val="normaltextrun"/>
                <w:rFonts w:ascii="Times New Roman" w:eastAsia="Times New Roman" w:hAnsi="Times New Roman" w:cs="Times New Roman"/>
                <w:i/>
                <w:sz w:val="24"/>
                <w:szCs w:val="24"/>
                <w:lang w:eastAsia="lv-LV"/>
              </w:rPr>
              <w:t>euro.</w:t>
            </w:r>
          </w:p>
          <w:p w14:paraId="12F4D0A6" w14:textId="77777777" w:rsidR="00FD7DB5" w:rsidRDefault="0078121B" w:rsidP="0078121B">
            <w:pPr>
              <w:spacing w:before="120" w:after="120" w:line="240" w:lineRule="auto"/>
              <w:jc w:val="both"/>
              <w:rPr>
                <w:rStyle w:val="normaltextrun"/>
                <w:rFonts w:ascii="Times New Roman" w:eastAsia="Times New Roman" w:hAnsi="Times New Roman" w:cs="Times New Roman"/>
                <w:sz w:val="24"/>
                <w:szCs w:val="24"/>
                <w:lang w:eastAsia="lv-LV"/>
              </w:rPr>
            </w:pPr>
            <w:r w:rsidRPr="0078121B">
              <w:rPr>
                <w:rStyle w:val="normaltextrun"/>
                <w:rFonts w:ascii="Times New Roman" w:eastAsia="Times New Roman" w:hAnsi="Times New Roman" w:cs="Times New Roman"/>
                <w:sz w:val="24"/>
                <w:szCs w:val="24"/>
                <w:lang w:eastAsia="lv-LV"/>
              </w:rPr>
              <w:t>OIK atcelšanas tiešā ietekmē starppatēriņa izmaksas vidēji tautsaimniecībā saruktu par 0,4%, kā rezultātā uzņēmēju peļņa palielinātos par 0,44%, bet ražotāju cenas saruktu par 0,19%. Lielāks ieguvums būtu apstrādes rūpniecībā, kur OIK izmaksas veido relatīvi lielāku īpatsvaru.</w:t>
            </w:r>
          </w:p>
          <w:p w14:paraId="0C755749" w14:textId="33DAB308" w:rsidR="008B6AA1" w:rsidRPr="00E77F95" w:rsidRDefault="00106C12" w:rsidP="0078121B">
            <w:pPr>
              <w:spacing w:before="120" w:after="120" w:line="240" w:lineRule="auto"/>
              <w:jc w:val="both"/>
              <w:rPr>
                <w:rStyle w:val="normaltextrun"/>
                <w:rFonts w:ascii="Times New Roman" w:eastAsia="Times New Roman" w:hAnsi="Times New Roman" w:cs="Times New Roman"/>
                <w:sz w:val="24"/>
                <w:szCs w:val="24"/>
                <w:lang w:eastAsia="lv-LV"/>
              </w:rPr>
            </w:pPr>
            <w:r w:rsidRPr="00E77F95">
              <w:rPr>
                <w:rStyle w:val="normaltextrun"/>
                <w:rFonts w:ascii="Times New Roman" w:eastAsia="Times New Roman" w:hAnsi="Times New Roman" w:cs="Times New Roman"/>
                <w:sz w:val="24"/>
                <w:szCs w:val="24"/>
                <w:lang w:eastAsia="lv-LV"/>
              </w:rPr>
              <w:t xml:space="preserve">Atceļot OIK maksājumu, </w:t>
            </w:r>
            <w:r w:rsidR="00E77F95">
              <w:rPr>
                <w:rStyle w:val="normaltextrun"/>
                <w:rFonts w:ascii="Times New Roman" w:eastAsia="Times New Roman" w:hAnsi="Times New Roman" w:cs="Times New Roman"/>
                <w:sz w:val="24"/>
                <w:szCs w:val="24"/>
                <w:lang w:eastAsia="lv-LV"/>
              </w:rPr>
              <w:t xml:space="preserve">mājsaimniecībām </w:t>
            </w:r>
            <w:r w:rsidRPr="00E77F95">
              <w:rPr>
                <w:rStyle w:val="normaltextrun"/>
                <w:rFonts w:ascii="Times New Roman" w:eastAsia="Times New Roman" w:hAnsi="Times New Roman" w:cs="Times New Roman"/>
                <w:sz w:val="24"/>
                <w:szCs w:val="24"/>
                <w:lang w:eastAsia="lv-LV"/>
              </w:rPr>
              <w:t>rēķini par elektroenerģiju caurmērā saruktu par 15% un mājsaimniecību rīcībā patēriņam papildus citām vajadzībām paliktu 40,1 milj. EUR.</w:t>
            </w:r>
          </w:p>
        </w:tc>
      </w:tr>
      <w:tr w:rsidR="00B531F7" w:rsidRPr="00B531F7" w14:paraId="5B3DF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825559"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111AFD"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E0BBC7" w14:textId="77777777" w:rsidR="00C43548" w:rsidRDefault="00BC79E3" w:rsidP="00567868">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Likumprojektā ietvertais risinājums</w:t>
            </w:r>
            <w:r w:rsidR="008B6AA1">
              <w:rPr>
                <w:rFonts w:ascii="Times New Roman" w:eastAsia="Times New Roman" w:hAnsi="Times New Roman" w:cs="Times New Roman"/>
                <w:iCs/>
                <w:sz w:val="24"/>
                <w:szCs w:val="24"/>
                <w:lang w:eastAsia="lv-LV"/>
              </w:rPr>
              <w:t xml:space="preserve"> tiešā veidā</w:t>
            </w:r>
            <w:r>
              <w:rPr>
                <w:rFonts w:ascii="Times New Roman" w:eastAsia="Times New Roman" w:hAnsi="Times New Roman" w:cs="Times New Roman"/>
                <w:iCs/>
                <w:sz w:val="24"/>
                <w:szCs w:val="24"/>
                <w:lang w:eastAsia="lv-LV"/>
              </w:rPr>
              <w:t xml:space="preserve"> nerada papildu administratīvās izmaksas fiziskām personām, juridiskām personām vai valsts pārvaldes ins</w:t>
            </w:r>
            <w:r w:rsidR="003F3450">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tūcijām.</w:t>
            </w:r>
          </w:p>
          <w:p w14:paraId="7EC4B418" w14:textId="3FD4B7CE" w:rsidR="008B6AA1" w:rsidRPr="003F3450" w:rsidRDefault="008B6AA1" w:rsidP="00567868">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Komersantiem izvēloties uzsākt tiesvedības pret Latvijas valsti par Likumprojektā ietvertā risinājuma </w:t>
            </w:r>
            <w:r>
              <w:rPr>
                <w:rFonts w:ascii="Times New Roman" w:eastAsia="Times New Roman" w:hAnsi="Times New Roman" w:cs="Times New Roman"/>
                <w:iCs/>
                <w:sz w:val="24"/>
                <w:szCs w:val="24"/>
                <w:lang w:eastAsia="lv-LV"/>
              </w:rPr>
              <w:lastRenderedPageBreak/>
              <w:t xml:space="preserve">īstenošanu, valsts pārvaldei radīsies papildu izmaksas juridiskās aizstāvības nodrošināšanai. </w:t>
            </w:r>
          </w:p>
        </w:tc>
      </w:tr>
      <w:tr w:rsidR="00B531F7" w:rsidRPr="00B531F7" w14:paraId="73025C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A3D08"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204475A"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46F3C3" w14:textId="7EBB6CA9" w:rsidR="00C43548" w:rsidRPr="007A6E45" w:rsidRDefault="0001084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Atbilstības prasības </w:t>
            </w:r>
            <w:r w:rsidR="00580B49">
              <w:rPr>
                <w:rFonts w:ascii="Times New Roman" w:eastAsia="Times New Roman" w:hAnsi="Times New Roman" w:cs="Times New Roman"/>
                <w:iCs/>
                <w:sz w:val="24"/>
                <w:szCs w:val="24"/>
                <w:lang w:eastAsia="lv-LV"/>
              </w:rPr>
              <w:t xml:space="preserve">ar Likumprojektu </w:t>
            </w:r>
            <w:r>
              <w:rPr>
                <w:rFonts w:ascii="Times New Roman" w:eastAsia="Times New Roman" w:hAnsi="Times New Roman" w:cs="Times New Roman"/>
                <w:iCs/>
                <w:sz w:val="24"/>
                <w:szCs w:val="24"/>
                <w:lang w:eastAsia="lv-LV"/>
              </w:rPr>
              <w:t>noteiktas tikai komersantiem, kuru elektrostacijām</w:t>
            </w:r>
            <w:r w:rsidR="00580B49">
              <w:rPr>
                <w:rFonts w:ascii="Times New Roman" w:eastAsia="Times New Roman" w:hAnsi="Times New Roman" w:cs="Times New Roman"/>
                <w:iCs/>
                <w:sz w:val="24"/>
                <w:szCs w:val="24"/>
                <w:lang w:eastAsia="lv-LV"/>
              </w:rPr>
              <w:t xml:space="preserve"> noteikts pienākumus turpināt darbību pēc OI mehānisma atcelšanas. Šādas elektrostacijas ir AS “Latvenergo” TEC-1 un TEC-2 elektrostacijas un attiecīgi AS “Latvenergo” papildu izmaksas šādas prasības nodrošināšanai būs līdzšinēj</w:t>
            </w:r>
            <w:r w:rsidR="007A6E45">
              <w:rPr>
                <w:rFonts w:ascii="Times New Roman" w:eastAsia="Times New Roman" w:hAnsi="Times New Roman" w:cs="Times New Roman"/>
                <w:iCs/>
                <w:sz w:val="24"/>
                <w:szCs w:val="24"/>
                <w:lang w:eastAsia="lv-LV"/>
              </w:rPr>
              <w:t>i plānotā</w:t>
            </w:r>
            <w:r w:rsidR="00580B49">
              <w:rPr>
                <w:rFonts w:ascii="Times New Roman" w:eastAsia="Times New Roman" w:hAnsi="Times New Roman" w:cs="Times New Roman"/>
                <w:iCs/>
                <w:sz w:val="24"/>
                <w:szCs w:val="24"/>
                <w:lang w:eastAsia="lv-LV"/>
              </w:rPr>
              <w:t xml:space="preserve"> atbalsta apmērā</w:t>
            </w:r>
            <w:r w:rsidR="007A6E45">
              <w:rPr>
                <w:rFonts w:ascii="Times New Roman" w:eastAsia="Times New Roman" w:hAnsi="Times New Roman" w:cs="Times New Roman"/>
                <w:iCs/>
                <w:sz w:val="24"/>
                <w:szCs w:val="24"/>
                <w:lang w:eastAsia="lv-LV"/>
              </w:rPr>
              <w:t xml:space="preserve"> līdz atbalsta perioda beigām</w:t>
            </w:r>
            <w:r w:rsidR="00580B49">
              <w:rPr>
                <w:rFonts w:ascii="Times New Roman" w:eastAsia="Times New Roman" w:hAnsi="Times New Roman" w:cs="Times New Roman"/>
                <w:iCs/>
                <w:sz w:val="24"/>
                <w:szCs w:val="24"/>
                <w:lang w:eastAsia="lv-LV"/>
              </w:rPr>
              <w:t>, t.i.</w:t>
            </w:r>
            <w:r w:rsidR="007A6E45">
              <w:rPr>
                <w:rFonts w:ascii="Times New Roman" w:eastAsia="Times New Roman" w:hAnsi="Times New Roman" w:cs="Times New Roman"/>
                <w:iCs/>
                <w:sz w:val="24"/>
                <w:szCs w:val="24"/>
                <w:lang w:eastAsia="lv-LV"/>
              </w:rPr>
              <w:t xml:space="preserve"> 5,8 milj. </w:t>
            </w:r>
            <w:r w:rsidR="007A6E45" w:rsidRPr="007A6E45">
              <w:rPr>
                <w:rFonts w:ascii="Times New Roman" w:eastAsia="Times New Roman" w:hAnsi="Times New Roman" w:cs="Times New Roman"/>
                <w:i/>
                <w:iCs/>
                <w:sz w:val="24"/>
                <w:szCs w:val="24"/>
                <w:lang w:eastAsia="lv-LV"/>
              </w:rPr>
              <w:t>euro</w:t>
            </w:r>
            <w:r w:rsidR="007A6E45">
              <w:rPr>
                <w:rFonts w:ascii="Times New Roman" w:eastAsia="Times New Roman" w:hAnsi="Times New Roman" w:cs="Times New Roman"/>
                <w:iCs/>
                <w:sz w:val="24"/>
                <w:szCs w:val="24"/>
                <w:lang w:eastAsia="lv-LV"/>
              </w:rPr>
              <w:t xml:space="preserve"> TEC-1 gadījumā un 201</w:t>
            </w:r>
            <w:r w:rsidR="00A11655">
              <w:rPr>
                <w:rFonts w:ascii="Times New Roman" w:eastAsia="Times New Roman" w:hAnsi="Times New Roman" w:cs="Times New Roman"/>
                <w:iCs/>
                <w:sz w:val="24"/>
                <w:szCs w:val="24"/>
                <w:lang w:eastAsia="lv-LV"/>
              </w:rPr>
              <w:t>,</w:t>
            </w:r>
            <w:r w:rsidR="007A6E45">
              <w:rPr>
                <w:rFonts w:ascii="Times New Roman" w:eastAsia="Times New Roman" w:hAnsi="Times New Roman" w:cs="Times New Roman"/>
                <w:iCs/>
                <w:sz w:val="24"/>
                <w:szCs w:val="24"/>
                <w:lang w:eastAsia="lv-LV"/>
              </w:rPr>
              <w:t xml:space="preserve">8 </w:t>
            </w:r>
            <w:proofErr w:type="spellStart"/>
            <w:r w:rsidR="007A6E45">
              <w:rPr>
                <w:rFonts w:ascii="Times New Roman" w:eastAsia="Times New Roman" w:hAnsi="Times New Roman" w:cs="Times New Roman"/>
                <w:iCs/>
                <w:sz w:val="24"/>
                <w:szCs w:val="24"/>
                <w:lang w:eastAsia="lv-LV"/>
              </w:rPr>
              <w:t>milj.</w:t>
            </w:r>
            <w:r w:rsidR="007A6E45" w:rsidRPr="007A6E45">
              <w:rPr>
                <w:rFonts w:ascii="Times New Roman" w:eastAsia="Times New Roman" w:hAnsi="Times New Roman" w:cs="Times New Roman"/>
                <w:i/>
                <w:iCs/>
                <w:sz w:val="24"/>
                <w:szCs w:val="24"/>
                <w:lang w:eastAsia="lv-LV"/>
              </w:rPr>
              <w:t>euro</w:t>
            </w:r>
            <w:proofErr w:type="spellEnd"/>
            <w:r w:rsidR="007A6E45">
              <w:rPr>
                <w:rFonts w:ascii="Times New Roman" w:eastAsia="Times New Roman" w:hAnsi="Times New Roman" w:cs="Times New Roman"/>
                <w:iCs/>
                <w:sz w:val="24"/>
                <w:szCs w:val="24"/>
                <w:lang w:eastAsia="lv-LV"/>
              </w:rPr>
              <w:t xml:space="preserve"> TEC-2 gadījumā</w:t>
            </w:r>
            <w:r w:rsidR="00E222C3">
              <w:rPr>
                <w:rFonts w:ascii="Times New Roman" w:eastAsia="Times New Roman" w:hAnsi="Times New Roman" w:cs="Times New Roman"/>
                <w:iCs/>
                <w:sz w:val="24"/>
                <w:szCs w:val="24"/>
                <w:lang w:eastAsia="lv-LV"/>
              </w:rPr>
              <w:t xml:space="preserve">. </w:t>
            </w:r>
          </w:p>
        </w:tc>
      </w:tr>
      <w:tr w:rsidR="00B531F7" w:rsidRPr="00B531F7" w14:paraId="6A77D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AFF474"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541CBE6"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381485" w14:textId="35D80F86" w:rsidR="00E5323B" w:rsidRPr="00B531F7" w:rsidRDefault="00324468"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36FBD2A"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  </w:t>
      </w:r>
    </w:p>
    <w:tbl>
      <w:tblPr>
        <w:tblW w:w="539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26"/>
        <w:gridCol w:w="77"/>
        <w:gridCol w:w="1056"/>
        <w:gridCol w:w="30"/>
        <w:gridCol w:w="1248"/>
        <w:gridCol w:w="1134"/>
        <w:gridCol w:w="1134"/>
        <w:gridCol w:w="850"/>
        <w:gridCol w:w="992"/>
        <w:gridCol w:w="1125"/>
      </w:tblGrid>
      <w:tr w:rsidR="003B39CC" w:rsidRPr="00B531F7" w14:paraId="2C7BBD29" w14:textId="77777777" w:rsidTr="003B39CC">
        <w:trPr>
          <w:tblCellSpacing w:w="15" w:type="dxa"/>
          <w:jc w:val="center"/>
        </w:trPr>
        <w:tc>
          <w:tcPr>
            <w:tcW w:w="9712" w:type="dxa"/>
            <w:gridSpan w:val="10"/>
            <w:tcBorders>
              <w:top w:val="outset" w:sz="6" w:space="0" w:color="auto"/>
              <w:left w:val="outset" w:sz="6" w:space="0" w:color="auto"/>
              <w:bottom w:val="outset" w:sz="6" w:space="0" w:color="auto"/>
              <w:right w:val="outset" w:sz="6" w:space="0" w:color="auto"/>
            </w:tcBorders>
            <w:vAlign w:val="center"/>
            <w:hideMark/>
          </w:tcPr>
          <w:p w14:paraId="7A2E0908" w14:textId="77777777" w:rsidR="003B39CC" w:rsidRDefault="003B39CC" w:rsidP="003B39CC">
            <w:pPr>
              <w:spacing w:before="120" w:after="120" w:line="240" w:lineRule="auto"/>
              <w:rPr>
                <w:rFonts w:ascii="Times New Roman" w:eastAsia="Times New Roman" w:hAnsi="Times New Roman" w:cs="Times New Roman"/>
                <w:b/>
                <w:bCs/>
                <w:iCs/>
                <w:sz w:val="24"/>
                <w:szCs w:val="24"/>
                <w:lang w:eastAsia="lv-LV"/>
              </w:rPr>
            </w:pPr>
            <w:r w:rsidRPr="003B39CC">
              <w:rPr>
                <w:rFonts w:ascii="Times New Roman" w:eastAsia="Times New Roman" w:hAnsi="Times New Roman" w:cs="Times New Roman"/>
                <w:b/>
                <w:bCs/>
                <w:iCs/>
                <w:sz w:val="24"/>
                <w:szCs w:val="24"/>
                <w:lang w:eastAsia="lv-LV"/>
              </w:rPr>
              <w:t>III. Tiesību akta projekta ietekme uz valsts budžetu un pašvaldību budžetiem</w:t>
            </w:r>
            <w:r w:rsidRPr="003B39CC">
              <w:rPr>
                <w:rStyle w:val="FootnoteReference"/>
                <w:rFonts w:ascii="Times New Roman" w:eastAsia="Times New Roman" w:hAnsi="Times New Roman" w:cs="Times New Roman"/>
                <w:b/>
                <w:bCs/>
                <w:iCs/>
                <w:sz w:val="24"/>
                <w:szCs w:val="24"/>
                <w:lang w:eastAsia="lv-LV"/>
              </w:rPr>
              <w:footnoteReference w:id="38"/>
            </w:r>
          </w:p>
          <w:p w14:paraId="531D776F" w14:textId="77777777" w:rsidR="003B39CC" w:rsidRPr="00586A31" w:rsidRDefault="003B39CC" w:rsidP="003B39CC">
            <w:pPr>
              <w:spacing w:before="120" w:after="120" w:line="240" w:lineRule="auto"/>
              <w:rPr>
                <w:rFonts w:ascii="Times New Roman" w:eastAsia="Times New Roman" w:hAnsi="Times New Roman" w:cs="Times New Roman"/>
                <w:b/>
                <w:bCs/>
                <w:i/>
                <w:iCs/>
                <w:sz w:val="24"/>
                <w:szCs w:val="24"/>
                <w:lang w:eastAsia="lv-LV"/>
              </w:rPr>
            </w:pPr>
          </w:p>
        </w:tc>
      </w:tr>
      <w:tr w:rsidR="003B39CC" w:rsidRPr="00B531F7" w14:paraId="348A0B82" w14:textId="77777777" w:rsidTr="003B39CC">
        <w:trPr>
          <w:tblCellSpacing w:w="15" w:type="dxa"/>
          <w:jc w:val="center"/>
        </w:trPr>
        <w:tc>
          <w:tcPr>
            <w:tcW w:w="2081" w:type="dxa"/>
            <w:vMerge w:val="restart"/>
            <w:tcBorders>
              <w:top w:val="outset" w:sz="6" w:space="0" w:color="auto"/>
              <w:left w:val="outset" w:sz="6" w:space="0" w:color="auto"/>
              <w:bottom w:val="outset" w:sz="6" w:space="0" w:color="auto"/>
              <w:right w:val="outset" w:sz="6" w:space="0" w:color="auto"/>
            </w:tcBorders>
            <w:vAlign w:val="center"/>
            <w:hideMark/>
          </w:tcPr>
          <w:p w14:paraId="22148D96"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Rādītāji</w:t>
            </w:r>
          </w:p>
        </w:tc>
        <w:tc>
          <w:tcPr>
            <w:tcW w:w="2381" w:type="dxa"/>
            <w:gridSpan w:val="4"/>
            <w:vMerge w:val="restart"/>
            <w:tcBorders>
              <w:top w:val="outset" w:sz="6" w:space="0" w:color="auto"/>
              <w:left w:val="outset" w:sz="6" w:space="0" w:color="auto"/>
              <w:bottom w:val="outset" w:sz="6" w:space="0" w:color="auto"/>
              <w:right w:val="outset" w:sz="6" w:space="0" w:color="auto"/>
            </w:tcBorders>
            <w:vAlign w:val="center"/>
            <w:hideMark/>
          </w:tcPr>
          <w:p w14:paraId="0988761B"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w:t>
            </w:r>
          </w:p>
        </w:tc>
        <w:tc>
          <w:tcPr>
            <w:tcW w:w="5190" w:type="dxa"/>
            <w:gridSpan w:val="5"/>
            <w:tcBorders>
              <w:top w:val="outset" w:sz="6" w:space="0" w:color="auto"/>
              <w:left w:val="outset" w:sz="6" w:space="0" w:color="auto"/>
              <w:bottom w:val="outset" w:sz="6" w:space="0" w:color="auto"/>
              <w:right w:val="outset" w:sz="6" w:space="0" w:color="auto"/>
            </w:tcBorders>
            <w:vAlign w:val="center"/>
            <w:hideMark/>
          </w:tcPr>
          <w:p w14:paraId="5327AFA4"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Turpmākie trīs gadi (</w:t>
            </w:r>
            <w:r w:rsidRPr="00B531F7">
              <w:rPr>
                <w:rFonts w:ascii="Times New Roman" w:eastAsia="Times New Roman" w:hAnsi="Times New Roman" w:cs="Times New Roman"/>
                <w:i/>
                <w:iCs/>
                <w:sz w:val="24"/>
                <w:szCs w:val="24"/>
                <w:lang w:eastAsia="lv-LV"/>
              </w:rPr>
              <w:t>euro</w:t>
            </w:r>
            <w:r w:rsidRPr="00B531F7">
              <w:rPr>
                <w:rFonts w:ascii="Times New Roman" w:eastAsia="Times New Roman" w:hAnsi="Times New Roman" w:cs="Times New Roman"/>
                <w:iCs/>
                <w:sz w:val="24"/>
                <w:szCs w:val="24"/>
                <w:lang w:eastAsia="lv-LV"/>
              </w:rPr>
              <w:t>)</w:t>
            </w:r>
          </w:p>
        </w:tc>
      </w:tr>
      <w:tr w:rsidR="003B39CC" w:rsidRPr="00B531F7" w14:paraId="113CF96E" w14:textId="77777777" w:rsidTr="003B39CC">
        <w:trPr>
          <w:tblCellSpacing w:w="15" w:type="dxa"/>
          <w:jc w:val="center"/>
        </w:trPr>
        <w:tc>
          <w:tcPr>
            <w:tcW w:w="2081" w:type="dxa"/>
            <w:vMerge/>
            <w:tcBorders>
              <w:top w:val="outset" w:sz="6" w:space="0" w:color="auto"/>
              <w:left w:val="outset" w:sz="6" w:space="0" w:color="auto"/>
              <w:bottom w:val="outset" w:sz="6" w:space="0" w:color="auto"/>
              <w:right w:val="outset" w:sz="6" w:space="0" w:color="auto"/>
            </w:tcBorders>
            <w:vAlign w:val="center"/>
            <w:hideMark/>
          </w:tcPr>
          <w:p w14:paraId="2EE84767"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p>
        </w:tc>
        <w:tc>
          <w:tcPr>
            <w:tcW w:w="2381" w:type="dxa"/>
            <w:gridSpan w:val="4"/>
            <w:vMerge/>
            <w:tcBorders>
              <w:top w:val="outset" w:sz="6" w:space="0" w:color="auto"/>
              <w:left w:val="outset" w:sz="6" w:space="0" w:color="auto"/>
              <w:bottom w:val="outset" w:sz="6" w:space="0" w:color="auto"/>
              <w:right w:val="outset" w:sz="6" w:space="0" w:color="auto"/>
            </w:tcBorders>
            <w:vAlign w:val="center"/>
            <w:hideMark/>
          </w:tcPr>
          <w:p w14:paraId="200817B5"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18233B2"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2B0635AB"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8459A4B"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2022.g.</w:t>
            </w:r>
          </w:p>
        </w:tc>
      </w:tr>
      <w:tr w:rsidR="003B39CC" w:rsidRPr="00B531F7" w14:paraId="2A50E50F" w14:textId="77777777" w:rsidTr="003B39CC">
        <w:trPr>
          <w:tblCellSpacing w:w="15" w:type="dxa"/>
          <w:jc w:val="center"/>
        </w:trPr>
        <w:tc>
          <w:tcPr>
            <w:tcW w:w="2081" w:type="dxa"/>
            <w:vMerge/>
            <w:tcBorders>
              <w:top w:val="outset" w:sz="6" w:space="0" w:color="auto"/>
              <w:left w:val="outset" w:sz="6" w:space="0" w:color="auto"/>
              <w:bottom w:val="outset" w:sz="6" w:space="0" w:color="auto"/>
              <w:right w:val="outset" w:sz="6" w:space="0" w:color="auto"/>
            </w:tcBorders>
            <w:vAlign w:val="center"/>
            <w:hideMark/>
          </w:tcPr>
          <w:p w14:paraId="6B399DB1"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p>
        </w:tc>
        <w:tc>
          <w:tcPr>
            <w:tcW w:w="1103" w:type="dxa"/>
            <w:gridSpan w:val="2"/>
            <w:tcBorders>
              <w:top w:val="outset" w:sz="6" w:space="0" w:color="auto"/>
              <w:left w:val="outset" w:sz="6" w:space="0" w:color="auto"/>
              <w:bottom w:val="outset" w:sz="6" w:space="0" w:color="auto"/>
              <w:right w:val="outset" w:sz="6" w:space="0" w:color="auto"/>
            </w:tcBorders>
            <w:vAlign w:val="center"/>
            <w:hideMark/>
          </w:tcPr>
          <w:p w14:paraId="1C637A00"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saskaņā ar valsts budžetu kārtējam gadam</w:t>
            </w: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14:paraId="2F4C1EA7"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40BF8B"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00E6ED"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izmaiņas, salīdzinot ar vidēja termiņa budžeta ietvaru n+1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A7EB1D"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62F38948"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izmaiņas, salīdzinot ar vidēja termiņa budžeta ietvaru n+2 gadam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3E66F84"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izmaiņas, salīdzinot ar vidēja termiņa budžeta ietvaru n+2 gadam</w:t>
            </w:r>
          </w:p>
        </w:tc>
      </w:tr>
      <w:tr w:rsidR="003B39CC" w:rsidRPr="00B531F7" w14:paraId="755261AC"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vAlign w:val="center"/>
            <w:hideMark/>
          </w:tcPr>
          <w:p w14:paraId="7C703C93"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1103" w:type="dxa"/>
            <w:gridSpan w:val="2"/>
            <w:tcBorders>
              <w:top w:val="outset" w:sz="6" w:space="0" w:color="auto"/>
              <w:left w:val="outset" w:sz="6" w:space="0" w:color="auto"/>
              <w:bottom w:val="outset" w:sz="6" w:space="0" w:color="auto"/>
              <w:right w:val="outset" w:sz="6" w:space="0" w:color="auto"/>
            </w:tcBorders>
            <w:vAlign w:val="center"/>
            <w:hideMark/>
          </w:tcPr>
          <w:p w14:paraId="78D0C238"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14:paraId="7BB7D10E"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DC09E2"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74106B"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00A6D99A"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F69ED2"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F37A8C4"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8</w:t>
            </w:r>
          </w:p>
        </w:tc>
      </w:tr>
      <w:tr w:rsidR="003B39CC" w:rsidRPr="00B531F7" w14:paraId="1C4D2B25"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7479EC62"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 Budžeta ieņēmumi</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046E50D5" w14:textId="77777777" w:rsidR="003B39CC" w:rsidRPr="00297569" w:rsidRDefault="003B39CC" w:rsidP="003B39CC">
            <w:pPr>
              <w:spacing w:before="120" w:after="120" w:line="240" w:lineRule="auto"/>
              <w:rPr>
                <w:rFonts w:ascii="Calibri" w:hAnsi="Calibri"/>
                <w:color w:val="000000"/>
              </w:rPr>
            </w:pPr>
            <w:r>
              <w:rPr>
                <w:rFonts w:ascii="Times New Roman" w:eastAsia="Times New Roman" w:hAnsi="Times New Roman" w:cs="Times New Roman"/>
                <w:iCs/>
                <w:sz w:val="20"/>
                <w:szCs w:val="20"/>
                <w:lang w:eastAsia="lv-LV"/>
              </w:rPr>
              <w:t>217840994</w:t>
            </w:r>
          </w:p>
        </w:tc>
        <w:tc>
          <w:tcPr>
            <w:tcW w:w="1218" w:type="dxa"/>
            <w:tcBorders>
              <w:top w:val="outset" w:sz="6" w:space="0" w:color="auto"/>
              <w:left w:val="outset" w:sz="6" w:space="0" w:color="auto"/>
              <w:bottom w:val="outset" w:sz="6" w:space="0" w:color="auto"/>
              <w:right w:val="outset" w:sz="6" w:space="0" w:color="auto"/>
            </w:tcBorders>
            <w:vAlign w:val="center"/>
            <w:hideMark/>
          </w:tcPr>
          <w:p w14:paraId="171FBE25"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1676BC">
              <w:rPr>
                <w:rFonts w:ascii="Times New Roman" w:eastAsia="Times New Roman" w:hAnsi="Times New Roman" w:cs="Times New Roman"/>
                <w:iCs/>
                <w:sz w:val="20"/>
                <w:szCs w:val="20"/>
                <w:lang w:eastAsia="lv-LV"/>
              </w:rPr>
              <w:t>-</w:t>
            </w:r>
            <w:r w:rsidRPr="002802E7">
              <w:rPr>
                <w:rFonts w:ascii="Times New Roman" w:eastAsia="Times New Roman" w:hAnsi="Times New Roman" w:cs="Times New Roman"/>
                <w:iCs/>
                <w:sz w:val="20"/>
                <w:szCs w:val="20"/>
                <w:lang w:eastAsia="lv-LV"/>
              </w:rPr>
              <w:t>18281548</w:t>
            </w:r>
            <w:r>
              <w:rPr>
                <w:rFonts w:ascii="Times New Roman" w:eastAsia="Times New Roman" w:hAnsi="Times New Roman" w:cs="Times New Roman"/>
                <w:iCs/>
                <w:sz w:val="20"/>
                <w:szCs w:val="20"/>
                <w:lang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CE3ED9" w14:textId="77777777" w:rsidR="003B39CC" w:rsidRPr="000A7132" w:rsidRDefault="003B39CC" w:rsidP="003B39CC">
            <w:pPr>
              <w:spacing w:before="120" w:after="120" w:line="240" w:lineRule="auto"/>
              <w:rPr>
                <w:rFonts w:ascii="Calibri" w:hAnsi="Calibri"/>
                <w:color w:val="000000"/>
              </w:rPr>
            </w:pPr>
            <w:r w:rsidRPr="000A7132">
              <w:rPr>
                <w:rFonts w:ascii="Times New Roman" w:eastAsia="Times New Roman" w:hAnsi="Times New Roman" w:cs="Times New Roman"/>
                <w:iCs/>
                <w:sz w:val="20"/>
                <w:szCs w:val="20"/>
                <w:lang w:eastAsia="lv-LV"/>
              </w:rPr>
              <w:t>2</w:t>
            </w:r>
            <w:r>
              <w:rPr>
                <w:rFonts w:ascii="Times New Roman" w:eastAsia="Times New Roman" w:hAnsi="Times New Roman" w:cs="Times New Roman"/>
                <w:iCs/>
                <w:sz w:val="20"/>
                <w:szCs w:val="20"/>
                <w:lang w:eastAsia="lv-LV"/>
              </w:rPr>
              <w:t>30</w:t>
            </w:r>
            <w:r w:rsidRPr="000A7132">
              <w:rPr>
                <w:rFonts w:ascii="Times New Roman" w:eastAsia="Times New Roman" w:hAnsi="Times New Roman" w:cs="Times New Roman"/>
                <w:iCs/>
                <w:sz w:val="20"/>
                <w:szCs w:val="20"/>
                <w:lang w:eastAsia="lv-LV"/>
              </w:rPr>
              <w:t>276835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4DE784" w14:textId="77777777" w:rsidR="003B39CC" w:rsidRPr="006F4A6E" w:rsidRDefault="003B39CC" w:rsidP="003B39CC">
            <w:pPr>
              <w:spacing w:before="120" w:after="120" w:line="240" w:lineRule="auto"/>
              <w:rPr>
                <w:rFonts w:ascii="Times New Roman" w:eastAsia="Times New Roman" w:hAnsi="Times New Roman" w:cs="Times New Roman"/>
                <w:iCs/>
                <w:sz w:val="20"/>
                <w:szCs w:val="20"/>
                <w:highlight w:val="yellow"/>
                <w:lang w:eastAsia="lv-LV"/>
              </w:rPr>
            </w:pPr>
            <w:r w:rsidRPr="00045FD4">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8</w:t>
            </w:r>
            <w:r w:rsidRPr="00045FD4">
              <w:rPr>
                <w:rFonts w:ascii="Times New Roman" w:eastAsia="Times New Roman" w:hAnsi="Times New Roman" w:cs="Times New Roman"/>
                <w:iCs/>
                <w:sz w:val="20"/>
                <w:szCs w:val="20"/>
                <w:lang w:eastAsia="lv-LV"/>
              </w:rPr>
              <w:t>5005</w:t>
            </w:r>
            <w:r>
              <w:rPr>
                <w:rFonts w:ascii="Times New Roman" w:eastAsia="Times New Roman" w:hAnsi="Times New Roman" w:cs="Times New Roman"/>
                <w:iCs/>
                <w:sz w:val="20"/>
                <w:szCs w:val="20"/>
                <w:lang w:eastAsia="lv-LV"/>
              </w:rPr>
              <w:t>420</w:t>
            </w:r>
          </w:p>
        </w:tc>
        <w:tc>
          <w:tcPr>
            <w:tcW w:w="820" w:type="dxa"/>
            <w:tcBorders>
              <w:top w:val="outset" w:sz="6" w:space="0" w:color="auto"/>
              <w:left w:val="outset" w:sz="6" w:space="0" w:color="auto"/>
              <w:bottom w:val="outset" w:sz="6" w:space="0" w:color="auto"/>
              <w:right w:val="outset" w:sz="6" w:space="0" w:color="auto"/>
            </w:tcBorders>
            <w:hideMark/>
          </w:tcPr>
          <w:p w14:paraId="0DB7A73F"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5997CBC4"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2F70FAAA"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1DC54060"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577CE6AF"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6DAAA2E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w:t>
            </w:r>
            <w:r w:rsidRPr="0079689C">
              <w:rPr>
                <w:rFonts w:ascii="Times New Roman" w:eastAsia="Times New Roman" w:hAnsi="Times New Roman" w:cs="Times New Roman"/>
                <w:iCs/>
                <w:sz w:val="20"/>
                <w:szCs w:val="20"/>
                <w:lang w:eastAsia="lv-LV"/>
              </w:rPr>
              <w:t>3460</w:t>
            </w:r>
            <w:r>
              <w:rPr>
                <w:rFonts w:ascii="Times New Roman" w:eastAsia="Times New Roman" w:hAnsi="Times New Roman" w:cs="Times New Roman"/>
                <w:iCs/>
                <w:sz w:val="20"/>
                <w:szCs w:val="20"/>
                <w:lang w:eastAsia="lv-LV"/>
              </w:rPr>
              <w:t>117</w:t>
            </w:r>
          </w:p>
        </w:tc>
        <w:tc>
          <w:tcPr>
            <w:tcW w:w="1218" w:type="dxa"/>
            <w:tcBorders>
              <w:top w:val="outset" w:sz="6" w:space="0" w:color="auto"/>
              <w:left w:val="outset" w:sz="6" w:space="0" w:color="auto"/>
              <w:bottom w:val="outset" w:sz="6" w:space="0" w:color="auto"/>
              <w:right w:val="outset" w:sz="6" w:space="0" w:color="auto"/>
            </w:tcBorders>
            <w:vAlign w:val="center"/>
            <w:hideMark/>
          </w:tcPr>
          <w:p w14:paraId="4638AE98"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1676BC">
              <w:rPr>
                <w:rFonts w:ascii="Times New Roman" w:eastAsia="Times New Roman" w:hAnsi="Times New Roman" w:cs="Times New Roman"/>
                <w:iCs/>
                <w:sz w:val="20"/>
                <w:szCs w:val="20"/>
                <w:lang w:eastAsia="lv-LV"/>
              </w:rPr>
              <w:t>-</w:t>
            </w:r>
            <w:r w:rsidRPr="002802E7">
              <w:rPr>
                <w:rFonts w:ascii="Times New Roman" w:eastAsia="Times New Roman" w:hAnsi="Times New Roman" w:cs="Times New Roman"/>
                <w:iCs/>
                <w:sz w:val="20"/>
                <w:szCs w:val="20"/>
                <w:lang w:eastAsia="lv-LV"/>
              </w:rPr>
              <w:t>171</w:t>
            </w:r>
            <w:r>
              <w:rPr>
                <w:rFonts w:ascii="Times New Roman" w:eastAsia="Times New Roman" w:hAnsi="Times New Roman" w:cs="Times New Roman"/>
                <w:iCs/>
                <w:sz w:val="20"/>
                <w:szCs w:val="20"/>
                <w:lang w:eastAsia="lv-LV"/>
              </w:rPr>
              <w:t>08891</w:t>
            </w:r>
            <w:r w:rsidRPr="002802E7">
              <w:rPr>
                <w:rFonts w:ascii="Times New Roman" w:eastAsia="Times New Roman" w:hAnsi="Times New Roman" w:cs="Times New Roman"/>
                <w:iCs/>
                <w:sz w:val="20"/>
                <w:szCs w:val="20"/>
                <w:lang w:eastAsia="lv-LV"/>
              </w:rPr>
              <w:t>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8ED111" w14:textId="77777777" w:rsidR="003B39CC" w:rsidRPr="000A7132" w:rsidRDefault="003B39CC" w:rsidP="003B39CC">
            <w:pPr>
              <w:spacing w:before="120" w:after="12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19</w:t>
            </w:r>
            <w:r w:rsidRPr="000A7132">
              <w:rPr>
                <w:rFonts w:ascii="Times New Roman" w:eastAsia="Times New Roman" w:hAnsi="Times New Roman" w:cs="Times New Roman"/>
                <w:iCs/>
                <w:sz w:val="20"/>
                <w:szCs w:val="20"/>
                <w:lang w:eastAsia="lv-LV"/>
              </w:rPr>
              <w:t>7769000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F73678" w14:textId="77777777" w:rsidR="003B39CC" w:rsidRPr="006F4A6E" w:rsidRDefault="003B39CC" w:rsidP="003B39CC">
            <w:pPr>
              <w:spacing w:before="120" w:after="120" w:line="240" w:lineRule="auto"/>
              <w:rPr>
                <w:rFonts w:ascii="Times New Roman" w:eastAsia="Times New Roman" w:hAnsi="Times New Roman" w:cs="Times New Roman"/>
                <w:iCs/>
                <w:sz w:val="20"/>
                <w:szCs w:val="20"/>
                <w:highlight w:val="yellow"/>
                <w:lang w:eastAsia="lv-LV"/>
              </w:rPr>
            </w:pPr>
            <w:r w:rsidRPr="00045FD4">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69370003</w:t>
            </w:r>
          </w:p>
        </w:tc>
        <w:tc>
          <w:tcPr>
            <w:tcW w:w="820" w:type="dxa"/>
            <w:tcBorders>
              <w:top w:val="outset" w:sz="6" w:space="0" w:color="auto"/>
              <w:left w:val="outset" w:sz="6" w:space="0" w:color="auto"/>
              <w:bottom w:val="outset" w:sz="6" w:space="0" w:color="auto"/>
              <w:right w:val="outset" w:sz="6" w:space="0" w:color="auto"/>
            </w:tcBorders>
            <w:vAlign w:val="center"/>
            <w:hideMark/>
          </w:tcPr>
          <w:p w14:paraId="02F16367"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17F16AD"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959D6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0918409B"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33436B2A"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1.2. valsts speciālais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3C72F077" w14:textId="77777777" w:rsidR="003B39CC" w:rsidRPr="006957D6" w:rsidRDefault="003B39CC" w:rsidP="003B39CC">
            <w:pP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15962249</w:t>
            </w:r>
          </w:p>
        </w:tc>
        <w:tc>
          <w:tcPr>
            <w:tcW w:w="1218" w:type="dxa"/>
            <w:tcBorders>
              <w:top w:val="outset" w:sz="6" w:space="0" w:color="auto"/>
              <w:left w:val="outset" w:sz="6" w:space="0" w:color="auto"/>
              <w:bottom w:val="outset" w:sz="6" w:space="0" w:color="auto"/>
              <w:right w:val="outset" w:sz="6" w:space="0" w:color="auto"/>
            </w:tcBorders>
            <w:vAlign w:val="center"/>
            <w:hideMark/>
          </w:tcPr>
          <w:p w14:paraId="207FE6A4" w14:textId="77777777" w:rsidR="003B39CC" w:rsidRPr="006957D6" w:rsidRDefault="003B39CC" w:rsidP="003B39CC">
            <w:pPr>
              <w:rPr>
                <w:rFonts w:ascii="Times New Roman" w:eastAsia="Times New Roman" w:hAnsi="Times New Roman" w:cs="Times New Roman"/>
                <w:iCs/>
                <w:sz w:val="20"/>
                <w:szCs w:val="20"/>
                <w:lang w:eastAsia="lv-LV"/>
              </w:rPr>
            </w:pPr>
            <w:r w:rsidRPr="006957D6">
              <w:rPr>
                <w:rFonts w:ascii="Times New Roman" w:eastAsia="Times New Roman" w:hAnsi="Times New Roman" w:cs="Times New Roman"/>
                <w:iCs/>
                <w:sz w:val="20"/>
                <w:szCs w:val="20"/>
                <w:lang w:eastAsia="lv-LV"/>
              </w:rPr>
              <w:t>-7690271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5BFDA26" w14:textId="77777777" w:rsidR="003B39CC" w:rsidRPr="000A7132" w:rsidRDefault="003B39CC" w:rsidP="003B39CC">
            <w:pPr>
              <w:spacing w:before="120" w:after="120" w:line="240" w:lineRule="auto"/>
              <w:rPr>
                <w:rFonts w:ascii="Times New Roman" w:eastAsia="Times New Roman" w:hAnsi="Times New Roman" w:cs="Times New Roman"/>
                <w:iCs/>
                <w:sz w:val="20"/>
                <w:szCs w:val="20"/>
                <w:lang w:eastAsia="lv-LV"/>
              </w:rPr>
            </w:pPr>
            <w:r w:rsidRPr="000A7132">
              <w:rPr>
                <w:rFonts w:ascii="Times New Roman" w:hAnsi="Times New Roman" w:cs="Times New Roman"/>
                <w:color w:val="000000"/>
                <w:sz w:val="20"/>
                <w:szCs w:val="20"/>
              </w:rPr>
              <w:t>21282998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20C2F8" w14:textId="085BDA58" w:rsidR="003B39CC" w:rsidRPr="000A7132" w:rsidRDefault="003B39CC" w:rsidP="003B39CC">
            <w:pPr>
              <w:rPr>
                <w:rFonts w:ascii="Times New Roman" w:hAnsi="Times New Roman" w:cs="Times New Roman"/>
                <w:color w:val="000000"/>
                <w:sz w:val="20"/>
                <w:szCs w:val="20"/>
              </w:rPr>
            </w:pPr>
            <w:r w:rsidRPr="000A7132">
              <w:rPr>
                <w:rFonts w:ascii="Times New Roman" w:hAnsi="Times New Roman" w:cs="Times New Roman"/>
                <w:color w:val="000000"/>
                <w:sz w:val="20"/>
                <w:szCs w:val="20"/>
              </w:rPr>
              <w:t>-10253695</w:t>
            </w:r>
          </w:p>
        </w:tc>
        <w:tc>
          <w:tcPr>
            <w:tcW w:w="820" w:type="dxa"/>
            <w:tcBorders>
              <w:top w:val="outset" w:sz="6" w:space="0" w:color="auto"/>
              <w:left w:val="outset" w:sz="6" w:space="0" w:color="auto"/>
              <w:bottom w:val="outset" w:sz="6" w:space="0" w:color="auto"/>
              <w:right w:val="outset" w:sz="6" w:space="0" w:color="auto"/>
            </w:tcBorders>
            <w:vAlign w:val="center"/>
            <w:hideMark/>
          </w:tcPr>
          <w:p w14:paraId="5FE44B6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2EA2A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C23163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493EFC07"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0273411F"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1.3. pašvaldību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1A95E854" w14:textId="77777777" w:rsidR="003B39CC" w:rsidRPr="006957D6" w:rsidRDefault="003B39CC" w:rsidP="003B39CC">
            <w:pPr>
              <w:rPr>
                <w:rFonts w:ascii="Times New Roman" w:eastAsia="Times New Roman" w:hAnsi="Times New Roman" w:cs="Times New Roman"/>
                <w:iCs/>
                <w:sz w:val="20"/>
                <w:szCs w:val="20"/>
                <w:highlight w:val="yellow"/>
                <w:lang w:eastAsia="lv-LV"/>
              </w:rPr>
            </w:pPr>
            <w:r w:rsidRPr="008F6142">
              <w:rPr>
                <w:rFonts w:ascii="Times New Roman" w:eastAsia="Times New Roman" w:hAnsi="Times New Roman" w:cs="Times New Roman"/>
                <w:iCs/>
                <w:sz w:val="20"/>
                <w:szCs w:val="20"/>
                <w:lang w:eastAsia="lv-LV"/>
              </w:rPr>
              <w:t>8418628</w:t>
            </w:r>
          </w:p>
        </w:tc>
        <w:tc>
          <w:tcPr>
            <w:tcW w:w="1218" w:type="dxa"/>
            <w:tcBorders>
              <w:top w:val="outset" w:sz="6" w:space="0" w:color="auto"/>
              <w:left w:val="outset" w:sz="6" w:space="0" w:color="auto"/>
              <w:bottom w:val="outset" w:sz="6" w:space="0" w:color="auto"/>
              <w:right w:val="outset" w:sz="6" w:space="0" w:color="auto"/>
            </w:tcBorders>
            <w:vAlign w:val="center"/>
            <w:hideMark/>
          </w:tcPr>
          <w:p w14:paraId="03FE9C7D" w14:textId="77777777" w:rsidR="003B39CC" w:rsidRPr="0079689C" w:rsidRDefault="003B39CC" w:rsidP="003B39CC">
            <w:pPr>
              <w:rPr>
                <w:rFonts w:ascii="Times New Roman" w:eastAsia="Times New Roman" w:hAnsi="Times New Roman" w:cs="Times New Roman"/>
                <w:iCs/>
                <w:sz w:val="20"/>
                <w:szCs w:val="20"/>
                <w:highlight w:val="yellow"/>
                <w:lang w:eastAsia="lv-LV"/>
              </w:rPr>
            </w:pPr>
            <w:r w:rsidRPr="001676BC">
              <w:rPr>
                <w:rFonts w:ascii="Times New Roman" w:eastAsia="Times New Roman" w:hAnsi="Times New Roman" w:cs="Times New Roman"/>
                <w:iCs/>
                <w:sz w:val="20"/>
                <w:szCs w:val="20"/>
                <w:lang w:eastAsia="lv-LV"/>
              </w:rPr>
              <w:t>-4036291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C613D7" w14:textId="77777777" w:rsidR="003B39CC" w:rsidRPr="000A7132" w:rsidRDefault="003B39CC" w:rsidP="003B39CC">
            <w:pPr>
              <w:rPr>
                <w:rFonts w:ascii="Times New Roman" w:hAnsi="Times New Roman" w:cs="Times New Roman"/>
                <w:color w:val="000000"/>
                <w:sz w:val="20"/>
                <w:szCs w:val="20"/>
              </w:rPr>
            </w:pPr>
            <w:r w:rsidRPr="000A7132">
              <w:rPr>
                <w:rFonts w:ascii="Times New Roman" w:hAnsi="Times New Roman" w:cs="Times New Roman"/>
                <w:color w:val="000000"/>
                <w:sz w:val="20"/>
                <w:szCs w:val="20"/>
              </w:rPr>
              <w:t>11224837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F4144C" w14:textId="77777777" w:rsidR="003B39CC" w:rsidRPr="000A7132" w:rsidRDefault="003B39CC" w:rsidP="003B39CC">
            <w:pPr>
              <w:rPr>
                <w:rFonts w:ascii="Times New Roman" w:eastAsia="Times New Roman" w:hAnsi="Times New Roman" w:cs="Times New Roman"/>
                <w:iCs/>
                <w:sz w:val="20"/>
                <w:szCs w:val="20"/>
                <w:lang w:eastAsia="lv-LV"/>
              </w:rPr>
            </w:pPr>
            <w:r w:rsidRPr="000A7132">
              <w:rPr>
                <w:rFonts w:ascii="Times New Roman" w:hAnsi="Times New Roman" w:cs="Times New Roman"/>
                <w:color w:val="000000"/>
                <w:sz w:val="20"/>
                <w:szCs w:val="20"/>
              </w:rPr>
              <w:t>-5381722</w:t>
            </w:r>
          </w:p>
        </w:tc>
        <w:tc>
          <w:tcPr>
            <w:tcW w:w="820" w:type="dxa"/>
            <w:tcBorders>
              <w:top w:val="outset" w:sz="6" w:space="0" w:color="auto"/>
              <w:left w:val="outset" w:sz="6" w:space="0" w:color="auto"/>
              <w:bottom w:val="outset" w:sz="6" w:space="0" w:color="auto"/>
              <w:right w:val="outset" w:sz="6" w:space="0" w:color="auto"/>
            </w:tcBorders>
            <w:vAlign w:val="center"/>
            <w:hideMark/>
          </w:tcPr>
          <w:p w14:paraId="14BB5E63"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20A6F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6B28256"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348400D4"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105769C5"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 Budžeta izdevumi</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04815A26" w14:textId="77777777" w:rsidR="003B39CC" w:rsidRPr="00CF5227" w:rsidRDefault="003B39CC" w:rsidP="003B39CC">
            <w:pPr>
              <w:spacing w:before="120" w:after="120" w:line="240" w:lineRule="auto"/>
              <w:rPr>
                <w:rFonts w:ascii="Calibri" w:hAnsi="Calibri"/>
                <w:color w:val="000000"/>
              </w:rPr>
            </w:pPr>
            <w:r>
              <w:rPr>
                <w:rFonts w:ascii="Times New Roman" w:eastAsia="Times New Roman" w:hAnsi="Times New Roman" w:cs="Times New Roman"/>
                <w:iCs/>
                <w:sz w:val="20"/>
                <w:szCs w:val="20"/>
                <w:lang w:eastAsia="lv-LV"/>
              </w:rPr>
              <w:t>187840994</w:t>
            </w:r>
          </w:p>
        </w:tc>
        <w:tc>
          <w:tcPr>
            <w:tcW w:w="1218" w:type="dxa"/>
            <w:tcBorders>
              <w:top w:val="outset" w:sz="6" w:space="0" w:color="auto"/>
              <w:left w:val="outset" w:sz="6" w:space="0" w:color="auto"/>
              <w:bottom w:val="outset" w:sz="6" w:space="0" w:color="auto"/>
              <w:right w:val="outset" w:sz="6" w:space="0" w:color="auto"/>
            </w:tcBorders>
            <w:vAlign w:val="center"/>
            <w:hideMark/>
          </w:tcPr>
          <w:p w14:paraId="716C2464"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37813">
              <w:rPr>
                <w:rFonts w:ascii="Times New Roman" w:eastAsia="Times New Roman" w:hAnsi="Times New Roman" w:cs="Times New Roman"/>
                <w:iCs/>
                <w:sz w:val="20"/>
                <w:szCs w:val="20"/>
                <w:lang w:eastAsia="lv-LV"/>
              </w:rPr>
              <w:t>-9120295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BD0032" w14:textId="77777777" w:rsidR="003B39CC" w:rsidRPr="00CF5227" w:rsidRDefault="003B39CC" w:rsidP="003B39CC">
            <w:pPr>
              <w:spacing w:before="120" w:after="120" w:line="240" w:lineRule="auto"/>
              <w:rPr>
                <w:rFonts w:ascii="Calibri" w:hAnsi="Calibri"/>
                <w:color w:val="000000"/>
              </w:rPr>
            </w:pPr>
            <w:r w:rsidRPr="00CF5227">
              <w:rPr>
                <w:rFonts w:ascii="Times New Roman" w:eastAsia="Times New Roman" w:hAnsi="Times New Roman" w:cs="Times New Roman"/>
                <w:iCs/>
                <w:sz w:val="20"/>
                <w:szCs w:val="20"/>
                <w:lang w:eastAsia="lv-LV"/>
              </w:rPr>
              <w:t>200276835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BD5F58"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9021B1">
              <w:rPr>
                <w:rFonts w:ascii="Times New Roman" w:eastAsia="Times New Roman" w:hAnsi="Times New Roman" w:cs="Times New Roman"/>
                <w:iCs/>
                <w:sz w:val="20"/>
                <w:szCs w:val="20"/>
                <w:lang w:eastAsia="lv-LV"/>
              </w:rPr>
              <w:t>-12349333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0FFA35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2AEBF1"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BAA6F7D"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00CAB7DD"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47208681"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2.1. valsts pamatbudžets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45D4D343"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163460</w:t>
            </w:r>
            <w:r>
              <w:rPr>
                <w:rFonts w:ascii="Times New Roman" w:eastAsia="Times New Roman" w:hAnsi="Times New Roman" w:cs="Times New Roman"/>
                <w:iCs/>
                <w:sz w:val="20"/>
                <w:szCs w:val="20"/>
                <w:lang w:eastAsia="lv-LV"/>
              </w:rPr>
              <w:t>117</w:t>
            </w:r>
          </w:p>
        </w:tc>
        <w:tc>
          <w:tcPr>
            <w:tcW w:w="1218" w:type="dxa"/>
            <w:tcBorders>
              <w:top w:val="outset" w:sz="6" w:space="0" w:color="auto"/>
              <w:left w:val="outset" w:sz="6" w:space="0" w:color="auto"/>
              <w:bottom w:val="outset" w:sz="6" w:space="0" w:color="auto"/>
              <w:right w:val="outset" w:sz="6" w:space="0" w:color="auto"/>
            </w:tcBorders>
            <w:vAlign w:val="center"/>
            <w:hideMark/>
          </w:tcPr>
          <w:p w14:paraId="10B9875C" w14:textId="3172C153"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737813">
              <w:rPr>
                <w:rFonts w:ascii="Times New Roman" w:eastAsia="Times New Roman" w:hAnsi="Times New Roman" w:cs="Times New Roman"/>
                <w:iCs/>
                <w:sz w:val="20"/>
                <w:szCs w:val="20"/>
                <w:lang w:eastAsia="lv-LV"/>
              </w:rPr>
              <w:t>9120295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8A9BFB"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167769000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8EB191"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9021B1">
              <w:rPr>
                <w:rFonts w:ascii="Times New Roman" w:eastAsia="Times New Roman" w:hAnsi="Times New Roman" w:cs="Times New Roman"/>
                <w:iCs/>
                <w:sz w:val="20"/>
                <w:szCs w:val="20"/>
                <w:lang w:eastAsia="lv-LV"/>
              </w:rPr>
              <w:t>-12349333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53EE928"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83896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63C425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728FD68A"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7BFC573F"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2.2. valsts speciālais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1AAC146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15962249</w:t>
            </w:r>
          </w:p>
        </w:tc>
        <w:tc>
          <w:tcPr>
            <w:tcW w:w="1218" w:type="dxa"/>
            <w:tcBorders>
              <w:top w:val="outset" w:sz="6" w:space="0" w:color="auto"/>
              <w:left w:val="outset" w:sz="6" w:space="0" w:color="auto"/>
              <w:bottom w:val="outset" w:sz="6" w:space="0" w:color="auto"/>
              <w:right w:val="outset" w:sz="6" w:space="0" w:color="auto"/>
            </w:tcBorders>
            <w:vAlign w:val="center"/>
            <w:hideMark/>
          </w:tcPr>
          <w:p w14:paraId="5697BD36"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429BE2" w14:textId="77777777" w:rsidR="003B39CC" w:rsidRPr="0040483E" w:rsidRDefault="003B39CC" w:rsidP="003B39CC">
            <w:pPr>
              <w:rPr>
                <w:rFonts w:ascii="Times New Roman" w:hAnsi="Times New Roman" w:cs="Times New Roman"/>
                <w:color w:val="000000"/>
                <w:sz w:val="20"/>
                <w:szCs w:val="20"/>
              </w:rPr>
            </w:pPr>
            <w:r w:rsidRPr="0079689C">
              <w:rPr>
                <w:rFonts w:ascii="Times New Roman" w:hAnsi="Times New Roman" w:cs="Times New Roman"/>
                <w:color w:val="000000"/>
                <w:sz w:val="20"/>
                <w:szCs w:val="20"/>
              </w:rPr>
              <w:t>21282998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62E9B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AD0FA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73E9BBD"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7E9773B"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53790B07"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1326709C"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2.3. pašvaldību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44BAC98B"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8F6142">
              <w:rPr>
                <w:rFonts w:ascii="Times New Roman" w:eastAsia="Times New Roman" w:hAnsi="Times New Roman" w:cs="Times New Roman"/>
                <w:iCs/>
                <w:sz w:val="20"/>
                <w:szCs w:val="20"/>
                <w:lang w:eastAsia="lv-LV"/>
              </w:rPr>
              <w:t>8418628</w:t>
            </w:r>
          </w:p>
        </w:tc>
        <w:tc>
          <w:tcPr>
            <w:tcW w:w="1218" w:type="dxa"/>
            <w:tcBorders>
              <w:top w:val="outset" w:sz="6" w:space="0" w:color="auto"/>
              <w:left w:val="outset" w:sz="6" w:space="0" w:color="auto"/>
              <w:bottom w:val="outset" w:sz="6" w:space="0" w:color="auto"/>
              <w:right w:val="outset" w:sz="6" w:space="0" w:color="auto"/>
            </w:tcBorders>
            <w:vAlign w:val="center"/>
            <w:hideMark/>
          </w:tcPr>
          <w:p w14:paraId="4CD2AE2A"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7064D6"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hAnsi="Times New Roman" w:cs="Times New Roman"/>
                <w:color w:val="000000"/>
                <w:sz w:val="20"/>
                <w:szCs w:val="20"/>
              </w:rPr>
              <w:t>11224837</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D94EF0"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6B64E4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E64585"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F05FAF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6A74A0C2"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65A8E1C9"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 Finansiālā ietekme</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1AEAB87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218" w:type="dxa"/>
            <w:tcBorders>
              <w:top w:val="outset" w:sz="6" w:space="0" w:color="auto"/>
              <w:left w:val="outset" w:sz="6" w:space="0" w:color="auto"/>
              <w:bottom w:val="outset" w:sz="6" w:space="0" w:color="auto"/>
              <w:right w:val="outset" w:sz="6" w:space="0" w:color="auto"/>
            </w:tcBorders>
            <w:vAlign w:val="center"/>
            <w:hideMark/>
          </w:tcPr>
          <w:p w14:paraId="39B42611"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-173</w:t>
            </w:r>
            <w:r>
              <w:rPr>
                <w:rFonts w:ascii="Times New Roman" w:eastAsia="Times New Roman" w:hAnsi="Times New Roman" w:cs="Times New Roman"/>
                <w:iCs/>
                <w:sz w:val="20"/>
                <w:szCs w:val="20"/>
                <w:lang w:eastAsia="lv-LV"/>
              </w:rPr>
              <w:t>695186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253CC8"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999FF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-7265608</w:t>
            </w:r>
            <w:r>
              <w:rPr>
                <w:rFonts w:ascii="Times New Roman" w:eastAsia="Times New Roman" w:hAnsi="Times New Roman" w:cs="Times New Roman"/>
                <w:iCs/>
                <w:sz w:val="20"/>
                <w:szCs w:val="20"/>
                <w:lang w:eastAsia="lv-LV"/>
              </w:rPr>
              <w:t>7</w:t>
            </w:r>
          </w:p>
        </w:tc>
        <w:tc>
          <w:tcPr>
            <w:tcW w:w="820" w:type="dxa"/>
            <w:tcBorders>
              <w:top w:val="outset" w:sz="6" w:space="0" w:color="auto"/>
              <w:left w:val="outset" w:sz="6" w:space="0" w:color="auto"/>
              <w:bottom w:val="outset" w:sz="6" w:space="0" w:color="auto"/>
              <w:right w:val="outset" w:sz="6" w:space="0" w:color="auto"/>
            </w:tcBorders>
            <w:vAlign w:val="center"/>
            <w:hideMark/>
          </w:tcPr>
          <w:p w14:paraId="3A9BBD3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03B70768"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1FA3D023"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r>
      <w:tr w:rsidR="003B39CC" w:rsidRPr="00B531F7" w14:paraId="291080FA"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17482EB6"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3.1. valsts pamatbudžets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4734B5BD"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218" w:type="dxa"/>
            <w:tcBorders>
              <w:top w:val="outset" w:sz="6" w:space="0" w:color="auto"/>
              <w:left w:val="outset" w:sz="6" w:space="0" w:color="auto"/>
              <w:bottom w:val="outset" w:sz="6" w:space="0" w:color="auto"/>
              <w:right w:val="outset" w:sz="6" w:space="0" w:color="auto"/>
            </w:tcBorders>
            <w:vAlign w:val="center"/>
            <w:hideMark/>
          </w:tcPr>
          <w:p w14:paraId="4C2CE14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-16196862</w:t>
            </w:r>
            <w:r>
              <w:rPr>
                <w:rFonts w:ascii="Times New Roman" w:eastAsia="Times New Roman" w:hAnsi="Times New Roman" w:cs="Times New Roman"/>
                <w:iCs/>
                <w:sz w:val="20"/>
                <w:szCs w:val="20"/>
                <w:lang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CB8E40"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1D1A3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-57</w:t>
            </w:r>
            <w:r>
              <w:rPr>
                <w:rFonts w:ascii="Times New Roman" w:eastAsia="Times New Roman" w:hAnsi="Times New Roman" w:cs="Times New Roman"/>
                <w:iCs/>
                <w:sz w:val="20"/>
                <w:szCs w:val="20"/>
                <w:lang w:eastAsia="lv-LV"/>
              </w:rPr>
              <w:t>020</w:t>
            </w:r>
            <w:r w:rsidRPr="00182BA1">
              <w:rPr>
                <w:rFonts w:ascii="Times New Roman" w:eastAsia="Times New Roman" w:hAnsi="Times New Roman" w:cs="Times New Roman"/>
                <w:iCs/>
                <w:sz w:val="20"/>
                <w:szCs w:val="20"/>
                <w:lang w:eastAsia="lv-LV"/>
              </w:rPr>
              <w:t>6</w:t>
            </w:r>
            <w:r>
              <w:rPr>
                <w:rFonts w:ascii="Times New Roman" w:eastAsia="Times New Roman" w:hAnsi="Times New Roman" w:cs="Times New Roman"/>
                <w:iCs/>
                <w:sz w:val="20"/>
                <w:szCs w:val="20"/>
                <w:lang w:eastAsia="lv-LV"/>
              </w:rPr>
              <w:t>70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382CE34"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1C2D52C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11CE0E8A"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r>
      <w:tr w:rsidR="003B39CC" w:rsidRPr="00B531F7" w14:paraId="03E1E1D6"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7930BD2D"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3.2. speciālais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5DD656B1"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218" w:type="dxa"/>
            <w:tcBorders>
              <w:top w:val="outset" w:sz="6" w:space="0" w:color="auto"/>
              <w:left w:val="outset" w:sz="6" w:space="0" w:color="auto"/>
              <w:bottom w:val="outset" w:sz="6" w:space="0" w:color="auto"/>
              <w:right w:val="outset" w:sz="6" w:space="0" w:color="auto"/>
            </w:tcBorders>
            <w:vAlign w:val="center"/>
            <w:hideMark/>
          </w:tcPr>
          <w:p w14:paraId="02C89B26"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6957D6">
              <w:rPr>
                <w:rFonts w:ascii="Times New Roman" w:eastAsia="Times New Roman" w:hAnsi="Times New Roman" w:cs="Times New Roman"/>
                <w:iCs/>
                <w:sz w:val="20"/>
                <w:szCs w:val="20"/>
                <w:lang w:eastAsia="lv-LV"/>
              </w:rPr>
              <w:t>-7690271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F4A1E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F4BF85"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0A7132">
              <w:rPr>
                <w:rFonts w:ascii="Times New Roman" w:hAnsi="Times New Roman" w:cs="Times New Roman"/>
                <w:color w:val="000000"/>
                <w:sz w:val="20"/>
                <w:szCs w:val="20"/>
              </w:rPr>
              <w:t>-10253695</w:t>
            </w:r>
          </w:p>
        </w:tc>
        <w:tc>
          <w:tcPr>
            <w:tcW w:w="820" w:type="dxa"/>
            <w:tcBorders>
              <w:top w:val="outset" w:sz="6" w:space="0" w:color="auto"/>
              <w:left w:val="outset" w:sz="6" w:space="0" w:color="auto"/>
              <w:bottom w:val="outset" w:sz="6" w:space="0" w:color="auto"/>
              <w:right w:val="outset" w:sz="6" w:space="0" w:color="auto"/>
            </w:tcBorders>
            <w:vAlign w:val="center"/>
            <w:hideMark/>
          </w:tcPr>
          <w:p w14:paraId="23640133"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4E8EB7A0"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5427548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r>
      <w:tr w:rsidR="003B39CC" w:rsidRPr="00B531F7" w14:paraId="7C832DE0"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0BA183B8"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3.3. pašvaldību budžets</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4E46ED6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218" w:type="dxa"/>
            <w:tcBorders>
              <w:top w:val="outset" w:sz="6" w:space="0" w:color="auto"/>
              <w:left w:val="outset" w:sz="6" w:space="0" w:color="auto"/>
              <w:bottom w:val="outset" w:sz="6" w:space="0" w:color="auto"/>
              <w:right w:val="outset" w:sz="6" w:space="0" w:color="auto"/>
            </w:tcBorders>
            <w:vAlign w:val="center"/>
            <w:hideMark/>
          </w:tcPr>
          <w:p w14:paraId="120F68A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676BC">
              <w:rPr>
                <w:rFonts w:ascii="Times New Roman" w:eastAsia="Times New Roman" w:hAnsi="Times New Roman" w:cs="Times New Roman"/>
                <w:iCs/>
                <w:sz w:val="20"/>
                <w:szCs w:val="20"/>
                <w:lang w:eastAsia="lv-LV"/>
              </w:rPr>
              <w:t>-4036291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2ECABF"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224F9C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0A7132">
              <w:rPr>
                <w:rFonts w:ascii="Times New Roman" w:hAnsi="Times New Roman" w:cs="Times New Roman"/>
                <w:color w:val="000000"/>
                <w:sz w:val="20"/>
                <w:szCs w:val="20"/>
              </w:rPr>
              <w:t>-5381722</w:t>
            </w:r>
          </w:p>
        </w:tc>
        <w:tc>
          <w:tcPr>
            <w:tcW w:w="820" w:type="dxa"/>
            <w:tcBorders>
              <w:top w:val="outset" w:sz="6" w:space="0" w:color="auto"/>
              <w:left w:val="outset" w:sz="6" w:space="0" w:color="auto"/>
              <w:bottom w:val="outset" w:sz="6" w:space="0" w:color="auto"/>
              <w:right w:val="outset" w:sz="6" w:space="0" w:color="auto"/>
            </w:tcBorders>
            <w:vAlign w:val="center"/>
            <w:hideMark/>
          </w:tcPr>
          <w:p w14:paraId="1F8FDD0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962" w:type="dxa"/>
            <w:tcBorders>
              <w:top w:val="outset" w:sz="6" w:space="0" w:color="auto"/>
              <w:left w:val="outset" w:sz="6" w:space="0" w:color="auto"/>
              <w:bottom w:val="outset" w:sz="6" w:space="0" w:color="auto"/>
              <w:right w:val="outset" w:sz="6" w:space="0" w:color="auto"/>
            </w:tcBorders>
            <w:hideMark/>
          </w:tcPr>
          <w:p w14:paraId="6D2022A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04DF105B"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D5052F">
              <w:rPr>
                <w:rFonts w:ascii="Times New Roman" w:eastAsia="Times New Roman" w:hAnsi="Times New Roman" w:cs="Times New Roman"/>
                <w:iCs/>
                <w:sz w:val="20"/>
                <w:szCs w:val="20"/>
                <w:lang w:eastAsia="lv-LV"/>
              </w:rPr>
              <w:t>0</w:t>
            </w:r>
          </w:p>
        </w:tc>
      </w:tr>
      <w:tr w:rsidR="003B39CC" w:rsidRPr="00B531F7" w14:paraId="6141C098"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4F83DAC4"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4. Finanšu līdzekļi papildu izdevumu finansēšanai (kompensējošu izdevumu samazinājumu norāda ar </w:t>
            </w:r>
            <w:r>
              <w:rPr>
                <w:rFonts w:ascii="Times New Roman" w:eastAsia="Times New Roman" w:hAnsi="Times New Roman" w:cs="Times New Roman"/>
                <w:iCs/>
                <w:sz w:val="24"/>
                <w:szCs w:val="24"/>
                <w:lang w:eastAsia="lv-LV"/>
              </w:rPr>
              <w:t>“</w:t>
            </w:r>
            <w:r w:rsidRPr="00B531F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Pr="00B531F7">
              <w:rPr>
                <w:rFonts w:ascii="Times New Roman" w:eastAsia="Times New Roman" w:hAnsi="Times New Roman" w:cs="Times New Roman"/>
                <w:iCs/>
                <w:sz w:val="24"/>
                <w:szCs w:val="24"/>
                <w:lang w:eastAsia="lv-LV"/>
              </w:rPr>
              <w:t xml:space="preserve"> zīmi)</w:t>
            </w:r>
          </w:p>
        </w:tc>
        <w:tc>
          <w:tcPr>
            <w:tcW w:w="1056" w:type="dxa"/>
            <w:gridSpan w:val="2"/>
            <w:tcBorders>
              <w:top w:val="outset" w:sz="6" w:space="0" w:color="auto"/>
              <w:left w:val="outset" w:sz="6" w:space="0" w:color="auto"/>
              <w:bottom w:val="outset" w:sz="6" w:space="0" w:color="auto"/>
              <w:right w:val="outset" w:sz="6" w:space="0" w:color="auto"/>
            </w:tcBorders>
            <w:vAlign w:val="center"/>
            <w:hideMark/>
          </w:tcPr>
          <w:p w14:paraId="106C7CBA"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1218" w:type="dxa"/>
            <w:tcBorders>
              <w:top w:val="outset" w:sz="6" w:space="0" w:color="auto"/>
              <w:left w:val="outset" w:sz="6" w:space="0" w:color="auto"/>
              <w:bottom w:val="outset" w:sz="6" w:space="0" w:color="auto"/>
              <w:right w:val="outset" w:sz="6" w:space="0" w:color="auto"/>
            </w:tcBorders>
            <w:vAlign w:val="center"/>
            <w:hideMark/>
          </w:tcPr>
          <w:p w14:paraId="2CF9B826"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31A55B6"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456DAAB"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0FAAC4"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B16E71C"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8AD091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p>
        </w:tc>
      </w:tr>
      <w:tr w:rsidR="003B39CC" w:rsidRPr="00B531F7" w14:paraId="65704E79"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328664E1"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5. Precizēta finansiālā ietekme</w:t>
            </w:r>
          </w:p>
        </w:tc>
        <w:tc>
          <w:tcPr>
            <w:tcW w:w="105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8D8E786"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6436ED13"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2A31D33C"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54817CC3"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069C2820"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2FBBFA97"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1218" w:type="dxa"/>
            <w:tcBorders>
              <w:top w:val="outset" w:sz="6" w:space="0" w:color="auto"/>
              <w:left w:val="outset" w:sz="6" w:space="0" w:color="auto"/>
              <w:bottom w:val="outset" w:sz="6" w:space="0" w:color="auto"/>
              <w:right w:val="outset" w:sz="6" w:space="0" w:color="auto"/>
            </w:tcBorders>
            <w:vAlign w:val="center"/>
            <w:hideMark/>
          </w:tcPr>
          <w:p w14:paraId="598937B7"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-173</w:t>
            </w:r>
            <w:r>
              <w:rPr>
                <w:rFonts w:ascii="Times New Roman" w:eastAsia="Times New Roman" w:hAnsi="Times New Roman" w:cs="Times New Roman"/>
                <w:iCs/>
                <w:sz w:val="20"/>
                <w:szCs w:val="20"/>
                <w:lang w:eastAsia="lv-LV"/>
              </w:rPr>
              <w:t>695186</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002B3E8D"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160B5D40"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4D05124E"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569C0911"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3B14AF36"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239282E3"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B3F0E4"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-7265608</w:t>
            </w:r>
            <w:r>
              <w:rPr>
                <w:rFonts w:ascii="Times New Roman" w:eastAsia="Times New Roman" w:hAnsi="Times New Roman" w:cs="Times New Roman"/>
                <w:iCs/>
                <w:sz w:val="20"/>
                <w:szCs w:val="20"/>
                <w:lang w:eastAsia="lv-LV"/>
              </w:rPr>
              <w:t>7</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002D3E0A"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62B1A5A0"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542BDA78"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316912AC"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26FE2B99"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p>
          <w:p w14:paraId="7FDB619F" w14:textId="77777777" w:rsidR="003B39CC" w:rsidRPr="0079689C" w:rsidRDefault="003B39CC" w:rsidP="003B39CC">
            <w:pPr>
              <w:spacing w:before="120" w:after="120" w:line="240" w:lineRule="auto"/>
              <w:jc w:val="center"/>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X</w:t>
            </w:r>
          </w:p>
        </w:tc>
        <w:tc>
          <w:tcPr>
            <w:tcW w:w="962" w:type="dxa"/>
            <w:tcBorders>
              <w:top w:val="outset" w:sz="6" w:space="0" w:color="auto"/>
              <w:left w:val="outset" w:sz="6" w:space="0" w:color="auto"/>
              <w:bottom w:val="outset" w:sz="6" w:space="0" w:color="auto"/>
              <w:right w:val="outset" w:sz="6" w:space="0" w:color="auto"/>
            </w:tcBorders>
            <w:hideMark/>
          </w:tcPr>
          <w:p w14:paraId="1E3D172F"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28AF3AD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42BDAA22"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207F5D0A"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5.1. valsts pamatbudžets</w:t>
            </w:r>
          </w:p>
        </w:tc>
        <w:tc>
          <w:tcPr>
            <w:tcW w:w="1056" w:type="dxa"/>
            <w:gridSpan w:val="2"/>
            <w:vMerge/>
            <w:tcBorders>
              <w:top w:val="outset" w:sz="6" w:space="0" w:color="auto"/>
              <w:left w:val="outset" w:sz="6" w:space="0" w:color="auto"/>
              <w:bottom w:val="outset" w:sz="6" w:space="0" w:color="auto"/>
              <w:right w:val="outset" w:sz="6" w:space="0" w:color="auto"/>
            </w:tcBorders>
            <w:vAlign w:val="center"/>
            <w:hideMark/>
          </w:tcPr>
          <w:p w14:paraId="5120FD6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1218" w:type="dxa"/>
            <w:tcBorders>
              <w:top w:val="outset" w:sz="6" w:space="0" w:color="auto"/>
              <w:left w:val="outset" w:sz="6" w:space="0" w:color="auto"/>
              <w:bottom w:val="outset" w:sz="6" w:space="0" w:color="auto"/>
              <w:right w:val="outset" w:sz="6" w:space="0" w:color="auto"/>
            </w:tcBorders>
            <w:vAlign w:val="center"/>
            <w:hideMark/>
          </w:tcPr>
          <w:p w14:paraId="79A56DA4"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-16196862</w:t>
            </w:r>
            <w:r>
              <w:rPr>
                <w:rFonts w:ascii="Times New Roman" w:eastAsia="Times New Roman" w:hAnsi="Times New Roman" w:cs="Times New Roman"/>
                <w:iCs/>
                <w:sz w:val="20"/>
                <w:szCs w:val="20"/>
                <w:lang w:eastAsia="lv-LV"/>
              </w:rPr>
              <w:t>3</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A6C3300"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3ED5BBF"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182BA1">
              <w:rPr>
                <w:rFonts w:ascii="Times New Roman" w:eastAsia="Times New Roman" w:hAnsi="Times New Roman" w:cs="Times New Roman"/>
                <w:iCs/>
                <w:sz w:val="20"/>
                <w:szCs w:val="20"/>
                <w:lang w:eastAsia="lv-LV"/>
              </w:rPr>
              <w:t>-57</w:t>
            </w:r>
            <w:r>
              <w:rPr>
                <w:rFonts w:ascii="Times New Roman" w:eastAsia="Times New Roman" w:hAnsi="Times New Roman" w:cs="Times New Roman"/>
                <w:iCs/>
                <w:sz w:val="20"/>
                <w:szCs w:val="20"/>
                <w:lang w:eastAsia="lv-LV"/>
              </w:rPr>
              <w:t>020</w:t>
            </w:r>
            <w:r w:rsidRPr="00182BA1">
              <w:rPr>
                <w:rFonts w:ascii="Times New Roman" w:eastAsia="Times New Roman" w:hAnsi="Times New Roman" w:cs="Times New Roman"/>
                <w:iCs/>
                <w:sz w:val="20"/>
                <w:szCs w:val="20"/>
                <w:lang w:eastAsia="lv-LV"/>
              </w:rPr>
              <w:t>6</w:t>
            </w:r>
            <w:r>
              <w:rPr>
                <w:rFonts w:ascii="Times New Roman" w:eastAsia="Times New Roman" w:hAnsi="Times New Roman" w:cs="Times New Roman"/>
                <w:iCs/>
                <w:sz w:val="20"/>
                <w:szCs w:val="20"/>
                <w:lang w:eastAsia="lv-LV"/>
              </w:rPr>
              <w:t>70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43E5729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5469301E"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6267CA0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6AD0FD16" w14:textId="77777777" w:rsidTr="003B39CC">
        <w:trPr>
          <w:tblCellSpacing w:w="15" w:type="dxa"/>
          <w:jc w:val="center"/>
        </w:trPr>
        <w:tc>
          <w:tcPr>
            <w:tcW w:w="2158" w:type="dxa"/>
            <w:gridSpan w:val="2"/>
            <w:tcBorders>
              <w:top w:val="outset" w:sz="6" w:space="0" w:color="auto"/>
              <w:left w:val="outset" w:sz="6" w:space="0" w:color="auto"/>
              <w:bottom w:val="outset" w:sz="6" w:space="0" w:color="auto"/>
              <w:right w:val="outset" w:sz="6" w:space="0" w:color="auto"/>
            </w:tcBorders>
            <w:hideMark/>
          </w:tcPr>
          <w:p w14:paraId="0134BA6A"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5.2. speciālais budžets</w:t>
            </w:r>
          </w:p>
        </w:tc>
        <w:tc>
          <w:tcPr>
            <w:tcW w:w="1056" w:type="dxa"/>
            <w:gridSpan w:val="2"/>
            <w:vMerge/>
            <w:tcBorders>
              <w:top w:val="outset" w:sz="6" w:space="0" w:color="auto"/>
              <w:left w:val="outset" w:sz="6" w:space="0" w:color="auto"/>
              <w:bottom w:val="outset" w:sz="6" w:space="0" w:color="auto"/>
              <w:right w:val="outset" w:sz="6" w:space="0" w:color="auto"/>
            </w:tcBorders>
            <w:vAlign w:val="center"/>
            <w:hideMark/>
          </w:tcPr>
          <w:p w14:paraId="5EE022BD"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1218" w:type="dxa"/>
            <w:tcBorders>
              <w:top w:val="outset" w:sz="6" w:space="0" w:color="auto"/>
              <w:left w:val="outset" w:sz="6" w:space="0" w:color="auto"/>
              <w:bottom w:val="outset" w:sz="6" w:space="0" w:color="auto"/>
              <w:right w:val="outset" w:sz="6" w:space="0" w:color="auto"/>
            </w:tcBorders>
            <w:vAlign w:val="center"/>
            <w:hideMark/>
          </w:tcPr>
          <w:p w14:paraId="57A18946"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6957D6">
              <w:rPr>
                <w:rFonts w:ascii="Times New Roman" w:eastAsia="Times New Roman" w:hAnsi="Times New Roman" w:cs="Times New Roman"/>
                <w:iCs/>
                <w:sz w:val="20"/>
                <w:szCs w:val="20"/>
                <w:lang w:eastAsia="lv-LV"/>
              </w:rPr>
              <w:t>-7690271</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6B1C14D9"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F58C18B"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 </w:t>
            </w:r>
            <w:r w:rsidRPr="000A7132">
              <w:rPr>
                <w:rFonts w:ascii="Times New Roman" w:hAnsi="Times New Roman" w:cs="Times New Roman"/>
                <w:color w:val="000000"/>
                <w:sz w:val="20"/>
                <w:szCs w:val="20"/>
              </w:rPr>
              <w:t>-10253695</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B05BCF2"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262E8CBF"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62DA468A" w14:textId="77777777" w:rsidR="003B39CC" w:rsidRPr="0079689C" w:rsidRDefault="003B39CC" w:rsidP="003B39CC">
            <w:pPr>
              <w:spacing w:before="120" w:after="120" w:line="240" w:lineRule="auto"/>
              <w:rPr>
                <w:rFonts w:ascii="Times New Roman" w:eastAsia="Times New Roman" w:hAnsi="Times New Roman" w:cs="Times New Roman"/>
                <w:iCs/>
                <w:sz w:val="20"/>
                <w:szCs w:val="20"/>
                <w:lang w:eastAsia="lv-LV"/>
              </w:rPr>
            </w:pPr>
            <w:r w:rsidRPr="0079689C">
              <w:rPr>
                <w:rFonts w:ascii="Times New Roman" w:eastAsia="Times New Roman" w:hAnsi="Times New Roman" w:cs="Times New Roman"/>
                <w:iCs/>
                <w:sz w:val="20"/>
                <w:szCs w:val="20"/>
                <w:lang w:eastAsia="lv-LV"/>
              </w:rPr>
              <w:t>0</w:t>
            </w:r>
          </w:p>
        </w:tc>
      </w:tr>
      <w:tr w:rsidR="003B39CC" w:rsidRPr="00B531F7" w14:paraId="56E76948"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6E8A36D7"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5.3. pašvaldību budžets</w:t>
            </w:r>
          </w:p>
        </w:tc>
        <w:tc>
          <w:tcPr>
            <w:tcW w:w="1103" w:type="dxa"/>
            <w:gridSpan w:val="2"/>
            <w:tcBorders>
              <w:top w:val="outset" w:sz="6" w:space="0" w:color="auto"/>
              <w:left w:val="outset" w:sz="6" w:space="0" w:color="auto"/>
              <w:bottom w:val="outset" w:sz="6" w:space="0" w:color="auto"/>
              <w:right w:val="outset" w:sz="6" w:space="0" w:color="auto"/>
            </w:tcBorders>
            <w:vAlign w:val="center"/>
            <w:hideMark/>
          </w:tcPr>
          <w:p w14:paraId="4766CE11"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14:paraId="4DFC34AC"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r w:rsidRPr="0079689C">
              <w:rPr>
                <w:rFonts w:ascii="Times New Roman" w:eastAsia="Times New Roman" w:hAnsi="Times New Roman" w:cs="Times New Roman"/>
                <w:iCs/>
                <w:sz w:val="20"/>
                <w:szCs w:val="20"/>
                <w:lang w:eastAsia="lv-LV"/>
              </w:rPr>
              <w:t> </w:t>
            </w:r>
            <w:r w:rsidRPr="001676BC">
              <w:rPr>
                <w:rFonts w:ascii="Times New Roman" w:eastAsia="Times New Roman" w:hAnsi="Times New Roman" w:cs="Times New Roman"/>
                <w:iCs/>
                <w:sz w:val="20"/>
                <w:szCs w:val="20"/>
                <w:lang w:eastAsia="lv-LV"/>
              </w:rPr>
              <w:t>-4036291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7D83CC"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D3616BA"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r w:rsidRPr="0079689C">
              <w:rPr>
                <w:rFonts w:ascii="Times New Roman" w:eastAsia="Times New Roman" w:hAnsi="Times New Roman" w:cs="Times New Roman"/>
                <w:iCs/>
                <w:sz w:val="20"/>
                <w:szCs w:val="20"/>
                <w:lang w:eastAsia="lv-LV"/>
              </w:rPr>
              <w:t> </w:t>
            </w:r>
            <w:r w:rsidRPr="000A7132">
              <w:rPr>
                <w:rFonts w:ascii="Times New Roman" w:hAnsi="Times New Roman" w:cs="Times New Roman"/>
                <w:color w:val="000000"/>
                <w:sz w:val="20"/>
                <w:szCs w:val="20"/>
              </w:rPr>
              <w:t>-5381722</w:t>
            </w:r>
          </w:p>
        </w:tc>
        <w:tc>
          <w:tcPr>
            <w:tcW w:w="820" w:type="dxa"/>
            <w:tcBorders>
              <w:top w:val="outset" w:sz="6" w:space="0" w:color="auto"/>
              <w:left w:val="outset" w:sz="6" w:space="0" w:color="auto"/>
              <w:bottom w:val="outset" w:sz="6" w:space="0" w:color="auto"/>
              <w:right w:val="outset" w:sz="6" w:space="0" w:color="auto"/>
            </w:tcBorders>
            <w:vAlign w:val="center"/>
            <w:hideMark/>
          </w:tcPr>
          <w:p w14:paraId="4F12D3CE"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hideMark/>
          </w:tcPr>
          <w:p w14:paraId="205477F4"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r w:rsidRPr="00214836">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hideMark/>
          </w:tcPr>
          <w:p w14:paraId="638A979E" w14:textId="77777777" w:rsidR="003B39CC" w:rsidRPr="00214836" w:rsidRDefault="003B39CC" w:rsidP="003B39CC">
            <w:pPr>
              <w:spacing w:before="120" w:after="120" w:line="240" w:lineRule="auto"/>
              <w:rPr>
                <w:rFonts w:ascii="Times New Roman" w:eastAsia="Times New Roman" w:hAnsi="Times New Roman" w:cs="Times New Roman"/>
                <w:iCs/>
                <w:lang w:eastAsia="lv-LV"/>
              </w:rPr>
            </w:pPr>
            <w:r w:rsidRPr="00214836">
              <w:rPr>
                <w:rFonts w:ascii="Times New Roman" w:eastAsia="Times New Roman" w:hAnsi="Times New Roman" w:cs="Times New Roman"/>
                <w:iCs/>
                <w:lang w:eastAsia="lv-LV"/>
              </w:rPr>
              <w:t>0</w:t>
            </w:r>
          </w:p>
        </w:tc>
      </w:tr>
      <w:tr w:rsidR="003B39CC" w:rsidRPr="00B531F7" w14:paraId="57BE41DA"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06BEC3AE"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01" w:type="dxa"/>
            <w:gridSpan w:val="9"/>
            <w:vMerge w:val="restart"/>
            <w:tcBorders>
              <w:top w:val="outset" w:sz="6" w:space="0" w:color="auto"/>
              <w:left w:val="outset" w:sz="6" w:space="0" w:color="auto"/>
              <w:bottom w:val="outset" w:sz="6" w:space="0" w:color="auto"/>
              <w:right w:val="outset" w:sz="6" w:space="0" w:color="auto"/>
            </w:tcBorders>
            <w:vAlign w:val="center"/>
            <w:hideMark/>
          </w:tcPr>
          <w:p w14:paraId="60452CAD" w14:textId="77777777" w:rsidR="00E46CC1" w:rsidRPr="00B07882" w:rsidRDefault="00CE14A1" w:rsidP="00E46CC1">
            <w:pPr>
              <w:pStyle w:val="paragraph"/>
              <w:spacing w:before="60" w:beforeAutospacing="0" w:after="0" w:afterAutospacing="0"/>
              <w:jc w:val="both"/>
              <w:textAlignment w:val="baseline"/>
            </w:pPr>
            <w:r w:rsidRPr="00B07882">
              <w:t>Veicot aprēķinu par Likumprojekta ietekmi uz valsts budžetu, ņemti vērā šādi faktori:</w:t>
            </w:r>
          </w:p>
          <w:p w14:paraId="5AE16A01" w14:textId="49125B4B" w:rsidR="00E46CC1" w:rsidRPr="00E46CC1" w:rsidRDefault="00E46CC1" w:rsidP="00E46CC1">
            <w:pPr>
              <w:pStyle w:val="paragraph"/>
              <w:spacing w:before="60" w:beforeAutospacing="0" w:after="0" w:afterAutospacing="0"/>
              <w:jc w:val="both"/>
              <w:textAlignment w:val="baseline"/>
            </w:pPr>
            <w:r w:rsidRPr="00E46CC1">
              <w:t xml:space="preserve">1) pozitīva ietekme uz 2020.gada un turpmāko gadu valsts budžeta izdevumiem (pēc naudas plūsmas metodes), kas saistīts ar izmaksu mazināšanos OIK vidējās vērtības noturēšanai. Saskaņā ar vidēja termiņa budžetu 2018.-2020.gadam finansējums OIK vidējās vērtības ierobežošanai 2020.gadā pēc naudas plūsmas metodes par 2019.gadu tika paredzēts 9,68 milj. </w:t>
            </w:r>
            <w:r w:rsidRPr="00E46CC1">
              <w:rPr>
                <w:i/>
              </w:rPr>
              <w:t xml:space="preserve">euro </w:t>
            </w:r>
            <w:r w:rsidRPr="00E46CC1">
              <w:t>apmērā;</w:t>
            </w:r>
          </w:p>
          <w:p w14:paraId="14AC83C7" w14:textId="77777777" w:rsidR="00E46CC1" w:rsidRPr="00E46CC1" w:rsidRDefault="00E46CC1" w:rsidP="00E46CC1">
            <w:pPr>
              <w:pStyle w:val="paragraph"/>
              <w:spacing w:before="60" w:beforeAutospacing="0" w:after="0" w:afterAutospacing="0"/>
              <w:jc w:val="both"/>
              <w:textAlignment w:val="baseline"/>
            </w:pPr>
            <w:r w:rsidRPr="00E46CC1">
              <w:t xml:space="preserve">2) pozitīva ietekme uz turpmāko gadu valsts budžeta izdevumiem energoietilpīgo apstrādes rūpniecības uzņēmumu OIK izmaksu kompensēšanai, sākot ar 2020./2021.gadu (pēc naudas plūsmas metodes), atkarībā no tā, kad tiks saņemti komersantu iesniegumi un pieņemti lēmumi par izmaksu kompensēšanu. Saskaņā ar vidēja termiņa budžetu 2018.-2020.gadam finansējums šim mērķim 2019. un 2020. gadā pēc naudas plūsmas metodes ir paredzēts 3,37 milj. </w:t>
            </w:r>
            <w:r w:rsidRPr="00E46CC1">
              <w:rPr>
                <w:i/>
              </w:rPr>
              <w:t xml:space="preserve">euro </w:t>
            </w:r>
            <w:r w:rsidRPr="00E46CC1">
              <w:t>apmērā;</w:t>
            </w:r>
          </w:p>
          <w:p w14:paraId="394833D9" w14:textId="77777777" w:rsidR="00E46CC1" w:rsidRPr="00E46CC1" w:rsidRDefault="00E46CC1" w:rsidP="00E46CC1">
            <w:pPr>
              <w:pStyle w:val="paragraph"/>
              <w:spacing w:before="60" w:beforeAutospacing="0" w:after="0" w:afterAutospacing="0"/>
              <w:jc w:val="both"/>
              <w:textAlignment w:val="baseline"/>
            </w:pPr>
            <w:r w:rsidRPr="00E46CC1">
              <w:t>3) pozitīva ietekme uz valsts budžeta izdevumiem aizsargāto lietotāju izmaksu segšanai (uz kopējā fona ietekme neliela);</w:t>
            </w:r>
          </w:p>
          <w:p w14:paraId="21F9DB68" w14:textId="77777777" w:rsidR="00E46CC1" w:rsidRPr="00E46CC1" w:rsidRDefault="00E46CC1" w:rsidP="00E46CC1">
            <w:pPr>
              <w:pStyle w:val="paragraph"/>
              <w:spacing w:before="60" w:beforeAutospacing="0" w:after="0" w:afterAutospacing="0"/>
              <w:jc w:val="both"/>
              <w:textAlignment w:val="baseline"/>
              <w:rPr>
                <w:rStyle w:val="normaltextrun"/>
              </w:rPr>
            </w:pPr>
            <w:r w:rsidRPr="00E46CC1">
              <w:t xml:space="preserve">4) valsts atbalsta atcelšanas rezultātā negatīvi tiks ietekmēta AS “Latvenergo” dividenžu iemaksa valsts budžetā. Izteikti negatīva ietekme 2019.gadā (viens no būtiskākajiem apstākļiem, vērtējot īstermiņa finanšu ietekmi) un būtiski mērenāka ietekme turpmākajos gados (aptuveni līdzšinējā ikgadējā valsts atbalsta apmērā). </w:t>
            </w:r>
            <w:r w:rsidRPr="00E46CC1">
              <w:rPr>
                <w:rStyle w:val="normaltextrun"/>
              </w:rPr>
              <w:t>Informāciju par Likumprojekta ietekmēm uz AS</w:t>
            </w:r>
            <w:r w:rsidRPr="00E46CC1">
              <w:t> </w:t>
            </w:r>
            <w:r w:rsidRPr="00E46CC1">
              <w:rPr>
                <w:rStyle w:val="normaltextrun"/>
              </w:rPr>
              <w:t>“Latvenergo” norādītas Likumprojekta anotācijas 1.pielikumā (ierobežota pieejamība);</w:t>
            </w:r>
          </w:p>
          <w:p w14:paraId="0962FAE1" w14:textId="77777777" w:rsidR="00E46CC1" w:rsidRPr="00E46CC1" w:rsidRDefault="00E46CC1" w:rsidP="00E46CC1">
            <w:pPr>
              <w:pStyle w:val="paragraph"/>
              <w:spacing w:before="60" w:beforeAutospacing="0" w:after="0" w:afterAutospacing="0"/>
              <w:jc w:val="both"/>
              <w:textAlignment w:val="baseline"/>
              <w:rPr>
                <w:rStyle w:val="normaltextrun"/>
              </w:rPr>
            </w:pPr>
            <w:r w:rsidRPr="00E46CC1">
              <w:rPr>
                <w:rStyle w:val="normaltextrun"/>
              </w:rPr>
              <w:t>5) ar PVN apliktā OIK ieņēmumu samazināšanās valsts budžetā vidēji par 30,00 milj. </w:t>
            </w:r>
            <w:r w:rsidRPr="00E46CC1">
              <w:rPr>
                <w:rStyle w:val="normaltextrun"/>
                <w:i/>
              </w:rPr>
              <w:t>euro</w:t>
            </w:r>
            <w:r w:rsidRPr="00E46CC1">
              <w:t xml:space="preserve"> gadā.</w:t>
            </w:r>
            <w:r w:rsidRPr="00E46CC1">
              <w:rPr>
                <w:rStyle w:val="normaltextrun"/>
              </w:rPr>
              <w:t xml:space="preserve"> 2019.gadā samazinājums mazāks, ņemot vērā to, ka līdz OIK atcelšanai PVN tiktu iekasēts gada pirmajos mēnešos;</w:t>
            </w:r>
          </w:p>
          <w:p w14:paraId="5F65997D" w14:textId="655F4BA6" w:rsidR="003B39CC" w:rsidRPr="00E46CC1" w:rsidRDefault="00E46CC1" w:rsidP="00E46CC1">
            <w:pPr>
              <w:pStyle w:val="paragraph"/>
              <w:spacing w:before="60" w:beforeAutospacing="0" w:after="0" w:afterAutospacing="0"/>
              <w:jc w:val="both"/>
              <w:textAlignment w:val="baseline"/>
            </w:pPr>
            <w:r w:rsidRPr="00E46CC1">
              <w:t xml:space="preserve">6) negatīva ietekme uz OIK elektrostaciju un saistīto nozaru maksājumiem valsts budžetā nodokļu ieņēmumu veidā. Šajā pozīcijā nodokļu ieņēmumu samazinājums varētu būt 36,50 milj. </w:t>
            </w:r>
            <w:r w:rsidRPr="00E46CC1">
              <w:rPr>
                <w:i/>
              </w:rPr>
              <w:t xml:space="preserve">euro </w:t>
            </w:r>
            <w:r w:rsidRPr="00E46CC1">
              <w:t xml:space="preserve">gadā. </w:t>
            </w:r>
            <w:r w:rsidRPr="00E46CC1">
              <w:rPr>
                <w:rStyle w:val="normaltextrun"/>
              </w:rPr>
              <w:t>2019.gadā samazinājums mazāks, ņemot vērā to, ka līdz OIK atcelšana paredzēta ar otro ceturksni</w:t>
            </w:r>
            <w:r>
              <w:rPr>
                <w:rStyle w:val="normaltextrun"/>
              </w:rPr>
              <w:t>.</w:t>
            </w:r>
          </w:p>
        </w:tc>
      </w:tr>
      <w:tr w:rsidR="003B39CC" w:rsidRPr="00B531F7" w14:paraId="7F8CBEB8"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38F1222F"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6.1. detalizēts ieņēmumu aprēķins</w:t>
            </w:r>
          </w:p>
        </w:tc>
        <w:tc>
          <w:tcPr>
            <w:tcW w:w="7601" w:type="dxa"/>
            <w:gridSpan w:val="9"/>
            <w:vMerge/>
            <w:tcBorders>
              <w:top w:val="outset" w:sz="6" w:space="0" w:color="auto"/>
              <w:left w:val="outset" w:sz="6" w:space="0" w:color="auto"/>
              <w:bottom w:val="outset" w:sz="6" w:space="0" w:color="auto"/>
              <w:right w:val="outset" w:sz="6" w:space="0" w:color="auto"/>
            </w:tcBorders>
            <w:vAlign w:val="center"/>
            <w:hideMark/>
          </w:tcPr>
          <w:p w14:paraId="15B944B0"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p>
        </w:tc>
      </w:tr>
      <w:tr w:rsidR="003B39CC" w:rsidRPr="00B531F7" w14:paraId="258758E5"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557D8E2E"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6.2. detalizēts izdevumu aprēķins</w:t>
            </w:r>
          </w:p>
        </w:tc>
        <w:tc>
          <w:tcPr>
            <w:tcW w:w="7601" w:type="dxa"/>
            <w:gridSpan w:val="9"/>
            <w:vMerge/>
            <w:tcBorders>
              <w:top w:val="outset" w:sz="6" w:space="0" w:color="auto"/>
              <w:left w:val="outset" w:sz="6" w:space="0" w:color="auto"/>
              <w:bottom w:val="outset" w:sz="6" w:space="0" w:color="auto"/>
              <w:right w:val="outset" w:sz="6" w:space="0" w:color="auto"/>
            </w:tcBorders>
            <w:vAlign w:val="center"/>
            <w:hideMark/>
          </w:tcPr>
          <w:p w14:paraId="4CC465EF"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p>
        </w:tc>
      </w:tr>
      <w:tr w:rsidR="003B39CC" w:rsidRPr="00B531F7" w14:paraId="5C853E6B"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5469FF37"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7. Amata vietu skaita izmaiņas</w:t>
            </w:r>
          </w:p>
        </w:tc>
        <w:tc>
          <w:tcPr>
            <w:tcW w:w="7601" w:type="dxa"/>
            <w:gridSpan w:val="9"/>
            <w:tcBorders>
              <w:top w:val="outset" w:sz="6" w:space="0" w:color="auto"/>
              <w:left w:val="outset" w:sz="6" w:space="0" w:color="auto"/>
              <w:bottom w:val="outset" w:sz="6" w:space="0" w:color="auto"/>
              <w:right w:val="outset" w:sz="6" w:space="0" w:color="auto"/>
            </w:tcBorders>
            <w:hideMark/>
          </w:tcPr>
          <w:p w14:paraId="0170B966"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šo jomu neskar. </w:t>
            </w:r>
          </w:p>
        </w:tc>
      </w:tr>
      <w:tr w:rsidR="003B39CC" w:rsidRPr="00B531F7" w14:paraId="1F8F227F" w14:textId="77777777" w:rsidTr="003B39CC">
        <w:trPr>
          <w:tblCellSpacing w:w="15" w:type="dxa"/>
          <w:jc w:val="center"/>
        </w:trPr>
        <w:tc>
          <w:tcPr>
            <w:tcW w:w="2081" w:type="dxa"/>
            <w:tcBorders>
              <w:top w:val="outset" w:sz="6" w:space="0" w:color="auto"/>
              <w:left w:val="outset" w:sz="6" w:space="0" w:color="auto"/>
              <w:bottom w:val="outset" w:sz="6" w:space="0" w:color="auto"/>
              <w:right w:val="outset" w:sz="6" w:space="0" w:color="auto"/>
            </w:tcBorders>
            <w:hideMark/>
          </w:tcPr>
          <w:p w14:paraId="7EB869D5" w14:textId="77777777" w:rsidR="003B39CC" w:rsidRPr="00B531F7" w:rsidRDefault="003B39CC" w:rsidP="003B39CC">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8. Cita informācija</w:t>
            </w:r>
          </w:p>
        </w:tc>
        <w:tc>
          <w:tcPr>
            <w:tcW w:w="7601" w:type="dxa"/>
            <w:gridSpan w:val="9"/>
            <w:tcBorders>
              <w:top w:val="outset" w:sz="6" w:space="0" w:color="auto"/>
              <w:left w:val="outset" w:sz="6" w:space="0" w:color="auto"/>
              <w:bottom w:val="outset" w:sz="6" w:space="0" w:color="auto"/>
              <w:right w:val="outset" w:sz="6" w:space="0" w:color="auto"/>
            </w:tcBorders>
            <w:hideMark/>
          </w:tcPr>
          <w:p w14:paraId="240B6190" w14:textId="77777777" w:rsidR="00CE14A1" w:rsidRDefault="00CE14A1" w:rsidP="00CE14A1">
            <w:pPr>
              <w:spacing w:before="120" w:after="120" w:line="240" w:lineRule="auto"/>
              <w:jc w:val="both"/>
              <w:rPr>
                <w:rStyle w:val="normaltextrun"/>
                <w:rFonts w:ascii="Times New Roman" w:eastAsia="Times New Roman" w:hAnsi="Times New Roman" w:cs="Times New Roman"/>
                <w:sz w:val="24"/>
                <w:szCs w:val="24"/>
                <w:lang w:eastAsia="lv-LV"/>
              </w:rPr>
            </w:pPr>
            <w:r>
              <w:rPr>
                <w:rStyle w:val="normaltextrun"/>
                <w:rFonts w:ascii="Times New Roman" w:eastAsia="Times New Roman" w:hAnsi="Times New Roman" w:cs="Times New Roman"/>
                <w:sz w:val="24"/>
                <w:szCs w:val="24"/>
                <w:lang w:eastAsia="lv-LV"/>
              </w:rPr>
              <w:t>Vienlaikus, vērtējot Likumprojekta ietekmi uz valsts budžetu, ņemami vērā šādi faktori:</w:t>
            </w:r>
          </w:p>
          <w:p w14:paraId="43297A72" w14:textId="183B982C" w:rsidR="00CE14A1" w:rsidRPr="00CE14A1" w:rsidRDefault="00CE14A1" w:rsidP="00CE14A1">
            <w:pPr>
              <w:pStyle w:val="ListParagraph"/>
              <w:numPr>
                <w:ilvl w:val="0"/>
                <w:numId w:val="27"/>
              </w:numPr>
              <w:spacing w:before="120" w:after="120" w:line="240" w:lineRule="auto"/>
              <w:jc w:val="both"/>
              <w:rPr>
                <w:rStyle w:val="normaltextrun"/>
                <w:rFonts w:ascii="Times New Roman" w:eastAsia="Times New Roman" w:hAnsi="Times New Roman" w:cs="Times New Roman"/>
                <w:iCs/>
                <w:sz w:val="24"/>
                <w:szCs w:val="24"/>
                <w:lang w:eastAsia="lv-LV"/>
              </w:rPr>
            </w:pPr>
            <w:r w:rsidRPr="00CE14A1">
              <w:rPr>
                <w:rStyle w:val="normaltextrun"/>
                <w:rFonts w:ascii="Times New Roman" w:eastAsia="Times New Roman" w:hAnsi="Times New Roman" w:cs="Times New Roman"/>
                <w:sz w:val="24"/>
                <w:szCs w:val="24"/>
                <w:lang w:eastAsia="lv-LV"/>
              </w:rPr>
              <w:t xml:space="preserve">Ņemot vērā Likumprojekta raksturu un OI atbalsta saņēmēja izteikumus par tiesāšanos ar valsti Likumprojektā ietvertā risinājuma gadījumā, papildu izmaksas radīsies valsts juridiskās aizstāvības nodrošināšanai. </w:t>
            </w:r>
            <w:r w:rsidRPr="00CE14A1">
              <w:rPr>
                <w:rFonts w:ascii="Times New Roman" w:eastAsia="Times New Roman" w:hAnsi="Times New Roman" w:cs="Times New Roman"/>
                <w:iCs/>
                <w:sz w:val="24"/>
                <w:szCs w:val="24"/>
                <w:lang w:eastAsia="lv-LV"/>
              </w:rPr>
              <w:t xml:space="preserve">Tāpat Likumprojektā ietvertais risinājums vērtējams ar augstu risku šajās tiesvedībās zaudēt, tādējādi radot papildu zaudējumus valsts budžetā turpmākajos gados, kas var būt vērtējams atlikušo valsts saistību </w:t>
            </w:r>
            <w:r w:rsidR="00CA2254">
              <w:rPr>
                <w:rFonts w:ascii="Times New Roman" w:eastAsia="Times New Roman" w:hAnsi="Times New Roman" w:cs="Times New Roman"/>
                <w:iCs/>
                <w:sz w:val="24"/>
                <w:szCs w:val="24"/>
                <w:lang w:eastAsia="lv-LV"/>
              </w:rPr>
              <w:t xml:space="preserve"> (plānotais atbalsta apjoms līdz brīdim, kamēr </w:t>
            </w:r>
            <w:r w:rsidR="00CA2254">
              <w:rPr>
                <w:rFonts w:ascii="Times New Roman" w:eastAsia="Times New Roman" w:hAnsi="Times New Roman" w:cs="Times New Roman"/>
                <w:iCs/>
                <w:sz w:val="24"/>
                <w:szCs w:val="24"/>
                <w:lang w:eastAsia="lv-LV"/>
              </w:rPr>
              <w:lastRenderedPageBreak/>
              <w:t xml:space="preserve">komersantiem ir spēkā OI tiesības) </w:t>
            </w:r>
            <w:r w:rsidRPr="00CE14A1">
              <w:rPr>
                <w:rFonts w:ascii="Times New Roman" w:eastAsia="Times New Roman" w:hAnsi="Times New Roman" w:cs="Times New Roman"/>
                <w:iCs/>
                <w:sz w:val="24"/>
                <w:szCs w:val="24"/>
                <w:lang w:eastAsia="lv-LV"/>
              </w:rPr>
              <w:t>apmērā pret OI saņēmējiem</w:t>
            </w:r>
            <w:r w:rsidR="00CA2254">
              <w:rPr>
                <w:rStyle w:val="FootnoteReference"/>
                <w:rFonts w:ascii="Times New Roman" w:eastAsia="Times New Roman" w:hAnsi="Times New Roman" w:cs="Times New Roman"/>
                <w:iCs/>
                <w:sz w:val="24"/>
                <w:szCs w:val="24"/>
                <w:lang w:eastAsia="lv-LV"/>
              </w:rPr>
              <w:footnoteReference w:id="39"/>
            </w:r>
            <w:r w:rsidRPr="00CE14A1">
              <w:rPr>
                <w:rFonts w:ascii="Times New Roman" w:eastAsia="Times New Roman" w:hAnsi="Times New Roman" w:cs="Times New Roman"/>
                <w:iCs/>
                <w:sz w:val="24"/>
                <w:szCs w:val="24"/>
                <w:lang w:eastAsia="lv-LV"/>
              </w:rPr>
              <w:t xml:space="preserve"> un sasniegt 1 miljardu </w:t>
            </w:r>
            <w:r w:rsidRPr="00CE14A1">
              <w:rPr>
                <w:rFonts w:ascii="Times New Roman" w:eastAsia="Times New Roman" w:hAnsi="Times New Roman" w:cs="Times New Roman"/>
                <w:i/>
                <w:iCs/>
                <w:sz w:val="24"/>
                <w:szCs w:val="24"/>
                <w:lang w:eastAsia="lv-LV"/>
              </w:rPr>
              <w:t>euro</w:t>
            </w:r>
            <w:r w:rsidRPr="00CE14A1">
              <w:rPr>
                <w:rFonts w:ascii="Times New Roman" w:eastAsia="Times New Roman" w:hAnsi="Times New Roman" w:cs="Times New Roman"/>
                <w:iCs/>
                <w:sz w:val="24"/>
                <w:szCs w:val="24"/>
                <w:lang w:eastAsia="lv-LV"/>
              </w:rPr>
              <w:t>.</w:t>
            </w:r>
          </w:p>
          <w:p w14:paraId="294B2DB3" w14:textId="77777777" w:rsidR="00CE14A1" w:rsidRPr="00CE14A1" w:rsidRDefault="00CE14A1" w:rsidP="00CE14A1">
            <w:pPr>
              <w:pStyle w:val="ListParagraph"/>
              <w:numPr>
                <w:ilvl w:val="0"/>
                <w:numId w:val="27"/>
              </w:numPr>
              <w:spacing w:before="120" w:after="120" w:line="240" w:lineRule="auto"/>
              <w:jc w:val="both"/>
              <w:rPr>
                <w:rStyle w:val="normaltextrun"/>
                <w:rFonts w:ascii="Times New Roman" w:eastAsia="Times New Roman" w:hAnsi="Times New Roman" w:cs="Times New Roman"/>
                <w:sz w:val="24"/>
                <w:szCs w:val="24"/>
                <w:lang w:eastAsia="lv-LV"/>
              </w:rPr>
            </w:pPr>
            <w:r w:rsidRPr="00CE14A1">
              <w:rPr>
                <w:rStyle w:val="normaltextrun"/>
                <w:rFonts w:ascii="Times New Roman" w:eastAsia="Times New Roman" w:hAnsi="Times New Roman" w:cs="Times New Roman"/>
                <w:sz w:val="24"/>
                <w:szCs w:val="24"/>
                <w:lang w:eastAsia="lv-LV"/>
              </w:rPr>
              <w:t xml:space="preserve">Ja ES Tiesa par atjaunojamās enerģijas 2020.gada mērķa nesasniegšanu Latvijai uzliks soda naudu vai ja Latvija izvēlēsies pirkt statistiku atjaunojamās enerģijas mērķa sasniegšanai tās būs papildu izmaksas valsts budžetam. </w:t>
            </w:r>
          </w:p>
          <w:p w14:paraId="57CCD072" w14:textId="77777777" w:rsidR="00CE14A1" w:rsidRPr="00CE14A1" w:rsidRDefault="00CE14A1" w:rsidP="00CE14A1">
            <w:pPr>
              <w:pStyle w:val="ListParagraph"/>
              <w:numPr>
                <w:ilvl w:val="0"/>
                <w:numId w:val="27"/>
              </w:numPr>
              <w:spacing w:before="120" w:after="120" w:line="240" w:lineRule="auto"/>
              <w:jc w:val="both"/>
              <w:rPr>
                <w:rStyle w:val="normaltextrun"/>
                <w:rFonts w:ascii="Times New Roman" w:hAnsi="Times New Roman" w:cs="Times New Roman"/>
                <w:sz w:val="24"/>
                <w:szCs w:val="24"/>
              </w:rPr>
            </w:pPr>
            <w:r w:rsidRPr="00CE14A1">
              <w:rPr>
                <w:rFonts w:ascii="Times New Roman" w:eastAsia="Calibri" w:hAnsi="Times New Roman" w:cs="Times New Roman"/>
                <w:sz w:val="24"/>
                <w:szCs w:val="24"/>
              </w:rPr>
              <w:t xml:space="preserve">Saskaņā ar LAEF aplēsēm pēc OI atcelšanas </w:t>
            </w:r>
            <w:r w:rsidRPr="00CE14A1">
              <w:rPr>
                <w:rFonts w:ascii="Times New Roman" w:hAnsi="Times New Roman" w:cs="Times New Roman"/>
                <w:sz w:val="24"/>
                <w:szCs w:val="24"/>
              </w:rPr>
              <w:t>kopējie zaudējumi valsts budžetam, ieskaitot no atjaunojamās enerģijas elektrostacijām tieši iekasētos nodokļus un ar šo staciju darbību saistītajās nozarēs iekasētos nodokļus,  būtu aptuveni 100 milj. </w:t>
            </w:r>
            <w:r w:rsidRPr="00CE14A1">
              <w:rPr>
                <w:rFonts w:ascii="Times New Roman" w:hAnsi="Times New Roman" w:cs="Times New Roman"/>
                <w:i/>
                <w:sz w:val="24"/>
                <w:szCs w:val="24"/>
              </w:rPr>
              <w:t>euro</w:t>
            </w:r>
            <w:r w:rsidRPr="00CE14A1">
              <w:rPr>
                <w:rFonts w:ascii="Times New Roman" w:hAnsi="Times New Roman" w:cs="Times New Roman"/>
                <w:sz w:val="24"/>
                <w:szCs w:val="24"/>
              </w:rPr>
              <w:t xml:space="preserve"> apmērā.</w:t>
            </w:r>
          </w:p>
          <w:p w14:paraId="676584F2" w14:textId="77777777" w:rsidR="00CE14A1" w:rsidRPr="00CE14A1" w:rsidRDefault="00CE14A1" w:rsidP="00CE14A1">
            <w:pPr>
              <w:pStyle w:val="ListParagraph"/>
              <w:numPr>
                <w:ilvl w:val="0"/>
                <w:numId w:val="27"/>
              </w:numPr>
              <w:spacing w:before="120" w:after="120" w:line="240" w:lineRule="auto"/>
              <w:jc w:val="both"/>
              <w:rPr>
                <w:rStyle w:val="normaltextrun"/>
                <w:rFonts w:ascii="Times New Roman" w:eastAsia="Times New Roman" w:hAnsi="Times New Roman" w:cs="Times New Roman"/>
                <w:sz w:val="24"/>
                <w:szCs w:val="24"/>
                <w:lang w:eastAsia="lv-LV"/>
              </w:rPr>
            </w:pPr>
            <w:r w:rsidRPr="00CE14A1">
              <w:rPr>
                <w:rStyle w:val="normaltextrun"/>
                <w:rFonts w:ascii="Times New Roman" w:eastAsia="Times New Roman" w:hAnsi="Times New Roman" w:cs="Times New Roman"/>
                <w:sz w:val="24"/>
                <w:szCs w:val="24"/>
                <w:lang w:eastAsia="lv-LV"/>
              </w:rPr>
              <w:t xml:space="preserve">Ja īstenojot Likumprojektu netiks nodrošināta kritēriju izpilde, kas nākamajā ES finanšu plānošanas periodā tiks izmantoti atbalsta piešķiršanas </w:t>
            </w:r>
            <w:proofErr w:type="spellStart"/>
            <w:r w:rsidRPr="00CE14A1">
              <w:rPr>
                <w:rStyle w:val="normaltextrun"/>
                <w:rFonts w:ascii="Times New Roman" w:eastAsia="Times New Roman" w:hAnsi="Times New Roman" w:cs="Times New Roman"/>
                <w:sz w:val="24"/>
                <w:szCs w:val="24"/>
                <w:lang w:eastAsia="lv-LV"/>
              </w:rPr>
              <w:t>izvērtējumam</w:t>
            </w:r>
            <w:proofErr w:type="spellEnd"/>
            <w:r w:rsidRPr="00CE14A1">
              <w:rPr>
                <w:rStyle w:val="normaltextrun"/>
                <w:rFonts w:ascii="Times New Roman" w:eastAsia="Times New Roman" w:hAnsi="Times New Roman" w:cs="Times New Roman"/>
                <w:sz w:val="24"/>
                <w:szCs w:val="24"/>
                <w:lang w:eastAsia="lv-LV"/>
              </w:rPr>
              <w:t xml:space="preserve">, </w:t>
            </w:r>
            <w:r w:rsidRPr="00CE14A1">
              <w:rPr>
                <w:rStyle w:val="normaltextrun"/>
                <w:rFonts w:ascii="Times New Roman" w:eastAsia="Times New Roman" w:hAnsi="Times New Roman" w:cs="Times New Roman"/>
                <w:b/>
                <w:sz w:val="24"/>
                <w:szCs w:val="24"/>
                <w:lang w:eastAsia="lv-LV"/>
              </w:rPr>
              <w:t>paredzams, ka Latvija nevarēs no EK saņemt attiecīga veida ES finansējumu, kas samazinās potenciālos valsts budžeta ieņēmumus</w:t>
            </w:r>
            <w:r w:rsidRPr="00CE14A1">
              <w:rPr>
                <w:rStyle w:val="normaltextrun"/>
                <w:rFonts w:ascii="Times New Roman" w:eastAsia="Times New Roman" w:hAnsi="Times New Roman" w:cs="Times New Roman"/>
                <w:sz w:val="24"/>
                <w:szCs w:val="24"/>
                <w:lang w:eastAsia="lv-LV"/>
              </w:rPr>
              <w:t xml:space="preserve"> salīdzinājumā ar situāciju, kad šādi kritēriji tiktu izpildīti.</w:t>
            </w:r>
          </w:p>
          <w:p w14:paraId="03C10951" w14:textId="3CAA2875" w:rsidR="003B39CC" w:rsidRPr="00CE14A1" w:rsidRDefault="00CE14A1" w:rsidP="00CE14A1">
            <w:pPr>
              <w:pStyle w:val="ListParagraph"/>
              <w:numPr>
                <w:ilvl w:val="0"/>
                <w:numId w:val="27"/>
              </w:numPr>
              <w:spacing w:before="120" w:after="120" w:line="240" w:lineRule="auto"/>
              <w:jc w:val="both"/>
              <w:rPr>
                <w:rFonts w:ascii="Times New Roman" w:eastAsia="Times New Roman" w:hAnsi="Times New Roman" w:cs="Times New Roman"/>
                <w:iCs/>
                <w:sz w:val="24"/>
                <w:szCs w:val="24"/>
                <w:lang w:eastAsia="lv-LV"/>
              </w:rPr>
            </w:pPr>
            <w:r w:rsidRPr="00CE14A1">
              <w:rPr>
                <w:rStyle w:val="normaltextrun"/>
                <w:rFonts w:ascii="Times New Roman" w:eastAsia="Times New Roman" w:hAnsi="Times New Roman" w:cs="Times New Roman"/>
                <w:sz w:val="24"/>
                <w:szCs w:val="24"/>
                <w:lang w:eastAsia="lv-LV"/>
              </w:rPr>
              <w:t xml:space="preserve">Vienlaikus paredzams, ka samazinoties elektroenerģijas cenām, </w:t>
            </w:r>
            <w:r w:rsidRPr="00CE14A1">
              <w:rPr>
                <w:rStyle w:val="normaltextrun"/>
                <w:rFonts w:ascii="Times New Roman" w:eastAsia="Times New Roman" w:hAnsi="Times New Roman" w:cs="Times New Roman"/>
                <w:b/>
                <w:sz w:val="24"/>
                <w:szCs w:val="24"/>
                <w:lang w:eastAsia="lv-LV"/>
              </w:rPr>
              <w:t>straujāk varēs attīstīties uzņēmumi, kuru izmaksās elektroenerģijas cenām ir augsts īpatsvars un attiecīgi palielināsies nodokļu ieņēmumi valsts budžetā no šādiem uzņēmumiem</w:t>
            </w:r>
            <w:r w:rsidRPr="00CE14A1">
              <w:rPr>
                <w:rStyle w:val="normaltextrun"/>
                <w:rFonts w:ascii="Times New Roman" w:eastAsia="Times New Roman" w:hAnsi="Times New Roman" w:cs="Times New Roman"/>
                <w:sz w:val="24"/>
                <w:szCs w:val="24"/>
                <w:lang w:eastAsia="lv-LV"/>
              </w:rPr>
              <w:t>.</w:t>
            </w:r>
          </w:p>
        </w:tc>
      </w:tr>
    </w:tbl>
    <w:p w14:paraId="30204EB5"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31F7" w:rsidRPr="00B531F7" w14:paraId="3995AE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783BA9"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IV. Tiesību akta projekta ietekme uz spēkā esošo tiesību normu sistēmu</w:t>
            </w:r>
          </w:p>
        </w:tc>
      </w:tr>
      <w:tr w:rsidR="00B531F7" w:rsidRPr="00B531F7" w14:paraId="226EBC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4C3C4D"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B233A3"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75FF63" w14:textId="26D0D755" w:rsidR="003D002C" w:rsidRDefault="003D002C" w:rsidP="00E729EE">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E729EE">
              <w:rPr>
                <w:rFonts w:ascii="Times New Roman" w:eastAsia="Times New Roman" w:hAnsi="Times New Roman" w:cs="Times New Roman"/>
                <w:iCs/>
                <w:sz w:val="24"/>
                <w:szCs w:val="24"/>
                <w:lang w:eastAsia="lv-LV"/>
              </w:rPr>
              <w:t xml:space="preserve">ar </w:t>
            </w:r>
            <w:r>
              <w:rPr>
                <w:rFonts w:ascii="Times New Roman" w:eastAsia="Times New Roman" w:hAnsi="Times New Roman" w:cs="Times New Roman"/>
                <w:iCs/>
                <w:sz w:val="24"/>
                <w:szCs w:val="24"/>
                <w:lang w:eastAsia="lv-LV"/>
              </w:rPr>
              <w:t>Likumprojekt</w:t>
            </w:r>
            <w:r w:rsidR="00E729EE">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paredzēts dzēst vairākus</w:t>
            </w:r>
            <w:r w:rsidR="00E729EE">
              <w:rPr>
                <w:rFonts w:ascii="Times New Roman" w:eastAsia="Times New Roman" w:hAnsi="Times New Roman" w:cs="Times New Roman"/>
                <w:iCs/>
                <w:sz w:val="24"/>
                <w:szCs w:val="24"/>
                <w:lang w:eastAsia="lv-LV"/>
              </w:rPr>
              <w:t xml:space="preserve"> ETL</w:t>
            </w:r>
            <w:r>
              <w:rPr>
                <w:rFonts w:ascii="Times New Roman" w:eastAsia="Times New Roman" w:hAnsi="Times New Roman" w:cs="Times New Roman"/>
                <w:iCs/>
                <w:sz w:val="24"/>
                <w:szCs w:val="24"/>
                <w:lang w:eastAsia="lv-LV"/>
              </w:rPr>
              <w:t xml:space="preserve"> pantus</w:t>
            </w:r>
            <w:r w:rsidR="00E729E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saskaņā ar kuriem izdoti citi tiesību akti, līdz ar Likumprojektā noteiktajiem termiņiem </w:t>
            </w:r>
            <w:r w:rsidRPr="003D002C">
              <w:rPr>
                <w:rFonts w:ascii="Times New Roman" w:eastAsia="Times New Roman" w:hAnsi="Times New Roman" w:cs="Times New Roman"/>
                <w:iCs/>
                <w:sz w:val="24"/>
                <w:szCs w:val="24"/>
                <w:lang w:eastAsia="lv-LV"/>
              </w:rPr>
              <w:t xml:space="preserve">par spēku zaudē </w:t>
            </w:r>
            <w:r>
              <w:rPr>
                <w:rFonts w:ascii="Times New Roman" w:eastAsia="Times New Roman" w:hAnsi="Times New Roman" w:cs="Times New Roman"/>
                <w:iCs/>
                <w:sz w:val="24"/>
                <w:szCs w:val="24"/>
                <w:lang w:eastAsia="lv-LV"/>
              </w:rPr>
              <w:t>šādi tiesību akti:</w:t>
            </w:r>
          </w:p>
          <w:p w14:paraId="52F63503" w14:textId="719885B8" w:rsidR="003D002C" w:rsidRDefault="003D002C" w:rsidP="004B2695">
            <w:pPr>
              <w:spacing w:before="120" w:after="120" w:line="240" w:lineRule="auto"/>
              <w:jc w:val="both"/>
              <w:rPr>
                <w:rFonts w:ascii="Times New Roman" w:hAnsi="Times New Roman"/>
                <w:sz w:val="24"/>
                <w:szCs w:val="24"/>
              </w:rPr>
            </w:pPr>
            <w:r>
              <w:rPr>
                <w:rFonts w:ascii="Times New Roman" w:eastAsia="Times New Roman" w:hAnsi="Times New Roman" w:cs="Times New Roman"/>
                <w:iCs/>
                <w:sz w:val="24"/>
                <w:szCs w:val="24"/>
                <w:lang w:eastAsia="lv-LV"/>
              </w:rPr>
              <w:t xml:space="preserve">1) Ministru kabineta 2010.gada 16.marta noteikumi </w:t>
            </w:r>
            <w:r>
              <w:rPr>
                <w:rFonts w:ascii="Times New Roman" w:hAnsi="Times New Roman"/>
                <w:sz w:val="24"/>
                <w:szCs w:val="24"/>
              </w:rPr>
              <w:t>Nr.262 “</w:t>
            </w:r>
            <w:r w:rsidRPr="00C518CE">
              <w:rPr>
                <w:rFonts w:ascii="Times New Roman" w:hAnsi="Times New Roman"/>
                <w:sz w:val="24"/>
                <w:szCs w:val="24"/>
              </w:rPr>
              <w:t>Noteikumi par elektroenerģijas ražošanu, izmantojot atjaunojamos energoresursus, un cenu noteikšanas kārtību</w:t>
            </w:r>
            <w:r>
              <w:rPr>
                <w:rFonts w:ascii="Times New Roman" w:hAnsi="Times New Roman"/>
                <w:sz w:val="24"/>
                <w:szCs w:val="24"/>
              </w:rPr>
              <w:t xml:space="preserve">” – ar 2019.gada </w:t>
            </w:r>
            <w:r w:rsidR="00E729EE">
              <w:rPr>
                <w:rFonts w:ascii="Times New Roman" w:hAnsi="Times New Roman"/>
                <w:sz w:val="24"/>
                <w:szCs w:val="24"/>
              </w:rPr>
              <w:t>1</w:t>
            </w:r>
            <w:r>
              <w:rPr>
                <w:rFonts w:ascii="Times New Roman" w:hAnsi="Times New Roman"/>
                <w:sz w:val="24"/>
                <w:szCs w:val="24"/>
              </w:rPr>
              <w:t>.</w:t>
            </w:r>
            <w:r w:rsidR="00E729EE">
              <w:rPr>
                <w:rFonts w:ascii="Times New Roman" w:hAnsi="Times New Roman"/>
                <w:sz w:val="24"/>
                <w:szCs w:val="24"/>
              </w:rPr>
              <w:t>aprīli</w:t>
            </w:r>
            <w:r w:rsidR="00574766">
              <w:rPr>
                <w:rFonts w:ascii="Times New Roman" w:hAnsi="Times New Roman"/>
                <w:sz w:val="24"/>
                <w:szCs w:val="24"/>
              </w:rPr>
              <w:t>;</w:t>
            </w:r>
          </w:p>
          <w:p w14:paraId="022DFEE0" w14:textId="3B66E31B" w:rsidR="003D002C" w:rsidRDefault="003D002C" w:rsidP="004B2695">
            <w:pPr>
              <w:spacing w:before="120" w:after="120" w:line="240" w:lineRule="auto"/>
              <w:jc w:val="both"/>
              <w:rPr>
                <w:rFonts w:ascii="Times New Roman" w:hAnsi="Times New Roman"/>
                <w:sz w:val="24"/>
                <w:szCs w:val="24"/>
              </w:rPr>
            </w:pPr>
            <w:r>
              <w:rPr>
                <w:rFonts w:ascii="Times New Roman" w:hAnsi="Times New Roman"/>
                <w:sz w:val="24"/>
                <w:szCs w:val="24"/>
              </w:rPr>
              <w:t>2) Ministru kabineta 2009.gada 10.marta noteikumi Nr.221 “</w:t>
            </w:r>
            <w:r w:rsidRPr="001027BD">
              <w:rPr>
                <w:rFonts w:ascii="Times New Roman" w:hAnsi="Times New Roman"/>
                <w:sz w:val="24"/>
                <w:szCs w:val="24"/>
              </w:rPr>
              <w:t>Noteikumi par elektroenerģijas ražošanu un cenu noteikšanu, ražojot elektroenerģiju koģenerācijā</w:t>
            </w:r>
            <w:r>
              <w:rPr>
                <w:rFonts w:ascii="Times New Roman" w:hAnsi="Times New Roman"/>
                <w:sz w:val="24"/>
                <w:szCs w:val="24"/>
              </w:rPr>
              <w:t xml:space="preserve">” – ar 2019.gada </w:t>
            </w:r>
            <w:r w:rsidR="00E729EE">
              <w:rPr>
                <w:rFonts w:ascii="Times New Roman" w:hAnsi="Times New Roman"/>
                <w:sz w:val="24"/>
                <w:szCs w:val="24"/>
              </w:rPr>
              <w:t>1.aprīli</w:t>
            </w:r>
            <w:r w:rsidR="00574766">
              <w:rPr>
                <w:rFonts w:ascii="Times New Roman" w:hAnsi="Times New Roman"/>
                <w:sz w:val="24"/>
                <w:szCs w:val="24"/>
              </w:rPr>
              <w:t>;</w:t>
            </w:r>
          </w:p>
          <w:p w14:paraId="6544FB6F" w14:textId="4AB2F0B1" w:rsidR="003D002C" w:rsidRPr="004E68A3" w:rsidRDefault="003D002C" w:rsidP="004E68A3">
            <w:pPr>
              <w:spacing w:before="120" w:after="120" w:line="240" w:lineRule="auto"/>
              <w:jc w:val="both"/>
              <w:rPr>
                <w:rFonts w:ascii="Times New Roman" w:hAnsi="Times New Roman"/>
                <w:sz w:val="24"/>
                <w:szCs w:val="24"/>
              </w:rPr>
            </w:pPr>
            <w:r>
              <w:rPr>
                <w:rFonts w:ascii="Times New Roman" w:hAnsi="Times New Roman"/>
                <w:sz w:val="24"/>
                <w:szCs w:val="24"/>
              </w:rPr>
              <w:t xml:space="preserve">3) </w:t>
            </w:r>
            <w:r w:rsidRPr="003D002C">
              <w:rPr>
                <w:rFonts w:ascii="Times New Roman" w:hAnsi="Times New Roman"/>
                <w:sz w:val="24"/>
                <w:szCs w:val="24"/>
              </w:rPr>
              <w:t xml:space="preserve">Sabiedrisko pakalpojumu regulēšanas komisijas </w:t>
            </w:r>
            <w:r>
              <w:rPr>
                <w:rFonts w:ascii="Times New Roman" w:hAnsi="Times New Roman"/>
                <w:sz w:val="24"/>
                <w:szCs w:val="24"/>
              </w:rPr>
              <w:t xml:space="preserve">2017.gada </w:t>
            </w:r>
            <w:r w:rsidRPr="003D002C">
              <w:rPr>
                <w:rFonts w:ascii="Times New Roman" w:hAnsi="Times New Roman"/>
                <w:sz w:val="24"/>
                <w:szCs w:val="24"/>
              </w:rPr>
              <w:t>14.</w:t>
            </w:r>
            <w:r>
              <w:rPr>
                <w:rFonts w:ascii="Times New Roman" w:hAnsi="Times New Roman"/>
                <w:sz w:val="24"/>
                <w:szCs w:val="24"/>
              </w:rPr>
              <w:t xml:space="preserve">septembra </w:t>
            </w:r>
            <w:r w:rsidRPr="003D002C">
              <w:rPr>
                <w:rFonts w:ascii="Times New Roman" w:hAnsi="Times New Roman"/>
                <w:sz w:val="24"/>
                <w:szCs w:val="24"/>
              </w:rPr>
              <w:t>lēmums Nr. 1/24</w:t>
            </w:r>
            <w:r w:rsidR="005B5996">
              <w:rPr>
                <w:rFonts w:ascii="Times New Roman" w:hAnsi="Times New Roman"/>
                <w:sz w:val="24"/>
                <w:szCs w:val="24"/>
              </w:rPr>
              <w:t xml:space="preserve"> “</w:t>
            </w:r>
            <w:r w:rsidR="005B5996" w:rsidRPr="003D002C">
              <w:rPr>
                <w:rFonts w:ascii="Times New Roman" w:hAnsi="Times New Roman"/>
                <w:sz w:val="24"/>
                <w:szCs w:val="24"/>
              </w:rPr>
              <w:t>Obligātā iepirkuma un jaudas komponenšu aprēķināšanas metodika</w:t>
            </w:r>
            <w:r w:rsidR="005B5996">
              <w:rPr>
                <w:rFonts w:ascii="Times New Roman" w:hAnsi="Times New Roman"/>
                <w:sz w:val="24"/>
                <w:szCs w:val="24"/>
              </w:rPr>
              <w:t xml:space="preserve">” -  ar 2019.gada </w:t>
            </w:r>
            <w:r w:rsidR="00E729EE">
              <w:rPr>
                <w:rFonts w:ascii="Times New Roman" w:hAnsi="Times New Roman"/>
                <w:sz w:val="24"/>
                <w:szCs w:val="24"/>
              </w:rPr>
              <w:t>1.aprīli.</w:t>
            </w:r>
          </w:p>
        </w:tc>
      </w:tr>
      <w:tr w:rsidR="00B531F7" w:rsidRPr="00B531F7" w14:paraId="20BBE5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441DEE"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3CE97D"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F8F1F98" w14:textId="2A432838" w:rsidR="0012149D" w:rsidRPr="0012149D" w:rsidRDefault="005B4F9D" w:rsidP="004B2695">
            <w:pPr>
              <w:spacing w:before="120" w:after="12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Likumprojekts šo jomu neskar.</w:t>
            </w:r>
          </w:p>
        </w:tc>
      </w:tr>
      <w:tr w:rsidR="00B531F7" w:rsidRPr="00B531F7" w14:paraId="0188CD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40EAE"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C42029"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12991D" w14:textId="1AC38A3B" w:rsidR="00E5323B" w:rsidRPr="00B531F7" w:rsidRDefault="00FE1A90"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846F4AE"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31F7" w:rsidRPr="00B531F7" w14:paraId="22C67D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5B611"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30113" w:rsidRPr="00B531F7" w14:paraId="08AE07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9322E1" w14:textId="3BD738B6" w:rsidR="00130113" w:rsidRPr="00327A5D" w:rsidRDefault="00130113" w:rsidP="004B2695">
            <w:pPr>
              <w:spacing w:before="120" w:after="120" w:line="240" w:lineRule="auto"/>
              <w:rPr>
                <w:rFonts w:ascii="Times New Roman" w:eastAsia="Times New Roman" w:hAnsi="Times New Roman" w:cs="Times New Roman"/>
                <w:bCs/>
                <w:iCs/>
                <w:sz w:val="24"/>
                <w:szCs w:val="24"/>
                <w:lang w:eastAsia="lv-LV"/>
              </w:rPr>
            </w:pPr>
            <w:r w:rsidRPr="00327A5D">
              <w:rPr>
                <w:rFonts w:ascii="Times New Roman" w:eastAsia="Times New Roman" w:hAnsi="Times New Roman" w:cs="Times New Roman"/>
                <w:bCs/>
                <w:iCs/>
                <w:sz w:val="24"/>
                <w:szCs w:val="24"/>
                <w:lang w:eastAsia="lv-LV"/>
              </w:rPr>
              <w:t>Likumprojekts šo jomu neskar.</w:t>
            </w:r>
          </w:p>
        </w:tc>
      </w:tr>
    </w:tbl>
    <w:p w14:paraId="4BE3A717" w14:textId="2BEB438B"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31F7" w:rsidRPr="00B531F7" w14:paraId="1C0EED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8DF578"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VI. Sabiedrības līdzdalība un komunikācijas aktivitātes</w:t>
            </w:r>
          </w:p>
        </w:tc>
      </w:tr>
      <w:tr w:rsidR="00B531F7" w:rsidRPr="00B531F7" w14:paraId="300385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C609BA"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6FCAC8"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4AE324" w14:textId="1C84A4CF" w:rsidR="009E665B" w:rsidRDefault="004A56F4" w:rsidP="004B2695">
            <w:pPr>
              <w:spacing w:before="120" w:after="120" w:line="240" w:lineRule="auto"/>
              <w:jc w:val="both"/>
              <w:rPr>
                <w:rFonts w:ascii="Times New Roman" w:eastAsia="Times New Roman" w:hAnsi="Times New Roman" w:cs="Times New Roman"/>
                <w:iCs/>
                <w:sz w:val="24"/>
                <w:szCs w:val="24"/>
                <w:lang w:eastAsia="lv-LV"/>
              </w:rPr>
            </w:pPr>
            <w:r w:rsidRPr="004A56F4">
              <w:rPr>
                <w:rFonts w:ascii="Times New Roman" w:eastAsia="Times New Roman" w:hAnsi="Times New Roman" w:cs="Times New Roman"/>
                <w:iCs/>
                <w:sz w:val="24"/>
                <w:szCs w:val="24"/>
                <w:lang w:eastAsia="lv-LV"/>
              </w:rPr>
              <w:t>Saeima 2019.gada 10.janvārī atbalstīja lēmuma projektu par obligātā iepirkuma komponentes atcelšanu</w:t>
            </w:r>
            <w:r>
              <w:rPr>
                <w:rFonts w:ascii="Times New Roman" w:eastAsia="Times New Roman" w:hAnsi="Times New Roman" w:cs="Times New Roman"/>
                <w:iCs/>
                <w:sz w:val="24"/>
                <w:szCs w:val="24"/>
                <w:lang w:eastAsia="lv-LV"/>
              </w:rPr>
              <w:t>, par ko informācija publicētā Saeimas mājaslapā</w:t>
            </w:r>
            <w:r>
              <w:rPr>
                <w:rStyle w:val="FootnoteReference"/>
                <w:rFonts w:ascii="Times New Roman" w:eastAsia="Times New Roman" w:hAnsi="Times New Roman" w:cs="Times New Roman"/>
                <w:iCs/>
                <w:sz w:val="24"/>
                <w:szCs w:val="24"/>
                <w:lang w:eastAsia="lv-LV"/>
              </w:rPr>
              <w:footnoteReference w:id="40"/>
            </w:r>
            <w:r w:rsidR="00077D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077D21">
              <w:rPr>
                <w:rFonts w:ascii="Times New Roman" w:eastAsia="Times New Roman" w:hAnsi="Times New Roman" w:cs="Times New Roman"/>
                <w:iCs/>
                <w:sz w:val="24"/>
                <w:szCs w:val="24"/>
                <w:lang w:eastAsia="lv-LV"/>
              </w:rPr>
              <w:t>Tāpat</w:t>
            </w:r>
            <w:r>
              <w:rPr>
                <w:rFonts w:ascii="Times New Roman" w:eastAsia="Times New Roman" w:hAnsi="Times New Roman" w:cs="Times New Roman"/>
                <w:iCs/>
                <w:sz w:val="24"/>
                <w:szCs w:val="24"/>
                <w:lang w:eastAsia="lv-LV"/>
              </w:rPr>
              <w:t xml:space="preserve"> Saeimas paziņojum</w:t>
            </w:r>
            <w:r w:rsidR="00077D21">
              <w:rPr>
                <w:rFonts w:ascii="Times New Roman" w:eastAsia="Times New Roman" w:hAnsi="Times New Roman" w:cs="Times New Roman"/>
                <w:iCs/>
                <w:sz w:val="24"/>
                <w:szCs w:val="24"/>
                <w:lang w:eastAsia="lv-LV"/>
              </w:rPr>
              <w:t xml:space="preserve">s publiski pieejams </w:t>
            </w:r>
            <w:r w:rsidR="005555D8">
              <w:rPr>
                <w:rFonts w:ascii="Times New Roman" w:eastAsia="Times New Roman" w:hAnsi="Times New Roman" w:cs="Times New Roman"/>
                <w:iCs/>
                <w:sz w:val="24"/>
                <w:szCs w:val="24"/>
                <w:lang w:eastAsia="lv-LV"/>
              </w:rPr>
              <w:t xml:space="preserve">Latvijas </w:t>
            </w:r>
            <w:r w:rsidR="00077D21">
              <w:rPr>
                <w:rFonts w:ascii="Times New Roman" w:eastAsia="Times New Roman" w:hAnsi="Times New Roman" w:cs="Times New Roman"/>
                <w:iCs/>
                <w:sz w:val="24"/>
                <w:szCs w:val="24"/>
                <w:lang w:eastAsia="lv-LV"/>
              </w:rPr>
              <w:t>tiesību aktu vietnē likumi.lv</w:t>
            </w:r>
            <w:r w:rsidR="00077D21">
              <w:rPr>
                <w:rStyle w:val="FootnoteReference"/>
                <w:rFonts w:ascii="Times New Roman" w:eastAsia="Times New Roman" w:hAnsi="Times New Roman" w:cs="Times New Roman"/>
                <w:iCs/>
                <w:sz w:val="24"/>
                <w:szCs w:val="24"/>
                <w:lang w:eastAsia="lv-LV"/>
              </w:rPr>
              <w:footnoteReference w:id="41"/>
            </w:r>
            <w:r w:rsidR="00077D21">
              <w:rPr>
                <w:rFonts w:ascii="Times New Roman" w:eastAsia="Times New Roman" w:hAnsi="Times New Roman" w:cs="Times New Roman"/>
                <w:iCs/>
                <w:sz w:val="24"/>
                <w:szCs w:val="24"/>
                <w:lang w:eastAsia="lv-LV"/>
              </w:rPr>
              <w:t xml:space="preserve">. </w:t>
            </w:r>
          </w:p>
          <w:p w14:paraId="49D1C6A7" w14:textId="2555D861" w:rsidR="009E665B" w:rsidRPr="0099429F" w:rsidRDefault="006F5B3C" w:rsidP="004B2695">
            <w:pPr>
              <w:spacing w:before="120" w:after="120" w:line="240" w:lineRule="auto"/>
              <w:jc w:val="both"/>
              <w:rPr>
                <w:rFonts w:ascii="Times New Roman" w:eastAsia="Times New Roman" w:hAnsi="Times New Roman" w:cs="Times New Roman"/>
                <w:iCs/>
                <w:sz w:val="24"/>
                <w:szCs w:val="24"/>
                <w:lang w:eastAsia="lv-LV"/>
              </w:rPr>
            </w:pPr>
            <w:r w:rsidRPr="006F5B3C">
              <w:rPr>
                <w:rFonts w:ascii="Times New Roman" w:eastAsia="Times New Roman" w:hAnsi="Times New Roman" w:cs="Times New Roman"/>
                <w:iCs/>
                <w:sz w:val="24"/>
                <w:szCs w:val="24"/>
                <w:lang w:eastAsia="lv-LV"/>
              </w:rPr>
              <w:t xml:space="preserve">2019.gada 29.janvāra </w:t>
            </w:r>
            <w:r w:rsidR="008B72DB">
              <w:rPr>
                <w:rFonts w:ascii="Times New Roman" w:eastAsia="Times New Roman" w:hAnsi="Times New Roman" w:cs="Times New Roman"/>
                <w:iCs/>
                <w:sz w:val="24"/>
                <w:szCs w:val="24"/>
                <w:lang w:eastAsia="lv-LV"/>
              </w:rPr>
              <w:t>M</w:t>
            </w:r>
            <w:r w:rsidRPr="006F5B3C">
              <w:rPr>
                <w:rFonts w:ascii="Times New Roman" w:eastAsia="Times New Roman" w:hAnsi="Times New Roman" w:cs="Times New Roman"/>
                <w:iCs/>
                <w:sz w:val="24"/>
                <w:szCs w:val="24"/>
                <w:lang w:eastAsia="lv-LV"/>
              </w:rPr>
              <w:t>inistru kabineta sēdē tika izskatīts Ekonomikas ministrijas informatīvais ziņojums</w:t>
            </w:r>
            <w:r w:rsidRPr="006F5B3C">
              <w:rPr>
                <w:rStyle w:val="FootnoteReference"/>
                <w:rFonts w:ascii="Times New Roman" w:eastAsia="Times New Roman" w:hAnsi="Times New Roman" w:cs="Times New Roman"/>
                <w:iCs/>
                <w:sz w:val="24"/>
                <w:szCs w:val="24"/>
                <w:lang w:eastAsia="lv-LV"/>
              </w:rPr>
              <w:footnoteReference w:id="42"/>
            </w:r>
            <w:r>
              <w:rPr>
                <w:rFonts w:ascii="Times New Roman" w:eastAsia="Times New Roman" w:hAnsi="Times New Roman" w:cs="Times New Roman"/>
                <w:iCs/>
                <w:sz w:val="24"/>
                <w:szCs w:val="24"/>
                <w:lang w:eastAsia="lv-LV"/>
              </w:rPr>
              <w:t xml:space="preserve"> “</w:t>
            </w:r>
            <w:r w:rsidRPr="006F5B3C">
              <w:rPr>
                <w:rFonts w:ascii="Times New Roman" w:eastAsia="Times New Roman" w:hAnsi="Times New Roman" w:cs="Times New Roman"/>
                <w:iCs/>
                <w:sz w:val="24"/>
                <w:szCs w:val="24"/>
                <w:lang w:eastAsia="lv-LV"/>
              </w:rPr>
              <w:t>Par elektroenerģijas obligātā iepirkuma un garantētās maksas par uzstādīto jaudu regulējumu, uzraudzību un rīcību pēc Saeimas 2019.gada 10.janvāra lēmuma</w:t>
            </w:r>
            <w:r>
              <w:rPr>
                <w:rFonts w:ascii="Times New Roman" w:eastAsia="Times New Roman" w:hAnsi="Times New Roman" w:cs="Times New Roman"/>
                <w:iCs/>
                <w:sz w:val="24"/>
                <w:szCs w:val="24"/>
                <w:lang w:eastAsia="lv-LV"/>
              </w:rPr>
              <w:t>”</w:t>
            </w:r>
            <w:r w:rsidR="0066299B">
              <w:rPr>
                <w:rFonts w:ascii="Times New Roman" w:eastAsia="Times New Roman" w:hAnsi="Times New Roman" w:cs="Times New Roman"/>
                <w:iCs/>
                <w:sz w:val="24"/>
                <w:szCs w:val="24"/>
                <w:lang w:eastAsia="lv-LV"/>
              </w:rPr>
              <w:t>,</w:t>
            </w:r>
            <w:r w:rsidR="0099429F">
              <w:rPr>
                <w:rFonts w:ascii="Times New Roman" w:eastAsia="Times New Roman" w:hAnsi="Times New Roman" w:cs="Times New Roman"/>
                <w:iCs/>
                <w:sz w:val="24"/>
                <w:szCs w:val="24"/>
                <w:lang w:eastAsia="lv-LV"/>
              </w:rPr>
              <w:t xml:space="preserve"> ar ko</w:t>
            </w:r>
            <w:r w:rsidR="0066299B">
              <w:rPr>
                <w:rFonts w:ascii="Times New Roman" w:eastAsia="Times New Roman" w:hAnsi="Times New Roman" w:cs="Times New Roman"/>
                <w:iCs/>
                <w:sz w:val="24"/>
                <w:szCs w:val="24"/>
                <w:lang w:eastAsia="lv-LV"/>
              </w:rPr>
              <w:t xml:space="preserve"> </w:t>
            </w:r>
            <w:r w:rsidR="0099429F">
              <w:rPr>
                <w:rFonts w:ascii="Times New Roman" w:eastAsia="Times New Roman" w:hAnsi="Times New Roman" w:cs="Times New Roman"/>
                <w:iCs/>
                <w:sz w:val="24"/>
                <w:szCs w:val="24"/>
                <w:lang w:eastAsia="lv-LV"/>
              </w:rPr>
              <w:t xml:space="preserve">Ministru kabinets un sabiedrība tika </w:t>
            </w:r>
            <w:r w:rsidR="0066299B">
              <w:rPr>
                <w:rFonts w:ascii="Times New Roman" w:eastAsia="Times New Roman" w:hAnsi="Times New Roman" w:cs="Times New Roman"/>
                <w:iCs/>
                <w:sz w:val="24"/>
                <w:szCs w:val="24"/>
                <w:lang w:eastAsia="lv-LV"/>
              </w:rPr>
              <w:t>informēt</w:t>
            </w:r>
            <w:r w:rsidR="0099429F">
              <w:rPr>
                <w:rFonts w:ascii="Times New Roman" w:eastAsia="Times New Roman" w:hAnsi="Times New Roman" w:cs="Times New Roman"/>
                <w:iCs/>
                <w:sz w:val="24"/>
                <w:szCs w:val="24"/>
                <w:lang w:eastAsia="lv-LV"/>
              </w:rPr>
              <w:t>a</w:t>
            </w:r>
            <w:r w:rsidR="0066299B">
              <w:rPr>
                <w:rFonts w:ascii="Times New Roman" w:eastAsia="Times New Roman" w:hAnsi="Times New Roman" w:cs="Times New Roman"/>
                <w:iCs/>
                <w:sz w:val="24"/>
                <w:szCs w:val="24"/>
                <w:lang w:eastAsia="lv-LV"/>
              </w:rPr>
              <w:t xml:space="preserve"> par Saeimas 2019.gada 10.janvāra lēmumu un Ekonomikas ministrijas plānoto rīcību.</w:t>
            </w:r>
          </w:p>
          <w:p w14:paraId="1CDB9C2F" w14:textId="77777777" w:rsidR="00966E88" w:rsidRPr="00B531F7" w:rsidRDefault="00966E88" w:rsidP="004B2695">
            <w:pPr>
              <w:spacing w:before="120" w:after="120" w:line="240" w:lineRule="auto"/>
              <w:rPr>
                <w:rFonts w:ascii="Times New Roman" w:eastAsia="Times New Roman" w:hAnsi="Times New Roman" w:cs="Times New Roman"/>
                <w:iCs/>
                <w:sz w:val="24"/>
                <w:szCs w:val="24"/>
                <w:lang w:eastAsia="lv-LV"/>
              </w:rPr>
            </w:pPr>
          </w:p>
        </w:tc>
      </w:tr>
      <w:tr w:rsidR="00B531F7" w:rsidRPr="00B531F7" w14:paraId="5B7D38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1C5D3"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7EDEC9"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D174D9" w14:textId="07BA4DC4" w:rsidR="008C0339" w:rsidRDefault="00513365" w:rsidP="00434688">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Diskusijas par Likumprojektā ietverto risinājumu notikušas dažādos formātos. </w:t>
            </w:r>
          </w:p>
          <w:p w14:paraId="304142C1" w14:textId="000B98EF" w:rsidR="00513365" w:rsidRPr="00CA6F5B" w:rsidRDefault="00CA6F5B" w:rsidP="004B2695">
            <w:pPr>
              <w:spacing w:before="120" w:after="120" w:line="240" w:lineRule="auto"/>
              <w:jc w:val="both"/>
              <w:rPr>
                <w:rFonts w:ascii="Times New Roman" w:hAnsi="Times New Roman" w:cs="Times New Roman"/>
                <w:sz w:val="24"/>
              </w:rPr>
            </w:pPr>
            <w:r w:rsidRPr="00CA6F5B">
              <w:rPr>
                <w:rFonts w:ascii="Times New Roman" w:eastAsia="Times New Roman" w:hAnsi="Times New Roman" w:cs="Times New Roman"/>
                <w:iCs/>
                <w:sz w:val="24"/>
                <w:szCs w:val="24"/>
                <w:lang w:eastAsia="lv-LV"/>
              </w:rPr>
              <w:t>R</w:t>
            </w:r>
            <w:r w:rsidR="00513365" w:rsidRPr="00CA6F5B">
              <w:rPr>
                <w:rFonts w:ascii="Times New Roman" w:eastAsia="Times New Roman" w:hAnsi="Times New Roman" w:cs="Times New Roman"/>
                <w:iCs/>
                <w:sz w:val="24"/>
                <w:szCs w:val="24"/>
                <w:lang w:eastAsia="lv-LV"/>
              </w:rPr>
              <w:t>akstiski savu viedokli par OI mehānisma atcelšanas iespējamajām ietekmēm</w:t>
            </w:r>
            <w:r w:rsidRPr="00CA6F5B">
              <w:rPr>
                <w:rFonts w:ascii="Times New Roman" w:eastAsia="Times New Roman" w:hAnsi="Times New Roman" w:cs="Times New Roman"/>
                <w:iCs/>
                <w:sz w:val="24"/>
                <w:szCs w:val="24"/>
                <w:lang w:eastAsia="lv-LV"/>
              </w:rPr>
              <w:t xml:space="preserve"> sniegušas šādas institūcijas: AS “Augstspriegumu tīkls”, Finanšu ministrija, Finanšu nozares asociācija, Latvijas Atjaunojamās enerģijas federācija, Lauksaimnieku organizācijas sadarbības padome, Latvijas Siltumuzņēmumu asociācija, Sabiedrisko pakalpojumu regulēšanas komisija, Vides aizsardzības un reģionālās attīstības ministrija, Zemkopības ministrija un AS “Latvenergo”</w:t>
            </w:r>
            <w:r w:rsidRPr="00CA6F5B">
              <w:rPr>
                <w:rFonts w:ascii="Times New Roman" w:hAnsi="Times New Roman" w:cs="Times New Roman"/>
                <w:b/>
                <w:sz w:val="24"/>
              </w:rPr>
              <w:t xml:space="preserve"> </w:t>
            </w:r>
          </w:p>
          <w:p w14:paraId="786829C7" w14:textId="693AF1E7" w:rsidR="00513365" w:rsidRDefault="00513365"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klātienes sanāksmēs ar ekonomikas ministru OI mehānisma atcelšanas iespējamās ietekmes pārrunātas ar </w:t>
            </w:r>
            <w:r w:rsidR="006868F0" w:rsidRPr="006868F0">
              <w:rPr>
                <w:rFonts w:ascii="Times New Roman" w:eastAsia="Times New Roman" w:hAnsi="Times New Roman" w:cs="Times New Roman"/>
                <w:iCs/>
                <w:sz w:val="24"/>
                <w:szCs w:val="24"/>
                <w:lang w:eastAsia="lv-LV"/>
              </w:rPr>
              <w:t xml:space="preserve">Latvijas Tirdzniecības un rūpniecības kameru, Latvijas Darba devēju konfederāciju, Mašīnbūves un metālapstrādes rūpniecības asociāciju, Būvmateriālu ražotāju asociāciju, Latvijas Siltumuzņēmumu asociāciju, Latvijas Atjaunojamās enerģijas federāciju, Ārvalstu investoru padomi Latvijā,  Lauksaimnieku organizāciju sadarbības padomi, Latvijas </w:t>
            </w:r>
            <w:r w:rsidR="006868F0" w:rsidRPr="006868F0">
              <w:rPr>
                <w:rFonts w:ascii="Times New Roman" w:eastAsia="Times New Roman" w:hAnsi="Times New Roman" w:cs="Times New Roman"/>
                <w:iCs/>
                <w:sz w:val="24"/>
                <w:szCs w:val="24"/>
                <w:lang w:eastAsia="lv-LV"/>
              </w:rPr>
              <w:lastRenderedPageBreak/>
              <w:t xml:space="preserve">Elektroenerģētiķu un </w:t>
            </w:r>
            <w:proofErr w:type="spellStart"/>
            <w:r w:rsidR="006868F0" w:rsidRPr="006868F0">
              <w:rPr>
                <w:rFonts w:ascii="Times New Roman" w:eastAsia="Times New Roman" w:hAnsi="Times New Roman" w:cs="Times New Roman"/>
                <w:iCs/>
                <w:sz w:val="24"/>
                <w:szCs w:val="24"/>
                <w:lang w:eastAsia="lv-LV"/>
              </w:rPr>
              <w:t>Energobūvnieku</w:t>
            </w:r>
            <w:proofErr w:type="spellEnd"/>
            <w:r w:rsidR="006868F0" w:rsidRPr="006868F0">
              <w:rPr>
                <w:rFonts w:ascii="Times New Roman" w:eastAsia="Times New Roman" w:hAnsi="Times New Roman" w:cs="Times New Roman"/>
                <w:iCs/>
                <w:sz w:val="24"/>
                <w:szCs w:val="24"/>
                <w:lang w:eastAsia="lv-LV"/>
              </w:rPr>
              <w:t xml:space="preserve"> asociāciju, LOSP, Latvijas Brīvo Arodbiedrību Savienību</w:t>
            </w:r>
            <w:r w:rsidR="00CA6F5B">
              <w:rPr>
                <w:rFonts w:ascii="Times New Roman" w:eastAsia="Times New Roman" w:hAnsi="Times New Roman" w:cs="Times New Roman"/>
                <w:iCs/>
                <w:sz w:val="24"/>
                <w:szCs w:val="24"/>
                <w:lang w:eastAsia="lv-LV"/>
              </w:rPr>
              <w:t xml:space="preserve">, </w:t>
            </w:r>
            <w:r w:rsidR="006868F0" w:rsidRPr="006868F0">
              <w:rPr>
                <w:rFonts w:ascii="Times New Roman" w:eastAsia="Times New Roman" w:hAnsi="Times New Roman" w:cs="Times New Roman"/>
                <w:iCs/>
                <w:sz w:val="24"/>
                <w:szCs w:val="24"/>
                <w:lang w:eastAsia="lv-LV"/>
              </w:rPr>
              <w:t>AS “Augstspriegumu tīkls”, Finanšu ministriju, Sabiedrisko pakalpojumu regulēšanas komisiju, AS “Enerģijas publiskais tirgotājs”, AS “Latvenergo”</w:t>
            </w:r>
            <w:r w:rsidR="00CA6F5B">
              <w:rPr>
                <w:rFonts w:ascii="Times New Roman" w:eastAsia="Times New Roman" w:hAnsi="Times New Roman" w:cs="Times New Roman"/>
                <w:iCs/>
                <w:sz w:val="24"/>
                <w:szCs w:val="24"/>
                <w:lang w:eastAsia="lv-LV"/>
              </w:rPr>
              <w:t xml:space="preserve"> un</w:t>
            </w:r>
            <w:r w:rsidR="006868F0" w:rsidRPr="006868F0">
              <w:rPr>
                <w:rFonts w:ascii="Times New Roman" w:eastAsia="Times New Roman" w:hAnsi="Times New Roman" w:cs="Times New Roman"/>
                <w:iCs/>
                <w:sz w:val="24"/>
                <w:szCs w:val="24"/>
                <w:lang w:eastAsia="lv-LV"/>
              </w:rPr>
              <w:t xml:space="preserve"> AS “Sadales tīkls”</w:t>
            </w:r>
            <w:r w:rsidR="00CA6F5B">
              <w:rPr>
                <w:rFonts w:ascii="Times New Roman" w:eastAsia="Times New Roman" w:hAnsi="Times New Roman" w:cs="Times New Roman"/>
                <w:iCs/>
                <w:sz w:val="24"/>
                <w:szCs w:val="24"/>
                <w:lang w:eastAsia="lv-LV"/>
              </w:rPr>
              <w:t>.</w:t>
            </w:r>
          </w:p>
          <w:p w14:paraId="7D02477B" w14:textId="37487CCC" w:rsidR="00966E88" w:rsidRPr="00B531F7" w:rsidRDefault="00966E88" w:rsidP="004B2695">
            <w:pPr>
              <w:spacing w:before="120" w:after="120" w:line="240" w:lineRule="auto"/>
              <w:rPr>
                <w:rFonts w:ascii="Times New Roman" w:eastAsia="Times New Roman" w:hAnsi="Times New Roman" w:cs="Times New Roman"/>
                <w:iCs/>
                <w:sz w:val="24"/>
                <w:szCs w:val="24"/>
                <w:lang w:eastAsia="lv-LV"/>
              </w:rPr>
            </w:pPr>
          </w:p>
        </w:tc>
      </w:tr>
      <w:tr w:rsidR="00B531F7" w:rsidRPr="00B531F7" w14:paraId="753F9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90DCC"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C3312A"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2C6853" w14:textId="3D0A6643" w:rsidR="00F24351" w:rsidRDefault="00541599" w:rsidP="004B2695">
            <w:pPr>
              <w:pStyle w:val="tv213"/>
              <w:shd w:val="clear" w:color="auto" w:fill="FFFFFF"/>
              <w:spacing w:before="120" w:beforeAutospacing="0" w:after="120" w:afterAutospacing="0"/>
              <w:jc w:val="both"/>
              <w:rPr>
                <w:iCs/>
              </w:rPr>
            </w:pPr>
            <w:r w:rsidRPr="00541599">
              <w:rPr>
                <w:iCs/>
              </w:rPr>
              <w:t xml:space="preserve">Sabiedrības pārstāvju un citu iesaistīto institūciju viedokļi ir ņemti vērā, sagatavojot Likumprojekta sākotnējas ietekmes </w:t>
            </w:r>
            <w:r w:rsidR="005555D8" w:rsidRPr="00541599">
              <w:rPr>
                <w:iCs/>
              </w:rPr>
              <w:t>izvērtēj</w:t>
            </w:r>
            <w:r w:rsidR="005555D8">
              <w:rPr>
                <w:iCs/>
              </w:rPr>
              <w:t>u</w:t>
            </w:r>
            <w:r w:rsidR="005555D8" w:rsidRPr="00541599">
              <w:rPr>
                <w:iCs/>
              </w:rPr>
              <w:t>mu</w:t>
            </w:r>
            <w:r w:rsidRPr="00541599">
              <w:rPr>
                <w:iCs/>
              </w:rPr>
              <w:t>, tādējādi atspoguļojot iesaistīto pušu viedokli par Saeimas 2019.gada 10.janvāra lēmuma izpildes iespējamajām sekām.</w:t>
            </w:r>
          </w:p>
          <w:p w14:paraId="38C19360" w14:textId="0451FB90" w:rsidR="00966E88" w:rsidRPr="00B531F7" w:rsidRDefault="00541599" w:rsidP="004B2695">
            <w:pPr>
              <w:pStyle w:val="tv213"/>
              <w:shd w:val="clear" w:color="auto" w:fill="FFFFFF"/>
              <w:spacing w:before="120" w:beforeAutospacing="0" w:after="120" w:afterAutospacing="0"/>
              <w:jc w:val="both"/>
              <w:rPr>
                <w:iCs/>
              </w:rPr>
            </w:pPr>
            <w:r w:rsidRPr="00541599">
              <w:rPr>
                <w:iCs/>
              </w:rPr>
              <w:t xml:space="preserve">Ņemts vērā pārvades sistēmas operatora viedoklis par AS “Latvenergo” elektrostaciju TEC-1 un TEC-2 nozīmīgo lomu elektroenerģijas sistēmas stabilitātes nodrošināšanā un elektroenerģijas </w:t>
            </w:r>
            <w:proofErr w:type="spellStart"/>
            <w:r w:rsidRPr="00541599">
              <w:rPr>
                <w:iCs/>
              </w:rPr>
              <w:t>vairumtirgus</w:t>
            </w:r>
            <w:proofErr w:type="spellEnd"/>
            <w:r w:rsidRPr="00541599">
              <w:rPr>
                <w:iCs/>
              </w:rPr>
              <w:t xml:space="preserve"> cenas ierobežošanā, </w:t>
            </w:r>
            <w:r>
              <w:rPr>
                <w:iCs/>
              </w:rPr>
              <w:t xml:space="preserve">ar Likumprojektu </w:t>
            </w:r>
            <w:r w:rsidRPr="00541599">
              <w:rPr>
                <w:iCs/>
              </w:rPr>
              <w:t>uzliekot par pienākumu minētajām stacijām nodrošināt darbību līdz sākotnēj</w:t>
            </w:r>
            <w:r>
              <w:rPr>
                <w:iCs/>
              </w:rPr>
              <w:t>i</w:t>
            </w:r>
            <w:r w:rsidRPr="00541599">
              <w:rPr>
                <w:iCs/>
              </w:rPr>
              <w:t xml:space="preserve"> plānotajām atbalsta perioda beigām.</w:t>
            </w:r>
          </w:p>
        </w:tc>
      </w:tr>
      <w:tr w:rsidR="00B531F7" w:rsidRPr="00B531F7" w14:paraId="0970B7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1B241"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50213C"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17C86B" w14:textId="60E98204" w:rsidR="00E5323B" w:rsidRPr="00B531F7" w:rsidRDefault="00541599"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4E6BC0"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31F7" w:rsidRPr="00B531F7" w14:paraId="0413C5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88899B" w14:textId="77777777" w:rsidR="00655F2C" w:rsidRPr="00B531F7" w:rsidRDefault="00E5323B" w:rsidP="004B2695">
            <w:pPr>
              <w:spacing w:before="120" w:after="120" w:line="240" w:lineRule="auto"/>
              <w:rPr>
                <w:rFonts w:ascii="Times New Roman" w:eastAsia="Times New Roman" w:hAnsi="Times New Roman" w:cs="Times New Roman"/>
                <w:b/>
                <w:bCs/>
                <w:iCs/>
                <w:sz w:val="24"/>
                <w:szCs w:val="24"/>
                <w:lang w:eastAsia="lv-LV"/>
              </w:rPr>
            </w:pPr>
            <w:r w:rsidRPr="00B531F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31F7" w:rsidRPr="00B531F7" w14:paraId="53B374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8D3A5D"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04BA5C"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E6E1438" w14:textId="26BF1D50" w:rsidR="00E5323B" w:rsidRDefault="0054159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Atceļot OI mehānismu, administratīvie akti </w:t>
            </w:r>
            <w:r w:rsidR="005555D8">
              <w:rPr>
                <w:rFonts w:ascii="Times New Roman" w:eastAsia="Times New Roman" w:hAnsi="Times New Roman" w:cs="Times New Roman"/>
                <w:iCs/>
                <w:sz w:val="24"/>
                <w:szCs w:val="24"/>
                <w:lang w:eastAsia="lv-LV"/>
              </w:rPr>
              <w:t xml:space="preserve">par OI tiesību piešķiršanu </w:t>
            </w:r>
            <w:r>
              <w:rPr>
                <w:rFonts w:ascii="Times New Roman" w:eastAsia="Times New Roman" w:hAnsi="Times New Roman" w:cs="Times New Roman"/>
                <w:iCs/>
                <w:sz w:val="24"/>
                <w:szCs w:val="24"/>
                <w:lang w:eastAsia="lv-LV"/>
              </w:rPr>
              <w:t>automātiski zaudē spēku, līdz ar to nevienai institūcijai nav jānodrošina attiecīgā Likumprojektā ietvertā pasākuma ieviešana.</w:t>
            </w:r>
          </w:p>
          <w:p w14:paraId="4829437D" w14:textId="63523394" w:rsidR="00541599" w:rsidRDefault="00541599" w:rsidP="004B2695">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w:t>
            </w:r>
            <w:proofErr w:type="spellStart"/>
            <w:r>
              <w:rPr>
                <w:rFonts w:ascii="Times New Roman" w:eastAsia="Times New Roman" w:hAnsi="Times New Roman" w:cs="Times New Roman"/>
                <w:iCs/>
                <w:sz w:val="24"/>
                <w:szCs w:val="24"/>
                <w:lang w:eastAsia="lv-LV"/>
              </w:rPr>
              <w:t>energointensīvu</w:t>
            </w:r>
            <w:proofErr w:type="spellEnd"/>
            <w:r>
              <w:rPr>
                <w:rFonts w:ascii="Times New Roman" w:eastAsia="Times New Roman" w:hAnsi="Times New Roman" w:cs="Times New Roman"/>
                <w:iCs/>
                <w:sz w:val="24"/>
                <w:szCs w:val="24"/>
                <w:lang w:eastAsia="lv-LV"/>
              </w:rPr>
              <w:t xml:space="preserve"> apstrādes rūpniecības uzņēmumu atbalsta saņemšan</w:t>
            </w:r>
            <w:r w:rsidR="00262DB6">
              <w:rPr>
                <w:rFonts w:ascii="Times New Roman" w:eastAsia="Times New Roman" w:hAnsi="Times New Roman" w:cs="Times New Roman"/>
                <w:iCs/>
                <w:sz w:val="24"/>
                <w:szCs w:val="24"/>
                <w:lang w:eastAsia="lv-LV"/>
              </w:rPr>
              <w:t>u iesaistīt</w:t>
            </w:r>
            <w:r w:rsidR="005555D8">
              <w:rPr>
                <w:rFonts w:ascii="Times New Roman" w:eastAsia="Times New Roman" w:hAnsi="Times New Roman" w:cs="Times New Roman"/>
                <w:iCs/>
                <w:sz w:val="24"/>
                <w:szCs w:val="24"/>
                <w:lang w:eastAsia="lv-LV"/>
              </w:rPr>
              <w:t>ajām</w:t>
            </w:r>
            <w:r w:rsidR="00262DB6">
              <w:rPr>
                <w:rFonts w:ascii="Times New Roman" w:eastAsia="Times New Roman" w:hAnsi="Times New Roman" w:cs="Times New Roman"/>
                <w:iCs/>
                <w:sz w:val="24"/>
                <w:szCs w:val="24"/>
                <w:lang w:eastAsia="lv-LV"/>
              </w:rPr>
              <w:t xml:space="preserve"> institūcij</w:t>
            </w:r>
            <w:r w:rsidR="005555D8">
              <w:rPr>
                <w:rFonts w:ascii="Times New Roman" w:eastAsia="Times New Roman" w:hAnsi="Times New Roman" w:cs="Times New Roman"/>
                <w:iCs/>
                <w:sz w:val="24"/>
                <w:szCs w:val="24"/>
                <w:lang w:eastAsia="lv-LV"/>
              </w:rPr>
              <w:t>ām</w:t>
            </w:r>
            <w:r w:rsidR="00262DB6">
              <w:rPr>
                <w:rFonts w:ascii="Times New Roman" w:eastAsia="Times New Roman" w:hAnsi="Times New Roman" w:cs="Times New Roman"/>
                <w:iCs/>
                <w:sz w:val="24"/>
                <w:szCs w:val="24"/>
                <w:lang w:eastAsia="lv-LV"/>
              </w:rPr>
              <w:t xml:space="preserve"> – Ekonomikas ministrij</w:t>
            </w:r>
            <w:r w:rsidR="005555D8">
              <w:rPr>
                <w:rFonts w:ascii="Times New Roman" w:eastAsia="Times New Roman" w:hAnsi="Times New Roman" w:cs="Times New Roman"/>
                <w:iCs/>
                <w:sz w:val="24"/>
                <w:szCs w:val="24"/>
                <w:lang w:eastAsia="lv-LV"/>
              </w:rPr>
              <w:t>u</w:t>
            </w:r>
            <w:r w:rsidR="00262DB6">
              <w:rPr>
                <w:rFonts w:ascii="Times New Roman" w:eastAsia="Times New Roman" w:hAnsi="Times New Roman" w:cs="Times New Roman"/>
                <w:iCs/>
                <w:sz w:val="24"/>
                <w:szCs w:val="24"/>
                <w:lang w:eastAsia="lv-LV"/>
              </w:rPr>
              <w:t xml:space="preserve"> un </w:t>
            </w:r>
            <w:r w:rsidR="005555D8">
              <w:rPr>
                <w:rFonts w:ascii="Times New Roman" w:eastAsia="Times New Roman" w:hAnsi="Times New Roman" w:cs="Times New Roman"/>
                <w:iCs/>
                <w:sz w:val="24"/>
                <w:szCs w:val="24"/>
                <w:lang w:eastAsia="lv-LV"/>
              </w:rPr>
              <w:t>publisko tirgotāju - to</w:t>
            </w:r>
            <w:r w:rsidR="00262DB6">
              <w:rPr>
                <w:rFonts w:ascii="Times New Roman" w:eastAsia="Times New Roman" w:hAnsi="Times New Roman" w:cs="Times New Roman"/>
                <w:iCs/>
                <w:sz w:val="24"/>
                <w:szCs w:val="24"/>
                <w:lang w:eastAsia="lv-LV"/>
              </w:rPr>
              <w:t xml:space="preserve"> kompetences saglabājamas līdzšinējā apmērā, kā to nosaka ETL un </w:t>
            </w:r>
            <w:bookmarkStart w:id="15" w:name="_Hlk3748625"/>
            <w:r w:rsidR="00C952BA">
              <w:rPr>
                <w:rFonts w:ascii="Times New Roman" w:eastAsia="Times New Roman" w:hAnsi="Times New Roman" w:cs="Times New Roman"/>
                <w:iCs/>
                <w:sz w:val="24"/>
                <w:szCs w:val="24"/>
                <w:lang w:eastAsia="lv-LV"/>
              </w:rPr>
              <w:t xml:space="preserve">Ministru kabineta </w:t>
            </w:r>
            <w:r w:rsidR="00C952BA" w:rsidRPr="00C952BA">
              <w:rPr>
                <w:rFonts w:ascii="Times New Roman" w:eastAsia="Times New Roman" w:hAnsi="Times New Roman" w:cs="Times New Roman"/>
                <w:iCs/>
                <w:sz w:val="24"/>
                <w:szCs w:val="24"/>
                <w:lang w:eastAsia="lv-LV"/>
              </w:rPr>
              <w:t>2015.gada 14.jūlij</w:t>
            </w:r>
            <w:r w:rsidR="00C952BA">
              <w:rPr>
                <w:rFonts w:ascii="Times New Roman" w:eastAsia="Times New Roman" w:hAnsi="Times New Roman" w:cs="Times New Roman"/>
                <w:iCs/>
                <w:sz w:val="24"/>
                <w:szCs w:val="24"/>
                <w:lang w:eastAsia="lv-LV"/>
              </w:rPr>
              <w:t>a noteikum</w:t>
            </w:r>
            <w:r w:rsidR="00262DB6">
              <w:rPr>
                <w:rFonts w:ascii="Times New Roman" w:eastAsia="Times New Roman" w:hAnsi="Times New Roman" w:cs="Times New Roman"/>
                <w:iCs/>
                <w:sz w:val="24"/>
                <w:szCs w:val="24"/>
                <w:lang w:eastAsia="lv-LV"/>
              </w:rPr>
              <w:t>i</w:t>
            </w:r>
            <w:r w:rsidR="00C952BA">
              <w:rPr>
                <w:rFonts w:ascii="Times New Roman" w:eastAsia="Times New Roman" w:hAnsi="Times New Roman" w:cs="Times New Roman"/>
                <w:iCs/>
                <w:sz w:val="24"/>
                <w:szCs w:val="24"/>
                <w:lang w:eastAsia="lv-LV"/>
              </w:rPr>
              <w:t xml:space="preserve"> Nr.395</w:t>
            </w:r>
            <w:r w:rsidR="00C952BA" w:rsidRPr="00C952BA">
              <w:rPr>
                <w:rFonts w:ascii="Times New Roman" w:eastAsia="Times New Roman" w:hAnsi="Times New Roman" w:cs="Times New Roman"/>
                <w:iCs/>
                <w:sz w:val="24"/>
                <w:szCs w:val="24"/>
                <w:lang w:eastAsia="lv-LV"/>
              </w:rPr>
              <w:t xml:space="preserve"> </w:t>
            </w:r>
            <w:r w:rsidR="00C952BA">
              <w:rPr>
                <w:rFonts w:ascii="Times New Roman" w:eastAsia="Times New Roman" w:hAnsi="Times New Roman" w:cs="Times New Roman"/>
                <w:iCs/>
                <w:sz w:val="24"/>
                <w:szCs w:val="24"/>
                <w:lang w:eastAsia="lv-LV"/>
              </w:rPr>
              <w:t>“</w:t>
            </w:r>
            <w:r w:rsidR="00C952BA" w:rsidRPr="00C952BA">
              <w:rPr>
                <w:rFonts w:ascii="Times New Roman" w:eastAsia="Times New Roman" w:hAnsi="Times New Roman" w:cs="Times New Roman"/>
                <w:iCs/>
                <w:sz w:val="24"/>
                <w:szCs w:val="24"/>
                <w:lang w:eastAsia="lv-LV"/>
              </w:rPr>
              <w:t>Kārtība, kādā energoietilpīgi apstrādes rūpniecības uzņēmumi iegūst tiesības uz samazinātu līdzdalību obligātā iepirkuma komponentes maksājumam</w:t>
            </w:r>
            <w:r w:rsidR="00C952BA">
              <w:rPr>
                <w:rFonts w:ascii="Times New Roman" w:eastAsia="Times New Roman" w:hAnsi="Times New Roman" w:cs="Times New Roman"/>
                <w:iCs/>
                <w:sz w:val="24"/>
                <w:szCs w:val="24"/>
                <w:lang w:eastAsia="lv-LV"/>
              </w:rPr>
              <w:t>”</w:t>
            </w:r>
            <w:bookmarkEnd w:id="15"/>
            <w:r w:rsidR="00262DB6">
              <w:rPr>
                <w:rFonts w:ascii="Times New Roman" w:eastAsia="Times New Roman" w:hAnsi="Times New Roman" w:cs="Times New Roman"/>
                <w:iCs/>
                <w:sz w:val="24"/>
                <w:szCs w:val="24"/>
                <w:lang w:eastAsia="lv-LV"/>
              </w:rPr>
              <w:t>, ievēroj</w:t>
            </w:r>
            <w:r w:rsidR="00565962">
              <w:rPr>
                <w:rFonts w:ascii="Times New Roman" w:eastAsia="Times New Roman" w:hAnsi="Times New Roman" w:cs="Times New Roman"/>
                <w:iCs/>
                <w:sz w:val="24"/>
                <w:szCs w:val="24"/>
                <w:lang w:eastAsia="lv-LV"/>
              </w:rPr>
              <w:t>ot</w:t>
            </w:r>
            <w:r w:rsidR="00262DB6">
              <w:rPr>
                <w:rFonts w:ascii="Times New Roman" w:eastAsia="Times New Roman" w:hAnsi="Times New Roman" w:cs="Times New Roman"/>
                <w:iCs/>
                <w:sz w:val="24"/>
                <w:szCs w:val="24"/>
                <w:lang w:eastAsia="lv-LV"/>
              </w:rPr>
              <w:t xml:space="preserve"> </w:t>
            </w:r>
            <w:r w:rsidR="00C952BA">
              <w:rPr>
                <w:rFonts w:ascii="Times New Roman" w:eastAsia="Times New Roman" w:hAnsi="Times New Roman" w:cs="Times New Roman"/>
                <w:iCs/>
                <w:sz w:val="24"/>
                <w:szCs w:val="24"/>
                <w:lang w:eastAsia="lv-LV"/>
              </w:rPr>
              <w:t>Likumprojektā noteikt</w:t>
            </w:r>
            <w:r w:rsidR="00565962">
              <w:rPr>
                <w:rFonts w:ascii="Times New Roman" w:eastAsia="Times New Roman" w:hAnsi="Times New Roman" w:cs="Times New Roman"/>
                <w:iCs/>
                <w:sz w:val="24"/>
                <w:szCs w:val="24"/>
                <w:lang w:eastAsia="lv-LV"/>
              </w:rPr>
              <w:t>os</w:t>
            </w:r>
            <w:r w:rsidR="00C952BA">
              <w:rPr>
                <w:rFonts w:ascii="Times New Roman" w:eastAsia="Times New Roman" w:hAnsi="Times New Roman" w:cs="Times New Roman"/>
                <w:iCs/>
                <w:sz w:val="24"/>
                <w:szCs w:val="24"/>
                <w:lang w:eastAsia="lv-LV"/>
              </w:rPr>
              <w:t xml:space="preserve"> termiņ</w:t>
            </w:r>
            <w:r w:rsidR="00565962">
              <w:rPr>
                <w:rFonts w:ascii="Times New Roman" w:eastAsia="Times New Roman" w:hAnsi="Times New Roman" w:cs="Times New Roman"/>
                <w:iCs/>
                <w:sz w:val="24"/>
                <w:szCs w:val="24"/>
                <w:lang w:eastAsia="lv-LV"/>
              </w:rPr>
              <w:t>us</w:t>
            </w:r>
            <w:r w:rsidR="005555D8">
              <w:rPr>
                <w:rFonts w:ascii="Times New Roman" w:eastAsia="Times New Roman" w:hAnsi="Times New Roman" w:cs="Times New Roman"/>
                <w:iCs/>
                <w:sz w:val="24"/>
                <w:szCs w:val="24"/>
                <w:lang w:eastAsia="lv-LV"/>
              </w:rPr>
              <w:t xml:space="preserve"> un līdz brīdim, kad publiskais tirgotājs ir īstenojis </w:t>
            </w:r>
            <w:r w:rsidR="00EA6498">
              <w:rPr>
                <w:rFonts w:ascii="Times New Roman" w:eastAsia="Times New Roman" w:hAnsi="Times New Roman" w:cs="Times New Roman"/>
                <w:iCs/>
                <w:sz w:val="24"/>
                <w:szCs w:val="24"/>
                <w:lang w:eastAsia="lv-LV"/>
              </w:rPr>
              <w:t xml:space="preserve">tam </w:t>
            </w:r>
            <w:r w:rsidR="005555D8">
              <w:rPr>
                <w:rFonts w:ascii="Times New Roman" w:eastAsia="Times New Roman" w:hAnsi="Times New Roman" w:cs="Times New Roman"/>
                <w:iCs/>
                <w:sz w:val="24"/>
                <w:szCs w:val="24"/>
                <w:lang w:eastAsia="lv-LV"/>
              </w:rPr>
              <w:t xml:space="preserve">ETL </w:t>
            </w:r>
            <w:r w:rsidR="00EA6498">
              <w:rPr>
                <w:rFonts w:ascii="Times New Roman" w:eastAsia="Times New Roman" w:hAnsi="Times New Roman" w:cs="Times New Roman"/>
                <w:iCs/>
                <w:sz w:val="24"/>
                <w:szCs w:val="24"/>
                <w:lang w:eastAsia="lv-LV"/>
              </w:rPr>
              <w:t xml:space="preserve">33.panta ceturtajā daļā noteikto pienākumu. </w:t>
            </w:r>
          </w:p>
          <w:p w14:paraId="5C5F6BB2" w14:textId="4B2C1970" w:rsidR="00BE5020" w:rsidRPr="00BE5020" w:rsidRDefault="00BE5020" w:rsidP="004B2695">
            <w:pPr>
              <w:spacing w:before="120" w:after="120" w:line="240" w:lineRule="auto"/>
              <w:rPr>
                <w:rFonts w:ascii="Times New Roman" w:eastAsia="Times New Roman" w:hAnsi="Times New Roman" w:cs="Times New Roman"/>
                <w:i/>
                <w:iCs/>
                <w:sz w:val="24"/>
                <w:szCs w:val="24"/>
                <w:lang w:eastAsia="lv-LV"/>
              </w:rPr>
            </w:pPr>
          </w:p>
        </w:tc>
      </w:tr>
      <w:tr w:rsidR="00B531F7" w:rsidRPr="00B531F7" w14:paraId="4AFE3B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88BDAC"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1364A"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Projekta izpildes ietekme uz pārvaldes funkcijām un institucionālo struktūru.</w:t>
            </w:r>
            <w:r w:rsidRPr="00B531F7">
              <w:rPr>
                <w:rFonts w:ascii="Times New Roman" w:eastAsia="Times New Roman" w:hAnsi="Times New Roman" w:cs="Times New Roman"/>
                <w:iCs/>
                <w:sz w:val="24"/>
                <w:szCs w:val="24"/>
                <w:lang w:eastAsia="lv-LV"/>
              </w:rPr>
              <w:br/>
              <w:t xml:space="preserve">Jaunu institūciju izveide, esošu institūciju likvidācija </w:t>
            </w:r>
            <w:r w:rsidRPr="00B531F7">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CBCE33E" w14:textId="7AADFCB3" w:rsidR="00356708" w:rsidRPr="00356708" w:rsidRDefault="008C4A69" w:rsidP="004B2695">
            <w:pPr>
              <w:pStyle w:val="tv213"/>
              <w:shd w:val="clear" w:color="auto" w:fill="FFFFFF"/>
              <w:spacing w:before="120" w:beforeAutospacing="0" w:after="120" w:afterAutospacing="0"/>
              <w:jc w:val="both"/>
              <w:rPr>
                <w:iCs/>
              </w:rPr>
            </w:pPr>
            <w:r>
              <w:rPr>
                <w:iCs/>
              </w:rPr>
              <w:lastRenderedPageBreak/>
              <w:t>P</w:t>
            </w:r>
            <w:r w:rsidR="00356708" w:rsidRPr="00356708">
              <w:rPr>
                <w:iCs/>
              </w:rPr>
              <w:t xml:space="preserve">ēc </w:t>
            </w:r>
            <w:r w:rsidR="007A2B61" w:rsidRPr="007A2B61">
              <w:rPr>
                <w:iCs/>
              </w:rPr>
              <w:t>ETL 33.panta ceturtajā daļā noteikto pienākumu</w:t>
            </w:r>
            <w:r w:rsidR="007A2B61">
              <w:rPr>
                <w:iCs/>
              </w:rPr>
              <w:t xml:space="preserve"> īstenošanas </w:t>
            </w:r>
            <w:r w:rsidR="00356708">
              <w:rPr>
                <w:iCs/>
              </w:rPr>
              <w:t xml:space="preserve">darbību pārtrauks </w:t>
            </w:r>
            <w:r w:rsidR="007A2B61">
              <w:rPr>
                <w:iCs/>
              </w:rPr>
              <w:t>publiskais tirgotājs</w:t>
            </w:r>
            <w:r>
              <w:rPr>
                <w:iCs/>
              </w:rPr>
              <w:t>, kas līdz šim nodrošināj</w:t>
            </w:r>
            <w:r w:rsidR="007A2B61">
              <w:rPr>
                <w:iCs/>
              </w:rPr>
              <w:t>is</w:t>
            </w:r>
            <w:r>
              <w:rPr>
                <w:iCs/>
              </w:rPr>
              <w:t xml:space="preserve"> ta</w:t>
            </w:r>
            <w:r w:rsidR="007A2B61">
              <w:rPr>
                <w:iCs/>
              </w:rPr>
              <w:t>m</w:t>
            </w:r>
            <w:r>
              <w:rPr>
                <w:iCs/>
              </w:rPr>
              <w:t xml:space="preserve"> ETL paredzēto funkciju veikšanu, ko saskaņā ar Likumprojektā ietverto risinājumu vairs nebūs nepieciešams veikt.</w:t>
            </w:r>
          </w:p>
          <w:p w14:paraId="60EEFA1E" w14:textId="77777777" w:rsidR="00965F6F" w:rsidRPr="00B531F7" w:rsidRDefault="00965F6F" w:rsidP="004B2695">
            <w:pPr>
              <w:spacing w:before="120" w:after="120" w:line="240" w:lineRule="auto"/>
              <w:rPr>
                <w:rFonts w:ascii="Times New Roman" w:eastAsia="Times New Roman" w:hAnsi="Times New Roman" w:cs="Times New Roman"/>
                <w:iCs/>
                <w:sz w:val="24"/>
                <w:szCs w:val="24"/>
                <w:lang w:eastAsia="lv-LV"/>
              </w:rPr>
            </w:pPr>
          </w:p>
        </w:tc>
      </w:tr>
      <w:tr w:rsidR="00B531F7" w:rsidRPr="00B531F7" w14:paraId="6BC636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6E8FA" w14:textId="77777777" w:rsidR="00655F2C"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48973" w14:textId="77777777" w:rsidR="00E5323B" w:rsidRPr="00B531F7" w:rsidRDefault="00E5323B" w:rsidP="004B2695">
            <w:pPr>
              <w:spacing w:before="120" w:after="120" w:line="240" w:lineRule="auto"/>
              <w:rPr>
                <w:rFonts w:ascii="Times New Roman" w:eastAsia="Times New Roman" w:hAnsi="Times New Roman" w:cs="Times New Roman"/>
                <w:iCs/>
                <w:sz w:val="24"/>
                <w:szCs w:val="24"/>
                <w:lang w:eastAsia="lv-LV"/>
              </w:rPr>
            </w:pPr>
            <w:r w:rsidRPr="00B531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F9D751" w14:textId="35CF37DD" w:rsidR="00E5323B" w:rsidRPr="00B531F7" w:rsidRDefault="008C4A69" w:rsidP="004B2695">
            <w:pPr>
              <w:spacing w:before="120"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2FA5BE" w14:textId="77777777" w:rsidR="00C25B49" w:rsidRPr="00B531F7" w:rsidRDefault="00C25B49" w:rsidP="004B2695">
      <w:pPr>
        <w:spacing w:before="120" w:after="120" w:line="240" w:lineRule="auto"/>
        <w:rPr>
          <w:rFonts w:ascii="Times New Roman" w:hAnsi="Times New Roman" w:cs="Times New Roman"/>
          <w:sz w:val="28"/>
          <w:szCs w:val="28"/>
        </w:rPr>
      </w:pPr>
    </w:p>
    <w:p w14:paraId="74F627D6" w14:textId="77777777" w:rsidR="00E5323B" w:rsidRPr="00B531F7" w:rsidRDefault="00E5323B" w:rsidP="004B2695">
      <w:pPr>
        <w:spacing w:before="120" w:after="120" w:line="240" w:lineRule="auto"/>
        <w:rPr>
          <w:rFonts w:ascii="Times New Roman" w:hAnsi="Times New Roman" w:cs="Times New Roman"/>
          <w:sz w:val="28"/>
          <w:szCs w:val="28"/>
        </w:rPr>
      </w:pPr>
    </w:p>
    <w:p w14:paraId="7DAB0B14" w14:textId="2F928E2B" w:rsidR="00894C55" w:rsidRDefault="00487606" w:rsidP="000A6843">
      <w:pPr>
        <w:tabs>
          <w:tab w:val="left" w:pos="6237"/>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Ekonomikas</w:t>
      </w:r>
      <w:r w:rsidR="00894C55" w:rsidRPr="00B531F7">
        <w:rPr>
          <w:rFonts w:ascii="Times New Roman" w:hAnsi="Times New Roman" w:cs="Times New Roman"/>
          <w:sz w:val="28"/>
          <w:szCs w:val="28"/>
        </w:rPr>
        <w:t xml:space="preserve"> ministrs</w:t>
      </w:r>
      <w:r w:rsidR="00894C55" w:rsidRPr="00B531F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Ralfs Nemiro</w:t>
      </w:r>
    </w:p>
    <w:p w14:paraId="2464D746" w14:textId="78013753" w:rsidR="00001509" w:rsidRDefault="00001509" w:rsidP="000A6843">
      <w:pPr>
        <w:tabs>
          <w:tab w:val="left" w:pos="6237"/>
        </w:tabs>
        <w:spacing w:before="120" w:after="120" w:line="240" w:lineRule="auto"/>
        <w:rPr>
          <w:rFonts w:ascii="Times New Roman" w:hAnsi="Times New Roman" w:cs="Times New Roman"/>
          <w:sz w:val="28"/>
          <w:szCs w:val="28"/>
        </w:rPr>
      </w:pPr>
    </w:p>
    <w:p w14:paraId="61B46FD9" w14:textId="77777777" w:rsidR="00001509" w:rsidRPr="00B531F7" w:rsidRDefault="00001509" w:rsidP="000A6843">
      <w:pPr>
        <w:tabs>
          <w:tab w:val="left" w:pos="6237"/>
        </w:tabs>
        <w:spacing w:before="120" w:after="120" w:line="240" w:lineRule="auto"/>
        <w:rPr>
          <w:rFonts w:ascii="Times New Roman" w:hAnsi="Times New Roman" w:cs="Times New Roman"/>
          <w:sz w:val="28"/>
          <w:szCs w:val="28"/>
        </w:rPr>
      </w:pPr>
    </w:p>
    <w:p w14:paraId="4203E682" w14:textId="24DB734C" w:rsidR="000A6843" w:rsidRPr="000A6843" w:rsidRDefault="000A6843" w:rsidP="000A6843">
      <w:pPr>
        <w:tabs>
          <w:tab w:val="left" w:pos="6237"/>
        </w:tabs>
        <w:spacing w:before="120" w:after="120" w:line="240" w:lineRule="auto"/>
        <w:rPr>
          <w:rFonts w:ascii="Times New Roman" w:hAnsi="Times New Roman" w:cs="Times New Roman"/>
          <w:sz w:val="28"/>
          <w:szCs w:val="28"/>
        </w:rPr>
      </w:pPr>
      <w:r w:rsidRPr="000A6843">
        <w:rPr>
          <w:rFonts w:ascii="Times New Roman" w:hAnsi="Times New Roman" w:cs="Times New Roman"/>
          <w:sz w:val="28"/>
          <w:szCs w:val="28"/>
        </w:rPr>
        <w:t>Vīza: Valsts sekretārs</w:t>
      </w:r>
      <w:r w:rsidRPr="000A6843">
        <w:rPr>
          <w:rFonts w:ascii="Times New Roman" w:hAnsi="Times New Roman" w:cs="Times New Roman"/>
          <w:sz w:val="28"/>
          <w:szCs w:val="28"/>
        </w:rPr>
        <w:tab/>
      </w:r>
      <w:r w:rsidRPr="000A6843">
        <w:rPr>
          <w:rFonts w:ascii="Times New Roman" w:hAnsi="Times New Roman" w:cs="Times New Roman"/>
          <w:sz w:val="28"/>
          <w:szCs w:val="28"/>
        </w:rPr>
        <w:tab/>
      </w:r>
      <w:r w:rsidRPr="000A6843">
        <w:rPr>
          <w:rFonts w:ascii="Times New Roman" w:hAnsi="Times New Roman" w:cs="Times New Roman"/>
          <w:sz w:val="28"/>
          <w:szCs w:val="28"/>
        </w:rPr>
        <w:tab/>
        <w:t>Ē. Eglītis</w:t>
      </w:r>
    </w:p>
    <w:p w14:paraId="25D4FD1F" w14:textId="77777777" w:rsidR="00894C55" w:rsidRPr="00B531F7" w:rsidRDefault="00894C55" w:rsidP="004B2695">
      <w:pPr>
        <w:tabs>
          <w:tab w:val="left" w:pos="6237"/>
        </w:tabs>
        <w:spacing w:before="120" w:after="120" w:line="240" w:lineRule="auto"/>
        <w:ind w:firstLine="720"/>
        <w:rPr>
          <w:rFonts w:ascii="Times New Roman" w:hAnsi="Times New Roman" w:cs="Times New Roman"/>
          <w:sz w:val="28"/>
          <w:szCs w:val="28"/>
        </w:rPr>
      </w:pPr>
    </w:p>
    <w:p w14:paraId="0C97823B" w14:textId="4618A446" w:rsidR="00894C55" w:rsidRPr="00B531F7" w:rsidRDefault="00894C55" w:rsidP="004B2695">
      <w:pPr>
        <w:tabs>
          <w:tab w:val="left" w:pos="6237"/>
        </w:tabs>
        <w:spacing w:before="120" w:after="120" w:line="240" w:lineRule="auto"/>
        <w:rPr>
          <w:rFonts w:ascii="Times New Roman" w:hAnsi="Times New Roman" w:cs="Times New Roman"/>
          <w:sz w:val="24"/>
          <w:szCs w:val="28"/>
        </w:rPr>
      </w:pPr>
    </w:p>
    <w:sectPr w:rsidR="00894C55" w:rsidRPr="00B531F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E168" w14:textId="77777777" w:rsidR="006A291E" w:rsidRDefault="006A291E" w:rsidP="00894C55">
      <w:pPr>
        <w:spacing w:after="0" w:line="240" w:lineRule="auto"/>
      </w:pPr>
      <w:r>
        <w:separator/>
      </w:r>
    </w:p>
  </w:endnote>
  <w:endnote w:type="continuationSeparator" w:id="0">
    <w:p w14:paraId="096AD345" w14:textId="77777777" w:rsidR="006A291E" w:rsidRDefault="006A29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78E5" w14:textId="496100C1" w:rsidR="006A291E" w:rsidRPr="00894C55" w:rsidRDefault="006A291E">
    <w:pPr>
      <w:pStyle w:val="Footer"/>
      <w:rPr>
        <w:rFonts w:ascii="Times New Roman" w:hAnsi="Times New Roman" w:cs="Times New Roman"/>
        <w:sz w:val="20"/>
        <w:szCs w:val="20"/>
      </w:rPr>
    </w:pPr>
    <w:r>
      <w:rPr>
        <w:rFonts w:ascii="Times New Roman" w:hAnsi="Times New Roman" w:cs="Times New Roman"/>
        <w:sz w:val="20"/>
        <w:szCs w:val="20"/>
      </w:rPr>
      <w:t>EMAnot_250319_ETL_OIK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A306" w14:textId="2D6818E6" w:rsidR="006A291E" w:rsidRPr="009A2654" w:rsidRDefault="006A291E">
    <w:pPr>
      <w:pStyle w:val="Footer"/>
      <w:rPr>
        <w:rFonts w:ascii="Times New Roman" w:hAnsi="Times New Roman" w:cs="Times New Roman"/>
        <w:sz w:val="20"/>
        <w:szCs w:val="20"/>
      </w:rPr>
    </w:pPr>
    <w:r>
      <w:rPr>
        <w:rFonts w:ascii="Times New Roman" w:hAnsi="Times New Roman" w:cs="Times New Roman"/>
        <w:sz w:val="20"/>
        <w:szCs w:val="20"/>
      </w:rPr>
      <w:t>EManot_250319_ETL_OIK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DC98" w14:textId="77777777" w:rsidR="006A291E" w:rsidRDefault="006A291E" w:rsidP="00894C55">
      <w:pPr>
        <w:spacing w:after="0" w:line="240" w:lineRule="auto"/>
      </w:pPr>
      <w:r>
        <w:separator/>
      </w:r>
    </w:p>
  </w:footnote>
  <w:footnote w:type="continuationSeparator" w:id="0">
    <w:p w14:paraId="5BF440C0" w14:textId="77777777" w:rsidR="006A291E" w:rsidRDefault="006A291E" w:rsidP="00894C55">
      <w:pPr>
        <w:spacing w:after="0" w:line="240" w:lineRule="auto"/>
      </w:pPr>
      <w:r>
        <w:continuationSeparator/>
      </w:r>
    </w:p>
  </w:footnote>
  <w:footnote w:id="1">
    <w:p w14:paraId="1B239EAE" w14:textId="6AD0B421" w:rsidR="006A291E" w:rsidRDefault="006A291E">
      <w:pPr>
        <w:pStyle w:val="FootnoteText"/>
      </w:pPr>
      <w:r>
        <w:rPr>
          <w:rStyle w:val="FootnoteReference"/>
        </w:rPr>
        <w:footnoteRef/>
      </w:r>
      <w:r>
        <w:t xml:space="preserve"> </w:t>
      </w:r>
      <w:r w:rsidRPr="00D257E3">
        <w:rPr>
          <w:rFonts w:ascii="Times New Roman" w:hAnsi="Times New Roman" w:cs="Times New Roman"/>
          <w:sz w:val="18"/>
        </w:rPr>
        <w:t>Skatīt: https://likumi.lv/ta/id/304192-par-obligata-iepirkuma-komponentes-atcelsanu</w:t>
      </w:r>
    </w:p>
  </w:footnote>
  <w:footnote w:id="2">
    <w:p w14:paraId="3FE75A75" w14:textId="77777777" w:rsidR="006A291E" w:rsidRPr="001776DB" w:rsidRDefault="006A291E">
      <w:pPr>
        <w:pStyle w:val="FootnoteText"/>
        <w:rPr>
          <w:rFonts w:ascii="Times New Roman" w:hAnsi="Times New Roman" w:cs="Times New Roman"/>
          <w:sz w:val="18"/>
        </w:rPr>
      </w:pPr>
      <w:r w:rsidRPr="002F68CE">
        <w:rPr>
          <w:rStyle w:val="FootnoteReference"/>
          <w:rFonts w:ascii="Times New Roman" w:hAnsi="Times New Roman" w:cs="Times New Roman"/>
        </w:rPr>
        <w:footnoteRef/>
      </w:r>
      <w:r w:rsidRPr="002F68CE">
        <w:rPr>
          <w:rFonts w:ascii="Times New Roman" w:hAnsi="Times New Roman" w:cs="Times New Roman"/>
        </w:rPr>
        <w:t xml:space="preserve"> </w:t>
      </w:r>
      <w:r w:rsidRPr="001776DB">
        <w:rPr>
          <w:rFonts w:ascii="Times New Roman" w:hAnsi="Times New Roman" w:cs="Times New Roman"/>
          <w:sz w:val="18"/>
        </w:rPr>
        <w:t>Skatīt: https://likumi.lv/doc.php?id=207458</w:t>
      </w:r>
    </w:p>
  </w:footnote>
  <w:footnote w:id="3">
    <w:p w14:paraId="29862235" w14:textId="77777777" w:rsidR="006A291E" w:rsidRPr="001776DB" w:rsidRDefault="006A291E">
      <w:pPr>
        <w:pStyle w:val="FootnoteText"/>
        <w:rPr>
          <w:sz w:val="18"/>
        </w:rPr>
      </w:pPr>
      <w:r w:rsidRPr="002F68CE">
        <w:rPr>
          <w:rStyle w:val="FootnoteReference"/>
          <w:rFonts w:ascii="Times New Roman" w:hAnsi="Times New Roman" w:cs="Times New Roman"/>
        </w:rPr>
        <w:footnoteRef/>
      </w:r>
      <w:r w:rsidRPr="002F68CE">
        <w:rPr>
          <w:rFonts w:ascii="Times New Roman" w:hAnsi="Times New Roman" w:cs="Times New Roman"/>
        </w:rPr>
        <w:t xml:space="preserve"> </w:t>
      </w:r>
      <w:r w:rsidRPr="001776DB">
        <w:rPr>
          <w:rFonts w:ascii="Times New Roman" w:hAnsi="Times New Roman" w:cs="Times New Roman"/>
          <w:sz w:val="18"/>
        </w:rPr>
        <w:t>Skatīt: https://likumi.lv/doc.php?id=189260</w:t>
      </w:r>
    </w:p>
  </w:footnote>
  <w:footnote w:id="4">
    <w:p w14:paraId="19DB0DB8" w14:textId="77777777" w:rsidR="006A291E" w:rsidRPr="00032B2C" w:rsidRDefault="006A291E" w:rsidP="008502B2">
      <w:pPr>
        <w:pStyle w:val="FootnoteText"/>
        <w:rPr>
          <w:rFonts w:ascii="Times New Roman" w:hAnsi="Times New Roman" w:cs="Times New Roman"/>
          <w:sz w:val="18"/>
        </w:rPr>
      </w:pPr>
      <w:r w:rsidRPr="00032B2C">
        <w:rPr>
          <w:rStyle w:val="FootnoteReference"/>
          <w:rFonts w:ascii="Times New Roman" w:hAnsi="Times New Roman" w:cs="Times New Roman"/>
          <w:sz w:val="18"/>
        </w:rPr>
        <w:footnoteRef/>
      </w:r>
      <w:r w:rsidRPr="00032B2C">
        <w:rPr>
          <w:rFonts w:ascii="Times New Roman" w:hAnsi="Times New Roman" w:cs="Times New Roman"/>
          <w:sz w:val="18"/>
        </w:rPr>
        <w:t xml:space="preserve"> Sabiedrisko pakalpojumu regulēšanas komisijas 2017.gada 14.februāra lēmums Nr. 1/24 “Obligātā iepirkuma un jaudas komponenšu aprēķināšanas metodika”, skatīt: https://likumi.lv/ta/id/293705-obligata-iepirkuma-un-jaudas-komponensu-aprekinasanas-metodika</w:t>
      </w:r>
    </w:p>
  </w:footnote>
  <w:footnote w:id="5">
    <w:p w14:paraId="7AAAA5E3" w14:textId="77777777" w:rsidR="006A291E" w:rsidRPr="00032B2C" w:rsidRDefault="006A291E" w:rsidP="00AE182C">
      <w:pPr>
        <w:pStyle w:val="FootnoteText"/>
        <w:rPr>
          <w:sz w:val="18"/>
        </w:rPr>
      </w:pPr>
      <w:r w:rsidRPr="00032B2C">
        <w:rPr>
          <w:rStyle w:val="FootnoteReference"/>
          <w:rFonts w:ascii="Times New Roman" w:hAnsi="Times New Roman" w:cs="Times New Roman"/>
          <w:sz w:val="18"/>
        </w:rPr>
        <w:footnoteRef/>
      </w:r>
      <w:r w:rsidRPr="00032B2C">
        <w:rPr>
          <w:rFonts w:ascii="Times New Roman" w:hAnsi="Times New Roman" w:cs="Times New Roman"/>
          <w:sz w:val="18"/>
        </w:rPr>
        <w:t xml:space="preserve"> </w:t>
      </w:r>
      <w:proofErr w:type="spellStart"/>
      <w:r w:rsidRPr="00032B2C">
        <w:rPr>
          <w:rFonts w:ascii="Times New Roman" w:hAnsi="Times New Roman" w:cs="Times New Roman"/>
          <w:sz w:val="18"/>
        </w:rPr>
        <w:t>Europopean</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Commission</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Commision</w:t>
      </w:r>
      <w:proofErr w:type="spellEnd"/>
      <w:r w:rsidRPr="00032B2C">
        <w:rPr>
          <w:rFonts w:ascii="Times New Roman" w:hAnsi="Times New Roman" w:cs="Times New Roman"/>
          <w:sz w:val="18"/>
        </w:rPr>
        <w:t xml:space="preserve"> Green Paper </w:t>
      </w:r>
      <w:proofErr w:type="spellStart"/>
      <w:r w:rsidRPr="00032B2C">
        <w:rPr>
          <w:rFonts w:ascii="Times New Roman" w:hAnsi="Times New Roman" w:cs="Times New Roman"/>
          <w:sz w:val="18"/>
        </w:rPr>
        <w:t>of</w:t>
      </w:r>
      <w:proofErr w:type="spellEnd"/>
      <w:r w:rsidRPr="00032B2C">
        <w:rPr>
          <w:rFonts w:ascii="Times New Roman" w:hAnsi="Times New Roman" w:cs="Times New Roman"/>
          <w:sz w:val="18"/>
        </w:rPr>
        <w:t xml:space="preserve"> 8 </w:t>
      </w:r>
      <w:proofErr w:type="spellStart"/>
      <w:r w:rsidRPr="00032B2C">
        <w:rPr>
          <w:rFonts w:ascii="Times New Roman" w:hAnsi="Times New Roman" w:cs="Times New Roman"/>
          <w:sz w:val="18"/>
        </w:rPr>
        <w:t>March</w:t>
      </w:r>
      <w:proofErr w:type="spellEnd"/>
      <w:r w:rsidRPr="00032B2C">
        <w:rPr>
          <w:rFonts w:ascii="Times New Roman" w:hAnsi="Times New Roman" w:cs="Times New Roman"/>
          <w:sz w:val="18"/>
        </w:rPr>
        <w:t xml:space="preserve"> 2006: “A </w:t>
      </w:r>
      <w:proofErr w:type="spellStart"/>
      <w:r w:rsidRPr="00032B2C">
        <w:rPr>
          <w:rFonts w:ascii="Times New Roman" w:hAnsi="Times New Roman" w:cs="Times New Roman"/>
          <w:sz w:val="18"/>
        </w:rPr>
        <w:t>European</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strategy</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for</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sustainable</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competitive</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and</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secure</w:t>
      </w:r>
      <w:proofErr w:type="spellEnd"/>
      <w:r w:rsidRPr="00032B2C">
        <w:rPr>
          <w:rFonts w:ascii="Times New Roman" w:hAnsi="Times New Roman" w:cs="Times New Roman"/>
          <w:sz w:val="18"/>
        </w:rPr>
        <w:t xml:space="preserve"> </w:t>
      </w:r>
      <w:proofErr w:type="spellStart"/>
      <w:r w:rsidRPr="00032B2C">
        <w:rPr>
          <w:rFonts w:ascii="Times New Roman" w:hAnsi="Times New Roman" w:cs="Times New Roman"/>
          <w:sz w:val="18"/>
        </w:rPr>
        <w:t>energy</w:t>
      </w:r>
      <w:proofErr w:type="spellEnd"/>
      <w:r w:rsidRPr="00032B2C">
        <w:rPr>
          <w:rFonts w:ascii="Times New Roman" w:hAnsi="Times New Roman" w:cs="Times New Roman"/>
          <w:sz w:val="18"/>
        </w:rPr>
        <w:t>” COM(2006) 105; http://europa.eu/documents/comm/green_papers/pdf/com2006_105_en.pdf</w:t>
      </w:r>
    </w:p>
  </w:footnote>
  <w:footnote w:id="6">
    <w:p w14:paraId="7FAAFFA1" w14:textId="77777777" w:rsidR="006A291E" w:rsidRPr="00032B2C" w:rsidRDefault="006A291E" w:rsidP="00AE182C">
      <w:pPr>
        <w:pStyle w:val="FootnoteText"/>
        <w:rPr>
          <w:rFonts w:ascii="Times New Roman" w:hAnsi="Times New Roman" w:cs="Times New Roman"/>
        </w:rPr>
      </w:pPr>
      <w:r w:rsidRPr="00032B2C">
        <w:rPr>
          <w:rStyle w:val="FootnoteReference"/>
          <w:rFonts w:ascii="Times New Roman" w:hAnsi="Times New Roman" w:cs="Times New Roman"/>
          <w:sz w:val="18"/>
        </w:rPr>
        <w:footnoteRef/>
      </w:r>
      <w:r w:rsidRPr="00032B2C">
        <w:rPr>
          <w:rFonts w:ascii="Times New Roman" w:hAnsi="Times New Roman" w:cs="Times New Roman"/>
          <w:sz w:val="18"/>
        </w:rPr>
        <w:t xml:space="preserve"> Eiropas Parlamenta un Padomes direktīva 2009/28/EK par atjaunojamo energoresursu izmantošanas veicināšanu un ar ko groza un sekojoši atceļ Direktīvas 2001/77/EK un 2003/30/EK</w:t>
      </w:r>
    </w:p>
  </w:footnote>
  <w:footnote w:id="7">
    <w:p w14:paraId="1F60648F" w14:textId="6F58A426" w:rsidR="006A291E" w:rsidRDefault="006A291E">
      <w:pPr>
        <w:pStyle w:val="FootnoteText"/>
      </w:pPr>
      <w:r>
        <w:rPr>
          <w:rStyle w:val="FootnoteReference"/>
        </w:rPr>
        <w:footnoteRef/>
      </w:r>
      <w:r>
        <w:t xml:space="preserve"> </w:t>
      </w:r>
      <w:r w:rsidRPr="004F5081">
        <w:rPr>
          <w:rFonts w:ascii="Times New Roman" w:hAnsi="Times New Roman" w:cs="Times New Roman"/>
          <w:sz w:val="18"/>
        </w:rPr>
        <w:t>Skatīt: https://likumi.lv/ta/id/280236-par-energetikas-attistibas-pamatnostadnem-2016-2020-gadam</w:t>
      </w:r>
    </w:p>
  </w:footnote>
  <w:footnote w:id="8">
    <w:p w14:paraId="574501A6" w14:textId="00D0BC72" w:rsidR="006A291E" w:rsidRPr="00032B2C" w:rsidRDefault="006A291E" w:rsidP="00B713F5">
      <w:pPr>
        <w:pStyle w:val="FootnoteText"/>
        <w:jc w:val="both"/>
        <w:rPr>
          <w:rFonts w:ascii="Times New Roman" w:hAnsi="Times New Roman" w:cs="Times New Roman"/>
        </w:rPr>
      </w:pPr>
      <w:r w:rsidRPr="00032B2C">
        <w:rPr>
          <w:rStyle w:val="FootnoteReference"/>
          <w:rFonts w:ascii="Times New Roman" w:hAnsi="Times New Roman" w:cs="Times New Roman"/>
        </w:rPr>
        <w:footnoteRef/>
      </w:r>
      <w:r w:rsidRPr="00032B2C">
        <w:rPr>
          <w:rFonts w:ascii="Times New Roman" w:hAnsi="Times New Roman" w:cs="Times New Roman"/>
        </w:rPr>
        <w:t xml:space="preserve"> </w:t>
      </w:r>
      <w:r w:rsidRPr="00032B2C">
        <w:rPr>
          <w:rFonts w:ascii="Times New Roman" w:hAnsi="Times New Roman" w:cs="Times New Roman"/>
          <w:sz w:val="18"/>
        </w:rPr>
        <w:t>Eiropas Parlamenta un Padomes direktīva (ES) 2018/2001 par no atjaunojamajiem energoresursiem iegūtas enerģijas izmantošanas veicināšanu</w:t>
      </w:r>
    </w:p>
  </w:footnote>
  <w:footnote w:id="9">
    <w:p w14:paraId="0EA9B17E" w14:textId="0DA63306" w:rsidR="006A291E" w:rsidRDefault="006A291E" w:rsidP="00B713F5">
      <w:pPr>
        <w:pStyle w:val="FootnoteText"/>
        <w:jc w:val="both"/>
      </w:pPr>
      <w:r>
        <w:rPr>
          <w:rStyle w:val="FootnoteReference"/>
        </w:rPr>
        <w:footnoteRef/>
      </w:r>
      <w:r>
        <w:t xml:space="preserve"> </w:t>
      </w:r>
      <w:r w:rsidRPr="00B713F5">
        <w:rPr>
          <w:rFonts w:ascii="Times New Roman" w:hAnsi="Times New Roman" w:cs="Times New Roman"/>
          <w:sz w:val="18"/>
        </w:rPr>
        <w:t>Eiropas Parlamenta un Padomes Regula (ES)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Pr="00032B2C">
        <w:rPr>
          <w:sz w:val="18"/>
        </w:rPr>
        <w:t> </w:t>
      </w:r>
    </w:p>
  </w:footnote>
  <w:footnote w:id="10">
    <w:p w14:paraId="7A61C7A8" w14:textId="77777777" w:rsidR="006A291E" w:rsidRPr="00364D02" w:rsidRDefault="006A291E" w:rsidP="00053D2F">
      <w:pPr>
        <w:pStyle w:val="FootnoteText"/>
        <w:jc w:val="both"/>
        <w:rPr>
          <w:rFonts w:ascii="Times New Roman" w:hAnsi="Times New Roman" w:cs="Times New Roman"/>
          <w:sz w:val="18"/>
          <w:szCs w:val="18"/>
        </w:rPr>
      </w:pPr>
      <w:r w:rsidRPr="00364D02">
        <w:rPr>
          <w:rStyle w:val="FootnoteReference"/>
          <w:rFonts w:ascii="Times New Roman" w:hAnsi="Times New Roman" w:cs="Times New Roman"/>
          <w:sz w:val="18"/>
          <w:szCs w:val="18"/>
        </w:rPr>
        <w:footnoteRef/>
      </w:r>
      <w:r w:rsidRPr="00364D02">
        <w:rPr>
          <w:rFonts w:ascii="Times New Roman" w:hAnsi="Times New Roman" w:cs="Times New Roman"/>
          <w:sz w:val="18"/>
          <w:szCs w:val="18"/>
        </w:rPr>
        <w:t xml:space="preserve"> </w:t>
      </w:r>
      <w:r>
        <w:rPr>
          <w:rFonts w:ascii="Times New Roman" w:hAnsi="Times New Roman" w:cs="Times New Roman"/>
          <w:sz w:val="18"/>
          <w:szCs w:val="18"/>
        </w:rPr>
        <w:t>P</w:t>
      </w:r>
      <w:r w:rsidRPr="00364D02">
        <w:rPr>
          <w:rFonts w:ascii="Times New Roman" w:hAnsi="Times New Roman" w:cs="Times New Roman"/>
          <w:sz w:val="18"/>
          <w:szCs w:val="18"/>
        </w:rPr>
        <w:t>ārtikas un dzīvnieku barības kultūraugi</w:t>
      </w:r>
      <w:r>
        <w:rPr>
          <w:rFonts w:ascii="Times New Roman" w:hAnsi="Times New Roman" w:cs="Times New Roman"/>
          <w:sz w:val="18"/>
          <w:szCs w:val="18"/>
        </w:rPr>
        <w:t xml:space="preserve"> Direktīvas 2018/2001 2.panta 4) apakšpunktā definēti kā </w:t>
      </w:r>
      <w:r w:rsidRPr="00364D02">
        <w:rPr>
          <w:rFonts w:ascii="Times New Roman" w:hAnsi="Times New Roman" w:cs="Times New Roman"/>
          <w:sz w:val="18"/>
          <w:szCs w:val="18"/>
        </w:rPr>
        <w:t xml:space="preserve">cieti saturoši kultūraugi, cukura kultūraugi un eļļas kultūraugi, ko audzē lauksaimniecības zemē kā galvenos kultūraugus, izņemot atlikumus, atkritumus vai </w:t>
      </w:r>
      <w:proofErr w:type="spellStart"/>
      <w:r w:rsidRPr="00364D02">
        <w:rPr>
          <w:rFonts w:ascii="Times New Roman" w:hAnsi="Times New Roman" w:cs="Times New Roman"/>
          <w:sz w:val="18"/>
          <w:szCs w:val="18"/>
        </w:rPr>
        <w:t>lignocelulozes</w:t>
      </w:r>
      <w:proofErr w:type="spellEnd"/>
      <w:r w:rsidRPr="00364D02">
        <w:rPr>
          <w:rFonts w:ascii="Times New Roman" w:hAnsi="Times New Roman" w:cs="Times New Roman"/>
          <w:sz w:val="18"/>
          <w:szCs w:val="18"/>
        </w:rPr>
        <w:t xml:space="preserve"> materiālus, un starpposma kultūraugi, piemēram, </w:t>
      </w:r>
      <w:proofErr w:type="spellStart"/>
      <w:r w:rsidRPr="00364D02">
        <w:rPr>
          <w:rFonts w:ascii="Times New Roman" w:hAnsi="Times New Roman" w:cs="Times New Roman"/>
          <w:sz w:val="18"/>
          <w:szCs w:val="18"/>
        </w:rPr>
        <w:t>starpkultūras</w:t>
      </w:r>
      <w:proofErr w:type="spellEnd"/>
      <w:r w:rsidRPr="00364D02">
        <w:rPr>
          <w:rFonts w:ascii="Times New Roman" w:hAnsi="Times New Roman" w:cs="Times New Roman"/>
          <w:sz w:val="18"/>
          <w:szCs w:val="18"/>
        </w:rPr>
        <w:t xml:space="preserve"> un virsaugi, ar noteikumu, ka šādu starpposma kultūraugu izmantošana nerada pieprasījumu pēc papildu zemes platībām</w:t>
      </w:r>
    </w:p>
  </w:footnote>
  <w:footnote w:id="11">
    <w:p w14:paraId="378D8A02" w14:textId="77777777" w:rsidR="006A291E" w:rsidRDefault="006A291E" w:rsidP="00053D2F">
      <w:pPr>
        <w:pStyle w:val="FootnoteText"/>
        <w:jc w:val="both"/>
      </w:pPr>
      <w:r>
        <w:rPr>
          <w:rStyle w:val="FootnoteReference"/>
        </w:rPr>
        <w:footnoteRef/>
      </w:r>
      <w:r>
        <w:t xml:space="preserve"> </w:t>
      </w:r>
      <w:r w:rsidRPr="00B713F5">
        <w:rPr>
          <w:rFonts w:ascii="Times New Roman" w:hAnsi="Times New Roman" w:cs="Times New Roman"/>
          <w:sz w:val="18"/>
        </w:rPr>
        <w:t>Eiropas Parlamenta un Padomes Direktīva 2012/27/ES</w:t>
      </w:r>
      <w:r>
        <w:rPr>
          <w:rFonts w:ascii="Times New Roman" w:hAnsi="Times New Roman" w:cs="Times New Roman"/>
          <w:sz w:val="18"/>
        </w:rPr>
        <w:t xml:space="preserve"> </w:t>
      </w:r>
      <w:r w:rsidRPr="00B713F5">
        <w:rPr>
          <w:rFonts w:ascii="Times New Roman" w:hAnsi="Times New Roman" w:cs="Times New Roman"/>
          <w:sz w:val="18"/>
        </w:rPr>
        <w:t>par energoefektivitāti, ar ko groza Direktīvas 2009/125/EK un 2010/30/ES un atceļ Direktīvas 2004/8/EK un 2006/32/EK</w:t>
      </w:r>
    </w:p>
  </w:footnote>
  <w:footnote w:id="12">
    <w:p w14:paraId="4BF43A1B" w14:textId="77777777" w:rsidR="006A291E" w:rsidRDefault="006A291E" w:rsidP="00053D2F">
      <w:pPr>
        <w:pStyle w:val="FootnoteText"/>
      </w:pPr>
      <w:r>
        <w:rPr>
          <w:rStyle w:val="FootnoteReference"/>
        </w:rPr>
        <w:footnoteRef/>
      </w:r>
      <w:r>
        <w:t xml:space="preserve"> </w:t>
      </w:r>
      <w:r w:rsidRPr="00B713F5">
        <w:rPr>
          <w:rFonts w:ascii="Times New Roman" w:hAnsi="Times New Roman" w:cs="Times New Roman"/>
          <w:sz w:val="18"/>
        </w:rPr>
        <w:t>Eiropas Parlamenta un Padomes Direktīva 2004/8/EK par tādas koģenerācijas veicināšanu, kas balstīta uz lietderīgā siltuma pieprasījumu iekšējā enerģijas tirgū, un ar kuru groza Direktīvu 92/42/EEK</w:t>
      </w:r>
    </w:p>
  </w:footnote>
  <w:footnote w:id="13">
    <w:p w14:paraId="7365ED4E" w14:textId="77777777" w:rsidR="006A291E" w:rsidRDefault="006A291E" w:rsidP="00053D2F">
      <w:pPr>
        <w:pStyle w:val="FootnoteText"/>
      </w:pPr>
      <w:r>
        <w:rPr>
          <w:rStyle w:val="FootnoteReference"/>
        </w:rPr>
        <w:footnoteRef/>
      </w:r>
      <w:r>
        <w:t xml:space="preserve"> </w:t>
      </w:r>
      <w:r w:rsidRPr="00B713F5">
        <w:rPr>
          <w:rFonts w:ascii="Times New Roman" w:hAnsi="Times New Roman" w:cs="Times New Roman"/>
          <w:sz w:val="18"/>
        </w:rPr>
        <w:t>Eiropas Parlamenta un Padomes Direktīva</w:t>
      </w:r>
      <w:r>
        <w:rPr>
          <w:rFonts w:ascii="Times New Roman" w:hAnsi="Times New Roman" w:cs="Times New Roman"/>
          <w:sz w:val="18"/>
        </w:rPr>
        <w:t xml:space="preserve"> (</w:t>
      </w:r>
      <w:r w:rsidRPr="009D7EAD">
        <w:rPr>
          <w:rFonts w:ascii="Times New Roman" w:hAnsi="Times New Roman" w:cs="Times New Roman"/>
          <w:sz w:val="18"/>
        </w:rPr>
        <w:t>ES) 2018/2002</w:t>
      </w:r>
      <w:r>
        <w:rPr>
          <w:rFonts w:ascii="Times New Roman" w:hAnsi="Times New Roman" w:cs="Times New Roman"/>
          <w:sz w:val="18"/>
        </w:rPr>
        <w:t xml:space="preserve"> </w:t>
      </w:r>
      <w:r w:rsidRPr="009D7EAD">
        <w:rPr>
          <w:rFonts w:ascii="Times New Roman" w:hAnsi="Times New Roman" w:cs="Times New Roman"/>
          <w:sz w:val="18"/>
        </w:rPr>
        <w:t>ar ko groza Direktīvu 2012/27/ES par energoefektivitāti</w:t>
      </w:r>
    </w:p>
  </w:footnote>
  <w:footnote w:id="14">
    <w:p w14:paraId="284DBED3" w14:textId="77777777" w:rsidR="006A291E" w:rsidRDefault="006A291E" w:rsidP="00053D2F">
      <w:pPr>
        <w:pStyle w:val="FootnoteText"/>
      </w:pPr>
      <w:r>
        <w:rPr>
          <w:rStyle w:val="FootnoteReference"/>
        </w:rPr>
        <w:footnoteRef/>
      </w:r>
      <w:r>
        <w:t xml:space="preserve"> </w:t>
      </w:r>
      <w:r w:rsidRPr="009D7EAD">
        <w:rPr>
          <w:rFonts w:ascii="Times New Roman" w:hAnsi="Times New Roman" w:cs="Times New Roman"/>
          <w:sz w:val="18"/>
        </w:rPr>
        <w:t>Skatīt: http://tap.mk.gov.lv/lv/mk/tap/?pid=40467530</w:t>
      </w:r>
    </w:p>
  </w:footnote>
  <w:footnote w:id="15">
    <w:p w14:paraId="633CE7CD" w14:textId="77777777" w:rsidR="006A291E" w:rsidRPr="004563EC" w:rsidRDefault="006A291E" w:rsidP="002D23AF">
      <w:pPr>
        <w:pStyle w:val="FootnoteText"/>
        <w:jc w:val="both"/>
        <w:rPr>
          <w:sz w:val="18"/>
        </w:rPr>
      </w:pPr>
      <w:r w:rsidRPr="004563EC">
        <w:rPr>
          <w:rStyle w:val="FootnoteReference"/>
          <w:sz w:val="18"/>
        </w:rPr>
        <w:footnoteRef/>
      </w:r>
      <w:r w:rsidRPr="004563EC">
        <w:rPr>
          <w:sz w:val="18"/>
        </w:rPr>
        <w:t xml:space="preserve"> </w:t>
      </w:r>
      <w:r w:rsidRPr="00B56B62">
        <w:rPr>
          <w:rFonts w:ascii="Times New Roman" w:hAnsi="Times New Roman" w:cs="Times New Roman"/>
          <w:sz w:val="18"/>
        </w:rPr>
        <w:t>Eiropas Komisijas 2017.gada 24.aprīļa lēmums valsts atbalsta lietā SA.43140 (2015/NN) “Atbalsts atjaunojamo energoresursu enerģijai un koģenerācijai”, tulkojumu skatīt: https://em.gov.lv/files/attachments/EK%20lemuma%20LV-courtesy%20translation.pdf</w:t>
      </w:r>
    </w:p>
  </w:footnote>
  <w:footnote w:id="16">
    <w:p w14:paraId="329596F0" w14:textId="77777777" w:rsidR="006A291E" w:rsidRPr="004563EC" w:rsidRDefault="006A291E" w:rsidP="002D23AF">
      <w:pPr>
        <w:pStyle w:val="FootnoteText"/>
        <w:jc w:val="both"/>
        <w:rPr>
          <w:sz w:val="18"/>
        </w:rPr>
      </w:pPr>
      <w:r w:rsidRPr="004563EC">
        <w:rPr>
          <w:rStyle w:val="FootnoteReference"/>
          <w:sz w:val="18"/>
        </w:rPr>
        <w:footnoteRef/>
      </w:r>
      <w:r w:rsidRPr="004563EC">
        <w:rPr>
          <w:sz w:val="18"/>
        </w:rPr>
        <w:t xml:space="preserve"> </w:t>
      </w:r>
      <w:r w:rsidRPr="00B56B62">
        <w:rPr>
          <w:rFonts w:ascii="Times New Roman" w:hAnsi="Times New Roman" w:cs="Times New Roman"/>
          <w:sz w:val="18"/>
        </w:rPr>
        <w:t>Kopienas pamatnostādnes par atbalstu vides aizsardzībai (2001/C 37/03), skatīt: https://eur-lex.europa.eu/legal-content/LV/TXT/HTML/?uri=CELEX:32001Y0203(02)&amp;from=EN;  Kopienas pamatnostādnes par atbalstu vides aizsardzībai (2008/C 82/01), skatīt: https://eur-lex.europa.eu/legal-content/LV/ALL/?uri=CELEX:52008XC0401(03)</w:t>
      </w:r>
    </w:p>
  </w:footnote>
  <w:footnote w:id="17">
    <w:p w14:paraId="2A82CE13" w14:textId="77777777" w:rsidR="006A291E" w:rsidRPr="00586C7D" w:rsidRDefault="006A291E" w:rsidP="00B56B62">
      <w:pPr>
        <w:pStyle w:val="FootnoteText"/>
        <w:jc w:val="both"/>
      </w:pPr>
      <w:r w:rsidRPr="004563EC">
        <w:rPr>
          <w:rStyle w:val="FootnoteReference"/>
          <w:sz w:val="18"/>
        </w:rPr>
        <w:footnoteRef/>
      </w:r>
      <w:r w:rsidRPr="004563EC">
        <w:rPr>
          <w:sz w:val="18"/>
        </w:rPr>
        <w:t xml:space="preserve"> </w:t>
      </w:r>
      <w:r w:rsidRPr="00050308">
        <w:rPr>
          <w:rFonts w:ascii="Times New Roman" w:hAnsi="Times New Roman"/>
          <w:sz w:val="18"/>
        </w:rPr>
        <w:t>Valsts atbalsta jautājums attiecībā uz TEC-2 šobrīd ir saskaņošanas procesā ar Eiropas Komisiju.</w:t>
      </w:r>
    </w:p>
  </w:footnote>
  <w:footnote w:id="18">
    <w:p w14:paraId="0194C94B" w14:textId="0595A7DD" w:rsidR="006A291E" w:rsidRPr="00B03F82" w:rsidRDefault="006A291E" w:rsidP="00050308">
      <w:pPr>
        <w:pStyle w:val="FootnoteText"/>
        <w:jc w:val="both"/>
        <w:rPr>
          <w:rFonts w:ascii="Times New Roman" w:hAnsi="Times New Roman"/>
        </w:rPr>
      </w:pPr>
      <w:r w:rsidRPr="00B03F82">
        <w:rPr>
          <w:rStyle w:val="FootnoteReference"/>
          <w:rFonts w:ascii="Times New Roman" w:hAnsi="Times New Roman"/>
        </w:rPr>
        <w:footnoteRef/>
      </w:r>
      <w:r w:rsidRPr="00B03F82">
        <w:rPr>
          <w:rFonts w:ascii="Times New Roman" w:hAnsi="Times New Roman"/>
        </w:rPr>
        <w:t xml:space="preserve"> </w:t>
      </w:r>
      <w:r w:rsidRPr="00050308">
        <w:rPr>
          <w:rFonts w:ascii="Times New Roman" w:hAnsi="Times New Roman"/>
          <w:sz w:val="18"/>
        </w:rPr>
        <w:t>Padomes Regula (ES) 2015/1589 (2015. gada 13. jūlijs), ar ko nosaka sīki izstrādātus noteikumus Līguma par Eiropas Savienības darbību 108. panta piemērošanai</w:t>
      </w:r>
    </w:p>
  </w:footnote>
  <w:footnote w:id="19">
    <w:p w14:paraId="4B474C87" w14:textId="1E8A4ECF" w:rsidR="006A291E" w:rsidRDefault="006A291E">
      <w:pPr>
        <w:pStyle w:val="FootnoteText"/>
      </w:pPr>
      <w:r>
        <w:rPr>
          <w:rStyle w:val="FootnoteReference"/>
        </w:rPr>
        <w:footnoteRef/>
      </w:r>
      <w:r>
        <w:t xml:space="preserve"> </w:t>
      </w:r>
      <w:r w:rsidRPr="00B73EC5">
        <w:rPr>
          <w:rFonts w:ascii="Times New Roman" w:hAnsi="Times New Roman"/>
          <w:sz w:val="18"/>
        </w:rPr>
        <w:t>Komisijas 2009.gada 9.aprīļa paziņojums par valsts atbalsta tiesību normu piemērošanu valstu tiesās (2009/C 85/01)</w:t>
      </w:r>
    </w:p>
  </w:footnote>
  <w:footnote w:id="20">
    <w:p w14:paraId="6081014B" w14:textId="46180969" w:rsidR="006A291E" w:rsidRPr="009045F8" w:rsidRDefault="006A291E" w:rsidP="009045F8">
      <w:pPr>
        <w:pStyle w:val="FootnoteText"/>
        <w:rPr>
          <w:rFonts w:ascii="Times New Roman" w:hAnsi="Times New Roman" w:cs="Times New Roman"/>
          <w:bCs/>
          <w:sz w:val="18"/>
        </w:rPr>
      </w:pPr>
      <w:r>
        <w:rPr>
          <w:rStyle w:val="FootnoteReference"/>
        </w:rPr>
        <w:footnoteRef/>
      </w:r>
      <w:r>
        <w:t xml:space="preserve"> </w:t>
      </w:r>
      <w:r w:rsidRPr="009045F8">
        <w:rPr>
          <w:rFonts w:ascii="Times New Roman" w:hAnsi="Times New Roman" w:cs="Times New Roman"/>
          <w:sz w:val="18"/>
        </w:rPr>
        <w:t xml:space="preserve">Ministru kabineta 2017.gada 21.novembra rīkojums Nr.685 </w:t>
      </w:r>
      <w:r>
        <w:rPr>
          <w:rFonts w:ascii="Times New Roman" w:hAnsi="Times New Roman" w:cs="Times New Roman"/>
          <w:sz w:val="18"/>
        </w:rPr>
        <w:t>“</w:t>
      </w:r>
      <w:r w:rsidRPr="009045F8">
        <w:rPr>
          <w:rFonts w:ascii="Times New Roman" w:hAnsi="Times New Roman" w:cs="Times New Roman"/>
          <w:bCs/>
          <w:sz w:val="18"/>
        </w:rPr>
        <w:t xml:space="preserve">Par garantētās maksas par koģenerācijas elektrostacijā uzstādīto elektrisko jaudu saistību samazināšanu akciju sabiedrībai </w:t>
      </w:r>
      <w:r>
        <w:rPr>
          <w:rFonts w:ascii="Times New Roman" w:hAnsi="Times New Roman" w:cs="Times New Roman"/>
          <w:bCs/>
          <w:sz w:val="18"/>
        </w:rPr>
        <w:t>“</w:t>
      </w:r>
      <w:r w:rsidRPr="009045F8">
        <w:rPr>
          <w:rFonts w:ascii="Times New Roman" w:hAnsi="Times New Roman" w:cs="Times New Roman"/>
          <w:bCs/>
          <w:sz w:val="18"/>
        </w:rPr>
        <w:t>Latvenergo</w:t>
      </w:r>
      <w:r>
        <w:rPr>
          <w:rFonts w:ascii="Times New Roman" w:hAnsi="Times New Roman" w:cs="Times New Roman"/>
          <w:bCs/>
          <w:sz w:val="18"/>
        </w:rPr>
        <w:t>””, skatīt:</w:t>
      </w:r>
    </w:p>
    <w:p w14:paraId="70C7CEC9" w14:textId="033D764B" w:rsidR="006A291E" w:rsidRDefault="006A291E">
      <w:pPr>
        <w:pStyle w:val="FootnoteText"/>
      </w:pPr>
      <w:r w:rsidRPr="009045F8">
        <w:rPr>
          <w:rFonts w:ascii="Times New Roman" w:hAnsi="Times New Roman" w:cs="Times New Roman"/>
          <w:sz w:val="18"/>
        </w:rPr>
        <w:t>https://likumi.lv/ta/id/295240-par-garantetas-maksas-par-kogeneracijas-elektrostacija-uzstadito-elektrisko-jaudu-saistibu-samazinasanu-akciju-sabiedribai-latv...</w:t>
      </w:r>
    </w:p>
  </w:footnote>
  <w:footnote w:id="21">
    <w:p w14:paraId="65CA816D" w14:textId="0FE9749C" w:rsidR="006A291E" w:rsidRDefault="006A291E">
      <w:pPr>
        <w:pStyle w:val="FootnoteText"/>
      </w:pPr>
      <w:r>
        <w:rPr>
          <w:rStyle w:val="FootnoteReference"/>
        </w:rPr>
        <w:footnoteRef/>
      </w:r>
      <w:r>
        <w:t xml:space="preserve"> </w:t>
      </w:r>
      <w:r w:rsidRPr="00157E5D">
        <w:rPr>
          <w:rFonts w:ascii="Times New Roman" w:hAnsi="Times New Roman" w:cs="Times New Roman"/>
          <w:sz w:val="18"/>
        </w:rPr>
        <w:t>Skatīt: https://likumi.lv/ta/id/293705-obligata-iepirkuma-un-jaudas-komponensu-aprekinasanas-metodika</w:t>
      </w:r>
    </w:p>
  </w:footnote>
  <w:footnote w:id="22">
    <w:p w14:paraId="66C6572C" w14:textId="7201F3CD" w:rsidR="006A291E" w:rsidRDefault="006A291E">
      <w:pPr>
        <w:pStyle w:val="FootnoteText"/>
      </w:pPr>
      <w:r>
        <w:rPr>
          <w:rStyle w:val="FootnoteReference"/>
        </w:rPr>
        <w:footnoteRef/>
      </w:r>
      <w:r>
        <w:t xml:space="preserve"> </w:t>
      </w:r>
      <w:r w:rsidRPr="00C659FA">
        <w:rPr>
          <w:rFonts w:ascii="Times New Roman" w:hAnsi="Times New Roman" w:cs="Times New Roman"/>
          <w:sz w:val="18"/>
        </w:rPr>
        <w:t>Ministru kabineta 2015.gada 14.jūlija noteikumi Nr.395 “Kārtība, kādā energoietilpīgi apstrādes rūpniecības uzņēmumi iegūst tiesības uz samazinātu līdzdalību obligātā iepirkuma komponentes maksājumam”, skatīt: https://likumi.lv/doc.php?id=275666</w:t>
      </w:r>
    </w:p>
  </w:footnote>
  <w:footnote w:id="23">
    <w:p w14:paraId="2C5E56D5" w14:textId="77777777" w:rsidR="006A291E" w:rsidRDefault="006A291E">
      <w:pPr>
        <w:pStyle w:val="FootnoteText"/>
      </w:pPr>
      <w:r>
        <w:rPr>
          <w:rStyle w:val="FootnoteReference"/>
        </w:rPr>
        <w:footnoteRef/>
      </w:r>
      <w:r>
        <w:t xml:space="preserve"> </w:t>
      </w:r>
      <w:r w:rsidRPr="0039358C">
        <w:rPr>
          <w:rFonts w:ascii="Times New Roman" w:hAnsi="Times New Roman" w:cs="Times New Roman"/>
          <w:sz w:val="18"/>
        </w:rPr>
        <w:t>Pētījuma “Obligātā iepirkuma sistēmas efektivitātes un ietekmes uz tautsaimniecību izvērtējums” ziņojums, R. Karnīte, 2018, Latvijas Zinātņu akadēmija,  Skatīt: http://oik.db.lv/</w:t>
      </w:r>
    </w:p>
  </w:footnote>
  <w:footnote w:id="24">
    <w:p w14:paraId="7620C223" w14:textId="77777777" w:rsidR="006A291E" w:rsidRDefault="006A291E" w:rsidP="00244945">
      <w:pPr>
        <w:pStyle w:val="FootnoteText"/>
      </w:pPr>
      <w:r>
        <w:rPr>
          <w:rStyle w:val="FootnoteReference"/>
        </w:rPr>
        <w:footnoteRef/>
      </w:r>
      <w:r>
        <w:t xml:space="preserve"> </w:t>
      </w:r>
      <w:r w:rsidRPr="003F77EB">
        <w:rPr>
          <w:rFonts w:ascii="Times New Roman" w:hAnsi="Times New Roman" w:cs="Times New Roman"/>
        </w:rPr>
        <w:t>Satversmes tiesas 2009. gada 21. decembra sprieduma lietā Nr.2009-43-01 29.2. punkts</w:t>
      </w:r>
    </w:p>
  </w:footnote>
  <w:footnote w:id="25">
    <w:p w14:paraId="4391F6DD" w14:textId="55B322DF" w:rsidR="006A291E" w:rsidRDefault="006A291E">
      <w:pPr>
        <w:pStyle w:val="FootnoteText"/>
      </w:pPr>
      <w:r>
        <w:rPr>
          <w:rStyle w:val="FootnoteReference"/>
        </w:rPr>
        <w:footnoteRef/>
      </w:r>
      <w:r>
        <w:t xml:space="preserve"> </w:t>
      </w:r>
      <w:r w:rsidRPr="00360B9C">
        <w:rPr>
          <w:rFonts w:ascii="Times New Roman" w:hAnsi="Times New Roman" w:cs="Times New Roman"/>
        </w:rPr>
        <w:t>Skatīt: http://tap.mk.gov.lv/mk/tap/?pid=40461316</w:t>
      </w:r>
    </w:p>
  </w:footnote>
  <w:footnote w:id="26">
    <w:p w14:paraId="61C4A668" w14:textId="182EA483" w:rsidR="006A291E" w:rsidRPr="00B731F1" w:rsidRDefault="006A291E" w:rsidP="00244945">
      <w:pPr>
        <w:pStyle w:val="FootnoteText"/>
        <w:jc w:val="both"/>
        <w:rPr>
          <w:rFonts w:ascii="Times New Roman" w:hAnsi="Times New Roman" w:cs="Times New Roman"/>
          <w:sz w:val="16"/>
          <w:szCs w:val="16"/>
        </w:rPr>
      </w:pPr>
      <w:r w:rsidRPr="00B731F1">
        <w:rPr>
          <w:rStyle w:val="FootnoteReference"/>
          <w:rFonts w:ascii="Times New Roman" w:hAnsi="Times New Roman" w:cs="Times New Roman"/>
          <w:sz w:val="16"/>
          <w:szCs w:val="16"/>
        </w:rPr>
        <w:footnoteRef/>
      </w:r>
      <w:r w:rsidRPr="00B731F1">
        <w:rPr>
          <w:rFonts w:ascii="Times New Roman" w:hAnsi="Times New Roman" w:cs="Times New Roman"/>
          <w:sz w:val="16"/>
          <w:szCs w:val="16"/>
        </w:rPr>
        <w:t xml:space="preserve"> Skatīt: </w:t>
      </w:r>
      <w:r w:rsidRPr="00B731F1">
        <w:rPr>
          <w:rStyle w:val="Hyperlink"/>
          <w:rFonts w:ascii="Times New Roman" w:hAnsi="Times New Roman" w:cs="Times New Roman"/>
          <w:color w:val="auto"/>
          <w:sz w:val="16"/>
          <w:szCs w:val="16"/>
          <w:u w:val="none"/>
        </w:rPr>
        <w:t>http://microsegur.com/en/2018/07/05/spain-lost-four-international-arbitrations-over-cutting-renewable-energy-subsidies/</w:t>
      </w:r>
    </w:p>
  </w:footnote>
  <w:footnote w:id="27">
    <w:p w14:paraId="5030E0FC" w14:textId="125F1ED3" w:rsidR="006A291E" w:rsidRPr="00B731F1" w:rsidRDefault="006A291E" w:rsidP="00244945">
      <w:pPr>
        <w:pStyle w:val="FootnoteText"/>
        <w:jc w:val="both"/>
        <w:rPr>
          <w:rFonts w:ascii="Times New Roman" w:hAnsi="Times New Roman" w:cs="Times New Roman"/>
          <w:sz w:val="16"/>
          <w:szCs w:val="16"/>
        </w:rPr>
      </w:pPr>
      <w:r w:rsidRPr="00B731F1">
        <w:rPr>
          <w:rStyle w:val="FootnoteReference"/>
          <w:rFonts w:ascii="Times New Roman" w:hAnsi="Times New Roman" w:cs="Times New Roman"/>
          <w:sz w:val="16"/>
          <w:szCs w:val="16"/>
        </w:rPr>
        <w:footnoteRef/>
      </w:r>
      <w:r w:rsidRPr="00B731F1">
        <w:rPr>
          <w:rFonts w:ascii="Times New Roman" w:hAnsi="Times New Roman" w:cs="Times New Roman"/>
          <w:sz w:val="16"/>
          <w:szCs w:val="16"/>
        </w:rPr>
        <w:t xml:space="preserve"> Skatīt:  </w:t>
      </w:r>
      <w:r w:rsidRPr="00B731F1">
        <w:rPr>
          <w:rStyle w:val="Hyperlink"/>
          <w:rFonts w:ascii="Times New Roman" w:hAnsi="Times New Roman" w:cs="Times New Roman"/>
          <w:color w:val="auto"/>
          <w:sz w:val="16"/>
          <w:szCs w:val="16"/>
          <w:u w:val="none"/>
        </w:rPr>
        <w:t>https://investmentpolicyhub.unctad.org/ISDS/Details/435</w:t>
      </w:r>
    </w:p>
  </w:footnote>
  <w:footnote w:id="28">
    <w:p w14:paraId="7E341163" w14:textId="7B56B2B5" w:rsidR="006A291E" w:rsidRPr="00B731F1" w:rsidRDefault="006A291E" w:rsidP="00244945">
      <w:pPr>
        <w:pStyle w:val="FootnoteText"/>
        <w:jc w:val="both"/>
        <w:rPr>
          <w:rFonts w:ascii="Times New Roman" w:hAnsi="Times New Roman" w:cs="Times New Roman"/>
          <w:sz w:val="16"/>
          <w:szCs w:val="16"/>
        </w:rPr>
      </w:pPr>
      <w:r w:rsidRPr="00B731F1">
        <w:rPr>
          <w:rStyle w:val="FootnoteReference"/>
          <w:rFonts w:ascii="Times New Roman" w:hAnsi="Times New Roman" w:cs="Times New Roman"/>
          <w:sz w:val="16"/>
          <w:szCs w:val="16"/>
        </w:rPr>
        <w:footnoteRef/>
      </w:r>
      <w:r w:rsidRPr="00B731F1">
        <w:rPr>
          <w:rFonts w:ascii="Times New Roman" w:hAnsi="Times New Roman" w:cs="Times New Roman"/>
          <w:sz w:val="16"/>
          <w:szCs w:val="16"/>
        </w:rPr>
        <w:t xml:space="preserve"> Skatīt:  </w:t>
      </w:r>
      <w:r w:rsidRPr="00B731F1">
        <w:rPr>
          <w:rStyle w:val="Hyperlink"/>
          <w:rFonts w:ascii="Times New Roman" w:hAnsi="Times New Roman" w:cs="Times New Roman"/>
          <w:color w:val="auto"/>
          <w:sz w:val="16"/>
          <w:szCs w:val="16"/>
          <w:u w:val="none"/>
        </w:rPr>
        <w:t>https://energycharter.org/what-we-do/dispute-settlement/investment-dispute-settlement-cases/31-the-pv-investors-v-spain/</w:t>
      </w:r>
    </w:p>
  </w:footnote>
  <w:footnote w:id="29">
    <w:p w14:paraId="2E8C0E1C" w14:textId="07CD8CD8" w:rsidR="006A291E" w:rsidRPr="008804FE" w:rsidRDefault="006A291E" w:rsidP="00244945">
      <w:pPr>
        <w:pStyle w:val="FootnoteText"/>
        <w:jc w:val="both"/>
        <w:rPr>
          <w:rFonts w:cstheme="minorHAnsi"/>
          <w:sz w:val="16"/>
          <w:szCs w:val="16"/>
        </w:rPr>
      </w:pPr>
      <w:r w:rsidRPr="00B731F1">
        <w:rPr>
          <w:rStyle w:val="FootnoteReference"/>
          <w:rFonts w:ascii="Times New Roman" w:hAnsi="Times New Roman" w:cs="Times New Roman"/>
          <w:sz w:val="16"/>
          <w:szCs w:val="16"/>
        </w:rPr>
        <w:footnoteRef/>
      </w:r>
      <w:r w:rsidRPr="00B731F1">
        <w:rPr>
          <w:rFonts w:ascii="Times New Roman" w:hAnsi="Times New Roman" w:cs="Times New Roman"/>
          <w:sz w:val="16"/>
          <w:szCs w:val="16"/>
        </w:rPr>
        <w:t xml:space="preserve"> Skatīt:   https://www.clydeco.com/insight/article/energy-arbitrations</w:t>
      </w:r>
    </w:p>
  </w:footnote>
  <w:footnote w:id="30">
    <w:p w14:paraId="02381C3B" w14:textId="45A09DDB" w:rsidR="006A291E" w:rsidRPr="007279F4" w:rsidRDefault="006A291E">
      <w:pPr>
        <w:pStyle w:val="FootnoteText"/>
        <w:rPr>
          <w:rFonts w:ascii="Times New Roman" w:hAnsi="Times New Roman" w:cs="Times New Roman"/>
        </w:rPr>
      </w:pPr>
      <w:r w:rsidRPr="007279F4">
        <w:rPr>
          <w:rStyle w:val="FootnoteReference"/>
          <w:rFonts w:ascii="Times New Roman" w:hAnsi="Times New Roman" w:cs="Times New Roman"/>
        </w:rPr>
        <w:footnoteRef/>
      </w:r>
      <w:r w:rsidRPr="007279F4">
        <w:rPr>
          <w:rFonts w:ascii="Times New Roman" w:hAnsi="Times New Roman" w:cs="Times New Roman"/>
        </w:rPr>
        <w:t xml:space="preserve"> </w:t>
      </w:r>
      <w:r w:rsidRPr="007279F4">
        <w:rPr>
          <w:rFonts w:ascii="Times New Roman" w:hAnsi="Times New Roman" w:cs="Times New Roman"/>
          <w:sz w:val="18"/>
        </w:rPr>
        <w:t>Izņemot AS “Latvenergo”</w:t>
      </w:r>
    </w:p>
  </w:footnote>
  <w:footnote w:id="31">
    <w:p w14:paraId="3A35F5CE" w14:textId="77777777" w:rsidR="006A291E" w:rsidRDefault="006A291E">
      <w:pPr>
        <w:pStyle w:val="FootnoteText"/>
      </w:pPr>
      <w:r w:rsidRPr="007279F4">
        <w:rPr>
          <w:rStyle w:val="FootnoteReference"/>
          <w:rFonts w:ascii="Times New Roman" w:hAnsi="Times New Roman" w:cs="Times New Roman"/>
        </w:rPr>
        <w:footnoteRef/>
      </w:r>
      <w:r w:rsidRPr="007279F4">
        <w:rPr>
          <w:rFonts w:ascii="Times New Roman" w:hAnsi="Times New Roman" w:cs="Times New Roman"/>
        </w:rPr>
        <w:t xml:space="preserve"> </w:t>
      </w:r>
      <w:r w:rsidRPr="007279F4">
        <w:rPr>
          <w:rFonts w:ascii="Times New Roman" w:hAnsi="Times New Roman" w:cs="Times New Roman"/>
          <w:sz w:val="18"/>
        </w:rPr>
        <w:t>Skatīt: http://www.ast.lv/lv/content/parvades-sistemas-operatora-novertejuma-zinojumi</w:t>
      </w:r>
    </w:p>
  </w:footnote>
  <w:footnote w:id="32">
    <w:p w14:paraId="2B2A6AF1" w14:textId="3D17E78E" w:rsidR="006A291E" w:rsidRDefault="006A291E">
      <w:pPr>
        <w:pStyle w:val="FootnoteText"/>
      </w:pPr>
      <w:r>
        <w:rPr>
          <w:rStyle w:val="FootnoteReference"/>
        </w:rPr>
        <w:footnoteRef/>
      </w:r>
      <w:r>
        <w:t xml:space="preserve"> </w:t>
      </w:r>
      <w:r w:rsidRPr="005E4588">
        <w:rPr>
          <w:rFonts w:ascii="Times New Roman" w:hAnsi="Times New Roman" w:cs="Times New Roman"/>
          <w:sz w:val="18"/>
        </w:rPr>
        <w:t>Skatīt: https://likumi.lv/ta/id/280236-par-energetikas-attistibas-pamatnostadnem-2016-2020-gadam</w:t>
      </w:r>
    </w:p>
  </w:footnote>
  <w:footnote w:id="33">
    <w:p w14:paraId="5FFE243B" w14:textId="3B873FD7" w:rsidR="006A291E" w:rsidRDefault="006A291E">
      <w:pPr>
        <w:pStyle w:val="FootnoteText"/>
      </w:pPr>
      <w:r>
        <w:rPr>
          <w:rStyle w:val="FootnoteReference"/>
        </w:rPr>
        <w:footnoteRef/>
      </w:r>
      <w:r>
        <w:t xml:space="preserve"> </w:t>
      </w:r>
      <w:r w:rsidRPr="005E4588">
        <w:rPr>
          <w:rFonts w:ascii="Times New Roman" w:hAnsi="Times New Roman" w:cs="Times New Roman"/>
          <w:sz w:val="18"/>
        </w:rPr>
        <w:t>Skatīt: http://tap.mk.gov.lv/mk/tap/?pid=40263360</w:t>
      </w:r>
    </w:p>
  </w:footnote>
  <w:footnote w:id="34">
    <w:p w14:paraId="148E2B37" w14:textId="77777777" w:rsidR="006A291E" w:rsidRPr="00D371C0" w:rsidRDefault="006A291E" w:rsidP="00053D2F">
      <w:pPr>
        <w:pStyle w:val="FootnoteText"/>
        <w:rPr>
          <w:rFonts w:ascii="Times New Roman" w:hAnsi="Times New Roman" w:cs="Times New Roman"/>
        </w:rPr>
      </w:pPr>
      <w:r w:rsidRPr="00D371C0">
        <w:rPr>
          <w:rStyle w:val="FootnoteReference"/>
          <w:rFonts w:ascii="Times New Roman" w:hAnsi="Times New Roman" w:cs="Times New Roman"/>
        </w:rPr>
        <w:footnoteRef/>
      </w:r>
      <w:r w:rsidRPr="00D371C0">
        <w:rPr>
          <w:rFonts w:ascii="Times New Roman" w:hAnsi="Times New Roman" w:cs="Times New Roman"/>
        </w:rPr>
        <w:t xml:space="preserve"> Paziņojums pieejams: https://eur-lex.europa.eu/legal-content/LV/ALL/?uri=CELEX:52017XC0119(01)</w:t>
      </w:r>
    </w:p>
  </w:footnote>
  <w:footnote w:id="35">
    <w:p w14:paraId="6D8B18D9" w14:textId="77777777" w:rsidR="006A291E" w:rsidRPr="00395236" w:rsidRDefault="006A291E" w:rsidP="005F007E">
      <w:pPr>
        <w:pStyle w:val="FootnoteText"/>
        <w:jc w:val="both"/>
        <w:rPr>
          <w:rFonts w:ascii="Times New Roman" w:hAnsi="Times New Roman"/>
          <w:sz w:val="16"/>
          <w:szCs w:val="16"/>
        </w:rPr>
      </w:pPr>
      <w:r w:rsidRPr="00395236">
        <w:rPr>
          <w:rStyle w:val="FootnoteReference"/>
          <w:rFonts w:ascii="Times New Roman" w:hAnsi="Times New Roman"/>
          <w:sz w:val="16"/>
          <w:szCs w:val="16"/>
        </w:rPr>
        <w:footnoteRef/>
      </w:r>
      <w:r w:rsidRPr="00395236">
        <w:rPr>
          <w:rFonts w:ascii="Times New Roman" w:hAnsi="Times New Roman"/>
          <w:sz w:val="16"/>
          <w:szCs w:val="16"/>
        </w:rPr>
        <w:t xml:space="preserve"> </w:t>
      </w:r>
      <w:r w:rsidRPr="00991C29">
        <w:rPr>
          <w:rFonts w:ascii="Times New Roman" w:eastAsia="Times New Roman" w:hAnsi="Times New Roman"/>
          <w:sz w:val="18"/>
          <w:szCs w:val="16"/>
        </w:rPr>
        <w:t>ES ETS tika izveidota, lai veicinātu SEG emisiju samazināšanu izmaksu efektīvā, godīgā un solidārā veidā. ES ETS ietvaros katrai ETS iekārtai tiek piešķirts noteikts emisijas kvotu daudzums jeb SEG emisiju limits. ETS galvenokārt aptver rūpnieciskās iekārtas energoietilpīgajās tautsaimniecības nozarēs, tai skaitā elektroenerģijas un siltumenerģijas, cementa, keramikas, tērauda, stikla u.c. ražošanas iekārtas.</w:t>
      </w:r>
    </w:p>
  </w:footnote>
  <w:footnote w:id="36">
    <w:p w14:paraId="1A15025D" w14:textId="7B1CA18D" w:rsidR="006A291E" w:rsidRPr="00ED32EB" w:rsidRDefault="006A291E">
      <w:pPr>
        <w:pStyle w:val="FootnoteText"/>
        <w:rPr>
          <w:rFonts w:ascii="Times New Roman" w:hAnsi="Times New Roman" w:cs="Times New Roman"/>
          <w:sz w:val="18"/>
        </w:rPr>
      </w:pPr>
      <w:r>
        <w:rPr>
          <w:rStyle w:val="FootnoteReference"/>
        </w:rPr>
        <w:footnoteRef/>
      </w:r>
      <w:r>
        <w:t xml:space="preserve"> </w:t>
      </w:r>
      <w:r w:rsidRPr="00ED32EB">
        <w:rPr>
          <w:rFonts w:ascii="Times New Roman" w:hAnsi="Times New Roman" w:cs="Times New Roman"/>
          <w:sz w:val="18"/>
        </w:rPr>
        <w:t>Skatīt: https://eur-lex.europa.eu/legal-content/LV/TXT/?uri=CELEX%3A32016L2284</w:t>
      </w:r>
    </w:p>
  </w:footnote>
  <w:footnote w:id="37">
    <w:p w14:paraId="4C362E95" w14:textId="6BB3C4E7" w:rsidR="006A291E" w:rsidRPr="00066793" w:rsidRDefault="006A291E" w:rsidP="00ED3461">
      <w:pPr>
        <w:pStyle w:val="FootnoteText"/>
        <w:jc w:val="both"/>
        <w:rPr>
          <w:rFonts w:ascii="Times New Roman" w:hAnsi="Times New Roman" w:cs="Times New Roman"/>
        </w:rPr>
      </w:pPr>
      <w:r w:rsidRPr="00066793">
        <w:rPr>
          <w:rStyle w:val="FootnoteReference"/>
          <w:rFonts w:ascii="Times New Roman" w:hAnsi="Times New Roman" w:cs="Times New Roman"/>
        </w:rPr>
        <w:footnoteRef/>
      </w:r>
      <w:r w:rsidRPr="00066793">
        <w:rPr>
          <w:rFonts w:ascii="Times New Roman" w:hAnsi="Times New Roman" w:cs="Times New Roman"/>
        </w:rPr>
        <w:t xml:space="preserve"> </w:t>
      </w:r>
      <w:r w:rsidRPr="00B731F1">
        <w:rPr>
          <w:rFonts w:ascii="Times New Roman" w:eastAsia="Times New Roman" w:hAnsi="Times New Roman" w:cs="Times New Roman"/>
          <w:sz w:val="18"/>
        </w:rPr>
        <w:t>Šobrīd vēl notiek ES līmeņa sarunas par konkrētiem ES fondu finansējuma “</w:t>
      </w:r>
      <w:proofErr w:type="spellStart"/>
      <w:r w:rsidRPr="00B731F1">
        <w:rPr>
          <w:rFonts w:ascii="Times New Roman" w:eastAsia="Times New Roman" w:hAnsi="Times New Roman" w:cs="Times New Roman"/>
          <w:sz w:val="18"/>
        </w:rPr>
        <w:t>iespējošanas</w:t>
      </w:r>
      <w:proofErr w:type="spellEnd"/>
      <w:r w:rsidRPr="00B731F1">
        <w:rPr>
          <w:rFonts w:ascii="Times New Roman" w:eastAsia="Times New Roman" w:hAnsi="Times New Roman" w:cs="Times New Roman"/>
          <w:sz w:val="18"/>
        </w:rPr>
        <w:t xml:space="preserve">” nosacījumiem 2021.-2027. gada ES fondu plānošanas periodam, tomēr jau šobrīd ir skaidrs, ka pastāvēs nosacījuma raksturs EK finansējuma saņemšanai. </w:t>
      </w:r>
    </w:p>
  </w:footnote>
  <w:footnote w:id="38">
    <w:p w14:paraId="512B3335" w14:textId="77777777" w:rsidR="006A291E" w:rsidRPr="00A55401" w:rsidRDefault="006A291E" w:rsidP="003B39CC">
      <w:pPr>
        <w:pStyle w:val="FootnoteText"/>
        <w:jc w:val="both"/>
        <w:rPr>
          <w:rFonts w:ascii="Times New Roman" w:hAnsi="Times New Roman" w:cs="Times New Roman"/>
        </w:rPr>
      </w:pPr>
      <w:r w:rsidRPr="00A55401">
        <w:rPr>
          <w:rStyle w:val="FootnoteReference"/>
          <w:rFonts w:ascii="Times New Roman" w:hAnsi="Times New Roman" w:cs="Times New Roman"/>
        </w:rPr>
        <w:footnoteRef/>
      </w:r>
      <w:r w:rsidRPr="00A55401">
        <w:rPr>
          <w:rFonts w:ascii="Times New Roman" w:hAnsi="Times New Roman" w:cs="Times New Roman"/>
        </w:rPr>
        <w:t xml:space="preserve"> </w:t>
      </w:r>
      <w:r>
        <w:rPr>
          <w:rFonts w:ascii="Times New Roman" w:hAnsi="Times New Roman" w:cs="Times New Roman"/>
        </w:rPr>
        <w:t>Tabulā atspoguļota</w:t>
      </w:r>
      <w:r w:rsidRPr="00A55401">
        <w:rPr>
          <w:rFonts w:ascii="Times New Roman" w:hAnsi="Times New Roman" w:cs="Times New Roman"/>
        </w:rPr>
        <w:t xml:space="preserve"> </w:t>
      </w:r>
      <w:r>
        <w:rPr>
          <w:rFonts w:ascii="Times New Roman" w:hAnsi="Times New Roman" w:cs="Times New Roman"/>
        </w:rPr>
        <w:t>informācija attiecībā uz spēkā esošo vidēja termiņa budžeta ietvaru par tām pozīcijām, kur tiek aplēstas izmaiņas. Ietekme uz valsts budžetu pa gadiem atkarīga no OI atcelšanas brīža.</w:t>
      </w:r>
    </w:p>
  </w:footnote>
  <w:footnote w:id="39">
    <w:p w14:paraId="41498C27" w14:textId="745E2E15" w:rsidR="006A291E" w:rsidRPr="00CA2254" w:rsidRDefault="006A291E">
      <w:pPr>
        <w:pStyle w:val="FootnoteText"/>
        <w:rPr>
          <w:rFonts w:ascii="Times New Roman" w:hAnsi="Times New Roman" w:cs="Times New Roman"/>
        </w:rPr>
      </w:pPr>
      <w:r w:rsidRPr="00CA2254">
        <w:rPr>
          <w:rStyle w:val="FootnoteReference"/>
          <w:rFonts w:ascii="Times New Roman" w:hAnsi="Times New Roman" w:cs="Times New Roman"/>
        </w:rPr>
        <w:footnoteRef/>
      </w:r>
      <w:r w:rsidRPr="00CA2254">
        <w:rPr>
          <w:rFonts w:ascii="Times New Roman" w:hAnsi="Times New Roman" w:cs="Times New Roman"/>
        </w:rPr>
        <w:t xml:space="preserve"> </w:t>
      </w:r>
      <w:r w:rsidRPr="00CA2254">
        <w:rPr>
          <w:rFonts w:ascii="Times New Roman" w:hAnsi="Times New Roman" w:cs="Times New Roman"/>
          <w:sz w:val="18"/>
        </w:rPr>
        <w:t>Izņemot AS “Latvenergo”</w:t>
      </w:r>
    </w:p>
  </w:footnote>
  <w:footnote w:id="40">
    <w:p w14:paraId="76E01C97" w14:textId="7D9DCE76" w:rsidR="006A291E" w:rsidRDefault="006A291E">
      <w:pPr>
        <w:pStyle w:val="FootnoteText"/>
      </w:pPr>
      <w:r>
        <w:rPr>
          <w:rStyle w:val="FootnoteReference"/>
        </w:rPr>
        <w:footnoteRef/>
      </w:r>
      <w:r>
        <w:t xml:space="preserve"> </w:t>
      </w:r>
      <w:r w:rsidRPr="005555D8">
        <w:rPr>
          <w:rFonts w:ascii="Times New Roman" w:hAnsi="Times New Roman" w:cs="Times New Roman"/>
          <w:sz w:val="18"/>
        </w:rPr>
        <w:t>Skatīt: http://www.saeima.lv/lv/aktualitates/saeimas-zinas/27561-saeima-atbalsta-lemuma-projektu-par-obligata-iepirkuma-komponentes-atcelsanu</w:t>
      </w:r>
    </w:p>
  </w:footnote>
  <w:footnote w:id="41">
    <w:p w14:paraId="6DBA1985" w14:textId="3D13AB8F" w:rsidR="006A291E" w:rsidRDefault="006A291E">
      <w:pPr>
        <w:pStyle w:val="FootnoteText"/>
      </w:pPr>
      <w:r>
        <w:rPr>
          <w:rStyle w:val="FootnoteReference"/>
        </w:rPr>
        <w:footnoteRef/>
      </w:r>
      <w:r>
        <w:t xml:space="preserve"> </w:t>
      </w:r>
      <w:r w:rsidRPr="005555D8">
        <w:rPr>
          <w:rFonts w:ascii="Times New Roman" w:hAnsi="Times New Roman" w:cs="Times New Roman"/>
          <w:sz w:val="18"/>
        </w:rPr>
        <w:t>Skatīt: https://likumi.lv/ta/id/304192-par-obligata-iepirkuma-komponentes-atcelsanu</w:t>
      </w:r>
    </w:p>
  </w:footnote>
  <w:footnote w:id="42">
    <w:p w14:paraId="2EB8FFCB" w14:textId="01EF368B" w:rsidR="006A291E" w:rsidRDefault="006A291E">
      <w:pPr>
        <w:pStyle w:val="FootnoteText"/>
      </w:pPr>
      <w:r>
        <w:rPr>
          <w:rStyle w:val="FootnoteReference"/>
        </w:rPr>
        <w:footnoteRef/>
      </w:r>
      <w:r>
        <w:t xml:space="preserve"> </w:t>
      </w:r>
      <w:r w:rsidRPr="005555D8">
        <w:rPr>
          <w:rFonts w:ascii="Times New Roman" w:hAnsi="Times New Roman" w:cs="Times New Roman"/>
          <w:sz w:val="18"/>
        </w:rPr>
        <w:t>Skatīt: http://tap.mk.gov.lv/lv/mk/tap/?pid=40468933&amp;mode=mk&amp;date=2019-01-29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C9903F" w14:textId="77777777" w:rsidR="006A291E" w:rsidRPr="00C25B49" w:rsidRDefault="006A29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2DA"/>
    <w:multiLevelType w:val="hybridMultilevel"/>
    <w:tmpl w:val="1650744C"/>
    <w:lvl w:ilvl="0" w:tplc="04260001">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 w15:restartNumberingAfterBreak="0">
    <w:nsid w:val="09DC69A0"/>
    <w:multiLevelType w:val="hybridMultilevel"/>
    <w:tmpl w:val="C85605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B6E27E1"/>
    <w:multiLevelType w:val="hybridMultilevel"/>
    <w:tmpl w:val="B8ECCDC0"/>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 w15:restartNumberingAfterBreak="0">
    <w:nsid w:val="14372E47"/>
    <w:multiLevelType w:val="hybridMultilevel"/>
    <w:tmpl w:val="446407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56C77EA"/>
    <w:multiLevelType w:val="hybridMultilevel"/>
    <w:tmpl w:val="28CA24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0627961"/>
    <w:multiLevelType w:val="hybridMultilevel"/>
    <w:tmpl w:val="1F0426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2926D5B"/>
    <w:multiLevelType w:val="hybridMultilevel"/>
    <w:tmpl w:val="246EDD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7511091"/>
    <w:multiLevelType w:val="hybridMultilevel"/>
    <w:tmpl w:val="5844C1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B7A2322"/>
    <w:multiLevelType w:val="hybridMultilevel"/>
    <w:tmpl w:val="08C821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15C4CAA"/>
    <w:multiLevelType w:val="hybridMultilevel"/>
    <w:tmpl w:val="DF2E85F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20E7248"/>
    <w:multiLevelType w:val="hybridMultilevel"/>
    <w:tmpl w:val="4B0A4AA4"/>
    <w:lvl w:ilvl="0" w:tplc="D338C23C">
      <w:start w:val="1"/>
      <w:numFmt w:val="decimal"/>
      <w:lvlText w:val="%1)"/>
      <w:lvlJc w:val="left"/>
      <w:pPr>
        <w:ind w:left="567"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7141BB"/>
    <w:multiLevelType w:val="hybridMultilevel"/>
    <w:tmpl w:val="A8F0A36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A906FE"/>
    <w:multiLevelType w:val="hybridMultilevel"/>
    <w:tmpl w:val="E33C15B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6764C6"/>
    <w:multiLevelType w:val="multilevel"/>
    <w:tmpl w:val="FA2C1374"/>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5F705B3"/>
    <w:multiLevelType w:val="hybridMultilevel"/>
    <w:tmpl w:val="B4781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3B6A0140"/>
    <w:multiLevelType w:val="hybridMultilevel"/>
    <w:tmpl w:val="5BD441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0426555"/>
    <w:multiLevelType w:val="hybridMultilevel"/>
    <w:tmpl w:val="78D608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4844632"/>
    <w:multiLevelType w:val="hybridMultilevel"/>
    <w:tmpl w:val="E7124F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AF52C9"/>
    <w:multiLevelType w:val="hybridMultilevel"/>
    <w:tmpl w:val="667AC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576947"/>
    <w:multiLevelType w:val="hybridMultilevel"/>
    <w:tmpl w:val="418C1B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E187B4C"/>
    <w:multiLevelType w:val="hybridMultilevel"/>
    <w:tmpl w:val="F96088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E4C4DBB"/>
    <w:multiLevelType w:val="hybridMultilevel"/>
    <w:tmpl w:val="7E5ACB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1">
    <w:nsid w:val="603E6901"/>
    <w:multiLevelType w:val="hybridMultilevel"/>
    <w:tmpl w:val="2BE41DB8"/>
    <w:lvl w:ilvl="0" w:tplc="B7D02EC6">
      <w:start w:val="1"/>
      <w:numFmt w:val="decimal"/>
      <w:lvlText w:val="%1."/>
      <w:lvlJc w:val="left"/>
      <w:pPr>
        <w:ind w:left="360" w:hanging="360"/>
      </w:pPr>
      <w:rPr>
        <w:rFonts w:hint="default"/>
      </w:rPr>
    </w:lvl>
    <w:lvl w:ilvl="1" w:tplc="C96EFD50" w:tentative="1">
      <w:start w:val="1"/>
      <w:numFmt w:val="lowerLetter"/>
      <w:lvlText w:val="%2."/>
      <w:lvlJc w:val="left"/>
      <w:pPr>
        <w:ind w:left="1080" w:hanging="360"/>
      </w:pPr>
    </w:lvl>
    <w:lvl w:ilvl="2" w:tplc="80FA58A8" w:tentative="1">
      <w:start w:val="1"/>
      <w:numFmt w:val="lowerRoman"/>
      <w:lvlText w:val="%3."/>
      <w:lvlJc w:val="right"/>
      <w:pPr>
        <w:ind w:left="1800" w:hanging="180"/>
      </w:pPr>
    </w:lvl>
    <w:lvl w:ilvl="3" w:tplc="9F144236" w:tentative="1">
      <w:start w:val="1"/>
      <w:numFmt w:val="decimal"/>
      <w:lvlText w:val="%4."/>
      <w:lvlJc w:val="left"/>
      <w:pPr>
        <w:ind w:left="2520" w:hanging="360"/>
      </w:pPr>
    </w:lvl>
    <w:lvl w:ilvl="4" w:tplc="7564119C" w:tentative="1">
      <w:start w:val="1"/>
      <w:numFmt w:val="lowerLetter"/>
      <w:lvlText w:val="%5."/>
      <w:lvlJc w:val="left"/>
      <w:pPr>
        <w:ind w:left="3240" w:hanging="360"/>
      </w:pPr>
    </w:lvl>
    <w:lvl w:ilvl="5" w:tplc="F984C218" w:tentative="1">
      <w:start w:val="1"/>
      <w:numFmt w:val="lowerRoman"/>
      <w:lvlText w:val="%6."/>
      <w:lvlJc w:val="right"/>
      <w:pPr>
        <w:ind w:left="3960" w:hanging="180"/>
      </w:pPr>
    </w:lvl>
    <w:lvl w:ilvl="6" w:tplc="891A5556" w:tentative="1">
      <w:start w:val="1"/>
      <w:numFmt w:val="decimal"/>
      <w:lvlText w:val="%7."/>
      <w:lvlJc w:val="left"/>
      <w:pPr>
        <w:ind w:left="4680" w:hanging="360"/>
      </w:pPr>
    </w:lvl>
    <w:lvl w:ilvl="7" w:tplc="59F0C9E4" w:tentative="1">
      <w:start w:val="1"/>
      <w:numFmt w:val="lowerLetter"/>
      <w:lvlText w:val="%8."/>
      <w:lvlJc w:val="left"/>
      <w:pPr>
        <w:ind w:left="5400" w:hanging="360"/>
      </w:pPr>
    </w:lvl>
    <w:lvl w:ilvl="8" w:tplc="C3C8493A" w:tentative="1">
      <w:start w:val="1"/>
      <w:numFmt w:val="lowerRoman"/>
      <w:lvlText w:val="%9."/>
      <w:lvlJc w:val="right"/>
      <w:pPr>
        <w:ind w:left="6120" w:hanging="180"/>
      </w:pPr>
    </w:lvl>
  </w:abstractNum>
  <w:abstractNum w:abstractNumId="23" w15:restartNumberingAfterBreak="0">
    <w:nsid w:val="650B24FE"/>
    <w:multiLevelType w:val="hybridMultilevel"/>
    <w:tmpl w:val="CB9462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B641777"/>
    <w:multiLevelType w:val="hybridMultilevel"/>
    <w:tmpl w:val="D9BCB7A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F2534AD"/>
    <w:multiLevelType w:val="hybridMultilevel"/>
    <w:tmpl w:val="423C5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403517"/>
    <w:multiLevelType w:val="hybridMultilevel"/>
    <w:tmpl w:val="D6262B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864E47"/>
    <w:multiLevelType w:val="hybridMultilevel"/>
    <w:tmpl w:val="9306FA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0"/>
  </w:num>
  <w:num w:numId="4">
    <w:abstractNumId w:val="6"/>
  </w:num>
  <w:num w:numId="5">
    <w:abstractNumId w:val="1"/>
  </w:num>
  <w:num w:numId="6">
    <w:abstractNumId w:val="4"/>
  </w:num>
  <w:num w:numId="7">
    <w:abstractNumId w:val="23"/>
  </w:num>
  <w:num w:numId="8">
    <w:abstractNumId w:val="27"/>
  </w:num>
  <w:num w:numId="9">
    <w:abstractNumId w:val="9"/>
  </w:num>
  <w:num w:numId="10">
    <w:abstractNumId w:val="3"/>
  </w:num>
  <w:num w:numId="11">
    <w:abstractNumId w:val="8"/>
  </w:num>
  <w:num w:numId="12">
    <w:abstractNumId w:val="24"/>
  </w:num>
  <w:num w:numId="13">
    <w:abstractNumId w:val="7"/>
  </w:num>
  <w:num w:numId="14">
    <w:abstractNumId w:val="19"/>
  </w:num>
  <w:num w:numId="15">
    <w:abstractNumId w:val="15"/>
  </w:num>
  <w:num w:numId="16">
    <w:abstractNumId w:val="5"/>
  </w:num>
  <w:num w:numId="17">
    <w:abstractNumId w:val="22"/>
  </w:num>
  <w:num w:numId="18">
    <w:abstractNumId w:val="17"/>
  </w:num>
  <w:num w:numId="19">
    <w:abstractNumId w:val="2"/>
  </w:num>
  <w:num w:numId="20">
    <w:abstractNumId w:val="20"/>
  </w:num>
  <w:num w:numId="21">
    <w:abstractNumId w:val="16"/>
  </w:num>
  <w:num w:numId="22">
    <w:abstractNumId w:val="13"/>
  </w:num>
  <w:num w:numId="23">
    <w:abstractNumId w:val="12"/>
  </w:num>
  <w:num w:numId="24">
    <w:abstractNumId w:val="21"/>
  </w:num>
  <w:num w:numId="25">
    <w:abstractNumId w:val="11"/>
  </w:num>
  <w:num w:numId="26">
    <w:abstractNumId w:val="18"/>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509"/>
    <w:rsid w:val="00010849"/>
    <w:rsid w:val="00011226"/>
    <w:rsid w:val="00011AB9"/>
    <w:rsid w:val="000215FA"/>
    <w:rsid w:val="000249E9"/>
    <w:rsid w:val="00025734"/>
    <w:rsid w:val="00027773"/>
    <w:rsid w:val="00030148"/>
    <w:rsid w:val="000303EF"/>
    <w:rsid w:val="00030FEB"/>
    <w:rsid w:val="000322E1"/>
    <w:rsid w:val="00032B2C"/>
    <w:rsid w:val="00035795"/>
    <w:rsid w:val="00035DF8"/>
    <w:rsid w:val="000452BA"/>
    <w:rsid w:val="00050308"/>
    <w:rsid w:val="000523A1"/>
    <w:rsid w:val="000536E2"/>
    <w:rsid w:val="0005377E"/>
    <w:rsid w:val="00053D2F"/>
    <w:rsid w:val="00053F34"/>
    <w:rsid w:val="00055319"/>
    <w:rsid w:val="0005600F"/>
    <w:rsid w:val="00056042"/>
    <w:rsid w:val="00057A0D"/>
    <w:rsid w:val="00066793"/>
    <w:rsid w:val="000732B2"/>
    <w:rsid w:val="00076EE5"/>
    <w:rsid w:val="00077D21"/>
    <w:rsid w:val="00082563"/>
    <w:rsid w:val="00082A5D"/>
    <w:rsid w:val="0008360B"/>
    <w:rsid w:val="000859A9"/>
    <w:rsid w:val="00085AA9"/>
    <w:rsid w:val="00090D52"/>
    <w:rsid w:val="000922E0"/>
    <w:rsid w:val="00094564"/>
    <w:rsid w:val="000A1205"/>
    <w:rsid w:val="000A2DED"/>
    <w:rsid w:val="000A3D6F"/>
    <w:rsid w:val="000A6843"/>
    <w:rsid w:val="000B599D"/>
    <w:rsid w:val="000B7793"/>
    <w:rsid w:val="000C3140"/>
    <w:rsid w:val="000C69AA"/>
    <w:rsid w:val="000D41C7"/>
    <w:rsid w:val="000D53B8"/>
    <w:rsid w:val="000D6C01"/>
    <w:rsid w:val="000E01C7"/>
    <w:rsid w:val="000E44C6"/>
    <w:rsid w:val="000E4E1F"/>
    <w:rsid w:val="000E70E5"/>
    <w:rsid w:val="000E7B02"/>
    <w:rsid w:val="000F135D"/>
    <w:rsid w:val="000F57A1"/>
    <w:rsid w:val="000F59A2"/>
    <w:rsid w:val="000F79CF"/>
    <w:rsid w:val="001027BD"/>
    <w:rsid w:val="00106482"/>
    <w:rsid w:val="00106C12"/>
    <w:rsid w:val="001149E7"/>
    <w:rsid w:val="001171E4"/>
    <w:rsid w:val="0012149D"/>
    <w:rsid w:val="001236F3"/>
    <w:rsid w:val="00123F47"/>
    <w:rsid w:val="00127D9D"/>
    <w:rsid w:val="00130113"/>
    <w:rsid w:val="00131E5C"/>
    <w:rsid w:val="001342AE"/>
    <w:rsid w:val="001413A7"/>
    <w:rsid w:val="0014295F"/>
    <w:rsid w:val="00147C09"/>
    <w:rsid w:val="001524DE"/>
    <w:rsid w:val="001531FA"/>
    <w:rsid w:val="00155ECE"/>
    <w:rsid w:val="00156172"/>
    <w:rsid w:val="00156F28"/>
    <w:rsid w:val="00157E5D"/>
    <w:rsid w:val="00160361"/>
    <w:rsid w:val="00161B5A"/>
    <w:rsid w:val="00164E9D"/>
    <w:rsid w:val="001706EE"/>
    <w:rsid w:val="00172696"/>
    <w:rsid w:val="00175A98"/>
    <w:rsid w:val="00175E3B"/>
    <w:rsid w:val="001773B8"/>
    <w:rsid w:val="001776DB"/>
    <w:rsid w:val="00184EAC"/>
    <w:rsid w:val="00184F15"/>
    <w:rsid w:val="001862D6"/>
    <w:rsid w:val="001942D8"/>
    <w:rsid w:val="00195FD1"/>
    <w:rsid w:val="00197482"/>
    <w:rsid w:val="001A641E"/>
    <w:rsid w:val="001A6AF7"/>
    <w:rsid w:val="001C0A93"/>
    <w:rsid w:val="001C1FFA"/>
    <w:rsid w:val="001C708D"/>
    <w:rsid w:val="001C7841"/>
    <w:rsid w:val="001C7A8B"/>
    <w:rsid w:val="001D1A52"/>
    <w:rsid w:val="001D568F"/>
    <w:rsid w:val="001E10EA"/>
    <w:rsid w:val="001E18A8"/>
    <w:rsid w:val="001E4A10"/>
    <w:rsid w:val="001F0E8D"/>
    <w:rsid w:val="001F49E7"/>
    <w:rsid w:val="00200E26"/>
    <w:rsid w:val="00202D34"/>
    <w:rsid w:val="002053F7"/>
    <w:rsid w:val="002157D8"/>
    <w:rsid w:val="002255B2"/>
    <w:rsid w:val="00226CE0"/>
    <w:rsid w:val="00230015"/>
    <w:rsid w:val="002300FA"/>
    <w:rsid w:val="00235485"/>
    <w:rsid w:val="00240E02"/>
    <w:rsid w:val="00243426"/>
    <w:rsid w:val="002439E7"/>
    <w:rsid w:val="0024463C"/>
    <w:rsid w:val="00244945"/>
    <w:rsid w:val="00245AC5"/>
    <w:rsid w:val="002462EE"/>
    <w:rsid w:val="0025023F"/>
    <w:rsid w:val="002505A3"/>
    <w:rsid w:val="00250843"/>
    <w:rsid w:val="00251E42"/>
    <w:rsid w:val="00262DB6"/>
    <w:rsid w:val="00265D8E"/>
    <w:rsid w:val="00271460"/>
    <w:rsid w:val="0027247C"/>
    <w:rsid w:val="00277738"/>
    <w:rsid w:val="002777AB"/>
    <w:rsid w:val="0028609F"/>
    <w:rsid w:val="00286BCA"/>
    <w:rsid w:val="002932B3"/>
    <w:rsid w:val="00293C36"/>
    <w:rsid w:val="00296DD8"/>
    <w:rsid w:val="00297B9C"/>
    <w:rsid w:val="002A07C8"/>
    <w:rsid w:val="002A0D05"/>
    <w:rsid w:val="002A264D"/>
    <w:rsid w:val="002A355D"/>
    <w:rsid w:val="002A6612"/>
    <w:rsid w:val="002B293E"/>
    <w:rsid w:val="002B51D3"/>
    <w:rsid w:val="002B6563"/>
    <w:rsid w:val="002B7410"/>
    <w:rsid w:val="002C19E8"/>
    <w:rsid w:val="002C2E16"/>
    <w:rsid w:val="002D23AF"/>
    <w:rsid w:val="002D4776"/>
    <w:rsid w:val="002D48B3"/>
    <w:rsid w:val="002D6680"/>
    <w:rsid w:val="002E1C05"/>
    <w:rsid w:val="002E59AE"/>
    <w:rsid w:val="002F1A75"/>
    <w:rsid w:val="002F68CE"/>
    <w:rsid w:val="002F7A49"/>
    <w:rsid w:val="00301BD4"/>
    <w:rsid w:val="00324468"/>
    <w:rsid w:val="00326D3E"/>
    <w:rsid w:val="00327A5D"/>
    <w:rsid w:val="00327C2C"/>
    <w:rsid w:val="003315DD"/>
    <w:rsid w:val="00336446"/>
    <w:rsid w:val="0034003A"/>
    <w:rsid w:val="003412E6"/>
    <w:rsid w:val="003424B9"/>
    <w:rsid w:val="0034443C"/>
    <w:rsid w:val="0034533E"/>
    <w:rsid w:val="00347061"/>
    <w:rsid w:val="003478C4"/>
    <w:rsid w:val="00353D1B"/>
    <w:rsid w:val="00355D8B"/>
    <w:rsid w:val="00356708"/>
    <w:rsid w:val="00360B9C"/>
    <w:rsid w:val="003646DD"/>
    <w:rsid w:val="00366EC8"/>
    <w:rsid w:val="00371C3F"/>
    <w:rsid w:val="00372594"/>
    <w:rsid w:val="00374066"/>
    <w:rsid w:val="00377EF1"/>
    <w:rsid w:val="0038012E"/>
    <w:rsid w:val="003857FD"/>
    <w:rsid w:val="003901BF"/>
    <w:rsid w:val="0039358C"/>
    <w:rsid w:val="00395D77"/>
    <w:rsid w:val="003A120D"/>
    <w:rsid w:val="003A1B0C"/>
    <w:rsid w:val="003A1C88"/>
    <w:rsid w:val="003A6786"/>
    <w:rsid w:val="003B0709"/>
    <w:rsid w:val="003B0BF9"/>
    <w:rsid w:val="003B39CC"/>
    <w:rsid w:val="003B62B1"/>
    <w:rsid w:val="003B7716"/>
    <w:rsid w:val="003C3309"/>
    <w:rsid w:val="003C470B"/>
    <w:rsid w:val="003D002C"/>
    <w:rsid w:val="003D6DB7"/>
    <w:rsid w:val="003E00B0"/>
    <w:rsid w:val="003E0791"/>
    <w:rsid w:val="003E3E81"/>
    <w:rsid w:val="003E539E"/>
    <w:rsid w:val="003E649C"/>
    <w:rsid w:val="003F0AC1"/>
    <w:rsid w:val="003F1F41"/>
    <w:rsid w:val="003F28AC"/>
    <w:rsid w:val="003F3450"/>
    <w:rsid w:val="00402C44"/>
    <w:rsid w:val="004059A7"/>
    <w:rsid w:val="00410926"/>
    <w:rsid w:val="00414795"/>
    <w:rsid w:val="00420624"/>
    <w:rsid w:val="00424812"/>
    <w:rsid w:val="00424DBA"/>
    <w:rsid w:val="00425092"/>
    <w:rsid w:val="00433346"/>
    <w:rsid w:val="004344D8"/>
    <w:rsid w:val="00434688"/>
    <w:rsid w:val="004418B9"/>
    <w:rsid w:val="004454FE"/>
    <w:rsid w:val="00446D1F"/>
    <w:rsid w:val="00450F41"/>
    <w:rsid w:val="00452132"/>
    <w:rsid w:val="00453CC4"/>
    <w:rsid w:val="00456E40"/>
    <w:rsid w:val="00457D76"/>
    <w:rsid w:val="004677B2"/>
    <w:rsid w:val="00470F6A"/>
    <w:rsid w:val="00471F27"/>
    <w:rsid w:val="00475435"/>
    <w:rsid w:val="004772AD"/>
    <w:rsid w:val="00477A45"/>
    <w:rsid w:val="0048544E"/>
    <w:rsid w:val="00486728"/>
    <w:rsid w:val="00487606"/>
    <w:rsid w:val="00487F7F"/>
    <w:rsid w:val="00490775"/>
    <w:rsid w:val="00490D13"/>
    <w:rsid w:val="004921FE"/>
    <w:rsid w:val="00492772"/>
    <w:rsid w:val="004A00A6"/>
    <w:rsid w:val="004A2708"/>
    <w:rsid w:val="004A56F4"/>
    <w:rsid w:val="004A69E1"/>
    <w:rsid w:val="004A6CA9"/>
    <w:rsid w:val="004A6F41"/>
    <w:rsid w:val="004B2695"/>
    <w:rsid w:val="004B2DDD"/>
    <w:rsid w:val="004C17AB"/>
    <w:rsid w:val="004C199D"/>
    <w:rsid w:val="004C748B"/>
    <w:rsid w:val="004D5594"/>
    <w:rsid w:val="004E23E8"/>
    <w:rsid w:val="004E6447"/>
    <w:rsid w:val="004E68A3"/>
    <w:rsid w:val="004F5081"/>
    <w:rsid w:val="004F7597"/>
    <w:rsid w:val="005003E9"/>
    <w:rsid w:val="0050178F"/>
    <w:rsid w:val="00510E41"/>
    <w:rsid w:val="00513365"/>
    <w:rsid w:val="00514C0B"/>
    <w:rsid w:val="00515C78"/>
    <w:rsid w:val="00520166"/>
    <w:rsid w:val="005367A7"/>
    <w:rsid w:val="00537AFC"/>
    <w:rsid w:val="005401A6"/>
    <w:rsid w:val="00540348"/>
    <w:rsid w:val="00541599"/>
    <w:rsid w:val="00543E17"/>
    <w:rsid w:val="00547919"/>
    <w:rsid w:val="00552590"/>
    <w:rsid w:val="00553446"/>
    <w:rsid w:val="00553D3E"/>
    <w:rsid w:val="00554528"/>
    <w:rsid w:val="005555D8"/>
    <w:rsid w:val="005611B6"/>
    <w:rsid w:val="00564A6F"/>
    <w:rsid w:val="00565962"/>
    <w:rsid w:val="00565C65"/>
    <w:rsid w:val="00567868"/>
    <w:rsid w:val="00573CC5"/>
    <w:rsid w:val="00574766"/>
    <w:rsid w:val="005748A2"/>
    <w:rsid w:val="00576367"/>
    <w:rsid w:val="00580B49"/>
    <w:rsid w:val="00583218"/>
    <w:rsid w:val="005837F4"/>
    <w:rsid w:val="00584498"/>
    <w:rsid w:val="00586A31"/>
    <w:rsid w:val="00587FF8"/>
    <w:rsid w:val="00590924"/>
    <w:rsid w:val="00591DB8"/>
    <w:rsid w:val="00592FB3"/>
    <w:rsid w:val="0059662A"/>
    <w:rsid w:val="00596E1C"/>
    <w:rsid w:val="005A044C"/>
    <w:rsid w:val="005A1C19"/>
    <w:rsid w:val="005A3895"/>
    <w:rsid w:val="005B2162"/>
    <w:rsid w:val="005B2DF2"/>
    <w:rsid w:val="005B4F9D"/>
    <w:rsid w:val="005B5480"/>
    <w:rsid w:val="005B5996"/>
    <w:rsid w:val="005B6F61"/>
    <w:rsid w:val="005B7BE1"/>
    <w:rsid w:val="005C7616"/>
    <w:rsid w:val="005D1D14"/>
    <w:rsid w:val="005D4B8D"/>
    <w:rsid w:val="005E4588"/>
    <w:rsid w:val="005E62D1"/>
    <w:rsid w:val="005F007E"/>
    <w:rsid w:val="005F64D9"/>
    <w:rsid w:val="005F68CE"/>
    <w:rsid w:val="00600E3C"/>
    <w:rsid w:val="006045EC"/>
    <w:rsid w:val="00605478"/>
    <w:rsid w:val="0060683E"/>
    <w:rsid w:val="00611B40"/>
    <w:rsid w:val="00612420"/>
    <w:rsid w:val="006254BB"/>
    <w:rsid w:val="00631C6F"/>
    <w:rsid w:val="00635ACE"/>
    <w:rsid w:val="006406AB"/>
    <w:rsid w:val="006430AD"/>
    <w:rsid w:val="00643D00"/>
    <w:rsid w:val="006442C1"/>
    <w:rsid w:val="00645947"/>
    <w:rsid w:val="00645D79"/>
    <w:rsid w:val="00655F2C"/>
    <w:rsid w:val="00656170"/>
    <w:rsid w:val="00660D47"/>
    <w:rsid w:val="0066299B"/>
    <w:rsid w:val="006638F8"/>
    <w:rsid w:val="00664587"/>
    <w:rsid w:val="00666B30"/>
    <w:rsid w:val="006727C9"/>
    <w:rsid w:val="00673941"/>
    <w:rsid w:val="00675F66"/>
    <w:rsid w:val="006768ED"/>
    <w:rsid w:val="00682353"/>
    <w:rsid w:val="006828F6"/>
    <w:rsid w:val="006841E5"/>
    <w:rsid w:val="006868F0"/>
    <w:rsid w:val="0069120A"/>
    <w:rsid w:val="00692572"/>
    <w:rsid w:val="006940A3"/>
    <w:rsid w:val="00696A3C"/>
    <w:rsid w:val="00696B8B"/>
    <w:rsid w:val="006A291E"/>
    <w:rsid w:val="006A2AEE"/>
    <w:rsid w:val="006B0398"/>
    <w:rsid w:val="006B33FD"/>
    <w:rsid w:val="006B6D27"/>
    <w:rsid w:val="006B7090"/>
    <w:rsid w:val="006C07D9"/>
    <w:rsid w:val="006C5AA9"/>
    <w:rsid w:val="006D18C3"/>
    <w:rsid w:val="006D466B"/>
    <w:rsid w:val="006D777E"/>
    <w:rsid w:val="006E1081"/>
    <w:rsid w:val="006E3B1C"/>
    <w:rsid w:val="006E3C53"/>
    <w:rsid w:val="006E4172"/>
    <w:rsid w:val="006E4676"/>
    <w:rsid w:val="006F1FDB"/>
    <w:rsid w:val="006F5B3C"/>
    <w:rsid w:val="006F79A3"/>
    <w:rsid w:val="00700568"/>
    <w:rsid w:val="007025E7"/>
    <w:rsid w:val="007039EA"/>
    <w:rsid w:val="007055BA"/>
    <w:rsid w:val="007157C3"/>
    <w:rsid w:val="007161E5"/>
    <w:rsid w:val="00720585"/>
    <w:rsid w:val="00723799"/>
    <w:rsid w:val="007279F4"/>
    <w:rsid w:val="007313D5"/>
    <w:rsid w:val="007330D3"/>
    <w:rsid w:val="00744724"/>
    <w:rsid w:val="0074533C"/>
    <w:rsid w:val="00745D7A"/>
    <w:rsid w:val="007466A6"/>
    <w:rsid w:val="0075106F"/>
    <w:rsid w:val="007544BC"/>
    <w:rsid w:val="007558C8"/>
    <w:rsid w:val="007574CA"/>
    <w:rsid w:val="00760D1D"/>
    <w:rsid w:val="00763396"/>
    <w:rsid w:val="007668C4"/>
    <w:rsid w:val="00766E46"/>
    <w:rsid w:val="00773AF6"/>
    <w:rsid w:val="0077655B"/>
    <w:rsid w:val="007779B5"/>
    <w:rsid w:val="0078078C"/>
    <w:rsid w:val="0078121B"/>
    <w:rsid w:val="007847F0"/>
    <w:rsid w:val="00786B44"/>
    <w:rsid w:val="00786F85"/>
    <w:rsid w:val="007943E7"/>
    <w:rsid w:val="00795E4D"/>
    <w:rsid w:val="00795F71"/>
    <w:rsid w:val="00796E9A"/>
    <w:rsid w:val="007A10FC"/>
    <w:rsid w:val="007A2B61"/>
    <w:rsid w:val="007A6592"/>
    <w:rsid w:val="007A6E45"/>
    <w:rsid w:val="007B08EA"/>
    <w:rsid w:val="007B1EE6"/>
    <w:rsid w:val="007B3FAB"/>
    <w:rsid w:val="007D1C05"/>
    <w:rsid w:val="007D59DD"/>
    <w:rsid w:val="007D6F54"/>
    <w:rsid w:val="007E01E7"/>
    <w:rsid w:val="007E5F7A"/>
    <w:rsid w:val="007E73AB"/>
    <w:rsid w:val="007E7DE1"/>
    <w:rsid w:val="007F038C"/>
    <w:rsid w:val="0080664B"/>
    <w:rsid w:val="00807C9F"/>
    <w:rsid w:val="00812F60"/>
    <w:rsid w:val="00816C11"/>
    <w:rsid w:val="008223C4"/>
    <w:rsid w:val="00822E72"/>
    <w:rsid w:val="00823EAF"/>
    <w:rsid w:val="008301F8"/>
    <w:rsid w:val="00844230"/>
    <w:rsid w:val="00844C24"/>
    <w:rsid w:val="008472D4"/>
    <w:rsid w:val="008502B2"/>
    <w:rsid w:val="008504C7"/>
    <w:rsid w:val="00851E47"/>
    <w:rsid w:val="00854481"/>
    <w:rsid w:val="008560E5"/>
    <w:rsid w:val="00856AAA"/>
    <w:rsid w:val="00864DD8"/>
    <w:rsid w:val="00870CAF"/>
    <w:rsid w:val="00874AEC"/>
    <w:rsid w:val="008750A6"/>
    <w:rsid w:val="0088106C"/>
    <w:rsid w:val="008838C1"/>
    <w:rsid w:val="0088578B"/>
    <w:rsid w:val="00886385"/>
    <w:rsid w:val="008865D3"/>
    <w:rsid w:val="00887D5A"/>
    <w:rsid w:val="0089326C"/>
    <w:rsid w:val="00894C55"/>
    <w:rsid w:val="00897620"/>
    <w:rsid w:val="008A0F2F"/>
    <w:rsid w:val="008A3F55"/>
    <w:rsid w:val="008A46D0"/>
    <w:rsid w:val="008A4A0E"/>
    <w:rsid w:val="008A7E98"/>
    <w:rsid w:val="008B11C6"/>
    <w:rsid w:val="008B1914"/>
    <w:rsid w:val="008B2C35"/>
    <w:rsid w:val="008B5CA7"/>
    <w:rsid w:val="008B6AA1"/>
    <w:rsid w:val="008B72DB"/>
    <w:rsid w:val="008B7624"/>
    <w:rsid w:val="008B7B46"/>
    <w:rsid w:val="008C0339"/>
    <w:rsid w:val="008C2175"/>
    <w:rsid w:val="008C2780"/>
    <w:rsid w:val="008C4330"/>
    <w:rsid w:val="008C4A69"/>
    <w:rsid w:val="008C7DCA"/>
    <w:rsid w:val="008D0B33"/>
    <w:rsid w:val="008D2991"/>
    <w:rsid w:val="008D4EBB"/>
    <w:rsid w:val="008E0618"/>
    <w:rsid w:val="008E1EC9"/>
    <w:rsid w:val="008E51D2"/>
    <w:rsid w:val="008F339D"/>
    <w:rsid w:val="008F7242"/>
    <w:rsid w:val="009007EB"/>
    <w:rsid w:val="00902F13"/>
    <w:rsid w:val="009045F8"/>
    <w:rsid w:val="0090535F"/>
    <w:rsid w:val="00906D35"/>
    <w:rsid w:val="00916EE8"/>
    <w:rsid w:val="00922A26"/>
    <w:rsid w:val="00924075"/>
    <w:rsid w:val="00924DDC"/>
    <w:rsid w:val="00926B30"/>
    <w:rsid w:val="00926E6A"/>
    <w:rsid w:val="00934537"/>
    <w:rsid w:val="00937139"/>
    <w:rsid w:val="009405BB"/>
    <w:rsid w:val="009429C8"/>
    <w:rsid w:val="00947805"/>
    <w:rsid w:val="00952047"/>
    <w:rsid w:val="009525BD"/>
    <w:rsid w:val="0095721D"/>
    <w:rsid w:val="009625CA"/>
    <w:rsid w:val="00962DF7"/>
    <w:rsid w:val="0096448A"/>
    <w:rsid w:val="00965F6F"/>
    <w:rsid w:val="00966E88"/>
    <w:rsid w:val="009744DE"/>
    <w:rsid w:val="0097725D"/>
    <w:rsid w:val="00980945"/>
    <w:rsid w:val="00980A32"/>
    <w:rsid w:val="00982183"/>
    <w:rsid w:val="0099050C"/>
    <w:rsid w:val="00991C29"/>
    <w:rsid w:val="00992E9C"/>
    <w:rsid w:val="0099429F"/>
    <w:rsid w:val="009A21DC"/>
    <w:rsid w:val="009A243C"/>
    <w:rsid w:val="009A2654"/>
    <w:rsid w:val="009A30C5"/>
    <w:rsid w:val="009B02FB"/>
    <w:rsid w:val="009B0DFA"/>
    <w:rsid w:val="009B42F1"/>
    <w:rsid w:val="009B543A"/>
    <w:rsid w:val="009B5AC3"/>
    <w:rsid w:val="009B6E14"/>
    <w:rsid w:val="009B7531"/>
    <w:rsid w:val="009B7CFD"/>
    <w:rsid w:val="009C0A11"/>
    <w:rsid w:val="009C0D83"/>
    <w:rsid w:val="009C3C76"/>
    <w:rsid w:val="009C6AFA"/>
    <w:rsid w:val="009C7355"/>
    <w:rsid w:val="009C7C85"/>
    <w:rsid w:val="009D01B2"/>
    <w:rsid w:val="009D0A82"/>
    <w:rsid w:val="009D3D35"/>
    <w:rsid w:val="009D4A72"/>
    <w:rsid w:val="009D5340"/>
    <w:rsid w:val="009D544E"/>
    <w:rsid w:val="009D7EAD"/>
    <w:rsid w:val="009E3030"/>
    <w:rsid w:val="009E4EBF"/>
    <w:rsid w:val="009E665B"/>
    <w:rsid w:val="009F6084"/>
    <w:rsid w:val="009F685B"/>
    <w:rsid w:val="00A009F1"/>
    <w:rsid w:val="00A015CC"/>
    <w:rsid w:val="00A05620"/>
    <w:rsid w:val="00A06737"/>
    <w:rsid w:val="00A07FD5"/>
    <w:rsid w:val="00A10FC3"/>
    <w:rsid w:val="00A11655"/>
    <w:rsid w:val="00A20159"/>
    <w:rsid w:val="00A26C57"/>
    <w:rsid w:val="00A320E5"/>
    <w:rsid w:val="00A34DFD"/>
    <w:rsid w:val="00A355E0"/>
    <w:rsid w:val="00A36A57"/>
    <w:rsid w:val="00A505A8"/>
    <w:rsid w:val="00A50BB4"/>
    <w:rsid w:val="00A5364B"/>
    <w:rsid w:val="00A6073E"/>
    <w:rsid w:val="00A61C72"/>
    <w:rsid w:val="00A65AAA"/>
    <w:rsid w:val="00A66F41"/>
    <w:rsid w:val="00A73D0D"/>
    <w:rsid w:val="00A81F3C"/>
    <w:rsid w:val="00A848C4"/>
    <w:rsid w:val="00A85859"/>
    <w:rsid w:val="00A86CFB"/>
    <w:rsid w:val="00A9191E"/>
    <w:rsid w:val="00AA6CD8"/>
    <w:rsid w:val="00AA7838"/>
    <w:rsid w:val="00AB3011"/>
    <w:rsid w:val="00AB3269"/>
    <w:rsid w:val="00AB5E64"/>
    <w:rsid w:val="00AC079D"/>
    <w:rsid w:val="00AC1C52"/>
    <w:rsid w:val="00AD32E6"/>
    <w:rsid w:val="00AD39CE"/>
    <w:rsid w:val="00AD3FAF"/>
    <w:rsid w:val="00AE182C"/>
    <w:rsid w:val="00AE5009"/>
    <w:rsid w:val="00AE5567"/>
    <w:rsid w:val="00AF075E"/>
    <w:rsid w:val="00AF0AE5"/>
    <w:rsid w:val="00AF1239"/>
    <w:rsid w:val="00AF332D"/>
    <w:rsid w:val="00B07135"/>
    <w:rsid w:val="00B07882"/>
    <w:rsid w:val="00B10A0D"/>
    <w:rsid w:val="00B1123E"/>
    <w:rsid w:val="00B13BB9"/>
    <w:rsid w:val="00B14EA0"/>
    <w:rsid w:val="00B14FD1"/>
    <w:rsid w:val="00B15EB7"/>
    <w:rsid w:val="00B16375"/>
    <w:rsid w:val="00B16480"/>
    <w:rsid w:val="00B20B5B"/>
    <w:rsid w:val="00B2165C"/>
    <w:rsid w:val="00B37AEF"/>
    <w:rsid w:val="00B41523"/>
    <w:rsid w:val="00B418E0"/>
    <w:rsid w:val="00B41C3E"/>
    <w:rsid w:val="00B4327A"/>
    <w:rsid w:val="00B4556F"/>
    <w:rsid w:val="00B531F7"/>
    <w:rsid w:val="00B54EBA"/>
    <w:rsid w:val="00B56B62"/>
    <w:rsid w:val="00B6530F"/>
    <w:rsid w:val="00B653DB"/>
    <w:rsid w:val="00B67A9E"/>
    <w:rsid w:val="00B70154"/>
    <w:rsid w:val="00B713F5"/>
    <w:rsid w:val="00B731F1"/>
    <w:rsid w:val="00B73EC5"/>
    <w:rsid w:val="00B7486A"/>
    <w:rsid w:val="00B76F75"/>
    <w:rsid w:val="00B81451"/>
    <w:rsid w:val="00B90ABD"/>
    <w:rsid w:val="00B941BE"/>
    <w:rsid w:val="00B95585"/>
    <w:rsid w:val="00B95DCE"/>
    <w:rsid w:val="00BA20AA"/>
    <w:rsid w:val="00BA5066"/>
    <w:rsid w:val="00BA6F5A"/>
    <w:rsid w:val="00BA7D42"/>
    <w:rsid w:val="00BB4320"/>
    <w:rsid w:val="00BB688F"/>
    <w:rsid w:val="00BB7DED"/>
    <w:rsid w:val="00BC2962"/>
    <w:rsid w:val="00BC6C4B"/>
    <w:rsid w:val="00BC7014"/>
    <w:rsid w:val="00BC79E3"/>
    <w:rsid w:val="00BC7D16"/>
    <w:rsid w:val="00BD28C5"/>
    <w:rsid w:val="00BD4425"/>
    <w:rsid w:val="00BD6563"/>
    <w:rsid w:val="00BE36A0"/>
    <w:rsid w:val="00BE4622"/>
    <w:rsid w:val="00BE5020"/>
    <w:rsid w:val="00BF5AE3"/>
    <w:rsid w:val="00BF6EE0"/>
    <w:rsid w:val="00C02A98"/>
    <w:rsid w:val="00C0517A"/>
    <w:rsid w:val="00C06A0B"/>
    <w:rsid w:val="00C07EA0"/>
    <w:rsid w:val="00C15155"/>
    <w:rsid w:val="00C2557E"/>
    <w:rsid w:val="00C25951"/>
    <w:rsid w:val="00C25B49"/>
    <w:rsid w:val="00C27055"/>
    <w:rsid w:val="00C4004F"/>
    <w:rsid w:val="00C400F3"/>
    <w:rsid w:val="00C4325B"/>
    <w:rsid w:val="00C43548"/>
    <w:rsid w:val="00C518CE"/>
    <w:rsid w:val="00C64695"/>
    <w:rsid w:val="00C659FA"/>
    <w:rsid w:val="00C66C5B"/>
    <w:rsid w:val="00C74FB2"/>
    <w:rsid w:val="00C7543D"/>
    <w:rsid w:val="00C8216A"/>
    <w:rsid w:val="00C8313B"/>
    <w:rsid w:val="00C852FD"/>
    <w:rsid w:val="00C86EC1"/>
    <w:rsid w:val="00C952BA"/>
    <w:rsid w:val="00C95C50"/>
    <w:rsid w:val="00C9689A"/>
    <w:rsid w:val="00CA2254"/>
    <w:rsid w:val="00CA38CF"/>
    <w:rsid w:val="00CA3D2A"/>
    <w:rsid w:val="00CA6F5B"/>
    <w:rsid w:val="00CA79D4"/>
    <w:rsid w:val="00CB6B4C"/>
    <w:rsid w:val="00CC0D2D"/>
    <w:rsid w:val="00CC169A"/>
    <w:rsid w:val="00CC2104"/>
    <w:rsid w:val="00CC320C"/>
    <w:rsid w:val="00CC36CF"/>
    <w:rsid w:val="00CC559F"/>
    <w:rsid w:val="00CC58AE"/>
    <w:rsid w:val="00CD2EE1"/>
    <w:rsid w:val="00CD360D"/>
    <w:rsid w:val="00CD46D6"/>
    <w:rsid w:val="00CD4C42"/>
    <w:rsid w:val="00CE00B1"/>
    <w:rsid w:val="00CE0121"/>
    <w:rsid w:val="00CE14A1"/>
    <w:rsid w:val="00CE2350"/>
    <w:rsid w:val="00CE3D45"/>
    <w:rsid w:val="00CE4EF0"/>
    <w:rsid w:val="00CE5657"/>
    <w:rsid w:val="00CE5865"/>
    <w:rsid w:val="00CF0970"/>
    <w:rsid w:val="00CF1A9A"/>
    <w:rsid w:val="00CF6B7A"/>
    <w:rsid w:val="00D0366D"/>
    <w:rsid w:val="00D11912"/>
    <w:rsid w:val="00D133F8"/>
    <w:rsid w:val="00D13BED"/>
    <w:rsid w:val="00D14A3E"/>
    <w:rsid w:val="00D153C3"/>
    <w:rsid w:val="00D21C6A"/>
    <w:rsid w:val="00D239F1"/>
    <w:rsid w:val="00D25498"/>
    <w:rsid w:val="00D257E3"/>
    <w:rsid w:val="00D27E26"/>
    <w:rsid w:val="00D44016"/>
    <w:rsid w:val="00D53BC9"/>
    <w:rsid w:val="00D550E9"/>
    <w:rsid w:val="00D6048F"/>
    <w:rsid w:val="00D62042"/>
    <w:rsid w:val="00D731CC"/>
    <w:rsid w:val="00D73447"/>
    <w:rsid w:val="00D73DA1"/>
    <w:rsid w:val="00D74200"/>
    <w:rsid w:val="00D80AE0"/>
    <w:rsid w:val="00D81DD1"/>
    <w:rsid w:val="00D82E45"/>
    <w:rsid w:val="00D84006"/>
    <w:rsid w:val="00D8426E"/>
    <w:rsid w:val="00D93BD7"/>
    <w:rsid w:val="00D976C3"/>
    <w:rsid w:val="00DA5BF8"/>
    <w:rsid w:val="00DA7690"/>
    <w:rsid w:val="00DA7F39"/>
    <w:rsid w:val="00DB3754"/>
    <w:rsid w:val="00DC11C2"/>
    <w:rsid w:val="00DC1B60"/>
    <w:rsid w:val="00DC1FAC"/>
    <w:rsid w:val="00DC78CE"/>
    <w:rsid w:val="00DC7C67"/>
    <w:rsid w:val="00DD0796"/>
    <w:rsid w:val="00DD2C52"/>
    <w:rsid w:val="00DE0525"/>
    <w:rsid w:val="00DE1F20"/>
    <w:rsid w:val="00DE42B1"/>
    <w:rsid w:val="00DE6DB6"/>
    <w:rsid w:val="00DF0347"/>
    <w:rsid w:val="00DF1616"/>
    <w:rsid w:val="00DF199D"/>
    <w:rsid w:val="00DF6BCA"/>
    <w:rsid w:val="00E0328D"/>
    <w:rsid w:val="00E03E21"/>
    <w:rsid w:val="00E047C8"/>
    <w:rsid w:val="00E153A8"/>
    <w:rsid w:val="00E1688F"/>
    <w:rsid w:val="00E17546"/>
    <w:rsid w:val="00E222C3"/>
    <w:rsid w:val="00E22FAB"/>
    <w:rsid w:val="00E335FC"/>
    <w:rsid w:val="00E3716B"/>
    <w:rsid w:val="00E4153D"/>
    <w:rsid w:val="00E42BE7"/>
    <w:rsid w:val="00E46CC1"/>
    <w:rsid w:val="00E50C1C"/>
    <w:rsid w:val="00E50CB6"/>
    <w:rsid w:val="00E5323B"/>
    <w:rsid w:val="00E601CE"/>
    <w:rsid w:val="00E62996"/>
    <w:rsid w:val="00E65258"/>
    <w:rsid w:val="00E6541B"/>
    <w:rsid w:val="00E67D2E"/>
    <w:rsid w:val="00E71CCF"/>
    <w:rsid w:val="00E729EE"/>
    <w:rsid w:val="00E75148"/>
    <w:rsid w:val="00E77F95"/>
    <w:rsid w:val="00E8189D"/>
    <w:rsid w:val="00E8225C"/>
    <w:rsid w:val="00E8749E"/>
    <w:rsid w:val="00E90C01"/>
    <w:rsid w:val="00E92258"/>
    <w:rsid w:val="00E9288D"/>
    <w:rsid w:val="00E92F67"/>
    <w:rsid w:val="00EA0AFA"/>
    <w:rsid w:val="00EA486E"/>
    <w:rsid w:val="00EA6498"/>
    <w:rsid w:val="00EB157B"/>
    <w:rsid w:val="00EB2088"/>
    <w:rsid w:val="00EB55C2"/>
    <w:rsid w:val="00EB7AEE"/>
    <w:rsid w:val="00EC02E4"/>
    <w:rsid w:val="00EC753A"/>
    <w:rsid w:val="00ED32EB"/>
    <w:rsid w:val="00ED3461"/>
    <w:rsid w:val="00ED6581"/>
    <w:rsid w:val="00EF4B58"/>
    <w:rsid w:val="00EF5471"/>
    <w:rsid w:val="00EF609A"/>
    <w:rsid w:val="00EF6893"/>
    <w:rsid w:val="00EF6EF0"/>
    <w:rsid w:val="00EF6F53"/>
    <w:rsid w:val="00EF731C"/>
    <w:rsid w:val="00F00D16"/>
    <w:rsid w:val="00F0428C"/>
    <w:rsid w:val="00F05197"/>
    <w:rsid w:val="00F05710"/>
    <w:rsid w:val="00F06F4D"/>
    <w:rsid w:val="00F07470"/>
    <w:rsid w:val="00F2397F"/>
    <w:rsid w:val="00F24351"/>
    <w:rsid w:val="00F24E50"/>
    <w:rsid w:val="00F254DD"/>
    <w:rsid w:val="00F25F22"/>
    <w:rsid w:val="00F41CEA"/>
    <w:rsid w:val="00F43ED9"/>
    <w:rsid w:val="00F4494E"/>
    <w:rsid w:val="00F50E45"/>
    <w:rsid w:val="00F55896"/>
    <w:rsid w:val="00F57B0C"/>
    <w:rsid w:val="00F627C7"/>
    <w:rsid w:val="00F70982"/>
    <w:rsid w:val="00F72776"/>
    <w:rsid w:val="00F734FD"/>
    <w:rsid w:val="00F7419D"/>
    <w:rsid w:val="00F74AE6"/>
    <w:rsid w:val="00F84D32"/>
    <w:rsid w:val="00F9301D"/>
    <w:rsid w:val="00FA3814"/>
    <w:rsid w:val="00FA4824"/>
    <w:rsid w:val="00FB36B7"/>
    <w:rsid w:val="00FB70CC"/>
    <w:rsid w:val="00FB795D"/>
    <w:rsid w:val="00FC0DC2"/>
    <w:rsid w:val="00FC4CE2"/>
    <w:rsid w:val="00FD7D1A"/>
    <w:rsid w:val="00FD7DB5"/>
    <w:rsid w:val="00FE1A90"/>
    <w:rsid w:val="00FE3DE0"/>
    <w:rsid w:val="00FE474B"/>
    <w:rsid w:val="00FE6865"/>
    <w:rsid w:val="00FF12F5"/>
    <w:rsid w:val="00FF17B0"/>
    <w:rsid w:val="00FF637C"/>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AF767"/>
  <w15:docId w15:val="{593AE0CB-9183-421F-9B4C-2F83298F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04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B2088"/>
    <w:pPr>
      <w:ind w:left="720"/>
      <w:contextualSpacing/>
    </w:pPr>
  </w:style>
  <w:style w:type="character" w:styleId="CommentReference">
    <w:name w:val="annotation reference"/>
    <w:basedOn w:val="DefaultParagraphFont"/>
    <w:uiPriority w:val="99"/>
    <w:semiHidden/>
    <w:unhideWhenUsed/>
    <w:rsid w:val="004A00A6"/>
    <w:rPr>
      <w:sz w:val="16"/>
      <w:szCs w:val="16"/>
    </w:rPr>
  </w:style>
  <w:style w:type="paragraph" w:styleId="CommentText">
    <w:name w:val="annotation text"/>
    <w:basedOn w:val="Normal"/>
    <w:link w:val="CommentTextChar"/>
    <w:uiPriority w:val="99"/>
    <w:semiHidden/>
    <w:unhideWhenUsed/>
    <w:rsid w:val="004A00A6"/>
    <w:pPr>
      <w:spacing w:line="240" w:lineRule="auto"/>
    </w:pPr>
    <w:rPr>
      <w:sz w:val="20"/>
      <w:szCs w:val="20"/>
    </w:rPr>
  </w:style>
  <w:style w:type="character" w:customStyle="1" w:styleId="CommentTextChar">
    <w:name w:val="Comment Text Char"/>
    <w:basedOn w:val="DefaultParagraphFont"/>
    <w:link w:val="CommentText"/>
    <w:uiPriority w:val="99"/>
    <w:semiHidden/>
    <w:rsid w:val="004A00A6"/>
    <w:rPr>
      <w:sz w:val="20"/>
      <w:szCs w:val="20"/>
    </w:rPr>
  </w:style>
  <w:style w:type="paragraph" w:styleId="CommentSubject">
    <w:name w:val="annotation subject"/>
    <w:basedOn w:val="CommentText"/>
    <w:next w:val="CommentText"/>
    <w:link w:val="CommentSubjectChar"/>
    <w:uiPriority w:val="99"/>
    <w:semiHidden/>
    <w:unhideWhenUsed/>
    <w:rsid w:val="004A00A6"/>
    <w:rPr>
      <w:b/>
      <w:bCs/>
    </w:rPr>
  </w:style>
  <w:style w:type="character" w:customStyle="1" w:styleId="CommentSubjectChar">
    <w:name w:val="Comment Subject Char"/>
    <w:basedOn w:val="CommentTextChar"/>
    <w:link w:val="CommentSubject"/>
    <w:uiPriority w:val="99"/>
    <w:semiHidden/>
    <w:rsid w:val="004A00A6"/>
    <w:rPr>
      <w:b/>
      <w:bCs/>
      <w:sz w:val="20"/>
      <w:szCs w:val="20"/>
    </w:rPr>
  </w:style>
  <w:style w:type="paragraph" w:customStyle="1" w:styleId="paragraph">
    <w:name w:val="paragraph"/>
    <w:basedOn w:val="Normal"/>
    <w:rsid w:val="00D93B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93BD7"/>
  </w:style>
  <w:style w:type="character" w:customStyle="1" w:styleId="eop">
    <w:name w:val="eop"/>
    <w:basedOn w:val="DefaultParagraphFont"/>
    <w:rsid w:val="00D93BD7"/>
  </w:style>
  <w:style w:type="character" w:customStyle="1" w:styleId="spellingerror">
    <w:name w:val="spellingerror"/>
    <w:basedOn w:val="DefaultParagraphFont"/>
    <w:rsid w:val="00796E9A"/>
  </w:style>
  <w:style w:type="paragraph" w:customStyle="1" w:styleId="tv213">
    <w:name w:val="tv213"/>
    <w:basedOn w:val="Normal"/>
    <w:rsid w:val="00966E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8B5CA7"/>
    <w:pPr>
      <w:spacing w:after="0" w:line="240" w:lineRule="auto"/>
    </w:pPr>
    <w:rPr>
      <w:sz w:val="20"/>
      <w:szCs w:val="20"/>
    </w:rPr>
  </w:style>
  <w:style w:type="character" w:customStyle="1" w:styleId="FootnoteTextChar">
    <w:name w:val="Footnote Text Char"/>
    <w:aliases w:val="Footnote Char Char,Footnote text Char,Fußn Char1,Fußnote Char1,Fußnote Char Char,Fußnotentext Char Char Char,Reference Char,Schriftart: 10 pt Char,Schriftart: 8 pt Char,Schriftart: 9 pt Char,Voetnoottekst Char Char,fußn Char,o Char"/>
    <w:basedOn w:val="DefaultParagraphFont"/>
    <w:link w:val="FootnoteText"/>
    <w:uiPriority w:val="99"/>
    <w:qFormat/>
    <w:rsid w:val="008B5CA7"/>
    <w:rPr>
      <w:sz w:val="20"/>
      <w:szCs w:val="20"/>
    </w:rPr>
  </w:style>
  <w:style w:type="character" w:styleId="FootnoteReference">
    <w:name w:val="footnote reference"/>
    <w:aliases w:val="(Footnote Reference),BVI fnr,EN Footnote Reference,FR,Footnote,Footnote Reference Number,Footnote Reference Superscript,Footnote reference number,Footnote symbol,No,SUPERS,Stinking Styles22,Times 10 Point,Voetnootverwijzing,note TESI"/>
    <w:basedOn w:val="DefaultParagraphFont"/>
    <w:link w:val="FootnoteRefernece"/>
    <w:uiPriority w:val="99"/>
    <w:unhideWhenUsed/>
    <w:qFormat/>
    <w:rsid w:val="008B5CA7"/>
    <w:rPr>
      <w:vertAlign w:val="superscript"/>
    </w:rPr>
  </w:style>
  <w:style w:type="character" w:customStyle="1" w:styleId="FootnoteTextChar1">
    <w:name w:val="Footnote Text Char1"/>
    <w:aliases w:val="Footnote Char Char1,Footnote text Char1,Fußn Char,Fußnotentext Char Char Char1,Reference Char1,Schriftart: 10 pt Char1,Schriftart: 8 pt Char1,Schriftart: 9 pt Char1,Voetnoottekst Char Char1,WB-Fußnotentext Char1,fußn Char1,o Char1"/>
    <w:basedOn w:val="DefaultParagraphFont"/>
    <w:locked/>
    <w:rsid w:val="009F685B"/>
    <w:rPr>
      <w:rFonts w:ascii="Times New Roman" w:hAnsi="Times New Roman" w:cs="Times New Roman"/>
      <w:sz w:val="20"/>
      <w:szCs w:val="20"/>
      <w:lang w:val="en-GB"/>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901BF"/>
  </w:style>
  <w:style w:type="paragraph" w:customStyle="1" w:styleId="Default">
    <w:name w:val="Default"/>
    <w:link w:val="DefaultChar"/>
    <w:rsid w:val="00353D1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C5AA9"/>
    <w:rPr>
      <w:color w:val="605E5C"/>
      <w:shd w:val="clear" w:color="auto" w:fill="E1DFDD"/>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5F007E"/>
    <w:pPr>
      <w:spacing w:line="240" w:lineRule="exact"/>
      <w:jc w:val="both"/>
      <w:textAlignment w:val="baseline"/>
    </w:pPr>
    <w:rPr>
      <w:vertAlign w:val="superscript"/>
    </w:rPr>
  </w:style>
  <w:style w:type="character" w:customStyle="1" w:styleId="st1">
    <w:name w:val="st1"/>
    <w:rsid w:val="005F007E"/>
  </w:style>
  <w:style w:type="character" w:styleId="Emphasis">
    <w:name w:val="Emphasis"/>
    <w:uiPriority w:val="20"/>
    <w:qFormat/>
    <w:rsid w:val="005F007E"/>
    <w:rPr>
      <w:b/>
      <w:bCs/>
      <w:i w:val="0"/>
      <w:iCs w:val="0"/>
    </w:rPr>
  </w:style>
  <w:style w:type="character" w:customStyle="1" w:styleId="DefaultChar">
    <w:name w:val="Default Char"/>
    <w:link w:val="Default"/>
    <w:rsid w:val="004F5081"/>
    <w:rPr>
      <w:rFonts w:ascii="Times New Roman" w:hAnsi="Times New Roman" w:cs="Times New Roman"/>
      <w:color w:val="000000"/>
      <w:sz w:val="24"/>
      <w:szCs w:val="24"/>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2D23AF"/>
    <w:pPr>
      <w:spacing w:line="240" w:lineRule="exact"/>
      <w:jc w:val="both"/>
    </w:pPr>
    <w:rPr>
      <w:rFonts w:ascii="Calibri" w:eastAsia="Calibri" w:hAnsi="Calibri" w:cs="Times New Roman"/>
      <w:vertAlign w:val="superscript"/>
    </w:rPr>
  </w:style>
  <w:style w:type="character" w:customStyle="1" w:styleId="Heading3Char">
    <w:name w:val="Heading 3 Char"/>
    <w:basedOn w:val="DefaultParagraphFont"/>
    <w:link w:val="Heading3"/>
    <w:uiPriority w:val="9"/>
    <w:semiHidden/>
    <w:rsid w:val="009045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
      <w:bodyDiv w:val="1"/>
      <w:marLeft w:val="0"/>
      <w:marRight w:val="0"/>
      <w:marTop w:val="0"/>
      <w:marBottom w:val="0"/>
      <w:divBdr>
        <w:top w:val="none" w:sz="0" w:space="0" w:color="auto"/>
        <w:left w:val="none" w:sz="0" w:space="0" w:color="auto"/>
        <w:bottom w:val="none" w:sz="0" w:space="0" w:color="auto"/>
        <w:right w:val="none" w:sz="0" w:space="0" w:color="auto"/>
      </w:divBdr>
    </w:div>
    <w:div w:id="118303383">
      <w:bodyDiv w:val="1"/>
      <w:marLeft w:val="0"/>
      <w:marRight w:val="0"/>
      <w:marTop w:val="0"/>
      <w:marBottom w:val="0"/>
      <w:divBdr>
        <w:top w:val="none" w:sz="0" w:space="0" w:color="auto"/>
        <w:left w:val="none" w:sz="0" w:space="0" w:color="auto"/>
        <w:bottom w:val="none" w:sz="0" w:space="0" w:color="auto"/>
        <w:right w:val="none" w:sz="0" w:space="0" w:color="auto"/>
      </w:divBdr>
    </w:div>
    <w:div w:id="13048752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7271525">
      <w:bodyDiv w:val="1"/>
      <w:marLeft w:val="0"/>
      <w:marRight w:val="0"/>
      <w:marTop w:val="0"/>
      <w:marBottom w:val="0"/>
      <w:divBdr>
        <w:top w:val="none" w:sz="0" w:space="0" w:color="auto"/>
        <w:left w:val="none" w:sz="0" w:space="0" w:color="auto"/>
        <w:bottom w:val="none" w:sz="0" w:space="0" w:color="auto"/>
        <w:right w:val="none" w:sz="0" w:space="0" w:color="auto"/>
      </w:divBdr>
      <w:divsChild>
        <w:div w:id="764887226">
          <w:marLeft w:val="0"/>
          <w:marRight w:val="0"/>
          <w:marTop w:val="0"/>
          <w:marBottom w:val="0"/>
          <w:divBdr>
            <w:top w:val="none" w:sz="0" w:space="0" w:color="auto"/>
            <w:left w:val="none" w:sz="0" w:space="0" w:color="auto"/>
            <w:bottom w:val="none" w:sz="0" w:space="0" w:color="auto"/>
            <w:right w:val="none" w:sz="0" w:space="0" w:color="auto"/>
          </w:divBdr>
        </w:div>
        <w:div w:id="981928622">
          <w:marLeft w:val="0"/>
          <w:marRight w:val="0"/>
          <w:marTop w:val="0"/>
          <w:marBottom w:val="0"/>
          <w:divBdr>
            <w:top w:val="none" w:sz="0" w:space="0" w:color="auto"/>
            <w:left w:val="none" w:sz="0" w:space="0" w:color="auto"/>
            <w:bottom w:val="none" w:sz="0" w:space="0" w:color="auto"/>
            <w:right w:val="none" w:sz="0" w:space="0" w:color="auto"/>
          </w:divBdr>
        </w:div>
        <w:div w:id="1092816140">
          <w:marLeft w:val="0"/>
          <w:marRight w:val="0"/>
          <w:marTop w:val="0"/>
          <w:marBottom w:val="0"/>
          <w:divBdr>
            <w:top w:val="none" w:sz="0" w:space="0" w:color="auto"/>
            <w:left w:val="none" w:sz="0" w:space="0" w:color="auto"/>
            <w:bottom w:val="none" w:sz="0" w:space="0" w:color="auto"/>
            <w:right w:val="none" w:sz="0" w:space="0" w:color="auto"/>
          </w:divBdr>
        </w:div>
      </w:divsChild>
    </w:div>
    <w:div w:id="458037226">
      <w:bodyDiv w:val="1"/>
      <w:marLeft w:val="0"/>
      <w:marRight w:val="0"/>
      <w:marTop w:val="0"/>
      <w:marBottom w:val="0"/>
      <w:divBdr>
        <w:top w:val="none" w:sz="0" w:space="0" w:color="auto"/>
        <w:left w:val="none" w:sz="0" w:space="0" w:color="auto"/>
        <w:bottom w:val="none" w:sz="0" w:space="0" w:color="auto"/>
        <w:right w:val="none" w:sz="0" w:space="0" w:color="auto"/>
      </w:divBdr>
    </w:div>
    <w:div w:id="580213780">
      <w:bodyDiv w:val="1"/>
      <w:marLeft w:val="0"/>
      <w:marRight w:val="0"/>
      <w:marTop w:val="0"/>
      <w:marBottom w:val="0"/>
      <w:divBdr>
        <w:top w:val="none" w:sz="0" w:space="0" w:color="auto"/>
        <w:left w:val="none" w:sz="0" w:space="0" w:color="auto"/>
        <w:bottom w:val="none" w:sz="0" w:space="0" w:color="auto"/>
        <w:right w:val="none" w:sz="0" w:space="0" w:color="auto"/>
      </w:divBdr>
    </w:div>
    <w:div w:id="608588853">
      <w:bodyDiv w:val="1"/>
      <w:marLeft w:val="0"/>
      <w:marRight w:val="0"/>
      <w:marTop w:val="0"/>
      <w:marBottom w:val="0"/>
      <w:divBdr>
        <w:top w:val="none" w:sz="0" w:space="0" w:color="auto"/>
        <w:left w:val="none" w:sz="0" w:space="0" w:color="auto"/>
        <w:bottom w:val="none" w:sz="0" w:space="0" w:color="auto"/>
        <w:right w:val="none" w:sz="0" w:space="0" w:color="auto"/>
      </w:divBdr>
    </w:div>
    <w:div w:id="701132769">
      <w:bodyDiv w:val="1"/>
      <w:marLeft w:val="0"/>
      <w:marRight w:val="0"/>
      <w:marTop w:val="0"/>
      <w:marBottom w:val="0"/>
      <w:divBdr>
        <w:top w:val="none" w:sz="0" w:space="0" w:color="auto"/>
        <w:left w:val="none" w:sz="0" w:space="0" w:color="auto"/>
        <w:bottom w:val="none" w:sz="0" w:space="0" w:color="auto"/>
        <w:right w:val="none" w:sz="0" w:space="0" w:color="auto"/>
      </w:divBdr>
    </w:div>
    <w:div w:id="773553276">
      <w:bodyDiv w:val="1"/>
      <w:marLeft w:val="0"/>
      <w:marRight w:val="0"/>
      <w:marTop w:val="0"/>
      <w:marBottom w:val="0"/>
      <w:divBdr>
        <w:top w:val="none" w:sz="0" w:space="0" w:color="auto"/>
        <w:left w:val="none" w:sz="0" w:space="0" w:color="auto"/>
        <w:bottom w:val="none" w:sz="0" w:space="0" w:color="auto"/>
        <w:right w:val="none" w:sz="0" w:space="0" w:color="auto"/>
      </w:divBdr>
    </w:div>
    <w:div w:id="880627560">
      <w:bodyDiv w:val="1"/>
      <w:marLeft w:val="0"/>
      <w:marRight w:val="0"/>
      <w:marTop w:val="0"/>
      <w:marBottom w:val="0"/>
      <w:divBdr>
        <w:top w:val="none" w:sz="0" w:space="0" w:color="auto"/>
        <w:left w:val="none" w:sz="0" w:space="0" w:color="auto"/>
        <w:bottom w:val="none" w:sz="0" w:space="0" w:color="auto"/>
        <w:right w:val="none" w:sz="0" w:space="0" w:color="auto"/>
      </w:divBdr>
    </w:div>
    <w:div w:id="1200893492">
      <w:bodyDiv w:val="1"/>
      <w:marLeft w:val="0"/>
      <w:marRight w:val="0"/>
      <w:marTop w:val="0"/>
      <w:marBottom w:val="0"/>
      <w:divBdr>
        <w:top w:val="none" w:sz="0" w:space="0" w:color="auto"/>
        <w:left w:val="none" w:sz="0" w:space="0" w:color="auto"/>
        <w:bottom w:val="none" w:sz="0" w:space="0" w:color="auto"/>
        <w:right w:val="none" w:sz="0" w:space="0" w:color="auto"/>
      </w:divBdr>
    </w:div>
    <w:div w:id="1349596080">
      <w:bodyDiv w:val="1"/>
      <w:marLeft w:val="0"/>
      <w:marRight w:val="0"/>
      <w:marTop w:val="0"/>
      <w:marBottom w:val="0"/>
      <w:divBdr>
        <w:top w:val="none" w:sz="0" w:space="0" w:color="auto"/>
        <w:left w:val="none" w:sz="0" w:space="0" w:color="auto"/>
        <w:bottom w:val="none" w:sz="0" w:space="0" w:color="auto"/>
        <w:right w:val="none" w:sz="0" w:space="0" w:color="auto"/>
      </w:divBdr>
      <w:divsChild>
        <w:div w:id="1774670391">
          <w:marLeft w:val="0"/>
          <w:marRight w:val="0"/>
          <w:marTop w:val="0"/>
          <w:marBottom w:val="0"/>
          <w:divBdr>
            <w:top w:val="none" w:sz="0" w:space="0" w:color="auto"/>
            <w:left w:val="none" w:sz="0" w:space="0" w:color="auto"/>
            <w:bottom w:val="none" w:sz="0" w:space="0" w:color="auto"/>
            <w:right w:val="none" w:sz="0" w:space="0" w:color="auto"/>
          </w:divBdr>
        </w:div>
        <w:div w:id="766924606">
          <w:marLeft w:val="0"/>
          <w:marRight w:val="0"/>
          <w:marTop w:val="0"/>
          <w:marBottom w:val="0"/>
          <w:divBdr>
            <w:top w:val="none" w:sz="0" w:space="0" w:color="auto"/>
            <w:left w:val="none" w:sz="0" w:space="0" w:color="auto"/>
            <w:bottom w:val="none" w:sz="0" w:space="0" w:color="auto"/>
            <w:right w:val="none" w:sz="0" w:space="0" w:color="auto"/>
          </w:divBdr>
        </w:div>
        <w:div w:id="2114353132">
          <w:marLeft w:val="0"/>
          <w:marRight w:val="0"/>
          <w:marTop w:val="0"/>
          <w:marBottom w:val="0"/>
          <w:divBdr>
            <w:top w:val="none" w:sz="0" w:space="0" w:color="auto"/>
            <w:left w:val="none" w:sz="0" w:space="0" w:color="auto"/>
            <w:bottom w:val="none" w:sz="0" w:space="0" w:color="auto"/>
            <w:right w:val="none" w:sz="0" w:space="0" w:color="auto"/>
          </w:divBdr>
        </w:div>
      </w:divsChild>
    </w:div>
    <w:div w:id="13678741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5855889">
      <w:bodyDiv w:val="1"/>
      <w:marLeft w:val="0"/>
      <w:marRight w:val="0"/>
      <w:marTop w:val="0"/>
      <w:marBottom w:val="0"/>
      <w:divBdr>
        <w:top w:val="none" w:sz="0" w:space="0" w:color="auto"/>
        <w:left w:val="none" w:sz="0" w:space="0" w:color="auto"/>
        <w:bottom w:val="none" w:sz="0" w:space="0" w:color="auto"/>
        <w:right w:val="none" w:sz="0" w:space="0" w:color="auto"/>
      </w:divBdr>
    </w:div>
    <w:div w:id="1442913418">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sChild>
        <w:div w:id="484666991">
          <w:marLeft w:val="0"/>
          <w:marRight w:val="0"/>
          <w:marTop w:val="0"/>
          <w:marBottom w:val="0"/>
          <w:divBdr>
            <w:top w:val="none" w:sz="0" w:space="0" w:color="auto"/>
            <w:left w:val="none" w:sz="0" w:space="0" w:color="auto"/>
            <w:bottom w:val="none" w:sz="0" w:space="0" w:color="auto"/>
            <w:right w:val="none" w:sz="0" w:space="0" w:color="auto"/>
          </w:divBdr>
        </w:div>
        <w:div w:id="1250700683">
          <w:marLeft w:val="0"/>
          <w:marRight w:val="0"/>
          <w:marTop w:val="0"/>
          <w:marBottom w:val="0"/>
          <w:divBdr>
            <w:top w:val="none" w:sz="0" w:space="0" w:color="auto"/>
            <w:left w:val="none" w:sz="0" w:space="0" w:color="auto"/>
            <w:bottom w:val="none" w:sz="0" w:space="0" w:color="auto"/>
            <w:right w:val="none" w:sz="0" w:space="0" w:color="auto"/>
          </w:divBdr>
        </w:div>
        <w:div w:id="1037704306">
          <w:marLeft w:val="0"/>
          <w:marRight w:val="0"/>
          <w:marTop w:val="0"/>
          <w:marBottom w:val="0"/>
          <w:divBdr>
            <w:top w:val="none" w:sz="0" w:space="0" w:color="auto"/>
            <w:left w:val="none" w:sz="0" w:space="0" w:color="auto"/>
            <w:bottom w:val="none" w:sz="0" w:space="0" w:color="auto"/>
            <w:right w:val="none" w:sz="0" w:space="0" w:color="auto"/>
          </w:divBdr>
        </w:div>
        <w:div w:id="1538079148">
          <w:marLeft w:val="0"/>
          <w:marRight w:val="0"/>
          <w:marTop w:val="0"/>
          <w:marBottom w:val="0"/>
          <w:divBdr>
            <w:top w:val="none" w:sz="0" w:space="0" w:color="auto"/>
            <w:left w:val="none" w:sz="0" w:space="0" w:color="auto"/>
            <w:bottom w:val="none" w:sz="0" w:space="0" w:color="auto"/>
            <w:right w:val="none" w:sz="0" w:space="0" w:color="auto"/>
          </w:divBdr>
        </w:div>
        <w:div w:id="425931535">
          <w:marLeft w:val="0"/>
          <w:marRight w:val="0"/>
          <w:marTop w:val="0"/>
          <w:marBottom w:val="0"/>
          <w:divBdr>
            <w:top w:val="none" w:sz="0" w:space="0" w:color="auto"/>
            <w:left w:val="none" w:sz="0" w:space="0" w:color="auto"/>
            <w:bottom w:val="none" w:sz="0" w:space="0" w:color="auto"/>
            <w:right w:val="none" w:sz="0" w:space="0" w:color="auto"/>
          </w:divBdr>
        </w:div>
      </w:divsChild>
    </w:div>
    <w:div w:id="1468355621">
      <w:bodyDiv w:val="1"/>
      <w:marLeft w:val="0"/>
      <w:marRight w:val="0"/>
      <w:marTop w:val="0"/>
      <w:marBottom w:val="0"/>
      <w:divBdr>
        <w:top w:val="none" w:sz="0" w:space="0" w:color="auto"/>
        <w:left w:val="none" w:sz="0" w:space="0" w:color="auto"/>
        <w:bottom w:val="none" w:sz="0" w:space="0" w:color="auto"/>
        <w:right w:val="none" w:sz="0" w:space="0" w:color="auto"/>
      </w:divBdr>
    </w:div>
    <w:div w:id="1638028200">
      <w:bodyDiv w:val="1"/>
      <w:marLeft w:val="0"/>
      <w:marRight w:val="0"/>
      <w:marTop w:val="0"/>
      <w:marBottom w:val="0"/>
      <w:divBdr>
        <w:top w:val="none" w:sz="0" w:space="0" w:color="auto"/>
        <w:left w:val="none" w:sz="0" w:space="0" w:color="auto"/>
        <w:bottom w:val="none" w:sz="0" w:space="0" w:color="auto"/>
        <w:right w:val="none" w:sz="0" w:space="0" w:color="auto"/>
      </w:divBdr>
    </w:div>
    <w:div w:id="1744177785">
      <w:bodyDiv w:val="1"/>
      <w:marLeft w:val="0"/>
      <w:marRight w:val="0"/>
      <w:marTop w:val="0"/>
      <w:marBottom w:val="0"/>
      <w:divBdr>
        <w:top w:val="none" w:sz="0" w:space="0" w:color="auto"/>
        <w:left w:val="none" w:sz="0" w:space="0" w:color="auto"/>
        <w:bottom w:val="none" w:sz="0" w:space="0" w:color="auto"/>
        <w:right w:val="none" w:sz="0" w:space="0" w:color="auto"/>
      </w:divBdr>
    </w:div>
    <w:div w:id="1824348093">
      <w:bodyDiv w:val="1"/>
      <w:marLeft w:val="0"/>
      <w:marRight w:val="0"/>
      <w:marTop w:val="0"/>
      <w:marBottom w:val="0"/>
      <w:divBdr>
        <w:top w:val="none" w:sz="0" w:space="0" w:color="auto"/>
        <w:left w:val="none" w:sz="0" w:space="0" w:color="auto"/>
        <w:bottom w:val="none" w:sz="0" w:space="0" w:color="auto"/>
        <w:right w:val="none" w:sz="0" w:space="0" w:color="auto"/>
      </w:divBdr>
      <w:divsChild>
        <w:div w:id="426003654">
          <w:marLeft w:val="360"/>
          <w:marRight w:val="0"/>
          <w:marTop w:val="0"/>
          <w:marBottom w:val="0"/>
          <w:divBdr>
            <w:top w:val="none" w:sz="0" w:space="0" w:color="auto"/>
            <w:left w:val="none" w:sz="0" w:space="0" w:color="auto"/>
            <w:bottom w:val="none" w:sz="0" w:space="0" w:color="auto"/>
            <w:right w:val="none" w:sz="0" w:space="0" w:color="auto"/>
          </w:divBdr>
        </w:div>
        <w:div w:id="2019387819">
          <w:marLeft w:val="360"/>
          <w:marRight w:val="0"/>
          <w:marTop w:val="0"/>
          <w:marBottom w:val="0"/>
          <w:divBdr>
            <w:top w:val="none" w:sz="0" w:space="0" w:color="auto"/>
            <w:left w:val="none" w:sz="0" w:space="0" w:color="auto"/>
            <w:bottom w:val="none" w:sz="0" w:space="0" w:color="auto"/>
            <w:right w:val="none" w:sz="0" w:space="0" w:color="auto"/>
          </w:divBdr>
        </w:div>
      </w:divsChild>
    </w:div>
    <w:div w:id="1863586396">
      <w:bodyDiv w:val="1"/>
      <w:marLeft w:val="0"/>
      <w:marRight w:val="0"/>
      <w:marTop w:val="0"/>
      <w:marBottom w:val="0"/>
      <w:divBdr>
        <w:top w:val="none" w:sz="0" w:space="0" w:color="auto"/>
        <w:left w:val="none" w:sz="0" w:space="0" w:color="auto"/>
        <w:bottom w:val="none" w:sz="0" w:space="0" w:color="auto"/>
        <w:right w:val="none" w:sz="0" w:space="0" w:color="auto"/>
      </w:divBdr>
      <w:divsChild>
        <w:div w:id="1474560141">
          <w:marLeft w:val="0"/>
          <w:marRight w:val="0"/>
          <w:marTop w:val="0"/>
          <w:marBottom w:val="0"/>
          <w:divBdr>
            <w:top w:val="none" w:sz="0" w:space="0" w:color="auto"/>
            <w:left w:val="none" w:sz="0" w:space="0" w:color="auto"/>
            <w:bottom w:val="none" w:sz="0" w:space="0" w:color="auto"/>
            <w:right w:val="none" w:sz="0" w:space="0" w:color="auto"/>
          </w:divBdr>
        </w:div>
        <w:div w:id="800927243">
          <w:marLeft w:val="0"/>
          <w:marRight w:val="0"/>
          <w:marTop w:val="0"/>
          <w:marBottom w:val="0"/>
          <w:divBdr>
            <w:top w:val="none" w:sz="0" w:space="0" w:color="auto"/>
            <w:left w:val="none" w:sz="0" w:space="0" w:color="auto"/>
            <w:bottom w:val="none" w:sz="0" w:space="0" w:color="auto"/>
            <w:right w:val="none" w:sz="0" w:space="0" w:color="auto"/>
          </w:divBdr>
        </w:div>
      </w:divsChild>
    </w:div>
    <w:div w:id="1920207481">
      <w:bodyDiv w:val="1"/>
      <w:marLeft w:val="0"/>
      <w:marRight w:val="0"/>
      <w:marTop w:val="0"/>
      <w:marBottom w:val="0"/>
      <w:divBdr>
        <w:top w:val="none" w:sz="0" w:space="0" w:color="auto"/>
        <w:left w:val="none" w:sz="0" w:space="0" w:color="auto"/>
        <w:bottom w:val="none" w:sz="0" w:space="0" w:color="auto"/>
        <w:right w:val="none" w:sz="0" w:space="0" w:color="auto"/>
      </w:divBdr>
    </w:div>
    <w:div w:id="20267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fls5\Energetika\Ilgtsp&#275;j&#299;gas%20ener&#291;&#275;tikas%20politikas%20departaments\L&#299;ga\OIK\OIK%20dati\prognozes\OIK_prognoze_2027_0103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78306320692606E-2"/>
          <c:y val="1.9304047462873199E-2"/>
          <c:w val="0.72173515388377329"/>
          <c:h val="0.8553190403256381"/>
        </c:manualLayout>
      </c:layout>
      <c:areaChart>
        <c:grouping val="stacked"/>
        <c:varyColors val="0"/>
        <c:ser>
          <c:idx val="0"/>
          <c:order val="0"/>
          <c:tx>
            <c:strRef>
              <c:f>Grafiks!$A$2</c:f>
              <c:strCache>
                <c:ptCount val="1"/>
                <c:pt idx="0">
                  <c:v>Jaudas maksa - gāze</c:v>
                </c:pt>
              </c:strCache>
            </c:strRef>
          </c:tx>
          <c:spPr>
            <a:solidFill>
              <a:schemeClr val="accent1"/>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Grafiks!$C$2:$V$2</c:f>
              <c:numCache>
                <c:formatCode>#,##0,;\(#,##0,\)</c:formatCode>
                <c:ptCount val="20"/>
                <c:pt idx="0">
                  <c:v>43620551.965241805</c:v>
                </c:pt>
                <c:pt idx="1">
                  <c:v>66785141.266128249</c:v>
                </c:pt>
                <c:pt idx="2">
                  <c:v>64854722.863273427</c:v>
                </c:pt>
                <c:pt idx="3">
                  <c:v>61593210.876005262</c:v>
                </c:pt>
                <c:pt idx="4">
                  <c:v>87807283.891952813</c:v>
                </c:pt>
                <c:pt idx="5">
                  <c:v>87497616.639205232</c:v>
                </c:pt>
                <c:pt idx="6">
                  <c:v>107775983.66000003</c:v>
                </c:pt>
                <c:pt idx="7">
                  <c:v>107829636.76000002</c:v>
                </c:pt>
                <c:pt idx="8">
                  <c:v>105274863.78000002</c:v>
                </c:pt>
                <c:pt idx="9">
                  <c:v>106722716.47000001</c:v>
                </c:pt>
                <c:pt idx="10">
                  <c:v>32556186.0845</c:v>
                </c:pt>
                <c:pt idx="11">
                  <c:v>32944990.350000001</c:v>
                </c:pt>
                <c:pt idx="12">
                  <c:v>32331166.350000001</c:v>
                </c:pt>
                <c:pt idx="13">
                  <c:v>26260263.459999997</c:v>
                </c:pt>
                <c:pt idx="14">
                  <c:v>23574457.709999997</c:v>
                </c:pt>
                <c:pt idx="15">
                  <c:v>23574457.709999997</c:v>
                </c:pt>
                <c:pt idx="16">
                  <c:v>23574457.709999997</c:v>
                </c:pt>
                <c:pt idx="17">
                  <c:v>23574457.709999997</c:v>
                </c:pt>
                <c:pt idx="18">
                  <c:v>23574457.709999997</c:v>
                </c:pt>
                <c:pt idx="19">
                  <c:v>23574457.709999997</c:v>
                </c:pt>
              </c:numCache>
            </c:numRef>
          </c:val>
          <c:extLst>
            <c:ext xmlns:c16="http://schemas.microsoft.com/office/drawing/2014/chart" uri="{C3380CC4-5D6E-409C-BE32-E72D297353CC}">
              <c16:uniqueId val="{00000000-5F90-408A-BF05-5B84CC00CEFC}"/>
            </c:ext>
          </c:extLst>
        </c:ser>
        <c:ser>
          <c:idx val="1"/>
          <c:order val="1"/>
          <c:tx>
            <c:strRef>
              <c:f>Grafiks!$A$3</c:f>
              <c:strCache>
                <c:ptCount val="1"/>
                <c:pt idx="0">
                  <c:v>Dabasgāzes stacijas līdz 4MW</c:v>
                </c:pt>
              </c:strCache>
            </c:strRef>
          </c:tx>
          <c:spPr>
            <a:solidFill>
              <a:schemeClr val="accent1">
                <a:lumMod val="60000"/>
                <a:lumOff val="4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Grafiks!$C$3:$V$3</c:f>
              <c:numCache>
                <c:formatCode>#,##0,;\(#,##0,\)</c:formatCode>
                <c:ptCount val="20"/>
                <c:pt idx="0">
                  <c:v>12908139.631106026</c:v>
                </c:pt>
                <c:pt idx="1">
                  <c:v>16815936.793757576</c:v>
                </c:pt>
                <c:pt idx="2">
                  <c:v>23688207.522723231</c:v>
                </c:pt>
                <c:pt idx="3">
                  <c:v>25733684.596416645</c:v>
                </c:pt>
                <c:pt idx="4">
                  <c:v>44957537.922521763</c:v>
                </c:pt>
                <c:pt idx="5">
                  <c:v>48419450.150348008</c:v>
                </c:pt>
                <c:pt idx="6">
                  <c:v>49724282.855972491</c:v>
                </c:pt>
                <c:pt idx="7">
                  <c:v>47476477.341363013</c:v>
                </c:pt>
                <c:pt idx="8">
                  <c:v>34837451.83820387</c:v>
                </c:pt>
                <c:pt idx="9">
                  <c:v>35038207.172135681</c:v>
                </c:pt>
                <c:pt idx="10">
                  <c:v>24943461.65301764</c:v>
                </c:pt>
                <c:pt idx="11">
                  <c:v>26990415.009765383</c:v>
                </c:pt>
                <c:pt idx="12">
                  <c:v>24575123.541901488</c:v>
                </c:pt>
                <c:pt idx="13">
                  <c:v>21031166.761677682</c:v>
                </c:pt>
                <c:pt idx="14">
                  <c:v>12272753.709976852</c:v>
                </c:pt>
                <c:pt idx="15">
                  <c:v>5418984.4962260127</c:v>
                </c:pt>
                <c:pt idx="16">
                  <c:v>1661359.8995203967</c:v>
                </c:pt>
                <c:pt idx="17">
                  <c:v>0</c:v>
                </c:pt>
                <c:pt idx="18">
                  <c:v>0</c:v>
                </c:pt>
                <c:pt idx="19">
                  <c:v>0</c:v>
                </c:pt>
              </c:numCache>
            </c:numRef>
          </c:val>
          <c:extLst>
            <c:ext xmlns:c16="http://schemas.microsoft.com/office/drawing/2014/chart" uri="{C3380CC4-5D6E-409C-BE32-E72D297353CC}">
              <c16:uniqueId val="{00000001-5F90-408A-BF05-5B84CC00CEFC}"/>
            </c:ext>
          </c:extLst>
        </c:ser>
        <c:ser>
          <c:idx val="2"/>
          <c:order val="2"/>
          <c:tx>
            <c:strRef>
              <c:f>Grafiks!$A$4</c:f>
              <c:strCache>
                <c:ptCount val="1"/>
                <c:pt idx="0">
                  <c:v>Biomasas stacijas līdz 4 MW</c:v>
                </c:pt>
              </c:strCache>
            </c:strRef>
          </c:tx>
          <c:spPr>
            <a:solidFill>
              <a:schemeClr val="accent6">
                <a:lumMod val="75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Grafiks!$C$4:$V$4</c:f>
              <c:numCache>
                <c:formatCode>#,##0,;\(#,##0,\)</c:formatCode>
                <c:ptCount val="20"/>
                <c:pt idx="0">
                  <c:v>39211.157733877437</c:v>
                </c:pt>
                <c:pt idx="1">
                  <c:v>340174.94237369171</c:v>
                </c:pt>
                <c:pt idx="2">
                  <c:v>579219.69695676176</c:v>
                </c:pt>
                <c:pt idx="3">
                  <c:v>1115802.4099179858</c:v>
                </c:pt>
                <c:pt idx="4">
                  <c:v>7993769.6174324565</c:v>
                </c:pt>
                <c:pt idx="5">
                  <c:v>20416518.664433848</c:v>
                </c:pt>
                <c:pt idx="6">
                  <c:v>23244321.516306262</c:v>
                </c:pt>
                <c:pt idx="7">
                  <c:v>28649580.589837458</c:v>
                </c:pt>
                <c:pt idx="8">
                  <c:v>24373743.519380502</c:v>
                </c:pt>
                <c:pt idx="9">
                  <c:v>42781641.030725002</c:v>
                </c:pt>
                <c:pt idx="10">
                  <c:v>41086552.00836426</c:v>
                </c:pt>
                <c:pt idx="11">
                  <c:v>41783273.525461555</c:v>
                </c:pt>
                <c:pt idx="12">
                  <c:v>43609873.66861707</c:v>
                </c:pt>
                <c:pt idx="13">
                  <c:v>43648653.844009787</c:v>
                </c:pt>
                <c:pt idx="14">
                  <c:v>40424708.617591634</c:v>
                </c:pt>
                <c:pt idx="15">
                  <c:v>34608522.224603549</c:v>
                </c:pt>
                <c:pt idx="16">
                  <c:v>31615002.747308794</c:v>
                </c:pt>
                <c:pt idx="17">
                  <c:v>20973843.129791733</c:v>
                </c:pt>
                <c:pt idx="18">
                  <c:v>17839802.836325541</c:v>
                </c:pt>
                <c:pt idx="19">
                  <c:v>10751695.568646019</c:v>
                </c:pt>
              </c:numCache>
            </c:numRef>
          </c:val>
          <c:extLst>
            <c:ext xmlns:c16="http://schemas.microsoft.com/office/drawing/2014/chart" uri="{C3380CC4-5D6E-409C-BE32-E72D297353CC}">
              <c16:uniqueId val="{00000002-5F90-408A-BF05-5B84CC00CEFC}"/>
            </c:ext>
          </c:extLst>
        </c:ser>
        <c:ser>
          <c:idx val="3"/>
          <c:order val="3"/>
          <c:tx>
            <c:strRef>
              <c:f>Grafiks!$A$5</c:f>
              <c:strCache>
                <c:ptCount val="1"/>
                <c:pt idx="0">
                  <c:v>Jaudas maksa - AER</c:v>
                </c:pt>
              </c:strCache>
            </c:strRef>
          </c:tx>
          <c:spPr>
            <a:solidFill>
              <a:schemeClr val="accent6">
                <a:lumMod val="5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Grafiks!$C$5:$V$5</c:f>
              <c:numCache>
                <c:formatCode>General</c:formatCode>
                <c:ptCount val="20"/>
                <c:pt idx="2" formatCode="#,##0,;\(#,##0,\)">
                  <c:v>0</c:v>
                </c:pt>
                <c:pt idx="3" formatCode="#,##0,;\(#,##0,\)">
                  <c:v>0</c:v>
                </c:pt>
                <c:pt idx="4">
                  <c:v>0</c:v>
                </c:pt>
                <c:pt idx="5" formatCode="#,##0,;\(#,##0,\)">
                  <c:v>0</c:v>
                </c:pt>
                <c:pt idx="6" formatCode="#,##0,;\(#,##0,\)">
                  <c:v>5162556.96</c:v>
                </c:pt>
                <c:pt idx="7" formatCode="#,##0,;\(#,##0,\)">
                  <c:v>5162556.96</c:v>
                </c:pt>
                <c:pt idx="8" formatCode="#,##0,;\(#,##0,\)">
                  <c:v>5162556.96</c:v>
                </c:pt>
                <c:pt idx="9" formatCode="#,##0,;\(#,##0,\)">
                  <c:v>5162556.96</c:v>
                </c:pt>
                <c:pt idx="10" formatCode="#,##0,;\(#,##0,\)">
                  <c:v>5162556.96</c:v>
                </c:pt>
                <c:pt idx="11" formatCode="#,##0,;\(#,##0,\)">
                  <c:v>5162556.96</c:v>
                </c:pt>
                <c:pt idx="12" formatCode="#,##0,;\(#,##0,\)">
                  <c:v>5162556.96</c:v>
                </c:pt>
                <c:pt idx="13" formatCode="#,##0,;\(#,##0,\)">
                  <c:v>5162556.96</c:v>
                </c:pt>
                <c:pt idx="14" formatCode="#,##0,;\(#,##0,\)">
                  <c:v>5162556.96</c:v>
                </c:pt>
                <c:pt idx="15" formatCode="#,##0,;\(#,##0,\)">
                  <c:v>5162556.96</c:v>
                </c:pt>
                <c:pt idx="16" formatCode="#,##0,;\(#,##0,\)">
                  <c:v>5162556.96</c:v>
                </c:pt>
                <c:pt idx="17" formatCode="#,##0,;\(#,##0,\)">
                  <c:v>5162556.96</c:v>
                </c:pt>
                <c:pt idx="18" formatCode="#,##0,;\(#,##0,\)">
                  <c:v>5162556.96</c:v>
                </c:pt>
                <c:pt idx="19" formatCode="#,##0,;\(#,##0,\)">
                  <c:v>5162556.96</c:v>
                </c:pt>
              </c:numCache>
            </c:numRef>
          </c:val>
          <c:extLst>
            <c:ext xmlns:c16="http://schemas.microsoft.com/office/drawing/2014/chart" uri="{C3380CC4-5D6E-409C-BE32-E72D297353CC}">
              <c16:uniqueId val="{00000003-5F90-408A-BF05-5B84CC00CEFC}"/>
            </c:ext>
          </c:extLst>
        </c:ser>
        <c:ser>
          <c:idx val="4"/>
          <c:order val="4"/>
          <c:tx>
            <c:strRef>
              <c:f>Grafiks!$A$6</c:f>
              <c:strCache>
                <c:ptCount val="1"/>
                <c:pt idx="0">
                  <c:v>Biogāzes stacijas</c:v>
                </c:pt>
              </c:strCache>
            </c:strRef>
          </c:tx>
          <c:spPr>
            <a:solidFill>
              <a:schemeClr val="accent6">
                <a:lumMod val="60000"/>
                <a:lumOff val="4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Grafiks!$C$6:$V$6</c:f>
              <c:numCache>
                <c:formatCode>#,##0,;\(#,##0,\)</c:formatCode>
                <c:ptCount val="20"/>
                <c:pt idx="0">
                  <c:v>3225772.9997274061</c:v>
                </c:pt>
                <c:pt idx="1">
                  <c:v>4023161.242110176</c:v>
                </c:pt>
                <c:pt idx="2">
                  <c:v>5758632.0668351343</c:v>
                </c:pt>
                <c:pt idx="3">
                  <c:v>13630513.553565431</c:v>
                </c:pt>
                <c:pt idx="4">
                  <c:v>31727165.074487347</c:v>
                </c:pt>
                <c:pt idx="5">
                  <c:v>39253956.071250819</c:v>
                </c:pt>
                <c:pt idx="6">
                  <c:v>45639682.662410527</c:v>
                </c:pt>
                <c:pt idx="7">
                  <c:v>50430071.004283734</c:v>
                </c:pt>
                <c:pt idx="8">
                  <c:v>47888159.653313726</c:v>
                </c:pt>
                <c:pt idx="9">
                  <c:v>53270478.04059884</c:v>
                </c:pt>
                <c:pt idx="10">
                  <c:v>43444604.434463859</c:v>
                </c:pt>
                <c:pt idx="11">
                  <c:v>45814142.815932751</c:v>
                </c:pt>
                <c:pt idx="12">
                  <c:v>46838561.879010007</c:v>
                </c:pt>
                <c:pt idx="13">
                  <c:v>44227061.174346514</c:v>
                </c:pt>
                <c:pt idx="14">
                  <c:v>37341250.952243239</c:v>
                </c:pt>
                <c:pt idx="15">
                  <c:v>29378313.807004977</c:v>
                </c:pt>
                <c:pt idx="16">
                  <c:v>26977578.741338495</c:v>
                </c:pt>
                <c:pt idx="17">
                  <c:v>24760884.333593801</c:v>
                </c:pt>
                <c:pt idx="18">
                  <c:v>23175607.117196735</c:v>
                </c:pt>
                <c:pt idx="19">
                  <c:v>23510620.905105222</c:v>
                </c:pt>
              </c:numCache>
            </c:numRef>
          </c:val>
          <c:extLst>
            <c:ext xmlns:c16="http://schemas.microsoft.com/office/drawing/2014/chart" uri="{C3380CC4-5D6E-409C-BE32-E72D297353CC}">
              <c16:uniqueId val="{00000004-5F90-408A-BF05-5B84CC00CEFC}"/>
            </c:ext>
          </c:extLst>
        </c:ser>
        <c:ser>
          <c:idx val="5"/>
          <c:order val="5"/>
          <c:tx>
            <c:strRef>
              <c:f>Grafiks!$A$7</c:f>
              <c:strCache>
                <c:ptCount val="1"/>
                <c:pt idx="0">
                  <c:v>Vēja elektrostacijas</c:v>
                </c:pt>
              </c:strCache>
            </c:strRef>
          </c:tx>
          <c:spPr>
            <a:solidFill>
              <a:schemeClr val="accent6">
                <a:lumMod val="40000"/>
                <a:lumOff val="6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Grafiks!$C$7:$V$7</c:f>
              <c:numCache>
                <c:formatCode>#,##0,;\(#,##0,\)</c:formatCode>
                <c:ptCount val="20"/>
                <c:pt idx="0">
                  <c:v>3802926.7451525317</c:v>
                </c:pt>
                <c:pt idx="1">
                  <c:v>5954921.2241250761</c:v>
                </c:pt>
                <c:pt idx="2">
                  <c:v>5396842.8860678095</c:v>
                </c:pt>
                <c:pt idx="3">
                  <c:v>3683392.3968844791</c:v>
                </c:pt>
                <c:pt idx="4">
                  <c:v>6065160.8864206774</c:v>
                </c:pt>
                <c:pt idx="5">
                  <c:v>6429718.5285613593</c:v>
                </c:pt>
                <c:pt idx="6">
                  <c:v>5335554.6047999989</c:v>
                </c:pt>
                <c:pt idx="7">
                  <c:v>6347939.3445762973</c:v>
                </c:pt>
                <c:pt idx="8">
                  <c:v>8331442.8257443467</c:v>
                </c:pt>
                <c:pt idx="9">
                  <c:v>10026762.025678804</c:v>
                </c:pt>
                <c:pt idx="10">
                  <c:v>6530299.1405532658</c:v>
                </c:pt>
                <c:pt idx="11">
                  <c:v>7179509.6393742794</c:v>
                </c:pt>
                <c:pt idx="12">
                  <c:v>13847966.924846921</c:v>
                </c:pt>
                <c:pt idx="13">
                  <c:v>13758197.870245414</c:v>
                </c:pt>
                <c:pt idx="14">
                  <c:v>11554456.836867435</c:v>
                </c:pt>
                <c:pt idx="15">
                  <c:v>8712611.834227629</c:v>
                </c:pt>
                <c:pt idx="16">
                  <c:v>8729808.351976607</c:v>
                </c:pt>
                <c:pt idx="17">
                  <c:v>8783547.469942173</c:v>
                </c:pt>
                <c:pt idx="18">
                  <c:v>8607364.797055915</c:v>
                </c:pt>
                <c:pt idx="19">
                  <c:v>8227537.1689156527</c:v>
                </c:pt>
              </c:numCache>
            </c:numRef>
          </c:val>
          <c:extLst>
            <c:ext xmlns:c16="http://schemas.microsoft.com/office/drawing/2014/chart" uri="{C3380CC4-5D6E-409C-BE32-E72D297353CC}">
              <c16:uniqueId val="{00000005-5F90-408A-BF05-5B84CC00CEFC}"/>
            </c:ext>
          </c:extLst>
        </c:ser>
        <c:ser>
          <c:idx val="6"/>
          <c:order val="6"/>
          <c:tx>
            <c:strRef>
              <c:f>Grafiks!$A$8</c:f>
              <c:strCache>
                <c:ptCount val="1"/>
                <c:pt idx="0">
                  <c:v>Hidroelektrostacijas</c:v>
                </c:pt>
              </c:strCache>
            </c:strRef>
          </c:tx>
          <c:spPr>
            <a:solidFill>
              <a:schemeClr val="accent6">
                <a:lumMod val="20000"/>
                <a:lumOff val="8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Grafiks!$C$8:$V$8</c:f>
              <c:numCache>
                <c:formatCode>#,##0,;\(#,##0,\)</c:formatCode>
                <c:ptCount val="20"/>
                <c:pt idx="0">
                  <c:v>5824152.8796094926</c:v>
                </c:pt>
                <c:pt idx="1">
                  <c:v>8661360.3809881564</c:v>
                </c:pt>
                <c:pt idx="2">
                  <c:v>9963273.2899926603</c:v>
                </c:pt>
                <c:pt idx="3">
                  <c:v>8358966.6838834165</c:v>
                </c:pt>
                <c:pt idx="4">
                  <c:v>10422932.757838596</c:v>
                </c:pt>
                <c:pt idx="5">
                  <c:v>7880012.1487235846</c:v>
                </c:pt>
                <c:pt idx="6">
                  <c:v>8855133.7745417878</c:v>
                </c:pt>
                <c:pt idx="7">
                  <c:v>9039075.8522404525</c:v>
                </c:pt>
                <c:pt idx="8">
                  <c:v>11331001.245521016</c:v>
                </c:pt>
                <c:pt idx="9">
                  <c:v>13299217.883916263</c:v>
                </c:pt>
                <c:pt idx="10">
                  <c:v>5172712.0911833066</c:v>
                </c:pt>
                <c:pt idx="11">
                  <c:v>6422457.0978182713</c:v>
                </c:pt>
                <c:pt idx="12">
                  <c:v>6450967.9392322963</c:v>
                </c:pt>
                <c:pt idx="13">
                  <c:v>6372680.1231262619</c:v>
                </c:pt>
                <c:pt idx="14">
                  <c:v>6305944.642776533</c:v>
                </c:pt>
                <c:pt idx="15">
                  <c:v>6337387.1947638113</c:v>
                </c:pt>
                <c:pt idx="16">
                  <c:v>6342976.9817837728</c:v>
                </c:pt>
                <c:pt idx="17">
                  <c:v>6360445.0662211487</c:v>
                </c:pt>
                <c:pt idx="18">
                  <c:v>6360445.0662211487</c:v>
                </c:pt>
                <c:pt idx="19">
                  <c:v>6284278.8252368513</c:v>
                </c:pt>
              </c:numCache>
            </c:numRef>
          </c:val>
          <c:extLst>
            <c:ext xmlns:c16="http://schemas.microsoft.com/office/drawing/2014/chart" uri="{C3380CC4-5D6E-409C-BE32-E72D297353CC}">
              <c16:uniqueId val="{00000006-5F90-408A-BF05-5B84CC00CEFC}"/>
            </c:ext>
          </c:extLst>
        </c:ser>
        <c:ser>
          <c:idx val="7"/>
          <c:order val="7"/>
          <c:tx>
            <c:strRef>
              <c:f>Grafiks!$A$9</c:f>
              <c:strCache>
                <c:ptCount val="1"/>
                <c:pt idx="0">
                  <c:v>Atbalsts energointensīvajiem lietotājiem</c:v>
                </c:pt>
              </c:strCache>
            </c:strRef>
          </c:tx>
          <c:spPr>
            <a:solidFill>
              <a:schemeClr val="accent2"/>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Grafiks!$C$9:$V$9</c:f>
              <c:numCache>
                <c:formatCode>General</c:formatCode>
                <c:ptCount val="20"/>
                <c:pt idx="2" formatCode="#,##0,;\(#,##0,\)">
                  <c:v>0</c:v>
                </c:pt>
                <c:pt idx="3" formatCode="#,##0,;\(#,##0,\)">
                  <c:v>0</c:v>
                </c:pt>
                <c:pt idx="4">
                  <c:v>0</c:v>
                </c:pt>
                <c:pt idx="5" formatCode="#,##0,;\(#,##0,\)">
                  <c:v>0</c:v>
                </c:pt>
                <c:pt idx="6" formatCode="#,##0,;\(#,##0,\)">
                  <c:v>0</c:v>
                </c:pt>
                <c:pt idx="7" formatCode="#,##0,;\(#,##0,\)">
                  <c:v>0</c:v>
                </c:pt>
                <c:pt idx="8" formatCode="#,##0,;\(#,##0,\)">
                  <c:v>0</c:v>
                </c:pt>
                <c:pt idx="9" formatCode="#,##0,;\(#,##0,\)">
                  <c:v>3040578.55</c:v>
                </c:pt>
                <c:pt idx="10" formatCode="#,##0,;\(#,##0,\)">
                  <c:v>4805636.1500000004</c:v>
                </c:pt>
                <c:pt idx="11" formatCode="#,##0,;\(#,##0,\)">
                  <c:v>6999999.9999999991</c:v>
                </c:pt>
                <c:pt idx="12" formatCode="#,##0,;\(#,##0,\)">
                  <c:v>6999999.9999999991</c:v>
                </c:pt>
                <c:pt idx="13" formatCode="#,##0,;\(#,##0,\)">
                  <c:v>6999999.9999999991</c:v>
                </c:pt>
                <c:pt idx="14" formatCode="#,##0,;\(#,##0,\)">
                  <c:v>6999999.9999999991</c:v>
                </c:pt>
                <c:pt idx="15" formatCode="#,##0,;\(#,##0,\)">
                  <c:v>6999999.9999999991</c:v>
                </c:pt>
                <c:pt idx="16" formatCode="#,##0,;\(#,##0,\)">
                  <c:v>6999999.9999999991</c:v>
                </c:pt>
                <c:pt idx="17" formatCode="#,##0,;\(#,##0,\)">
                  <c:v>6999999.9999999991</c:v>
                </c:pt>
                <c:pt idx="18" formatCode="#,##0,;\(#,##0,\)">
                  <c:v>6999999.9999999991</c:v>
                </c:pt>
                <c:pt idx="19" formatCode="#,##0,;\(#,##0,\)">
                  <c:v>6999999.9999999991</c:v>
                </c:pt>
              </c:numCache>
            </c:numRef>
          </c:val>
          <c:extLst>
            <c:ext xmlns:c16="http://schemas.microsoft.com/office/drawing/2014/chart" uri="{C3380CC4-5D6E-409C-BE32-E72D297353CC}">
              <c16:uniqueId val="{00000007-5F90-408A-BF05-5B84CC00CEFC}"/>
            </c:ext>
          </c:extLst>
        </c:ser>
        <c:ser>
          <c:idx val="8"/>
          <c:order val="8"/>
          <c:tx>
            <c:strRef>
              <c:f>Grafiks!$A$10</c:f>
              <c:strCache>
                <c:ptCount val="1"/>
                <c:pt idx="0">
                  <c:v>EPT darbības nodrošināšanas izmaksas</c:v>
                </c:pt>
              </c:strCache>
            </c:strRef>
          </c:tx>
          <c:spPr>
            <a:solidFill>
              <a:schemeClr val="accent4"/>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Grafiks!$C$10:$V$10</c:f>
              <c:numCache>
                <c:formatCode>#,##0,;\(#,##0,\)</c:formatCode>
                <c:ptCount val="20"/>
                <c:pt idx="0">
                  <c:v>0</c:v>
                </c:pt>
                <c:pt idx="1">
                  <c:v>0</c:v>
                </c:pt>
                <c:pt idx="2">
                  <c:v>70775.408221922466</c:v>
                </c:pt>
                <c:pt idx="3">
                  <c:v>66155.34345279765</c:v>
                </c:pt>
                <c:pt idx="4">
                  <c:v>66228.777866944409</c:v>
                </c:pt>
                <c:pt idx="5">
                  <c:v>948171.13000000012</c:v>
                </c:pt>
                <c:pt idx="6">
                  <c:v>2315099.3901507016</c:v>
                </c:pt>
                <c:pt idx="7">
                  <c:v>2516889.6683558794</c:v>
                </c:pt>
                <c:pt idx="8">
                  <c:v>5406796.8749127593</c:v>
                </c:pt>
                <c:pt idx="9">
                  <c:v>2754046.2257900611</c:v>
                </c:pt>
                <c:pt idx="10">
                  <c:v>2254277.0112435096</c:v>
                </c:pt>
                <c:pt idx="11">
                  <c:v>2827050.6030269768</c:v>
                </c:pt>
                <c:pt idx="12">
                  <c:v>2788885.8028902207</c:v>
                </c:pt>
                <c:pt idx="13">
                  <c:v>2754136.3690068768</c:v>
                </c:pt>
                <c:pt idx="14">
                  <c:v>2385068.5725194081</c:v>
                </c:pt>
                <c:pt idx="15">
                  <c:v>1966032.4070946765</c:v>
                </c:pt>
                <c:pt idx="16">
                  <c:v>1679983.1916850945</c:v>
                </c:pt>
                <c:pt idx="17">
                  <c:v>1526564.8905397125</c:v>
                </c:pt>
                <c:pt idx="18">
                  <c:v>1538797.0610122327</c:v>
                </c:pt>
                <c:pt idx="19">
                  <c:v>1393643.8713802723</c:v>
                </c:pt>
              </c:numCache>
            </c:numRef>
          </c:val>
          <c:extLst>
            <c:ext xmlns:c16="http://schemas.microsoft.com/office/drawing/2014/chart" uri="{C3380CC4-5D6E-409C-BE32-E72D297353CC}">
              <c16:uniqueId val="{00000008-5F90-408A-BF05-5B84CC00CEFC}"/>
            </c:ext>
          </c:extLst>
        </c:ser>
        <c:dLbls>
          <c:showLegendKey val="0"/>
          <c:showVal val="0"/>
          <c:showCatName val="0"/>
          <c:showSerName val="0"/>
          <c:showPercent val="0"/>
          <c:showBubbleSize val="0"/>
        </c:dLbls>
        <c:axId val="479540624"/>
        <c:axId val="479541016"/>
      </c:areaChart>
      <c:lineChart>
        <c:grouping val="standard"/>
        <c:varyColors val="0"/>
        <c:ser>
          <c:idx val="9"/>
          <c:order val="9"/>
          <c:tx>
            <c:strRef>
              <c:f>Grafiks!$A$11</c:f>
              <c:strCache>
                <c:ptCount val="1"/>
                <c:pt idx="0">
                  <c:v>OIK ieņēmumi</c:v>
                </c:pt>
              </c:strCache>
            </c:strRef>
          </c:tx>
          <c:spPr>
            <a:ln w="28575" cap="rnd">
              <a:solidFill>
                <a:srgbClr val="7A003C"/>
              </a:solidFill>
              <a:round/>
            </a:ln>
            <a:effectLst/>
          </c:spPr>
          <c:marker>
            <c:symbol val="none"/>
          </c:marker>
          <c:cat>
            <c:numRef>
              <c:f>Grafiks!$C$1:$R$1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Grafiks!$C$11:$W$11</c:f>
              <c:numCache>
                <c:formatCode>#,##0,;\(#,##0,\)</c:formatCode>
                <c:ptCount val="21"/>
                <c:pt idx="0">
                  <c:v>69420755.378571138</c:v>
                </c:pt>
                <c:pt idx="1">
                  <c:v>102580695.84948292</c:v>
                </c:pt>
                <c:pt idx="2">
                  <c:v>110311673.73407094</c:v>
                </c:pt>
                <c:pt idx="3">
                  <c:v>114181725.86012602</c:v>
                </c:pt>
                <c:pt idx="4">
                  <c:v>189040078.92852059</c:v>
                </c:pt>
                <c:pt idx="5">
                  <c:v>179448796.78767556</c:v>
                </c:pt>
                <c:pt idx="6">
                  <c:v>182000289.66940001</c:v>
                </c:pt>
                <c:pt idx="7">
                  <c:v>177906435.11000001</c:v>
                </c:pt>
                <c:pt idx="8">
                  <c:v>179154192.18999997</c:v>
                </c:pt>
                <c:pt idx="9">
                  <c:v>177836794.52695954</c:v>
                </c:pt>
                <c:pt idx="10">
                  <c:v>164277853.79129243</c:v>
                </c:pt>
                <c:pt idx="11">
                  <c:v>155255602.65570533</c:v>
                </c:pt>
                <c:pt idx="12">
                  <c:v>155255602.65570533</c:v>
                </c:pt>
                <c:pt idx="13">
                  <c:v>155255602.65570533</c:v>
                </c:pt>
                <c:pt idx="14">
                  <c:v>146021198.00197509</c:v>
                </c:pt>
                <c:pt idx="15">
                  <c:v>122158866.63392062</c:v>
                </c:pt>
                <c:pt idx="16">
                  <c:v>112743724.58361316</c:v>
                </c:pt>
                <c:pt idx="17">
                  <c:v>98142299.56008856</c:v>
                </c:pt>
                <c:pt idx="18">
                  <c:v>93259031.547811568</c:v>
                </c:pt>
                <c:pt idx="19">
                  <c:v>85904791.009284019</c:v>
                </c:pt>
              </c:numCache>
            </c:numRef>
          </c:val>
          <c:smooth val="0"/>
          <c:extLst>
            <c:ext xmlns:c16="http://schemas.microsoft.com/office/drawing/2014/chart" uri="{C3380CC4-5D6E-409C-BE32-E72D297353CC}">
              <c16:uniqueId val="{00000009-5F90-408A-BF05-5B84CC00CEFC}"/>
            </c:ext>
          </c:extLst>
        </c:ser>
        <c:dLbls>
          <c:showLegendKey val="0"/>
          <c:showVal val="0"/>
          <c:showCatName val="0"/>
          <c:showSerName val="0"/>
          <c:showPercent val="0"/>
          <c:showBubbleSize val="0"/>
        </c:dLbls>
        <c:marker val="1"/>
        <c:smooth val="0"/>
        <c:axId val="479540624"/>
        <c:axId val="479541016"/>
      </c:lineChart>
      <c:catAx>
        <c:axId val="479540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sz="500"/>
            </a:pPr>
            <a:endParaRPr lang="lv-LV"/>
          </a:p>
        </c:txPr>
        <c:crossAx val="479541016"/>
        <c:crosses val="autoZero"/>
        <c:auto val="1"/>
        <c:lblAlgn val="ctr"/>
        <c:lblOffset val="100"/>
        <c:noMultiLvlLbl val="0"/>
      </c:catAx>
      <c:valAx>
        <c:axId val="4795410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lv-LV"/>
          </a:p>
        </c:txPr>
        <c:crossAx val="479540624"/>
        <c:crosses val="autoZero"/>
        <c:crossBetween val="between"/>
        <c:dispUnits>
          <c:builtInUnit val="millions"/>
          <c:dispUnitsLbl>
            <c:layout>
              <c:manualLayout>
                <c:xMode val="edge"/>
                <c:yMode val="edge"/>
                <c:x val="6.7437518897345058E-3"/>
                <c:y val="0.36477111279597552"/>
              </c:manualLayout>
            </c:layout>
            <c:tx>
              <c:rich>
                <a:bodyPr rot="-5400000" vert="horz"/>
                <a:lstStyle/>
                <a:p>
                  <a:pPr>
                    <a:defRPr/>
                  </a:pPr>
                  <a:r>
                    <a:rPr lang="lv-LV"/>
                    <a:t>Milj. </a:t>
                  </a:r>
                  <a:r>
                    <a:rPr lang="lv-LV" i="1"/>
                    <a:t>euro</a:t>
                  </a:r>
                  <a:endParaRPr lang="en-US" i="1"/>
                </a:p>
              </c:rich>
            </c:tx>
            <c:spPr>
              <a:noFill/>
              <a:ln>
                <a:noFill/>
              </a:ln>
              <a:effectLst/>
            </c:spPr>
          </c:dispUnitsLbl>
        </c:dispUnits>
      </c:valAx>
      <c:spPr>
        <a:noFill/>
        <a:ln>
          <a:noFill/>
        </a:ln>
        <a:effectLst/>
      </c:spPr>
    </c:plotArea>
    <c:legend>
      <c:legendPos val="r"/>
      <c:layout>
        <c:manualLayout>
          <c:xMode val="edge"/>
          <c:yMode val="edge"/>
          <c:x val="0.75325907537419889"/>
          <c:y val="2.7279956342090902E-2"/>
          <c:w val="0.24471229889367277"/>
          <c:h val="0.97272020366282042"/>
        </c:manualLayout>
      </c:layout>
      <c:overlay val="0"/>
      <c:spPr>
        <a:noFill/>
        <a:ln>
          <a:noFill/>
        </a:ln>
        <a:effectLst/>
      </c:spPr>
      <c:txPr>
        <a:bodyPr rot="0" vert="horz"/>
        <a:lstStyle/>
        <a:p>
          <a:pPr>
            <a:defRPr sz="700"/>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lv-LV"/>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518F"/>
    <w:rsid w:val="00057C8B"/>
    <w:rsid w:val="00084514"/>
    <w:rsid w:val="00114106"/>
    <w:rsid w:val="00147DE5"/>
    <w:rsid w:val="001579C0"/>
    <w:rsid w:val="001754B9"/>
    <w:rsid w:val="001B4B9E"/>
    <w:rsid w:val="002B2599"/>
    <w:rsid w:val="00344186"/>
    <w:rsid w:val="003C1AE0"/>
    <w:rsid w:val="003D15B6"/>
    <w:rsid w:val="00472F39"/>
    <w:rsid w:val="00500515"/>
    <w:rsid w:val="00523A63"/>
    <w:rsid w:val="00757A14"/>
    <w:rsid w:val="008B623B"/>
    <w:rsid w:val="008D39C9"/>
    <w:rsid w:val="008E077B"/>
    <w:rsid w:val="009A04FC"/>
    <w:rsid w:val="009C1B4C"/>
    <w:rsid w:val="009F735E"/>
    <w:rsid w:val="00A72A63"/>
    <w:rsid w:val="00AC0D84"/>
    <w:rsid w:val="00AD4A2F"/>
    <w:rsid w:val="00B3767C"/>
    <w:rsid w:val="00B704D0"/>
    <w:rsid w:val="00BA096E"/>
    <w:rsid w:val="00BA578D"/>
    <w:rsid w:val="00BF26DD"/>
    <w:rsid w:val="00C00671"/>
    <w:rsid w:val="00C0422C"/>
    <w:rsid w:val="00CB4314"/>
    <w:rsid w:val="00D52D30"/>
    <w:rsid w:val="00D775CB"/>
    <w:rsid w:val="00E0656B"/>
    <w:rsid w:val="00EC717D"/>
    <w:rsid w:val="00EF7CCE"/>
    <w:rsid w:val="00F126AB"/>
    <w:rsid w:val="00F851E0"/>
    <w:rsid w:val="00F95F73"/>
    <w:rsid w:val="00FA5344"/>
    <w:rsid w:val="00FC782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66E0-1C97-4365-8C6A-8D262BAA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37</Pages>
  <Words>57168</Words>
  <Characters>32587</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Dreijalte</cp:lastModifiedBy>
  <cp:revision>36</cp:revision>
  <cp:lastPrinted>2019-03-18T04:27:00Z</cp:lastPrinted>
  <dcterms:created xsi:type="dcterms:W3CDTF">2019-03-18T06:29:00Z</dcterms:created>
  <dcterms:modified xsi:type="dcterms:W3CDTF">2019-03-26T07:29:00Z</dcterms:modified>
</cp:coreProperties>
</file>